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13" w:rsidRPr="00111CED" w:rsidRDefault="007F39BB">
      <w:pPr>
        <w:rPr>
          <w:rFonts w:ascii="Palatino Linotype" w:hAnsi="Palatino Linotype" w:cstheme="minorHAnsi"/>
        </w:rPr>
      </w:pPr>
      <w:r w:rsidRPr="00111CED">
        <w:rPr>
          <w:rFonts w:ascii="Palatino Linotype" w:hAnsi="Palatino Linotype" w:cstheme="minorHAnsi"/>
          <w:noProof/>
        </w:rPr>
        <mc:AlternateContent>
          <mc:Choice Requires="wps">
            <w:drawing>
              <wp:anchor distT="0" distB="0" distL="114935" distR="114935" simplePos="0" relativeHeight="251658752" behindDoc="0" locked="0" layoutInCell="1" allowOverlap="1">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201</w:t>
                            </w:r>
                            <w:r w:rsidR="0025111C">
                              <w:rPr>
                                <w:rFonts w:ascii="Times New Roman" w:hAnsi="Times New Roman" w:cs="Times New Roman"/>
                                <w:sz w:val="40"/>
                                <w:szCs w:val="40"/>
                              </w:rPr>
                              <w:t>8</w:t>
                            </w:r>
                            <w:r>
                              <w:rPr>
                                <w:rFonts w:ascii="Times New Roman" w:hAnsi="Times New Roman" w:cs="Times New Roman"/>
                                <w:sz w:val="40"/>
                                <w:szCs w:val="40"/>
                              </w:rPr>
                              <w:t xml:space="preserve"> </w:t>
                            </w:r>
                            <w:r w:rsidR="0025111C">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07.65pt;margin-top:-55.85pt;width:300.75pt;height:5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mwhwIAAB0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" stroked="f">
                <v:fill opacity="0"/>
                <v:textbox inset="0,0,0,0">
                  <w:txbxContent>
                    <w:p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rsidR="00D07713" w:rsidRPr="00526178" w:rsidRDefault="001537D8" w:rsidP="00D07713">
                      <w:pPr>
                        <w:pStyle w:val="Heading1"/>
                        <w:rPr>
                          <w:b w:val="0"/>
                          <w:bCs w:val="0"/>
                          <w:i/>
                          <w:iCs/>
                        </w:rPr>
                      </w:pPr>
                      <w:r>
                        <w:rPr>
                          <w:rFonts w:ascii="Times New Roman" w:hAnsi="Times New Roman" w:cs="Times New Roman"/>
                          <w:sz w:val="40"/>
                          <w:szCs w:val="40"/>
                        </w:rPr>
                        <w:t>201</w:t>
                      </w:r>
                      <w:r w:rsidR="0025111C">
                        <w:rPr>
                          <w:rFonts w:ascii="Times New Roman" w:hAnsi="Times New Roman" w:cs="Times New Roman"/>
                          <w:sz w:val="40"/>
                          <w:szCs w:val="40"/>
                        </w:rPr>
                        <w:t>8</w:t>
                      </w:r>
                      <w:r>
                        <w:rPr>
                          <w:rFonts w:ascii="Times New Roman" w:hAnsi="Times New Roman" w:cs="Times New Roman"/>
                          <w:sz w:val="40"/>
                          <w:szCs w:val="40"/>
                        </w:rPr>
                        <w:t xml:space="preserve"> </w:t>
                      </w:r>
                      <w:r w:rsidR="0025111C">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v:textbox>
              </v:shape>
            </w:pict>
          </mc:Fallback>
        </mc:AlternateContent>
      </w:r>
      <w:r w:rsidR="00F676BF" w:rsidRPr="00111CED">
        <w:rPr>
          <w:rFonts w:ascii="Palatino Linotype" w:hAnsi="Palatino Linotype" w:cstheme="minorHAnsi"/>
          <w:noProof/>
        </w:rPr>
        <mc:AlternateContent>
          <mc:Choice Requires="wps">
            <w:drawing>
              <wp:anchor distT="0" distB="0" distL="114935" distR="114935" simplePos="0" relativeHeight="251661824" behindDoc="0" locked="0" layoutInCell="1" allowOverlap="1">
                <wp:simplePos x="0" y="0"/>
                <wp:positionH relativeFrom="column">
                  <wp:posOffset>4748529</wp:posOffset>
                </wp:positionH>
                <wp:positionV relativeFrom="paragraph">
                  <wp:posOffset>5080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713" w:rsidRPr="00D07713" w:rsidRDefault="0025111C"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19</w:t>
                            </w:r>
                            <w:r w:rsidR="00C86475">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Haziran</w:t>
                            </w:r>
                            <w:r w:rsidR="00D07713" w:rsidRPr="00D07713">
                              <w:rPr>
                                <w:rFonts w:ascii="Arial" w:eastAsia="Times New Roman" w:hAnsi="Arial" w:cs="Arial"/>
                                <w:b/>
                                <w:bCs/>
                                <w:color w:val="FFFFFF"/>
                                <w:sz w:val="22"/>
                                <w:szCs w:val="22"/>
                                <w:lang w:eastAsia="ar-SA"/>
                              </w:rPr>
                              <w:t xml:space="preserve"> 201</w:t>
                            </w:r>
                            <w:r w:rsidR="00C53444">
                              <w:rPr>
                                <w:rFonts w:ascii="Arial" w:eastAsia="Times New Roman" w:hAnsi="Arial" w:cs="Arial"/>
                                <w:b/>
                                <w:bCs/>
                                <w:color w:val="FFFFFF"/>
                                <w:sz w:val="22"/>
                                <w:szCs w:val="22"/>
                                <w:lang w:eastAsia="ar-SA"/>
                              </w:rPr>
                              <w:t>8</w:t>
                            </w:r>
                          </w:p>
                          <w:p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7" type="#_x0000_t202" style="position:absolute;margin-left:373.9pt;margin-top:.4pt;width:95.25pt;height:33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" stroked="f">
                <v:fill opacity="0"/>
                <v:textbox inset="0,0,0,0">
                  <w:txbxContent>
                    <w:p w:rsidR="00D07713" w:rsidRPr="00D07713" w:rsidRDefault="0025111C"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19</w:t>
                      </w:r>
                      <w:r w:rsidR="00C86475">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Haziran</w:t>
                      </w:r>
                      <w:r w:rsidR="00D07713" w:rsidRPr="00D07713">
                        <w:rPr>
                          <w:rFonts w:ascii="Arial" w:eastAsia="Times New Roman" w:hAnsi="Arial" w:cs="Arial"/>
                          <w:b/>
                          <w:bCs/>
                          <w:color w:val="FFFFFF"/>
                          <w:sz w:val="22"/>
                          <w:szCs w:val="22"/>
                          <w:lang w:eastAsia="ar-SA"/>
                        </w:rPr>
                        <w:t xml:space="preserve"> 201</w:t>
                      </w:r>
                      <w:r w:rsidR="00C53444">
                        <w:rPr>
                          <w:rFonts w:ascii="Arial" w:eastAsia="Times New Roman" w:hAnsi="Arial" w:cs="Arial"/>
                          <w:b/>
                          <w:bCs/>
                          <w:color w:val="FFFFFF"/>
                          <w:sz w:val="22"/>
                          <w:szCs w:val="22"/>
                          <w:lang w:eastAsia="ar-SA"/>
                        </w:rPr>
                        <w:t>8</w:t>
                      </w:r>
                    </w:p>
                    <w:p w:rsidR="00D07713" w:rsidRPr="00187FA0" w:rsidRDefault="00D07713" w:rsidP="00D07713"/>
                  </w:txbxContent>
                </v:textbox>
              </v:shape>
            </w:pict>
          </mc:Fallback>
        </mc:AlternateContent>
      </w:r>
      <w:r w:rsidR="00D07713" w:rsidRPr="00111CED">
        <w:rPr>
          <w:rFonts w:ascii="Palatino Linotype" w:hAnsi="Palatino Linotype" w:cstheme="minorHAnsi"/>
          <w:noProof/>
        </w:rPr>
        <w:drawing>
          <wp:anchor distT="0" distB="0" distL="114300" distR="114300" simplePos="0" relativeHeight="251655680"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111CED" w:rsidRDefault="00D07713">
      <w:pPr>
        <w:rPr>
          <w:rFonts w:ascii="Palatino Linotype" w:hAnsi="Palatino Linotype" w:cstheme="minorHAnsi"/>
        </w:rPr>
      </w:pPr>
    </w:p>
    <w:p w:rsidR="00D07713" w:rsidRPr="00111CED" w:rsidRDefault="00D07713" w:rsidP="00D07713">
      <w:pPr>
        <w:spacing w:line="288" w:lineRule="auto"/>
        <w:ind w:right="-319"/>
        <w:jc w:val="center"/>
        <w:outlineLvl w:val="0"/>
        <w:rPr>
          <w:rFonts w:ascii="Palatino Linotype" w:hAnsi="Palatino Linotype" w:cstheme="minorHAnsi"/>
          <w:b/>
          <w:bCs/>
          <w:sz w:val="28"/>
          <w:szCs w:val="28"/>
        </w:rPr>
      </w:pPr>
    </w:p>
    <w:p w:rsidR="00D27E94" w:rsidRDefault="00D27E94" w:rsidP="00924CD9">
      <w:pPr>
        <w:spacing w:line="288" w:lineRule="auto"/>
        <w:ind w:right="-319"/>
        <w:jc w:val="center"/>
        <w:outlineLvl w:val="0"/>
        <w:rPr>
          <w:rFonts w:ascii="Palatino Linotype" w:hAnsi="Palatino Linotype" w:cstheme="minorHAnsi"/>
          <w:b/>
          <w:bCs/>
          <w:sz w:val="28"/>
          <w:szCs w:val="28"/>
        </w:rPr>
      </w:pPr>
    </w:p>
    <w:p w:rsidR="00D07713" w:rsidRPr="00111CED" w:rsidRDefault="00830B62" w:rsidP="00924CD9">
      <w:pPr>
        <w:spacing w:line="288" w:lineRule="auto"/>
        <w:ind w:right="-319"/>
        <w:jc w:val="center"/>
        <w:outlineLvl w:val="0"/>
        <w:rPr>
          <w:rFonts w:ascii="Palatino Linotype" w:hAnsi="Palatino Linotype" w:cstheme="minorHAnsi"/>
          <w:b/>
          <w:bCs/>
          <w:sz w:val="28"/>
          <w:szCs w:val="28"/>
        </w:rPr>
      </w:pPr>
      <w:bookmarkStart w:id="0" w:name="_GoBack"/>
      <w:bookmarkEnd w:id="0"/>
      <w:r w:rsidRPr="00111CED">
        <w:rPr>
          <w:rFonts w:ascii="Palatino Linotype" w:hAnsi="Palatino Linotype" w:cstheme="minorHAnsi"/>
          <w:b/>
          <w:bCs/>
          <w:sz w:val="28"/>
          <w:szCs w:val="28"/>
        </w:rPr>
        <w:t>YÜKSEK BÜYÜME</w:t>
      </w:r>
      <w:r w:rsidR="001A42FF" w:rsidRPr="00111CED">
        <w:rPr>
          <w:rFonts w:ascii="Palatino Linotype" w:hAnsi="Palatino Linotype" w:cstheme="minorHAnsi"/>
          <w:b/>
          <w:bCs/>
          <w:sz w:val="28"/>
          <w:szCs w:val="28"/>
        </w:rPr>
        <w:t>Yİ TÜKETİM VE YATIRIM HARCAMALARI</w:t>
      </w:r>
      <w:r w:rsidR="00E67DCD" w:rsidRPr="00111CED">
        <w:rPr>
          <w:rFonts w:ascii="Palatino Linotype" w:hAnsi="Palatino Linotype" w:cstheme="minorHAnsi"/>
          <w:b/>
          <w:bCs/>
          <w:sz w:val="28"/>
          <w:szCs w:val="28"/>
        </w:rPr>
        <w:t xml:space="preserve"> DESTEKLEDİ</w:t>
      </w:r>
    </w:p>
    <w:p w:rsidR="00D27E94" w:rsidRDefault="00D27E94" w:rsidP="00D07713">
      <w:pPr>
        <w:jc w:val="center"/>
        <w:rPr>
          <w:rFonts w:ascii="Palatino Linotype" w:hAnsi="Palatino Linotype" w:cstheme="minorHAnsi"/>
          <w:b/>
          <w:bCs/>
          <w:sz w:val="22"/>
          <w:szCs w:val="22"/>
        </w:rPr>
      </w:pPr>
    </w:p>
    <w:p w:rsidR="00D27E94" w:rsidRDefault="00D27E94" w:rsidP="00D07713">
      <w:pPr>
        <w:jc w:val="center"/>
        <w:rPr>
          <w:rFonts w:ascii="Palatino Linotype" w:hAnsi="Palatino Linotype" w:cstheme="minorHAnsi"/>
          <w:b/>
          <w:bCs/>
          <w:sz w:val="22"/>
          <w:szCs w:val="22"/>
        </w:rPr>
      </w:pPr>
    </w:p>
    <w:p w:rsidR="00D27E94" w:rsidRDefault="00D27E94" w:rsidP="00D07713">
      <w:pPr>
        <w:jc w:val="center"/>
        <w:rPr>
          <w:rFonts w:ascii="Palatino Linotype" w:hAnsi="Palatino Linotype" w:cstheme="minorHAnsi"/>
          <w:b/>
          <w:bCs/>
          <w:sz w:val="22"/>
          <w:szCs w:val="22"/>
        </w:rPr>
      </w:pPr>
    </w:p>
    <w:p w:rsidR="00D07713" w:rsidRPr="00111CED" w:rsidRDefault="003172DB" w:rsidP="00D07713">
      <w:pPr>
        <w:jc w:val="center"/>
        <w:rPr>
          <w:rFonts w:ascii="Palatino Linotype" w:hAnsi="Palatino Linotype" w:cstheme="minorHAnsi"/>
        </w:rPr>
      </w:pPr>
      <w:r w:rsidRPr="00111CED">
        <w:rPr>
          <w:rFonts w:ascii="Palatino Linotype" w:hAnsi="Palatino Linotype" w:cstheme="minorHAnsi"/>
          <w:b/>
          <w:bCs/>
          <w:sz w:val="22"/>
          <w:szCs w:val="22"/>
        </w:rPr>
        <w:t>Seyfettin Gürsel</w:t>
      </w:r>
      <w:r w:rsidRPr="00111CED">
        <w:rPr>
          <w:rStyle w:val="FootnoteReference"/>
          <w:rFonts w:ascii="Palatino Linotype" w:hAnsi="Palatino Linotype" w:cstheme="minorHAnsi"/>
          <w:b/>
          <w:bCs/>
          <w:sz w:val="22"/>
          <w:szCs w:val="22"/>
        </w:rPr>
        <w:footnoteReference w:id="1"/>
      </w:r>
      <w:r w:rsidRPr="00111CED">
        <w:rPr>
          <w:rFonts w:ascii="Palatino Linotype" w:hAnsi="Palatino Linotype" w:cstheme="minorHAnsi"/>
          <w:b/>
          <w:bCs/>
          <w:sz w:val="22"/>
          <w:szCs w:val="22"/>
        </w:rPr>
        <w:t>,</w:t>
      </w:r>
      <w:r w:rsidR="00B02D74" w:rsidRPr="00111CED">
        <w:rPr>
          <w:rFonts w:ascii="Palatino Linotype" w:hAnsi="Palatino Linotype" w:cstheme="minorHAnsi"/>
          <w:b/>
          <w:bCs/>
          <w:sz w:val="22"/>
          <w:szCs w:val="22"/>
        </w:rPr>
        <w:t xml:space="preserve"> </w:t>
      </w:r>
      <w:r w:rsidR="00D07713" w:rsidRPr="00111CED">
        <w:rPr>
          <w:rFonts w:ascii="Palatino Linotype" w:hAnsi="Palatino Linotype" w:cstheme="minorHAnsi"/>
          <w:b/>
          <w:bCs/>
          <w:sz w:val="22"/>
          <w:szCs w:val="22"/>
        </w:rPr>
        <w:t>Ozan Bakış</w:t>
      </w:r>
      <w:r w:rsidR="00C32789" w:rsidRPr="00111CED">
        <w:rPr>
          <w:rStyle w:val="FootnoteReference"/>
          <w:rFonts w:ascii="Palatino Linotype" w:hAnsi="Palatino Linotype" w:cstheme="minorHAnsi"/>
          <w:b/>
          <w:bCs/>
          <w:sz w:val="22"/>
          <w:szCs w:val="22"/>
        </w:rPr>
        <w:footnoteReference w:id="2"/>
      </w:r>
      <w:r w:rsidR="001537D8" w:rsidRPr="00111CED">
        <w:rPr>
          <w:rFonts w:ascii="Palatino Linotype" w:hAnsi="Palatino Linotype" w:cstheme="minorHAnsi"/>
          <w:b/>
          <w:bCs/>
          <w:sz w:val="22"/>
          <w:szCs w:val="22"/>
        </w:rPr>
        <w:t xml:space="preserve"> ve Uğurcan Acar</w:t>
      </w:r>
      <w:r w:rsidR="001537D8" w:rsidRPr="00111CED">
        <w:rPr>
          <w:rStyle w:val="FootnoteReference"/>
          <w:rFonts w:ascii="Palatino Linotype" w:hAnsi="Palatino Linotype" w:cstheme="minorHAnsi"/>
          <w:b/>
          <w:bCs/>
          <w:sz w:val="22"/>
          <w:szCs w:val="22"/>
        </w:rPr>
        <w:footnoteReference w:id="3"/>
      </w:r>
    </w:p>
    <w:p w:rsidR="00D07713" w:rsidRPr="00111CED" w:rsidRDefault="00D07713">
      <w:pPr>
        <w:rPr>
          <w:rFonts w:ascii="Palatino Linotype" w:hAnsi="Palatino Linotype" w:cstheme="minorHAnsi"/>
        </w:rPr>
      </w:pPr>
    </w:p>
    <w:p w:rsidR="00D257C1" w:rsidRPr="00111CED" w:rsidRDefault="00D257C1" w:rsidP="007B70AD">
      <w:pPr>
        <w:jc w:val="center"/>
        <w:rPr>
          <w:rFonts w:ascii="Palatino Linotype" w:hAnsi="Palatino Linotype" w:cstheme="minorHAnsi"/>
          <w:b/>
          <w:sz w:val="22"/>
          <w:szCs w:val="22"/>
        </w:rPr>
      </w:pPr>
      <w:r w:rsidRPr="00111CED">
        <w:rPr>
          <w:rFonts w:ascii="Palatino Linotype" w:hAnsi="Palatino Linotype" w:cstheme="minorHAnsi"/>
          <w:b/>
          <w:sz w:val="22"/>
          <w:szCs w:val="22"/>
        </w:rPr>
        <w:t>Yönetici</w:t>
      </w:r>
      <w:r w:rsidR="00C86475" w:rsidRPr="00111CED">
        <w:rPr>
          <w:rFonts w:ascii="Palatino Linotype" w:hAnsi="Palatino Linotype" w:cstheme="minorHAnsi"/>
          <w:b/>
          <w:sz w:val="22"/>
          <w:szCs w:val="22"/>
        </w:rPr>
        <w:t xml:space="preserve"> </w:t>
      </w:r>
      <w:r w:rsidRPr="00111CED">
        <w:rPr>
          <w:rFonts w:ascii="Palatino Linotype" w:hAnsi="Palatino Linotype" w:cstheme="minorHAnsi"/>
          <w:b/>
          <w:sz w:val="22"/>
          <w:szCs w:val="22"/>
        </w:rPr>
        <w:t>Özeti</w:t>
      </w:r>
    </w:p>
    <w:p w:rsidR="00111CED" w:rsidRPr="00111CED" w:rsidRDefault="00111CED" w:rsidP="007B70AD">
      <w:pPr>
        <w:jc w:val="center"/>
        <w:rPr>
          <w:rFonts w:ascii="Palatino Linotype" w:hAnsi="Palatino Linotype" w:cstheme="minorHAnsi"/>
          <w:b/>
          <w:sz w:val="22"/>
          <w:szCs w:val="22"/>
        </w:rPr>
      </w:pPr>
    </w:p>
    <w:p w:rsidR="00D07713" w:rsidRPr="00111CED" w:rsidRDefault="00D257C1" w:rsidP="00D27E94">
      <w:pPr>
        <w:spacing w:after="120" w:line="360" w:lineRule="auto"/>
        <w:ind w:left="567" w:right="567"/>
        <w:jc w:val="both"/>
        <w:rPr>
          <w:rFonts w:ascii="Palatino Linotype" w:hAnsi="Palatino Linotype" w:cstheme="minorHAnsi"/>
          <w:strike/>
          <w:sz w:val="22"/>
          <w:szCs w:val="22"/>
        </w:rPr>
      </w:pPr>
      <w:r w:rsidRPr="00111CED">
        <w:rPr>
          <w:rFonts w:ascii="Palatino Linotype" w:hAnsi="Palatino Linotype" w:cstheme="minorHAnsi"/>
          <w:sz w:val="22"/>
          <w:szCs w:val="22"/>
        </w:rPr>
        <w:t>201</w:t>
      </w:r>
      <w:r w:rsidR="00A2601A" w:rsidRPr="00111CED">
        <w:rPr>
          <w:rFonts w:ascii="Palatino Linotype" w:hAnsi="Palatino Linotype" w:cstheme="minorHAnsi"/>
          <w:sz w:val="22"/>
          <w:szCs w:val="22"/>
        </w:rPr>
        <w:t>8</w:t>
      </w:r>
      <w:r w:rsidRPr="00111CED">
        <w:rPr>
          <w:rFonts w:ascii="Palatino Linotype" w:hAnsi="Palatino Linotype" w:cstheme="minorHAnsi"/>
          <w:sz w:val="22"/>
          <w:szCs w:val="22"/>
        </w:rPr>
        <w:t xml:space="preserve"> yılının </w:t>
      </w:r>
      <w:r w:rsidR="00A2601A" w:rsidRPr="00111CED">
        <w:rPr>
          <w:rFonts w:ascii="Palatino Linotype" w:hAnsi="Palatino Linotype" w:cstheme="minorHAnsi"/>
          <w:sz w:val="22"/>
          <w:szCs w:val="22"/>
        </w:rPr>
        <w:t>ilk</w:t>
      </w:r>
      <w:r w:rsidRPr="00111CED">
        <w:rPr>
          <w:rFonts w:ascii="Palatino Linotype" w:hAnsi="Palatino Linotype" w:cstheme="minorHAnsi"/>
          <w:sz w:val="22"/>
          <w:szCs w:val="22"/>
        </w:rPr>
        <w:t xml:space="preserve"> çeyreğinde Gayri Safi Yurtiçi Hasıla (GSYH) mevsim ve takvim etkilerinden arındırılmış rakamlarla bir önceki çeyreğe kıyasla yüzde </w:t>
      </w:r>
      <w:r w:rsidR="00EA0ED2" w:rsidRPr="00111CED">
        <w:rPr>
          <w:rFonts w:ascii="Palatino Linotype" w:hAnsi="Palatino Linotype" w:cstheme="minorHAnsi"/>
          <w:sz w:val="22"/>
          <w:szCs w:val="22"/>
        </w:rPr>
        <w:t>2</w:t>
      </w:r>
      <w:r w:rsidRPr="00111CED">
        <w:rPr>
          <w:rFonts w:ascii="Palatino Linotype" w:hAnsi="Palatino Linotype" w:cstheme="minorHAnsi"/>
          <w:sz w:val="22"/>
          <w:szCs w:val="22"/>
        </w:rPr>
        <w:t xml:space="preserve">, geçen yılın </w:t>
      </w:r>
      <w:r w:rsidR="00EA0ED2" w:rsidRPr="00111CED">
        <w:rPr>
          <w:rFonts w:ascii="Palatino Linotype" w:hAnsi="Palatino Linotype" w:cstheme="minorHAnsi"/>
          <w:sz w:val="22"/>
          <w:szCs w:val="22"/>
        </w:rPr>
        <w:t>ilk</w:t>
      </w:r>
      <w:r w:rsidRPr="00111CED">
        <w:rPr>
          <w:rFonts w:ascii="Palatino Linotype" w:hAnsi="Palatino Linotype" w:cstheme="minorHAnsi"/>
          <w:sz w:val="22"/>
          <w:szCs w:val="22"/>
        </w:rPr>
        <w:t xml:space="preserve"> çeyreğine kıyasla yüzde </w:t>
      </w:r>
      <w:r w:rsidR="00830B62" w:rsidRPr="00111CED">
        <w:rPr>
          <w:rFonts w:ascii="Palatino Linotype" w:hAnsi="Palatino Linotype" w:cstheme="minorHAnsi"/>
          <w:sz w:val="22"/>
          <w:szCs w:val="22"/>
        </w:rPr>
        <w:t>7</w:t>
      </w:r>
      <w:r w:rsidRPr="00111CED">
        <w:rPr>
          <w:rFonts w:ascii="Palatino Linotype" w:hAnsi="Palatino Linotype" w:cstheme="minorHAnsi"/>
          <w:sz w:val="22"/>
          <w:szCs w:val="22"/>
        </w:rPr>
        <w:t>,</w:t>
      </w:r>
      <w:r w:rsidR="00E67DCD" w:rsidRPr="00111CED">
        <w:rPr>
          <w:rFonts w:ascii="Palatino Linotype" w:hAnsi="Palatino Linotype" w:cstheme="minorHAnsi"/>
          <w:sz w:val="22"/>
          <w:szCs w:val="22"/>
        </w:rPr>
        <w:t>4</w:t>
      </w:r>
      <w:r w:rsidRPr="00111CED">
        <w:rPr>
          <w:rFonts w:ascii="Palatino Linotype" w:hAnsi="Palatino Linotype" w:cstheme="minorHAnsi"/>
          <w:sz w:val="22"/>
          <w:szCs w:val="22"/>
        </w:rPr>
        <w:t xml:space="preserve"> oranında arttı. </w:t>
      </w:r>
      <w:r w:rsidR="00CC79C0" w:rsidRPr="00111CED">
        <w:rPr>
          <w:rFonts w:ascii="Palatino Linotype" w:hAnsi="Palatino Linotype" w:cstheme="minorHAnsi"/>
          <w:sz w:val="22"/>
          <w:szCs w:val="22"/>
        </w:rPr>
        <w:t xml:space="preserve">Yıldan yıla büyümeye </w:t>
      </w:r>
      <w:r w:rsidRPr="00111CED">
        <w:rPr>
          <w:rFonts w:ascii="Palatino Linotype" w:hAnsi="Palatino Linotype" w:cstheme="minorHAnsi"/>
          <w:sz w:val="22"/>
          <w:szCs w:val="22"/>
        </w:rPr>
        <w:t>en yüksek katkı</w:t>
      </w:r>
      <w:r w:rsidR="00830B62" w:rsidRPr="00111CED">
        <w:rPr>
          <w:rFonts w:ascii="Palatino Linotype" w:hAnsi="Palatino Linotype" w:cstheme="minorHAnsi"/>
          <w:sz w:val="22"/>
          <w:szCs w:val="22"/>
        </w:rPr>
        <w:t>lar tüketim (</w:t>
      </w:r>
      <w:r w:rsidR="00EA0ED2" w:rsidRPr="00111CED">
        <w:rPr>
          <w:rFonts w:ascii="Palatino Linotype" w:hAnsi="Palatino Linotype" w:cstheme="minorHAnsi"/>
          <w:sz w:val="22"/>
          <w:szCs w:val="22"/>
        </w:rPr>
        <w:t>6</w:t>
      </w:r>
      <w:r w:rsidR="000978C8" w:rsidRPr="00111CED">
        <w:rPr>
          <w:rFonts w:ascii="Palatino Linotype" w:hAnsi="Palatino Linotype" w:cstheme="minorHAnsi"/>
          <w:sz w:val="22"/>
          <w:szCs w:val="22"/>
        </w:rPr>
        <w:t>,</w:t>
      </w:r>
      <w:r w:rsidR="00EA0ED2" w:rsidRPr="00111CED">
        <w:rPr>
          <w:rFonts w:ascii="Palatino Linotype" w:hAnsi="Palatino Linotype" w:cstheme="minorHAnsi"/>
          <w:sz w:val="22"/>
          <w:szCs w:val="22"/>
        </w:rPr>
        <w:t>6</w:t>
      </w:r>
      <w:r w:rsidR="000978C8" w:rsidRPr="00111CED">
        <w:rPr>
          <w:rFonts w:ascii="Palatino Linotype" w:hAnsi="Palatino Linotype" w:cstheme="minorHAnsi"/>
          <w:sz w:val="22"/>
          <w:szCs w:val="22"/>
        </w:rPr>
        <w:t xml:space="preserve"> yüzde puan</w:t>
      </w:r>
      <w:r w:rsidR="00830B62" w:rsidRPr="00111CED">
        <w:rPr>
          <w:rFonts w:ascii="Palatino Linotype" w:hAnsi="Palatino Linotype" w:cstheme="minorHAnsi"/>
          <w:sz w:val="22"/>
          <w:szCs w:val="22"/>
        </w:rPr>
        <w:t xml:space="preserve">) ve </w:t>
      </w:r>
      <w:r w:rsidR="00EA0ED2" w:rsidRPr="00111CED">
        <w:rPr>
          <w:rFonts w:ascii="Palatino Linotype" w:hAnsi="Palatino Linotype" w:cstheme="minorHAnsi"/>
          <w:sz w:val="22"/>
          <w:szCs w:val="22"/>
        </w:rPr>
        <w:t>yatırım</w:t>
      </w:r>
      <w:r w:rsidR="00830B62" w:rsidRPr="00111CED">
        <w:rPr>
          <w:rFonts w:ascii="Palatino Linotype" w:hAnsi="Palatino Linotype" w:cstheme="minorHAnsi"/>
          <w:sz w:val="22"/>
          <w:szCs w:val="22"/>
        </w:rPr>
        <w:t xml:space="preserve"> (</w:t>
      </w:r>
      <w:r w:rsidR="00EA0ED2" w:rsidRPr="00111CED">
        <w:rPr>
          <w:rFonts w:ascii="Palatino Linotype" w:hAnsi="Palatino Linotype" w:cstheme="minorHAnsi"/>
          <w:sz w:val="22"/>
          <w:szCs w:val="22"/>
        </w:rPr>
        <w:t>2</w:t>
      </w:r>
      <w:r w:rsidR="00830B62" w:rsidRPr="00111CED">
        <w:rPr>
          <w:rFonts w:ascii="Palatino Linotype" w:hAnsi="Palatino Linotype" w:cstheme="minorHAnsi"/>
          <w:sz w:val="22"/>
          <w:szCs w:val="22"/>
        </w:rPr>
        <w:t>,</w:t>
      </w:r>
      <w:r w:rsidR="00EA0ED2" w:rsidRPr="00111CED">
        <w:rPr>
          <w:rFonts w:ascii="Palatino Linotype" w:hAnsi="Palatino Linotype" w:cstheme="minorHAnsi"/>
          <w:sz w:val="22"/>
          <w:szCs w:val="22"/>
        </w:rPr>
        <w:t>8</w:t>
      </w:r>
      <w:r w:rsidR="00830B62" w:rsidRPr="00111CED">
        <w:rPr>
          <w:rFonts w:ascii="Palatino Linotype" w:hAnsi="Palatino Linotype" w:cstheme="minorHAnsi"/>
          <w:sz w:val="22"/>
          <w:szCs w:val="22"/>
        </w:rPr>
        <w:t xml:space="preserve"> yüzde puan) kalemlerinden geldi. </w:t>
      </w:r>
      <w:r w:rsidR="00E67DCD" w:rsidRPr="00111CED">
        <w:rPr>
          <w:rFonts w:ascii="Palatino Linotype" w:hAnsi="Palatino Linotype" w:cstheme="minorHAnsi"/>
          <w:sz w:val="22"/>
          <w:szCs w:val="22"/>
        </w:rPr>
        <w:t>2017 yılının son çeyreğinde y</w:t>
      </w:r>
      <w:r w:rsidR="00830B62" w:rsidRPr="00111CED">
        <w:rPr>
          <w:rFonts w:ascii="Palatino Linotype" w:hAnsi="Palatino Linotype" w:cstheme="minorHAnsi"/>
          <w:sz w:val="22"/>
          <w:szCs w:val="22"/>
        </w:rPr>
        <w:t xml:space="preserve">üzde </w:t>
      </w:r>
      <w:r w:rsidR="00F136EE" w:rsidRPr="00111CED">
        <w:rPr>
          <w:rFonts w:ascii="Palatino Linotype" w:hAnsi="Palatino Linotype" w:cstheme="minorHAnsi"/>
          <w:sz w:val="22"/>
          <w:szCs w:val="22"/>
        </w:rPr>
        <w:t>2</w:t>
      </w:r>
      <w:r w:rsidR="00E67DCD" w:rsidRPr="00111CED">
        <w:rPr>
          <w:rFonts w:ascii="Palatino Linotype" w:hAnsi="Palatino Linotype" w:cstheme="minorHAnsi"/>
          <w:sz w:val="22"/>
          <w:szCs w:val="22"/>
        </w:rPr>
        <w:t>0’nin üzerinde büyüyen ithalat 2018 ilk çeyrekte de yüzde 15,6 gibi çok yüksek bir büyüme oranı yakaladı. Bu yüksek büyümenin b</w:t>
      </w:r>
      <w:r w:rsidR="00EA7527" w:rsidRPr="00111CED">
        <w:rPr>
          <w:rFonts w:ascii="Palatino Linotype" w:hAnsi="Palatino Linotype" w:cstheme="minorHAnsi"/>
          <w:sz w:val="22"/>
          <w:szCs w:val="22"/>
        </w:rPr>
        <w:t xml:space="preserve">üyüme katkısı eksi </w:t>
      </w:r>
      <w:r w:rsidR="00E67DCD" w:rsidRPr="00111CED">
        <w:rPr>
          <w:rFonts w:ascii="Palatino Linotype" w:hAnsi="Palatino Linotype" w:cstheme="minorHAnsi"/>
          <w:sz w:val="22"/>
          <w:szCs w:val="22"/>
        </w:rPr>
        <w:t>4</w:t>
      </w:r>
      <w:r w:rsidR="00EA7527" w:rsidRPr="00111CED">
        <w:rPr>
          <w:rFonts w:ascii="Palatino Linotype" w:hAnsi="Palatino Linotype" w:cstheme="minorHAnsi"/>
          <w:sz w:val="22"/>
          <w:szCs w:val="22"/>
        </w:rPr>
        <w:t>,</w:t>
      </w:r>
      <w:r w:rsidR="00E67DCD" w:rsidRPr="00111CED">
        <w:rPr>
          <w:rFonts w:ascii="Palatino Linotype" w:hAnsi="Palatino Linotype" w:cstheme="minorHAnsi"/>
          <w:sz w:val="22"/>
          <w:szCs w:val="22"/>
        </w:rPr>
        <w:t>5</w:t>
      </w:r>
      <w:r w:rsidR="00EA7527" w:rsidRPr="00111CED">
        <w:rPr>
          <w:rFonts w:ascii="Palatino Linotype" w:hAnsi="Palatino Linotype" w:cstheme="minorHAnsi"/>
          <w:sz w:val="22"/>
          <w:szCs w:val="22"/>
        </w:rPr>
        <w:t xml:space="preserve"> yüzde puan oldu. </w:t>
      </w:r>
      <w:r w:rsidR="00E67DCD" w:rsidRPr="00111CED">
        <w:rPr>
          <w:rFonts w:ascii="Palatino Linotype" w:hAnsi="Palatino Linotype" w:cstheme="minorHAnsi"/>
          <w:sz w:val="22"/>
          <w:szCs w:val="22"/>
        </w:rPr>
        <w:t xml:space="preserve">İhracat yerinde saydığı için </w:t>
      </w:r>
      <w:r w:rsidR="00EA7527" w:rsidRPr="00111CED">
        <w:rPr>
          <w:rFonts w:ascii="Palatino Linotype" w:hAnsi="Palatino Linotype" w:cstheme="minorHAnsi"/>
          <w:sz w:val="22"/>
          <w:szCs w:val="22"/>
        </w:rPr>
        <w:t xml:space="preserve">net </w:t>
      </w:r>
      <w:r w:rsidR="00E67DCD" w:rsidRPr="00111CED">
        <w:rPr>
          <w:rFonts w:ascii="Palatino Linotype" w:hAnsi="Palatino Linotype" w:cstheme="minorHAnsi"/>
          <w:sz w:val="22"/>
          <w:szCs w:val="22"/>
        </w:rPr>
        <w:t xml:space="preserve">dış ticaretin </w:t>
      </w:r>
      <w:r w:rsidR="00830B62" w:rsidRPr="00111CED">
        <w:rPr>
          <w:rFonts w:ascii="Palatino Linotype" w:hAnsi="Palatino Linotype" w:cstheme="minorHAnsi"/>
          <w:sz w:val="22"/>
          <w:szCs w:val="22"/>
        </w:rPr>
        <w:t>büyümeye katkı</w:t>
      </w:r>
      <w:r w:rsidR="001A080D" w:rsidRPr="00111CED">
        <w:rPr>
          <w:rFonts w:ascii="Palatino Linotype" w:hAnsi="Palatino Linotype" w:cstheme="minorHAnsi"/>
          <w:sz w:val="22"/>
          <w:szCs w:val="22"/>
        </w:rPr>
        <w:t>sı</w:t>
      </w:r>
      <w:r w:rsidR="00830B62" w:rsidRPr="00111CED">
        <w:rPr>
          <w:rFonts w:ascii="Palatino Linotype" w:hAnsi="Palatino Linotype" w:cstheme="minorHAnsi"/>
          <w:sz w:val="22"/>
          <w:szCs w:val="22"/>
        </w:rPr>
        <w:t xml:space="preserve"> eksi </w:t>
      </w:r>
      <w:r w:rsidR="00E67DCD" w:rsidRPr="00111CED">
        <w:rPr>
          <w:rFonts w:ascii="Palatino Linotype" w:hAnsi="Palatino Linotype" w:cstheme="minorHAnsi"/>
          <w:sz w:val="22"/>
          <w:szCs w:val="22"/>
        </w:rPr>
        <w:t>4</w:t>
      </w:r>
      <w:r w:rsidR="00EA7527" w:rsidRPr="00111CED">
        <w:rPr>
          <w:rFonts w:ascii="Palatino Linotype" w:hAnsi="Palatino Linotype" w:cstheme="minorHAnsi"/>
          <w:sz w:val="22"/>
          <w:szCs w:val="22"/>
        </w:rPr>
        <w:t>,</w:t>
      </w:r>
      <w:r w:rsidR="00E67DCD" w:rsidRPr="00111CED">
        <w:rPr>
          <w:rFonts w:ascii="Palatino Linotype" w:hAnsi="Palatino Linotype" w:cstheme="minorHAnsi"/>
          <w:sz w:val="22"/>
          <w:szCs w:val="22"/>
        </w:rPr>
        <w:t>2</w:t>
      </w:r>
      <w:r w:rsidR="00830B62" w:rsidRPr="00111CED">
        <w:rPr>
          <w:rFonts w:ascii="Palatino Linotype" w:hAnsi="Palatino Linotype" w:cstheme="minorHAnsi"/>
          <w:sz w:val="22"/>
          <w:szCs w:val="22"/>
        </w:rPr>
        <w:t xml:space="preserve"> yüzde puan </w:t>
      </w:r>
      <w:r w:rsidR="00E67DCD" w:rsidRPr="00111CED">
        <w:rPr>
          <w:rFonts w:ascii="Palatino Linotype" w:hAnsi="Palatino Linotype" w:cstheme="minorHAnsi"/>
          <w:sz w:val="22"/>
          <w:szCs w:val="22"/>
        </w:rPr>
        <w:t xml:space="preserve">oldu. Stok değişiminin katkısı 1,7 yüzde puan ile görece yüksek seyretti. </w:t>
      </w:r>
    </w:p>
    <w:p w:rsidR="00CC79C0" w:rsidRPr="00111CED" w:rsidRDefault="004E0098" w:rsidP="00D27E94">
      <w:pPr>
        <w:spacing w:after="120" w:line="360" w:lineRule="auto"/>
        <w:ind w:left="567" w:right="567"/>
        <w:jc w:val="both"/>
        <w:rPr>
          <w:rFonts w:ascii="Palatino Linotype" w:hAnsi="Palatino Linotype" w:cstheme="minorHAnsi"/>
          <w:color w:val="FF0000"/>
          <w:sz w:val="22"/>
          <w:szCs w:val="22"/>
        </w:rPr>
      </w:pPr>
      <w:r w:rsidRPr="00111CED">
        <w:rPr>
          <w:rFonts w:ascii="Palatino Linotype" w:hAnsi="Palatino Linotype" w:cstheme="minorHAnsi"/>
          <w:sz w:val="22"/>
          <w:szCs w:val="22"/>
        </w:rPr>
        <w:t xml:space="preserve">Her ne kadar ilk çeyrekte GSYH büyümesi beklenenin üzerinde gerçekleştiyse de ikinci çeyreğin sonlarında yaşanan faiz artışları ve TL’deki </w:t>
      </w:r>
      <w:r w:rsidR="00295E9A" w:rsidRPr="00111CED">
        <w:rPr>
          <w:rFonts w:ascii="Palatino Linotype" w:hAnsi="Palatino Linotype" w:cstheme="minorHAnsi"/>
          <w:sz w:val="22"/>
          <w:szCs w:val="22"/>
        </w:rPr>
        <w:t xml:space="preserve">beklenmedik ve yüksek </w:t>
      </w:r>
      <w:r w:rsidRPr="00111CED">
        <w:rPr>
          <w:rFonts w:ascii="Palatino Linotype" w:hAnsi="Palatino Linotype" w:cstheme="minorHAnsi"/>
          <w:sz w:val="22"/>
          <w:szCs w:val="22"/>
        </w:rPr>
        <w:t xml:space="preserve">değer kayıplarının bir taraftan yatırımları frenlemesi diğer taraftan da belirsizlikleri ve enflasyon oranını artırması beklenmelidir. Bundan ötürü gelecek çeyreklerde daha düşük büyüme oranları görmek şaşırtıcı olmayacaktır. Buna rağmen, seçimden sonra olağanüstü bir durum olmadığı takdirde </w:t>
      </w:r>
      <w:r w:rsidR="00625B95" w:rsidRPr="00111CED">
        <w:rPr>
          <w:rFonts w:ascii="Palatino Linotype" w:hAnsi="Palatino Linotype" w:cstheme="minorHAnsi"/>
          <w:sz w:val="22"/>
          <w:szCs w:val="22"/>
        </w:rPr>
        <w:t xml:space="preserve">2018-2020 Orta Vadeli Programında </w:t>
      </w:r>
      <w:r w:rsidR="00036770" w:rsidRPr="00111CED">
        <w:rPr>
          <w:rFonts w:ascii="Palatino Linotype" w:hAnsi="Palatino Linotype" w:cstheme="minorHAnsi"/>
          <w:sz w:val="22"/>
          <w:szCs w:val="22"/>
        </w:rPr>
        <w:t xml:space="preserve">öngörülen </w:t>
      </w:r>
      <w:r w:rsidR="00625B95" w:rsidRPr="00111CED">
        <w:rPr>
          <w:rFonts w:ascii="Palatino Linotype" w:hAnsi="Palatino Linotype" w:cstheme="minorHAnsi"/>
          <w:sz w:val="22"/>
          <w:szCs w:val="22"/>
        </w:rPr>
        <w:t>yüzde 5,5’</w:t>
      </w:r>
      <w:r w:rsidR="00036770" w:rsidRPr="00111CED">
        <w:rPr>
          <w:rFonts w:ascii="Palatino Linotype" w:hAnsi="Palatino Linotype" w:cstheme="minorHAnsi"/>
          <w:sz w:val="22"/>
          <w:szCs w:val="22"/>
        </w:rPr>
        <w:t xml:space="preserve">in </w:t>
      </w:r>
      <w:r w:rsidRPr="00111CED">
        <w:rPr>
          <w:rFonts w:ascii="Palatino Linotype" w:hAnsi="Palatino Linotype" w:cstheme="minorHAnsi"/>
          <w:sz w:val="22"/>
          <w:szCs w:val="22"/>
        </w:rPr>
        <w:t xml:space="preserve">hala gerçekçi bir hedef olduğunu belirtmek gerekir. </w:t>
      </w:r>
    </w:p>
    <w:p w:rsidR="00D07713" w:rsidRPr="00111CED" w:rsidRDefault="00D07713">
      <w:pPr>
        <w:rPr>
          <w:rFonts w:ascii="Palatino Linotype" w:hAnsi="Palatino Linotype" w:cstheme="minorHAnsi"/>
          <w:sz w:val="22"/>
          <w:szCs w:val="22"/>
        </w:rPr>
      </w:pPr>
    </w:p>
    <w:p w:rsidR="00632221" w:rsidRPr="00111CED" w:rsidRDefault="00632221">
      <w:pPr>
        <w:rPr>
          <w:rFonts w:ascii="Palatino Linotype" w:hAnsi="Palatino Linotype" w:cstheme="minorHAnsi"/>
          <w:sz w:val="22"/>
          <w:szCs w:val="22"/>
        </w:rPr>
      </w:pPr>
    </w:p>
    <w:p w:rsidR="00E57043" w:rsidRPr="00111CED" w:rsidRDefault="00E57043" w:rsidP="00E85F3F">
      <w:pPr>
        <w:keepNext/>
        <w:ind w:right="77"/>
        <w:jc w:val="both"/>
        <w:rPr>
          <w:rFonts w:ascii="Palatino Linotype" w:hAnsi="Palatino Linotype" w:cstheme="minorHAnsi"/>
          <w:b/>
          <w:bCs/>
          <w:sz w:val="22"/>
          <w:szCs w:val="22"/>
        </w:rPr>
      </w:pPr>
      <w:r w:rsidRPr="00111CED">
        <w:rPr>
          <w:rFonts w:ascii="Palatino Linotype" w:hAnsi="Palatino Linotype" w:cstheme="minorHAnsi"/>
          <w:b/>
          <w:bCs/>
          <w:sz w:val="22"/>
          <w:szCs w:val="22"/>
        </w:rPr>
        <w:lastRenderedPageBreak/>
        <w:t>Şekil</w:t>
      </w:r>
      <w:r w:rsidR="00D53424" w:rsidRPr="00111CED">
        <w:rPr>
          <w:rFonts w:ascii="Palatino Linotype" w:hAnsi="Palatino Linotype" w:cstheme="minorHAnsi"/>
          <w:b/>
          <w:bCs/>
          <w:sz w:val="22"/>
          <w:szCs w:val="22"/>
        </w:rPr>
        <w:t xml:space="preserve"> 1: GSYH alt kalemlerinin 201</w:t>
      </w:r>
      <w:r w:rsidR="0025111C" w:rsidRPr="00111CED">
        <w:rPr>
          <w:rFonts w:ascii="Palatino Linotype" w:hAnsi="Palatino Linotype" w:cstheme="minorHAnsi"/>
          <w:b/>
          <w:bCs/>
          <w:sz w:val="22"/>
          <w:szCs w:val="22"/>
        </w:rPr>
        <w:t>8</w:t>
      </w:r>
      <w:r w:rsidR="00D53424" w:rsidRPr="00111CED">
        <w:rPr>
          <w:rFonts w:ascii="Palatino Linotype" w:hAnsi="Palatino Linotype" w:cstheme="minorHAnsi"/>
          <w:b/>
          <w:bCs/>
          <w:sz w:val="22"/>
          <w:szCs w:val="22"/>
        </w:rPr>
        <w:t xml:space="preserve"> </w:t>
      </w:r>
      <w:r w:rsidR="0025111C" w:rsidRPr="00111CED">
        <w:rPr>
          <w:rFonts w:ascii="Palatino Linotype" w:hAnsi="Palatino Linotype" w:cstheme="minorHAnsi"/>
          <w:b/>
          <w:bCs/>
          <w:sz w:val="22"/>
          <w:szCs w:val="22"/>
        </w:rPr>
        <w:t>1</w:t>
      </w:r>
      <w:r w:rsidRPr="00111CED">
        <w:rPr>
          <w:rFonts w:ascii="Palatino Linotype" w:hAnsi="Palatino Linotype" w:cstheme="minorHAnsi"/>
          <w:b/>
          <w:bCs/>
          <w:sz w:val="22"/>
          <w:szCs w:val="22"/>
        </w:rPr>
        <w:t xml:space="preserve">. çeyrekte bir önceki yılın aynı çeyreğine göre </w:t>
      </w:r>
      <w:r w:rsidR="001A42FF" w:rsidRPr="00111CED">
        <w:rPr>
          <w:rFonts w:ascii="Palatino Linotype" w:hAnsi="Palatino Linotype" w:cstheme="minorHAnsi"/>
          <w:b/>
          <w:bCs/>
          <w:sz w:val="22"/>
          <w:szCs w:val="22"/>
        </w:rPr>
        <w:t xml:space="preserve">büyümeye katkıları (sol şekil) ve </w:t>
      </w:r>
      <w:r w:rsidRPr="00111CED">
        <w:rPr>
          <w:rFonts w:ascii="Palatino Linotype" w:hAnsi="Palatino Linotype" w:cstheme="minorHAnsi"/>
          <w:b/>
          <w:bCs/>
          <w:sz w:val="22"/>
          <w:szCs w:val="22"/>
        </w:rPr>
        <w:t xml:space="preserve">büyüme oranları </w:t>
      </w:r>
      <w:r w:rsidR="006C3EE6" w:rsidRPr="00111CED">
        <w:rPr>
          <w:rFonts w:ascii="Palatino Linotype" w:hAnsi="Palatino Linotype" w:cstheme="minorHAnsi"/>
          <w:b/>
          <w:bCs/>
          <w:sz w:val="22"/>
          <w:szCs w:val="22"/>
        </w:rPr>
        <w:t>(s</w:t>
      </w:r>
      <w:r w:rsidR="00D4574F" w:rsidRPr="00111CED">
        <w:rPr>
          <w:rFonts w:ascii="Palatino Linotype" w:hAnsi="Palatino Linotype" w:cstheme="minorHAnsi"/>
          <w:b/>
          <w:bCs/>
          <w:sz w:val="22"/>
          <w:szCs w:val="22"/>
        </w:rPr>
        <w:t>ağ</w:t>
      </w:r>
      <w:r w:rsidR="001A080D" w:rsidRPr="00111CED">
        <w:rPr>
          <w:rFonts w:ascii="Palatino Linotype" w:hAnsi="Palatino Linotype" w:cstheme="minorHAnsi"/>
          <w:b/>
          <w:bCs/>
          <w:sz w:val="22"/>
          <w:szCs w:val="22"/>
        </w:rPr>
        <w:t xml:space="preserve"> </w:t>
      </w:r>
      <w:r w:rsidR="00CB3462" w:rsidRPr="00111CED">
        <w:rPr>
          <w:rFonts w:ascii="Palatino Linotype" w:hAnsi="Palatino Linotype" w:cstheme="minorHAnsi"/>
          <w:b/>
          <w:bCs/>
          <w:sz w:val="22"/>
          <w:szCs w:val="22"/>
        </w:rPr>
        <w:t>şekil</w:t>
      </w:r>
      <w:r w:rsidR="006C3EE6" w:rsidRPr="00111CED">
        <w:rPr>
          <w:rFonts w:ascii="Palatino Linotype" w:hAnsi="Palatino Linotype" w:cstheme="minorHAnsi"/>
          <w:b/>
          <w:bCs/>
          <w:sz w:val="22"/>
          <w:szCs w:val="22"/>
        </w:rPr>
        <w:t xml:space="preserve">) </w:t>
      </w:r>
    </w:p>
    <w:p w:rsidR="00D07713" w:rsidRPr="00111CED" w:rsidRDefault="00D07713" w:rsidP="00E85F3F">
      <w:pPr>
        <w:keepNext/>
        <w:rPr>
          <w:rFonts w:ascii="Palatino Linotype" w:hAnsi="Palatino Linotype" w:cstheme="minorHAnsi"/>
        </w:rPr>
      </w:pPr>
    </w:p>
    <w:p w:rsidR="00D07713" w:rsidRPr="00111CED" w:rsidRDefault="0025111C" w:rsidP="001C2C68">
      <w:pPr>
        <w:keepNext/>
        <w:ind w:left="-567" w:right="-567"/>
        <w:rPr>
          <w:rFonts w:ascii="Palatino Linotype" w:hAnsi="Palatino Linotype" w:cstheme="minorHAnsi"/>
        </w:rPr>
      </w:pPr>
      <w:r w:rsidRPr="00111CED">
        <w:rPr>
          <w:noProof/>
        </w:rPr>
        <w:drawing>
          <wp:inline distT="0" distB="0" distL="0" distR="0" wp14:anchorId="08C9F83C" wp14:editId="32F34ABC">
            <wp:extent cx="3016250" cy="2127250"/>
            <wp:effectExtent l="0" t="0" r="0" b="0"/>
            <wp:docPr id="3" name="Grafik 3">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111CED">
        <w:rPr>
          <w:noProof/>
        </w:rPr>
        <w:drawing>
          <wp:inline distT="0" distB="0" distL="0" distR="0" wp14:anchorId="7185F62E" wp14:editId="75FA14C0">
            <wp:extent cx="3035300" cy="2120900"/>
            <wp:effectExtent l="0" t="0" r="0" b="0"/>
            <wp:docPr id="5" name="Grafik 5">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2C68" w:rsidRPr="00111CED" w:rsidRDefault="001C2C68" w:rsidP="001C2C68">
      <w:pPr>
        <w:keepNext/>
        <w:rPr>
          <w:rFonts w:ascii="Palatino Linotype" w:hAnsi="Palatino Linotype" w:cstheme="minorHAnsi"/>
        </w:rPr>
      </w:pPr>
    </w:p>
    <w:p w:rsidR="001C2C68" w:rsidRPr="00111CED" w:rsidRDefault="004931A5" w:rsidP="001C2C68">
      <w:pPr>
        <w:keepNext/>
        <w:rPr>
          <w:rFonts w:ascii="Palatino Linotype" w:hAnsi="Palatino Linotype" w:cstheme="minorHAnsi"/>
        </w:rPr>
      </w:pPr>
      <w:r w:rsidRPr="00111CED">
        <w:rPr>
          <w:rFonts w:ascii="Palatino Linotype" w:hAnsi="Palatino Linotype" w:cstheme="minorHAnsi"/>
          <w:sz w:val="18"/>
          <w:szCs w:val="18"/>
        </w:rPr>
        <w:t>Kaynak: TÜİK, Betam</w:t>
      </w:r>
      <w:r w:rsidRPr="00111CED">
        <w:rPr>
          <w:rFonts w:ascii="Palatino Linotype" w:hAnsi="Palatino Linotype" w:cstheme="minorHAnsi"/>
          <w:sz w:val="16"/>
          <w:szCs w:val="16"/>
        </w:rPr>
        <w:t xml:space="preserve">. </w:t>
      </w:r>
    </w:p>
    <w:p w:rsidR="00D07713" w:rsidRPr="00111CED" w:rsidRDefault="00D07713">
      <w:pPr>
        <w:rPr>
          <w:rFonts w:ascii="Palatino Linotype" w:hAnsi="Palatino Linotype" w:cstheme="minorHAnsi"/>
        </w:rPr>
      </w:pPr>
    </w:p>
    <w:p w:rsidR="006C3EE6" w:rsidRPr="00111CED" w:rsidRDefault="00C11B5A" w:rsidP="006C3EE6">
      <w:pPr>
        <w:pStyle w:val="NormalWeb"/>
        <w:spacing w:before="0" w:beforeAutospacing="0" w:after="0" w:afterAutospacing="0" w:line="360" w:lineRule="auto"/>
        <w:ind w:right="77"/>
        <w:rPr>
          <w:rFonts w:ascii="Palatino Linotype" w:hAnsi="Palatino Linotype" w:cstheme="minorHAnsi"/>
          <w:b/>
          <w:bCs/>
          <w:sz w:val="22"/>
          <w:szCs w:val="22"/>
        </w:rPr>
      </w:pPr>
      <w:r w:rsidRPr="00111CED">
        <w:rPr>
          <w:rFonts w:ascii="Palatino Linotype" w:hAnsi="Palatino Linotype" w:cstheme="minorHAnsi"/>
          <w:b/>
          <w:bCs/>
          <w:sz w:val="22"/>
          <w:szCs w:val="22"/>
        </w:rPr>
        <w:t>Özel t</w:t>
      </w:r>
      <w:r w:rsidR="0058588C" w:rsidRPr="00111CED">
        <w:rPr>
          <w:rFonts w:ascii="Palatino Linotype" w:hAnsi="Palatino Linotype" w:cstheme="minorHAnsi"/>
          <w:b/>
          <w:bCs/>
          <w:sz w:val="22"/>
          <w:szCs w:val="22"/>
        </w:rPr>
        <w:t xml:space="preserve">üketimde </w:t>
      </w:r>
      <w:r w:rsidR="009B2E56" w:rsidRPr="00111CED">
        <w:rPr>
          <w:rFonts w:ascii="Palatino Linotype" w:hAnsi="Palatino Linotype" w:cstheme="minorHAnsi"/>
          <w:b/>
          <w:bCs/>
          <w:sz w:val="22"/>
          <w:szCs w:val="22"/>
        </w:rPr>
        <w:t>yüksek</w:t>
      </w:r>
      <w:r w:rsidR="0058588C" w:rsidRPr="00111CED">
        <w:rPr>
          <w:rFonts w:ascii="Palatino Linotype" w:hAnsi="Palatino Linotype" w:cstheme="minorHAnsi"/>
          <w:b/>
          <w:bCs/>
          <w:sz w:val="22"/>
          <w:szCs w:val="22"/>
        </w:rPr>
        <w:t xml:space="preserve"> artış</w:t>
      </w:r>
    </w:p>
    <w:p w:rsidR="006C3EE6" w:rsidRPr="00111CED" w:rsidRDefault="00A310EA" w:rsidP="006C3EE6">
      <w:pPr>
        <w:pStyle w:val="NormalWeb"/>
        <w:spacing w:before="0" w:beforeAutospacing="0" w:after="0" w:afterAutospacing="0" w:line="360" w:lineRule="auto"/>
        <w:ind w:right="77"/>
        <w:jc w:val="both"/>
        <w:rPr>
          <w:rFonts w:ascii="Palatino Linotype" w:hAnsi="Palatino Linotype" w:cstheme="minorHAnsi"/>
          <w:sz w:val="22"/>
          <w:szCs w:val="22"/>
        </w:rPr>
      </w:pPr>
      <w:r w:rsidRPr="00111CED">
        <w:rPr>
          <w:rFonts w:ascii="Palatino Linotype" w:hAnsi="Palatino Linotype" w:cstheme="minorHAnsi"/>
          <w:sz w:val="22"/>
          <w:szCs w:val="22"/>
        </w:rPr>
        <w:t xml:space="preserve">Geçen yılın aynı çeyreğine göre </w:t>
      </w:r>
      <w:r w:rsidR="00DB5518" w:rsidRPr="00111CED">
        <w:rPr>
          <w:rFonts w:ascii="Palatino Linotype" w:hAnsi="Palatino Linotype" w:cstheme="minorHAnsi"/>
          <w:sz w:val="22"/>
          <w:szCs w:val="22"/>
        </w:rPr>
        <w:t>dördüncü</w:t>
      </w:r>
      <w:r w:rsidRPr="00111CED">
        <w:rPr>
          <w:rFonts w:ascii="Palatino Linotype" w:hAnsi="Palatino Linotype" w:cstheme="minorHAnsi"/>
          <w:sz w:val="22"/>
          <w:szCs w:val="22"/>
        </w:rPr>
        <w:t xml:space="preserve"> çeyrekte yüzde </w:t>
      </w:r>
      <w:r w:rsidR="00DB5518" w:rsidRPr="00111CED">
        <w:rPr>
          <w:rFonts w:ascii="Palatino Linotype" w:hAnsi="Palatino Linotype" w:cstheme="minorHAnsi"/>
          <w:sz w:val="22"/>
          <w:szCs w:val="22"/>
        </w:rPr>
        <w:t>6</w:t>
      </w:r>
      <w:r w:rsidRPr="00111CED">
        <w:rPr>
          <w:rFonts w:ascii="Palatino Linotype" w:hAnsi="Palatino Linotype" w:cstheme="minorHAnsi"/>
          <w:sz w:val="22"/>
          <w:szCs w:val="22"/>
        </w:rPr>
        <w:t>,</w:t>
      </w:r>
      <w:r w:rsidR="00DB5518" w:rsidRPr="00111CED">
        <w:rPr>
          <w:rFonts w:ascii="Palatino Linotype" w:hAnsi="Palatino Linotype" w:cstheme="minorHAnsi"/>
          <w:sz w:val="22"/>
          <w:szCs w:val="22"/>
        </w:rPr>
        <w:t>6</w:t>
      </w:r>
      <w:r w:rsidRPr="00111CED">
        <w:rPr>
          <w:rFonts w:ascii="Palatino Linotype" w:hAnsi="Palatino Linotype" w:cstheme="minorHAnsi"/>
          <w:sz w:val="22"/>
          <w:szCs w:val="22"/>
        </w:rPr>
        <w:t xml:space="preserve"> büyüyen özel tüketim </w:t>
      </w:r>
      <w:r w:rsidR="00080211" w:rsidRPr="00111CED">
        <w:rPr>
          <w:rFonts w:ascii="Palatino Linotype" w:hAnsi="Palatino Linotype" w:cstheme="minorHAnsi"/>
          <w:sz w:val="22"/>
          <w:szCs w:val="22"/>
        </w:rPr>
        <w:t>dördüncü</w:t>
      </w:r>
      <w:r w:rsidRPr="00111CED">
        <w:rPr>
          <w:rFonts w:ascii="Palatino Linotype" w:hAnsi="Palatino Linotype" w:cstheme="minorHAnsi"/>
          <w:sz w:val="22"/>
          <w:szCs w:val="22"/>
        </w:rPr>
        <w:t xml:space="preserve"> çeyrekte yüzde </w:t>
      </w:r>
      <w:r w:rsidR="00DB5518" w:rsidRPr="00111CED">
        <w:rPr>
          <w:rFonts w:ascii="Palatino Linotype" w:hAnsi="Palatino Linotype" w:cstheme="minorHAnsi"/>
          <w:sz w:val="22"/>
          <w:szCs w:val="22"/>
        </w:rPr>
        <w:t>11</w:t>
      </w:r>
      <w:r w:rsidRPr="00111CED">
        <w:rPr>
          <w:rFonts w:ascii="Palatino Linotype" w:hAnsi="Palatino Linotype" w:cstheme="minorHAnsi"/>
          <w:sz w:val="22"/>
          <w:szCs w:val="22"/>
        </w:rPr>
        <w:t xml:space="preserve"> büyüdü</w:t>
      </w:r>
      <w:r w:rsidR="007F3C9B" w:rsidRPr="00111CED">
        <w:rPr>
          <w:rFonts w:ascii="Palatino Linotype" w:hAnsi="Palatino Linotype" w:cstheme="minorHAnsi"/>
          <w:sz w:val="22"/>
          <w:szCs w:val="22"/>
        </w:rPr>
        <w:t xml:space="preserve">. </w:t>
      </w:r>
      <w:r w:rsidR="00080211" w:rsidRPr="00111CED">
        <w:rPr>
          <w:rFonts w:ascii="Palatino Linotype" w:hAnsi="Palatino Linotype" w:cstheme="minorHAnsi"/>
          <w:sz w:val="22"/>
          <w:szCs w:val="22"/>
        </w:rPr>
        <w:t xml:space="preserve">Büyümeye yaptığı katkı yüzde </w:t>
      </w:r>
      <w:r w:rsidR="00DB5518" w:rsidRPr="00111CED">
        <w:rPr>
          <w:rFonts w:ascii="Palatino Linotype" w:hAnsi="Palatino Linotype" w:cstheme="minorHAnsi"/>
          <w:sz w:val="22"/>
          <w:szCs w:val="22"/>
        </w:rPr>
        <w:t>4</w:t>
      </w:r>
      <w:r w:rsidR="00080211" w:rsidRPr="00111CED">
        <w:rPr>
          <w:rFonts w:ascii="Palatino Linotype" w:hAnsi="Palatino Linotype" w:cstheme="minorHAnsi"/>
          <w:sz w:val="22"/>
          <w:szCs w:val="22"/>
        </w:rPr>
        <w:t xml:space="preserve">’ten yüzde </w:t>
      </w:r>
      <w:r w:rsidR="00DB5518" w:rsidRPr="00111CED">
        <w:rPr>
          <w:rFonts w:ascii="Palatino Linotype" w:hAnsi="Palatino Linotype" w:cstheme="minorHAnsi"/>
          <w:sz w:val="22"/>
          <w:szCs w:val="22"/>
        </w:rPr>
        <w:t>6,6</w:t>
      </w:r>
      <w:r w:rsidR="00080211" w:rsidRPr="00111CED">
        <w:rPr>
          <w:rFonts w:ascii="Palatino Linotype" w:hAnsi="Palatino Linotype" w:cstheme="minorHAnsi"/>
          <w:sz w:val="22"/>
          <w:szCs w:val="22"/>
        </w:rPr>
        <w:t>’</w:t>
      </w:r>
      <w:r w:rsidR="00DB5518" w:rsidRPr="00111CED">
        <w:rPr>
          <w:rFonts w:ascii="Palatino Linotype" w:hAnsi="Palatino Linotype" w:cstheme="minorHAnsi"/>
          <w:sz w:val="22"/>
          <w:szCs w:val="22"/>
        </w:rPr>
        <w:t>ya çıkan</w:t>
      </w:r>
      <w:r w:rsidR="00080211" w:rsidRPr="00111CED">
        <w:rPr>
          <w:rFonts w:ascii="Palatino Linotype" w:hAnsi="Palatino Linotype" w:cstheme="minorHAnsi"/>
          <w:sz w:val="22"/>
          <w:szCs w:val="22"/>
        </w:rPr>
        <w:t xml:space="preserve"> özel tüketim </w:t>
      </w:r>
      <w:r w:rsidR="00DB5518" w:rsidRPr="00111CED">
        <w:rPr>
          <w:rFonts w:ascii="Palatino Linotype" w:hAnsi="Palatino Linotype" w:cstheme="minorHAnsi"/>
          <w:sz w:val="22"/>
          <w:szCs w:val="22"/>
        </w:rPr>
        <w:t xml:space="preserve">2018 yılının ilk çeyreğinde de </w:t>
      </w:r>
      <w:r w:rsidR="00080211" w:rsidRPr="00111CED">
        <w:rPr>
          <w:rFonts w:ascii="Palatino Linotype" w:hAnsi="Palatino Linotype" w:cstheme="minorHAnsi"/>
          <w:sz w:val="22"/>
          <w:szCs w:val="22"/>
        </w:rPr>
        <w:t>büyüme</w:t>
      </w:r>
      <w:r w:rsidR="00DB5518" w:rsidRPr="00111CED">
        <w:rPr>
          <w:rFonts w:ascii="Palatino Linotype" w:hAnsi="Palatino Linotype" w:cstheme="minorHAnsi"/>
          <w:sz w:val="22"/>
          <w:szCs w:val="22"/>
        </w:rPr>
        <w:t>ye en fazla katkı yapan kalem oldu</w:t>
      </w:r>
      <w:r w:rsidR="00080211" w:rsidRPr="00111CED">
        <w:rPr>
          <w:rFonts w:ascii="Palatino Linotype" w:hAnsi="Palatino Linotype" w:cstheme="minorHAnsi"/>
          <w:sz w:val="22"/>
          <w:szCs w:val="22"/>
        </w:rPr>
        <w:t xml:space="preserve"> </w:t>
      </w:r>
      <w:r w:rsidR="00A6165E" w:rsidRPr="00111CED">
        <w:rPr>
          <w:rFonts w:ascii="Palatino Linotype" w:hAnsi="Palatino Linotype" w:cstheme="minorHAnsi"/>
          <w:sz w:val="22"/>
          <w:szCs w:val="22"/>
        </w:rPr>
        <w:t>(</w:t>
      </w:r>
      <w:r w:rsidR="006C3EE6" w:rsidRPr="00111CED">
        <w:rPr>
          <w:rFonts w:ascii="Palatino Linotype" w:hAnsi="Palatino Linotype" w:cstheme="minorHAnsi"/>
          <w:sz w:val="22"/>
          <w:szCs w:val="22"/>
        </w:rPr>
        <w:t xml:space="preserve">Tablo 1). </w:t>
      </w:r>
      <w:r w:rsidR="00080211" w:rsidRPr="00111CED">
        <w:rPr>
          <w:rFonts w:ascii="Palatino Linotype" w:hAnsi="Palatino Linotype" w:cstheme="minorHAnsi"/>
          <w:sz w:val="22"/>
          <w:szCs w:val="22"/>
        </w:rPr>
        <w:t>M</w:t>
      </w:r>
      <w:r w:rsidR="004931A5" w:rsidRPr="00111CED">
        <w:rPr>
          <w:rFonts w:ascii="Palatino Linotype" w:hAnsi="Palatino Linotype" w:cstheme="minorHAnsi"/>
          <w:sz w:val="22"/>
          <w:szCs w:val="22"/>
        </w:rPr>
        <w:t xml:space="preserve">evsim ve takvim etkilerinden arındırılmış rakamlara baktığımızda </w:t>
      </w:r>
      <w:r w:rsidR="00080211" w:rsidRPr="00111CED">
        <w:rPr>
          <w:rFonts w:ascii="Palatino Linotype" w:hAnsi="Palatino Linotype" w:cstheme="minorHAnsi"/>
          <w:sz w:val="22"/>
          <w:szCs w:val="22"/>
        </w:rPr>
        <w:t>özel tüketim</w:t>
      </w:r>
      <w:r w:rsidR="00C86475" w:rsidRPr="00111CED">
        <w:rPr>
          <w:rFonts w:ascii="Palatino Linotype" w:hAnsi="Palatino Linotype" w:cstheme="minorHAnsi"/>
          <w:sz w:val="22"/>
          <w:szCs w:val="22"/>
        </w:rPr>
        <w:t xml:space="preserve"> </w:t>
      </w:r>
      <w:r w:rsidR="00EA7527" w:rsidRPr="00111CED">
        <w:rPr>
          <w:rFonts w:ascii="Palatino Linotype" w:hAnsi="Palatino Linotype" w:cstheme="minorHAnsi"/>
          <w:sz w:val="22"/>
          <w:szCs w:val="22"/>
        </w:rPr>
        <w:t xml:space="preserve">artışının </w:t>
      </w:r>
      <w:r w:rsidR="00DB5518" w:rsidRPr="00111CED">
        <w:rPr>
          <w:rFonts w:ascii="Palatino Linotype" w:hAnsi="Palatino Linotype" w:cstheme="minorHAnsi"/>
          <w:sz w:val="22"/>
          <w:szCs w:val="22"/>
        </w:rPr>
        <w:t>ilk</w:t>
      </w:r>
      <w:r w:rsidR="00EA7527" w:rsidRPr="00111CED">
        <w:rPr>
          <w:rFonts w:ascii="Palatino Linotype" w:hAnsi="Palatino Linotype" w:cstheme="minorHAnsi"/>
          <w:sz w:val="22"/>
          <w:szCs w:val="22"/>
        </w:rPr>
        <w:t xml:space="preserve"> çeyrekte </w:t>
      </w:r>
      <w:r w:rsidR="00DB5518" w:rsidRPr="00111CED">
        <w:rPr>
          <w:rFonts w:ascii="Palatino Linotype" w:hAnsi="Palatino Linotype" w:cstheme="minorHAnsi"/>
          <w:sz w:val="22"/>
          <w:szCs w:val="22"/>
        </w:rPr>
        <w:t>artışını sürdürdüğünü</w:t>
      </w:r>
      <w:r w:rsidR="00EA7527" w:rsidRPr="00111CED">
        <w:rPr>
          <w:rFonts w:ascii="Palatino Linotype" w:hAnsi="Palatino Linotype" w:cstheme="minorHAnsi"/>
          <w:sz w:val="22"/>
          <w:szCs w:val="22"/>
        </w:rPr>
        <w:t xml:space="preserve"> (yüzde </w:t>
      </w:r>
      <w:r w:rsidR="00DB5518" w:rsidRPr="00111CED">
        <w:rPr>
          <w:rFonts w:ascii="Palatino Linotype" w:hAnsi="Palatino Linotype" w:cstheme="minorHAnsi"/>
          <w:sz w:val="22"/>
          <w:szCs w:val="22"/>
        </w:rPr>
        <w:t>2</w:t>
      </w:r>
      <w:r w:rsidR="00EA7527" w:rsidRPr="00111CED">
        <w:rPr>
          <w:rFonts w:ascii="Palatino Linotype" w:hAnsi="Palatino Linotype" w:cstheme="minorHAnsi"/>
          <w:sz w:val="22"/>
          <w:szCs w:val="22"/>
        </w:rPr>
        <w:t>,</w:t>
      </w:r>
      <w:r w:rsidR="00DB5518" w:rsidRPr="00111CED">
        <w:rPr>
          <w:rFonts w:ascii="Palatino Linotype" w:hAnsi="Palatino Linotype" w:cstheme="minorHAnsi"/>
          <w:sz w:val="22"/>
          <w:szCs w:val="22"/>
        </w:rPr>
        <w:t>9</w:t>
      </w:r>
      <w:r w:rsidR="00EA7527" w:rsidRPr="00111CED">
        <w:rPr>
          <w:rFonts w:ascii="Palatino Linotype" w:hAnsi="Palatino Linotype" w:cstheme="minorHAnsi"/>
          <w:sz w:val="22"/>
          <w:szCs w:val="22"/>
        </w:rPr>
        <w:t>’d</w:t>
      </w:r>
      <w:r w:rsidR="00DB5518" w:rsidRPr="00111CED">
        <w:rPr>
          <w:rFonts w:ascii="Palatino Linotype" w:hAnsi="Palatino Linotype" w:cstheme="minorHAnsi"/>
          <w:sz w:val="22"/>
          <w:szCs w:val="22"/>
        </w:rPr>
        <w:t>a</w:t>
      </w:r>
      <w:r w:rsidR="00EA7527" w:rsidRPr="00111CED">
        <w:rPr>
          <w:rFonts w:ascii="Palatino Linotype" w:hAnsi="Palatino Linotype" w:cstheme="minorHAnsi"/>
          <w:sz w:val="22"/>
          <w:szCs w:val="22"/>
        </w:rPr>
        <w:t xml:space="preserve">n </w:t>
      </w:r>
      <w:r w:rsidR="00DB5518" w:rsidRPr="00111CED">
        <w:rPr>
          <w:rFonts w:ascii="Palatino Linotype" w:hAnsi="Palatino Linotype" w:cstheme="minorHAnsi"/>
          <w:sz w:val="22"/>
          <w:szCs w:val="22"/>
        </w:rPr>
        <w:t>4</w:t>
      </w:r>
      <w:r w:rsidR="00EA7527" w:rsidRPr="00111CED">
        <w:rPr>
          <w:rFonts w:ascii="Palatino Linotype" w:hAnsi="Palatino Linotype" w:cstheme="minorHAnsi"/>
          <w:sz w:val="22"/>
          <w:szCs w:val="22"/>
        </w:rPr>
        <w:t>,</w:t>
      </w:r>
      <w:r w:rsidR="00DB5518" w:rsidRPr="00111CED">
        <w:rPr>
          <w:rFonts w:ascii="Palatino Linotype" w:hAnsi="Palatino Linotype" w:cstheme="minorHAnsi"/>
          <w:sz w:val="22"/>
          <w:szCs w:val="22"/>
        </w:rPr>
        <w:t>2</w:t>
      </w:r>
      <w:r w:rsidR="00EA7527" w:rsidRPr="00111CED">
        <w:rPr>
          <w:rFonts w:ascii="Palatino Linotype" w:hAnsi="Palatino Linotype" w:cstheme="minorHAnsi"/>
          <w:sz w:val="22"/>
          <w:szCs w:val="22"/>
        </w:rPr>
        <w:t>’ye</w:t>
      </w:r>
      <w:r w:rsidR="00EA7527" w:rsidRPr="00111CED">
        <w:rPr>
          <w:rFonts w:ascii="Palatino Linotype" w:hAnsi="Palatino Linotype" w:cstheme="minorHAnsi"/>
          <w:b/>
          <w:sz w:val="22"/>
          <w:szCs w:val="22"/>
        </w:rPr>
        <w:t>)</w:t>
      </w:r>
      <w:r w:rsidR="00EA7527" w:rsidRPr="00111CED">
        <w:rPr>
          <w:rFonts w:ascii="Palatino Linotype" w:hAnsi="Palatino Linotype" w:cstheme="minorHAnsi"/>
          <w:sz w:val="22"/>
          <w:szCs w:val="22"/>
        </w:rPr>
        <w:t xml:space="preserve"> ve büyümeye katk</w:t>
      </w:r>
      <w:r w:rsidR="001A080D" w:rsidRPr="00111CED">
        <w:rPr>
          <w:rFonts w:ascii="Palatino Linotype" w:hAnsi="Palatino Linotype" w:cstheme="minorHAnsi"/>
          <w:sz w:val="22"/>
          <w:szCs w:val="22"/>
        </w:rPr>
        <w:t>ı</w:t>
      </w:r>
      <w:r w:rsidR="00EA7527" w:rsidRPr="00111CED">
        <w:rPr>
          <w:rFonts w:ascii="Palatino Linotype" w:hAnsi="Palatino Linotype" w:cstheme="minorHAnsi"/>
          <w:sz w:val="22"/>
          <w:szCs w:val="22"/>
        </w:rPr>
        <w:t>sının</w:t>
      </w:r>
      <w:r w:rsidR="00080211" w:rsidRPr="00111CED">
        <w:rPr>
          <w:rFonts w:ascii="Palatino Linotype" w:hAnsi="Palatino Linotype" w:cstheme="minorHAnsi"/>
          <w:sz w:val="22"/>
          <w:szCs w:val="22"/>
        </w:rPr>
        <w:t xml:space="preserve"> arttığını görüyoruz </w:t>
      </w:r>
      <w:r w:rsidR="004931A5" w:rsidRPr="00111CED">
        <w:rPr>
          <w:rFonts w:ascii="Palatino Linotype" w:hAnsi="Palatino Linotype" w:cstheme="minorHAnsi"/>
          <w:sz w:val="22"/>
          <w:szCs w:val="22"/>
        </w:rPr>
        <w:t xml:space="preserve">(Tablo 2). </w:t>
      </w:r>
    </w:p>
    <w:p w:rsidR="003D44CE" w:rsidRPr="00111CED" w:rsidRDefault="006C3EE6" w:rsidP="006C3EE6">
      <w:pPr>
        <w:keepNext/>
        <w:ind w:right="77"/>
        <w:jc w:val="both"/>
        <w:rPr>
          <w:rFonts w:ascii="Palatino Linotype" w:hAnsi="Palatino Linotype" w:cstheme="minorHAnsi"/>
          <w:b/>
          <w:bCs/>
          <w:sz w:val="22"/>
          <w:szCs w:val="22"/>
        </w:rPr>
      </w:pPr>
      <w:r w:rsidRPr="00111CED">
        <w:rPr>
          <w:rFonts w:ascii="Palatino Linotype" w:hAnsi="Palatino Linotype" w:cstheme="minorHAnsi"/>
          <w:b/>
          <w:bCs/>
          <w:sz w:val="22"/>
          <w:szCs w:val="22"/>
        </w:rPr>
        <w:t xml:space="preserve">Tablo 1: </w:t>
      </w:r>
      <w:r w:rsidR="00D53424" w:rsidRPr="00111CED">
        <w:rPr>
          <w:rFonts w:ascii="Palatino Linotype" w:hAnsi="Palatino Linotype" w:cstheme="minorHAnsi"/>
          <w:b/>
          <w:bCs/>
          <w:sz w:val="22"/>
          <w:szCs w:val="22"/>
        </w:rPr>
        <w:t xml:space="preserve">GSYH alt kalemlerinin 2017 </w:t>
      </w:r>
      <w:r w:rsidR="0025111C" w:rsidRPr="00111CED">
        <w:rPr>
          <w:rFonts w:ascii="Palatino Linotype" w:hAnsi="Palatino Linotype" w:cstheme="minorHAnsi"/>
          <w:b/>
          <w:bCs/>
          <w:sz w:val="22"/>
          <w:szCs w:val="22"/>
        </w:rPr>
        <w:t>4</w:t>
      </w:r>
      <w:r w:rsidRPr="00111CED">
        <w:rPr>
          <w:rFonts w:ascii="Palatino Linotype" w:hAnsi="Palatino Linotype" w:cstheme="minorHAnsi"/>
          <w:b/>
          <w:bCs/>
          <w:sz w:val="22"/>
          <w:szCs w:val="22"/>
        </w:rPr>
        <w:t xml:space="preserve">. </w:t>
      </w:r>
      <w:r w:rsidR="00CF5053" w:rsidRPr="00111CED">
        <w:rPr>
          <w:rFonts w:ascii="Palatino Linotype" w:hAnsi="Palatino Linotype" w:cstheme="minorHAnsi"/>
          <w:b/>
          <w:bCs/>
          <w:sz w:val="22"/>
          <w:szCs w:val="22"/>
        </w:rPr>
        <w:t>v</w:t>
      </w:r>
      <w:r w:rsidRPr="00111CED">
        <w:rPr>
          <w:rFonts w:ascii="Palatino Linotype" w:hAnsi="Palatino Linotype" w:cstheme="minorHAnsi"/>
          <w:b/>
          <w:bCs/>
          <w:sz w:val="22"/>
          <w:szCs w:val="22"/>
        </w:rPr>
        <w:t xml:space="preserve">e </w:t>
      </w:r>
      <w:r w:rsidR="0025111C" w:rsidRPr="00111CED">
        <w:rPr>
          <w:rFonts w:ascii="Palatino Linotype" w:hAnsi="Palatino Linotype" w:cstheme="minorHAnsi"/>
          <w:b/>
          <w:bCs/>
          <w:sz w:val="22"/>
          <w:szCs w:val="22"/>
        </w:rPr>
        <w:t>2018 1</w:t>
      </w:r>
      <w:r w:rsidRPr="00111CED">
        <w:rPr>
          <w:rFonts w:ascii="Palatino Linotype" w:hAnsi="Palatino Linotype" w:cstheme="minorHAnsi"/>
          <w:b/>
          <w:bCs/>
          <w:sz w:val="22"/>
          <w:szCs w:val="22"/>
        </w:rPr>
        <w:t>. çeyrekte bir önceki yılın aynı çeyreğine göre büyüme oranları ve büyümeye katkıları</w:t>
      </w:r>
    </w:p>
    <w:p w:rsidR="00EA7527" w:rsidRPr="00111CED" w:rsidRDefault="00EA7527" w:rsidP="006C3EE6">
      <w:pPr>
        <w:keepNext/>
        <w:ind w:right="77"/>
        <w:jc w:val="both"/>
        <w:rPr>
          <w:rFonts w:ascii="Palatino Linotype" w:hAnsi="Palatino Linotype" w:cstheme="minorHAnsi"/>
          <w:bCs/>
          <w:sz w:val="22"/>
          <w:szCs w:val="22"/>
        </w:rPr>
      </w:pP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5111C" w:rsidRPr="00111CED" w:rsidRDefault="0025111C" w:rsidP="00E83A84">
            <w:pPr>
              <w:keepLines/>
              <w:widowControl w:val="0"/>
              <w:jc w:val="center"/>
              <w:rPr>
                <w:rFonts w:ascii="Calibri" w:hAnsi="Calibri"/>
                <w:b/>
                <w:bCs/>
                <w:color w:val="000000"/>
                <w:sz w:val="20"/>
                <w:szCs w:val="20"/>
              </w:rPr>
            </w:pPr>
            <w:r w:rsidRPr="00111CED">
              <w:rPr>
                <w:rFonts w:ascii="Calibri" w:hAnsi="Calibri"/>
                <w:b/>
                <w:bCs/>
                <w:color w:val="000000"/>
                <w:sz w:val="20"/>
                <w:szCs w:val="20"/>
              </w:rPr>
              <w:t>2017Q4</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25111C" w:rsidRPr="00111CED" w:rsidRDefault="0025111C" w:rsidP="00E83A84">
            <w:pPr>
              <w:keepLines/>
              <w:widowControl w:val="0"/>
              <w:jc w:val="center"/>
              <w:rPr>
                <w:rFonts w:ascii="Calibri" w:hAnsi="Calibri"/>
                <w:b/>
                <w:bCs/>
                <w:color w:val="000000"/>
                <w:sz w:val="20"/>
                <w:szCs w:val="20"/>
              </w:rPr>
            </w:pPr>
            <w:r w:rsidRPr="00111CED">
              <w:rPr>
                <w:rFonts w:ascii="Calibri" w:hAnsi="Calibri"/>
                <w:b/>
                <w:bCs/>
                <w:color w:val="000000"/>
                <w:sz w:val="20"/>
                <w:szCs w:val="20"/>
              </w:rPr>
              <w:t>2018Q1</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 </w:t>
            </w:r>
          </w:p>
        </w:tc>
        <w:tc>
          <w:tcPr>
            <w:tcW w:w="1259" w:type="dxa"/>
            <w:tcBorders>
              <w:top w:val="nil"/>
              <w:left w:val="single" w:sz="4" w:space="0" w:color="auto"/>
              <w:bottom w:val="single" w:sz="4" w:space="0" w:color="auto"/>
              <w:right w:val="nil"/>
            </w:tcBorders>
            <w:shd w:val="clear" w:color="000000" w:fill="FFFFFF"/>
            <w:noWrap/>
            <w:vAlign w:val="bottom"/>
            <w:hideMark/>
          </w:tcPr>
          <w:p w:rsidR="0025111C" w:rsidRPr="00111CED" w:rsidRDefault="0025111C" w:rsidP="00E83A84">
            <w:pPr>
              <w:keepLines/>
              <w:widowControl w:val="0"/>
              <w:jc w:val="center"/>
              <w:rPr>
                <w:rFonts w:ascii="Calibri" w:hAnsi="Calibri"/>
                <w:b/>
                <w:bCs/>
                <w:color w:val="000000"/>
                <w:sz w:val="20"/>
                <w:szCs w:val="20"/>
              </w:rPr>
            </w:pPr>
            <w:r w:rsidRPr="00111CED">
              <w:rPr>
                <w:rFonts w:ascii="Calibri" w:hAnsi="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E83A84">
            <w:pPr>
              <w:keepLines/>
              <w:widowControl w:val="0"/>
              <w:jc w:val="center"/>
              <w:rPr>
                <w:rFonts w:ascii="Calibri" w:hAnsi="Calibri"/>
                <w:b/>
                <w:bCs/>
                <w:color w:val="000000"/>
                <w:sz w:val="20"/>
                <w:szCs w:val="20"/>
              </w:rPr>
            </w:pPr>
            <w:r w:rsidRPr="00111CED">
              <w:rPr>
                <w:rFonts w:ascii="Calibri" w:hAnsi="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b/>
                <w:bCs/>
                <w:color w:val="000000"/>
                <w:sz w:val="20"/>
                <w:szCs w:val="20"/>
              </w:rPr>
            </w:pPr>
            <w:r w:rsidRPr="00111CED">
              <w:rPr>
                <w:rFonts w:ascii="Calibri" w:hAnsi="Calibri"/>
                <w:b/>
                <w:bCs/>
                <w:color w:val="000000"/>
                <w:sz w:val="20"/>
                <w:szCs w:val="20"/>
              </w:rPr>
              <w:t>Değişim (%)</w:t>
            </w:r>
          </w:p>
        </w:tc>
        <w:tc>
          <w:tcPr>
            <w:tcW w:w="961"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b/>
                <w:bCs/>
                <w:color w:val="000000"/>
                <w:sz w:val="20"/>
                <w:szCs w:val="20"/>
              </w:rPr>
            </w:pPr>
            <w:r w:rsidRPr="00111CED">
              <w:rPr>
                <w:rFonts w:ascii="Calibri" w:hAnsi="Calibri"/>
                <w:b/>
                <w:bCs/>
                <w:color w:val="000000"/>
                <w:sz w:val="20"/>
                <w:szCs w:val="20"/>
              </w:rPr>
              <w:t>Katkı (%)</w:t>
            </w:r>
          </w:p>
        </w:tc>
      </w:tr>
      <w:tr w:rsidR="0025111C" w:rsidRPr="00111CED" w:rsidTr="0025111C">
        <w:trPr>
          <w:trHeight w:val="282"/>
        </w:trPr>
        <w:tc>
          <w:tcPr>
            <w:tcW w:w="1480" w:type="dxa"/>
            <w:tcBorders>
              <w:top w:val="single" w:sz="4" w:space="0" w:color="auto"/>
              <w:left w:val="nil"/>
              <w:bottom w:val="nil"/>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Özel Tüketim</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6.6</w:t>
            </w:r>
          </w:p>
        </w:tc>
        <w:tc>
          <w:tcPr>
            <w:tcW w:w="961" w:type="dxa"/>
            <w:tcBorders>
              <w:top w:val="single" w:sz="4" w:space="0" w:color="auto"/>
              <w:left w:val="nil"/>
              <w:bottom w:val="nil"/>
              <w:right w:val="single" w:sz="4" w:space="0" w:color="auto"/>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4.0</w:t>
            </w:r>
          </w:p>
        </w:tc>
        <w:tc>
          <w:tcPr>
            <w:tcW w:w="1259" w:type="dxa"/>
            <w:tcBorders>
              <w:top w:val="single" w:sz="4" w:space="0" w:color="auto"/>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11.0</w:t>
            </w:r>
          </w:p>
        </w:tc>
        <w:tc>
          <w:tcPr>
            <w:tcW w:w="961" w:type="dxa"/>
            <w:tcBorders>
              <w:top w:val="single" w:sz="4" w:space="0" w:color="auto"/>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6.6</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7.4</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1.2</w:t>
            </w:r>
          </w:p>
        </w:tc>
        <w:tc>
          <w:tcPr>
            <w:tcW w:w="1259"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3.4</w:t>
            </w:r>
          </w:p>
        </w:tc>
        <w:tc>
          <w:tcPr>
            <w:tcW w:w="961"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0.5</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6.0</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1.8</w:t>
            </w:r>
          </w:p>
        </w:tc>
        <w:tc>
          <w:tcPr>
            <w:tcW w:w="1259"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9.7</w:t>
            </w:r>
          </w:p>
        </w:tc>
        <w:tc>
          <w:tcPr>
            <w:tcW w:w="961"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2.8</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3.7</w:t>
            </w:r>
          </w:p>
        </w:tc>
        <w:tc>
          <w:tcPr>
            <w:tcW w:w="1259"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 </w:t>
            </w:r>
          </w:p>
        </w:tc>
        <w:tc>
          <w:tcPr>
            <w:tcW w:w="961"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1.7</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9.3</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2.0</w:t>
            </w:r>
          </w:p>
        </w:tc>
        <w:tc>
          <w:tcPr>
            <w:tcW w:w="1259"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0.5</w:t>
            </w:r>
          </w:p>
        </w:tc>
        <w:tc>
          <w:tcPr>
            <w:tcW w:w="961"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0.3</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22.7</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-5.4</w:t>
            </w:r>
          </w:p>
        </w:tc>
        <w:tc>
          <w:tcPr>
            <w:tcW w:w="1259"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15.6</w:t>
            </w:r>
          </w:p>
        </w:tc>
        <w:tc>
          <w:tcPr>
            <w:tcW w:w="961" w:type="dxa"/>
            <w:tcBorders>
              <w:top w:val="nil"/>
              <w:left w:val="nil"/>
              <w:bottom w:val="nil"/>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-4.5</w:t>
            </w:r>
          </w:p>
        </w:tc>
      </w:tr>
      <w:tr w:rsidR="0025111C" w:rsidRPr="00111CED" w:rsidTr="0025111C">
        <w:trPr>
          <w:trHeight w:val="315"/>
        </w:trPr>
        <w:tc>
          <w:tcPr>
            <w:tcW w:w="1480" w:type="dxa"/>
            <w:tcBorders>
              <w:top w:val="nil"/>
              <w:left w:val="nil"/>
              <w:bottom w:val="double" w:sz="6" w:space="0" w:color="auto"/>
              <w:right w:val="nil"/>
            </w:tcBorders>
            <w:shd w:val="clear" w:color="000000" w:fill="FFFFFF"/>
            <w:noWrap/>
            <w:vAlign w:val="bottom"/>
            <w:hideMark/>
          </w:tcPr>
          <w:p w:rsidR="0025111C" w:rsidRPr="00111CED" w:rsidRDefault="0025111C" w:rsidP="00E83A84">
            <w:pPr>
              <w:keepLines/>
              <w:widowControl w:val="0"/>
              <w:rPr>
                <w:rFonts w:ascii="Calibri" w:hAnsi="Calibri"/>
                <w:b/>
                <w:bCs/>
                <w:color w:val="000000"/>
                <w:sz w:val="20"/>
                <w:szCs w:val="20"/>
              </w:rPr>
            </w:pPr>
            <w:r w:rsidRPr="00111CED">
              <w:rPr>
                <w:rFonts w:ascii="Calibri" w:hAnsi="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7.3</w:t>
            </w:r>
          </w:p>
        </w:tc>
        <w:tc>
          <w:tcPr>
            <w:tcW w:w="961" w:type="dxa"/>
            <w:tcBorders>
              <w:top w:val="nil"/>
              <w:left w:val="nil"/>
              <w:bottom w:val="double" w:sz="6" w:space="0" w:color="auto"/>
              <w:right w:val="single" w:sz="4" w:space="0" w:color="auto"/>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7.4</w:t>
            </w:r>
          </w:p>
        </w:tc>
        <w:tc>
          <w:tcPr>
            <w:tcW w:w="961" w:type="dxa"/>
            <w:tcBorders>
              <w:top w:val="nil"/>
              <w:left w:val="nil"/>
              <w:bottom w:val="double" w:sz="6" w:space="0" w:color="auto"/>
              <w:right w:val="nil"/>
            </w:tcBorders>
            <w:shd w:val="clear" w:color="000000" w:fill="FFFFFF"/>
            <w:noWrap/>
            <w:vAlign w:val="bottom"/>
            <w:hideMark/>
          </w:tcPr>
          <w:p w:rsidR="0025111C" w:rsidRPr="00111CED" w:rsidRDefault="0025111C" w:rsidP="00E83A84">
            <w:pPr>
              <w:keepLines/>
              <w:widowControl w:val="0"/>
              <w:jc w:val="center"/>
              <w:rPr>
                <w:rFonts w:ascii="Calibri" w:hAnsi="Calibri"/>
                <w:color w:val="000000"/>
                <w:sz w:val="20"/>
                <w:szCs w:val="20"/>
              </w:rPr>
            </w:pPr>
            <w:r w:rsidRPr="00111CED">
              <w:rPr>
                <w:rFonts w:ascii="Calibri" w:hAnsi="Calibri"/>
                <w:color w:val="000000"/>
                <w:sz w:val="20"/>
                <w:szCs w:val="20"/>
              </w:rPr>
              <w:t> </w:t>
            </w:r>
          </w:p>
        </w:tc>
      </w:tr>
    </w:tbl>
    <w:p w:rsidR="004931A5" w:rsidRPr="00111CED" w:rsidRDefault="003D44CE" w:rsidP="00E83A84">
      <w:pPr>
        <w:keepLines/>
        <w:widowControl w:val="0"/>
        <w:rPr>
          <w:rFonts w:ascii="Palatino Linotype" w:hAnsi="Palatino Linotype" w:cstheme="minorHAnsi"/>
          <w:sz w:val="18"/>
          <w:szCs w:val="18"/>
        </w:rPr>
      </w:pPr>
      <w:r w:rsidRPr="00111CED">
        <w:rPr>
          <w:rFonts w:ascii="Palatino Linotype" w:hAnsi="Palatino Linotype" w:cstheme="minorHAnsi"/>
          <w:sz w:val="18"/>
          <w:szCs w:val="18"/>
        </w:rPr>
        <w:t>Ka</w:t>
      </w:r>
      <w:r w:rsidR="004931A5" w:rsidRPr="00111CED">
        <w:rPr>
          <w:rFonts w:ascii="Palatino Linotype" w:hAnsi="Palatino Linotype" w:cstheme="minorHAnsi"/>
          <w:sz w:val="18"/>
          <w:szCs w:val="18"/>
        </w:rPr>
        <w:t xml:space="preserve">ynak: TÜİK, Betam. </w:t>
      </w:r>
    </w:p>
    <w:p w:rsidR="00E83A84" w:rsidRPr="00111CED" w:rsidRDefault="00E83A84" w:rsidP="006C3EE6">
      <w:pPr>
        <w:keepNext/>
        <w:rPr>
          <w:rFonts w:ascii="Palatino Linotype" w:hAnsi="Palatino Linotype" w:cstheme="minorHAnsi"/>
        </w:rPr>
      </w:pPr>
    </w:p>
    <w:p w:rsidR="00E83A84" w:rsidRPr="00111CED" w:rsidRDefault="00E83A84" w:rsidP="006C3EE6">
      <w:pPr>
        <w:keepNext/>
        <w:rPr>
          <w:rFonts w:ascii="Palatino Linotype" w:hAnsi="Palatino Linotype" w:cstheme="minorHAnsi"/>
        </w:rPr>
      </w:pPr>
    </w:p>
    <w:p w:rsidR="00E83A84" w:rsidRPr="00111CED" w:rsidRDefault="00E83A84" w:rsidP="006C3EE6">
      <w:pPr>
        <w:keepNext/>
        <w:rPr>
          <w:rFonts w:ascii="Palatino Linotype" w:hAnsi="Palatino Linotype" w:cstheme="minorHAnsi"/>
        </w:rPr>
      </w:pPr>
    </w:p>
    <w:p w:rsidR="006C3EE6" w:rsidRPr="00111CED" w:rsidRDefault="006C3EE6" w:rsidP="006C3EE6">
      <w:pPr>
        <w:keepNext/>
        <w:ind w:right="77"/>
        <w:jc w:val="both"/>
        <w:rPr>
          <w:rFonts w:ascii="Palatino Linotype" w:hAnsi="Palatino Linotype" w:cstheme="minorHAnsi"/>
          <w:b/>
          <w:bCs/>
          <w:sz w:val="22"/>
          <w:szCs w:val="22"/>
        </w:rPr>
      </w:pPr>
      <w:r w:rsidRPr="00111CED">
        <w:rPr>
          <w:rFonts w:ascii="Palatino Linotype" w:hAnsi="Palatino Linotype" w:cstheme="minorHAnsi"/>
          <w:b/>
          <w:bCs/>
          <w:sz w:val="22"/>
          <w:szCs w:val="22"/>
        </w:rPr>
        <w:t xml:space="preserve">Tablo 2: </w:t>
      </w:r>
      <w:r w:rsidR="00D53424" w:rsidRPr="00111CED">
        <w:rPr>
          <w:rFonts w:ascii="Palatino Linotype" w:hAnsi="Palatino Linotype" w:cstheme="minorHAnsi"/>
          <w:b/>
          <w:bCs/>
          <w:sz w:val="22"/>
          <w:szCs w:val="22"/>
        </w:rPr>
        <w:t xml:space="preserve">GSYH alt kalemlerinin 2017 </w:t>
      </w:r>
      <w:r w:rsidR="0025111C" w:rsidRPr="00111CED">
        <w:rPr>
          <w:rFonts w:ascii="Palatino Linotype" w:hAnsi="Palatino Linotype" w:cstheme="minorHAnsi"/>
          <w:b/>
          <w:bCs/>
          <w:sz w:val="22"/>
          <w:szCs w:val="22"/>
        </w:rPr>
        <w:t>4</w:t>
      </w:r>
      <w:r w:rsidRPr="00111CED">
        <w:rPr>
          <w:rFonts w:ascii="Palatino Linotype" w:hAnsi="Palatino Linotype" w:cstheme="minorHAnsi"/>
          <w:b/>
          <w:bCs/>
          <w:sz w:val="22"/>
          <w:szCs w:val="22"/>
        </w:rPr>
        <w:t xml:space="preserve">. </w:t>
      </w:r>
      <w:r w:rsidR="00CF5053" w:rsidRPr="00111CED">
        <w:rPr>
          <w:rFonts w:ascii="Palatino Linotype" w:hAnsi="Palatino Linotype" w:cstheme="minorHAnsi"/>
          <w:b/>
          <w:bCs/>
          <w:sz w:val="22"/>
          <w:szCs w:val="22"/>
        </w:rPr>
        <w:t>v</w:t>
      </w:r>
      <w:r w:rsidRPr="00111CED">
        <w:rPr>
          <w:rFonts w:ascii="Palatino Linotype" w:hAnsi="Palatino Linotype" w:cstheme="minorHAnsi"/>
          <w:b/>
          <w:bCs/>
          <w:sz w:val="22"/>
          <w:szCs w:val="22"/>
        </w:rPr>
        <w:t xml:space="preserve">e </w:t>
      </w:r>
      <w:r w:rsidR="0025111C" w:rsidRPr="00111CED">
        <w:rPr>
          <w:rFonts w:ascii="Palatino Linotype" w:hAnsi="Palatino Linotype" w:cstheme="minorHAnsi"/>
          <w:b/>
          <w:bCs/>
          <w:sz w:val="22"/>
          <w:szCs w:val="22"/>
        </w:rPr>
        <w:t>2018 1</w:t>
      </w:r>
      <w:r w:rsidRPr="00111CED">
        <w:rPr>
          <w:rFonts w:ascii="Palatino Linotype" w:hAnsi="Palatino Linotype" w:cstheme="minorHAnsi"/>
          <w:b/>
          <w:bCs/>
          <w:sz w:val="22"/>
          <w:szCs w:val="22"/>
        </w:rPr>
        <w:t>. çeyrekte bir önceki çeyreğe göre büyüme oranları ve büyümeye katkıları</w:t>
      </w:r>
      <w:r w:rsidR="00CF5053" w:rsidRPr="00111CED">
        <w:rPr>
          <w:rFonts w:ascii="Palatino Linotype" w:hAnsi="Palatino Linotype" w:cstheme="minorHAnsi"/>
          <w:b/>
          <w:bCs/>
          <w:sz w:val="22"/>
          <w:szCs w:val="22"/>
        </w:rPr>
        <w:t xml:space="preserve"> (mevsim ve takvim etkilerinden arındırılmış)</w:t>
      </w:r>
    </w:p>
    <w:p w:rsidR="00EA7527" w:rsidRPr="00111CED" w:rsidRDefault="00EA7527" w:rsidP="006C3EE6">
      <w:pPr>
        <w:keepNext/>
        <w:ind w:right="77"/>
        <w:jc w:val="both"/>
        <w:rPr>
          <w:rFonts w:ascii="Palatino Linotype" w:hAnsi="Palatino Linotype" w:cstheme="minorHAnsi"/>
          <w:b/>
          <w:bCs/>
          <w:sz w:val="22"/>
          <w:szCs w:val="22"/>
        </w:rPr>
      </w:pP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5111C" w:rsidRPr="00111CED" w:rsidRDefault="0025111C" w:rsidP="0025111C">
            <w:pPr>
              <w:jc w:val="center"/>
              <w:rPr>
                <w:rFonts w:ascii="Calibri" w:hAnsi="Calibri"/>
                <w:b/>
                <w:bCs/>
                <w:color w:val="000000"/>
                <w:sz w:val="20"/>
                <w:szCs w:val="20"/>
              </w:rPr>
            </w:pPr>
            <w:r w:rsidRPr="00111CED">
              <w:rPr>
                <w:rFonts w:ascii="Calibri" w:hAnsi="Calibri"/>
                <w:b/>
                <w:bCs/>
                <w:color w:val="000000"/>
                <w:sz w:val="20"/>
                <w:szCs w:val="20"/>
              </w:rPr>
              <w:t>2017Q4</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rsidR="0025111C" w:rsidRPr="00111CED" w:rsidRDefault="0025111C" w:rsidP="0025111C">
            <w:pPr>
              <w:jc w:val="center"/>
              <w:rPr>
                <w:rFonts w:ascii="Calibri" w:hAnsi="Calibri"/>
                <w:b/>
                <w:bCs/>
                <w:color w:val="000000"/>
                <w:sz w:val="20"/>
                <w:szCs w:val="20"/>
              </w:rPr>
            </w:pPr>
            <w:r w:rsidRPr="00111CED">
              <w:rPr>
                <w:rFonts w:ascii="Calibri" w:hAnsi="Calibri"/>
                <w:b/>
                <w:bCs/>
                <w:color w:val="000000"/>
                <w:sz w:val="20"/>
                <w:szCs w:val="20"/>
              </w:rPr>
              <w:t>2018Q1</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 </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25111C">
            <w:pPr>
              <w:jc w:val="center"/>
              <w:rPr>
                <w:rFonts w:ascii="Calibri" w:hAnsi="Calibri"/>
                <w:b/>
                <w:bCs/>
                <w:color w:val="000000"/>
                <w:sz w:val="20"/>
                <w:szCs w:val="20"/>
              </w:rPr>
            </w:pPr>
            <w:r w:rsidRPr="00111CED">
              <w:rPr>
                <w:rFonts w:ascii="Calibri" w:hAnsi="Calibri"/>
                <w:b/>
                <w:bCs/>
                <w:color w:val="000000"/>
                <w:sz w:val="20"/>
                <w:szCs w:val="20"/>
              </w:rPr>
              <w:t>Değişim (%)</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25111C">
            <w:pPr>
              <w:jc w:val="center"/>
              <w:rPr>
                <w:rFonts w:ascii="Calibri" w:hAnsi="Calibri"/>
                <w:b/>
                <w:bCs/>
                <w:color w:val="000000"/>
                <w:sz w:val="20"/>
                <w:szCs w:val="20"/>
              </w:rPr>
            </w:pPr>
            <w:r w:rsidRPr="00111CED">
              <w:rPr>
                <w:rFonts w:ascii="Calibri" w:hAnsi="Calibri"/>
                <w:b/>
                <w:bCs/>
                <w:color w:val="000000"/>
                <w:sz w:val="20"/>
                <w:szCs w:val="20"/>
              </w:rPr>
              <w:t>Katkı (%)</w:t>
            </w:r>
          </w:p>
        </w:tc>
        <w:tc>
          <w:tcPr>
            <w:tcW w:w="1259"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b/>
                <w:bCs/>
                <w:color w:val="000000"/>
                <w:sz w:val="20"/>
                <w:szCs w:val="20"/>
              </w:rPr>
            </w:pPr>
            <w:r w:rsidRPr="00111CED">
              <w:rPr>
                <w:rFonts w:ascii="Calibri" w:hAnsi="Calibri"/>
                <w:b/>
                <w:bCs/>
                <w:color w:val="000000"/>
                <w:sz w:val="20"/>
                <w:szCs w:val="20"/>
              </w:rPr>
              <w:t>Değişim (%)</w:t>
            </w:r>
          </w:p>
        </w:tc>
        <w:tc>
          <w:tcPr>
            <w:tcW w:w="961"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b/>
                <w:bCs/>
                <w:color w:val="000000"/>
                <w:sz w:val="20"/>
                <w:szCs w:val="20"/>
              </w:rPr>
            </w:pPr>
            <w:r w:rsidRPr="00111CED">
              <w:rPr>
                <w:rFonts w:ascii="Calibri" w:hAnsi="Calibri"/>
                <w:b/>
                <w:bCs/>
                <w:color w:val="000000"/>
                <w:sz w:val="20"/>
                <w:szCs w:val="20"/>
              </w:rPr>
              <w:t>Katkı (%)</w:t>
            </w:r>
          </w:p>
        </w:tc>
      </w:tr>
      <w:tr w:rsidR="0025111C" w:rsidRPr="00111CED" w:rsidTr="0025111C">
        <w:trPr>
          <w:trHeight w:val="282"/>
        </w:trPr>
        <w:tc>
          <w:tcPr>
            <w:tcW w:w="1480" w:type="dxa"/>
            <w:tcBorders>
              <w:top w:val="single" w:sz="4" w:space="0" w:color="auto"/>
              <w:left w:val="nil"/>
              <w:bottom w:val="nil"/>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2.9</w:t>
            </w:r>
          </w:p>
        </w:tc>
        <w:tc>
          <w:tcPr>
            <w:tcW w:w="961" w:type="dxa"/>
            <w:tcBorders>
              <w:top w:val="single" w:sz="4" w:space="0" w:color="auto"/>
              <w:left w:val="nil"/>
              <w:bottom w:val="nil"/>
              <w:right w:val="single" w:sz="4" w:space="0" w:color="auto"/>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1.7</w:t>
            </w:r>
          </w:p>
        </w:tc>
        <w:tc>
          <w:tcPr>
            <w:tcW w:w="1259" w:type="dxa"/>
            <w:tcBorders>
              <w:top w:val="single" w:sz="4" w:space="0" w:color="auto"/>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4.2</w:t>
            </w:r>
          </w:p>
        </w:tc>
        <w:tc>
          <w:tcPr>
            <w:tcW w:w="961" w:type="dxa"/>
            <w:tcBorders>
              <w:top w:val="single" w:sz="4" w:space="0" w:color="auto"/>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2.5</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Kamu Tüketimi</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5.8</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0.8</w:t>
            </w:r>
          </w:p>
        </w:tc>
        <w:tc>
          <w:tcPr>
            <w:tcW w:w="1259"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1.6</w:t>
            </w:r>
          </w:p>
        </w:tc>
        <w:tc>
          <w:tcPr>
            <w:tcW w:w="961"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0.2</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Yatırım</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-1.3</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-0.4</w:t>
            </w:r>
          </w:p>
        </w:tc>
        <w:tc>
          <w:tcPr>
            <w:tcW w:w="1259"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5.2</w:t>
            </w:r>
          </w:p>
        </w:tc>
        <w:tc>
          <w:tcPr>
            <w:tcW w:w="961"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1.5</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Stok Değişimi</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0.7</w:t>
            </w:r>
          </w:p>
        </w:tc>
        <w:tc>
          <w:tcPr>
            <w:tcW w:w="1259"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 </w:t>
            </w:r>
          </w:p>
        </w:tc>
        <w:tc>
          <w:tcPr>
            <w:tcW w:w="961"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-3.5</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İhracat</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4.4</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1.0</w:t>
            </w:r>
          </w:p>
        </w:tc>
        <w:tc>
          <w:tcPr>
            <w:tcW w:w="1259"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-1.0</w:t>
            </w:r>
          </w:p>
        </w:tc>
        <w:tc>
          <w:tcPr>
            <w:tcW w:w="961"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-0.2</w:t>
            </w:r>
          </w:p>
        </w:tc>
      </w:tr>
      <w:tr w:rsidR="0025111C" w:rsidRPr="00111CED" w:rsidTr="0025111C">
        <w:trPr>
          <w:trHeight w:val="282"/>
        </w:trPr>
        <w:tc>
          <w:tcPr>
            <w:tcW w:w="1480" w:type="dxa"/>
            <w:tcBorders>
              <w:top w:val="nil"/>
              <w:left w:val="nil"/>
              <w:bottom w:val="nil"/>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İthalat</w:t>
            </w:r>
          </w:p>
        </w:tc>
        <w:tc>
          <w:tcPr>
            <w:tcW w:w="1259" w:type="dxa"/>
            <w:tcBorders>
              <w:top w:val="nil"/>
              <w:left w:val="single" w:sz="4" w:space="0" w:color="auto"/>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8.3</w:t>
            </w:r>
          </w:p>
        </w:tc>
        <w:tc>
          <w:tcPr>
            <w:tcW w:w="961" w:type="dxa"/>
            <w:tcBorders>
              <w:top w:val="nil"/>
              <w:left w:val="nil"/>
              <w:bottom w:val="nil"/>
              <w:right w:val="single" w:sz="4" w:space="0" w:color="auto"/>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-2.2</w:t>
            </w:r>
          </w:p>
        </w:tc>
        <w:tc>
          <w:tcPr>
            <w:tcW w:w="1259"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-5.2</w:t>
            </w:r>
          </w:p>
        </w:tc>
        <w:tc>
          <w:tcPr>
            <w:tcW w:w="961" w:type="dxa"/>
            <w:tcBorders>
              <w:top w:val="nil"/>
              <w:left w:val="nil"/>
              <w:bottom w:val="nil"/>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1.3</w:t>
            </w:r>
          </w:p>
        </w:tc>
      </w:tr>
      <w:tr w:rsidR="0025111C" w:rsidRPr="00111CED" w:rsidTr="0025111C">
        <w:trPr>
          <w:trHeight w:val="315"/>
        </w:trPr>
        <w:tc>
          <w:tcPr>
            <w:tcW w:w="1480" w:type="dxa"/>
            <w:tcBorders>
              <w:top w:val="nil"/>
              <w:left w:val="nil"/>
              <w:bottom w:val="double" w:sz="6" w:space="0" w:color="auto"/>
              <w:right w:val="nil"/>
            </w:tcBorders>
            <w:shd w:val="clear" w:color="000000" w:fill="FFFFFF"/>
            <w:noWrap/>
            <w:vAlign w:val="bottom"/>
            <w:hideMark/>
          </w:tcPr>
          <w:p w:rsidR="0025111C" w:rsidRPr="00111CED" w:rsidRDefault="0025111C" w:rsidP="0025111C">
            <w:pPr>
              <w:rPr>
                <w:rFonts w:ascii="Calibri" w:hAnsi="Calibri"/>
                <w:b/>
                <w:bCs/>
                <w:color w:val="000000"/>
                <w:sz w:val="20"/>
                <w:szCs w:val="20"/>
              </w:rPr>
            </w:pPr>
            <w:r w:rsidRPr="00111CED">
              <w:rPr>
                <w:rFonts w:ascii="Calibri" w:hAnsi="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1.7</w:t>
            </w:r>
          </w:p>
        </w:tc>
        <w:tc>
          <w:tcPr>
            <w:tcW w:w="961" w:type="dxa"/>
            <w:tcBorders>
              <w:top w:val="nil"/>
              <w:left w:val="nil"/>
              <w:bottom w:val="double" w:sz="6" w:space="0" w:color="auto"/>
              <w:right w:val="single" w:sz="4" w:space="0" w:color="auto"/>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2.0</w:t>
            </w:r>
          </w:p>
        </w:tc>
        <w:tc>
          <w:tcPr>
            <w:tcW w:w="961" w:type="dxa"/>
            <w:tcBorders>
              <w:top w:val="nil"/>
              <w:left w:val="nil"/>
              <w:bottom w:val="double" w:sz="6" w:space="0" w:color="auto"/>
              <w:right w:val="nil"/>
            </w:tcBorders>
            <w:shd w:val="clear" w:color="000000" w:fill="FFFFFF"/>
            <w:noWrap/>
            <w:vAlign w:val="bottom"/>
            <w:hideMark/>
          </w:tcPr>
          <w:p w:rsidR="0025111C" w:rsidRPr="00111CED" w:rsidRDefault="0025111C" w:rsidP="0025111C">
            <w:pPr>
              <w:jc w:val="center"/>
              <w:rPr>
                <w:rFonts w:ascii="Calibri" w:hAnsi="Calibri"/>
                <w:color w:val="000000"/>
                <w:sz w:val="20"/>
                <w:szCs w:val="20"/>
              </w:rPr>
            </w:pPr>
            <w:r w:rsidRPr="00111CED">
              <w:rPr>
                <w:rFonts w:ascii="Calibri" w:hAnsi="Calibri"/>
                <w:color w:val="000000"/>
                <w:sz w:val="20"/>
                <w:szCs w:val="20"/>
              </w:rPr>
              <w:t> </w:t>
            </w:r>
          </w:p>
        </w:tc>
      </w:tr>
    </w:tbl>
    <w:p w:rsidR="00F46A54" w:rsidRPr="00111CED" w:rsidRDefault="003D44CE" w:rsidP="00F46A54">
      <w:pPr>
        <w:keepNext/>
        <w:rPr>
          <w:rFonts w:ascii="Palatino Linotype" w:hAnsi="Palatino Linotype" w:cstheme="minorHAnsi"/>
          <w:sz w:val="18"/>
          <w:szCs w:val="18"/>
        </w:rPr>
      </w:pPr>
      <w:r w:rsidRPr="00111CED">
        <w:rPr>
          <w:rFonts w:ascii="Palatino Linotype" w:hAnsi="Palatino Linotype" w:cstheme="minorHAnsi"/>
          <w:sz w:val="18"/>
          <w:szCs w:val="18"/>
        </w:rPr>
        <w:t>Ka</w:t>
      </w:r>
      <w:r w:rsidR="00F46A54" w:rsidRPr="00111CED">
        <w:rPr>
          <w:rFonts w:ascii="Palatino Linotype" w:hAnsi="Palatino Linotype" w:cstheme="minorHAnsi"/>
          <w:sz w:val="18"/>
          <w:szCs w:val="18"/>
        </w:rPr>
        <w:t xml:space="preserve">ynak: TÜİK, Betam. </w:t>
      </w:r>
    </w:p>
    <w:p w:rsidR="006C3EE6" w:rsidRPr="00111CED" w:rsidRDefault="006C3EE6" w:rsidP="004931A5">
      <w:pPr>
        <w:pStyle w:val="NormalWeb"/>
        <w:spacing w:before="0" w:beforeAutospacing="0" w:after="0" w:afterAutospacing="0" w:line="360" w:lineRule="auto"/>
        <w:ind w:right="77"/>
        <w:rPr>
          <w:rFonts w:ascii="Palatino Linotype" w:hAnsi="Palatino Linotype" w:cstheme="minorHAnsi"/>
          <w:b/>
          <w:sz w:val="20"/>
          <w:szCs w:val="20"/>
          <w:highlight w:val="yellow"/>
        </w:rPr>
      </w:pPr>
    </w:p>
    <w:p w:rsidR="006C3EE6" w:rsidRPr="00111CED" w:rsidRDefault="006C3EE6" w:rsidP="004931A5">
      <w:pPr>
        <w:pStyle w:val="NormalWeb"/>
        <w:spacing w:before="0" w:beforeAutospacing="0" w:after="0" w:afterAutospacing="0" w:line="360" w:lineRule="auto"/>
        <w:ind w:right="77"/>
        <w:rPr>
          <w:rFonts w:ascii="Palatino Linotype" w:hAnsi="Palatino Linotype" w:cstheme="minorHAnsi"/>
          <w:b/>
          <w:sz w:val="22"/>
          <w:szCs w:val="22"/>
        </w:rPr>
      </w:pPr>
      <w:r w:rsidRPr="00111CED">
        <w:rPr>
          <w:rFonts w:ascii="Palatino Linotype" w:hAnsi="Palatino Linotype" w:cstheme="minorHAnsi"/>
          <w:b/>
          <w:sz w:val="22"/>
          <w:szCs w:val="22"/>
        </w:rPr>
        <w:t>Yatırımlar</w:t>
      </w:r>
      <w:r w:rsidR="00080211" w:rsidRPr="00111CED">
        <w:rPr>
          <w:rFonts w:ascii="Palatino Linotype" w:hAnsi="Palatino Linotype" w:cstheme="minorHAnsi"/>
          <w:b/>
          <w:sz w:val="22"/>
          <w:szCs w:val="22"/>
        </w:rPr>
        <w:t xml:space="preserve">ın </w:t>
      </w:r>
      <w:r w:rsidR="00E83A84" w:rsidRPr="00111CED">
        <w:rPr>
          <w:rFonts w:ascii="Palatino Linotype" w:hAnsi="Palatino Linotype" w:cstheme="minorHAnsi"/>
          <w:b/>
          <w:sz w:val="22"/>
          <w:szCs w:val="22"/>
        </w:rPr>
        <w:t xml:space="preserve">büyümeye </w:t>
      </w:r>
      <w:r w:rsidR="00080211" w:rsidRPr="00111CED">
        <w:rPr>
          <w:rFonts w:ascii="Palatino Linotype" w:hAnsi="Palatino Linotype" w:cstheme="minorHAnsi"/>
          <w:b/>
          <w:sz w:val="22"/>
          <w:szCs w:val="22"/>
        </w:rPr>
        <w:t xml:space="preserve">katkısı </w:t>
      </w:r>
      <w:r w:rsidR="00E83A84" w:rsidRPr="00111CED">
        <w:rPr>
          <w:rFonts w:ascii="Palatino Linotype" w:hAnsi="Palatino Linotype" w:cstheme="minorHAnsi"/>
          <w:b/>
          <w:sz w:val="22"/>
          <w:szCs w:val="22"/>
        </w:rPr>
        <w:t>devam ediyor</w:t>
      </w:r>
    </w:p>
    <w:p w:rsidR="003E1EED" w:rsidRPr="00111CED" w:rsidRDefault="009B1546" w:rsidP="003E1EED">
      <w:pPr>
        <w:pStyle w:val="NormalWeb"/>
        <w:spacing w:before="0" w:beforeAutospacing="0" w:after="0" w:afterAutospacing="0" w:line="360" w:lineRule="auto"/>
        <w:ind w:right="77"/>
        <w:jc w:val="both"/>
        <w:rPr>
          <w:rFonts w:ascii="Palatino Linotype" w:hAnsi="Palatino Linotype" w:cstheme="minorHAnsi"/>
          <w:sz w:val="22"/>
          <w:szCs w:val="22"/>
        </w:rPr>
      </w:pPr>
      <w:r w:rsidRPr="00111CED">
        <w:rPr>
          <w:rFonts w:ascii="Palatino Linotype" w:hAnsi="Palatino Linotype" w:cstheme="minorHAnsi"/>
          <w:sz w:val="22"/>
          <w:szCs w:val="22"/>
        </w:rPr>
        <w:t xml:space="preserve">2017 yılının </w:t>
      </w:r>
      <w:r w:rsidR="00DB5518" w:rsidRPr="00111CED">
        <w:rPr>
          <w:rFonts w:ascii="Palatino Linotype" w:hAnsi="Palatino Linotype" w:cstheme="minorHAnsi"/>
          <w:sz w:val="22"/>
          <w:szCs w:val="22"/>
        </w:rPr>
        <w:t>son</w:t>
      </w:r>
      <w:r w:rsidRPr="00111CED">
        <w:rPr>
          <w:rFonts w:ascii="Palatino Linotype" w:hAnsi="Palatino Linotype" w:cstheme="minorHAnsi"/>
          <w:sz w:val="22"/>
          <w:szCs w:val="22"/>
        </w:rPr>
        <w:t xml:space="preserve"> çeyre</w:t>
      </w:r>
      <w:r w:rsidR="00A310EA" w:rsidRPr="00111CED">
        <w:rPr>
          <w:rFonts w:ascii="Palatino Linotype" w:hAnsi="Palatino Linotype" w:cstheme="minorHAnsi"/>
          <w:sz w:val="22"/>
          <w:szCs w:val="22"/>
        </w:rPr>
        <w:t xml:space="preserve">ğinde </w:t>
      </w:r>
      <w:r w:rsidR="00EA7527" w:rsidRPr="00111CED">
        <w:rPr>
          <w:rFonts w:ascii="Palatino Linotype" w:hAnsi="Palatino Linotype" w:cstheme="minorHAnsi"/>
          <w:sz w:val="22"/>
          <w:szCs w:val="22"/>
        </w:rPr>
        <w:t>yıllık bazda</w:t>
      </w:r>
      <w:r w:rsidR="00C86475" w:rsidRPr="00111CED">
        <w:rPr>
          <w:rFonts w:ascii="Palatino Linotype" w:hAnsi="Palatino Linotype" w:cstheme="minorHAnsi"/>
          <w:sz w:val="22"/>
          <w:szCs w:val="22"/>
        </w:rPr>
        <w:t xml:space="preserve"> </w:t>
      </w:r>
      <w:r w:rsidR="00B56D03" w:rsidRPr="00111CED">
        <w:rPr>
          <w:rFonts w:ascii="Palatino Linotype" w:hAnsi="Palatino Linotype" w:cstheme="minorHAnsi"/>
          <w:sz w:val="22"/>
          <w:szCs w:val="22"/>
        </w:rPr>
        <w:t>yüzde</w:t>
      </w:r>
      <w:r w:rsidR="00C86475" w:rsidRPr="00111CED">
        <w:rPr>
          <w:rFonts w:ascii="Palatino Linotype" w:hAnsi="Palatino Linotype" w:cstheme="minorHAnsi"/>
          <w:sz w:val="22"/>
          <w:szCs w:val="22"/>
        </w:rPr>
        <w:t xml:space="preserve"> </w:t>
      </w:r>
      <w:r w:rsidR="00DB5518" w:rsidRPr="00111CED">
        <w:rPr>
          <w:rFonts w:ascii="Palatino Linotype" w:hAnsi="Palatino Linotype" w:cstheme="minorHAnsi"/>
          <w:sz w:val="22"/>
          <w:szCs w:val="22"/>
        </w:rPr>
        <w:t>6</w:t>
      </w:r>
      <w:r w:rsidR="00C86475" w:rsidRPr="00111CED">
        <w:rPr>
          <w:rFonts w:ascii="Palatino Linotype" w:hAnsi="Palatino Linotype" w:cstheme="minorHAnsi"/>
          <w:sz w:val="22"/>
          <w:szCs w:val="22"/>
        </w:rPr>
        <w:t xml:space="preserve"> </w:t>
      </w:r>
      <w:r w:rsidR="00B56D03" w:rsidRPr="00111CED">
        <w:rPr>
          <w:rFonts w:ascii="Palatino Linotype" w:hAnsi="Palatino Linotype" w:cstheme="minorHAnsi"/>
          <w:sz w:val="22"/>
          <w:szCs w:val="22"/>
        </w:rPr>
        <w:t>büyüyerek</w:t>
      </w:r>
      <w:r w:rsidR="007C462A" w:rsidRPr="00111CED">
        <w:rPr>
          <w:rFonts w:ascii="Palatino Linotype" w:hAnsi="Palatino Linotype" w:cstheme="minorHAnsi"/>
          <w:sz w:val="22"/>
          <w:szCs w:val="22"/>
        </w:rPr>
        <w:t xml:space="preserve"> GSYH artışına</w:t>
      </w:r>
      <w:r w:rsidR="00B56D03" w:rsidRPr="00111CED">
        <w:rPr>
          <w:rFonts w:ascii="Palatino Linotype" w:hAnsi="Palatino Linotype" w:cstheme="minorHAnsi"/>
          <w:sz w:val="22"/>
          <w:szCs w:val="22"/>
        </w:rPr>
        <w:t xml:space="preserve"> </w:t>
      </w:r>
      <w:r w:rsidR="00DB5518" w:rsidRPr="00111CED">
        <w:rPr>
          <w:rFonts w:ascii="Palatino Linotype" w:hAnsi="Palatino Linotype" w:cstheme="minorHAnsi"/>
          <w:sz w:val="22"/>
          <w:szCs w:val="22"/>
        </w:rPr>
        <w:t>1</w:t>
      </w:r>
      <w:r w:rsidR="00080211" w:rsidRPr="00111CED">
        <w:rPr>
          <w:rFonts w:ascii="Palatino Linotype" w:hAnsi="Palatino Linotype" w:cstheme="minorHAnsi"/>
          <w:sz w:val="22"/>
          <w:szCs w:val="22"/>
        </w:rPr>
        <w:t>,8</w:t>
      </w:r>
      <w:r w:rsidR="00C86475" w:rsidRPr="00111CED">
        <w:rPr>
          <w:rFonts w:ascii="Palatino Linotype" w:hAnsi="Palatino Linotype" w:cstheme="minorHAnsi"/>
          <w:sz w:val="22"/>
          <w:szCs w:val="22"/>
        </w:rPr>
        <w:t xml:space="preserve"> </w:t>
      </w:r>
      <w:r w:rsidR="00AB1006" w:rsidRPr="00111CED">
        <w:rPr>
          <w:rFonts w:ascii="Palatino Linotype" w:hAnsi="Palatino Linotype" w:cstheme="minorHAnsi"/>
          <w:sz w:val="22"/>
          <w:szCs w:val="22"/>
        </w:rPr>
        <w:t>yüzde puan</w:t>
      </w:r>
      <w:r w:rsidR="00C86475" w:rsidRPr="00111CED">
        <w:rPr>
          <w:rFonts w:ascii="Palatino Linotype" w:hAnsi="Palatino Linotype" w:cstheme="minorHAnsi"/>
          <w:sz w:val="22"/>
          <w:szCs w:val="22"/>
        </w:rPr>
        <w:t xml:space="preserve"> </w:t>
      </w:r>
      <w:r w:rsidR="00A310EA" w:rsidRPr="00111CED">
        <w:rPr>
          <w:rFonts w:ascii="Palatino Linotype" w:hAnsi="Palatino Linotype" w:cstheme="minorHAnsi"/>
          <w:sz w:val="22"/>
          <w:szCs w:val="22"/>
        </w:rPr>
        <w:t>katkı yapan yatırımlar</w:t>
      </w:r>
      <w:r w:rsidR="00B56D03" w:rsidRPr="00111CED">
        <w:rPr>
          <w:rFonts w:ascii="Palatino Linotype" w:hAnsi="Palatino Linotype" w:cstheme="minorHAnsi"/>
          <w:sz w:val="22"/>
          <w:szCs w:val="22"/>
        </w:rPr>
        <w:t xml:space="preserve"> </w:t>
      </w:r>
      <w:r w:rsidR="00DB5518" w:rsidRPr="00111CED">
        <w:rPr>
          <w:rFonts w:ascii="Palatino Linotype" w:hAnsi="Palatino Linotype" w:cstheme="minorHAnsi"/>
          <w:sz w:val="22"/>
          <w:szCs w:val="22"/>
        </w:rPr>
        <w:t>2018 yılının ilk</w:t>
      </w:r>
      <w:r w:rsidR="00B56D03" w:rsidRPr="00111CED">
        <w:rPr>
          <w:rFonts w:ascii="Palatino Linotype" w:hAnsi="Palatino Linotype" w:cstheme="minorHAnsi"/>
          <w:sz w:val="22"/>
          <w:szCs w:val="22"/>
        </w:rPr>
        <w:t xml:space="preserve"> çeyre</w:t>
      </w:r>
      <w:r w:rsidR="00DB5518" w:rsidRPr="00111CED">
        <w:rPr>
          <w:rFonts w:ascii="Palatino Linotype" w:hAnsi="Palatino Linotype" w:cstheme="minorHAnsi"/>
          <w:sz w:val="22"/>
          <w:szCs w:val="22"/>
        </w:rPr>
        <w:t>ğinde</w:t>
      </w:r>
      <w:r w:rsidR="00B56D03" w:rsidRPr="00111CED">
        <w:rPr>
          <w:rFonts w:ascii="Palatino Linotype" w:hAnsi="Palatino Linotype" w:cstheme="minorHAnsi"/>
          <w:sz w:val="22"/>
          <w:szCs w:val="22"/>
        </w:rPr>
        <w:t xml:space="preserve"> yüzde </w:t>
      </w:r>
      <w:r w:rsidR="00DB5518" w:rsidRPr="00111CED">
        <w:rPr>
          <w:rFonts w:ascii="Palatino Linotype" w:hAnsi="Palatino Linotype" w:cstheme="minorHAnsi"/>
          <w:sz w:val="22"/>
          <w:szCs w:val="22"/>
        </w:rPr>
        <w:t>9</w:t>
      </w:r>
      <w:r w:rsidR="00B56D03" w:rsidRPr="00111CED">
        <w:rPr>
          <w:rFonts w:ascii="Palatino Linotype" w:hAnsi="Palatino Linotype" w:cstheme="minorHAnsi"/>
          <w:sz w:val="22"/>
          <w:szCs w:val="22"/>
        </w:rPr>
        <w:t>,</w:t>
      </w:r>
      <w:r w:rsidR="00DB5518" w:rsidRPr="00111CED">
        <w:rPr>
          <w:rFonts w:ascii="Palatino Linotype" w:hAnsi="Palatino Linotype" w:cstheme="minorHAnsi"/>
          <w:sz w:val="22"/>
          <w:szCs w:val="22"/>
        </w:rPr>
        <w:t>7</w:t>
      </w:r>
      <w:r w:rsidR="00B56D03" w:rsidRPr="00111CED">
        <w:rPr>
          <w:rFonts w:ascii="Palatino Linotype" w:hAnsi="Palatino Linotype" w:cstheme="minorHAnsi"/>
          <w:sz w:val="22"/>
          <w:szCs w:val="22"/>
        </w:rPr>
        <w:t xml:space="preserve"> büyüyerek GSYH büyümesine</w:t>
      </w:r>
      <w:r w:rsidR="00C86475" w:rsidRPr="00111CED">
        <w:rPr>
          <w:rFonts w:ascii="Palatino Linotype" w:hAnsi="Palatino Linotype" w:cstheme="minorHAnsi"/>
          <w:sz w:val="22"/>
          <w:szCs w:val="22"/>
        </w:rPr>
        <w:t xml:space="preserve"> </w:t>
      </w:r>
      <w:r w:rsidR="00DB5518" w:rsidRPr="00111CED">
        <w:rPr>
          <w:rFonts w:ascii="Palatino Linotype" w:hAnsi="Palatino Linotype" w:cstheme="minorHAnsi"/>
          <w:sz w:val="22"/>
          <w:szCs w:val="22"/>
        </w:rPr>
        <w:t>2</w:t>
      </w:r>
      <w:r w:rsidR="00080211" w:rsidRPr="00111CED">
        <w:rPr>
          <w:rFonts w:ascii="Palatino Linotype" w:hAnsi="Palatino Linotype" w:cstheme="minorHAnsi"/>
          <w:sz w:val="22"/>
          <w:szCs w:val="22"/>
        </w:rPr>
        <w:t>,8</w:t>
      </w:r>
      <w:r w:rsidR="00B56D03" w:rsidRPr="00111CED">
        <w:rPr>
          <w:rFonts w:ascii="Palatino Linotype" w:hAnsi="Palatino Linotype" w:cstheme="minorHAnsi"/>
          <w:sz w:val="22"/>
          <w:szCs w:val="22"/>
        </w:rPr>
        <w:t xml:space="preserve"> yüzde</w:t>
      </w:r>
      <w:r w:rsidR="00C86475" w:rsidRPr="00111CED">
        <w:rPr>
          <w:rFonts w:ascii="Palatino Linotype" w:hAnsi="Palatino Linotype" w:cstheme="minorHAnsi"/>
          <w:sz w:val="22"/>
          <w:szCs w:val="22"/>
        </w:rPr>
        <w:t xml:space="preserve"> </w:t>
      </w:r>
      <w:r w:rsidR="00B56D03" w:rsidRPr="00111CED">
        <w:rPr>
          <w:rFonts w:ascii="Palatino Linotype" w:hAnsi="Palatino Linotype" w:cstheme="minorHAnsi"/>
          <w:sz w:val="22"/>
          <w:szCs w:val="22"/>
        </w:rPr>
        <w:t>puanlık bir katkı yaptı</w:t>
      </w:r>
      <w:r w:rsidR="00C86475" w:rsidRPr="00111CED">
        <w:rPr>
          <w:rFonts w:ascii="Palatino Linotype" w:hAnsi="Palatino Linotype" w:cstheme="minorHAnsi"/>
          <w:sz w:val="22"/>
          <w:szCs w:val="22"/>
        </w:rPr>
        <w:t xml:space="preserve"> </w:t>
      </w:r>
      <w:r w:rsidR="00AB1006" w:rsidRPr="00111CED">
        <w:rPr>
          <w:rFonts w:ascii="Palatino Linotype" w:hAnsi="Palatino Linotype" w:cstheme="minorHAnsi"/>
          <w:sz w:val="22"/>
          <w:szCs w:val="22"/>
        </w:rPr>
        <w:t>(Tablo 1)</w:t>
      </w:r>
      <w:r w:rsidR="00A310EA" w:rsidRPr="00111CED">
        <w:rPr>
          <w:rFonts w:ascii="Palatino Linotype" w:hAnsi="Palatino Linotype" w:cstheme="minorHAnsi"/>
          <w:sz w:val="22"/>
          <w:szCs w:val="22"/>
        </w:rPr>
        <w:t>.</w:t>
      </w:r>
      <w:r w:rsidR="00E83A84" w:rsidRPr="00111CED">
        <w:rPr>
          <w:rFonts w:ascii="Palatino Linotype" w:hAnsi="Palatino Linotype" w:cstheme="minorHAnsi"/>
          <w:sz w:val="22"/>
          <w:szCs w:val="22"/>
        </w:rPr>
        <w:t xml:space="preserve"> Çeyreklik verilerde de benzer bir durum görülüyor: 2017 yılının son çeyreğinde büyümeye eksi 0,4 yüzde puan katkı yapan yatırımların ilk çeyrekte 1,5 yüzde puan gibi anlamlı bir katkı yaptığı anlaşılıyor (Tablo 2). </w:t>
      </w:r>
      <w:r w:rsidR="00A310EA" w:rsidRPr="00111CED">
        <w:rPr>
          <w:rFonts w:ascii="Palatino Linotype" w:hAnsi="Palatino Linotype" w:cstheme="minorHAnsi"/>
          <w:sz w:val="22"/>
          <w:szCs w:val="22"/>
        </w:rPr>
        <w:t xml:space="preserve"> </w:t>
      </w:r>
      <w:r w:rsidR="00E83A84" w:rsidRPr="00111CED">
        <w:rPr>
          <w:rFonts w:ascii="Palatino Linotype" w:hAnsi="Palatino Linotype" w:cstheme="minorHAnsi"/>
          <w:sz w:val="22"/>
          <w:szCs w:val="22"/>
        </w:rPr>
        <w:t>Hatırlanacağı üzere, y</w:t>
      </w:r>
      <w:r w:rsidR="00A310EA" w:rsidRPr="00111CED">
        <w:rPr>
          <w:rFonts w:ascii="Palatino Linotype" w:hAnsi="Palatino Linotype" w:cstheme="minorHAnsi"/>
          <w:sz w:val="22"/>
          <w:szCs w:val="22"/>
        </w:rPr>
        <w:t>atırımların yıllık büyümeye katkısı</w:t>
      </w:r>
      <w:r w:rsidR="00E83A84" w:rsidRPr="00111CED">
        <w:rPr>
          <w:rFonts w:ascii="Palatino Linotype" w:hAnsi="Palatino Linotype" w:cstheme="minorHAnsi"/>
          <w:sz w:val="22"/>
          <w:szCs w:val="22"/>
        </w:rPr>
        <w:t xml:space="preserve"> 2017 yılının</w:t>
      </w:r>
      <w:r w:rsidR="00A310EA" w:rsidRPr="00111CED">
        <w:rPr>
          <w:rFonts w:ascii="Palatino Linotype" w:hAnsi="Palatino Linotype" w:cstheme="minorHAnsi"/>
          <w:sz w:val="22"/>
          <w:szCs w:val="22"/>
        </w:rPr>
        <w:t xml:space="preserve"> ikinci</w:t>
      </w:r>
      <w:r w:rsidR="00E83A84" w:rsidRPr="00111CED">
        <w:rPr>
          <w:rFonts w:ascii="Palatino Linotype" w:hAnsi="Palatino Linotype" w:cstheme="minorHAnsi"/>
          <w:sz w:val="22"/>
          <w:szCs w:val="22"/>
        </w:rPr>
        <w:t xml:space="preserve"> ve üçüncü </w:t>
      </w:r>
      <w:r w:rsidR="00A310EA" w:rsidRPr="00111CED">
        <w:rPr>
          <w:rFonts w:ascii="Palatino Linotype" w:hAnsi="Palatino Linotype" w:cstheme="minorHAnsi"/>
          <w:sz w:val="22"/>
          <w:szCs w:val="22"/>
        </w:rPr>
        <w:t>çeyrek</w:t>
      </w:r>
      <w:r w:rsidR="00E83A84" w:rsidRPr="00111CED">
        <w:rPr>
          <w:rFonts w:ascii="Palatino Linotype" w:hAnsi="Palatino Linotype" w:cstheme="minorHAnsi"/>
          <w:sz w:val="22"/>
          <w:szCs w:val="22"/>
        </w:rPr>
        <w:t xml:space="preserve">lerinde de sırası ile </w:t>
      </w:r>
      <w:r w:rsidR="00A310EA" w:rsidRPr="00111CED">
        <w:rPr>
          <w:rFonts w:ascii="Palatino Linotype" w:hAnsi="Palatino Linotype" w:cstheme="minorHAnsi"/>
          <w:sz w:val="22"/>
          <w:szCs w:val="22"/>
        </w:rPr>
        <w:t xml:space="preserve">2,4 </w:t>
      </w:r>
      <w:r w:rsidR="00E83A84" w:rsidRPr="00111CED">
        <w:rPr>
          <w:rFonts w:ascii="Palatino Linotype" w:hAnsi="Palatino Linotype" w:cstheme="minorHAnsi"/>
          <w:sz w:val="22"/>
          <w:szCs w:val="22"/>
        </w:rPr>
        <w:t>ve</w:t>
      </w:r>
      <w:r w:rsidR="00A310EA" w:rsidRPr="00111CED">
        <w:rPr>
          <w:rFonts w:ascii="Palatino Linotype" w:hAnsi="Palatino Linotype" w:cstheme="minorHAnsi"/>
          <w:sz w:val="22"/>
          <w:szCs w:val="22"/>
        </w:rPr>
        <w:t xml:space="preserve"> 3,5 yüzde puan</w:t>
      </w:r>
      <w:r w:rsidR="00E83A84" w:rsidRPr="00111CED">
        <w:rPr>
          <w:rFonts w:ascii="Palatino Linotype" w:hAnsi="Palatino Linotype" w:cstheme="minorHAnsi"/>
          <w:sz w:val="22"/>
          <w:szCs w:val="22"/>
        </w:rPr>
        <w:t xml:space="preserve"> olarak gerçekleşmişti.</w:t>
      </w:r>
      <w:r w:rsidR="00A310EA" w:rsidRPr="00111CED">
        <w:rPr>
          <w:rFonts w:ascii="Palatino Linotype" w:hAnsi="Palatino Linotype" w:cstheme="minorHAnsi"/>
          <w:sz w:val="22"/>
          <w:szCs w:val="22"/>
        </w:rPr>
        <w:t xml:space="preserve"> </w:t>
      </w:r>
      <w:r w:rsidR="00E83A84" w:rsidRPr="00111CED">
        <w:rPr>
          <w:rFonts w:ascii="Palatino Linotype" w:hAnsi="Palatino Linotype" w:cstheme="minorHAnsi"/>
          <w:sz w:val="22"/>
          <w:szCs w:val="22"/>
        </w:rPr>
        <w:t>Yatırımlarda görülen bu olumlu gelişmelerin son günlerde yaşanan gelişmeler sonucu artan piyasa faizleri</w:t>
      </w:r>
      <w:r w:rsidR="007C462A" w:rsidRPr="00111CED">
        <w:rPr>
          <w:rFonts w:ascii="Palatino Linotype" w:hAnsi="Palatino Linotype" w:cstheme="minorHAnsi"/>
          <w:sz w:val="22"/>
          <w:szCs w:val="22"/>
        </w:rPr>
        <w:t>nden olumsuz etkilenmesini</w:t>
      </w:r>
      <w:r w:rsidR="00E83A84" w:rsidRPr="00111CED">
        <w:rPr>
          <w:rFonts w:ascii="Palatino Linotype" w:hAnsi="Palatino Linotype" w:cstheme="minorHAnsi"/>
          <w:sz w:val="22"/>
          <w:szCs w:val="22"/>
        </w:rPr>
        <w:t xml:space="preserve"> bekliyoruz.</w:t>
      </w:r>
    </w:p>
    <w:p w:rsidR="00D45167" w:rsidRPr="00111CED" w:rsidRDefault="00D45167" w:rsidP="00681022">
      <w:pPr>
        <w:pStyle w:val="NormalWeb"/>
        <w:spacing w:before="0" w:beforeAutospacing="0" w:after="0" w:afterAutospacing="0" w:line="360" w:lineRule="auto"/>
        <w:ind w:right="77"/>
        <w:rPr>
          <w:rFonts w:ascii="Palatino Linotype" w:hAnsi="Palatino Linotype" w:cstheme="minorHAnsi"/>
          <w:b/>
          <w:sz w:val="22"/>
          <w:szCs w:val="22"/>
        </w:rPr>
      </w:pPr>
    </w:p>
    <w:p w:rsidR="00681AD9" w:rsidRPr="00111CED"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111CED">
        <w:rPr>
          <w:rFonts w:ascii="Palatino Linotype" w:hAnsi="Palatino Linotype" w:cstheme="minorHAnsi"/>
          <w:b/>
          <w:sz w:val="22"/>
          <w:szCs w:val="22"/>
        </w:rPr>
        <w:t>Stok değişimlerin</w:t>
      </w:r>
      <w:r w:rsidR="00DB5518" w:rsidRPr="00111CED">
        <w:rPr>
          <w:rFonts w:ascii="Palatino Linotype" w:hAnsi="Palatino Linotype" w:cstheme="minorHAnsi"/>
          <w:b/>
          <w:sz w:val="22"/>
          <w:szCs w:val="22"/>
        </w:rPr>
        <w:t>in katkısı azaldı</w:t>
      </w:r>
      <w:r w:rsidR="00494926" w:rsidRPr="00111CED">
        <w:rPr>
          <w:rStyle w:val="FootnoteReference"/>
          <w:rFonts w:ascii="Palatino Linotype" w:hAnsi="Palatino Linotype" w:cstheme="minorHAnsi"/>
          <w:b/>
          <w:sz w:val="22"/>
          <w:szCs w:val="22"/>
        </w:rPr>
        <w:footnoteReference w:id="4"/>
      </w:r>
    </w:p>
    <w:p w:rsidR="002106DF" w:rsidRPr="00111CED" w:rsidRDefault="00681022" w:rsidP="003E1EED">
      <w:pPr>
        <w:pStyle w:val="NormalWeb"/>
        <w:spacing w:before="0" w:beforeAutospacing="0" w:after="0" w:afterAutospacing="0" w:line="360" w:lineRule="auto"/>
        <w:ind w:right="77"/>
        <w:jc w:val="both"/>
        <w:rPr>
          <w:rFonts w:ascii="Palatino Linotype" w:hAnsi="Palatino Linotype" w:cstheme="minorHAnsi"/>
          <w:b/>
          <w:sz w:val="22"/>
          <w:szCs w:val="22"/>
        </w:rPr>
      </w:pPr>
      <w:r w:rsidRPr="00111CED">
        <w:rPr>
          <w:rFonts w:ascii="Palatino Linotype" w:hAnsi="Palatino Linotype" w:cstheme="minorHAnsi"/>
          <w:sz w:val="22"/>
          <w:szCs w:val="22"/>
        </w:rPr>
        <w:t xml:space="preserve">2017 yılının </w:t>
      </w:r>
      <w:r w:rsidR="00DB5518" w:rsidRPr="00111CED">
        <w:rPr>
          <w:rFonts w:ascii="Palatino Linotype" w:hAnsi="Palatino Linotype" w:cstheme="minorHAnsi"/>
          <w:sz w:val="22"/>
          <w:szCs w:val="22"/>
        </w:rPr>
        <w:t>son</w:t>
      </w:r>
      <w:r w:rsidR="00C82B14" w:rsidRPr="00111CED">
        <w:rPr>
          <w:rFonts w:ascii="Palatino Linotype" w:hAnsi="Palatino Linotype" w:cstheme="minorHAnsi"/>
          <w:sz w:val="22"/>
          <w:szCs w:val="22"/>
        </w:rPr>
        <w:t xml:space="preserve"> çeyreğinde s</w:t>
      </w:r>
      <w:r w:rsidRPr="00111CED">
        <w:rPr>
          <w:rFonts w:ascii="Palatino Linotype" w:hAnsi="Palatino Linotype" w:cstheme="minorHAnsi"/>
          <w:sz w:val="22"/>
          <w:szCs w:val="22"/>
        </w:rPr>
        <w:t>tok değişi</w:t>
      </w:r>
      <w:r w:rsidR="00492020" w:rsidRPr="00111CED">
        <w:rPr>
          <w:rFonts w:ascii="Palatino Linotype" w:hAnsi="Palatino Linotype" w:cstheme="minorHAnsi"/>
          <w:sz w:val="22"/>
          <w:szCs w:val="22"/>
        </w:rPr>
        <w:t>mlerinin</w:t>
      </w:r>
      <w:r w:rsidRPr="00111CED">
        <w:rPr>
          <w:rFonts w:ascii="Palatino Linotype" w:hAnsi="Palatino Linotype" w:cstheme="minorHAnsi"/>
          <w:sz w:val="22"/>
          <w:szCs w:val="22"/>
        </w:rPr>
        <w:t xml:space="preserve"> </w:t>
      </w:r>
      <w:r w:rsidR="007C462A" w:rsidRPr="00111CED">
        <w:rPr>
          <w:rFonts w:ascii="Palatino Linotype" w:hAnsi="Palatino Linotype" w:cstheme="minorHAnsi"/>
          <w:sz w:val="22"/>
          <w:szCs w:val="22"/>
        </w:rPr>
        <w:t xml:space="preserve">yıllık </w:t>
      </w:r>
      <w:r w:rsidRPr="00111CED">
        <w:rPr>
          <w:rFonts w:ascii="Palatino Linotype" w:hAnsi="Palatino Linotype" w:cstheme="minorHAnsi"/>
          <w:sz w:val="22"/>
          <w:szCs w:val="22"/>
        </w:rPr>
        <w:t xml:space="preserve">büyümeye </w:t>
      </w:r>
      <w:r w:rsidR="00492020" w:rsidRPr="00111CED">
        <w:rPr>
          <w:rFonts w:ascii="Palatino Linotype" w:hAnsi="Palatino Linotype" w:cstheme="minorHAnsi"/>
          <w:sz w:val="22"/>
          <w:szCs w:val="22"/>
        </w:rPr>
        <w:t>3,7</w:t>
      </w:r>
      <w:r w:rsidR="003061DC" w:rsidRPr="00111CED">
        <w:rPr>
          <w:rFonts w:ascii="Palatino Linotype" w:hAnsi="Palatino Linotype" w:cstheme="minorHAnsi"/>
          <w:sz w:val="22"/>
          <w:szCs w:val="22"/>
        </w:rPr>
        <w:t xml:space="preserve"> yüzde puanlık muazzam bir </w:t>
      </w:r>
      <w:r w:rsidR="00492020" w:rsidRPr="00111CED">
        <w:rPr>
          <w:rFonts w:ascii="Palatino Linotype" w:hAnsi="Palatino Linotype" w:cstheme="minorHAnsi"/>
          <w:sz w:val="22"/>
          <w:szCs w:val="22"/>
        </w:rPr>
        <w:t>katkı</w:t>
      </w:r>
      <w:r w:rsidR="00DB5518" w:rsidRPr="00111CED">
        <w:rPr>
          <w:rFonts w:ascii="Palatino Linotype" w:hAnsi="Palatino Linotype" w:cstheme="minorHAnsi"/>
          <w:sz w:val="22"/>
          <w:szCs w:val="22"/>
        </w:rPr>
        <w:t>sı</w:t>
      </w:r>
      <w:r w:rsidR="00492020" w:rsidRPr="00111CED">
        <w:rPr>
          <w:rFonts w:ascii="Palatino Linotype" w:hAnsi="Palatino Linotype" w:cstheme="minorHAnsi"/>
          <w:sz w:val="22"/>
          <w:szCs w:val="22"/>
        </w:rPr>
        <w:t xml:space="preserve"> </w:t>
      </w:r>
      <w:r w:rsidR="00DB5518" w:rsidRPr="00111CED">
        <w:rPr>
          <w:rFonts w:ascii="Palatino Linotype" w:hAnsi="Palatino Linotype" w:cstheme="minorHAnsi"/>
          <w:sz w:val="22"/>
          <w:szCs w:val="22"/>
        </w:rPr>
        <w:t>vardı</w:t>
      </w:r>
      <w:r w:rsidR="00492020" w:rsidRPr="00111CED">
        <w:rPr>
          <w:rFonts w:ascii="Palatino Linotype" w:hAnsi="Palatino Linotype" w:cstheme="minorHAnsi"/>
          <w:sz w:val="22"/>
          <w:szCs w:val="22"/>
        </w:rPr>
        <w:t xml:space="preserve"> </w:t>
      </w:r>
      <w:r w:rsidRPr="00111CED">
        <w:rPr>
          <w:rFonts w:ascii="Palatino Linotype" w:hAnsi="Palatino Linotype" w:cstheme="minorHAnsi"/>
          <w:sz w:val="22"/>
          <w:szCs w:val="22"/>
        </w:rPr>
        <w:t xml:space="preserve">(Tablo 1). </w:t>
      </w:r>
      <w:r w:rsidR="00DB5518" w:rsidRPr="00111CED">
        <w:rPr>
          <w:rFonts w:ascii="Palatino Linotype" w:hAnsi="Palatino Linotype" w:cstheme="minorHAnsi"/>
          <w:sz w:val="22"/>
          <w:szCs w:val="22"/>
        </w:rPr>
        <w:t xml:space="preserve">Bu katkının 2018 yılının ilk çeyreğinde durularak 1,7 yüzde puan olduğunu görüyoruz. </w:t>
      </w:r>
      <w:r w:rsidR="006D02FD" w:rsidRPr="00111CED">
        <w:rPr>
          <w:rFonts w:ascii="Palatino Linotype" w:hAnsi="Palatino Linotype" w:cstheme="minorHAnsi"/>
          <w:sz w:val="22"/>
          <w:szCs w:val="22"/>
        </w:rPr>
        <w:t>Çeyreklik büyümeye bakıldığında ise, m</w:t>
      </w:r>
      <w:r w:rsidRPr="00111CED">
        <w:rPr>
          <w:rFonts w:ascii="Palatino Linotype" w:hAnsi="Palatino Linotype" w:cstheme="minorHAnsi"/>
          <w:sz w:val="22"/>
          <w:szCs w:val="22"/>
        </w:rPr>
        <w:t xml:space="preserve">evsim ve takvim etkilerinden </w:t>
      </w:r>
      <w:r w:rsidRPr="00111CED">
        <w:rPr>
          <w:rFonts w:ascii="Palatino Linotype" w:hAnsi="Palatino Linotype" w:cstheme="minorHAnsi"/>
          <w:sz w:val="22"/>
          <w:szCs w:val="22"/>
        </w:rPr>
        <w:lastRenderedPageBreak/>
        <w:t xml:space="preserve">arındırılmış stok değişiminin </w:t>
      </w:r>
      <w:r w:rsidR="00650BB3" w:rsidRPr="00111CED">
        <w:rPr>
          <w:rFonts w:ascii="Palatino Linotype" w:hAnsi="Palatino Linotype" w:cstheme="minorHAnsi"/>
          <w:sz w:val="22"/>
          <w:szCs w:val="22"/>
        </w:rPr>
        <w:t xml:space="preserve">eksi </w:t>
      </w:r>
      <w:r w:rsidR="006D02FD" w:rsidRPr="00111CED">
        <w:rPr>
          <w:rFonts w:ascii="Palatino Linotype" w:hAnsi="Palatino Linotype" w:cstheme="minorHAnsi"/>
          <w:sz w:val="22"/>
          <w:szCs w:val="22"/>
        </w:rPr>
        <w:t>3,5 yüzde puan ile büyümey</w:t>
      </w:r>
      <w:r w:rsidR="00650BB3" w:rsidRPr="00111CED">
        <w:rPr>
          <w:rFonts w:ascii="Palatino Linotype" w:hAnsi="Palatino Linotype" w:cstheme="minorHAnsi"/>
          <w:sz w:val="22"/>
          <w:szCs w:val="22"/>
        </w:rPr>
        <w:t>i olumsuz etkilediği</w:t>
      </w:r>
      <w:r w:rsidR="006D02FD" w:rsidRPr="00111CED">
        <w:rPr>
          <w:rFonts w:ascii="Palatino Linotype" w:hAnsi="Palatino Linotype" w:cstheme="minorHAnsi"/>
          <w:sz w:val="22"/>
          <w:szCs w:val="22"/>
        </w:rPr>
        <w:t xml:space="preserve"> görülmektedir</w:t>
      </w:r>
      <w:r w:rsidR="001F1554" w:rsidRPr="00111CED">
        <w:rPr>
          <w:rFonts w:ascii="Palatino Linotype" w:hAnsi="Palatino Linotype" w:cstheme="minorHAnsi"/>
          <w:sz w:val="22"/>
          <w:szCs w:val="22"/>
        </w:rPr>
        <w:t xml:space="preserve"> </w:t>
      </w:r>
      <w:r w:rsidRPr="00111CED">
        <w:rPr>
          <w:rFonts w:ascii="Palatino Linotype" w:hAnsi="Palatino Linotype" w:cstheme="minorHAnsi"/>
          <w:sz w:val="22"/>
          <w:szCs w:val="22"/>
        </w:rPr>
        <w:t>(Tablo 2).</w:t>
      </w:r>
    </w:p>
    <w:p w:rsidR="007C462A" w:rsidRPr="00111CED" w:rsidRDefault="007C462A" w:rsidP="00F46A54">
      <w:pPr>
        <w:pStyle w:val="NormalWeb"/>
        <w:spacing w:before="0" w:beforeAutospacing="0" w:after="0" w:afterAutospacing="0" w:line="360" w:lineRule="auto"/>
        <w:ind w:right="77"/>
        <w:rPr>
          <w:rFonts w:ascii="Palatino Linotype" w:hAnsi="Palatino Linotype" w:cstheme="minorHAnsi"/>
          <w:b/>
          <w:sz w:val="22"/>
          <w:szCs w:val="22"/>
        </w:rPr>
      </w:pPr>
    </w:p>
    <w:p w:rsidR="00F46A54" w:rsidRPr="00111CED" w:rsidRDefault="003061DC" w:rsidP="00F46A54">
      <w:pPr>
        <w:pStyle w:val="NormalWeb"/>
        <w:spacing w:before="0" w:beforeAutospacing="0" w:after="0" w:afterAutospacing="0" w:line="360" w:lineRule="auto"/>
        <w:ind w:right="77"/>
        <w:rPr>
          <w:rFonts w:ascii="Palatino Linotype" w:hAnsi="Palatino Linotype" w:cstheme="minorHAnsi"/>
          <w:b/>
          <w:sz w:val="22"/>
          <w:szCs w:val="22"/>
        </w:rPr>
      </w:pPr>
      <w:r w:rsidRPr="00111CED">
        <w:rPr>
          <w:rFonts w:ascii="Palatino Linotype" w:hAnsi="Palatino Linotype" w:cstheme="minorHAnsi"/>
          <w:b/>
          <w:sz w:val="22"/>
          <w:szCs w:val="22"/>
        </w:rPr>
        <w:t xml:space="preserve">Net dış ticaretin </w:t>
      </w:r>
      <w:r w:rsidR="007C462A" w:rsidRPr="00111CED">
        <w:rPr>
          <w:rFonts w:ascii="Palatino Linotype" w:hAnsi="Palatino Linotype" w:cstheme="minorHAnsi"/>
          <w:b/>
          <w:sz w:val="22"/>
          <w:szCs w:val="22"/>
        </w:rPr>
        <w:t xml:space="preserve">negatif </w:t>
      </w:r>
      <w:r w:rsidRPr="00111CED">
        <w:rPr>
          <w:rFonts w:ascii="Palatino Linotype" w:hAnsi="Palatino Linotype" w:cstheme="minorHAnsi"/>
          <w:b/>
          <w:sz w:val="22"/>
          <w:szCs w:val="22"/>
        </w:rPr>
        <w:t xml:space="preserve">katkısı </w:t>
      </w:r>
      <w:r w:rsidR="007C462A" w:rsidRPr="00111CED">
        <w:rPr>
          <w:rFonts w:ascii="Palatino Linotype" w:hAnsi="Palatino Linotype" w:cstheme="minorHAnsi"/>
          <w:b/>
          <w:sz w:val="22"/>
          <w:szCs w:val="22"/>
        </w:rPr>
        <w:t xml:space="preserve">artarak </w:t>
      </w:r>
      <w:r w:rsidR="006D02FD" w:rsidRPr="00111CED">
        <w:rPr>
          <w:rFonts w:ascii="Palatino Linotype" w:hAnsi="Palatino Linotype" w:cstheme="minorHAnsi"/>
          <w:b/>
          <w:sz w:val="22"/>
          <w:szCs w:val="22"/>
        </w:rPr>
        <w:t>devam ediyor</w:t>
      </w:r>
    </w:p>
    <w:p w:rsidR="009B16AD" w:rsidRPr="00111CED" w:rsidRDefault="003061DC" w:rsidP="009B16AD">
      <w:pPr>
        <w:pStyle w:val="NormalWeb"/>
        <w:spacing w:before="0" w:beforeAutospacing="0" w:after="0" w:afterAutospacing="0" w:line="360" w:lineRule="auto"/>
        <w:ind w:right="77"/>
        <w:jc w:val="both"/>
        <w:rPr>
          <w:rFonts w:ascii="Palatino Linotype" w:hAnsi="Palatino Linotype" w:cstheme="minorHAnsi"/>
          <w:sz w:val="22"/>
          <w:szCs w:val="22"/>
        </w:rPr>
      </w:pPr>
      <w:r w:rsidRPr="00111CED">
        <w:rPr>
          <w:rFonts w:ascii="Palatino Linotype" w:hAnsi="Palatino Linotype" w:cstheme="minorHAnsi"/>
          <w:sz w:val="22"/>
          <w:szCs w:val="22"/>
        </w:rPr>
        <w:t xml:space="preserve">2017 yılının </w:t>
      </w:r>
      <w:r w:rsidR="006D02FD" w:rsidRPr="00111CED">
        <w:rPr>
          <w:rFonts w:ascii="Palatino Linotype" w:hAnsi="Palatino Linotype" w:cstheme="minorHAnsi"/>
          <w:sz w:val="22"/>
          <w:szCs w:val="22"/>
        </w:rPr>
        <w:t>son</w:t>
      </w:r>
      <w:r w:rsidRPr="00111CED">
        <w:rPr>
          <w:rFonts w:ascii="Palatino Linotype" w:hAnsi="Palatino Linotype" w:cstheme="minorHAnsi"/>
          <w:sz w:val="22"/>
          <w:szCs w:val="22"/>
        </w:rPr>
        <w:t xml:space="preserve"> çeyreğinde net dış ticaretin katkısı </w:t>
      </w:r>
      <w:r w:rsidR="006D02FD" w:rsidRPr="00111CED">
        <w:rPr>
          <w:rFonts w:ascii="Palatino Linotype" w:hAnsi="Palatino Linotype" w:cstheme="minorHAnsi"/>
          <w:sz w:val="22"/>
          <w:szCs w:val="22"/>
        </w:rPr>
        <w:t>negatife dönmüştü</w:t>
      </w:r>
      <w:r w:rsidRPr="00111CED">
        <w:rPr>
          <w:rFonts w:ascii="Palatino Linotype" w:hAnsi="Palatino Linotype" w:cstheme="minorHAnsi"/>
          <w:sz w:val="22"/>
          <w:szCs w:val="22"/>
        </w:rPr>
        <w:t xml:space="preserve">. </w:t>
      </w:r>
      <w:r w:rsidR="006D02FD" w:rsidRPr="00111CED">
        <w:rPr>
          <w:rFonts w:ascii="Palatino Linotype" w:hAnsi="Palatino Linotype" w:cstheme="minorHAnsi"/>
          <w:sz w:val="22"/>
          <w:szCs w:val="22"/>
        </w:rPr>
        <w:t>2018 yılının ilk çeyreğinde</w:t>
      </w:r>
      <w:r w:rsidRPr="00111CED">
        <w:rPr>
          <w:rFonts w:ascii="Palatino Linotype" w:hAnsi="Palatino Linotype" w:cstheme="minorHAnsi"/>
          <w:sz w:val="22"/>
          <w:szCs w:val="22"/>
        </w:rPr>
        <w:t xml:space="preserve"> ise b</w:t>
      </w:r>
      <w:r w:rsidR="00C82B14" w:rsidRPr="00111CED">
        <w:rPr>
          <w:rFonts w:ascii="Palatino Linotype" w:hAnsi="Palatino Linotype" w:cstheme="minorHAnsi"/>
          <w:sz w:val="22"/>
          <w:szCs w:val="22"/>
        </w:rPr>
        <w:t>ir önceki yılın aynı çeyreği ile kıyaslandığında</w:t>
      </w:r>
      <w:r w:rsidR="001F1554" w:rsidRPr="00111CED">
        <w:rPr>
          <w:rFonts w:ascii="Palatino Linotype" w:hAnsi="Palatino Linotype" w:cstheme="minorHAnsi"/>
          <w:sz w:val="22"/>
          <w:szCs w:val="22"/>
        </w:rPr>
        <w:t xml:space="preserve"> </w:t>
      </w:r>
      <w:r w:rsidR="005A617F" w:rsidRPr="00111CED">
        <w:rPr>
          <w:rFonts w:ascii="Palatino Linotype" w:hAnsi="Palatino Linotype" w:cstheme="minorHAnsi"/>
          <w:sz w:val="22"/>
          <w:szCs w:val="22"/>
        </w:rPr>
        <w:t>ihracatın büyümeye katkısı</w:t>
      </w:r>
      <w:r w:rsidR="00D45167" w:rsidRPr="00111CED">
        <w:rPr>
          <w:rFonts w:ascii="Palatino Linotype" w:hAnsi="Palatino Linotype" w:cstheme="minorHAnsi"/>
          <w:sz w:val="22"/>
          <w:szCs w:val="22"/>
        </w:rPr>
        <w:t>nın</w:t>
      </w:r>
      <w:r w:rsidR="001F1554" w:rsidRPr="00111CED">
        <w:rPr>
          <w:rFonts w:ascii="Palatino Linotype" w:hAnsi="Palatino Linotype" w:cstheme="minorHAnsi"/>
          <w:color w:val="FF0000"/>
          <w:sz w:val="22"/>
          <w:szCs w:val="22"/>
        </w:rPr>
        <w:t xml:space="preserve"> </w:t>
      </w:r>
      <w:r w:rsidR="006D02FD" w:rsidRPr="00111CED">
        <w:rPr>
          <w:rFonts w:ascii="Palatino Linotype" w:hAnsi="Palatino Linotype" w:cstheme="minorHAnsi"/>
          <w:sz w:val="22"/>
          <w:szCs w:val="22"/>
        </w:rPr>
        <w:t>2</w:t>
      </w:r>
      <w:r w:rsidR="001F1554" w:rsidRPr="00111CED">
        <w:rPr>
          <w:rFonts w:ascii="Palatino Linotype" w:hAnsi="Palatino Linotype" w:cstheme="minorHAnsi"/>
          <w:sz w:val="22"/>
          <w:szCs w:val="22"/>
        </w:rPr>
        <w:t xml:space="preserve"> </w:t>
      </w:r>
      <w:r w:rsidR="00D45167" w:rsidRPr="00111CED">
        <w:rPr>
          <w:rFonts w:ascii="Palatino Linotype" w:hAnsi="Palatino Linotype" w:cstheme="minorHAnsi"/>
          <w:sz w:val="22"/>
          <w:szCs w:val="22"/>
        </w:rPr>
        <w:t>yüzde</w:t>
      </w:r>
      <w:r w:rsidR="001F1554" w:rsidRPr="00111CED">
        <w:rPr>
          <w:rFonts w:ascii="Palatino Linotype" w:hAnsi="Palatino Linotype" w:cstheme="minorHAnsi"/>
          <w:sz w:val="22"/>
          <w:szCs w:val="22"/>
        </w:rPr>
        <w:t xml:space="preserve"> </w:t>
      </w:r>
      <w:r w:rsidR="00D45167" w:rsidRPr="00111CED">
        <w:rPr>
          <w:rFonts w:ascii="Palatino Linotype" w:hAnsi="Palatino Linotype" w:cstheme="minorHAnsi"/>
          <w:sz w:val="22"/>
          <w:szCs w:val="22"/>
        </w:rPr>
        <w:t>puandan</w:t>
      </w:r>
      <w:r w:rsidR="005A617F" w:rsidRPr="00111CED">
        <w:rPr>
          <w:rFonts w:ascii="Palatino Linotype" w:hAnsi="Palatino Linotype" w:cstheme="minorHAnsi"/>
          <w:sz w:val="22"/>
          <w:szCs w:val="22"/>
        </w:rPr>
        <w:t xml:space="preserve"> </w:t>
      </w:r>
      <w:r w:rsidR="006D02FD" w:rsidRPr="00111CED">
        <w:rPr>
          <w:rFonts w:ascii="Palatino Linotype" w:hAnsi="Palatino Linotype" w:cstheme="minorHAnsi"/>
          <w:sz w:val="22"/>
          <w:szCs w:val="22"/>
        </w:rPr>
        <w:t>0,3</w:t>
      </w:r>
      <w:r w:rsidR="001F1554" w:rsidRPr="00111CED">
        <w:rPr>
          <w:rFonts w:ascii="Palatino Linotype" w:hAnsi="Palatino Linotype" w:cstheme="minorHAnsi"/>
          <w:sz w:val="22"/>
          <w:szCs w:val="22"/>
        </w:rPr>
        <w:t xml:space="preserve"> </w:t>
      </w:r>
      <w:r w:rsidR="00D45167" w:rsidRPr="00111CED">
        <w:rPr>
          <w:rFonts w:ascii="Palatino Linotype" w:hAnsi="Palatino Linotype" w:cstheme="minorHAnsi"/>
          <w:sz w:val="22"/>
          <w:szCs w:val="22"/>
        </w:rPr>
        <w:t>yüzde puan</w:t>
      </w:r>
      <w:r w:rsidR="006D02FD" w:rsidRPr="00111CED">
        <w:rPr>
          <w:rFonts w:ascii="Palatino Linotype" w:hAnsi="Palatino Linotype" w:cstheme="minorHAnsi"/>
          <w:sz w:val="22"/>
          <w:szCs w:val="22"/>
        </w:rPr>
        <w:t xml:space="preserve"> düştüğü</w:t>
      </w:r>
      <w:r w:rsidR="005A617F" w:rsidRPr="00111CED">
        <w:rPr>
          <w:rFonts w:ascii="Palatino Linotype" w:hAnsi="Palatino Linotype" w:cstheme="minorHAnsi"/>
          <w:sz w:val="22"/>
          <w:szCs w:val="22"/>
        </w:rPr>
        <w:t>, ithalatın katkısı</w:t>
      </w:r>
      <w:r w:rsidR="00D45167" w:rsidRPr="00111CED">
        <w:rPr>
          <w:rFonts w:ascii="Palatino Linotype" w:hAnsi="Palatino Linotype" w:cstheme="minorHAnsi"/>
          <w:sz w:val="22"/>
          <w:szCs w:val="22"/>
        </w:rPr>
        <w:t>nın</w:t>
      </w:r>
      <w:r w:rsidR="005A617F" w:rsidRPr="00111CED">
        <w:rPr>
          <w:rFonts w:ascii="Palatino Linotype" w:hAnsi="Palatino Linotype" w:cstheme="minorHAnsi"/>
          <w:sz w:val="22"/>
          <w:szCs w:val="22"/>
        </w:rPr>
        <w:t xml:space="preserve"> ise </w:t>
      </w:r>
      <w:r w:rsidR="001F1554" w:rsidRPr="00111CED">
        <w:rPr>
          <w:rFonts w:ascii="Palatino Linotype" w:hAnsi="Palatino Linotype" w:cstheme="minorHAnsi"/>
          <w:sz w:val="22"/>
          <w:szCs w:val="22"/>
        </w:rPr>
        <w:t xml:space="preserve">eksi </w:t>
      </w:r>
      <w:r w:rsidR="006D02FD" w:rsidRPr="00111CED">
        <w:rPr>
          <w:rFonts w:ascii="Palatino Linotype" w:hAnsi="Palatino Linotype" w:cstheme="minorHAnsi"/>
          <w:sz w:val="22"/>
          <w:szCs w:val="22"/>
        </w:rPr>
        <w:t>5</w:t>
      </w:r>
      <w:r w:rsidR="005A617F" w:rsidRPr="00111CED">
        <w:rPr>
          <w:rFonts w:ascii="Palatino Linotype" w:hAnsi="Palatino Linotype" w:cstheme="minorHAnsi"/>
          <w:sz w:val="22"/>
          <w:szCs w:val="22"/>
        </w:rPr>
        <w:t>,</w:t>
      </w:r>
      <w:r w:rsidR="006D02FD" w:rsidRPr="00111CED">
        <w:rPr>
          <w:rFonts w:ascii="Palatino Linotype" w:hAnsi="Palatino Linotype" w:cstheme="minorHAnsi"/>
          <w:sz w:val="22"/>
          <w:szCs w:val="22"/>
        </w:rPr>
        <w:t>4</w:t>
      </w:r>
      <w:r w:rsidR="001F1554" w:rsidRPr="00111CED">
        <w:rPr>
          <w:rFonts w:ascii="Palatino Linotype" w:hAnsi="Palatino Linotype" w:cstheme="minorHAnsi"/>
          <w:sz w:val="22"/>
          <w:szCs w:val="22"/>
        </w:rPr>
        <w:t xml:space="preserve"> </w:t>
      </w:r>
      <w:r w:rsidR="00D45167" w:rsidRPr="00111CED">
        <w:rPr>
          <w:rFonts w:ascii="Palatino Linotype" w:hAnsi="Palatino Linotype" w:cstheme="minorHAnsi"/>
          <w:sz w:val="22"/>
          <w:szCs w:val="22"/>
        </w:rPr>
        <w:t>yüzde puandan</w:t>
      </w:r>
      <w:r w:rsidR="001F1554" w:rsidRPr="00111CED">
        <w:rPr>
          <w:rFonts w:ascii="Palatino Linotype" w:hAnsi="Palatino Linotype" w:cstheme="minorHAnsi"/>
          <w:sz w:val="22"/>
          <w:szCs w:val="22"/>
        </w:rPr>
        <w:t xml:space="preserve"> eksi </w:t>
      </w:r>
      <w:r w:rsidR="006D02FD" w:rsidRPr="00111CED">
        <w:rPr>
          <w:rFonts w:ascii="Palatino Linotype" w:hAnsi="Palatino Linotype" w:cstheme="minorHAnsi"/>
          <w:sz w:val="22"/>
          <w:szCs w:val="22"/>
        </w:rPr>
        <w:t>4</w:t>
      </w:r>
      <w:r w:rsidR="00D45167" w:rsidRPr="00111CED">
        <w:rPr>
          <w:rFonts w:ascii="Palatino Linotype" w:hAnsi="Palatino Linotype" w:cstheme="minorHAnsi"/>
          <w:sz w:val="22"/>
          <w:szCs w:val="22"/>
        </w:rPr>
        <w:t>,</w:t>
      </w:r>
      <w:r w:rsidR="006D02FD" w:rsidRPr="00111CED">
        <w:rPr>
          <w:rFonts w:ascii="Palatino Linotype" w:hAnsi="Palatino Linotype" w:cstheme="minorHAnsi"/>
          <w:sz w:val="22"/>
          <w:szCs w:val="22"/>
        </w:rPr>
        <w:t>5</w:t>
      </w:r>
      <w:r w:rsidR="00D45167" w:rsidRPr="00111CED">
        <w:rPr>
          <w:rFonts w:ascii="Palatino Linotype" w:hAnsi="Palatino Linotype" w:cstheme="minorHAnsi"/>
          <w:sz w:val="22"/>
          <w:szCs w:val="22"/>
        </w:rPr>
        <w:t xml:space="preserve"> yüzde puana</w:t>
      </w:r>
      <w:r w:rsidR="001F1554" w:rsidRPr="00111CED">
        <w:rPr>
          <w:rFonts w:ascii="Palatino Linotype" w:hAnsi="Palatino Linotype" w:cstheme="minorHAnsi"/>
          <w:sz w:val="22"/>
          <w:szCs w:val="22"/>
        </w:rPr>
        <w:t xml:space="preserve"> </w:t>
      </w:r>
      <w:r w:rsidR="007C462A" w:rsidRPr="00111CED">
        <w:rPr>
          <w:rFonts w:ascii="Palatino Linotype" w:hAnsi="Palatino Linotype" w:cstheme="minorHAnsi"/>
          <w:sz w:val="22"/>
          <w:szCs w:val="22"/>
        </w:rPr>
        <w:t xml:space="preserve">gerilediği </w:t>
      </w:r>
      <w:r w:rsidR="006D02FD" w:rsidRPr="00111CED">
        <w:rPr>
          <w:rFonts w:ascii="Palatino Linotype" w:hAnsi="Palatino Linotype" w:cstheme="minorHAnsi"/>
          <w:sz w:val="22"/>
          <w:szCs w:val="22"/>
        </w:rPr>
        <w:t>görülüyor.</w:t>
      </w:r>
      <w:r w:rsidR="00D45167" w:rsidRPr="00111CED">
        <w:rPr>
          <w:rFonts w:ascii="Palatino Linotype" w:hAnsi="Palatino Linotype" w:cstheme="minorHAnsi"/>
          <w:sz w:val="22"/>
          <w:szCs w:val="22"/>
        </w:rPr>
        <w:t xml:space="preserve"> </w:t>
      </w:r>
      <w:r w:rsidR="006D02FD" w:rsidRPr="00111CED">
        <w:rPr>
          <w:rFonts w:ascii="Palatino Linotype" w:hAnsi="Palatino Linotype" w:cstheme="minorHAnsi"/>
          <w:sz w:val="22"/>
          <w:szCs w:val="22"/>
        </w:rPr>
        <w:t xml:space="preserve">Böylelikle </w:t>
      </w:r>
      <w:r w:rsidR="0087023B" w:rsidRPr="00111CED">
        <w:rPr>
          <w:rFonts w:ascii="Palatino Linotype" w:hAnsi="Palatino Linotype" w:cstheme="minorHAnsi"/>
          <w:sz w:val="22"/>
          <w:szCs w:val="22"/>
        </w:rPr>
        <w:t>n</w:t>
      </w:r>
      <w:r w:rsidR="00D45167" w:rsidRPr="00111CED">
        <w:rPr>
          <w:rFonts w:ascii="Palatino Linotype" w:hAnsi="Palatino Linotype" w:cstheme="minorHAnsi"/>
          <w:sz w:val="22"/>
          <w:szCs w:val="22"/>
        </w:rPr>
        <w:t>et ihracatın katkısını</w:t>
      </w:r>
      <w:r w:rsidR="006D02FD" w:rsidRPr="00111CED">
        <w:rPr>
          <w:rFonts w:ascii="Palatino Linotype" w:hAnsi="Palatino Linotype" w:cstheme="minorHAnsi"/>
          <w:sz w:val="22"/>
          <w:szCs w:val="22"/>
        </w:rPr>
        <w:t>n</w:t>
      </w:r>
      <w:r w:rsidR="00D45167" w:rsidRPr="00111CED">
        <w:rPr>
          <w:rFonts w:ascii="Palatino Linotype" w:hAnsi="Palatino Linotype" w:cstheme="minorHAnsi"/>
          <w:sz w:val="22"/>
          <w:szCs w:val="22"/>
        </w:rPr>
        <w:t xml:space="preserve"> </w:t>
      </w:r>
      <w:r w:rsidR="001F1554" w:rsidRPr="00111CED">
        <w:rPr>
          <w:rFonts w:ascii="Palatino Linotype" w:hAnsi="Palatino Linotype" w:cstheme="minorHAnsi"/>
          <w:sz w:val="22"/>
          <w:szCs w:val="22"/>
        </w:rPr>
        <w:t>eksi 3,4 yüzde puan</w:t>
      </w:r>
      <w:r w:rsidR="006D02FD" w:rsidRPr="00111CED">
        <w:rPr>
          <w:rFonts w:ascii="Palatino Linotype" w:hAnsi="Palatino Linotype" w:cstheme="minorHAnsi"/>
          <w:sz w:val="22"/>
          <w:szCs w:val="22"/>
        </w:rPr>
        <w:t xml:space="preserve">dan eksi 4,2 yüzde puana </w:t>
      </w:r>
      <w:r w:rsidR="007C462A" w:rsidRPr="00111CED">
        <w:rPr>
          <w:rFonts w:ascii="Palatino Linotype" w:hAnsi="Palatino Linotype" w:cstheme="minorHAnsi"/>
          <w:sz w:val="22"/>
          <w:szCs w:val="22"/>
        </w:rPr>
        <w:t xml:space="preserve">yükseldiği </w:t>
      </w:r>
      <w:r w:rsidR="006D02FD" w:rsidRPr="00111CED">
        <w:rPr>
          <w:rFonts w:ascii="Palatino Linotype" w:hAnsi="Palatino Linotype" w:cstheme="minorHAnsi"/>
          <w:sz w:val="22"/>
          <w:szCs w:val="22"/>
        </w:rPr>
        <w:t>anlaşılıyor</w:t>
      </w:r>
      <w:r w:rsidR="001F1554" w:rsidRPr="00111CED">
        <w:rPr>
          <w:rFonts w:ascii="Palatino Linotype" w:hAnsi="Palatino Linotype" w:cstheme="minorHAnsi"/>
          <w:sz w:val="22"/>
          <w:szCs w:val="22"/>
        </w:rPr>
        <w:t xml:space="preserve"> </w:t>
      </w:r>
      <w:r w:rsidR="00EE150B" w:rsidRPr="00111CED">
        <w:rPr>
          <w:rFonts w:ascii="Palatino Linotype" w:hAnsi="Palatino Linotype" w:cstheme="minorHAnsi"/>
          <w:sz w:val="22"/>
          <w:szCs w:val="22"/>
        </w:rPr>
        <w:t>(Tablo 1</w:t>
      </w:r>
      <w:r w:rsidR="00111CED" w:rsidRPr="00111CED">
        <w:rPr>
          <w:rFonts w:ascii="Palatino Linotype" w:hAnsi="Palatino Linotype" w:cstheme="minorHAnsi"/>
          <w:color w:val="FF0000"/>
          <w:sz w:val="22"/>
          <w:szCs w:val="22"/>
        </w:rPr>
        <w:t>)</w:t>
      </w:r>
      <w:r w:rsidR="00EE150B" w:rsidRPr="00111CED">
        <w:rPr>
          <w:rFonts w:ascii="Palatino Linotype" w:hAnsi="Palatino Linotype" w:cstheme="minorHAnsi"/>
          <w:sz w:val="22"/>
          <w:szCs w:val="22"/>
        </w:rPr>
        <w:t xml:space="preserve">. </w:t>
      </w:r>
      <w:r w:rsidR="00C82B14" w:rsidRPr="00111CED">
        <w:rPr>
          <w:rFonts w:ascii="Palatino Linotype" w:hAnsi="Palatino Linotype" w:cstheme="minorHAnsi"/>
          <w:sz w:val="22"/>
          <w:szCs w:val="22"/>
        </w:rPr>
        <w:t>M</w:t>
      </w:r>
      <w:r w:rsidR="00EE150B" w:rsidRPr="00111CED">
        <w:rPr>
          <w:rFonts w:ascii="Palatino Linotype" w:hAnsi="Palatino Linotype" w:cstheme="minorHAnsi"/>
          <w:sz w:val="22"/>
          <w:szCs w:val="22"/>
        </w:rPr>
        <w:t xml:space="preserve">evsim ve takvim etkilerinden arındırılmış </w:t>
      </w:r>
      <w:r w:rsidR="00F5130C" w:rsidRPr="00111CED">
        <w:rPr>
          <w:rFonts w:ascii="Palatino Linotype" w:hAnsi="Palatino Linotype" w:cstheme="minorHAnsi"/>
          <w:sz w:val="22"/>
          <w:szCs w:val="22"/>
        </w:rPr>
        <w:t>çeyrekten çeyreğe değişim</w:t>
      </w:r>
      <w:r w:rsidR="00C82B14" w:rsidRPr="00111CED">
        <w:rPr>
          <w:rFonts w:ascii="Palatino Linotype" w:hAnsi="Palatino Linotype" w:cstheme="minorHAnsi"/>
          <w:sz w:val="22"/>
          <w:szCs w:val="22"/>
        </w:rPr>
        <w:t>ler</w:t>
      </w:r>
      <w:r w:rsidR="00D45167" w:rsidRPr="00111CED">
        <w:rPr>
          <w:rFonts w:ascii="Palatino Linotype" w:hAnsi="Palatino Linotype" w:cstheme="minorHAnsi"/>
          <w:sz w:val="22"/>
          <w:szCs w:val="22"/>
        </w:rPr>
        <w:t>d</w:t>
      </w:r>
      <w:r w:rsidR="00C82B14" w:rsidRPr="00111CED">
        <w:rPr>
          <w:rFonts w:ascii="Palatino Linotype" w:hAnsi="Palatino Linotype" w:cstheme="minorHAnsi"/>
          <w:sz w:val="22"/>
          <w:szCs w:val="22"/>
        </w:rPr>
        <w:t xml:space="preserve">e </w:t>
      </w:r>
      <w:r w:rsidR="006D02FD" w:rsidRPr="00111CED">
        <w:rPr>
          <w:rFonts w:ascii="Palatino Linotype" w:hAnsi="Palatino Linotype" w:cstheme="minorHAnsi"/>
          <w:sz w:val="22"/>
          <w:szCs w:val="22"/>
        </w:rPr>
        <w:t>ise</w:t>
      </w:r>
      <w:r w:rsidRPr="00111CED">
        <w:rPr>
          <w:rFonts w:ascii="Palatino Linotype" w:hAnsi="Palatino Linotype" w:cstheme="minorHAnsi"/>
          <w:sz w:val="22"/>
          <w:szCs w:val="22"/>
        </w:rPr>
        <w:t xml:space="preserve"> </w:t>
      </w:r>
      <w:r w:rsidR="006D02FD" w:rsidRPr="00111CED">
        <w:rPr>
          <w:rFonts w:ascii="Palatino Linotype" w:hAnsi="Palatino Linotype" w:cstheme="minorHAnsi"/>
          <w:sz w:val="22"/>
          <w:szCs w:val="22"/>
        </w:rPr>
        <w:t>ters</w:t>
      </w:r>
      <w:r w:rsidRPr="00111CED">
        <w:rPr>
          <w:rFonts w:ascii="Palatino Linotype" w:hAnsi="Palatino Linotype" w:cstheme="minorHAnsi"/>
          <w:sz w:val="22"/>
          <w:szCs w:val="22"/>
        </w:rPr>
        <w:t xml:space="preserve"> bir durum olduğunu </w:t>
      </w:r>
      <w:r w:rsidR="00D45167" w:rsidRPr="00111CED">
        <w:rPr>
          <w:rFonts w:ascii="Palatino Linotype" w:hAnsi="Palatino Linotype" w:cstheme="minorHAnsi"/>
          <w:sz w:val="22"/>
          <w:szCs w:val="22"/>
        </w:rPr>
        <w:t>gözlemliyoruz.</w:t>
      </w:r>
      <w:r w:rsidR="001F1554" w:rsidRPr="00111CED">
        <w:rPr>
          <w:rFonts w:ascii="Palatino Linotype" w:hAnsi="Palatino Linotype" w:cstheme="minorHAnsi"/>
          <w:sz w:val="22"/>
          <w:szCs w:val="22"/>
        </w:rPr>
        <w:t xml:space="preserve"> </w:t>
      </w:r>
      <w:r w:rsidR="006D02FD" w:rsidRPr="00111CED">
        <w:rPr>
          <w:rFonts w:ascii="Palatino Linotype" w:hAnsi="Palatino Linotype" w:cstheme="minorHAnsi"/>
          <w:sz w:val="22"/>
          <w:szCs w:val="22"/>
        </w:rPr>
        <w:t xml:space="preserve">İhracatın büyümeye katkısının negatife, ithalatın büyümeye katkısının </w:t>
      </w:r>
      <w:r w:rsidR="0087023B" w:rsidRPr="00111CED">
        <w:rPr>
          <w:rFonts w:ascii="Palatino Linotype" w:hAnsi="Palatino Linotype" w:cstheme="minorHAnsi"/>
          <w:sz w:val="22"/>
          <w:szCs w:val="22"/>
        </w:rPr>
        <w:t>ise pozitife döndüğünü görüyoruz</w:t>
      </w:r>
      <w:r w:rsidR="001F1554" w:rsidRPr="00111CED">
        <w:rPr>
          <w:rFonts w:ascii="Palatino Linotype" w:hAnsi="Palatino Linotype" w:cstheme="minorHAnsi"/>
          <w:sz w:val="22"/>
          <w:szCs w:val="22"/>
        </w:rPr>
        <w:t xml:space="preserve"> </w:t>
      </w:r>
      <w:r w:rsidR="00E565C5" w:rsidRPr="00111CED">
        <w:rPr>
          <w:rFonts w:ascii="Palatino Linotype" w:hAnsi="Palatino Linotype" w:cstheme="minorHAnsi"/>
          <w:sz w:val="22"/>
          <w:szCs w:val="22"/>
        </w:rPr>
        <w:t>(Tablo 2).</w:t>
      </w:r>
      <w:r w:rsidR="0087023B" w:rsidRPr="00111CED">
        <w:rPr>
          <w:rFonts w:ascii="Palatino Linotype" w:hAnsi="Palatino Linotype" w:cstheme="minorHAnsi"/>
          <w:sz w:val="22"/>
          <w:szCs w:val="22"/>
        </w:rPr>
        <w:t xml:space="preserve"> Net ihracatın katkısının eksi 1,2 yüzde </w:t>
      </w:r>
      <w:r w:rsidR="00160880" w:rsidRPr="00111CED">
        <w:rPr>
          <w:rFonts w:ascii="Palatino Linotype" w:hAnsi="Palatino Linotype" w:cstheme="minorHAnsi"/>
          <w:sz w:val="22"/>
          <w:szCs w:val="22"/>
        </w:rPr>
        <w:t>puandan, artı</w:t>
      </w:r>
      <w:r w:rsidR="007C462A" w:rsidRPr="00111CED">
        <w:rPr>
          <w:rFonts w:ascii="Palatino Linotype" w:hAnsi="Palatino Linotype" w:cstheme="minorHAnsi"/>
          <w:sz w:val="22"/>
          <w:szCs w:val="22"/>
        </w:rPr>
        <w:t xml:space="preserve"> </w:t>
      </w:r>
      <w:r w:rsidR="0087023B" w:rsidRPr="00111CED">
        <w:rPr>
          <w:rFonts w:ascii="Palatino Linotype" w:hAnsi="Palatino Linotype" w:cstheme="minorHAnsi"/>
          <w:sz w:val="22"/>
          <w:szCs w:val="22"/>
        </w:rPr>
        <w:t xml:space="preserve">0,9 yüzde puana çıktığı hesaplanmaktadır. </w:t>
      </w:r>
    </w:p>
    <w:p w:rsidR="001A080D" w:rsidRPr="00111CED" w:rsidRDefault="001A080D" w:rsidP="009B16AD">
      <w:pPr>
        <w:pStyle w:val="NormalWeb"/>
        <w:spacing w:before="0" w:beforeAutospacing="0" w:after="0" w:afterAutospacing="0" w:line="360" w:lineRule="auto"/>
        <w:ind w:right="77"/>
        <w:jc w:val="both"/>
        <w:rPr>
          <w:rFonts w:ascii="Palatino Linotype" w:hAnsi="Palatino Linotype" w:cstheme="minorHAnsi"/>
          <w:sz w:val="22"/>
          <w:szCs w:val="22"/>
        </w:rPr>
      </w:pPr>
    </w:p>
    <w:p w:rsidR="006C3EE6" w:rsidRPr="00111CED"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111CED">
        <w:rPr>
          <w:rFonts w:ascii="Palatino Linotype" w:hAnsi="Palatino Linotype" w:cstheme="minorHAnsi"/>
          <w:b/>
          <w:bCs/>
          <w:sz w:val="22"/>
          <w:szCs w:val="22"/>
        </w:rPr>
        <w:t>Kamu harcamaları</w:t>
      </w:r>
      <w:r w:rsidR="008C70C5" w:rsidRPr="00111CED">
        <w:rPr>
          <w:rFonts w:ascii="Palatino Linotype" w:hAnsi="Palatino Linotype" w:cstheme="minorHAnsi"/>
          <w:b/>
          <w:bCs/>
          <w:sz w:val="22"/>
          <w:szCs w:val="22"/>
        </w:rPr>
        <w:t xml:space="preserve">nın büyüme katkısı </w:t>
      </w:r>
      <w:r w:rsidR="0087023B" w:rsidRPr="00111CED">
        <w:rPr>
          <w:rFonts w:ascii="Palatino Linotype" w:hAnsi="Palatino Linotype" w:cstheme="minorHAnsi"/>
          <w:b/>
          <w:bCs/>
          <w:sz w:val="22"/>
          <w:szCs w:val="22"/>
        </w:rPr>
        <w:t>azaldı</w:t>
      </w:r>
    </w:p>
    <w:p w:rsidR="00E565C5" w:rsidRPr="00111CED" w:rsidRDefault="00D803A1" w:rsidP="001F1554">
      <w:pPr>
        <w:pStyle w:val="NormalWeb"/>
        <w:spacing w:before="0" w:beforeAutospacing="0" w:after="0" w:afterAutospacing="0" w:line="360" w:lineRule="auto"/>
        <w:ind w:right="77"/>
        <w:jc w:val="both"/>
        <w:rPr>
          <w:rFonts w:ascii="Palatino Linotype" w:hAnsi="Palatino Linotype" w:cstheme="minorHAnsi"/>
          <w:sz w:val="22"/>
          <w:szCs w:val="22"/>
        </w:rPr>
      </w:pPr>
      <w:r w:rsidRPr="00111CED">
        <w:rPr>
          <w:rFonts w:ascii="Palatino Linotype" w:hAnsi="Palatino Linotype" w:cstheme="minorHAnsi"/>
          <w:sz w:val="22"/>
          <w:szCs w:val="22"/>
        </w:rPr>
        <w:t>İkinci çeyrekten üçüncü çey</w:t>
      </w:r>
      <w:r w:rsidR="009B16AD" w:rsidRPr="00111CED">
        <w:rPr>
          <w:rFonts w:ascii="Palatino Linotype" w:hAnsi="Palatino Linotype" w:cstheme="minorHAnsi"/>
          <w:sz w:val="22"/>
          <w:szCs w:val="22"/>
        </w:rPr>
        <w:t>reğe d</w:t>
      </w:r>
      <w:r w:rsidR="00EB476F" w:rsidRPr="00111CED">
        <w:rPr>
          <w:rFonts w:ascii="Palatino Linotype" w:hAnsi="Palatino Linotype" w:cstheme="minorHAnsi"/>
          <w:sz w:val="22"/>
          <w:szCs w:val="22"/>
        </w:rPr>
        <w:t xml:space="preserve">evletin </w:t>
      </w:r>
      <w:r w:rsidR="00C82B14" w:rsidRPr="00111CED">
        <w:rPr>
          <w:rFonts w:ascii="Palatino Linotype" w:hAnsi="Palatino Linotype" w:cstheme="minorHAnsi"/>
          <w:sz w:val="22"/>
          <w:szCs w:val="22"/>
        </w:rPr>
        <w:t>n</w:t>
      </w:r>
      <w:r w:rsidR="00EB476F" w:rsidRPr="00111CED">
        <w:rPr>
          <w:rFonts w:ascii="Palatino Linotype" w:hAnsi="Palatino Linotype" w:cstheme="minorHAnsi"/>
          <w:sz w:val="22"/>
          <w:szCs w:val="22"/>
        </w:rPr>
        <w:t xml:space="preserve">ihai </w:t>
      </w:r>
      <w:r w:rsidR="00C82B14" w:rsidRPr="00111CED">
        <w:rPr>
          <w:rFonts w:ascii="Palatino Linotype" w:hAnsi="Palatino Linotype" w:cstheme="minorHAnsi"/>
          <w:sz w:val="22"/>
          <w:szCs w:val="22"/>
        </w:rPr>
        <w:t>tüketim h</w:t>
      </w:r>
      <w:r w:rsidR="00EB476F" w:rsidRPr="00111CED">
        <w:rPr>
          <w:rFonts w:ascii="Palatino Linotype" w:hAnsi="Palatino Linotype" w:cstheme="minorHAnsi"/>
          <w:sz w:val="22"/>
          <w:szCs w:val="22"/>
        </w:rPr>
        <w:t>arcamalar</w:t>
      </w:r>
      <w:r w:rsidR="00CF5053" w:rsidRPr="00111CED">
        <w:rPr>
          <w:rFonts w:ascii="Palatino Linotype" w:hAnsi="Palatino Linotype" w:cstheme="minorHAnsi"/>
          <w:sz w:val="22"/>
          <w:szCs w:val="22"/>
        </w:rPr>
        <w:t>ı</w:t>
      </w:r>
      <w:r w:rsidR="009B16AD" w:rsidRPr="00111CED">
        <w:rPr>
          <w:rFonts w:ascii="Palatino Linotype" w:hAnsi="Palatino Linotype" w:cstheme="minorHAnsi"/>
          <w:sz w:val="22"/>
          <w:szCs w:val="22"/>
        </w:rPr>
        <w:t xml:space="preserve"> büyümeye hiç katkı yapmazken, dördüncü çeyrekte harcamalara yeniden gaz verildiği açıkça görül</w:t>
      </w:r>
      <w:r w:rsidR="0087023B" w:rsidRPr="00111CED">
        <w:rPr>
          <w:rFonts w:ascii="Palatino Linotype" w:hAnsi="Palatino Linotype" w:cstheme="minorHAnsi"/>
          <w:sz w:val="22"/>
          <w:szCs w:val="22"/>
        </w:rPr>
        <w:t>müştü</w:t>
      </w:r>
      <w:r w:rsidR="009B16AD" w:rsidRPr="00111CED">
        <w:rPr>
          <w:rFonts w:ascii="Palatino Linotype" w:hAnsi="Palatino Linotype" w:cstheme="minorHAnsi"/>
          <w:sz w:val="22"/>
          <w:szCs w:val="22"/>
        </w:rPr>
        <w:t xml:space="preserve">. </w:t>
      </w:r>
      <w:r w:rsidR="0087023B" w:rsidRPr="00111CED">
        <w:rPr>
          <w:rFonts w:ascii="Palatino Linotype" w:hAnsi="Palatino Linotype" w:cstheme="minorHAnsi"/>
          <w:sz w:val="22"/>
          <w:szCs w:val="22"/>
        </w:rPr>
        <w:t xml:space="preserve">2018 yılının ilk çeyreğinde ise </w:t>
      </w:r>
      <w:r w:rsidR="009B16AD" w:rsidRPr="00111CED">
        <w:rPr>
          <w:rFonts w:ascii="Palatino Linotype" w:hAnsi="Palatino Linotype" w:cstheme="minorHAnsi"/>
          <w:sz w:val="22"/>
          <w:szCs w:val="22"/>
        </w:rPr>
        <w:t>devletin nihai tüketim harcamaları</w:t>
      </w:r>
      <w:r w:rsidR="0087023B" w:rsidRPr="00111CED">
        <w:rPr>
          <w:rFonts w:ascii="Palatino Linotype" w:hAnsi="Palatino Linotype" w:cstheme="minorHAnsi"/>
          <w:sz w:val="22"/>
          <w:szCs w:val="22"/>
        </w:rPr>
        <w:t>nın</w:t>
      </w:r>
      <w:r w:rsidR="009B16AD" w:rsidRPr="00111CED">
        <w:rPr>
          <w:rFonts w:ascii="Palatino Linotype" w:hAnsi="Palatino Linotype" w:cstheme="minorHAnsi"/>
          <w:sz w:val="22"/>
          <w:szCs w:val="22"/>
        </w:rPr>
        <w:t xml:space="preserve"> </w:t>
      </w:r>
      <w:r w:rsidR="0087023B" w:rsidRPr="00111CED">
        <w:rPr>
          <w:rFonts w:ascii="Palatino Linotype" w:hAnsi="Palatino Linotype" w:cstheme="minorHAnsi"/>
          <w:sz w:val="22"/>
          <w:szCs w:val="22"/>
        </w:rPr>
        <w:t xml:space="preserve">yıllık bazda </w:t>
      </w:r>
      <w:r w:rsidR="009B16AD" w:rsidRPr="00111CED">
        <w:rPr>
          <w:rFonts w:ascii="Palatino Linotype" w:hAnsi="Palatino Linotype" w:cstheme="minorHAnsi"/>
          <w:sz w:val="22"/>
          <w:szCs w:val="22"/>
        </w:rPr>
        <w:t xml:space="preserve">yüzde </w:t>
      </w:r>
      <w:r w:rsidR="0087023B" w:rsidRPr="00111CED">
        <w:rPr>
          <w:rFonts w:ascii="Palatino Linotype" w:hAnsi="Palatino Linotype" w:cstheme="minorHAnsi"/>
          <w:sz w:val="22"/>
          <w:szCs w:val="22"/>
        </w:rPr>
        <w:t>3</w:t>
      </w:r>
      <w:r w:rsidR="009B16AD" w:rsidRPr="00111CED">
        <w:rPr>
          <w:rFonts w:ascii="Palatino Linotype" w:hAnsi="Palatino Linotype" w:cstheme="minorHAnsi"/>
          <w:sz w:val="22"/>
          <w:szCs w:val="22"/>
        </w:rPr>
        <w:t>,</w:t>
      </w:r>
      <w:r w:rsidR="0087023B" w:rsidRPr="00111CED">
        <w:rPr>
          <w:rFonts w:ascii="Palatino Linotype" w:hAnsi="Palatino Linotype" w:cstheme="minorHAnsi"/>
          <w:sz w:val="22"/>
          <w:szCs w:val="22"/>
        </w:rPr>
        <w:t>4</w:t>
      </w:r>
      <w:r w:rsidR="009B16AD" w:rsidRPr="00111CED">
        <w:rPr>
          <w:rFonts w:ascii="Palatino Linotype" w:hAnsi="Palatino Linotype" w:cstheme="minorHAnsi"/>
          <w:sz w:val="22"/>
          <w:szCs w:val="22"/>
        </w:rPr>
        <w:t xml:space="preserve"> </w:t>
      </w:r>
      <w:r w:rsidR="0087023B" w:rsidRPr="00111CED">
        <w:rPr>
          <w:rFonts w:ascii="Palatino Linotype" w:hAnsi="Palatino Linotype" w:cstheme="minorHAnsi"/>
          <w:sz w:val="22"/>
          <w:szCs w:val="22"/>
        </w:rPr>
        <w:t>artış ile</w:t>
      </w:r>
      <w:r w:rsidR="009B16AD" w:rsidRPr="00111CED">
        <w:rPr>
          <w:rFonts w:ascii="Palatino Linotype" w:hAnsi="Palatino Linotype" w:cstheme="minorHAnsi"/>
          <w:sz w:val="22"/>
          <w:szCs w:val="22"/>
        </w:rPr>
        <w:t>, büyüme</w:t>
      </w:r>
      <w:r w:rsidR="0087023B" w:rsidRPr="00111CED">
        <w:rPr>
          <w:rFonts w:ascii="Palatino Linotype" w:hAnsi="Palatino Linotype" w:cstheme="minorHAnsi"/>
          <w:sz w:val="22"/>
          <w:szCs w:val="22"/>
        </w:rPr>
        <w:t>ye</w:t>
      </w:r>
      <w:r w:rsidR="009B16AD" w:rsidRPr="00111CED">
        <w:rPr>
          <w:rFonts w:ascii="Palatino Linotype" w:hAnsi="Palatino Linotype" w:cstheme="minorHAnsi"/>
          <w:sz w:val="22"/>
          <w:szCs w:val="22"/>
        </w:rPr>
        <w:t xml:space="preserve"> </w:t>
      </w:r>
      <w:r w:rsidR="0087023B" w:rsidRPr="00111CED">
        <w:rPr>
          <w:rFonts w:ascii="Palatino Linotype" w:hAnsi="Palatino Linotype" w:cstheme="minorHAnsi"/>
          <w:sz w:val="22"/>
          <w:szCs w:val="22"/>
        </w:rPr>
        <w:t>0,5 yüzde puan artış yaptığı görülmektedir</w:t>
      </w:r>
      <w:r w:rsidR="001F1554" w:rsidRPr="00111CED">
        <w:rPr>
          <w:rFonts w:ascii="Palatino Linotype" w:hAnsi="Palatino Linotype" w:cstheme="minorHAnsi"/>
          <w:sz w:val="22"/>
          <w:szCs w:val="22"/>
        </w:rPr>
        <w:t xml:space="preserve"> </w:t>
      </w:r>
      <w:r w:rsidR="009B16AD" w:rsidRPr="00111CED">
        <w:rPr>
          <w:rFonts w:ascii="Palatino Linotype" w:hAnsi="Palatino Linotype" w:cstheme="minorHAnsi"/>
          <w:sz w:val="22"/>
          <w:szCs w:val="22"/>
        </w:rPr>
        <w:t xml:space="preserve">(Tablo </w:t>
      </w:r>
      <w:r w:rsidR="0087023B" w:rsidRPr="00111CED">
        <w:rPr>
          <w:rFonts w:ascii="Palatino Linotype" w:hAnsi="Palatino Linotype" w:cstheme="minorHAnsi"/>
          <w:sz w:val="22"/>
          <w:szCs w:val="22"/>
        </w:rPr>
        <w:t>1</w:t>
      </w:r>
      <w:r w:rsidR="009B16AD" w:rsidRPr="00111CED">
        <w:rPr>
          <w:rFonts w:ascii="Palatino Linotype" w:hAnsi="Palatino Linotype" w:cstheme="minorHAnsi"/>
          <w:sz w:val="22"/>
          <w:szCs w:val="22"/>
        </w:rPr>
        <w:t>).</w:t>
      </w:r>
      <w:r w:rsidR="0087023B" w:rsidRPr="00111CED">
        <w:rPr>
          <w:rFonts w:ascii="Palatino Linotype" w:hAnsi="Palatino Linotype" w:cstheme="minorHAnsi"/>
          <w:sz w:val="22"/>
          <w:szCs w:val="22"/>
        </w:rPr>
        <w:t xml:space="preserve"> </w:t>
      </w:r>
      <w:r w:rsidR="0086495E" w:rsidRPr="00111CED">
        <w:rPr>
          <w:rFonts w:ascii="Palatino Linotype" w:hAnsi="Palatino Linotype" w:cstheme="minorHAnsi"/>
          <w:sz w:val="22"/>
          <w:szCs w:val="22"/>
        </w:rPr>
        <w:t>2017’nin son çeyreğinde yüzde 5,8 artış gösteren devletin nihai tüketim harcamaları, 2018 yılının ilk çeyreğinde yüzde 1,6 oranında artmıştır. Böylece y</w:t>
      </w:r>
      <w:r w:rsidR="0087023B" w:rsidRPr="00111CED">
        <w:rPr>
          <w:rFonts w:ascii="Palatino Linotype" w:hAnsi="Palatino Linotype" w:cstheme="minorHAnsi"/>
          <w:sz w:val="22"/>
          <w:szCs w:val="22"/>
        </w:rPr>
        <w:t>üzde 2 olan çeyreklik büyümenin yalnızca 0,2 yüzde puanının devletin nihai tüketim harcamalarından kaynaklandığı anlaşılmaktadır (Tablo 2).</w:t>
      </w:r>
    </w:p>
    <w:p w:rsidR="00844C00" w:rsidRPr="00111CED" w:rsidRDefault="00844C00" w:rsidP="00B27C9F">
      <w:pPr>
        <w:pStyle w:val="NormalWeb"/>
        <w:spacing w:before="0" w:beforeAutospacing="0" w:after="0" w:afterAutospacing="0" w:line="360" w:lineRule="auto"/>
        <w:ind w:right="77"/>
        <w:rPr>
          <w:rFonts w:ascii="Palatino Linotype" w:hAnsi="Palatino Linotype" w:cstheme="minorHAnsi"/>
          <w:b/>
          <w:bCs/>
          <w:sz w:val="22"/>
          <w:szCs w:val="22"/>
        </w:rPr>
      </w:pPr>
    </w:p>
    <w:p w:rsidR="00613D1F" w:rsidRPr="00111CED" w:rsidRDefault="004F0543" w:rsidP="00B27C9F">
      <w:pPr>
        <w:pStyle w:val="NormalWeb"/>
        <w:spacing w:before="0" w:beforeAutospacing="0" w:after="0" w:afterAutospacing="0" w:line="360" w:lineRule="auto"/>
        <w:ind w:right="77"/>
        <w:rPr>
          <w:rFonts w:ascii="Palatino Linotype" w:hAnsi="Palatino Linotype" w:cstheme="minorHAnsi"/>
          <w:b/>
          <w:bCs/>
          <w:sz w:val="22"/>
          <w:szCs w:val="22"/>
        </w:rPr>
      </w:pPr>
      <w:r w:rsidRPr="00111CED">
        <w:rPr>
          <w:rFonts w:ascii="Palatino Linotype" w:hAnsi="Palatino Linotype" w:cstheme="minorHAnsi"/>
          <w:b/>
          <w:bCs/>
          <w:sz w:val="22"/>
          <w:szCs w:val="22"/>
        </w:rPr>
        <w:t>B</w:t>
      </w:r>
      <w:r w:rsidR="00B27C9F" w:rsidRPr="00111CED">
        <w:rPr>
          <w:rFonts w:ascii="Palatino Linotype" w:hAnsi="Palatino Linotype" w:cstheme="minorHAnsi"/>
          <w:b/>
          <w:bCs/>
          <w:sz w:val="22"/>
          <w:szCs w:val="22"/>
        </w:rPr>
        <w:t>üyümenin geleceği</w:t>
      </w:r>
    </w:p>
    <w:p w:rsidR="00B27C9F" w:rsidRPr="00111CED" w:rsidRDefault="00613D1F" w:rsidP="00B27C9F">
      <w:pPr>
        <w:pStyle w:val="NormalWeb"/>
        <w:spacing w:before="0" w:beforeAutospacing="0" w:after="0" w:afterAutospacing="0" w:line="360" w:lineRule="auto"/>
        <w:ind w:right="77"/>
        <w:rPr>
          <w:rFonts w:ascii="Palatino Linotype" w:hAnsi="Palatino Linotype" w:cstheme="minorHAnsi"/>
          <w:bCs/>
          <w:sz w:val="22"/>
          <w:szCs w:val="22"/>
        </w:rPr>
      </w:pPr>
      <w:r w:rsidRPr="00111CED">
        <w:rPr>
          <w:rFonts w:ascii="Palatino Linotype" w:hAnsi="Palatino Linotype" w:cstheme="minorHAnsi"/>
          <w:bCs/>
          <w:sz w:val="22"/>
          <w:szCs w:val="22"/>
        </w:rPr>
        <w:t>2018’in ilk üç ayında ekonomik büyüme ka</w:t>
      </w:r>
      <w:r w:rsidR="001648AB" w:rsidRPr="00111CED">
        <w:rPr>
          <w:rFonts w:ascii="Palatino Linotype" w:hAnsi="Palatino Linotype" w:cstheme="minorHAnsi"/>
          <w:bCs/>
          <w:sz w:val="22"/>
          <w:szCs w:val="22"/>
        </w:rPr>
        <w:t>y</w:t>
      </w:r>
      <w:r w:rsidRPr="00111CED">
        <w:rPr>
          <w:rFonts w:ascii="Palatino Linotype" w:hAnsi="Palatino Linotype" w:cstheme="minorHAnsi"/>
          <w:bCs/>
          <w:sz w:val="22"/>
          <w:szCs w:val="22"/>
        </w:rPr>
        <w:t xml:space="preserve">nakları </w:t>
      </w:r>
      <w:r w:rsidR="00111CED" w:rsidRPr="00111CED">
        <w:rPr>
          <w:rFonts w:ascii="Palatino Linotype" w:hAnsi="Palatino Linotype" w:cstheme="minorHAnsi"/>
          <w:bCs/>
          <w:sz w:val="22"/>
          <w:szCs w:val="22"/>
        </w:rPr>
        <w:t>itibariyle</w:t>
      </w:r>
      <w:r w:rsidR="00B45DFF" w:rsidRPr="00111CED">
        <w:rPr>
          <w:rFonts w:ascii="Palatino Linotype" w:hAnsi="Palatino Linotype" w:cstheme="minorHAnsi"/>
          <w:bCs/>
          <w:sz w:val="22"/>
          <w:szCs w:val="22"/>
        </w:rPr>
        <w:t xml:space="preserve"> </w:t>
      </w:r>
      <w:r w:rsidRPr="00111CED">
        <w:rPr>
          <w:rFonts w:ascii="Palatino Linotype" w:hAnsi="Palatino Linotype" w:cstheme="minorHAnsi"/>
          <w:bCs/>
          <w:sz w:val="22"/>
          <w:szCs w:val="22"/>
        </w:rPr>
        <w:t>2017 büyümesinin devamı niteliğinde oldu. İç talebe dayalı bu büyüme cari açığı genişletirken</w:t>
      </w:r>
      <w:r w:rsidR="000E445D" w:rsidRPr="00111CED">
        <w:rPr>
          <w:rFonts w:ascii="Palatino Linotype" w:hAnsi="Palatino Linotype" w:cstheme="minorHAnsi"/>
          <w:bCs/>
          <w:sz w:val="22"/>
          <w:szCs w:val="22"/>
        </w:rPr>
        <w:t xml:space="preserve">, yükselen kur ve enflasyon “aşırı ısınma” tartışmalarını gündeme getirmişti. Nisan ayında ilan edilen erken seçim ve ardından Mayıs ayında yaşanan ve </w:t>
      </w:r>
      <w:r w:rsidR="001648AB" w:rsidRPr="00111CED">
        <w:rPr>
          <w:rFonts w:ascii="Palatino Linotype" w:hAnsi="Palatino Linotype" w:cstheme="minorHAnsi"/>
          <w:bCs/>
          <w:sz w:val="22"/>
          <w:szCs w:val="22"/>
        </w:rPr>
        <w:t xml:space="preserve">bu </w:t>
      </w:r>
      <w:r w:rsidR="000E445D" w:rsidRPr="00111CED">
        <w:rPr>
          <w:rFonts w:ascii="Palatino Linotype" w:hAnsi="Palatino Linotype" w:cstheme="minorHAnsi"/>
          <w:bCs/>
          <w:sz w:val="22"/>
          <w:szCs w:val="22"/>
        </w:rPr>
        <w:t xml:space="preserve">notun konusu olmayan gelişmeler sonucunda Türkiye ekonomisi farklı bir </w:t>
      </w:r>
      <w:proofErr w:type="gramStart"/>
      <w:r w:rsidR="000E445D" w:rsidRPr="00111CED">
        <w:rPr>
          <w:rFonts w:ascii="Palatino Linotype" w:hAnsi="Palatino Linotype" w:cstheme="minorHAnsi"/>
          <w:bCs/>
          <w:sz w:val="22"/>
          <w:szCs w:val="22"/>
        </w:rPr>
        <w:t>konjonktürün</w:t>
      </w:r>
      <w:proofErr w:type="gramEnd"/>
      <w:r w:rsidR="000E445D" w:rsidRPr="00111CED">
        <w:rPr>
          <w:rFonts w:ascii="Palatino Linotype" w:hAnsi="Palatino Linotype" w:cstheme="minorHAnsi"/>
          <w:bCs/>
          <w:sz w:val="22"/>
          <w:szCs w:val="22"/>
        </w:rPr>
        <w:t xml:space="preserve"> eşiğine geldi. Türk Lirası’nın hızlı değer kaybını </w:t>
      </w:r>
      <w:r w:rsidR="00111CED" w:rsidRPr="00111CED">
        <w:rPr>
          <w:rFonts w:ascii="Palatino Linotype" w:hAnsi="Palatino Linotype" w:cstheme="minorHAnsi"/>
          <w:bCs/>
          <w:sz w:val="22"/>
          <w:szCs w:val="22"/>
        </w:rPr>
        <w:t>kontrol altına</w:t>
      </w:r>
      <w:r w:rsidR="000E445D" w:rsidRPr="00111CED">
        <w:rPr>
          <w:rFonts w:ascii="Palatino Linotype" w:hAnsi="Palatino Linotype" w:cstheme="minorHAnsi"/>
          <w:bCs/>
          <w:sz w:val="22"/>
          <w:szCs w:val="22"/>
        </w:rPr>
        <w:t xml:space="preserve"> alabilmek için TCMB iki hamlede fonlama fa</w:t>
      </w:r>
      <w:r w:rsidR="00111CED">
        <w:rPr>
          <w:rFonts w:ascii="Palatino Linotype" w:hAnsi="Palatino Linotype" w:cstheme="minorHAnsi"/>
          <w:bCs/>
          <w:sz w:val="22"/>
          <w:szCs w:val="22"/>
        </w:rPr>
        <w:t>i</w:t>
      </w:r>
      <w:r w:rsidR="000E445D" w:rsidRPr="00111CED">
        <w:rPr>
          <w:rFonts w:ascii="Palatino Linotype" w:hAnsi="Palatino Linotype" w:cstheme="minorHAnsi"/>
          <w:bCs/>
          <w:sz w:val="22"/>
          <w:szCs w:val="22"/>
        </w:rPr>
        <w:t xml:space="preserve">zini (sadeleştirme adı altında esas olarak haftalık repo faizi) iki aşamada 425 baz puanlık artışla yüzde 17,75’e </w:t>
      </w:r>
      <w:r w:rsidR="000E445D" w:rsidRPr="00111CED">
        <w:rPr>
          <w:rFonts w:ascii="Palatino Linotype" w:hAnsi="Palatino Linotype" w:cstheme="minorHAnsi"/>
          <w:bCs/>
          <w:sz w:val="22"/>
          <w:szCs w:val="22"/>
        </w:rPr>
        <w:lastRenderedPageBreak/>
        <w:t xml:space="preserve">yükseltti. Bu sıçrama </w:t>
      </w:r>
      <w:r w:rsidR="00111CED" w:rsidRPr="00111CED">
        <w:rPr>
          <w:rFonts w:ascii="Palatino Linotype" w:hAnsi="Palatino Linotype" w:cstheme="minorHAnsi"/>
          <w:bCs/>
          <w:sz w:val="22"/>
          <w:szCs w:val="22"/>
        </w:rPr>
        <w:t>mevduat</w:t>
      </w:r>
      <w:r w:rsidR="000E445D" w:rsidRPr="00111CED">
        <w:rPr>
          <w:rFonts w:ascii="Palatino Linotype" w:hAnsi="Palatino Linotype" w:cstheme="minorHAnsi"/>
          <w:bCs/>
          <w:sz w:val="22"/>
          <w:szCs w:val="22"/>
        </w:rPr>
        <w:t xml:space="preserve"> faizlerini büyük ölçüde yukarı çekerken kredi </w:t>
      </w:r>
      <w:r w:rsidR="00111CED" w:rsidRPr="00111CED">
        <w:rPr>
          <w:rFonts w:ascii="Palatino Linotype" w:hAnsi="Palatino Linotype" w:cstheme="minorHAnsi"/>
          <w:bCs/>
          <w:sz w:val="22"/>
          <w:szCs w:val="22"/>
        </w:rPr>
        <w:t>faizlerinde</w:t>
      </w:r>
      <w:r w:rsidR="00AB36F7" w:rsidRPr="00111CED">
        <w:rPr>
          <w:rFonts w:ascii="Palatino Linotype" w:hAnsi="Palatino Linotype" w:cstheme="minorHAnsi"/>
          <w:bCs/>
          <w:sz w:val="22"/>
          <w:szCs w:val="22"/>
        </w:rPr>
        <w:t xml:space="preserve"> de muazzam bir artış ortaya çıktı. </w:t>
      </w:r>
      <w:r w:rsidR="00111CED">
        <w:rPr>
          <w:rFonts w:ascii="Palatino Linotype" w:hAnsi="Palatino Linotype" w:cstheme="minorHAnsi"/>
          <w:bCs/>
          <w:sz w:val="22"/>
          <w:szCs w:val="22"/>
        </w:rPr>
        <w:t>Döviz kurunun Nisan ayı düzeyine</w:t>
      </w:r>
      <w:r w:rsidR="00AB36F7" w:rsidRPr="00111CED">
        <w:rPr>
          <w:rFonts w:ascii="Palatino Linotype" w:hAnsi="Palatino Linotype" w:cstheme="minorHAnsi"/>
          <w:bCs/>
          <w:sz w:val="22"/>
          <w:szCs w:val="22"/>
        </w:rPr>
        <w:t xml:space="preserve"> ger</w:t>
      </w:r>
      <w:r w:rsidR="001648AB" w:rsidRPr="00111CED">
        <w:rPr>
          <w:rFonts w:ascii="Palatino Linotype" w:hAnsi="Palatino Linotype" w:cstheme="minorHAnsi"/>
          <w:bCs/>
          <w:sz w:val="22"/>
          <w:szCs w:val="22"/>
        </w:rPr>
        <w:t>i</w:t>
      </w:r>
      <w:r w:rsidR="00AB36F7" w:rsidRPr="00111CED">
        <w:rPr>
          <w:rFonts w:ascii="Palatino Linotype" w:hAnsi="Palatino Linotype" w:cstheme="minorHAnsi"/>
          <w:bCs/>
          <w:sz w:val="22"/>
          <w:szCs w:val="22"/>
        </w:rPr>
        <w:t xml:space="preserve"> dönmediği, enflasyonun yükselmeye devam edeceği, kredi faizlerinin caydırıcı bir düzeye </w:t>
      </w:r>
      <w:r w:rsidR="00111CED">
        <w:rPr>
          <w:rFonts w:ascii="Palatino Linotype" w:hAnsi="Palatino Linotype" w:cstheme="minorHAnsi"/>
          <w:bCs/>
          <w:sz w:val="22"/>
          <w:szCs w:val="22"/>
        </w:rPr>
        <w:t>ulaştığı koşullarda ekono</w:t>
      </w:r>
      <w:r w:rsidR="00AB36F7" w:rsidRPr="00111CED">
        <w:rPr>
          <w:rFonts w:ascii="Palatino Linotype" w:hAnsi="Palatino Linotype" w:cstheme="minorHAnsi"/>
          <w:bCs/>
          <w:sz w:val="22"/>
          <w:szCs w:val="22"/>
        </w:rPr>
        <w:t xml:space="preserve">minin bir durgunluk döneminden geçmesinin kaçınılmaz olduğu tartışması aşırı ısınma tartışmasının yerini aldı. Yeni ekonomik konjonktürün ekonomik büyüme öncü göstergeleri üzerindeki etkileri gecikmeli olarak ortaya çıkacağından büyük ölçüde Nisan ve Mayıs verileri ile </w:t>
      </w:r>
      <w:r w:rsidR="00111CED">
        <w:rPr>
          <w:rFonts w:ascii="Palatino Linotype" w:hAnsi="Palatino Linotype" w:cstheme="minorHAnsi"/>
          <w:bCs/>
          <w:sz w:val="22"/>
          <w:szCs w:val="22"/>
        </w:rPr>
        <w:t xml:space="preserve">gelecek hafta </w:t>
      </w:r>
      <w:r w:rsidR="00AB36F7" w:rsidRPr="00111CED">
        <w:rPr>
          <w:rFonts w:ascii="Palatino Linotype" w:hAnsi="Palatino Linotype" w:cstheme="minorHAnsi"/>
          <w:bCs/>
          <w:sz w:val="22"/>
          <w:szCs w:val="22"/>
        </w:rPr>
        <w:t xml:space="preserve">yapacağımız ikinci çeyreğe dair ilk </w:t>
      </w:r>
      <w:r w:rsidR="00111CED">
        <w:rPr>
          <w:rFonts w:ascii="Palatino Linotype" w:hAnsi="Palatino Linotype" w:cstheme="minorHAnsi"/>
          <w:bCs/>
          <w:sz w:val="22"/>
          <w:szCs w:val="22"/>
        </w:rPr>
        <w:t xml:space="preserve">büyüme </w:t>
      </w:r>
      <w:r w:rsidR="00AB36F7" w:rsidRPr="00111CED">
        <w:rPr>
          <w:rFonts w:ascii="Palatino Linotype" w:hAnsi="Palatino Linotype" w:cstheme="minorHAnsi"/>
          <w:bCs/>
          <w:sz w:val="22"/>
          <w:szCs w:val="22"/>
        </w:rPr>
        <w:t>tahmin</w:t>
      </w:r>
      <w:r w:rsidR="00111CED">
        <w:rPr>
          <w:rFonts w:ascii="Palatino Linotype" w:hAnsi="Palatino Linotype" w:cstheme="minorHAnsi"/>
          <w:bCs/>
          <w:sz w:val="22"/>
          <w:szCs w:val="22"/>
        </w:rPr>
        <w:t>in</w:t>
      </w:r>
      <w:r w:rsidR="00AB36F7" w:rsidRPr="00111CED">
        <w:rPr>
          <w:rFonts w:ascii="Palatino Linotype" w:hAnsi="Palatino Linotype" w:cstheme="minorHAnsi"/>
          <w:bCs/>
          <w:sz w:val="22"/>
          <w:szCs w:val="22"/>
        </w:rPr>
        <w:t xml:space="preserve">de </w:t>
      </w:r>
      <w:r w:rsidR="00542345" w:rsidRPr="00111CED">
        <w:rPr>
          <w:rFonts w:ascii="Palatino Linotype" w:hAnsi="Palatino Linotype" w:cstheme="minorHAnsi"/>
          <w:bCs/>
          <w:sz w:val="22"/>
          <w:szCs w:val="22"/>
        </w:rPr>
        <w:t xml:space="preserve">bu etkilerin </w:t>
      </w:r>
      <w:r w:rsidR="00AB36F7" w:rsidRPr="00111CED">
        <w:rPr>
          <w:rFonts w:ascii="Palatino Linotype" w:hAnsi="Palatino Linotype" w:cstheme="minorHAnsi"/>
          <w:bCs/>
          <w:sz w:val="22"/>
          <w:szCs w:val="22"/>
        </w:rPr>
        <w:t>görülmesini beklemiyoruz.</w:t>
      </w:r>
      <w:r w:rsidR="00542345" w:rsidRPr="00111CED">
        <w:rPr>
          <w:rFonts w:ascii="Palatino Linotype" w:hAnsi="Palatino Linotype" w:cstheme="minorHAnsi"/>
          <w:bCs/>
          <w:sz w:val="22"/>
          <w:szCs w:val="22"/>
        </w:rPr>
        <w:t xml:space="preserve"> </w:t>
      </w:r>
      <w:r w:rsidR="00AB36F7" w:rsidRPr="00111CED">
        <w:rPr>
          <w:rFonts w:ascii="Palatino Linotype" w:hAnsi="Palatino Linotype" w:cstheme="minorHAnsi"/>
          <w:bCs/>
          <w:sz w:val="22"/>
          <w:szCs w:val="22"/>
        </w:rPr>
        <w:t>Buna karşılık durgunlu</w:t>
      </w:r>
      <w:r w:rsidR="00542345" w:rsidRPr="00111CED">
        <w:rPr>
          <w:rFonts w:ascii="Palatino Linotype" w:hAnsi="Palatino Linotype" w:cstheme="minorHAnsi"/>
          <w:bCs/>
          <w:sz w:val="22"/>
          <w:szCs w:val="22"/>
        </w:rPr>
        <w:t>k</w:t>
      </w:r>
      <w:r w:rsidR="00AB36F7" w:rsidRPr="00111CED">
        <w:rPr>
          <w:rFonts w:ascii="Palatino Linotype" w:hAnsi="Palatino Linotype" w:cstheme="minorHAnsi"/>
          <w:bCs/>
          <w:sz w:val="22"/>
          <w:szCs w:val="22"/>
        </w:rPr>
        <w:t xml:space="preserve"> ihtimalinin ilk belirtileri</w:t>
      </w:r>
      <w:r w:rsidR="00542345" w:rsidRPr="00111CED">
        <w:rPr>
          <w:rFonts w:ascii="Palatino Linotype" w:hAnsi="Palatino Linotype" w:cstheme="minorHAnsi"/>
          <w:bCs/>
          <w:sz w:val="22"/>
          <w:szCs w:val="22"/>
        </w:rPr>
        <w:t>n</w:t>
      </w:r>
      <w:r w:rsidR="001648AB" w:rsidRPr="00111CED">
        <w:rPr>
          <w:rFonts w:ascii="Palatino Linotype" w:hAnsi="Palatino Linotype" w:cstheme="minorHAnsi"/>
          <w:bCs/>
          <w:sz w:val="22"/>
          <w:szCs w:val="22"/>
        </w:rPr>
        <w:t>in</w:t>
      </w:r>
      <w:r w:rsidR="00542345" w:rsidRPr="00111CED">
        <w:rPr>
          <w:rFonts w:ascii="Palatino Linotype" w:hAnsi="Palatino Linotype" w:cstheme="minorHAnsi"/>
          <w:bCs/>
          <w:sz w:val="22"/>
          <w:szCs w:val="22"/>
        </w:rPr>
        <w:t xml:space="preserve"> izleyen</w:t>
      </w:r>
      <w:r w:rsidR="001648AB" w:rsidRPr="00111CED">
        <w:rPr>
          <w:rFonts w:ascii="Palatino Linotype" w:hAnsi="Palatino Linotype" w:cstheme="minorHAnsi"/>
          <w:bCs/>
          <w:sz w:val="22"/>
          <w:szCs w:val="22"/>
        </w:rPr>
        <w:t xml:space="preserve"> tahminlerde kısmen</w:t>
      </w:r>
      <w:r w:rsidR="00542345" w:rsidRPr="00111CED">
        <w:rPr>
          <w:rFonts w:ascii="Palatino Linotype" w:hAnsi="Palatino Linotype" w:cstheme="minorHAnsi"/>
          <w:bCs/>
          <w:sz w:val="22"/>
          <w:szCs w:val="22"/>
        </w:rPr>
        <w:t>,</w:t>
      </w:r>
      <w:r w:rsidR="00AB36F7" w:rsidRPr="00111CED">
        <w:rPr>
          <w:rFonts w:ascii="Palatino Linotype" w:hAnsi="Palatino Linotype" w:cstheme="minorHAnsi"/>
          <w:bCs/>
          <w:sz w:val="22"/>
          <w:szCs w:val="22"/>
        </w:rPr>
        <w:t xml:space="preserve"> </w:t>
      </w:r>
      <w:r w:rsidR="001648AB" w:rsidRPr="00111CED">
        <w:rPr>
          <w:rFonts w:ascii="Palatino Linotype" w:hAnsi="Palatino Linotype" w:cstheme="minorHAnsi"/>
          <w:bCs/>
          <w:sz w:val="22"/>
          <w:szCs w:val="22"/>
        </w:rPr>
        <w:t>ama esasen</w:t>
      </w:r>
      <w:r w:rsidR="00542345" w:rsidRPr="00111CED">
        <w:rPr>
          <w:rFonts w:ascii="Palatino Linotype" w:hAnsi="Palatino Linotype" w:cstheme="minorHAnsi"/>
          <w:bCs/>
          <w:sz w:val="22"/>
          <w:szCs w:val="22"/>
        </w:rPr>
        <w:t xml:space="preserve"> üçüncü çey</w:t>
      </w:r>
      <w:r w:rsidR="001648AB" w:rsidRPr="00111CED">
        <w:rPr>
          <w:rFonts w:ascii="Palatino Linotype" w:hAnsi="Palatino Linotype" w:cstheme="minorHAnsi"/>
          <w:bCs/>
          <w:sz w:val="22"/>
          <w:szCs w:val="22"/>
        </w:rPr>
        <w:t>rek tahminl</w:t>
      </w:r>
      <w:r w:rsidR="00542345" w:rsidRPr="00111CED">
        <w:rPr>
          <w:rFonts w:ascii="Palatino Linotype" w:hAnsi="Palatino Linotype" w:cstheme="minorHAnsi"/>
          <w:bCs/>
          <w:sz w:val="22"/>
          <w:szCs w:val="22"/>
        </w:rPr>
        <w:t>erinde belirgin hale gelmesini bekliyoruz.</w:t>
      </w:r>
      <w:r w:rsidR="00AB36F7" w:rsidRPr="00111CED">
        <w:rPr>
          <w:rFonts w:ascii="Palatino Linotype" w:hAnsi="Palatino Linotype" w:cstheme="minorHAnsi"/>
          <w:bCs/>
          <w:sz w:val="22"/>
          <w:szCs w:val="22"/>
        </w:rPr>
        <w:t xml:space="preserve">  </w:t>
      </w:r>
    </w:p>
    <w:p w:rsidR="00AB36F7" w:rsidRPr="00111CED" w:rsidRDefault="00AB36F7" w:rsidP="00681AD9">
      <w:pPr>
        <w:pStyle w:val="NormalWeb"/>
        <w:spacing w:before="0" w:beforeAutospacing="0" w:after="0" w:afterAutospacing="0" w:line="360" w:lineRule="auto"/>
        <w:ind w:right="77"/>
        <w:jc w:val="both"/>
        <w:rPr>
          <w:rFonts w:ascii="Palatino Linotype" w:hAnsi="Palatino Linotype" w:cstheme="minorHAnsi"/>
          <w:sz w:val="22"/>
          <w:szCs w:val="22"/>
        </w:rPr>
      </w:pPr>
    </w:p>
    <w:p w:rsidR="00D07713" w:rsidRPr="00111CED" w:rsidRDefault="00E85F3F"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111CED">
        <w:rPr>
          <w:rFonts w:ascii="Palatino Linotype" w:hAnsi="Palatino Linotype" w:cstheme="minorHAnsi"/>
          <w:b/>
          <w:bCs/>
          <w:sz w:val="22"/>
          <w:szCs w:val="22"/>
        </w:rPr>
        <w:t xml:space="preserve">Şekil </w:t>
      </w:r>
      <w:r w:rsidR="00F22A71" w:rsidRPr="00111CED">
        <w:rPr>
          <w:rFonts w:ascii="Palatino Linotype" w:hAnsi="Palatino Linotype" w:cstheme="minorHAnsi"/>
          <w:b/>
          <w:bCs/>
          <w:sz w:val="22"/>
          <w:szCs w:val="22"/>
        </w:rPr>
        <w:t>2</w:t>
      </w:r>
      <w:r w:rsidRPr="00111CED">
        <w:rPr>
          <w:rFonts w:ascii="Palatino Linotype" w:hAnsi="Palatino Linotype" w:cstheme="minorHAnsi"/>
          <w:b/>
          <w:bCs/>
          <w:sz w:val="22"/>
          <w:szCs w:val="22"/>
        </w:rPr>
        <w:t>: Bir önceki çeyreğe ve geçen yılın aynı çeyreğine göre GSYH büyüme oranları</w:t>
      </w:r>
    </w:p>
    <w:p w:rsidR="00681AD9" w:rsidRPr="00111CED" w:rsidRDefault="0025111C" w:rsidP="00C82B1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sidRPr="00111CED">
        <w:rPr>
          <w:noProof/>
        </w:rPr>
        <w:drawing>
          <wp:inline distT="0" distB="0" distL="0" distR="0" wp14:anchorId="3A9C5127" wp14:editId="2C2DFEDE">
            <wp:extent cx="5760720" cy="3622040"/>
            <wp:effectExtent l="0" t="0" r="0" b="0"/>
            <wp:docPr id="7" name="Grafik 7">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EED" w:rsidRPr="00111CED" w:rsidRDefault="003E1EED" w:rsidP="00C82B14">
      <w:pPr>
        <w:keepNext/>
        <w:rPr>
          <w:rFonts w:ascii="Palatino Linotype" w:hAnsi="Palatino Linotype" w:cstheme="minorHAnsi"/>
          <w:sz w:val="18"/>
          <w:szCs w:val="18"/>
        </w:rPr>
      </w:pPr>
      <w:r w:rsidRPr="00111CED">
        <w:rPr>
          <w:rFonts w:ascii="Palatino Linotype" w:hAnsi="Palatino Linotype" w:cstheme="minorHAnsi"/>
          <w:sz w:val="18"/>
          <w:szCs w:val="18"/>
        </w:rPr>
        <w:t xml:space="preserve">Kaynak: TÜİK, Betam. </w:t>
      </w:r>
    </w:p>
    <w:p w:rsidR="00C82B14" w:rsidRPr="00111CED" w:rsidRDefault="00C82B14" w:rsidP="003E1EED">
      <w:pPr>
        <w:keepNext/>
        <w:rPr>
          <w:rFonts w:ascii="Palatino Linotype" w:hAnsi="Palatino Linotype" w:cstheme="minorHAnsi"/>
          <w:sz w:val="18"/>
          <w:szCs w:val="18"/>
        </w:rPr>
      </w:pPr>
    </w:p>
    <w:p w:rsidR="00E750CC" w:rsidRPr="00111CED" w:rsidRDefault="00E750CC" w:rsidP="00E85F3F">
      <w:pPr>
        <w:keepNext/>
        <w:rPr>
          <w:rFonts w:ascii="Palatino Linotype" w:hAnsi="Palatino Linotype" w:cstheme="minorHAnsi"/>
        </w:rPr>
      </w:pPr>
    </w:p>
    <w:p w:rsidR="00681AD9" w:rsidRPr="00111CED" w:rsidRDefault="00681AD9" w:rsidP="00E85F3F">
      <w:pPr>
        <w:keepNext/>
        <w:rPr>
          <w:rFonts w:ascii="Palatino Linotype" w:hAnsi="Palatino Linotype" w:cstheme="minorHAnsi"/>
        </w:rPr>
      </w:pPr>
    </w:p>
    <w:p w:rsidR="001A080D" w:rsidRPr="00111CED" w:rsidRDefault="001A080D">
      <w:pPr>
        <w:keepNext/>
        <w:rPr>
          <w:rFonts w:ascii="Palatino Linotype" w:hAnsi="Palatino Linotype" w:cstheme="minorHAnsi"/>
        </w:rPr>
      </w:pPr>
    </w:p>
    <w:sectPr w:rsidR="001A080D" w:rsidRPr="00111CED"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700" w:rsidRDefault="00A26700" w:rsidP="00DA0C5D">
      <w:r>
        <w:separator/>
      </w:r>
    </w:p>
  </w:endnote>
  <w:endnote w:type="continuationSeparator" w:id="0">
    <w:p w:rsidR="00A26700" w:rsidRDefault="00A26700"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700" w:rsidRDefault="00A26700" w:rsidP="00DA0C5D">
      <w:r>
        <w:separator/>
      </w:r>
    </w:p>
  </w:footnote>
  <w:footnote w:type="continuationSeparator" w:id="0">
    <w:p w:rsidR="00A26700" w:rsidRDefault="00A26700" w:rsidP="00DA0C5D">
      <w:r>
        <w:continuationSeparator/>
      </w:r>
    </w:p>
  </w:footnote>
  <w:footnote w:id="1">
    <w:p w:rsidR="003172DB" w:rsidRPr="001866FC" w:rsidRDefault="003172DB" w:rsidP="003172DB">
      <w:pPr>
        <w:pStyle w:val="FootnoteText"/>
        <w:rPr>
          <w:rFonts w:ascii="Palatino Linotype" w:hAnsi="Palatino Linotype"/>
          <w:sz w:val="18"/>
          <w:szCs w:val="18"/>
        </w:rPr>
      </w:pPr>
      <w:r>
        <w:rPr>
          <w:rStyle w:val="FootnoteReference"/>
        </w:rPr>
        <w:footnoteRef/>
      </w:r>
      <w:r>
        <w:t xml:space="preserve"> </w:t>
      </w:r>
      <w:r w:rsidRPr="001866FC">
        <w:rPr>
          <w:rFonts w:ascii="Palatino Linotype" w:hAnsi="Palatino Linotype"/>
          <w:sz w:val="18"/>
          <w:szCs w:val="18"/>
        </w:rPr>
        <w:t>Betam, Direktör, seyfettin.gursel@eas.bahcesehir.edu.tr</w:t>
      </w:r>
    </w:p>
  </w:footnote>
  <w:footnote w:id="2">
    <w:p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3">
    <w:p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 ugurcan.acar@eas.bau.edu.tr</w:t>
      </w:r>
      <w:r>
        <w:t xml:space="preserve"> </w:t>
      </w:r>
    </w:p>
  </w:footnote>
  <w:footnote w:id="4">
    <w:p w:rsidR="00494926" w:rsidRDefault="00494926">
      <w:pPr>
        <w:pStyle w:val="FootnoteText"/>
      </w:pPr>
      <w:r>
        <w:rPr>
          <w:rStyle w:val="FootnoteReference"/>
        </w:rPr>
        <w:footnoteRef/>
      </w:r>
      <w:r>
        <w:t xml:space="preserve"> </w:t>
      </w:r>
      <w:r w:rsidRPr="00494926">
        <w:t>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kısa süre önce yayınladığımız araştırma notunda detaylı olarak tartışmıştık (bkz. Betam Araştırma Notu 17/217).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13"/>
    <w:rsid w:val="000141C7"/>
    <w:rsid w:val="00036770"/>
    <w:rsid w:val="00041FB7"/>
    <w:rsid w:val="00054943"/>
    <w:rsid w:val="00055EA1"/>
    <w:rsid w:val="000652B6"/>
    <w:rsid w:val="00080211"/>
    <w:rsid w:val="00080336"/>
    <w:rsid w:val="00096CDA"/>
    <w:rsid w:val="000978C8"/>
    <w:rsid w:val="000A612E"/>
    <w:rsid w:val="000B0FC1"/>
    <w:rsid w:val="000C634D"/>
    <w:rsid w:val="000D5FD3"/>
    <w:rsid w:val="000E445D"/>
    <w:rsid w:val="00111CED"/>
    <w:rsid w:val="0012527F"/>
    <w:rsid w:val="00125770"/>
    <w:rsid w:val="00140468"/>
    <w:rsid w:val="0014542A"/>
    <w:rsid w:val="001537D8"/>
    <w:rsid w:val="00160880"/>
    <w:rsid w:val="001648AB"/>
    <w:rsid w:val="001866FC"/>
    <w:rsid w:val="001A080D"/>
    <w:rsid w:val="001A42FF"/>
    <w:rsid w:val="001B3A44"/>
    <w:rsid w:val="001C2C68"/>
    <w:rsid w:val="001C65BF"/>
    <w:rsid w:val="001D0150"/>
    <w:rsid w:val="001D5B02"/>
    <w:rsid w:val="001D6465"/>
    <w:rsid w:val="001E72E4"/>
    <w:rsid w:val="001F1554"/>
    <w:rsid w:val="001F7B1D"/>
    <w:rsid w:val="001F7BC7"/>
    <w:rsid w:val="002106DF"/>
    <w:rsid w:val="00212579"/>
    <w:rsid w:val="00214914"/>
    <w:rsid w:val="0022673E"/>
    <w:rsid w:val="0025111C"/>
    <w:rsid w:val="00275745"/>
    <w:rsid w:val="002804E5"/>
    <w:rsid w:val="00282242"/>
    <w:rsid w:val="002847DE"/>
    <w:rsid w:val="0028498B"/>
    <w:rsid w:val="00295E9A"/>
    <w:rsid w:val="0029624E"/>
    <w:rsid w:val="002A07A9"/>
    <w:rsid w:val="002C5C24"/>
    <w:rsid w:val="003061DC"/>
    <w:rsid w:val="003172DB"/>
    <w:rsid w:val="0032324A"/>
    <w:rsid w:val="00324C51"/>
    <w:rsid w:val="00334E27"/>
    <w:rsid w:val="00344A74"/>
    <w:rsid w:val="003777B5"/>
    <w:rsid w:val="003967B5"/>
    <w:rsid w:val="003A488B"/>
    <w:rsid w:val="003A7596"/>
    <w:rsid w:val="003C2891"/>
    <w:rsid w:val="003D44CE"/>
    <w:rsid w:val="003E1EED"/>
    <w:rsid w:val="00407C84"/>
    <w:rsid w:val="00431C38"/>
    <w:rsid w:val="00433A75"/>
    <w:rsid w:val="00451A8A"/>
    <w:rsid w:val="00483EC5"/>
    <w:rsid w:val="0048774D"/>
    <w:rsid w:val="00492020"/>
    <w:rsid w:val="004931A5"/>
    <w:rsid w:val="00494926"/>
    <w:rsid w:val="004B130D"/>
    <w:rsid w:val="004E0098"/>
    <w:rsid w:val="004E5018"/>
    <w:rsid w:val="004F0543"/>
    <w:rsid w:val="004F10AB"/>
    <w:rsid w:val="00505041"/>
    <w:rsid w:val="00510883"/>
    <w:rsid w:val="00530B9F"/>
    <w:rsid w:val="0053582F"/>
    <w:rsid w:val="0053586E"/>
    <w:rsid w:val="0054145E"/>
    <w:rsid w:val="00542345"/>
    <w:rsid w:val="005600E7"/>
    <w:rsid w:val="0058588C"/>
    <w:rsid w:val="00586424"/>
    <w:rsid w:val="005A2246"/>
    <w:rsid w:val="005A617F"/>
    <w:rsid w:val="005C08B0"/>
    <w:rsid w:val="005D4126"/>
    <w:rsid w:val="00613D1F"/>
    <w:rsid w:val="00625B95"/>
    <w:rsid w:val="00632221"/>
    <w:rsid w:val="0064012D"/>
    <w:rsid w:val="00643113"/>
    <w:rsid w:val="006439C5"/>
    <w:rsid w:val="00647318"/>
    <w:rsid w:val="00650BB3"/>
    <w:rsid w:val="006549E3"/>
    <w:rsid w:val="00655938"/>
    <w:rsid w:val="006761BB"/>
    <w:rsid w:val="00681022"/>
    <w:rsid w:val="00681AD9"/>
    <w:rsid w:val="00694B4D"/>
    <w:rsid w:val="00694F52"/>
    <w:rsid w:val="006C3EE6"/>
    <w:rsid w:val="006D02FD"/>
    <w:rsid w:val="006D1DD6"/>
    <w:rsid w:val="006D32A0"/>
    <w:rsid w:val="00711A8A"/>
    <w:rsid w:val="00724E7C"/>
    <w:rsid w:val="0074205B"/>
    <w:rsid w:val="00761711"/>
    <w:rsid w:val="00773D8B"/>
    <w:rsid w:val="00783CD4"/>
    <w:rsid w:val="007A5FB1"/>
    <w:rsid w:val="007B70AD"/>
    <w:rsid w:val="007C462A"/>
    <w:rsid w:val="007D4953"/>
    <w:rsid w:val="007F13F2"/>
    <w:rsid w:val="007F39BB"/>
    <w:rsid w:val="007F3C9B"/>
    <w:rsid w:val="0081114C"/>
    <w:rsid w:val="00817A10"/>
    <w:rsid w:val="00830B62"/>
    <w:rsid w:val="00832402"/>
    <w:rsid w:val="00844C00"/>
    <w:rsid w:val="0084500C"/>
    <w:rsid w:val="00845A54"/>
    <w:rsid w:val="008469D3"/>
    <w:rsid w:val="0086495E"/>
    <w:rsid w:val="00865CE6"/>
    <w:rsid w:val="0087023B"/>
    <w:rsid w:val="008B29F8"/>
    <w:rsid w:val="008C70C5"/>
    <w:rsid w:val="008F1741"/>
    <w:rsid w:val="00916533"/>
    <w:rsid w:val="00924CD9"/>
    <w:rsid w:val="00940DA9"/>
    <w:rsid w:val="00963B04"/>
    <w:rsid w:val="009A71AF"/>
    <w:rsid w:val="009B1546"/>
    <w:rsid w:val="009B16AD"/>
    <w:rsid w:val="009B2E56"/>
    <w:rsid w:val="009B651F"/>
    <w:rsid w:val="009D71BF"/>
    <w:rsid w:val="009E0348"/>
    <w:rsid w:val="009E25DA"/>
    <w:rsid w:val="009E68C6"/>
    <w:rsid w:val="00A03316"/>
    <w:rsid w:val="00A15DC3"/>
    <w:rsid w:val="00A2601A"/>
    <w:rsid w:val="00A26700"/>
    <w:rsid w:val="00A3095F"/>
    <w:rsid w:val="00A310EA"/>
    <w:rsid w:val="00A46C4A"/>
    <w:rsid w:val="00A50FB7"/>
    <w:rsid w:val="00A6165E"/>
    <w:rsid w:val="00A675D3"/>
    <w:rsid w:val="00A719DB"/>
    <w:rsid w:val="00A842EA"/>
    <w:rsid w:val="00A8572B"/>
    <w:rsid w:val="00A86808"/>
    <w:rsid w:val="00A874DA"/>
    <w:rsid w:val="00AB1006"/>
    <w:rsid w:val="00AB36F7"/>
    <w:rsid w:val="00AE59EE"/>
    <w:rsid w:val="00B02D74"/>
    <w:rsid w:val="00B17241"/>
    <w:rsid w:val="00B24D13"/>
    <w:rsid w:val="00B27C9F"/>
    <w:rsid w:val="00B45DFF"/>
    <w:rsid w:val="00B56D03"/>
    <w:rsid w:val="00B82B92"/>
    <w:rsid w:val="00BB5725"/>
    <w:rsid w:val="00BD6621"/>
    <w:rsid w:val="00BE06CE"/>
    <w:rsid w:val="00BE7C49"/>
    <w:rsid w:val="00C11B5A"/>
    <w:rsid w:val="00C32789"/>
    <w:rsid w:val="00C34C5C"/>
    <w:rsid w:val="00C35660"/>
    <w:rsid w:val="00C5056E"/>
    <w:rsid w:val="00C53444"/>
    <w:rsid w:val="00C57749"/>
    <w:rsid w:val="00C6130D"/>
    <w:rsid w:val="00C82B14"/>
    <w:rsid w:val="00C86475"/>
    <w:rsid w:val="00C97FD1"/>
    <w:rsid w:val="00CA234B"/>
    <w:rsid w:val="00CB3462"/>
    <w:rsid w:val="00CB767C"/>
    <w:rsid w:val="00CC3EAD"/>
    <w:rsid w:val="00CC79C0"/>
    <w:rsid w:val="00CF5053"/>
    <w:rsid w:val="00D07713"/>
    <w:rsid w:val="00D257C1"/>
    <w:rsid w:val="00D27E94"/>
    <w:rsid w:val="00D45167"/>
    <w:rsid w:val="00D4574F"/>
    <w:rsid w:val="00D53424"/>
    <w:rsid w:val="00D63430"/>
    <w:rsid w:val="00D803A1"/>
    <w:rsid w:val="00D90931"/>
    <w:rsid w:val="00DA0C5D"/>
    <w:rsid w:val="00DB5518"/>
    <w:rsid w:val="00DB6C1E"/>
    <w:rsid w:val="00DC0B1C"/>
    <w:rsid w:val="00DD4D85"/>
    <w:rsid w:val="00E23E54"/>
    <w:rsid w:val="00E306CB"/>
    <w:rsid w:val="00E40CBC"/>
    <w:rsid w:val="00E41840"/>
    <w:rsid w:val="00E540BC"/>
    <w:rsid w:val="00E565C5"/>
    <w:rsid w:val="00E57043"/>
    <w:rsid w:val="00E5723B"/>
    <w:rsid w:val="00E667CB"/>
    <w:rsid w:val="00E67DCD"/>
    <w:rsid w:val="00E750CC"/>
    <w:rsid w:val="00E82940"/>
    <w:rsid w:val="00E83A84"/>
    <w:rsid w:val="00E85F3F"/>
    <w:rsid w:val="00EA0ED2"/>
    <w:rsid w:val="00EA7527"/>
    <w:rsid w:val="00EB2C83"/>
    <w:rsid w:val="00EB476F"/>
    <w:rsid w:val="00EC136E"/>
    <w:rsid w:val="00EC2814"/>
    <w:rsid w:val="00EE150B"/>
    <w:rsid w:val="00EF09A7"/>
    <w:rsid w:val="00F0076E"/>
    <w:rsid w:val="00F118B1"/>
    <w:rsid w:val="00F136EE"/>
    <w:rsid w:val="00F22A71"/>
    <w:rsid w:val="00F27D86"/>
    <w:rsid w:val="00F46A54"/>
    <w:rsid w:val="00F5130C"/>
    <w:rsid w:val="00F65C09"/>
    <w:rsid w:val="00F676BF"/>
    <w:rsid w:val="00F70EC7"/>
    <w:rsid w:val="00F94113"/>
    <w:rsid w:val="00FA63BA"/>
    <w:rsid w:val="00FB3F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76DE"/>
  <w15:docId w15:val="{5A0BFE1C-A5A2-438F-A60E-8DD56E99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Q1'!$F$3</c:f>
              <c:strCache>
                <c:ptCount val="1"/>
                <c:pt idx="0">
                  <c:v>Katkı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'2017Q3'!$B$4:$B$9</c:f>
              <c:strCache>
                <c:ptCount val="6"/>
                <c:pt idx="0">
                  <c:v>Özel Tüketim</c:v>
                </c:pt>
                <c:pt idx="1">
                  <c:v>Kamu Tüketimi</c:v>
                </c:pt>
                <c:pt idx="2">
                  <c:v>Yatırım</c:v>
                </c:pt>
                <c:pt idx="3">
                  <c:v>Stok Değişimi</c:v>
                </c:pt>
                <c:pt idx="4">
                  <c:v>İhracat</c:v>
                </c:pt>
                <c:pt idx="5">
                  <c:v>İthalat</c:v>
                </c:pt>
              </c:strCache>
            </c:strRef>
          </c:cat>
          <c:val>
            <c:numRef>
              <c:f>'2018 Q1'!$F$4:$F$9</c:f>
              <c:numCache>
                <c:formatCode>#,#00</c:formatCode>
                <c:ptCount val="6"/>
                <c:pt idx="0">
                  <c:v>6.59586633576109</c:v>
                </c:pt>
                <c:pt idx="1">
                  <c:v>0.51814830051037497</c:v>
                </c:pt>
                <c:pt idx="2">
                  <c:v>2.7688979475465101</c:v>
                </c:pt>
                <c:pt idx="3">
                  <c:v>1.6821410723843899</c:v>
                </c:pt>
                <c:pt idx="4">
                  <c:v>0.25285507492390802</c:v>
                </c:pt>
                <c:pt idx="5">
                  <c:v>-4.45661439756286</c:v>
                </c:pt>
              </c:numCache>
            </c:numRef>
          </c:val>
          <c:extLst>
            <c:ext xmlns:c16="http://schemas.microsoft.com/office/drawing/2014/chart" uri="{C3380CC4-5D6E-409C-BE32-E72D297353CC}">
              <c16:uniqueId val="{00000000-CBD9-4F2C-9FB6-191688A53011}"/>
            </c:ext>
          </c:extLst>
        </c:ser>
        <c:dLbls>
          <c:dLblPos val="outEnd"/>
          <c:showLegendKey val="0"/>
          <c:showVal val="1"/>
          <c:showCatName val="0"/>
          <c:showSerName val="0"/>
          <c:showPercent val="0"/>
          <c:showBubbleSize val="0"/>
        </c:dLbls>
        <c:gapWidth val="219"/>
        <c:overlap val="-27"/>
        <c:axId val="263627328"/>
        <c:axId val="195872624"/>
      </c:barChart>
      <c:catAx>
        <c:axId val="26362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872624"/>
        <c:crosses val="autoZero"/>
        <c:auto val="1"/>
        <c:lblAlgn val="ctr"/>
        <c:lblOffset val="100"/>
        <c:noMultiLvlLbl val="0"/>
      </c:catAx>
      <c:valAx>
        <c:axId val="195872624"/>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362732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Q1'!$E$3</c:f>
              <c:strCache>
                <c:ptCount val="1"/>
                <c:pt idx="0">
                  <c:v>Değişim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'2017Q3'!$B$4:$B$10</c:f>
              <c:strCache>
                <c:ptCount val="6"/>
                <c:pt idx="0">
                  <c:v>Özel Tüketim</c:v>
                </c:pt>
                <c:pt idx="1">
                  <c:v>Kamu Tüketimi</c:v>
                </c:pt>
                <c:pt idx="2">
                  <c:v>Yatırım</c:v>
                </c:pt>
                <c:pt idx="3">
                  <c:v>İhracat</c:v>
                </c:pt>
                <c:pt idx="4">
                  <c:v>İthalat</c:v>
                </c:pt>
                <c:pt idx="5">
                  <c:v>GSYH</c:v>
                </c:pt>
              </c:strCache>
              <c:extLst/>
            </c:strRef>
          </c:cat>
          <c:val>
            <c:numRef>
              <c:f>'2018 Q1'!$E$4:$E$10</c:f>
              <c:numCache>
                <c:formatCode>#,#00</c:formatCode>
                <c:ptCount val="6"/>
                <c:pt idx="0">
                  <c:v>10.98945403688405</c:v>
                </c:pt>
                <c:pt idx="1">
                  <c:v>3.4331398036387295</c:v>
                </c:pt>
                <c:pt idx="2">
                  <c:v>9.6511332721065592</c:v>
                </c:pt>
                <c:pt idx="3">
                  <c:v>0.46276740334416644</c:v>
                </c:pt>
                <c:pt idx="4">
                  <c:v>15.571286139448448</c:v>
                </c:pt>
                <c:pt idx="5">
                  <c:v>7.3612943335634062</c:v>
                </c:pt>
              </c:numCache>
              <c:extLst/>
            </c:numRef>
          </c:val>
          <c:extLst>
            <c:ext xmlns:c16="http://schemas.microsoft.com/office/drawing/2014/chart" uri="{C3380CC4-5D6E-409C-BE32-E72D297353CC}">
              <c16:uniqueId val="{00000000-3737-442F-A878-B7BC4070DDC1}"/>
            </c:ext>
          </c:extLst>
        </c:ser>
        <c:dLbls>
          <c:dLblPos val="outEnd"/>
          <c:showLegendKey val="0"/>
          <c:showVal val="1"/>
          <c:showCatName val="0"/>
          <c:showSerName val="0"/>
          <c:showPercent val="0"/>
          <c:showBubbleSize val="0"/>
        </c:dLbls>
        <c:gapWidth val="219"/>
        <c:overlap val="-27"/>
        <c:axId val="195714720"/>
        <c:axId val="266825456"/>
      </c:barChart>
      <c:catAx>
        <c:axId val="19571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6825456"/>
        <c:crosses val="autoZero"/>
        <c:auto val="1"/>
        <c:lblAlgn val="ctr"/>
        <c:lblOffset val="100"/>
        <c:noMultiLvlLbl val="0"/>
      </c:catAx>
      <c:valAx>
        <c:axId val="26682545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5714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Q1'!$E$29</c:f>
              <c:strCache>
                <c:ptCount val="1"/>
                <c:pt idx="0">
                  <c:v>Yıllık değişim</c:v>
                </c:pt>
              </c:strCache>
            </c:strRef>
          </c:tx>
          <c:spPr>
            <a:solidFill>
              <a:schemeClr val="accent1"/>
            </a:solidFill>
            <a:ln>
              <a:noFill/>
            </a:ln>
            <a:effectLst/>
          </c:spPr>
          <c:invertIfNegative val="0"/>
          <c:cat>
            <c:strRef>
              <c:f>'2018 Q1'!$A$35:$A$54</c:f>
              <c:strCache>
                <c:ptCount val="20"/>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strCache>
            </c:strRef>
          </c:cat>
          <c:val>
            <c:numRef>
              <c:f>'2018 Q1'!$E$35:$E$54</c:f>
              <c:numCache>
                <c:formatCode>#,#00</c:formatCode>
                <c:ptCount val="20"/>
                <c:pt idx="0">
                  <c:v>9.8066583993321679</c:v>
                </c:pt>
                <c:pt idx="1">
                  <c:v>8.9226688185641834</c:v>
                </c:pt>
                <c:pt idx="2">
                  <c:v>6.8804097448097012</c:v>
                </c:pt>
                <c:pt idx="3">
                  <c:v>8.679514433077685</c:v>
                </c:pt>
                <c:pt idx="4">
                  <c:v>2.8975438907233864</c:v>
                </c:pt>
                <c:pt idx="5">
                  <c:v>3.6662593748295391</c:v>
                </c:pt>
                <c:pt idx="6">
                  <c:v>5.9302729224654627</c:v>
                </c:pt>
                <c:pt idx="7">
                  <c:v>3.6016444809847004</c:v>
                </c:pt>
                <c:pt idx="8">
                  <c:v>7.1600269477660072</c:v>
                </c:pt>
                <c:pt idx="9">
                  <c:v>5.785060369802375</c:v>
                </c:pt>
                <c:pt idx="10">
                  <c:v>7.4964855961417332</c:v>
                </c:pt>
                <c:pt idx="11">
                  <c:v>4.8088368022987549</c:v>
                </c:pt>
                <c:pt idx="12">
                  <c:v>4.9296739098340314</c:v>
                </c:pt>
                <c:pt idx="13">
                  <c:v>-0.81201904461093433</c:v>
                </c:pt>
                <c:pt idx="14">
                  <c:v>4.2392838766346808</c:v>
                </c:pt>
                <c:pt idx="15">
                  <c:v>5.3862161353916305</c:v>
                </c:pt>
                <c:pt idx="16">
                  <c:v>5.3967634821743493</c:v>
                </c:pt>
                <c:pt idx="17">
                  <c:v>11.290311362440164</c:v>
                </c:pt>
                <c:pt idx="18">
                  <c:v>7.2638762775595556</c:v>
                </c:pt>
                <c:pt idx="19">
                  <c:v>7.3612943335634062</c:v>
                </c:pt>
              </c:numCache>
            </c:numRef>
          </c:val>
          <c:extLst>
            <c:ext xmlns:c16="http://schemas.microsoft.com/office/drawing/2014/chart" uri="{C3380CC4-5D6E-409C-BE32-E72D297353CC}">
              <c16:uniqueId val="{00000000-4AD5-4535-8544-DB67B94BB0CB}"/>
            </c:ext>
          </c:extLst>
        </c:ser>
        <c:dLbls>
          <c:showLegendKey val="0"/>
          <c:showVal val="0"/>
          <c:showCatName val="0"/>
          <c:showSerName val="0"/>
          <c:showPercent val="0"/>
          <c:showBubbleSize val="0"/>
        </c:dLbls>
        <c:gapWidth val="75"/>
        <c:overlap val="-25"/>
        <c:axId val="266828256"/>
        <c:axId val="266828816"/>
      </c:barChart>
      <c:lineChart>
        <c:grouping val="standard"/>
        <c:varyColors val="0"/>
        <c:ser>
          <c:idx val="1"/>
          <c:order val="1"/>
          <c:tx>
            <c:strRef>
              <c:f>'2018 Q1'!$F$29</c:f>
              <c:strCache>
                <c:ptCount val="1"/>
                <c:pt idx="0">
                  <c:v>Çeyreklik değişim</c:v>
                </c:pt>
              </c:strCache>
            </c:strRef>
          </c:tx>
          <c:spPr>
            <a:ln w="25400" cap="rnd">
              <a:solidFill>
                <a:schemeClr val="tx1"/>
              </a:solidFill>
              <a:round/>
            </a:ln>
            <a:effectLst/>
          </c:spPr>
          <c:marker>
            <c:symbol val="none"/>
          </c:marker>
          <c:cat>
            <c:strRef>
              <c:f>'2018 Q1'!$A$35:$A$54</c:f>
              <c:strCache>
                <c:ptCount val="20"/>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strCache>
            </c:strRef>
          </c:cat>
          <c:val>
            <c:numRef>
              <c:f>'2018 Q1'!$F$35:$F$54</c:f>
              <c:numCache>
                <c:formatCode>#,#00</c:formatCode>
                <c:ptCount val="20"/>
                <c:pt idx="0">
                  <c:v>2.6178718123111455</c:v>
                </c:pt>
                <c:pt idx="1">
                  <c:v>1.3467776239150187</c:v>
                </c:pt>
                <c:pt idx="2">
                  <c:v>0.7323027398944415</c:v>
                </c:pt>
                <c:pt idx="3">
                  <c:v>2.6644199701995719</c:v>
                </c:pt>
                <c:pt idx="4">
                  <c:v>-1.5498061972216148</c:v>
                </c:pt>
                <c:pt idx="5">
                  <c:v>2.3568373716194246</c:v>
                </c:pt>
                <c:pt idx="6">
                  <c:v>1.4948925124467438</c:v>
                </c:pt>
                <c:pt idx="7">
                  <c:v>1.9272242598637801</c:v>
                </c:pt>
                <c:pt idx="8">
                  <c:v>1.4621082665434937</c:v>
                </c:pt>
                <c:pt idx="9">
                  <c:v>1.2766352037816509</c:v>
                </c:pt>
                <c:pt idx="10">
                  <c:v>0.93982795795479745</c:v>
                </c:pt>
                <c:pt idx="11">
                  <c:v>0.69644681869063252</c:v>
                </c:pt>
                <c:pt idx="12">
                  <c:v>1.2141926254599644</c:v>
                </c:pt>
                <c:pt idx="13">
                  <c:v>-2.5116215760206062</c:v>
                </c:pt>
                <c:pt idx="14">
                  <c:v>4.6572458734944977</c:v>
                </c:pt>
                <c:pt idx="15">
                  <c:v>2.0168649524366478</c:v>
                </c:pt>
                <c:pt idx="16">
                  <c:v>2.1942344919680057</c:v>
                </c:pt>
                <c:pt idx="17">
                  <c:v>1.2214316326858876</c:v>
                </c:pt>
                <c:pt idx="18">
                  <c:v>1.7016922475602048</c:v>
                </c:pt>
                <c:pt idx="19">
                  <c:v>1.9538644939867789</c:v>
                </c:pt>
              </c:numCache>
            </c:numRef>
          </c:val>
          <c:smooth val="0"/>
          <c:extLst>
            <c:ext xmlns:c16="http://schemas.microsoft.com/office/drawing/2014/chart" uri="{C3380CC4-5D6E-409C-BE32-E72D297353CC}">
              <c16:uniqueId val="{00000001-4AD5-4535-8544-DB67B94BB0CB}"/>
            </c:ext>
          </c:extLst>
        </c:ser>
        <c:dLbls>
          <c:showLegendKey val="0"/>
          <c:showVal val="0"/>
          <c:showCatName val="0"/>
          <c:showSerName val="0"/>
          <c:showPercent val="0"/>
          <c:showBubbleSize val="0"/>
        </c:dLbls>
        <c:marker val="1"/>
        <c:smooth val="0"/>
        <c:axId val="266828256"/>
        <c:axId val="266828816"/>
      </c:lineChart>
      <c:catAx>
        <c:axId val="26682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266828816"/>
        <c:crosses val="autoZero"/>
        <c:auto val="1"/>
        <c:lblAlgn val="ctr"/>
        <c:lblOffset val="100"/>
        <c:noMultiLvlLbl val="0"/>
      </c:catAx>
      <c:valAx>
        <c:axId val="266828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682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DB77-D53D-4A9B-A67B-C4D2607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1067</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merve.akgul</cp:lastModifiedBy>
  <cp:revision>6</cp:revision>
  <cp:lastPrinted>2017-12-14T09:18:00Z</cp:lastPrinted>
  <dcterms:created xsi:type="dcterms:W3CDTF">2018-06-19T11:33:00Z</dcterms:created>
  <dcterms:modified xsi:type="dcterms:W3CDTF">2018-06-19T13:05:00Z</dcterms:modified>
</cp:coreProperties>
</file>