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10088628"/>
    <w:bookmarkStart w:id="1" w:name="_GoBack"/>
    <w:bookmarkEnd w:id="0"/>
    <w:bookmarkEnd w:id="1"/>
    <w:p w14:paraId="74AE5406" w14:textId="77777777" w:rsidR="00B047D4" w:rsidRPr="00D4730B" w:rsidRDefault="00516E15" w:rsidP="00ED3B36">
      <w:pPr>
        <w:jc w:val="both"/>
        <w:rPr>
          <w:lang w:val="en-GB"/>
        </w:rPr>
      </w:pPr>
      <w:r w:rsidRPr="00D4730B">
        <w:rPr>
          <w:noProof/>
        </w:rPr>
        <mc:AlternateContent>
          <mc:Choice Requires="wps">
            <w:drawing>
              <wp:anchor distT="0" distB="0" distL="114935" distR="114935" simplePos="0" relativeHeight="251662336" behindDoc="0" locked="0" layoutInCell="1" allowOverlap="1" wp14:anchorId="34528050" wp14:editId="5C113B1A">
                <wp:simplePos x="0" y="0"/>
                <wp:positionH relativeFrom="column">
                  <wp:posOffset>4915535</wp:posOffset>
                </wp:positionH>
                <wp:positionV relativeFrom="paragraph">
                  <wp:posOffset>114935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53F30" w14:textId="789B838F" w:rsidR="00143504" w:rsidRPr="00DF0B5B" w:rsidRDefault="00143504"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27 Nisan</w:t>
                            </w:r>
                            <w:r w:rsidRPr="00DF0B5B">
                              <w:rPr>
                                <w:rFonts w:ascii="Cambria" w:hAnsi="Cambria"/>
                                <w:color w:val="FFFFFF"/>
                                <w:sz w:val="24"/>
                                <w:szCs w:val="24"/>
                                <w:lang w:val="tr-TR"/>
                              </w:rPr>
                              <w:t xml:space="preserve"> 201</w:t>
                            </w:r>
                            <w:r>
                              <w:rPr>
                                <w:rFonts w:ascii="Cambria" w:hAnsi="Cambria"/>
                                <w:color w:val="FFFFFF"/>
                                <w:sz w:val="24"/>
                                <w:szCs w:val="24"/>
                                <w:lang w:val="tr-TR"/>
                              </w:rPr>
                              <w:t>8</w:t>
                            </w:r>
                          </w:p>
                          <w:p w14:paraId="6F35F82A" w14:textId="77777777" w:rsidR="00143504" w:rsidRPr="00DF0B5B" w:rsidRDefault="00143504" w:rsidP="00B04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28050" id="_x0000_t202" coordsize="21600,21600" o:spt="202" path="m,l,21600r21600,l21600,xe">
                <v:stroke joinstyle="miter"/>
                <v:path gradientshapeok="t" o:connecttype="rect"/>
              </v:shapetype>
              <v:shape id="Text Box 4" o:spid="_x0000_s1026" type="#_x0000_t202" style="position:absolute;left:0;text-align:left;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yS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oj&#10;RXpo0T0fPbrSIypDdQbjanC6M+DmR1iGLsdMnbnV9JtDSl93RO34pbV66DhhwK4IJ7MnRxOOCyDb&#10;4aNmEIbsvY5AY2v7UDooBgJ06NLDqTOBCg0hF0VRvVlgRGGvXJTLZWxdRurptLHOv+e6R8FosIXO&#10;R3RyuHU+sCH15BKCOS0F2wgp48TuttfSogMBlWzil85K05G0OoVzyTXiPcOQKiApHTBTuLQCGQCB&#10;sBdyiZL4WRXzMr+aV7PNcvV2Vm7Kxax6m69meVFdVcu8rMqbza/AoCjrTjDG1a1QfJJnUf5d+48X&#10;JQkrChQN0ObFfBGTe8b+mNYx1zx8sYUvCtULD7dVir7Bq5MTqUPX3ykGaZPaEyGTnT2nH0sGNZj+&#10;sSpRI0EWSSB+3I6AEoSz1ewB1GI1NBMkAU8MGJ22PzAa4Lo22H3fE8sxkh8UKC7c7cmwk7GdDKIo&#10;HG2wxyiZ1z69AXtjxa4D5KRppS9Bla2IgnlkAZTDBK5gJH98LsIdfzqPXo+P2vo3AAAA//8DAFBL&#10;AwQUAAYACAAAACEAmCF1Ed0AAAAKAQAADwAAAGRycy9kb3ducmV2LnhtbEyPwU7DMAyG70i8Q2Qk&#10;bixtQbQrTScYgiuiIO2aNV5TtXGqJtvK2+Od4GRZ/6ffn6vN4kZxwjn0nhSkqwQEUutNT52C76+3&#10;uwJEiJqMHj2hgh8MsKmvrypdGn+mTzw1sRNcQqHUCmyMUyllaC06HVZ+QuLs4GenI69zJ82sz1zu&#10;RpklyaN0uie+YPWEW4vt0BydgvuPLN+F9+Z1O+1wPRThZTiQVer2Znl+AhFxiX8wXPRZHWp22vsj&#10;mSBGBXn+kDLKQcHzAiRploHYKyjWOci6kv9fqH8BAAD//wMAUEsBAi0AFAAGAAgAAAAhALaDOJL+&#10;AAAA4QEAABMAAAAAAAAAAAAAAAAAAAAAAFtDb250ZW50X1R5cGVzXS54bWxQSwECLQAUAAYACAAA&#10;ACEAOP0h/9YAAACUAQAACwAAAAAAAAAAAAAAAAAvAQAAX3JlbHMvLnJlbHNQSwECLQAUAAYACAAA&#10;ACEAfasskooCAAAcBQAADgAAAAAAAAAAAAAAAAAuAgAAZHJzL2Uyb0RvYy54bWxQSwECLQAUAAYA&#10;CAAAACEAmCF1Ed0AAAAKAQAADwAAAAAAAAAAAAAAAADkBAAAZHJzL2Rvd25yZXYueG1sUEsFBgAA&#10;AAAEAAQA8wAAAO4FAAAAAA==&#10;" stroked="f">
                <v:fill opacity="0"/>
                <v:textbox inset="0,0,0,0">
                  <w:txbxContent>
                    <w:p w14:paraId="48653F30" w14:textId="789B838F" w:rsidR="00143504" w:rsidRPr="00DF0B5B" w:rsidRDefault="00143504"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27 Nisan</w:t>
                      </w:r>
                      <w:r w:rsidRPr="00DF0B5B">
                        <w:rPr>
                          <w:rFonts w:ascii="Cambria" w:hAnsi="Cambria"/>
                          <w:color w:val="FFFFFF"/>
                          <w:sz w:val="24"/>
                          <w:szCs w:val="24"/>
                          <w:lang w:val="tr-TR"/>
                        </w:rPr>
                        <w:t xml:space="preserve"> 201</w:t>
                      </w:r>
                      <w:r>
                        <w:rPr>
                          <w:rFonts w:ascii="Cambria" w:hAnsi="Cambria"/>
                          <w:color w:val="FFFFFF"/>
                          <w:sz w:val="24"/>
                          <w:szCs w:val="24"/>
                          <w:lang w:val="tr-TR"/>
                        </w:rPr>
                        <w:t>8</w:t>
                      </w:r>
                    </w:p>
                    <w:p w14:paraId="6F35F82A" w14:textId="77777777" w:rsidR="00143504" w:rsidRPr="00DF0B5B" w:rsidRDefault="00143504" w:rsidP="00B047D4"/>
                  </w:txbxContent>
                </v:textbox>
              </v:shape>
            </w:pict>
          </mc:Fallback>
        </mc:AlternateContent>
      </w:r>
      <w:r w:rsidRPr="00D4730B">
        <w:rPr>
          <w:noProof/>
        </w:rPr>
        <mc:AlternateContent>
          <mc:Choice Requires="wps">
            <w:drawing>
              <wp:anchor distT="0" distB="0" distL="114300" distR="114300" simplePos="0" relativeHeight="251661312" behindDoc="0" locked="0" layoutInCell="1" allowOverlap="1" wp14:anchorId="1C153D92" wp14:editId="75E7DDCE">
                <wp:simplePos x="0" y="0"/>
                <wp:positionH relativeFrom="column">
                  <wp:posOffset>1919605</wp:posOffset>
                </wp:positionH>
                <wp:positionV relativeFrom="paragraph">
                  <wp:posOffset>-497205</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EA755" w14:textId="2B1FC97F" w:rsidR="00143504" w:rsidRPr="00196536" w:rsidRDefault="00143504" w:rsidP="00B047D4">
                            <w:pPr>
                              <w:rPr>
                                <w:rFonts w:ascii="Cambria" w:hAnsi="Cambria"/>
                                <w:b/>
                                <w:sz w:val="44"/>
                                <w:szCs w:val="44"/>
                              </w:rPr>
                            </w:pPr>
                            <w:r>
                              <w:rPr>
                                <w:rFonts w:ascii="Cambria" w:hAnsi="Cambria"/>
                                <w:b/>
                                <w:sz w:val="44"/>
                                <w:szCs w:val="44"/>
                              </w:rPr>
                              <w:t>Research Brief 18/227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3D92" id="Text Box 3" o:spid="_x0000_s1027" type="#_x0000_t202" style="position:absolute;left:0;text-align:left;margin-left:151.15pt;margin-top:-39.15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EgsgIAAME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xq9hvVsxb2T1CApW&#10;EgQGWoS+B4tGqu8YDdBDMqy/7ahiGLXvBfyCJCQEzMx0o6abzXRDRQlQGTYYjcuVGRvVrld824Cn&#10;8d8JeQM/p+ZO1E9RHf8b9AnH7djTbCOa7p3VU+dd/gIAAP//AwBQSwMEFAAGAAgAAAAhAD1Nfhbd&#10;AAAACgEAAA8AAABkcnMvZG93bnJldi54bWxMj81OwzAQhO9IvIO1SNxah0ZtohCnQkU8AAWpVyfe&#10;JhH2OoqdH/r0LCe4ze6MZr8tj6uzYsYx9J4UPG0TEEiNNz21Cj4/3jY5iBA1GW09oYJvDHCs7u9K&#10;XRi/0DvO59gKLqFQaAVdjEMhZWg6dDps/YDE3tWPTkcex1aaUS9c7qzcJclBOt0TX+j0gKcOm6/z&#10;5BQ0t+k1P/X1vNyyS1avnd1fySr1+LC+PIOIuMa/MPziMzpUzFT7iUwQVkGa7FKOKthkOQtO5PuM&#10;Rc2bQwqyKuX/F6ofAAAA//8DAFBLAQItABQABgAIAAAAIQC2gziS/gAAAOEBAAATAAAAAAAAAAAA&#10;AAAAAAAAAABbQ29udGVudF9UeXBlc10ueG1sUEsBAi0AFAAGAAgAAAAhADj9If/WAAAAlAEAAAsA&#10;AAAAAAAAAAAAAAAALwEAAF9yZWxzLy5yZWxzUEsBAi0AFAAGAAgAAAAhAGsKUSCyAgAAwQUAAA4A&#10;AAAAAAAAAAAAAAAALgIAAGRycy9lMm9Eb2MueG1sUEsBAi0AFAAGAAgAAAAhAD1NfhbdAAAACgEA&#10;AA8AAAAAAAAAAAAAAAAADAUAAGRycy9kb3ducmV2LnhtbFBLBQYAAAAABAAEAPMAAAAWBgAAAAA=&#10;" filled="f" stroked="f">
                <v:textbox inset=",7.2pt,,7.2pt">
                  <w:txbxContent>
                    <w:p w14:paraId="7E5EA755" w14:textId="2B1FC97F" w:rsidR="00143504" w:rsidRPr="00196536" w:rsidRDefault="00143504" w:rsidP="00B047D4">
                      <w:pPr>
                        <w:rPr>
                          <w:rFonts w:ascii="Cambria" w:hAnsi="Cambria"/>
                          <w:b/>
                          <w:sz w:val="44"/>
                          <w:szCs w:val="44"/>
                        </w:rPr>
                      </w:pPr>
                      <w:r>
                        <w:rPr>
                          <w:rFonts w:ascii="Cambria" w:hAnsi="Cambria"/>
                          <w:b/>
                          <w:sz w:val="44"/>
                          <w:szCs w:val="44"/>
                        </w:rPr>
                        <w:t>Research Brief 18/227</w:t>
                      </w:r>
                    </w:p>
                  </w:txbxContent>
                </v:textbox>
              </v:shape>
            </w:pict>
          </mc:Fallback>
        </mc:AlternateContent>
      </w:r>
      <w:r w:rsidR="00B047D4" w:rsidRPr="00D4730B">
        <w:rPr>
          <w:noProof/>
        </w:rPr>
        <w:drawing>
          <wp:anchor distT="0" distB="0" distL="114300" distR="114300" simplePos="0" relativeHeight="251658240" behindDoc="1" locked="0" layoutInCell="1" allowOverlap="1" wp14:anchorId="5B352AE2" wp14:editId="21BB1478">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561125" w:rsidRPr="00D4730B">
        <w:rPr>
          <w:lang w:val="en-GB"/>
        </w:rPr>
        <w:tab/>
      </w:r>
    </w:p>
    <w:p w14:paraId="5EDA4E22" w14:textId="77777777" w:rsidR="00B047D4" w:rsidRPr="00D4730B" w:rsidRDefault="00B047D4" w:rsidP="00ED3B36">
      <w:pPr>
        <w:jc w:val="both"/>
        <w:rPr>
          <w:lang w:val="en-GB"/>
        </w:rPr>
      </w:pPr>
    </w:p>
    <w:p w14:paraId="77F4542D" w14:textId="77777777" w:rsidR="00B047D4" w:rsidRPr="00D4730B" w:rsidRDefault="00B047D4" w:rsidP="00ED3B36">
      <w:pPr>
        <w:jc w:val="both"/>
        <w:rPr>
          <w:lang w:val="en-GB"/>
        </w:rPr>
      </w:pPr>
    </w:p>
    <w:p w14:paraId="54F065C3" w14:textId="77777777" w:rsidR="003764BC" w:rsidRPr="00D4730B" w:rsidRDefault="003764BC" w:rsidP="003764BC">
      <w:pPr>
        <w:ind w:left="1416"/>
        <w:rPr>
          <w:b/>
          <w:sz w:val="28"/>
          <w:szCs w:val="28"/>
          <w:lang w:val="en-GB" w:eastAsia="en-GB"/>
        </w:rPr>
      </w:pPr>
      <w:r w:rsidRPr="00D4730B">
        <w:rPr>
          <w:b/>
          <w:sz w:val="28"/>
          <w:szCs w:val="28"/>
          <w:lang w:val="en-GB" w:eastAsia="en-GB"/>
        </w:rPr>
        <w:t>THE WORSTS AND THE BESTS IN REGIONAL UNEMPLOYMENT</w:t>
      </w:r>
    </w:p>
    <w:p w14:paraId="1B7E9701" w14:textId="381E7ADA" w:rsidR="008C087D" w:rsidRPr="00D4730B" w:rsidRDefault="008C087D" w:rsidP="00FF087F">
      <w:pPr>
        <w:jc w:val="center"/>
        <w:rPr>
          <w:rFonts w:cs="Arial"/>
          <w:lang w:val="en-GB"/>
        </w:rPr>
      </w:pPr>
      <w:r w:rsidRPr="00D4730B">
        <w:rPr>
          <w:rFonts w:cs="Arial"/>
          <w:lang w:val="en-GB"/>
        </w:rPr>
        <w:t>Seyfettin Gürsel</w:t>
      </w:r>
      <w:r w:rsidRPr="00D4730B">
        <w:rPr>
          <w:rStyle w:val="FootnoteReference"/>
          <w:rFonts w:cs="Arial"/>
          <w:lang w:val="en-GB"/>
        </w:rPr>
        <w:footnoteReference w:customMarkFollows="1" w:id="1"/>
        <w:t>*</w:t>
      </w:r>
      <w:r w:rsidRPr="00D4730B">
        <w:rPr>
          <w:rFonts w:cs="Arial"/>
          <w:lang w:val="en-GB"/>
        </w:rPr>
        <w:t xml:space="preserve">, </w:t>
      </w:r>
      <w:r w:rsidR="00862C95" w:rsidRPr="00D4730B">
        <w:rPr>
          <w:rFonts w:cs="Arial"/>
          <w:lang w:val="en-GB"/>
        </w:rPr>
        <w:t>Yazgı Genç</w:t>
      </w:r>
      <w:r w:rsidRPr="00D4730B">
        <w:rPr>
          <w:rStyle w:val="FootnoteReference"/>
          <w:rFonts w:cs="Arial"/>
          <w:lang w:val="en-GB"/>
        </w:rPr>
        <w:footnoteReference w:customMarkFollows="1" w:id="2"/>
        <w:t>**</w:t>
      </w:r>
      <w:r w:rsidRPr="00D4730B">
        <w:rPr>
          <w:rFonts w:cs="Arial"/>
          <w:lang w:val="en-GB"/>
        </w:rPr>
        <w:t xml:space="preserve"> </w:t>
      </w:r>
      <w:r w:rsidR="003764BC" w:rsidRPr="00D4730B">
        <w:rPr>
          <w:rFonts w:cs="Arial"/>
          <w:lang w:val="en-GB"/>
        </w:rPr>
        <w:t>and</w:t>
      </w:r>
      <w:r w:rsidRPr="00D4730B">
        <w:rPr>
          <w:rFonts w:cs="Arial"/>
          <w:lang w:val="en-GB"/>
        </w:rPr>
        <w:t xml:space="preserve"> </w:t>
      </w:r>
      <w:r w:rsidR="00862C95" w:rsidRPr="00D4730B">
        <w:rPr>
          <w:rFonts w:cs="Arial"/>
          <w:lang w:val="en-GB"/>
        </w:rPr>
        <w:t>Mine Durmaz Aslan</w:t>
      </w:r>
      <w:r w:rsidR="00862C95" w:rsidRPr="00D4730B">
        <w:rPr>
          <w:rStyle w:val="FootnoteReference"/>
          <w:rFonts w:cs="Arial"/>
          <w:lang w:val="en-GB"/>
        </w:rPr>
        <w:t xml:space="preserve"> </w:t>
      </w:r>
      <w:r w:rsidRPr="00D4730B">
        <w:rPr>
          <w:rStyle w:val="FootnoteReference"/>
          <w:rFonts w:cs="Arial"/>
          <w:lang w:val="en-GB"/>
        </w:rPr>
        <w:footnoteReference w:customMarkFollows="1" w:id="3"/>
        <w:t>**</w:t>
      </w:r>
      <w:r w:rsidRPr="00D4730B">
        <w:rPr>
          <w:rStyle w:val="FootnoteReference"/>
          <w:rFonts w:cs="Arial"/>
          <w:lang w:val="en-GB"/>
        </w:rPr>
        <w:footnoteReference w:customMarkFollows="1" w:id="4"/>
        <w:t>*</w:t>
      </w:r>
    </w:p>
    <w:p w14:paraId="5135D2E0" w14:textId="45705C9E" w:rsidR="003764BC" w:rsidRPr="00D4730B" w:rsidRDefault="003764BC" w:rsidP="007255E9">
      <w:pPr>
        <w:jc w:val="center"/>
        <w:rPr>
          <w:rFonts w:cs="Arial"/>
          <w:b/>
          <w:sz w:val="24"/>
          <w:szCs w:val="24"/>
          <w:lang w:val="en-GB"/>
        </w:rPr>
      </w:pPr>
      <w:r w:rsidRPr="00D4730B">
        <w:rPr>
          <w:rFonts w:cs="Arial"/>
          <w:b/>
          <w:sz w:val="24"/>
          <w:szCs w:val="24"/>
          <w:lang w:val="en-GB"/>
        </w:rPr>
        <w:t>Executive Summary</w:t>
      </w:r>
    </w:p>
    <w:p w14:paraId="37A631EA" w14:textId="6C5398B2" w:rsidR="009D6767" w:rsidRPr="00D4730B" w:rsidRDefault="009D6767" w:rsidP="009D6767">
      <w:pPr>
        <w:jc w:val="both"/>
        <w:rPr>
          <w:lang w:val="en-GB"/>
        </w:rPr>
      </w:pPr>
      <w:r w:rsidRPr="00D4730B">
        <w:rPr>
          <w:rFonts w:cs="Arial"/>
          <w:lang w:val="en-GB"/>
        </w:rPr>
        <w:t>The non-agricultural unemployment rate in Turkey remained at 13.0 percent from 2016 to 2017. However, regional labour markets behaved asymmetrically. Out of 26 regions, 11 registered increases in non-agricultural unemployment while in 13 of them decreases are observed</w:t>
      </w:r>
      <w:r w:rsidR="0087286C" w:rsidRPr="00D4730B">
        <w:rPr>
          <w:rFonts w:cs="Arial"/>
          <w:lang w:val="en-GB"/>
        </w:rPr>
        <w:t xml:space="preserve"> </w:t>
      </w:r>
      <w:r w:rsidRPr="00D4730B">
        <w:rPr>
          <w:rFonts w:cs="Arial"/>
          <w:lang w:val="en-GB"/>
        </w:rPr>
        <w:t>and in 2 regions unemployment rate did not change. When regions are compared with their non-agricultural unemployment rate</w:t>
      </w:r>
      <w:r w:rsidR="001B62AD">
        <w:rPr>
          <w:rFonts w:cs="Arial"/>
          <w:lang w:val="en-GB"/>
        </w:rPr>
        <w:t>s</w:t>
      </w:r>
      <w:r w:rsidRPr="00D4730B">
        <w:rPr>
          <w:rFonts w:cs="Arial"/>
          <w:lang w:val="en-GB"/>
        </w:rPr>
        <w:t xml:space="preserve">, </w:t>
      </w:r>
      <w:r w:rsidRPr="00D4730B">
        <w:rPr>
          <w:lang w:val="en-GB"/>
        </w:rPr>
        <w:t xml:space="preserve">it is worth noting the significance of the large gap between the region with the lowest rate (6.1 percent) in Trabzon (TR90) and the highest rate (30.1 percent) in Mardin (TRC3). </w:t>
      </w:r>
    </w:p>
    <w:p w14:paraId="7DD59E85" w14:textId="393E2E36" w:rsidR="009D6767" w:rsidRPr="00D4730B" w:rsidRDefault="009D6767" w:rsidP="009D6767">
      <w:pPr>
        <w:jc w:val="both"/>
        <w:rPr>
          <w:rFonts w:cs="Arial"/>
          <w:lang w:val="en-GB"/>
        </w:rPr>
      </w:pPr>
      <w:r w:rsidRPr="00D4730B">
        <w:rPr>
          <w:rFonts w:cs="Arial"/>
          <w:lang w:val="en-GB"/>
        </w:rPr>
        <w:t xml:space="preserve">When a more comprehensive assessment is made by considering labour market dynamics, Mardin region emerges as the worst region according to non-agricultural unemployment rate (30.1 percent), non-agricultural employment rate (24.8 percent) and decreasing labour force and employment. The second worst region, Van (TRB2) follows Mardin (TRC3), with a high unemployment rate (19.7 percent) and also the second low employment ratio (29.5 percent). </w:t>
      </w:r>
      <w:r w:rsidR="00F234B5" w:rsidRPr="00D4730B">
        <w:rPr>
          <w:rFonts w:cs="Arial"/>
          <w:lang w:val="en-GB"/>
        </w:rPr>
        <w:t>Also,</w:t>
      </w:r>
      <w:r w:rsidRPr="00D4730B">
        <w:rPr>
          <w:rFonts w:cs="Arial"/>
          <w:lang w:val="en-GB"/>
        </w:rPr>
        <w:t xml:space="preserve"> we observe the highest increase (5.3 percentage points) in unemployment rate in this region. </w:t>
      </w:r>
    </w:p>
    <w:p w14:paraId="072F3D38" w14:textId="02FCB1B2" w:rsidR="009D6767" w:rsidRPr="00D4730B" w:rsidRDefault="009D6767" w:rsidP="009D6767">
      <w:pPr>
        <w:jc w:val="both"/>
        <w:rPr>
          <w:lang w:val="en-GB"/>
        </w:rPr>
      </w:pPr>
      <w:r w:rsidRPr="00D4730B">
        <w:rPr>
          <w:lang w:val="en-GB"/>
        </w:rPr>
        <w:t xml:space="preserve">A comprehensive assessment shows that Tekirdag-Edirne-Kırklareli (TR21, Thrace) and Ankara (TR51) are ranked at the first places among the best regions. Thrace has relatively low non-agricultural unemployment rate (9.8 percent) and the highest non-agricultural employment rate (49.5 percent). The non-agricultural unemployment rate in Ankara (11.6 percent) is relatively high but it is the only region among the best ones which had a decrease in unemployment rate (0.1 percentage points). Also, Ankara follows the Thrace with the second highest non-agricultural employment rate (46.7 percent). </w:t>
      </w:r>
    </w:p>
    <w:p w14:paraId="112C3FE4" w14:textId="35442F2B" w:rsidR="004101AB" w:rsidRPr="00D4730B" w:rsidRDefault="00D3199E" w:rsidP="00ED3B36">
      <w:pPr>
        <w:jc w:val="both"/>
        <w:rPr>
          <w:lang w:val="en-GB"/>
        </w:rPr>
      </w:pPr>
      <w:r w:rsidRPr="00D4730B">
        <w:rPr>
          <w:rFonts w:cs="Arial"/>
          <w:b/>
          <w:sz w:val="24"/>
          <w:szCs w:val="24"/>
          <w:lang w:val="en-GB"/>
        </w:rPr>
        <w:t>Methodological reminder for</w:t>
      </w:r>
      <w:r w:rsidR="00B61DBD">
        <w:rPr>
          <w:rFonts w:cs="Arial"/>
          <w:b/>
          <w:sz w:val="24"/>
          <w:szCs w:val="24"/>
          <w:lang w:val="en-GB"/>
        </w:rPr>
        <w:t xml:space="preserve"> the</w:t>
      </w:r>
      <w:r w:rsidR="00B61DBD" w:rsidRPr="00B61DBD">
        <w:rPr>
          <w:rFonts w:cs="Arial"/>
          <w:b/>
          <w:sz w:val="24"/>
          <w:szCs w:val="24"/>
          <w:lang w:val="en-GB"/>
        </w:rPr>
        <w:t xml:space="preserve"> </w:t>
      </w:r>
      <w:r w:rsidR="00B61DBD" w:rsidRPr="00D4730B">
        <w:rPr>
          <w:rFonts w:cs="Arial"/>
          <w:b/>
          <w:sz w:val="24"/>
          <w:szCs w:val="24"/>
          <w:lang w:val="en-GB"/>
        </w:rPr>
        <w:t>analysis</w:t>
      </w:r>
      <w:r w:rsidRPr="00D4730B">
        <w:rPr>
          <w:rFonts w:cs="Arial"/>
          <w:b/>
          <w:sz w:val="24"/>
          <w:szCs w:val="24"/>
          <w:lang w:val="en-GB"/>
        </w:rPr>
        <w:t xml:space="preserve"> </w:t>
      </w:r>
      <w:r w:rsidR="00B61DBD">
        <w:rPr>
          <w:rFonts w:cs="Arial"/>
          <w:b/>
          <w:sz w:val="24"/>
          <w:szCs w:val="24"/>
          <w:lang w:val="en-GB"/>
        </w:rPr>
        <w:t xml:space="preserve">of </w:t>
      </w:r>
      <w:r w:rsidRPr="00D4730B">
        <w:rPr>
          <w:rFonts w:cs="Arial"/>
          <w:b/>
          <w:sz w:val="24"/>
          <w:szCs w:val="24"/>
          <w:lang w:val="en-GB"/>
        </w:rPr>
        <w:t xml:space="preserve">regional unemployment </w:t>
      </w:r>
    </w:p>
    <w:p w14:paraId="114C35D4" w14:textId="5389E29F" w:rsidR="009D6767" w:rsidRPr="00D4730B" w:rsidRDefault="009D6767" w:rsidP="009D6767">
      <w:pPr>
        <w:jc w:val="both"/>
        <w:rPr>
          <w:lang w:val="en-GB"/>
        </w:rPr>
      </w:pPr>
      <w:r w:rsidRPr="00D4730B">
        <w:rPr>
          <w:lang w:val="en-GB"/>
        </w:rPr>
        <w:t>Annual data from Household Labour Force Survey (HLFS) covering the whole year is published by Turkstat (TÜİK) in March. As the annual data comprehends regional figures it gives the occasion to scrutinise regional labour market dynamics. Last year, we published the research brief titled as “The Worsts and The Bests in Regional Unemployment” (Research Brief 17/211) on May 17. In this brief, we had examined the causes of large inequalities between unemployment rates as well their changes in size and in opposite directions for 2016. In the current research brief, we examine the regional unemployment for 2017 with the same approach.</w:t>
      </w:r>
    </w:p>
    <w:p w14:paraId="33B9C28F" w14:textId="712C53CD" w:rsidR="009D6767" w:rsidRPr="00D4730B" w:rsidRDefault="009D6767" w:rsidP="009D6767">
      <w:pPr>
        <w:jc w:val="both"/>
        <w:rPr>
          <w:rFonts w:cs="Arial"/>
          <w:lang w:val="en-GB"/>
        </w:rPr>
      </w:pPr>
      <w:r w:rsidRPr="00D4730B">
        <w:rPr>
          <w:rFonts w:cs="Arial"/>
          <w:lang w:val="en-GB"/>
        </w:rPr>
        <w:t>As we mentioned in the former research brief, although the non-agricultural unemployment rate (</w:t>
      </w:r>
      <w:r w:rsidRPr="00D4730B">
        <w:rPr>
          <w:rFonts w:cs="Arial"/>
          <w:lang w:val="en-US"/>
        </w:rPr>
        <w:t xml:space="preserve">thereafter “unemployment rate”) </w:t>
      </w:r>
      <w:r w:rsidRPr="00D4730B">
        <w:rPr>
          <w:rFonts w:cs="Arial"/>
          <w:lang w:val="en-GB"/>
        </w:rPr>
        <w:t xml:space="preserve">provides a more realistic understanding about regional inequalities </w:t>
      </w:r>
      <w:r w:rsidRPr="00D4730B">
        <w:rPr>
          <w:rFonts w:cs="Arial"/>
          <w:lang w:val="en-GB"/>
        </w:rPr>
        <w:lastRenderedPageBreak/>
        <w:t>compared to general unemployment rates,</w:t>
      </w:r>
      <w:r w:rsidRPr="00D4730B">
        <w:rPr>
          <w:rFonts w:cs="Arial"/>
          <w:lang w:val="en-US"/>
        </w:rPr>
        <w:t xml:space="preserve"> it is not </w:t>
      </w:r>
      <w:r w:rsidR="00D50EB8">
        <w:rPr>
          <w:rFonts w:cs="Arial"/>
          <w:lang w:val="en-US"/>
        </w:rPr>
        <w:t>sufficient</w:t>
      </w:r>
      <w:r w:rsidRPr="00D4730B">
        <w:rPr>
          <w:rFonts w:cs="Arial"/>
          <w:lang w:val="en-US"/>
        </w:rPr>
        <w:t xml:space="preserve"> to understand the severity of regional unemployment</w:t>
      </w:r>
      <w:r w:rsidRPr="00D4730B">
        <w:rPr>
          <w:rFonts w:cs="Arial"/>
          <w:lang w:val="en-GB"/>
        </w:rPr>
        <w:t>.</w:t>
      </w:r>
      <w:r w:rsidRPr="00D4730B">
        <w:rPr>
          <w:rStyle w:val="FootnoteReference"/>
          <w:rFonts w:cs="Arial"/>
          <w:lang w:val="en-GB"/>
        </w:rPr>
        <w:footnoteReference w:id="5"/>
      </w:r>
      <w:r w:rsidRPr="00D4730B">
        <w:rPr>
          <w:rFonts w:cs="Arial"/>
          <w:lang w:val="en-GB"/>
        </w:rPr>
        <w:t xml:space="preserve">  T</w:t>
      </w:r>
      <w:r w:rsidRPr="00D4730B">
        <w:rPr>
          <w:rFonts w:cs="Arial"/>
          <w:lang w:val="en-US"/>
        </w:rPr>
        <w:t xml:space="preserve">he share of non-agricultural employment in the non-agricultural working age population (thereafter “employment ratio”) is as important as the level of unemployment. We think that the use of these two indicators allows us to make a better assessment of regional labor markets. </w:t>
      </w:r>
      <w:r w:rsidRPr="00D4730B">
        <w:rPr>
          <w:rFonts w:cs="Arial"/>
          <w:lang w:val="en-GB"/>
        </w:rPr>
        <w:t>The Box titled as “</w:t>
      </w:r>
      <w:r w:rsidRPr="00D4730B">
        <w:rPr>
          <w:rFonts w:cs="Arial"/>
          <w:lang w:val="en-US"/>
        </w:rPr>
        <w:t>Impact of agricultural employment on regional unemployment”</w:t>
      </w:r>
      <w:r w:rsidRPr="00D4730B">
        <w:rPr>
          <w:rFonts w:cs="Arial"/>
          <w:lang w:val="en-GB"/>
        </w:rPr>
        <w:t xml:space="preserve"> and the Annex Figure 1 can be examined for a more comprehensive analysis. </w:t>
      </w:r>
    </w:p>
    <w:p w14:paraId="7869C44C" w14:textId="5D2D0AF0" w:rsidR="009D6767" w:rsidRPr="00D4730B" w:rsidRDefault="009D6767" w:rsidP="009D6767">
      <w:pPr>
        <w:jc w:val="both"/>
        <w:rPr>
          <w:rFonts w:cs="Arial"/>
          <w:lang w:val="en-US"/>
        </w:rPr>
      </w:pPr>
      <w:r w:rsidRPr="00D4730B">
        <w:rPr>
          <w:rFonts w:cs="Arial"/>
          <w:lang w:val="en-GB"/>
        </w:rPr>
        <w:t>From 2016 to 2017, although the annual average of non-agricultural unemployment rate remained at 13.0 percent, changes</w:t>
      </w:r>
      <w:r w:rsidRPr="00D4730B">
        <w:rPr>
          <w:rFonts w:cs="Arial"/>
          <w:lang w:val="en-US"/>
        </w:rPr>
        <w:t xml:space="preserve"> in unemployment rates reflect various regional labor market dynamics like in the past years</w:t>
      </w:r>
      <w:r w:rsidRPr="00D4730B">
        <w:rPr>
          <w:rFonts w:cs="Arial"/>
          <w:lang w:val="en-GB"/>
        </w:rPr>
        <w:t>.</w:t>
      </w:r>
      <w:r w:rsidRPr="00D4730B">
        <w:rPr>
          <w:rStyle w:val="FootnoteReference"/>
          <w:rFonts w:cs="Arial"/>
          <w:lang w:val="en-GB"/>
        </w:rPr>
        <w:footnoteReference w:id="6"/>
      </w:r>
      <w:r w:rsidRPr="00D4730B">
        <w:rPr>
          <w:rFonts w:cs="Arial"/>
          <w:lang w:val="en-GB"/>
        </w:rPr>
        <w:t xml:space="preserve"> </w:t>
      </w:r>
      <w:r w:rsidR="00D4730B" w:rsidRPr="00D4730B">
        <w:rPr>
          <w:rFonts w:cs="Arial"/>
          <w:lang w:val="en-GB"/>
        </w:rPr>
        <w:t>Unemployment decreased</w:t>
      </w:r>
      <w:r w:rsidRPr="00D4730B">
        <w:rPr>
          <w:rFonts w:cs="Arial"/>
          <w:lang w:val="en-GB"/>
        </w:rPr>
        <w:t xml:space="preserve"> in 13 regions, increased in 11 regions and did not change in 2 regions. A </w:t>
      </w:r>
      <w:r w:rsidRPr="00D4730B">
        <w:rPr>
          <w:rFonts w:cs="Arial"/>
          <w:lang w:val="en-US"/>
        </w:rPr>
        <w:t>simple comparison of unemployment according to the size of changes will not be sufficient too.  Unemployment may increase due to a decline in employment or a faster increase in labor force compared to employment. In the second case, increasing employment mitigates the severity of the increase in unemployment.  On the other hand, unemployment may decrease along with a stronger decline in labor force. It is doubtful that the decrease in unemployment in this case can be considered as a positive development. To summarize, the main labor market dynamics has to be taken into consideration when comparing changes in unemployment rates. The detailed information about all these methodological problems can be found in our previous research brief (seen Betam Research Brief 17/211, “</w:t>
      </w:r>
      <w:r w:rsidRPr="00D4730B">
        <w:rPr>
          <w:lang w:val="en-GB"/>
        </w:rPr>
        <w:t>The Worsts and The Bests in Regional Unemployment”)</w:t>
      </w:r>
    </w:p>
    <w:p w14:paraId="3B8B93B1" w14:textId="783955DC" w:rsidR="00027F6C" w:rsidRPr="00D4730B" w:rsidRDefault="00027F6C" w:rsidP="00027F6C">
      <w:pPr>
        <w:rPr>
          <w:rFonts w:cs="Arial"/>
          <w:b/>
          <w:sz w:val="24"/>
          <w:szCs w:val="24"/>
          <w:lang w:val="en-GB"/>
        </w:rPr>
      </w:pPr>
      <w:r w:rsidRPr="00D4730B">
        <w:rPr>
          <w:rFonts w:cs="Arial"/>
          <w:b/>
          <w:sz w:val="24"/>
          <w:szCs w:val="24"/>
          <w:lang w:val="en-GB"/>
        </w:rPr>
        <w:t>Worst regions in terms of unemployment and employment</w:t>
      </w:r>
    </w:p>
    <w:p w14:paraId="7C3DE61B" w14:textId="64376474" w:rsidR="00D463C1" w:rsidRPr="00D4730B" w:rsidRDefault="00C57DE6" w:rsidP="00ED3B36">
      <w:pPr>
        <w:spacing w:after="0"/>
        <w:jc w:val="both"/>
        <w:rPr>
          <w:lang w:val="en-GB"/>
        </w:rPr>
      </w:pPr>
      <w:r w:rsidRPr="00D4730B">
        <w:rPr>
          <w:lang w:val="en-GB"/>
        </w:rPr>
        <w:t xml:space="preserve">Figure 1 shows 26 regions in descending order </w:t>
      </w:r>
      <w:r w:rsidR="006F4356" w:rsidRPr="00D4730B">
        <w:rPr>
          <w:lang w:val="en-GB"/>
        </w:rPr>
        <w:t xml:space="preserve">for 2017 </w:t>
      </w:r>
      <w:r w:rsidR="0042372B" w:rsidRPr="00D4730B">
        <w:rPr>
          <w:lang w:val="en-GB"/>
        </w:rPr>
        <w:t xml:space="preserve">and 2016 </w:t>
      </w:r>
      <w:r w:rsidR="006F4356" w:rsidRPr="00D4730B">
        <w:rPr>
          <w:lang w:val="en-GB"/>
        </w:rPr>
        <w:t xml:space="preserve">unemployment </w:t>
      </w:r>
      <w:r w:rsidRPr="00D4730B">
        <w:rPr>
          <w:lang w:val="en-GB"/>
        </w:rPr>
        <w:t>data.</w:t>
      </w:r>
      <w:r w:rsidR="0042372B" w:rsidRPr="00D4730B">
        <w:rPr>
          <w:lang w:val="en-GB"/>
        </w:rPr>
        <w:t xml:space="preserve"> </w:t>
      </w:r>
      <w:r w:rsidR="002E40DC" w:rsidRPr="00D4730B">
        <w:rPr>
          <w:lang w:val="en-GB"/>
        </w:rPr>
        <w:t xml:space="preserve">In the period of 2016-2017, </w:t>
      </w:r>
      <w:r w:rsidR="002E40DC" w:rsidRPr="00D4730B">
        <w:rPr>
          <w:rFonts w:cs="Arial"/>
          <w:lang w:val="en-US"/>
        </w:rPr>
        <w:t>w</w:t>
      </w:r>
      <w:r w:rsidR="0042372B" w:rsidRPr="00D4730B">
        <w:rPr>
          <w:rFonts w:cs="Arial"/>
          <w:lang w:val="en-US"/>
        </w:rPr>
        <w:t>hile the unemployment rate remained at 13 percent at the country level,</w:t>
      </w:r>
      <w:r w:rsidR="00B94117" w:rsidRPr="00D4730B">
        <w:rPr>
          <w:rFonts w:cs="Arial"/>
          <w:lang w:val="en-US"/>
        </w:rPr>
        <w:t xml:space="preserve"> </w:t>
      </w:r>
      <w:r w:rsidR="003973E2" w:rsidRPr="00D4730B">
        <w:rPr>
          <w:lang w:val="en-GB"/>
        </w:rPr>
        <w:t>high difference</w:t>
      </w:r>
      <w:r w:rsidR="00B94117" w:rsidRPr="00D4730B">
        <w:rPr>
          <w:lang w:val="en-GB"/>
        </w:rPr>
        <w:t xml:space="preserve">s in 2016 (from 30.1 </w:t>
      </w:r>
      <w:r w:rsidR="00BF0EED" w:rsidRPr="00D4730B">
        <w:rPr>
          <w:lang w:val="en-GB"/>
        </w:rPr>
        <w:t>percent to</w:t>
      </w:r>
      <w:r w:rsidR="00B94117" w:rsidRPr="00D4730B">
        <w:rPr>
          <w:lang w:val="en-GB"/>
        </w:rPr>
        <w:t xml:space="preserve"> 7.2 percent) continue in 2017 (from 30.1 percent to 6.1 percent)</w:t>
      </w:r>
      <w:r w:rsidR="00617768" w:rsidRPr="00D4730B">
        <w:rPr>
          <w:lang w:val="en-GB"/>
        </w:rPr>
        <w:t xml:space="preserve">. </w:t>
      </w:r>
      <w:r w:rsidR="00BF0EED" w:rsidRPr="00D4730B">
        <w:rPr>
          <w:lang w:val="en-GB"/>
        </w:rPr>
        <w:t>On the other hand, the average absolute deviation among</w:t>
      </w:r>
      <w:r w:rsidR="00693922">
        <w:rPr>
          <w:lang w:val="en-GB"/>
        </w:rPr>
        <w:t xml:space="preserve"> the</w:t>
      </w:r>
      <w:r w:rsidR="00BF0EED" w:rsidRPr="00D4730B">
        <w:rPr>
          <w:lang w:val="en-GB"/>
        </w:rPr>
        <w:t xml:space="preserve"> regions increase</w:t>
      </w:r>
      <w:r w:rsidR="00EF48E6">
        <w:rPr>
          <w:lang w:val="en-GB"/>
        </w:rPr>
        <w:t>d</w:t>
      </w:r>
      <w:r w:rsidR="00BF0EED" w:rsidRPr="00D4730B">
        <w:rPr>
          <w:lang w:val="en-GB"/>
        </w:rPr>
        <w:t xml:space="preserve"> from 3.5 to 3.7. </w:t>
      </w:r>
      <w:r w:rsidR="00BF0EED" w:rsidRPr="00D4730B">
        <w:rPr>
          <w:b/>
          <w:lang w:val="en-GB"/>
        </w:rPr>
        <w:t xml:space="preserve">To summarize, the inequalities in regions increased rather than </w:t>
      </w:r>
      <w:r w:rsidR="004D1527" w:rsidRPr="00D4730B">
        <w:rPr>
          <w:b/>
          <w:lang w:val="en-GB"/>
        </w:rPr>
        <w:t xml:space="preserve">decreased. </w:t>
      </w:r>
      <w:r w:rsidR="004D1527" w:rsidRPr="00D4730B">
        <w:rPr>
          <w:lang w:val="en-GB"/>
        </w:rPr>
        <w:t>We would like to mention that Turkey is the third country in Europe after Spain and Italy in terms of regional inequalities</w:t>
      </w:r>
      <w:r w:rsidR="000509F3" w:rsidRPr="00D4730B">
        <w:rPr>
          <w:lang w:val="en-GB"/>
        </w:rPr>
        <w:t>.</w:t>
      </w:r>
      <w:r w:rsidR="000509F3" w:rsidRPr="00D4730B">
        <w:rPr>
          <w:rStyle w:val="FootnoteReference"/>
          <w:lang w:val="en-GB"/>
        </w:rPr>
        <w:footnoteReference w:id="7"/>
      </w:r>
    </w:p>
    <w:p w14:paraId="7DA02960" w14:textId="77777777" w:rsidR="00F23047" w:rsidRPr="00D4730B" w:rsidRDefault="00F23047" w:rsidP="00ED3B36">
      <w:pPr>
        <w:spacing w:after="0"/>
        <w:jc w:val="both"/>
        <w:rPr>
          <w:lang w:val="en-GB"/>
        </w:rPr>
      </w:pPr>
    </w:p>
    <w:p w14:paraId="34ECB038" w14:textId="53800059" w:rsidR="003B54ED" w:rsidRPr="00D4730B" w:rsidRDefault="008670F6" w:rsidP="00ED3B36">
      <w:pPr>
        <w:spacing w:after="0"/>
        <w:jc w:val="both"/>
        <w:rPr>
          <w:lang w:val="en-GB"/>
        </w:rPr>
      </w:pPr>
      <w:r w:rsidRPr="00D4730B">
        <w:rPr>
          <w:lang w:val="en-GB"/>
        </w:rPr>
        <w:t>In 2017</w:t>
      </w:r>
      <w:r w:rsidRPr="00D4730B">
        <w:rPr>
          <w:b/>
          <w:lang w:val="en-GB"/>
        </w:rPr>
        <w:t xml:space="preserve">, Mardin-Batman-Şırnak-Siirt (TRC3) region has the highest unemployment </w:t>
      </w:r>
      <w:r w:rsidR="00693922">
        <w:rPr>
          <w:b/>
          <w:lang w:val="en-GB"/>
        </w:rPr>
        <w:t xml:space="preserve">as </w:t>
      </w:r>
      <w:r w:rsidRPr="00D4730B">
        <w:rPr>
          <w:b/>
          <w:lang w:val="en-GB"/>
        </w:rPr>
        <w:t>in the period of 2016</w:t>
      </w:r>
      <w:r w:rsidR="0068646D">
        <w:rPr>
          <w:b/>
          <w:lang w:val="en-GB"/>
        </w:rPr>
        <w:t xml:space="preserve"> with 30.1 percent</w:t>
      </w:r>
      <w:r w:rsidR="000E62A9">
        <w:rPr>
          <w:b/>
          <w:lang w:val="en-GB"/>
        </w:rPr>
        <w:t>.</w:t>
      </w:r>
      <w:r w:rsidR="005C1465" w:rsidRPr="00D4730B">
        <w:rPr>
          <w:rFonts w:cs="Arial"/>
          <w:lang w:val="en-US"/>
        </w:rPr>
        <w:t xml:space="preserve"> </w:t>
      </w:r>
      <w:r w:rsidR="000E62A9">
        <w:rPr>
          <w:rFonts w:cs="Arial"/>
          <w:lang w:val="en-US"/>
        </w:rPr>
        <w:t>I</w:t>
      </w:r>
      <w:r w:rsidR="005C1465" w:rsidRPr="00D4730B">
        <w:rPr>
          <w:rFonts w:cs="Arial"/>
          <w:lang w:val="en-US"/>
        </w:rPr>
        <w:t xml:space="preserve">n order to underline the exceptional magnitude of this rate, </w:t>
      </w:r>
      <w:r w:rsidR="00C7711B">
        <w:rPr>
          <w:rFonts w:cs="Arial"/>
          <w:lang w:val="en-US"/>
        </w:rPr>
        <w:t>we would like to</w:t>
      </w:r>
      <w:r w:rsidR="005C1465" w:rsidRPr="00D4730B">
        <w:rPr>
          <w:rFonts w:cs="Arial"/>
          <w:lang w:val="en-US"/>
        </w:rPr>
        <w:t xml:space="preserve"> remind that during the Great Depression (1930-34) as well during the Great Recession</w:t>
      </w:r>
      <w:r w:rsidR="0009318C">
        <w:rPr>
          <w:rFonts w:cs="Arial"/>
          <w:lang w:val="en-US"/>
        </w:rPr>
        <w:t xml:space="preserve"> (2008-09)</w:t>
      </w:r>
      <w:r w:rsidR="005C1465" w:rsidRPr="00D4730B">
        <w:rPr>
          <w:rFonts w:cs="Arial"/>
          <w:lang w:val="en-US"/>
        </w:rPr>
        <w:t xml:space="preserve"> the highest unemployment rates have been observed around 25 percent.</w:t>
      </w:r>
      <w:r w:rsidR="00596F10">
        <w:rPr>
          <w:rFonts w:cs="Arial"/>
          <w:lang w:val="en-US"/>
        </w:rPr>
        <w:t xml:space="preserve"> </w:t>
      </w:r>
      <w:r w:rsidR="00956D45" w:rsidRPr="00D4730B">
        <w:rPr>
          <w:lang w:val="en-GB"/>
        </w:rPr>
        <w:t xml:space="preserve">The </w:t>
      </w:r>
      <w:r w:rsidR="00956D45" w:rsidRPr="00D4730B">
        <w:rPr>
          <w:rFonts w:cs="Arial"/>
          <w:b/>
          <w:lang w:val="en-GB"/>
        </w:rPr>
        <w:t xml:space="preserve">Van-Muş-Bitlis- Hakkâri (TRB2) region which has the seventh highest unemployment rate in 2016, </w:t>
      </w:r>
      <w:r w:rsidR="00646A6F" w:rsidRPr="00D4730B">
        <w:rPr>
          <w:rFonts w:cs="Arial"/>
          <w:b/>
          <w:lang w:val="en-GB"/>
        </w:rPr>
        <w:t xml:space="preserve">has the </w:t>
      </w:r>
      <w:r w:rsidR="00F174A3" w:rsidRPr="00D4730B">
        <w:rPr>
          <w:rFonts w:cs="Arial"/>
          <w:b/>
          <w:lang w:val="en-GB"/>
        </w:rPr>
        <w:t xml:space="preserve">second </w:t>
      </w:r>
      <w:r w:rsidR="00646A6F" w:rsidRPr="00D4730B">
        <w:rPr>
          <w:rFonts w:cs="Arial"/>
          <w:b/>
          <w:lang w:val="en-GB"/>
        </w:rPr>
        <w:t xml:space="preserve">highest </w:t>
      </w:r>
      <w:r w:rsidR="00646A6F" w:rsidRPr="00D4730B">
        <w:rPr>
          <w:rFonts w:cs="Arial"/>
          <w:b/>
          <w:lang w:val="en-GB"/>
        </w:rPr>
        <w:lastRenderedPageBreak/>
        <w:t xml:space="preserve">unemployment rate </w:t>
      </w:r>
      <w:r w:rsidR="00F174A3" w:rsidRPr="00D4730B">
        <w:rPr>
          <w:rFonts w:cs="Arial"/>
          <w:b/>
          <w:lang w:val="en-GB"/>
        </w:rPr>
        <w:t>with 19.7 percent</w:t>
      </w:r>
      <w:r w:rsidR="00646A6F" w:rsidRPr="00D4730B">
        <w:rPr>
          <w:rFonts w:cs="Arial"/>
          <w:b/>
          <w:lang w:val="en-GB"/>
        </w:rPr>
        <w:t xml:space="preserve"> in 2017. </w:t>
      </w:r>
      <w:r w:rsidR="005C1465" w:rsidRPr="00D4730B">
        <w:rPr>
          <w:rFonts w:cs="Arial"/>
          <w:lang w:val="en-US"/>
        </w:rPr>
        <w:t xml:space="preserve">These two regions are followed by </w:t>
      </w:r>
      <w:r w:rsidR="005C1465" w:rsidRPr="00D4730B">
        <w:rPr>
          <w:rFonts w:cs="Arial"/>
          <w:b/>
          <w:lang w:val="en-GB"/>
        </w:rPr>
        <w:t xml:space="preserve">Şanlıurfa-Diyarbakır (TRC2) </w:t>
      </w:r>
      <w:r w:rsidR="005C1465" w:rsidRPr="00D4730B">
        <w:rPr>
          <w:rFonts w:cs="Arial"/>
          <w:b/>
          <w:lang w:val="en-US"/>
        </w:rPr>
        <w:t>with an unemployment rate of 19.5 percent, Gaziantep</w:t>
      </w:r>
      <w:r w:rsidR="005C1465" w:rsidRPr="00D4730B">
        <w:rPr>
          <w:rFonts w:cs="Arial"/>
          <w:b/>
          <w:lang w:val="en-GB"/>
        </w:rPr>
        <w:t>- Adıyaman- Kilis (TRC1),</w:t>
      </w:r>
      <w:r w:rsidR="005C1465" w:rsidRPr="00D4730B">
        <w:rPr>
          <w:rFonts w:cs="Arial"/>
          <w:b/>
          <w:lang w:val="en-US"/>
        </w:rPr>
        <w:t xml:space="preserve"> with 16.5 percent, </w:t>
      </w:r>
      <w:r w:rsidR="005C1465" w:rsidRPr="00D4730B">
        <w:rPr>
          <w:rFonts w:cs="Arial"/>
          <w:b/>
          <w:lang w:val="en-GB"/>
        </w:rPr>
        <w:t xml:space="preserve">Kayseri, Sivas, Yozgat (TR72) </w:t>
      </w:r>
      <w:r w:rsidR="005C1465" w:rsidRPr="00D4730B">
        <w:rPr>
          <w:rFonts w:cs="Arial"/>
          <w:b/>
          <w:lang w:val="en-US"/>
        </w:rPr>
        <w:t>with 15.3 percent.</w:t>
      </w:r>
    </w:p>
    <w:p w14:paraId="0430F097" w14:textId="20F91FC7" w:rsidR="008670F6" w:rsidRPr="00D4730B" w:rsidRDefault="008670F6" w:rsidP="00ED3B36">
      <w:pPr>
        <w:spacing w:after="0"/>
        <w:jc w:val="both"/>
        <w:rPr>
          <w:lang w:val="en-GB"/>
        </w:rPr>
      </w:pPr>
      <w:r w:rsidRPr="00D4730B">
        <w:rPr>
          <w:lang w:val="en-GB"/>
        </w:rPr>
        <w:t xml:space="preserve"> </w:t>
      </w:r>
    </w:p>
    <w:p w14:paraId="49A55CB4" w14:textId="5A71DAC4" w:rsidR="00D4730B" w:rsidRDefault="00E946A3" w:rsidP="00CA34AC">
      <w:pPr>
        <w:pStyle w:val="Caption"/>
        <w:rPr>
          <w:color w:val="auto"/>
          <w:sz w:val="22"/>
          <w:szCs w:val="22"/>
          <w:lang w:val="en-GB"/>
        </w:rPr>
      </w:pPr>
      <w:r>
        <w:rPr>
          <w:noProof/>
        </w:rPr>
        <w:drawing>
          <wp:anchor distT="0" distB="0" distL="114300" distR="114300" simplePos="0" relativeHeight="251675136" behindDoc="0" locked="0" layoutInCell="1" allowOverlap="1" wp14:anchorId="277EA7E2" wp14:editId="6AFB7C0D">
            <wp:simplePos x="0" y="0"/>
            <wp:positionH relativeFrom="column">
              <wp:posOffset>-753745</wp:posOffset>
            </wp:positionH>
            <wp:positionV relativeFrom="paragraph">
              <wp:posOffset>299085</wp:posOffset>
            </wp:positionV>
            <wp:extent cx="7022465" cy="7616825"/>
            <wp:effectExtent l="0" t="0" r="2540" b="0"/>
            <wp:wrapThrough wrapText="bothSides">
              <wp:wrapPolygon edited="0">
                <wp:start x="0" y="0"/>
                <wp:lineTo x="0" y="21518"/>
                <wp:lineTo x="21548" y="21518"/>
                <wp:lineTo x="21548" y="0"/>
                <wp:lineTo x="0" y="0"/>
              </wp:wrapPolygon>
            </wp:wrapThrough>
            <wp:docPr id="8" name="Grafik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2C2012" w:rsidRPr="00D4730B">
        <w:rPr>
          <w:color w:val="auto"/>
          <w:sz w:val="22"/>
          <w:szCs w:val="22"/>
          <w:lang w:val="en-GB"/>
        </w:rPr>
        <w:t>Figure 1: Regional non-agricultural unemployment rates (%, 2016, 2017)</w:t>
      </w:r>
    </w:p>
    <w:p w14:paraId="4463B2E3" w14:textId="0B4A3C31" w:rsidR="00227A44" w:rsidRPr="00D4730B" w:rsidRDefault="007A05FF" w:rsidP="00CA34AC">
      <w:pPr>
        <w:spacing w:after="0"/>
        <w:jc w:val="both"/>
        <w:rPr>
          <w:color w:val="000000" w:themeColor="text1"/>
          <w:sz w:val="16"/>
          <w:szCs w:val="16"/>
          <w:lang w:val="en-GB"/>
        </w:rPr>
      </w:pPr>
      <w:r w:rsidRPr="00D4730B">
        <w:rPr>
          <w:color w:val="000000" w:themeColor="text1"/>
          <w:sz w:val="16"/>
          <w:szCs w:val="16"/>
          <w:lang w:val="en-US"/>
        </w:rPr>
        <w:lastRenderedPageBreak/>
        <w:t xml:space="preserve">Source: Turkstat, Betam. </w:t>
      </w:r>
      <w:r w:rsidR="00DF0A91" w:rsidRPr="00D4730B">
        <w:rPr>
          <w:color w:val="000000" w:themeColor="text1"/>
          <w:sz w:val="16"/>
          <w:szCs w:val="16"/>
          <w:lang w:val="en-GB"/>
        </w:rPr>
        <w:t xml:space="preserve"> </w:t>
      </w:r>
      <w:r w:rsidR="00E61EC5" w:rsidRPr="00D4730B">
        <w:rPr>
          <w:color w:val="000000" w:themeColor="text1"/>
          <w:sz w:val="16"/>
          <w:szCs w:val="16"/>
          <w:lang w:val="en-GB"/>
        </w:rPr>
        <w:t>TRC3:Mardin, Batman, Şırnak, Siirt, TRB2:Van, Muş, Bitlis, Hakkari, TRC2:Şanlıurfa, Diyarbakır, TRC1:Gaziantep, Adıyaman, Kilis, TR72:Kayseri, Sivas, Yozgat, TR31:İzmir, TR71:Kırıkkale, Aksaray, Niğde, Nevşehir, Kırşehir , TR61:Antalya, Isparta, Burdur, TR10: İstanbul, TR63:Hatay, Kahramanmaraş, Osmaniye, TR62:Adana, Mersin, TR42:Kocaeli, Sakarya, Düzce, Bolu, Yalova, TR51:Ankara, TRA2:Ağrı, Kars, Iğdır, Ardahan, TR41:Bursa, Eskişehir, Bilecik, TR83:Samsun, Tokat, Çorum, Amasya, TR81:Zonguldak, Karabük, Bartın, TRB1:Malatya, Elazığ, Bingöl, Tunceli, TR21:Tekirdağ, Edirne, Kırklareli, TR32:Aydın, Denizli, Muğla, TR33:Manisa, Afyon, Kütahya, Uşak, TRA1:Erzurum, Erzincan, Bayburt, TR22:Balıkesir, Çanakkale, TR82:Kastamonu, Çankırı, Sinop, TR52:Konya, Karaman, TR90:Trabzon, Ordu, Giresun, Rize, Artvin, Gümüşhane.</w:t>
      </w:r>
    </w:p>
    <w:p w14:paraId="77206037" w14:textId="30181771" w:rsidR="000333E2" w:rsidRPr="00D4730B" w:rsidRDefault="000333E2" w:rsidP="00CA34AC">
      <w:pPr>
        <w:spacing w:after="0"/>
        <w:jc w:val="both"/>
        <w:rPr>
          <w:rFonts w:cs="Arial"/>
          <w:b/>
          <w:sz w:val="28"/>
          <w:szCs w:val="28"/>
          <w:lang w:val="en-GB"/>
        </w:rPr>
      </w:pPr>
    </w:p>
    <w:p w14:paraId="2C8F44DD" w14:textId="19AE1D53" w:rsidR="00BB38F1" w:rsidRDefault="00461B07" w:rsidP="00227A44">
      <w:pPr>
        <w:spacing w:after="0"/>
        <w:jc w:val="both"/>
        <w:rPr>
          <w:rFonts w:cs="Arial"/>
          <w:lang w:val="en-GB"/>
        </w:rPr>
      </w:pPr>
      <w:r w:rsidRPr="00D4730B">
        <w:rPr>
          <w:rFonts w:cs="Arial"/>
          <w:lang w:val="en-GB"/>
        </w:rPr>
        <w:t xml:space="preserve">As we underlined </w:t>
      </w:r>
      <w:r w:rsidR="0083591F" w:rsidRPr="00D4730B">
        <w:rPr>
          <w:rFonts w:cs="Arial"/>
          <w:lang w:val="en-GB"/>
        </w:rPr>
        <w:t xml:space="preserve">in the methodology part, </w:t>
      </w:r>
      <w:r w:rsidR="0083591F" w:rsidRPr="00D4730B">
        <w:rPr>
          <w:rFonts w:cs="Arial"/>
          <w:lang w:val="en-US"/>
        </w:rPr>
        <w:t>even a comparison limited to non-agricultural unemployment might not be sufficient for evaluating the labor market performances of the regions.</w:t>
      </w:r>
      <w:r w:rsidR="00F41769" w:rsidRPr="00D4730B">
        <w:rPr>
          <w:rFonts w:cs="Arial"/>
          <w:lang w:val="en-US"/>
        </w:rPr>
        <w:t xml:space="preserve"> </w:t>
      </w:r>
      <w:r w:rsidR="005A1F86" w:rsidRPr="00D4730B">
        <w:rPr>
          <w:rFonts w:cs="Arial"/>
          <w:lang w:val="en-US"/>
        </w:rPr>
        <w:t xml:space="preserve">Taking non-agricultural unemployment rate and non-agricultural employment rate (Annex Table 1) both into consideration is more meaningful criterion of labor market performance. </w:t>
      </w:r>
      <w:r w:rsidR="00BB38F1">
        <w:rPr>
          <w:rFonts w:cs="Arial"/>
          <w:lang w:val="en-US"/>
        </w:rPr>
        <w:t xml:space="preserve">If in two regions unemployment rates are quite close but in one region the employment rate is higher than the other, we may claim confidently that the labor market performance in the first region is better than the second one.  </w:t>
      </w:r>
      <w:r w:rsidR="00117EC6" w:rsidRPr="00D4730B">
        <w:rPr>
          <w:rFonts w:cs="Arial"/>
          <w:lang w:val="en-GB"/>
        </w:rPr>
        <w:t xml:space="preserve"> </w:t>
      </w:r>
    </w:p>
    <w:p w14:paraId="45997FC5" w14:textId="2CC77A51" w:rsidR="00117EC6" w:rsidRPr="00D4730B" w:rsidRDefault="00117EC6" w:rsidP="00227A44">
      <w:pPr>
        <w:spacing w:after="0"/>
        <w:jc w:val="both"/>
        <w:rPr>
          <w:rFonts w:cs="Arial"/>
          <w:lang w:val="en-GB"/>
        </w:rPr>
      </w:pPr>
    </w:p>
    <w:p w14:paraId="3A28F945" w14:textId="7CA57C16" w:rsidR="00972C95" w:rsidRDefault="00117EC6" w:rsidP="00666BD7">
      <w:pPr>
        <w:jc w:val="both"/>
        <w:rPr>
          <w:rFonts w:cs="Arial"/>
          <w:b/>
          <w:lang w:val="en-US"/>
        </w:rPr>
      </w:pPr>
      <w:r w:rsidRPr="00D4730B">
        <w:rPr>
          <w:rFonts w:cs="Arial"/>
          <w:lang w:val="en-GB"/>
        </w:rPr>
        <w:t xml:space="preserve">Taking these two performance indicators </w:t>
      </w:r>
      <w:r w:rsidR="00067759" w:rsidRPr="00D4730B">
        <w:rPr>
          <w:rFonts w:cs="Arial"/>
          <w:lang w:val="en-GB"/>
        </w:rPr>
        <w:t>into consideration, we c</w:t>
      </w:r>
      <w:r w:rsidR="002616C3" w:rsidRPr="00D4730B">
        <w:rPr>
          <w:rFonts w:cs="Arial"/>
          <w:lang w:val="en-GB"/>
        </w:rPr>
        <w:t>an rank 26 regions and de</w:t>
      </w:r>
      <w:r w:rsidR="00794163">
        <w:rPr>
          <w:rFonts w:cs="Arial"/>
          <w:lang w:val="en-GB"/>
        </w:rPr>
        <w:t>termine</w:t>
      </w:r>
      <w:r w:rsidR="002616C3" w:rsidRPr="00D4730B">
        <w:rPr>
          <w:rFonts w:cs="Arial"/>
          <w:lang w:val="en-GB"/>
        </w:rPr>
        <w:t xml:space="preserve"> the worst and the best regions. </w:t>
      </w:r>
      <w:r w:rsidR="00F31AC6" w:rsidRPr="00D4730B">
        <w:rPr>
          <w:rFonts w:cs="Arial"/>
          <w:lang w:val="en-US"/>
        </w:rPr>
        <w:t>Interregional comparison becomes easier and more comprehensible when the figure is divided into four sub-spaces by the average unemployment rate of 13 percent and the average employment ratio of 41.8 percent</w:t>
      </w:r>
      <w:r w:rsidR="00A27D4B" w:rsidRPr="00D4730B">
        <w:rPr>
          <w:rFonts w:cs="Arial"/>
          <w:lang w:val="en-US"/>
        </w:rPr>
        <w:t xml:space="preserve"> (Figure 2</w:t>
      </w:r>
      <w:r w:rsidR="00FC3E3A" w:rsidRPr="00D4730B">
        <w:rPr>
          <w:rFonts w:cs="Arial"/>
          <w:lang w:val="en-US"/>
        </w:rPr>
        <w:t>).</w:t>
      </w:r>
      <w:r w:rsidR="00D37C2E" w:rsidRPr="00D4730B">
        <w:rPr>
          <w:rFonts w:cs="Arial"/>
          <w:lang w:val="en-US"/>
        </w:rPr>
        <w:t xml:space="preserve"> </w:t>
      </w:r>
      <w:r w:rsidR="00D37C2E" w:rsidRPr="00D4730B">
        <w:rPr>
          <w:rFonts w:cs="Arial"/>
          <w:b/>
          <w:lang w:val="en-US"/>
        </w:rPr>
        <w:t>T</w:t>
      </w:r>
      <w:r w:rsidR="00D37C2E" w:rsidRPr="00D4730B">
        <w:rPr>
          <w:rFonts w:cs="Arial"/>
          <w:b/>
          <w:color w:val="000000" w:themeColor="text1"/>
          <w:lang w:val="en-US"/>
        </w:rPr>
        <w:t>he worst regions are placed on the upper left part</w:t>
      </w:r>
      <w:r w:rsidR="00D37C2E" w:rsidRPr="00D4730B">
        <w:rPr>
          <w:rFonts w:cs="Arial"/>
          <w:lang w:val="en-US"/>
        </w:rPr>
        <w:t>.</w:t>
      </w:r>
      <w:r w:rsidR="00EE3907" w:rsidRPr="00D4730B">
        <w:rPr>
          <w:rFonts w:cs="Arial"/>
          <w:lang w:val="en-US"/>
        </w:rPr>
        <w:t xml:space="preserve"> </w:t>
      </w:r>
      <w:r w:rsidR="00D45621" w:rsidRPr="00D4730B">
        <w:rPr>
          <w:rFonts w:cs="Arial"/>
          <w:lang w:val="en-US"/>
        </w:rPr>
        <w:t xml:space="preserve"> The</w:t>
      </w:r>
      <w:r w:rsidR="00D45621" w:rsidRPr="00D4730B">
        <w:rPr>
          <w:rFonts w:cs="Arial"/>
          <w:b/>
          <w:lang w:val="en-US"/>
        </w:rPr>
        <w:t xml:space="preserve"> </w:t>
      </w:r>
      <w:r w:rsidR="00D45621" w:rsidRPr="00D4730B">
        <w:rPr>
          <w:rFonts w:cs="Arial"/>
          <w:lang w:val="en-US"/>
        </w:rPr>
        <w:t xml:space="preserve">unemployment rates of these regions are above of the national level while their employment ratios are below the national level. On the other hand, </w:t>
      </w:r>
      <w:r w:rsidR="00D45621" w:rsidRPr="00D4730B">
        <w:rPr>
          <w:rFonts w:cs="Arial"/>
          <w:b/>
          <w:lang w:val="en-US"/>
        </w:rPr>
        <w:t xml:space="preserve">the best regions </w:t>
      </w:r>
      <w:r w:rsidR="00B73492">
        <w:rPr>
          <w:rFonts w:cs="Arial"/>
          <w:b/>
          <w:lang w:val="en-US"/>
        </w:rPr>
        <w:t xml:space="preserve">are placed on the lower right part. </w:t>
      </w:r>
      <w:r w:rsidR="00B73492" w:rsidRPr="00D4730B">
        <w:rPr>
          <w:rFonts w:cs="Arial"/>
          <w:lang w:val="en-US"/>
        </w:rPr>
        <w:t>The</w:t>
      </w:r>
      <w:r w:rsidR="00B73492" w:rsidRPr="00D4730B">
        <w:rPr>
          <w:rFonts w:cs="Arial"/>
          <w:b/>
          <w:lang w:val="en-US"/>
        </w:rPr>
        <w:t xml:space="preserve"> </w:t>
      </w:r>
      <w:r w:rsidR="00B73492" w:rsidRPr="00D4730B">
        <w:rPr>
          <w:rFonts w:cs="Arial"/>
          <w:lang w:val="en-US"/>
        </w:rPr>
        <w:t xml:space="preserve">unemployment rates of these regions are </w:t>
      </w:r>
      <w:r w:rsidR="00B73492">
        <w:rPr>
          <w:rFonts w:cs="Arial"/>
          <w:lang w:val="en-US"/>
        </w:rPr>
        <w:t xml:space="preserve">below </w:t>
      </w:r>
      <w:r w:rsidR="00B73492" w:rsidRPr="00D4730B">
        <w:rPr>
          <w:rFonts w:cs="Arial"/>
          <w:lang w:val="en-US"/>
        </w:rPr>
        <w:t xml:space="preserve">of the national level while their employment ratios are </w:t>
      </w:r>
      <w:r w:rsidR="00B73492">
        <w:rPr>
          <w:rFonts w:cs="Arial"/>
          <w:lang w:val="en-US"/>
        </w:rPr>
        <w:t>above</w:t>
      </w:r>
      <w:r w:rsidR="00B73492" w:rsidRPr="00D4730B">
        <w:rPr>
          <w:rFonts w:cs="Arial"/>
          <w:lang w:val="en-US"/>
        </w:rPr>
        <w:t xml:space="preserve"> the national level. </w:t>
      </w:r>
      <w:r w:rsidR="006B67EB" w:rsidRPr="00D4730B">
        <w:rPr>
          <w:rFonts w:cs="Arial"/>
          <w:b/>
          <w:lang w:val="en-US"/>
        </w:rPr>
        <w:t>The regions hav</w:t>
      </w:r>
      <w:r w:rsidR="00C040FD">
        <w:rPr>
          <w:rFonts w:cs="Arial"/>
          <w:b/>
          <w:lang w:val="en-US"/>
        </w:rPr>
        <w:t>ing</w:t>
      </w:r>
      <w:r w:rsidR="006B67EB" w:rsidRPr="00D4730B">
        <w:rPr>
          <w:rFonts w:cs="Arial"/>
          <w:b/>
          <w:lang w:val="en-US"/>
        </w:rPr>
        <w:t xml:space="preserve"> high unemployment and employment rate</w:t>
      </w:r>
      <w:r w:rsidR="00C040FD">
        <w:rPr>
          <w:rFonts w:cs="Arial"/>
          <w:b/>
          <w:lang w:val="en-US"/>
        </w:rPr>
        <w:t>s</w:t>
      </w:r>
      <w:r w:rsidR="006B67EB" w:rsidRPr="00D4730B">
        <w:rPr>
          <w:rFonts w:cs="Arial"/>
          <w:b/>
          <w:lang w:val="en-US"/>
        </w:rPr>
        <w:t xml:space="preserve"> are placed on the upper right part of the figure. The regions with low unemployment and employment rates are placed on the lower left part of the figure. </w:t>
      </w:r>
    </w:p>
    <w:p w14:paraId="317C9005" w14:textId="77777777" w:rsidR="00AE622B" w:rsidRPr="00D4730B" w:rsidRDefault="00AE622B" w:rsidP="00AE622B">
      <w:pPr>
        <w:jc w:val="both"/>
        <w:rPr>
          <w:rFonts w:cs="Arial"/>
          <w:b/>
          <w:lang w:val="en-US"/>
        </w:rPr>
      </w:pPr>
      <w:r w:rsidRPr="00D4730B">
        <w:rPr>
          <w:rFonts w:cs="Arial"/>
          <w:lang w:val="en-GB"/>
        </w:rPr>
        <w:t xml:space="preserve">In 2017, there are </w:t>
      </w:r>
      <w:r w:rsidRPr="00D4730B">
        <w:rPr>
          <w:rFonts w:cs="Arial"/>
          <w:b/>
          <w:lang w:val="en-GB"/>
        </w:rPr>
        <w:t xml:space="preserve">7 regions in the worst area: It is obvious that </w:t>
      </w:r>
      <w:r w:rsidRPr="00D4730B">
        <w:rPr>
          <w:rFonts w:cs="Arial"/>
          <w:b/>
          <w:lang w:val="en-US"/>
        </w:rPr>
        <w:t xml:space="preserve">that Mardin region (TRC3) represents the worst case by far.  </w:t>
      </w:r>
      <w:r w:rsidRPr="00D4730B">
        <w:rPr>
          <w:rFonts w:cs="Arial"/>
          <w:lang w:val="en-US"/>
        </w:rPr>
        <w:t>It is the region with the lowest employment rate as well as the highest unemployment rate.</w:t>
      </w:r>
      <w:r w:rsidRPr="00D4730B">
        <w:rPr>
          <w:rFonts w:cs="Arial"/>
          <w:b/>
          <w:lang w:val="en-US"/>
        </w:rPr>
        <w:t xml:space="preserve">  </w:t>
      </w:r>
      <w:r w:rsidRPr="00D4730B">
        <w:rPr>
          <w:rFonts w:cs="Arial"/>
          <w:lang w:val="en-US"/>
        </w:rPr>
        <w:t>The unemployment rate in Van (TRB2) and Şanlıurfa (TRC2) regions are at about the same level. At the same time, the employment rate is slightly higher in Şanlıurfa-Diyarbakır.  It should be noted that</w:t>
      </w:r>
      <w:r w:rsidRPr="00D4730B">
        <w:rPr>
          <w:rFonts w:cs="Arial"/>
          <w:b/>
          <w:lang w:val="en-US"/>
        </w:rPr>
        <w:t xml:space="preserve"> three worst regions are from the Southeast of Turkey. High unemployment and low employment in Southeast arise from structural factors such as low income and development level</w:t>
      </w:r>
      <w:r>
        <w:rPr>
          <w:rFonts w:cs="Arial"/>
          <w:b/>
          <w:lang w:val="en-US"/>
        </w:rPr>
        <w:t>s and</w:t>
      </w:r>
      <w:r w:rsidRPr="00D4730B">
        <w:rPr>
          <w:rFonts w:cs="Arial"/>
          <w:b/>
          <w:lang w:val="en-US"/>
        </w:rPr>
        <w:t xml:space="preserve"> low female labor force participation.</w:t>
      </w:r>
    </w:p>
    <w:p w14:paraId="352BC0BB" w14:textId="77777777" w:rsidR="00AE622B" w:rsidRPr="00D4730B" w:rsidRDefault="00AE622B" w:rsidP="00AE622B">
      <w:pPr>
        <w:jc w:val="both"/>
        <w:rPr>
          <w:rFonts w:cs="Arial"/>
          <w:lang w:val="en-GB"/>
        </w:rPr>
      </w:pPr>
      <w:r w:rsidRPr="00D4730B">
        <w:rPr>
          <w:rFonts w:cs="Arial"/>
          <w:lang w:val="en-GB"/>
        </w:rPr>
        <w:t xml:space="preserve">Other 4 regions ((Gaziantep-Adıyaman-Kilis (TRC1), Kayseri-Sivas-Yozgat (TR72), Kırıkkale-Aksaray-Niğde-Nevşehir-Kırşehir (TR71, Kapadokya), Hatay-Kahramanmaraş-Osmaniye (TR63)) have almost the same employment rate. </w:t>
      </w:r>
      <w:r>
        <w:rPr>
          <w:rFonts w:cs="Arial"/>
          <w:lang w:val="en-GB"/>
        </w:rPr>
        <w:t xml:space="preserve">From 2017 to 2016, </w:t>
      </w:r>
      <w:r w:rsidRPr="00D4730B">
        <w:rPr>
          <w:rFonts w:cs="Arial"/>
          <w:lang w:val="en-GB"/>
        </w:rPr>
        <w:t xml:space="preserve">the region </w:t>
      </w:r>
      <w:r w:rsidRPr="00D4730B">
        <w:rPr>
          <w:rFonts w:cs="Arial"/>
          <w:b/>
          <w:lang w:val="en-GB"/>
        </w:rPr>
        <w:t xml:space="preserve">Kayseri-Sivas-Yozgat (TR72) are added </w:t>
      </w:r>
      <w:r w:rsidRPr="00D4730B">
        <w:rPr>
          <w:rFonts w:cs="Arial"/>
          <w:lang w:val="en-GB"/>
        </w:rPr>
        <w:t xml:space="preserve">in the worst area while others 6 regions remain at the same area (Annex Figure 1). </w:t>
      </w:r>
    </w:p>
    <w:p w14:paraId="133D4B40" w14:textId="131CBBF4" w:rsidR="00AE622B" w:rsidRPr="00AE622B" w:rsidRDefault="00AE622B" w:rsidP="00666BD7">
      <w:pPr>
        <w:jc w:val="both"/>
        <w:rPr>
          <w:rFonts w:cs="Arial"/>
          <w:lang w:val="en-GB"/>
        </w:rPr>
      </w:pPr>
      <w:r w:rsidRPr="00D4730B">
        <w:rPr>
          <w:rFonts w:cs="Arial"/>
          <w:lang w:val="en-GB"/>
        </w:rPr>
        <w:t>Gaziantep-Adıyaman-Kilis and Kapadokya regions were added in the worst area from 2015 to 2016 as the regions having the highest unemployment increase (Betam RB 17/211). The effects of the Syrian crisis in Gaziantep region come to fore while the shock in tourism was effective in Cappadocia. The Syrians migrants have important effect on increasing unemployment in recent years in Gaziantep region which have the highest rate of Syrians over region population (17 percent).</w:t>
      </w:r>
      <w:r w:rsidRPr="00D4730B">
        <w:rPr>
          <w:rStyle w:val="FootnoteReference"/>
          <w:rFonts w:cs="Arial"/>
          <w:lang w:val="en-GB"/>
        </w:rPr>
        <w:footnoteReference w:id="8"/>
      </w:r>
      <w:r w:rsidRPr="00D4730B">
        <w:rPr>
          <w:rFonts w:cs="Arial"/>
          <w:lang w:val="en-GB"/>
        </w:rPr>
        <w:t xml:space="preserve">  Whereas, in the </w:t>
      </w:r>
      <w:r w:rsidRPr="00D4730B">
        <w:rPr>
          <w:rFonts w:cs="Arial"/>
          <w:lang w:val="en-GB"/>
        </w:rPr>
        <w:lastRenderedPageBreak/>
        <w:t xml:space="preserve">Cappadocia region, there is an important decline in unemployment rate from 18 percent to 15 percent.  This improvement may arise from the </w:t>
      </w:r>
      <w:r>
        <w:rPr>
          <w:rFonts w:cs="Arial"/>
          <w:lang w:val="en-GB"/>
        </w:rPr>
        <w:t xml:space="preserve">improvement </w:t>
      </w:r>
      <w:r w:rsidRPr="00D4730B">
        <w:rPr>
          <w:rFonts w:cs="Arial"/>
          <w:lang w:val="en-GB"/>
        </w:rPr>
        <w:t>in tourism.  The only region where unemployment has decreased for two years is Hatay-Kahramanmaraş-Osmaniye region.</w:t>
      </w:r>
      <w:r w:rsidRPr="00D4730B">
        <w:rPr>
          <w:rStyle w:val="FootnoteReference"/>
          <w:rFonts w:cs="Arial"/>
          <w:lang w:val="en-GB"/>
        </w:rPr>
        <w:footnoteReference w:id="9"/>
      </w:r>
      <w:r w:rsidRPr="00D4730B">
        <w:rPr>
          <w:rFonts w:cs="Arial"/>
          <w:lang w:val="en-GB"/>
        </w:rPr>
        <w:t xml:space="preserve"> However, this is not sufficient to get rid of the worst area. We will discuss the </w:t>
      </w:r>
      <w:r>
        <w:rPr>
          <w:rFonts w:cs="Arial"/>
          <w:lang w:val="en-GB"/>
        </w:rPr>
        <w:t xml:space="preserve">move of </w:t>
      </w:r>
      <w:r w:rsidRPr="00D4730B">
        <w:rPr>
          <w:rFonts w:cs="Arial"/>
          <w:lang w:val="en-GB"/>
        </w:rPr>
        <w:t xml:space="preserve">Kayseri-Sivas-Yozgat region </w:t>
      </w:r>
      <w:r>
        <w:rPr>
          <w:rFonts w:cs="Arial"/>
          <w:lang w:val="en-GB"/>
        </w:rPr>
        <w:t xml:space="preserve">into worst area </w:t>
      </w:r>
      <w:r w:rsidRPr="00D4730B">
        <w:rPr>
          <w:rFonts w:cs="Arial"/>
          <w:lang w:val="en-GB"/>
        </w:rPr>
        <w:t xml:space="preserve">below. </w:t>
      </w:r>
    </w:p>
    <w:p w14:paraId="096B31A6" w14:textId="7CB38D8A" w:rsidR="00CA369B" w:rsidRPr="00D4730B" w:rsidRDefault="002C2012" w:rsidP="00ED3B36">
      <w:pPr>
        <w:pStyle w:val="Caption"/>
        <w:keepNext/>
        <w:spacing w:line="276" w:lineRule="auto"/>
        <w:jc w:val="both"/>
        <w:rPr>
          <w:color w:val="auto"/>
          <w:sz w:val="22"/>
          <w:szCs w:val="22"/>
          <w:lang w:val="en-GB"/>
        </w:rPr>
      </w:pPr>
      <w:bookmarkStart w:id="2" w:name="_Ref381804810"/>
      <w:bookmarkStart w:id="3" w:name="_Ref381804801"/>
      <w:r w:rsidRPr="00D4730B">
        <w:rPr>
          <w:color w:val="auto"/>
          <w:sz w:val="22"/>
          <w:szCs w:val="22"/>
          <w:lang w:val="en-GB"/>
        </w:rPr>
        <w:t>Figure</w:t>
      </w:r>
      <w:r w:rsidR="00DF0A91" w:rsidRPr="00D4730B">
        <w:rPr>
          <w:color w:val="auto"/>
          <w:sz w:val="22"/>
          <w:szCs w:val="22"/>
          <w:lang w:val="en-GB"/>
        </w:rPr>
        <w:t xml:space="preserve"> </w:t>
      </w:r>
      <w:bookmarkEnd w:id="2"/>
      <w:r w:rsidR="00DF0A91" w:rsidRPr="00D4730B">
        <w:rPr>
          <w:color w:val="auto"/>
          <w:sz w:val="22"/>
          <w:szCs w:val="22"/>
          <w:lang w:val="en-GB"/>
        </w:rPr>
        <w:t xml:space="preserve">2: </w:t>
      </w:r>
      <w:bookmarkStart w:id="4" w:name="OLE_LINK1"/>
      <w:bookmarkEnd w:id="3"/>
      <w:r w:rsidRPr="00D4730B">
        <w:rPr>
          <w:color w:val="auto"/>
          <w:sz w:val="22"/>
          <w:szCs w:val="22"/>
          <w:lang w:val="en-GB"/>
        </w:rPr>
        <w:t xml:space="preserve">Regional distribution of non-agricultural unemployment and non-agricultural employment rates (%, </w:t>
      </w:r>
      <w:r w:rsidR="00D03B5B" w:rsidRPr="00D4730B">
        <w:rPr>
          <w:color w:val="auto"/>
          <w:sz w:val="22"/>
          <w:szCs w:val="22"/>
          <w:lang w:val="en-GB"/>
        </w:rPr>
        <w:t>2017</w:t>
      </w:r>
      <w:bookmarkEnd w:id="4"/>
      <w:r w:rsidRPr="00D4730B">
        <w:rPr>
          <w:color w:val="auto"/>
          <w:sz w:val="22"/>
          <w:szCs w:val="22"/>
          <w:lang w:val="en-GB"/>
        </w:rPr>
        <w:t>)</w:t>
      </w:r>
    </w:p>
    <w:p w14:paraId="2AF6F42A" w14:textId="4A5A0C17" w:rsidR="00E14383" w:rsidRPr="00D4730B" w:rsidRDefault="00204BD0" w:rsidP="00ED3B36">
      <w:pPr>
        <w:jc w:val="both"/>
        <w:rPr>
          <w:lang w:val="en-GB"/>
        </w:rPr>
      </w:pPr>
      <w:r w:rsidRPr="00D4730B">
        <w:rPr>
          <w:noProof/>
        </w:rPr>
        <w:drawing>
          <wp:inline distT="0" distB="0" distL="0" distR="0" wp14:anchorId="0CA4A09D" wp14:editId="02575DE5">
            <wp:extent cx="5760720" cy="3470910"/>
            <wp:effectExtent l="0" t="0" r="508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470910"/>
                    </a:xfrm>
                    <a:prstGeom prst="rect">
                      <a:avLst/>
                    </a:prstGeom>
                  </pic:spPr>
                </pic:pic>
              </a:graphicData>
            </a:graphic>
          </wp:inline>
        </w:drawing>
      </w:r>
    </w:p>
    <w:p w14:paraId="262646D1" w14:textId="7C0770DC" w:rsidR="005505DA" w:rsidRPr="00D4730B" w:rsidRDefault="006B67EB" w:rsidP="00ED3B36">
      <w:pPr>
        <w:jc w:val="both"/>
        <w:rPr>
          <w:color w:val="000000" w:themeColor="text1"/>
          <w:sz w:val="18"/>
          <w:szCs w:val="16"/>
          <w:lang w:val="en-GB"/>
        </w:rPr>
      </w:pPr>
      <w:r w:rsidRPr="00D4730B">
        <w:rPr>
          <w:color w:val="000000" w:themeColor="text1"/>
          <w:sz w:val="16"/>
          <w:szCs w:val="16"/>
          <w:lang w:val="en-GB"/>
        </w:rPr>
        <w:t>Source</w:t>
      </w:r>
      <w:r w:rsidR="00DF0A91" w:rsidRPr="00D4730B">
        <w:rPr>
          <w:color w:val="000000" w:themeColor="text1"/>
          <w:sz w:val="16"/>
          <w:szCs w:val="16"/>
          <w:lang w:val="en-GB"/>
        </w:rPr>
        <w:t xml:space="preserve">: </w:t>
      </w:r>
      <w:r w:rsidR="00F648C4" w:rsidRPr="00D4730B">
        <w:rPr>
          <w:color w:val="000000" w:themeColor="text1"/>
          <w:sz w:val="16"/>
          <w:szCs w:val="16"/>
          <w:lang w:val="en-GB"/>
        </w:rPr>
        <w:t>TU</w:t>
      </w:r>
      <w:r w:rsidRPr="00D4730B">
        <w:rPr>
          <w:color w:val="000000" w:themeColor="text1"/>
          <w:sz w:val="16"/>
          <w:szCs w:val="16"/>
          <w:lang w:val="en-GB"/>
        </w:rPr>
        <w:t>RKSTAT</w:t>
      </w:r>
      <w:r w:rsidR="00F648C4" w:rsidRPr="00D4730B">
        <w:rPr>
          <w:color w:val="000000" w:themeColor="text1"/>
          <w:sz w:val="16"/>
          <w:szCs w:val="16"/>
          <w:lang w:val="en-GB"/>
        </w:rPr>
        <w:t>, Betam. TRC3:Mardin, Batman, Şırnak, Siirt, TRB2:Van, Muş, Bitlis, Hakkari, TRC2:Şanlıurfa, Diyarbakır, TRC1:Gaziantep, Adıyaman, Kilis, TR72:Kayseri, Sivas, Yozgat, TR31:İzmir, TR71:Kırıkkale, Aksaray, Niğde, Nevşehir, Kırşehir , TR61:Antalya, Isparta, Burdur, TR10: İstanbul, TR63:Hatay, Kahramanmaraş, Osmaniye, TR62:Adana, Mersin, TR42:Kocaeli, Sakarya, Düzce, Bolu, Yalova, TR51:Ankara, TRA2:Ağrı, Kars, Iğdır, Ardahan, TR41:Bursa, Eskişehir, Bilecik, TR83:Samsun, Tokat, Çorum, Amasya, TR81:Zonguldak, Karabük, Bartın, TRB1:Malatya, Elazığ, Bingöl, Tunceli, TR21:Tekirdağ, Edirne, Kırklareli, TR32:Aydın, Denizli, Muğla, TR33:Manisa, Afyon, Kütahya, Uşak, TRA1:Erzurum, Erzincan, Bayburt, TR22:Balıkesir, Çanakkale, TR82:Kastamonu, Çankırı, Sinop, TR52:Konya, Karaman, TR90:Trabzon, Ordu, Giresun,Rize,Artvin,Gümüşhane.</w:t>
      </w:r>
      <w:r w:rsidR="00DF0A91" w:rsidRPr="00D4730B">
        <w:rPr>
          <w:color w:val="000000" w:themeColor="text1"/>
          <w:sz w:val="16"/>
          <w:szCs w:val="16"/>
          <w:lang w:val="en-GB"/>
        </w:rPr>
        <w:br/>
      </w:r>
      <w:r w:rsidR="00DF0A91" w:rsidRPr="00D4730B">
        <w:rPr>
          <w:color w:val="000000" w:themeColor="text1"/>
          <w:sz w:val="18"/>
          <w:szCs w:val="16"/>
          <w:lang w:val="en-GB"/>
        </w:rPr>
        <w:t>Not</w:t>
      </w:r>
      <w:r w:rsidR="00CA71F9" w:rsidRPr="00D4730B">
        <w:rPr>
          <w:color w:val="000000" w:themeColor="text1"/>
          <w:sz w:val="18"/>
          <w:szCs w:val="16"/>
          <w:lang w:val="en-GB"/>
        </w:rPr>
        <w:t>e</w:t>
      </w:r>
      <w:r w:rsidR="00DF0A91" w:rsidRPr="00D4730B">
        <w:rPr>
          <w:color w:val="000000" w:themeColor="text1"/>
          <w:sz w:val="18"/>
          <w:szCs w:val="16"/>
          <w:lang w:val="en-GB"/>
        </w:rPr>
        <w:t>:</w:t>
      </w:r>
      <m:oMath>
        <m:r>
          <m:rPr>
            <m:sty m:val="p"/>
          </m:rPr>
          <w:rPr>
            <w:rFonts w:ascii="Cambria Math" w:hAnsi="Cambria Math"/>
            <w:color w:val="000000" w:themeColor="text1"/>
            <w:sz w:val="18"/>
            <w:szCs w:val="16"/>
            <w:lang w:val="en-GB"/>
          </w:rPr>
          <m:t xml:space="preserve"> </m:t>
        </m:r>
      </m:oMath>
      <w:r w:rsidR="00CA71F9" w:rsidRPr="00D4730B">
        <w:rPr>
          <w:color w:val="000000" w:themeColor="text1"/>
          <w:sz w:val="18"/>
          <w:szCs w:val="16"/>
          <w:lang w:val="en-GB"/>
        </w:rPr>
        <w:t>This figure is suggested by Assoc. Prof. Insan Tunalı. We would like to thank him for his contribution</w:t>
      </w:r>
    </w:p>
    <w:p w14:paraId="235B65EF" w14:textId="0860A16E" w:rsidR="0095407E" w:rsidRPr="00D4730B" w:rsidRDefault="003B59C2" w:rsidP="00AC0A6A">
      <w:pPr>
        <w:jc w:val="both"/>
        <w:rPr>
          <w:rFonts w:cs="Arial"/>
          <w:color w:val="FF0000"/>
          <w:lang w:val="en-GB"/>
        </w:rPr>
      </w:pPr>
      <w:r w:rsidRPr="00D4730B">
        <w:rPr>
          <w:lang w:val="en-GB"/>
        </w:rPr>
        <w:t xml:space="preserve">The regions which are in the </w:t>
      </w:r>
      <w:r w:rsidR="00813D43" w:rsidRPr="00D4730B">
        <w:rPr>
          <w:lang w:val="en-GB"/>
        </w:rPr>
        <w:t xml:space="preserve">upper right part in Figure 2 are also important: Firstly, </w:t>
      </w:r>
      <w:r w:rsidR="00EE4897" w:rsidRPr="00D4730B">
        <w:rPr>
          <w:lang w:val="en-GB"/>
        </w:rPr>
        <w:t xml:space="preserve">let </w:t>
      </w:r>
      <w:r w:rsidR="00B6367E">
        <w:rPr>
          <w:lang w:val="en-GB"/>
        </w:rPr>
        <w:t>us</w:t>
      </w:r>
      <w:r w:rsidR="00EE4897" w:rsidRPr="00D4730B">
        <w:rPr>
          <w:lang w:val="en-GB"/>
        </w:rPr>
        <w:t xml:space="preserve"> say that </w:t>
      </w:r>
      <w:r w:rsidR="00813D43" w:rsidRPr="00D4730B">
        <w:rPr>
          <w:lang w:val="en-GB"/>
        </w:rPr>
        <w:t xml:space="preserve">these three regions </w:t>
      </w:r>
      <w:r w:rsidR="00B6367E">
        <w:rPr>
          <w:lang w:val="en-GB"/>
        </w:rPr>
        <w:t>were</w:t>
      </w:r>
      <w:r w:rsidR="00EE4897" w:rsidRPr="00D4730B">
        <w:rPr>
          <w:lang w:val="en-GB"/>
        </w:rPr>
        <w:t xml:space="preserve"> in </w:t>
      </w:r>
      <w:r w:rsidR="00813D43" w:rsidRPr="00D4730B">
        <w:rPr>
          <w:lang w:val="en-GB"/>
        </w:rPr>
        <w:t xml:space="preserve">the same </w:t>
      </w:r>
      <w:r w:rsidR="00EE4897" w:rsidRPr="00D4730B">
        <w:rPr>
          <w:lang w:val="en-GB"/>
        </w:rPr>
        <w:t>area</w:t>
      </w:r>
      <w:r w:rsidR="0098272E">
        <w:rPr>
          <w:lang w:val="en-GB"/>
        </w:rPr>
        <w:t xml:space="preserve"> </w:t>
      </w:r>
      <w:r w:rsidR="00813D43" w:rsidRPr="00D4730B">
        <w:rPr>
          <w:lang w:val="en-GB"/>
        </w:rPr>
        <w:t xml:space="preserve">in 2016. </w:t>
      </w:r>
      <w:r w:rsidR="00E07704" w:rsidRPr="00D4730B">
        <w:rPr>
          <w:lang w:val="en-GB"/>
        </w:rPr>
        <w:t xml:space="preserve"> İstanbul (TR10) is the region </w:t>
      </w:r>
      <w:r w:rsidR="00B6367E">
        <w:rPr>
          <w:lang w:val="en-GB"/>
        </w:rPr>
        <w:t>having</w:t>
      </w:r>
      <w:r w:rsidR="00E07704" w:rsidRPr="00D4730B">
        <w:rPr>
          <w:lang w:val="en-GB"/>
        </w:rPr>
        <w:t xml:space="preserve"> the second highest employment rate after Thrace. Moreover, its unemployment rate (14 percent) is </w:t>
      </w:r>
      <w:r w:rsidR="00343E6A" w:rsidRPr="00D4730B">
        <w:rPr>
          <w:lang w:val="en-GB"/>
        </w:rPr>
        <w:t xml:space="preserve">slightly </w:t>
      </w:r>
      <w:r w:rsidR="00E07704" w:rsidRPr="00D4730B">
        <w:rPr>
          <w:lang w:val="en-GB"/>
        </w:rPr>
        <w:t xml:space="preserve">above </w:t>
      </w:r>
      <w:r w:rsidR="00F21AE9" w:rsidRPr="00D4730B">
        <w:rPr>
          <w:lang w:val="en-GB"/>
        </w:rPr>
        <w:t xml:space="preserve">of </w:t>
      </w:r>
      <w:r w:rsidR="0098272E">
        <w:rPr>
          <w:lang w:val="en-GB"/>
        </w:rPr>
        <w:t xml:space="preserve">the national level </w:t>
      </w:r>
      <w:r w:rsidR="00E07704" w:rsidRPr="00D4730B">
        <w:rPr>
          <w:lang w:val="en-GB"/>
        </w:rPr>
        <w:t>(</w:t>
      </w:r>
      <w:r w:rsidR="00343E6A" w:rsidRPr="00D4730B">
        <w:rPr>
          <w:lang w:val="en-GB"/>
        </w:rPr>
        <w:t>1</w:t>
      </w:r>
      <w:r w:rsidR="00E07704" w:rsidRPr="00D4730B">
        <w:rPr>
          <w:lang w:val="en-GB"/>
        </w:rPr>
        <w:t xml:space="preserve">3 percent). </w:t>
      </w:r>
      <w:r w:rsidR="00F21AE9" w:rsidRPr="00D4730B">
        <w:rPr>
          <w:lang w:val="en-GB"/>
        </w:rPr>
        <w:t>In this respect,</w:t>
      </w:r>
      <w:r w:rsidR="00B6367E">
        <w:rPr>
          <w:lang w:val="en-GB"/>
        </w:rPr>
        <w:t xml:space="preserve"> İstanbul </w:t>
      </w:r>
      <w:r w:rsidR="00F21AE9" w:rsidRPr="00D4730B">
        <w:rPr>
          <w:lang w:val="en-GB"/>
        </w:rPr>
        <w:t>is in</w:t>
      </w:r>
      <w:r w:rsidR="00FB7B26" w:rsidRPr="00D4730B">
        <w:rPr>
          <w:lang w:val="en-GB"/>
        </w:rPr>
        <w:t xml:space="preserve"> a position</w:t>
      </w:r>
      <w:r w:rsidR="00F21AE9" w:rsidRPr="00D4730B">
        <w:rPr>
          <w:lang w:val="en-GB"/>
        </w:rPr>
        <w:t xml:space="preserve"> quite close to the best regions. </w:t>
      </w:r>
      <w:r w:rsidR="00C337C5" w:rsidRPr="00D4730B">
        <w:rPr>
          <w:lang w:val="en-GB"/>
        </w:rPr>
        <w:t xml:space="preserve"> </w:t>
      </w:r>
      <w:r w:rsidR="00C337C5" w:rsidRPr="00D4730B">
        <w:rPr>
          <w:rFonts w:cs="Arial"/>
          <w:lang w:val="en-GB"/>
        </w:rPr>
        <w:t xml:space="preserve">Antalya-Isparta-Burdur (TR61) have </w:t>
      </w:r>
      <w:r w:rsidR="00B6367E">
        <w:rPr>
          <w:rFonts w:cs="Arial"/>
          <w:lang w:val="en-GB"/>
        </w:rPr>
        <w:t>a</w:t>
      </w:r>
      <w:r w:rsidR="00C337C5" w:rsidRPr="00D4730B">
        <w:rPr>
          <w:rFonts w:cs="Arial"/>
          <w:lang w:val="en-GB"/>
        </w:rPr>
        <w:t xml:space="preserve"> higher unemployment rate (14.2 percent) and lower employment rate (43.7 percent). Its unemployment rate </w:t>
      </w:r>
      <w:r w:rsidR="00B6367E">
        <w:rPr>
          <w:rFonts w:cs="Arial"/>
          <w:lang w:val="en-GB"/>
        </w:rPr>
        <w:t xml:space="preserve">had </w:t>
      </w:r>
      <w:r w:rsidR="00C337C5" w:rsidRPr="00D4730B">
        <w:rPr>
          <w:rFonts w:cs="Arial"/>
          <w:lang w:val="en-GB"/>
        </w:rPr>
        <w:t xml:space="preserve">increased </w:t>
      </w:r>
      <w:r w:rsidR="00B6367E">
        <w:rPr>
          <w:rFonts w:cs="Arial"/>
          <w:lang w:val="en-GB"/>
        </w:rPr>
        <w:t xml:space="preserve">by </w:t>
      </w:r>
      <w:r w:rsidR="00C337C5" w:rsidRPr="00D4730B">
        <w:rPr>
          <w:rFonts w:cs="Arial"/>
          <w:lang w:val="en-GB"/>
        </w:rPr>
        <w:t xml:space="preserve">2.1 percentage points in 2016 </w:t>
      </w:r>
      <w:r w:rsidR="00FB42C9" w:rsidRPr="00D4730B">
        <w:rPr>
          <w:rFonts w:cs="Arial"/>
          <w:lang w:val="en-GB"/>
        </w:rPr>
        <w:t>because of the tourism shock</w:t>
      </w:r>
      <w:r w:rsidR="000D52FE" w:rsidRPr="00D4730B">
        <w:rPr>
          <w:rFonts w:cs="Arial"/>
          <w:lang w:val="en-GB"/>
        </w:rPr>
        <w:t xml:space="preserve"> and</w:t>
      </w:r>
      <w:r w:rsidR="00B6367E">
        <w:rPr>
          <w:rFonts w:cs="Arial"/>
          <w:lang w:val="en-GB"/>
        </w:rPr>
        <w:t xml:space="preserve"> it continued increasing albeit slightly by </w:t>
      </w:r>
      <w:r w:rsidR="00E775A3" w:rsidRPr="00D4730B">
        <w:rPr>
          <w:rFonts w:cs="Arial"/>
          <w:lang w:val="en-GB"/>
        </w:rPr>
        <w:t>0.2</w:t>
      </w:r>
      <w:r w:rsidR="00FB42C9" w:rsidRPr="00D4730B">
        <w:rPr>
          <w:rFonts w:cs="Arial"/>
          <w:lang w:val="en-GB"/>
        </w:rPr>
        <w:t xml:space="preserve"> percentage point</w:t>
      </w:r>
      <w:r w:rsidR="000D52FE" w:rsidRPr="00D4730B">
        <w:rPr>
          <w:rFonts w:cs="Arial"/>
          <w:lang w:val="en-GB"/>
        </w:rPr>
        <w:t>s</w:t>
      </w:r>
      <w:r w:rsidR="00FB42C9" w:rsidRPr="00D4730B">
        <w:rPr>
          <w:rFonts w:cs="Arial"/>
          <w:lang w:val="en-GB"/>
        </w:rPr>
        <w:t xml:space="preserve"> in 2017. </w:t>
      </w:r>
      <w:r w:rsidR="00E775A3" w:rsidRPr="00D4730B">
        <w:rPr>
          <w:rFonts w:cs="Arial"/>
          <w:lang w:val="en-GB"/>
        </w:rPr>
        <w:t xml:space="preserve">In this area, the status of İzmir (TR31) is remarkable. </w:t>
      </w:r>
      <w:r w:rsidR="00E775A3" w:rsidRPr="00D4730B">
        <w:rPr>
          <w:rFonts w:cs="Arial"/>
          <w:b/>
          <w:lang w:val="en-GB"/>
        </w:rPr>
        <w:t xml:space="preserve">İzmir has the highest unemployment </w:t>
      </w:r>
      <w:r w:rsidR="00E775A3" w:rsidRPr="00D4730B">
        <w:rPr>
          <w:rFonts w:cs="Arial"/>
          <w:b/>
          <w:lang w:val="en-GB"/>
        </w:rPr>
        <w:lastRenderedPageBreak/>
        <w:t>rate with 15.1 percent in the West.</w:t>
      </w:r>
      <w:r w:rsidR="00E775A3" w:rsidRPr="00D4730B">
        <w:rPr>
          <w:rFonts w:cs="Arial"/>
          <w:lang w:val="en-GB"/>
        </w:rPr>
        <w:t xml:space="preserve"> At the same time, it has </w:t>
      </w:r>
      <w:r w:rsidR="00B6367E">
        <w:rPr>
          <w:rFonts w:cs="Arial"/>
          <w:lang w:val="en-GB"/>
        </w:rPr>
        <w:t>rather a</w:t>
      </w:r>
      <w:r w:rsidR="00E775A3" w:rsidRPr="00D4730B">
        <w:rPr>
          <w:rFonts w:cs="Arial"/>
          <w:lang w:val="en-GB"/>
        </w:rPr>
        <w:t xml:space="preserve"> high employment rate (44.9 percent). The main reason of high unemployment</w:t>
      </w:r>
      <w:r w:rsidR="00B6367E">
        <w:rPr>
          <w:rFonts w:cs="Arial"/>
          <w:lang w:val="en-GB"/>
        </w:rPr>
        <w:t xml:space="preserve"> in İzmir</w:t>
      </w:r>
      <w:r w:rsidR="00E775A3" w:rsidRPr="00D4730B">
        <w:rPr>
          <w:rFonts w:cs="Arial"/>
          <w:lang w:val="en-GB"/>
        </w:rPr>
        <w:t xml:space="preserve"> is the high unemployment rate among women.</w:t>
      </w:r>
      <w:r w:rsidR="00EE489F" w:rsidRPr="00D4730B">
        <w:rPr>
          <w:rStyle w:val="FootnoteReference"/>
          <w:rFonts w:cs="Arial"/>
          <w:lang w:val="en-GB"/>
        </w:rPr>
        <w:footnoteReference w:id="10"/>
      </w:r>
      <w:r w:rsidR="00BB6F86" w:rsidRPr="00D4730B">
        <w:rPr>
          <w:rFonts w:cs="Arial"/>
          <w:lang w:val="en-GB"/>
        </w:rPr>
        <w:t xml:space="preserve"> </w:t>
      </w:r>
    </w:p>
    <w:p w14:paraId="043AEB09" w14:textId="34DB8CF2" w:rsidR="002C2012" w:rsidRPr="00D4730B" w:rsidRDefault="002C2012" w:rsidP="002C2012">
      <w:pPr>
        <w:rPr>
          <w:rFonts w:cs="Arial"/>
          <w:b/>
          <w:sz w:val="24"/>
          <w:szCs w:val="24"/>
          <w:lang w:val="en-GB"/>
        </w:rPr>
      </w:pPr>
      <w:r w:rsidRPr="00D4730B">
        <w:rPr>
          <w:rFonts w:cs="Arial"/>
          <w:b/>
          <w:sz w:val="24"/>
          <w:szCs w:val="24"/>
          <w:lang w:val="en-GB"/>
        </w:rPr>
        <w:t>Best cases in regional unemployment and employment</w:t>
      </w:r>
    </w:p>
    <w:p w14:paraId="0B6DC6DA" w14:textId="4B598423" w:rsidR="0020546E" w:rsidRPr="00D4730B" w:rsidRDefault="00C916D5" w:rsidP="0020546E">
      <w:pPr>
        <w:spacing w:after="0"/>
        <w:jc w:val="both"/>
        <w:rPr>
          <w:rFonts w:cs="Arial"/>
          <w:lang w:val="en-GB"/>
        </w:rPr>
      </w:pPr>
      <w:r w:rsidRPr="00D4730B">
        <w:rPr>
          <w:rFonts w:cs="Arial"/>
          <w:b/>
          <w:lang w:val="en-GB"/>
        </w:rPr>
        <w:t xml:space="preserve">In 2017, </w:t>
      </w:r>
      <w:r w:rsidR="00BC40ED" w:rsidRPr="00D4730B">
        <w:rPr>
          <w:rFonts w:cs="Arial"/>
          <w:b/>
          <w:lang w:val="en-GB"/>
        </w:rPr>
        <w:t>the lowest unemployment is in the Trabzon-Ordu-Giresun-Rize- Artvin- Gümüşhane region (TR90, East Black Sea) with 6.1 percent.</w:t>
      </w:r>
      <w:r w:rsidR="00BE6E3B" w:rsidRPr="00D4730B">
        <w:rPr>
          <w:rFonts w:cs="Arial"/>
          <w:b/>
          <w:lang w:val="en-GB"/>
        </w:rPr>
        <w:t xml:space="preserve"> </w:t>
      </w:r>
      <w:r w:rsidR="00BC40ED" w:rsidRPr="00D4730B">
        <w:rPr>
          <w:rFonts w:cs="Arial"/>
          <w:b/>
          <w:lang w:val="en-GB"/>
        </w:rPr>
        <w:t xml:space="preserve"> </w:t>
      </w:r>
      <w:r w:rsidR="00BE6E3B" w:rsidRPr="00D4730B">
        <w:rPr>
          <w:rFonts w:cs="Arial"/>
          <w:lang w:val="en-GB"/>
        </w:rPr>
        <w:t xml:space="preserve">Konya-Karaman (TR52) and Kastamonu-Çankırı-Sinop (TR82) regions follow the East Black Sea region with 7.8 percent and 8.2 percent, </w:t>
      </w:r>
      <w:r w:rsidR="00CF1297" w:rsidRPr="00D4730B">
        <w:rPr>
          <w:rFonts w:cs="Arial"/>
          <w:lang w:val="en-GB"/>
        </w:rPr>
        <w:t>respectively</w:t>
      </w:r>
      <w:r w:rsidR="00BE6E3B" w:rsidRPr="00D4730B">
        <w:rPr>
          <w:rFonts w:cs="Arial"/>
          <w:lang w:val="en-GB"/>
        </w:rPr>
        <w:t xml:space="preserve">. </w:t>
      </w:r>
      <w:r w:rsidR="00CF1297" w:rsidRPr="00D4730B">
        <w:rPr>
          <w:rFonts w:cs="Arial"/>
          <w:lang w:val="en-GB"/>
        </w:rPr>
        <w:t xml:space="preserve">Erzurum, Erzincan-Bayburt (TRA1) and Manisa-Afyon-Kütahya-Uşak (TR33) has the 8.6 percent </w:t>
      </w:r>
      <w:r w:rsidR="00FC3E3A" w:rsidRPr="00D4730B">
        <w:rPr>
          <w:rFonts w:cs="Arial"/>
          <w:lang w:val="en-GB"/>
        </w:rPr>
        <w:t>unemployment</w:t>
      </w:r>
      <w:r w:rsidR="00CF1297" w:rsidRPr="00D4730B">
        <w:rPr>
          <w:rFonts w:cs="Arial"/>
          <w:lang w:val="en-GB"/>
        </w:rPr>
        <w:t xml:space="preserve"> rate. </w:t>
      </w:r>
      <w:r w:rsidR="00FC3E3A" w:rsidRPr="00D4730B">
        <w:rPr>
          <w:rFonts w:cs="Arial"/>
          <w:b/>
          <w:lang w:val="en-GB"/>
        </w:rPr>
        <w:t xml:space="preserve">However, all these regions are </w:t>
      </w:r>
      <w:r w:rsidR="00AA3D27">
        <w:rPr>
          <w:rFonts w:cs="Arial"/>
          <w:b/>
          <w:lang w:val="en-GB"/>
        </w:rPr>
        <w:t xml:space="preserve">placed </w:t>
      </w:r>
      <w:r w:rsidR="00FC3E3A" w:rsidRPr="00D4730B">
        <w:rPr>
          <w:rFonts w:cs="Arial"/>
          <w:b/>
          <w:lang w:val="en-GB"/>
        </w:rPr>
        <w:t>in lower left part</w:t>
      </w:r>
      <w:r w:rsidR="00AA3D27">
        <w:rPr>
          <w:rFonts w:cs="Arial"/>
          <w:b/>
          <w:lang w:val="en-GB"/>
        </w:rPr>
        <w:t xml:space="preserve"> of</w:t>
      </w:r>
      <w:r w:rsidR="00FC3E3A" w:rsidRPr="00D4730B">
        <w:rPr>
          <w:rFonts w:cs="Arial"/>
          <w:b/>
          <w:lang w:val="en-GB"/>
        </w:rPr>
        <w:t xml:space="preserve"> Figure 2)</w:t>
      </w:r>
      <w:r w:rsidR="00AA3D27">
        <w:rPr>
          <w:rFonts w:cs="Arial"/>
          <w:b/>
          <w:lang w:val="en-GB"/>
        </w:rPr>
        <w:t xml:space="preserve"> as they have lower unemployment but in the same time lower employment rates comparing to national average.</w:t>
      </w:r>
      <w:r w:rsidR="00FC3E3A" w:rsidRPr="00D4730B">
        <w:rPr>
          <w:rFonts w:cs="Arial"/>
          <w:b/>
          <w:lang w:val="en-GB"/>
        </w:rPr>
        <w:t xml:space="preserve"> </w:t>
      </w:r>
      <w:r w:rsidR="00FC3E3A" w:rsidRPr="00D4730B">
        <w:rPr>
          <w:rFonts w:cs="Arial"/>
          <w:lang w:val="en-GB"/>
        </w:rPr>
        <w:t xml:space="preserve">In these regions, </w:t>
      </w:r>
      <w:r w:rsidR="00EF0E3C" w:rsidRPr="00D4730B">
        <w:rPr>
          <w:rFonts w:cs="Arial"/>
          <w:lang w:val="en-GB"/>
        </w:rPr>
        <w:t>low non-agricultural employment mostly arises from low female participation in non-agricultural sectors</w:t>
      </w:r>
      <w:r w:rsidR="0020546E" w:rsidRPr="00D4730B">
        <w:rPr>
          <w:rFonts w:cs="Arial"/>
          <w:lang w:val="en-GB"/>
        </w:rPr>
        <w:t>.</w:t>
      </w:r>
      <w:r w:rsidR="0020546E" w:rsidRPr="00D4730B">
        <w:rPr>
          <w:rStyle w:val="FootnoteReference"/>
          <w:rFonts w:cs="Arial"/>
          <w:lang w:val="en-GB"/>
        </w:rPr>
        <w:footnoteReference w:id="11"/>
      </w:r>
      <w:r w:rsidR="0020546E" w:rsidRPr="00D4730B">
        <w:rPr>
          <w:rFonts w:cs="Arial"/>
          <w:lang w:val="en-GB"/>
        </w:rPr>
        <w:t xml:space="preserve"> </w:t>
      </w:r>
    </w:p>
    <w:p w14:paraId="20A53144" w14:textId="428AA8CE" w:rsidR="007A6A30" w:rsidRPr="00D4730B" w:rsidRDefault="007A6A30" w:rsidP="00ED3B36">
      <w:pPr>
        <w:spacing w:after="0"/>
        <w:jc w:val="both"/>
        <w:rPr>
          <w:rFonts w:cs="Arial"/>
          <w:lang w:val="en-GB"/>
        </w:rPr>
      </w:pPr>
    </w:p>
    <w:p w14:paraId="144BCDE7" w14:textId="72D8C1C7" w:rsidR="00FF324D" w:rsidRPr="00D4730B" w:rsidRDefault="0037010A" w:rsidP="00ED3B36">
      <w:pPr>
        <w:spacing w:after="0"/>
        <w:jc w:val="both"/>
        <w:rPr>
          <w:rFonts w:cs="Arial"/>
          <w:lang w:val="en-GB"/>
        </w:rPr>
      </w:pPr>
      <w:r w:rsidRPr="00D4730B">
        <w:rPr>
          <w:rFonts w:cs="Arial"/>
          <w:b/>
          <w:lang w:val="en-GB"/>
        </w:rPr>
        <w:t xml:space="preserve">There are five regions in the best area in terms </w:t>
      </w:r>
      <w:r w:rsidR="00E34CD5" w:rsidRPr="00D4730B">
        <w:rPr>
          <w:rFonts w:cs="Arial"/>
          <w:b/>
          <w:lang w:val="en-GB"/>
        </w:rPr>
        <w:t>of non</w:t>
      </w:r>
      <w:r w:rsidRPr="00D4730B">
        <w:rPr>
          <w:rFonts w:cs="Arial"/>
          <w:b/>
          <w:lang w:val="en-GB"/>
        </w:rPr>
        <w:t xml:space="preserve">-agricultural employment and unemployment rates. </w:t>
      </w:r>
      <w:r w:rsidR="00E34CD5" w:rsidRPr="00D4730B">
        <w:rPr>
          <w:rFonts w:cs="Arial"/>
          <w:lang w:val="en-GB"/>
        </w:rPr>
        <w:t>The unemployment rates are presented in ascending order such as:</w:t>
      </w:r>
      <w:r w:rsidR="00E34CD5" w:rsidRPr="00D4730B">
        <w:rPr>
          <w:rFonts w:cs="Arial"/>
          <w:b/>
          <w:lang w:val="en-GB"/>
        </w:rPr>
        <w:t xml:space="preserve"> </w:t>
      </w:r>
      <w:r w:rsidR="00E34CD5" w:rsidRPr="00D4730B">
        <w:rPr>
          <w:rFonts w:cs="Arial"/>
          <w:lang w:val="en-GB"/>
        </w:rPr>
        <w:t>Aydın-Denizli-Muğla (TR32), Tekirdağ-Edirne-Kırklareli (TR21, Trakya), Bursa-Eskişehir-Bilecik (TR41), Ankara (TR51) and Kocaeli-Sakarya-Düzce-Bolu-Yalova (TR42).</w:t>
      </w:r>
      <w:r w:rsidR="00976E37" w:rsidRPr="00D4730B">
        <w:rPr>
          <w:rFonts w:cs="Arial"/>
          <w:lang w:val="en-GB"/>
        </w:rPr>
        <w:t xml:space="preserve"> These 5 regions were </w:t>
      </w:r>
      <w:r w:rsidR="00DD6560">
        <w:rPr>
          <w:rFonts w:cs="Arial"/>
          <w:lang w:val="en-GB"/>
        </w:rPr>
        <w:t xml:space="preserve">also </w:t>
      </w:r>
      <w:r w:rsidR="00976E37" w:rsidRPr="00D4730B">
        <w:rPr>
          <w:rFonts w:cs="Arial"/>
          <w:lang w:val="en-GB"/>
        </w:rPr>
        <w:t xml:space="preserve">in the best </w:t>
      </w:r>
      <w:r w:rsidR="00DD6560">
        <w:rPr>
          <w:rFonts w:cs="Arial"/>
          <w:lang w:val="en-GB"/>
        </w:rPr>
        <w:t>performing area i</w:t>
      </w:r>
      <w:r w:rsidR="006B0B5D" w:rsidRPr="00D4730B">
        <w:rPr>
          <w:rFonts w:cs="Arial"/>
          <w:lang w:val="en-GB"/>
        </w:rPr>
        <w:t>n 2016</w:t>
      </w:r>
      <w:r w:rsidR="00954793">
        <w:rPr>
          <w:rFonts w:cs="Arial"/>
          <w:lang w:val="en-GB"/>
        </w:rPr>
        <w:t>.</w:t>
      </w:r>
      <w:r w:rsidR="006B0B5D" w:rsidRPr="00D4730B">
        <w:rPr>
          <w:rFonts w:cs="Arial"/>
          <w:lang w:val="en-GB"/>
        </w:rPr>
        <w:t xml:space="preserve"> </w:t>
      </w:r>
      <w:r w:rsidR="000B5285" w:rsidRPr="00D4730B">
        <w:rPr>
          <w:rFonts w:cs="Arial"/>
          <w:lang w:val="en-GB"/>
        </w:rPr>
        <w:t xml:space="preserve">These are mainly the most developed industrial regions in Turkey. In addition, their non-agricultural employment rates are higher than </w:t>
      </w:r>
      <w:r w:rsidR="00DD6560">
        <w:rPr>
          <w:rFonts w:cs="Arial"/>
          <w:lang w:val="en-GB"/>
        </w:rPr>
        <w:t>country</w:t>
      </w:r>
      <w:r w:rsidR="000B5285" w:rsidRPr="00D4730B">
        <w:rPr>
          <w:rFonts w:cs="Arial"/>
          <w:lang w:val="en-GB"/>
        </w:rPr>
        <w:t xml:space="preserve"> average; moreover, their female participation is remarkabl</w:t>
      </w:r>
      <w:r w:rsidR="00CF45B4" w:rsidRPr="00D4730B">
        <w:rPr>
          <w:rFonts w:cs="Arial"/>
          <w:lang w:val="en-GB"/>
        </w:rPr>
        <w:t>e.</w:t>
      </w:r>
      <w:r w:rsidR="00FF324D" w:rsidRPr="00D4730B">
        <w:rPr>
          <w:rStyle w:val="FootnoteReference"/>
          <w:rFonts w:cs="Arial"/>
          <w:lang w:val="en-GB"/>
        </w:rPr>
        <w:footnoteReference w:id="12"/>
      </w:r>
      <w:r w:rsidR="006B2696" w:rsidRPr="00D4730B">
        <w:rPr>
          <w:rFonts w:cs="Arial"/>
          <w:lang w:val="en-GB"/>
        </w:rPr>
        <w:t xml:space="preserve"> </w:t>
      </w:r>
    </w:p>
    <w:p w14:paraId="5F6C4A45" w14:textId="586A2689" w:rsidR="00BA64BC" w:rsidRPr="00D4730B" w:rsidRDefault="00BA64BC" w:rsidP="00ED3B36">
      <w:pPr>
        <w:spacing w:after="0"/>
        <w:jc w:val="both"/>
        <w:rPr>
          <w:rFonts w:cs="Arial"/>
          <w:lang w:val="en-GB"/>
        </w:rPr>
      </w:pPr>
    </w:p>
    <w:p w14:paraId="176DFC85" w14:textId="77777777" w:rsidR="00D322C6" w:rsidRDefault="00BA64BC" w:rsidP="00ED3B36">
      <w:pPr>
        <w:spacing w:after="0"/>
        <w:jc w:val="both"/>
        <w:rPr>
          <w:rFonts w:cs="Arial"/>
          <w:lang w:val="en-US"/>
        </w:rPr>
      </w:pPr>
      <w:r w:rsidRPr="00D4730B">
        <w:rPr>
          <w:rFonts w:cs="Arial"/>
          <w:lang w:val="en-GB"/>
        </w:rPr>
        <w:t xml:space="preserve">Among these regions </w:t>
      </w:r>
      <w:r w:rsidRPr="00D4730B">
        <w:rPr>
          <w:rFonts w:cs="Arial"/>
          <w:lang w:val="en-US"/>
        </w:rPr>
        <w:t xml:space="preserve">Thrace (TR21) </w:t>
      </w:r>
      <w:r w:rsidR="000F262B" w:rsidRPr="00D4730B">
        <w:rPr>
          <w:rFonts w:cs="Arial"/>
          <w:lang w:val="en-US"/>
        </w:rPr>
        <w:t xml:space="preserve">is the region with </w:t>
      </w:r>
      <w:r w:rsidRPr="00D4730B">
        <w:rPr>
          <w:rFonts w:cs="Arial"/>
          <w:lang w:val="en-US"/>
        </w:rPr>
        <w:t>clearly the highest non-agricultural employment (49.5 percent, Annex Table 1)</w:t>
      </w:r>
      <w:r w:rsidR="008F711A" w:rsidRPr="00D4730B">
        <w:rPr>
          <w:rFonts w:cs="Arial"/>
          <w:lang w:val="en-US"/>
        </w:rPr>
        <w:t>.</w:t>
      </w:r>
      <w:r w:rsidR="00EC0832" w:rsidRPr="00D4730B">
        <w:rPr>
          <w:rFonts w:cs="Arial"/>
          <w:lang w:val="en-US"/>
        </w:rPr>
        <w:t xml:space="preserve"> In addition, it is </w:t>
      </w:r>
      <w:r w:rsidR="009D6767" w:rsidRPr="00D4730B">
        <w:rPr>
          <w:rFonts w:cs="Arial"/>
          <w:lang w:val="en-US"/>
        </w:rPr>
        <w:t xml:space="preserve">ranked </w:t>
      </w:r>
      <w:r w:rsidR="00DD6560">
        <w:rPr>
          <w:rFonts w:cs="Arial"/>
          <w:lang w:val="en-US"/>
        </w:rPr>
        <w:t>in</w:t>
      </w:r>
      <w:r w:rsidR="009D6767" w:rsidRPr="00D4730B">
        <w:rPr>
          <w:rFonts w:cs="Arial"/>
          <w:lang w:val="en-US"/>
        </w:rPr>
        <w:t xml:space="preserve"> second place </w:t>
      </w:r>
      <w:r w:rsidR="00EC0832" w:rsidRPr="00D4730B">
        <w:rPr>
          <w:rFonts w:cs="Arial"/>
          <w:lang w:val="en-US"/>
        </w:rPr>
        <w:t>after Istanbul in terms of non-agricultural female employment rate</w:t>
      </w:r>
      <w:r w:rsidR="00AF0639" w:rsidRPr="00D4730B">
        <w:rPr>
          <w:rFonts w:cs="Arial"/>
          <w:lang w:val="en-US"/>
        </w:rPr>
        <w:t xml:space="preserve"> (Annex Table 2). Whereas it is in the eighth order in terms of unemployment rate (9.8 percent)</w:t>
      </w:r>
      <w:r w:rsidR="00DD6560">
        <w:rPr>
          <w:rFonts w:cs="Arial"/>
          <w:lang w:val="en-US"/>
        </w:rPr>
        <w:t>,</w:t>
      </w:r>
      <w:r w:rsidR="00EA5E46" w:rsidRPr="00D4730B">
        <w:rPr>
          <w:rFonts w:cs="Arial"/>
          <w:lang w:val="en-US"/>
        </w:rPr>
        <w:t xml:space="preserve"> </w:t>
      </w:r>
      <w:r w:rsidR="00DD6560">
        <w:rPr>
          <w:rFonts w:cs="Arial"/>
          <w:lang w:val="en-US"/>
        </w:rPr>
        <w:t>t</w:t>
      </w:r>
      <w:r w:rsidR="00EA5E46" w:rsidRPr="00D4730B">
        <w:rPr>
          <w:rFonts w:cs="Arial"/>
          <w:lang w:val="en-US"/>
        </w:rPr>
        <w:t>his rate is</w:t>
      </w:r>
      <w:r w:rsidR="00EA365E" w:rsidRPr="00D4730B">
        <w:rPr>
          <w:rFonts w:cs="Arial"/>
          <w:lang w:val="en-US"/>
        </w:rPr>
        <w:t xml:space="preserve"> still</w:t>
      </w:r>
      <w:r w:rsidR="00EA5E46" w:rsidRPr="00D4730B">
        <w:rPr>
          <w:rFonts w:cs="Arial"/>
          <w:lang w:val="en-US"/>
        </w:rPr>
        <w:t xml:space="preserve"> </w:t>
      </w:r>
      <w:r w:rsidR="00DD6560">
        <w:rPr>
          <w:rFonts w:cs="Arial"/>
          <w:lang w:val="en-US"/>
        </w:rPr>
        <w:t>quite</w:t>
      </w:r>
      <w:r w:rsidR="00EA5E46" w:rsidRPr="00D4730B">
        <w:rPr>
          <w:rFonts w:cs="Arial"/>
          <w:lang w:val="en-US"/>
        </w:rPr>
        <w:t xml:space="preserve"> below </w:t>
      </w:r>
      <w:r w:rsidR="007756F6" w:rsidRPr="00D4730B">
        <w:rPr>
          <w:rFonts w:cs="Arial"/>
          <w:lang w:val="en-US"/>
        </w:rPr>
        <w:t xml:space="preserve">of </w:t>
      </w:r>
      <w:r w:rsidR="00DD6560">
        <w:rPr>
          <w:rFonts w:cs="Arial"/>
          <w:lang w:val="en-US"/>
        </w:rPr>
        <w:t>country</w:t>
      </w:r>
      <w:r w:rsidR="00EA5E46" w:rsidRPr="00D4730B">
        <w:rPr>
          <w:rFonts w:cs="Arial"/>
          <w:lang w:val="en-US"/>
        </w:rPr>
        <w:t xml:space="preserve"> </w:t>
      </w:r>
      <w:r w:rsidR="00E433C7" w:rsidRPr="00D4730B">
        <w:rPr>
          <w:rFonts w:cs="Arial"/>
          <w:lang w:val="en-US"/>
        </w:rPr>
        <w:t>average (</w:t>
      </w:r>
      <w:r w:rsidR="00EA5E46" w:rsidRPr="00D4730B">
        <w:rPr>
          <w:rFonts w:cs="Arial"/>
          <w:lang w:val="en-US"/>
        </w:rPr>
        <w:t xml:space="preserve">13 percent). </w:t>
      </w:r>
      <w:r w:rsidR="00D322C6">
        <w:rPr>
          <w:rFonts w:cs="Arial"/>
          <w:lang w:val="en-US"/>
        </w:rPr>
        <w:t xml:space="preserve">In order to note the difficulty arising when two performance indicators are considered in the same time we can try to compare Thrace </w:t>
      </w:r>
      <w:r w:rsidR="00E433C7" w:rsidRPr="00D4730B">
        <w:rPr>
          <w:rFonts w:cs="Arial"/>
          <w:lang w:val="en-US"/>
        </w:rPr>
        <w:t xml:space="preserve">East Black Sea </w:t>
      </w:r>
      <w:r w:rsidR="00D322C6">
        <w:rPr>
          <w:rFonts w:cs="Arial"/>
          <w:lang w:val="en-US"/>
        </w:rPr>
        <w:t xml:space="preserve">regions. </w:t>
      </w:r>
    </w:p>
    <w:p w14:paraId="6CBF7A7B" w14:textId="77777777" w:rsidR="00D322C6" w:rsidRDefault="00D322C6" w:rsidP="00ED3B36">
      <w:pPr>
        <w:spacing w:after="0"/>
        <w:jc w:val="both"/>
        <w:rPr>
          <w:rFonts w:cs="Arial"/>
          <w:lang w:val="en-US"/>
        </w:rPr>
      </w:pPr>
    </w:p>
    <w:p w14:paraId="2AB85E86" w14:textId="253DA129" w:rsidR="00CE2233" w:rsidRPr="00D322C6" w:rsidRDefault="00D322C6" w:rsidP="00ED3B36">
      <w:pPr>
        <w:spacing w:after="0"/>
        <w:jc w:val="both"/>
        <w:rPr>
          <w:rFonts w:cs="Arial"/>
          <w:lang w:val="en-US"/>
        </w:rPr>
      </w:pPr>
      <w:r>
        <w:rPr>
          <w:rFonts w:cs="Arial"/>
          <w:lang w:val="en-US"/>
        </w:rPr>
        <w:t>Black Sea region has</w:t>
      </w:r>
      <w:r w:rsidR="00E433C7" w:rsidRPr="00D4730B">
        <w:rPr>
          <w:rFonts w:cs="Arial"/>
          <w:lang w:val="en-US"/>
        </w:rPr>
        <w:t xml:space="preserve"> the lowest unemployment rate (6.1 percent)</w:t>
      </w:r>
      <w:r>
        <w:rPr>
          <w:rFonts w:cs="Arial"/>
          <w:lang w:val="en-US"/>
        </w:rPr>
        <w:t xml:space="preserve"> but in the same time </w:t>
      </w:r>
      <w:r w:rsidR="00E433C7" w:rsidRPr="00D4730B">
        <w:rPr>
          <w:rFonts w:cs="Arial"/>
          <w:lang w:val="en-US"/>
        </w:rPr>
        <w:t xml:space="preserve">has </w:t>
      </w:r>
      <w:r>
        <w:rPr>
          <w:rFonts w:cs="Arial"/>
          <w:lang w:val="en-US"/>
        </w:rPr>
        <w:t>a quite</w:t>
      </w:r>
      <w:r w:rsidR="00E433C7" w:rsidRPr="00D4730B">
        <w:rPr>
          <w:rFonts w:cs="Arial"/>
          <w:lang w:val="en-US"/>
        </w:rPr>
        <w:t xml:space="preserve"> low</w:t>
      </w:r>
      <w:r>
        <w:rPr>
          <w:rFonts w:cs="Arial"/>
          <w:lang w:val="en-US"/>
        </w:rPr>
        <w:t>er</w:t>
      </w:r>
      <w:r w:rsidR="00E433C7" w:rsidRPr="00D4730B">
        <w:rPr>
          <w:rFonts w:cs="Arial"/>
          <w:lang w:val="en-US"/>
        </w:rPr>
        <w:t xml:space="preserve"> employment rate</w:t>
      </w:r>
      <w:r>
        <w:rPr>
          <w:rFonts w:cs="Arial"/>
          <w:lang w:val="en-US"/>
        </w:rPr>
        <w:t xml:space="preserve">, at </w:t>
      </w:r>
      <w:r w:rsidR="00E433C7" w:rsidRPr="00D4730B">
        <w:rPr>
          <w:rFonts w:cs="Arial"/>
          <w:lang w:val="en-US"/>
        </w:rPr>
        <w:t>38.3 percent</w:t>
      </w:r>
      <w:r>
        <w:rPr>
          <w:rFonts w:cs="Arial"/>
          <w:lang w:val="en-US"/>
        </w:rPr>
        <w:t>, comparing to Thrace</w:t>
      </w:r>
      <w:r w:rsidR="00E433C7" w:rsidRPr="00D4730B">
        <w:rPr>
          <w:rFonts w:cs="Arial"/>
          <w:lang w:val="en-US"/>
        </w:rPr>
        <w:t>.</w:t>
      </w:r>
      <w:r>
        <w:rPr>
          <w:rFonts w:cs="Arial"/>
          <w:lang w:val="en-US"/>
        </w:rPr>
        <w:t xml:space="preserve"> Which one does perform better than other? </w:t>
      </w:r>
      <w:r w:rsidR="00404F3D" w:rsidRPr="0080098F">
        <w:rPr>
          <w:rFonts w:cs="Arial"/>
          <w:b/>
          <w:lang w:val="en-GB"/>
        </w:rPr>
        <w:t xml:space="preserve">It </w:t>
      </w:r>
      <w:r w:rsidR="0080098F" w:rsidRPr="0080098F">
        <w:rPr>
          <w:rFonts w:cs="Arial"/>
          <w:b/>
          <w:lang w:val="en-GB"/>
        </w:rPr>
        <w:t xml:space="preserve">could be claimed that </w:t>
      </w:r>
      <w:r w:rsidR="00404F3D" w:rsidRPr="0080098F">
        <w:rPr>
          <w:rFonts w:cs="Arial"/>
          <w:b/>
          <w:lang w:val="en-GB"/>
        </w:rPr>
        <w:t xml:space="preserve">Thrace is the best </w:t>
      </w:r>
      <w:r w:rsidR="0080098F" w:rsidRPr="0080098F">
        <w:rPr>
          <w:rFonts w:cs="Arial"/>
          <w:b/>
          <w:lang w:val="en-GB"/>
        </w:rPr>
        <w:t>performer</w:t>
      </w:r>
      <w:r w:rsidR="00404F3D" w:rsidRPr="0080098F">
        <w:rPr>
          <w:rFonts w:cs="Arial"/>
          <w:b/>
          <w:lang w:val="en-GB"/>
        </w:rPr>
        <w:t xml:space="preserve"> when the criteria of unemployment</w:t>
      </w:r>
      <w:r w:rsidR="0080098F" w:rsidRPr="0080098F">
        <w:rPr>
          <w:rFonts w:cs="Arial"/>
          <w:b/>
          <w:lang w:val="en-GB"/>
        </w:rPr>
        <w:t xml:space="preserve"> below country average and </w:t>
      </w:r>
      <w:r w:rsidR="00404F3D" w:rsidRPr="0080098F">
        <w:rPr>
          <w:rFonts w:cs="Arial"/>
          <w:b/>
          <w:lang w:val="en-GB"/>
        </w:rPr>
        <w:t xml:space="preserve">employment </w:t>
      </w:r>
      <w:r w:rsidR="0080098F" w:rsidRPr="0080098F">
        <w:rPr>
          <w:rFonts w:cs="Arial"/>
          <w:b/>
          <w:lang w:val="en-GB"/>
        </w:rPr>
        <w:t xml:space="preserve">above country average </w:t>
      </w:r>
      <w:r w:rsidR="00404F3D" w:rsidRPr="0080098F">
        <w:rPr>
          <w:rFonts w:cs="Arial"/>
          <w:b/>
          <w:lang w:val="en-GB"/>
        </w:rPr>
        <w:t>are considered.</w:t>
      </w:r>
      <w:r w:rsidR="00404F3D" w:rsidRPr="00D4730B">
        <w:rPr>
          <w:rFonts w:cs="Arial"/>
          <w:lang w:val="en-GB"/>
        </w:rPr>
        <w:t xml:space="preserve"> In addition, it should be noted that Thrace was clearly the best region in 2016; however, its </w:t>
      </w:r>
      <w:r w:rsidR="00AA0765" w:rsidRPr="00D4730B">
        <w:rPr>
          <w:rFonts w:cs="Arial"/>
          <w:lang w:val="en-GB"/>
        </w:rPr>
        <w:t xml:space="preserve">non-agricultural </w:t>
      </w:r>
      <w:r w:rsidR="00404F3D" w:rsidRPr="00D4730B">
        <w:rPr>
          <w:rFonts w:cs="Arial"/>
          <w:lang w:val="en-GB"/>
        </w:rPr>
        <w:t>unemployment rate increased from 8.8 percent to 9.8 percent</w:t>
      </w:r>
      <w:r w:rsidR="0028060F" w:rsidRPr="00D4730B">
        <w:rPr>
          <w:rFonts w:cs="Arial"/>
          <w:lang w:val="en-GB"/>
        </w:rPr>
        <w:t xml:space="preserve"> in a recent year</w:t>
      </w:r>
      <w:r w:rsidR="0080098F">
        <w:rPr>
          <w:rFonts w:cs="Arial"/>
          <w:lang w:val="en-GB"/>
        </w:rPr>
        <w:t xml:space="preserve"> while it decreased from 7.5 to 6.1 percent</w:t>
      </w:r>
      <w:r w:rsidR="0028060F" w:rsidRPr="00D4730B">
        <w:rPr>
          <w:rFonts w:cs="Arial"/>
          <w:lang w:val="en-GB"/>
        </w:rPr>
        <w:t xml:space="preserve">. </w:t>
      </w:r>
      <w:r w:rsidR="0080098F">
        <w:rPr>
          <w:rFonts w:cs="Arial"/>
          <w:lang w:val="en-GB"/>
        </w:rPr>
        <w:t xml:space="preserve">So, if multiple indicators like unemployment, employment and change in unemployment are </w:t>
      </w:r>
      <w:r w:rsidR="0080098F">
        <w:rPr>
          <w:rFonts w:cs="Arial"/>
          <w:lang w:val="en-GB"/>
        </w:rPr>
        <w:lastRenderedPageBreak/>
        <w:t xml:space="preserve">taken into consideration, Black Sea might be the best performer according to weights attributed to these 3 indicators. The design of a comprehensive performance index lacks crucially. </w:t>
      </w:r>
    </w:p>
    <w:p w14:paraId="5B123CB8" w14:textId="65B03994" w:rsidR="00FB0901" w:rsidRPr="00D4730B" w:rsidRDefault="00FB0901" w:rsidP="00ED3B36">
      <w:pPr>
        <w:spacing w:after="0"/>
        <w:jc w:val="both"/>
        <w:rPr>
          <w:rFonts w:cs="Arial"/>
          <w:lang w:val="en-GB"/>
        </w:rPr>
      </w:pPr>
    </w:p>
    <w:p w14:paraId="4FD3D878" w14:textId="2EF56A93" w:rsidR="0036214B" w:rsidRPr="00D4730B" w:rsidRDefault="00D23EDB" w:rsidP="00ED3B36">
      <w:pPr>
        <w:spacing w:after="0"/>
        <w:jc w:val="both"/>
        <w:rPr>
          <w:rFonts w:cs="Arial"/>
          <w:lang w:val="en-GB"/>
        </w:rPr>
      </w:pPr>
      <w:r>
        <w:rPr>
          <w:rFonts w:cs="Arial"/>
          <w:lang w:val="en-GB"/>
        </w:rPr>
        <w:t xml:space="preserve">In this frame work </w:t>
      </w:r>
      <w:r w:rsidR="0013457F" w:rsidRPr="00D4730B">
        <w:rPr>
          <w:rFonts w:cs="Arial"/>
          <w:lang w:val="en-GB"/>
        </w:rPr>
        <w:t xml:space="preserve">Ankara </w:t>
      </w:r>
      <w:r>
        <w:rPr>
          <w:rFonts w:cs="Arial"/>
          <w:lang w:val="en-GB"/>
        </w:rPr>
        <w:t>emerges also as a good performer as it</w:t>
      </w:r>
      <w:r w:rsidR="00524FBA" w:rsidRPr="00D4730B">
        <w:rPr>
          <w:rFonts w:cs="Arial"/>
          <w:lang w:val="en-GB"/>
        </w:rPr>
        <w:t xml:space="preserve"> has </w:t>
      </w:r>
      <w:r>
        <w:rPr>
          <w:rFonts w:cs="Arial"/>
          <w:lang w:val="en-GB"/>
        </w:rPr>
        <w:t xml:space="preserve">an </w:t>
      </w:r>
      <w:r w:rsidR="00524FBA" w:rsidRPr="00D4730B">
        <w:rPr>
          <w:rFonts w:cs="Arial"/>
          <w:lang w:val="en-GB"/>
        </w:rPr>
        <w:t xml:space="preserve">unemployment rate (11.6 percent) </w:t>
      </w:r>
      <w:r>
        <w:rPr>
          <w:rFonts w:cs="Arial"/>
          <w:lang w:val="en-GB"/>
        </w:rPr>
        <w:t>lower than the country average but relatively high</w:t>
      </w:r>
      <w:r w:rsidR="000E23A9">
        <w:rPr>
          <w:rFonts w:cs="Arial"/>
          <w:lang w:val="en-GB"/>
        </w:rPr>
        <w:t xml:space="preserve"> one but it decreased from 2018 to 2017 albeit by only 0.1 percentage points. </w:t>
      </w:r>
      <w:r w:rsidR="005366A7" w:rsidRPr="00D4730B">
        <w:rPr>
          <w:rFonts w:cs="Arial"/>
          <w:lang w:val="en-GB"/>
        </w:rPr>
        <w:t xml:space="preserve">However, </w:t>
      </w:r>
      <w:r w:rsidR="00ED5B32" w:rsidRPr="00D4730B">
        <w:rPr>
          <w:rFonts w:cs="Arial"/>
          <w:lang w:val="en-GB"/>
        </w:rPr>
        <w:t>Ankara is the third region after Thrace and Istanbul with its 46.7 percent</w:t>
      </w:r>
      <w:r w:rsidR="008447C6">
        <w:rPr>
          <w:rFonts w:cs="Arial"/>
          <w:lang w:val="en-GB"/>
        </w:rPr>
        <w:t xml:space="preserve"> of</w:t>
      </w:r>
      <w:r w:rsidR="00ED5B32" w:rsidRPr="00D4730B">
        <w:rPr>
          <w:rFonts w:cs="Arial"/>
          <w:lang w:val="en-GB"/>
        </w:rPr>
        <w:t xml:space="preserve"> employment and female employment rates</w:t>
      </w:r>
      <w:r w:rsidR="002759F3" w:rsidRPr="00D4730B">
        <w:rPr>
          <w:rFonts w:cs="Arial"/>
          <w:lang w:val="en-GB"/>
        </w:rPr>
        <w:t xml:space="preserve">. Lastly, it should be noted that </w:t>
      </w:r>
      <w:r w:rsidR="000E23A9">
        <w:rPr>
          <w:rFonts w:cs="Arial"/>
          <w:lang w:val="en-GB"/>
        </w:rPr>
        <w:t xml:space="preserve">the </w:t>
      </w:r>
      <w:r w:rsidR="002759F3" w:rsidRPr="00D4730B">
        <w:rPr>
          <w:rFonts w:cs="Arial"/>
          <w:lang w:val="en-GB"/>
        </w:rPr>
        <w:t>5 regions in</w:t>
      </w:r>
      <w:r w:rsidR="00E21E3E">
        <w:rPr>
          <w:rFonts w:cs="Arial"/>
          <w:lang w:val="en-GB"/>
        </w:rPr>
        <w:t xml:space="preserve"> the</w:t>
      </w:r>
      <w:r w:rsidR="002759F3" w:rsidRPr="00D4730B">
        <w:rPr>
          <w:rFonts w:cs="Arial"/>
          <w:lang w:val="en-GB"/>
        </w:rPr>
        <w:t xml:space="preserve"> best area are in West</w:t>
      </w:r>
      <w:r w:rsidR="000E23A9">
        <w:rPr>
          <w:rFonts w:cs="Arial"/>
          <w:lang w:val="en-GB"/>
        </w:rPr>
        <w:t>ern</w:t>
      </w:r>
      <w:r w:rsidR="002759F3" w:rsidRPr="00D4730B">
        <w:rPr>
          <w:rFonts w:cs="Arial"/>
          <w:lang w:val="en-GB"/>
        </w:rPr>
        <w:t xml:space="preserve"> Turkey. </w:t>
      </w:r>
    </w:p>
    <w:p w14:paraId="3797CC92" w14:textId="77777777" w:rsidR="00D02D15" w:rsidRPr="00D4730B" w:rsidRDefault="00D02D15" w:rsidP="00ED3B36">
      <w:pPr>
        <w:spacing w:after="0"/>
        <w:jc w:val="both"/>
        <w:rPr>
          <w:rFonts w:cs="Arial"/>
          <w:lang w:val="en-GB"/>
        </w:rPr>
      </w:pPr>
    </w:p>
    <w:p w14:paraId="125D8607" w14:textId="77777777" w:rsidR="00F16F39" w:rsidRPr="00D4730B" w:rsidRDefault="00F16F39" w:rsidP="00F16F39">
      <w:pPr>
        <w:rPr>
          <w:b/>
          <w:sz w:val="24"/>
          <w:szCs w:val="24"/>
          <w:lang w:val="en-GB"/>
        </w:rPr>
      </w:pPr>
      <w:r w:rsidRPr="00143504">
        <w:rPr>
          <w:b/>
          <w:sz w:val="24"/>
          <w:szCs w:val="24"/>
          <w:lang w:val="en-GB"/>
        </w:rPr>
        <w:t>Regions where unemployment increased</w:t>
      </w:r>
    </w:p>
    <w:p w14:paraId="53701D58" w14:textId="5B0C4F8A" w:rsidR="00143504" w:rsidRDefault="00EF43D2" w:rsidP="00ED3B36">
      <w:pPr>
        <w:jc w:val="both"/>
        <w:rPr>
          <w:rFonts w:cs="Arial"/>
          <w:lang w:val="en-GB"/>
        </w:rPr>
      </w:pPr>
      <w:r w:rsidRPr="00D4730B">
        <w:rPr>
          <w:rFonts w:cs="Arial"/>
          <w:lang w:val="en-GB"/>
        </w:rPr>
        <w:t xml:space="preserve">From 2016 to 2017, </w:t>
      </w:r>
      <w:r w:rsidR="008D502C" w:rsidRPr="00D4730B">
        <w:rPr>
          <w:rFonts w:cs="Arial"/>
          <w:lang w:val="en-GB"/>
        </w:rPr>
        <w:t xml:space="preserve">unemployment </w:t>
      </w:r>
      <w:r w:rsidRPr="00D4730B">
        <w:rPr>
          <w:rFonts w:cs="Arial"/>
          <w:lang w:val="en-GB"/>
        </w:rPr>
        <w:t xml:space="preserve">decreased </w:t>
      </w:r>
      <w:r w:rsidR="00D6004D" w:rsidRPr="00D4730B">
        <w:rPr>
          <w:rFonts w:cs="Arial"/>
          <w:lang w:val="en-GB"/>
        </w:rPr>
        <w:t xml:space="preserve">or increased in </w:t>
      </w:r>
      <w:r w:rsidRPr="00D4730B">
        <w:rPr>
          <w:rFonts w:cs="Arial"/>
          <w:lang w:val="en-GB"/>
        </w:rPr>
        <w:t>regions while</w:t>
      </w:r>
      <w:r w:rsidR="008D502C" w:rsidRPr="00D4730B">
        <w:rPr>
          <w:rFonts w:cs="Arial"/>
          <w:lang w:val="en-GB"/>
        </w:rPr>
        <w:t xml:space="preserve"> non-agricultural annual unemployment rate</w:t>
      </w:r>
      <w:r w:rsidRPr="00D4730B">
        <w:rPr>
          <w:rFonts w:cs="Arial"/>
          <w:lang w:val="en-GB"/>
        </w:rPr>
        <w:t xml:space="preserve"> </w:t>
      </w:r>
      <w:r w:rsidR="005927D4" w:rsidRPr="00D4730B">
        <w:rPr>
          <w:rFonts w:cs="Arial"/>
          <w:lang w:val="en-GB"/>
        </w:rPr>
        <w:t>remain</w:t>
      </w:r>
      <w:r w:rsidR="00E21E3E">
        <w:rPr>
          <w:rFonts w:cs="Arial"/>
          <w:lang w:val="en-GB"/>
        </w:rPr>
        <w:t xml:space="preserve">ed at </w:t>
      </w:r>
      <w:r w:rsidR="005927D4" w:rsidRPr="00D4730B">
        <w:rPr>
          <w:rFonts w:cs="Arial"/>
          <w:lang w:val="en-GB"/>
        </w:rPr>
        <w:t>13 percent</w:t>
      </w:r>
      <w:r w:rsidR="00E21E3E">
        <w:rPr>
          <w:rFonts w:cs="Arial"/>
          <w:lang w:val="en-GB"/>
        </w:rPr>
        <w:t xml:space="preserve"> as</w:t>
      </w:r>
      <w:r w:rsidR="005927D4" w:rsidRPr="00D4730B">
        <w:rPr>
          <w:rFonts w:cs="Arial"/>
          <w:lang w:val="en-GB"/>
        </w:rPr>
        <w:t xml:space="preserve"> we mentioned</w:t>
      </w:r>
      <w:r w:rsidR="00143504">
        <w:rPr>
          <w:rFonts w:cs="Arial"/>
          <w:lang w:val="en-GB"/>
        </w:rPr>
        <w:t xml:space="preserve"> in</w:t>
      </w:r>
      <w:r w:rsidR="00D14556" w:rsidRPr="00D4730B">
        <w:rPr>
          <w:rFonts w:cs="Arial"/>
          <w:lang w:val="en-GB"/>
        </w:rPr>
        <w:t xml:space="preserve"> introduction part. </w:t>
      </w:r>
      <w:r w:rsidR="00EB762F" w:rsidRPr="00D4730B">
        <w:rPr>
          <w:rFonts w:cs="Arial"/>
          <w:lang w:val="en-GB"/>
        </w:rPr>
        <w:t xml:space="preserve">It is not a new </w:t>
      </w:r>
      <w:r w:rsidR="00143504">
        <w:rPr>
          <w:rFonts w:cs="Arial"/>
          <w:lang w:val="en-GB"/>
        </w:rPr>
        <w:t>event</w:t>
      </w:r>
      <w:r w:rsidR="00EB762F" w:rsidRPr="00D4730B">
        <w:rPr>
          <w:rFonts w:cs="Arial"/>
          <w:lang w:val="en-GB"/>
        </w:rPr>
        <w:t>, it has been observed in the past years.</w:t>
      </w:r>
      <w:r w:rsidR="00143504">
        <w:rPr>
          <w:rFonts w:cs="Arial"/>
          <w:lang w:val="en-GB"/>
        </w:rPr>
        <w:t xml:space="preserve"> Changes in unemployment presents an additional dimension to the assessment of regional performances. </w:t>
      </w:r>
      <w:r w:rsidR="0005091E" w:rsidRPr="00D4730B">
        <w:rPr>
          <w:rFonts w:cs="Arial"/>
          <w:lang w:val="en-GB"/>
        </w:rPr>
        <w:t xml:space="preserve"> </w:t>
      </w:r>
    </w:p>
    <w:p w14:paraId="1E644776" w14:textId="1DE101E3" w:rsidR="0005091E" w:rsidRPr="00D4730B" w:rsidRDefault="00D657AE" w:rsidP="00ED3B36">
      <w:pPr>
        <w:jc w:val="both"/>
        <w:rPr>
          <w:rFonts w:cs="Arial"/>
          <w:lang w:val="en-GB"/>
        </w:rPr>
      </w:pPr>
      <w:r w:rsidRPr="00D4730B">
        <w:rPr>
          <w:rFonts w:cs="Arial"/>
          <w:lang w:val="en-GB"/>
        </w:rPr>
        <w:t>Out of 26 regions,</w:t>
      </w:r>
      <w:r w:rsidR="00097491" w:rsidRPr="00D4730B">
        <w:rPr>
          <w:rFonts w:cs="Arial"/>
          <w:lang w:val="en-GB"/>
        </w:rPr>
        <w:t xml:space="preserve"> </w:t>
      </w:r>
      <w:r w:rsidR="00097491" w:rsidRPr="00D4730B">
        <w:rPr>
          <w:rFonts w:cs="Arial"/>
          <w:b/>
          <w:lang w:val="en-GB"/>
        </w:rPr>
        <w:t xml:space="preserve">13 had some increases and 2 had no changes in </w:t>
      </w:r>
      <w:r w:rsidR="00143504">
        <w:rPr>
          <w:rFonts w:cs="Arial"/>
          <w:b/>
          <w:lang w:val="en-GB"/>
        </w:rPr>
        <w:t>un</w:t>
      </w:r>
      <w:r w:rsidR="00097491" w:rsidRPr="00D4730B">
        <w:rPr>
          <w:rFonts w:cs="Arial"/>
          <w:b/>
          <w:lang w:val="en-GB"/>
        </w:rPr>
        <w:t>employment</w:t>
      </w:r>
      <w:r w:rsidRPr="00D4730B">
        <w:rPr>
          <w:rFonts w:cs="Arial"/>
          <w:b/>
          <w:lang w:val="en-GB"/>
        </w:rPr>
        <w:t>, while</w:t>
      </w:r>
      <w:r w:rsidR="00097491" w:rsidRPr="00D4730B">
        <w:rPr>
          <w:rFonts w:cs="Arial"/>
          <w:b/>
          <w:lang w:val="en-GB"/>
        </w:rPr>
        <w:t xml:space="preserve"> 11 registered increases.</w:t>
      </w:r>
      <w:r w:rsidR="008C2F85" w:rsidRPr="00D4730B">
        <w:rPr>
          <w:rFonts w:cs="Arial"/>
          <w:b/>
          <w:lang w:val="en-GB"/>
        </w:rPr>
        <w:t xml:space="preserve"> </w:t>
      </w:r>
      <w:r w:rsidR="008C2F85" w:rsidRPr="00D4730B">
        <w:rPr>
          <w:lang w:val="en-US"/>
        </w:rPr>
        <w:t xml:space="preserve">The regions where unemployment increased and remained </w:t>
      </w:r>
      <w:r w:rsidR="00143504">
        <w:rPr>
          <w:lang w:val="en-US"/>
        </w:rPr>
        <w:t xml:space="preserve">constant </w:t>
      </w:r>
      <w:r w:rsidR="008C2F85" w:rsidRPr="00D4730B">
        <w:rPr>
          <w:lang w:val="en-US"/>
        </w:rPr>
        <w:t>are presented in descending order in the Figure 3.</w:t>
      </w:r>
      <w:r w:rsidR="001F0018" w:rsidRPr="00D4730B">
        <w:rPr>
          <w:lang w:val="en-US"/>
        </w:rPr>
        <w:t xml:space="preserve"> </w:t>
      </w:r>
      <w:r w:rsidR="001B0489" w:rsidRPr="00D4730B">
        <w:rPr>
          <w:b/>
          <w:lang w:val="en-US"/>
        </w:rPr>
        <w:t>The two regions that suffered from very high unemployment increases are</w:t>
      </w:r>
      <w:r w:rsidR="00353CA0" w:rsidRPr="00D4730B">
        <w:rPr>
          <w:b/>
          <w:lang w:val="en-US"/>
        </w:rPr>
        <w:t xml:space="preserve"> </w:t>
      </w:r>
      <w:r w:rsidR="00353CA0" w:rsidRPr="00D4730B">
        <w:rPr>
          <w:b/>
          <w:lang w:val="en-GB"/>
        </w:rPr>
        <w:t>Van-Muş-Bitlis-Hakkâri (TRB2) which is the second region among worst regions and Kayseri-Sivas-Yozgat (TR72) wh</w:t>
      </w:r>
      <w:r w:rsidR="00143504">
        <w:rPr>
          <w:b/>
          <w:lang w:val="en-GB"/>
        </w:rPr>
        <w:t>ich moved into</w:t>
      </w:r>
      <w:r w:rsidR="00353CA0" w:rsidRPr="00D4730B">
        <w:rPr>
          <w:b/>
          <w:lang w:val="en-GB"/>
        </w:rPr>
        <w:t xml:space="preserve"> in the worst area. </w:t>
      </w:r>
      <w:r w:rsidR="00D04081" w:rsidRPr="00D4730B">
        <w:rPr>
          <w:lang w:val="en-US"/>
        </w:rPr>
        <w:t>Unemployment rates increased by 5.3 and 3.9 percentage points and reached 19.7 and 15.3 percent, respectively</w:t>
      </w:r>
      <w:r w:rsidR="00143504">
        <w:rPr>
          <w:lang w:val="en-US"/>
        </w:rPr>
        <w:t xml:space="preserve"> in these two regions.</w:t>
      </w:r>
      <w:r w:rsidR="00D04081" w:rsidRPr="00D4730B">
        <w:rPr>
          <w:lang w:val="en-US"/>
        </w:rPr>
        <w:t xml:space="preserve"> The cause of this jump in both region</w:t>
      </w:r>
      <w:r w:rsidR="00000C67">
        <w:rPr>
          <w:lang w:val="en-US"/>
        </w:rPr>
        <w:t>s</w:t>
      </w:r>
      <w:r w:rsidR="00D04081" w:rsidRPr="00D4730B">
        <w:rPr>
          <w:lang w:val="en-US"/>
        </w:rPr>
        <w:t xml:space="preserve"> is the insufficient increase in employment against a strong </w:t>
      </w:r>
      <w:r w:rsidR="00AA4315">
        <w:rPr>
          <w:lang w:val="en-US"/>
        </w:rPr>
        <w:t xml:space="preserve">increase in </w:t>
      </w:r>
      <w:r w:rsidR="00D04081" w:rsidRPr="00D4730B">
        <w:rPr>
          <w:lang w:val="en-US"/>
        </w:rPr>
        <w:t xml:space="preserve">labor force (Table 1). The employment increase in </w:t>
      </w:r>
      <w:r w:rsidR="00FB340D" w:rsidRPr="00D4730B">
        <w:rPr>
          <w:lang w:val="en-US"/>
        </w:rPr>
        <w:t>Van</w:t>
      </w:r>
      <w:r w:rsidR="00D04081" w:rsidRPr="00D4730B">
        <w:rPr>
          <w:lang w:val="en-US"/>
        </w:rPr>
        <w:t xml:space="preserve"> region is </w:t>
      </w:r>
      <w:r w:rsidR="00FB340D" w:rsidRPr="00D4730B">
        <w:rPr>
          <w:lang w:val="en-US"/>
        </w:rPr>
        <w:t xml:space="preserve">9.8 </w:t>
      </w:r>
      <w:r w:rsidR="00D04081" w:rsidRPr="00D4730B">
        <w:rPr>
          <w:lang w:val="en-US"/>
        </w:rPr>
        <w:t xml:space="preserve">percent whereas labor force increased by </w:t>
      </w:r>
      <w:r w:rsidR="00FB340D" w:rsidRPr="00D4730B">
        <w:rPr>
          <w:lang w:val="en-US"/>
        </w:rPr>
        <w:t>17.1</w:t>
      </w:r>
      <w:r w:rsidR="00D04081" w:rsidRPr="00D4730B">
        <w:rPr>
          <w:lang w:val="en-US"/>
        </w:rPr>
        <w:t xml:space="preserve"> percent.  </w:t>
      </w:r>
      <w:r w:rsidR="00143504">
        <w:rPr>
          <w:lang w:val="en-US"/>
        </w:rPr>
        <w:t xml:space="preserve">Given these </w:t>
      </w:r>
      <w:r w:rsidR="00FB340D" w:rsidRPr="00D4730B">
        <w:rPr>
          <w:lang w:val="en-US"/>
        </w:rPr>
        <w:t>strong increases</w:t>
      </w:r>
      <w:r w:rsidR="00143504">
        <w:rPr>
          <w:lang w:val="en-US"/>
        </w:rPr>
        <w:t xml:space="preserve"> we one may say that </w:t>
      </w:r>
      <w:r w:rsidR="00EC6337">
        <w:rPr>
          <w:lang w:val="en-US"/>
        </w:rPr>
        <w:t>severity</w:t>
      </w:r>
      <w:r w:rsidR="00485001">
        <w:rPr>
          <w:lang w:val="en-US"/>
        </w:rPr>
        <w:t xml:space="preserve"> of unemployment increase has been mitigated</w:t>
      </w:r>
      <w:r w:rsidR="00FB340D" w:rsidRPr="00D4730B">
        <w:rPr>
          <w:lang w:val="en-US"/>
        </w:rPr>
        <w:t xml:space="preserve">. </w:t>
      </w:r>
      <w:r w:rsidR="0072457D" w:rsidRPr="00D4730B">
        <w:rPr>
          <w:lang w:val="en-GB"/>
        </w:rPr>
        <w:t xml:space="preserve">These increases are 2.5 percent and 7.2 percent, respectively for Kayseri region. The low increase in employment in Kayseri is </w:t>
      </w:r>
      <w:r w:rsidR="00EC6337">
        <w:rPr>
          <w:lang w:val="en-GB"/>
        </w:rPr>
        <w:t>noticeable</w:t>
      </w:r>
      <w:r w:rsidR="0072457D" w:rsidRPr="00D4730B">
        <w:rPr>
          <w:lang w:val="en-GB"/>
        </w:rPr>
        <w:t xml:space="preserve">. </w:t>
      </w:r>
    </w:p>
    <w:p w14:paraId="032D5B32" w14:textId="7B4BE8D5" w:rsidR="00BB3993" w:rsidRPr="00BB3993" w:rsidRDefault="00A73C33" w:rsidP="00ED3B36">
      <w:pPr>
        <w:jc w:val="both"/>
        <w:rPr>
          <w:b/>
          <w:lang w:val="en-GB"/>
        </w:rPr>
      </w:pPr>
      <w:bookmarkStart w:id="5" w:name="_Ref381804912"/>
      <w:r w:rsidRPr="00D4730B">
        <w:rPr>
          <w:lang w:val="en-GB"/>
        </w:rPr>
        <w:t>T</w:t>
      </w:r>
      <w:r w:rsidR="002F06E8" w:rsidRPr="00D4730B">
        <w:rPr>
          <w:lang w:val="en-GB"/>
        </w:rPr>
        <w:t>here is a</w:t>
      </w:r>
      <w:r w:rsidRPr="00D4730B">
        <w:rPr>
          <w:lang w:val="en-GB"/>
        </w:rPr>
        <w:t xml:space="preserve"> quite</w:t>
      </w:r>
      <w:r w:rsidR="002F06E8" w:rsidRPr="00D4730B">
        <w:rPr>
          <w:lang w:val="en-GB"/>
        </w:rPr>
        <w:t xml:space="preserve"> negative</w:t>
      </w:r>
      <w:r w:rsidR="003D1625" w:rsidRPr="00D4730B">
        <w:rPr>
          <w:lang w:val="en-GB"/>
        </w:rPr>
        <w:t xml:space="preserve"> improvement in</w:t>
      </w:r>
      <w:r w:rsidR="00156235" w:rsidRPr="00D4730B">
        <w:rPr>
          <w:lang w:val="en-GB"/>
        </w:rPr>
        <w:t xml:space="preserve"> te</w:t>
      </w:r>
      <w:r w:rsidRPr="00D4730B">
        <w:rPr>
          <w:lang w:val="en-GB"/>
        </w:rPr>
        <w:t xml:space="preserve">rms of dynamics of </w:t>
      </w:r>
      <w:r w:rsidR="00EC6337" w:rsidRPr="00D4730B">
        <w:rPr>
          <w:lang w:val="en-GB"/>
        </w:rPr>
        <w:t>labour</w:t>
      </w:r>
      <w:r w:rsidRPr="00D4730B">
        <w:rPr>
          <w:lang w:val="en-GB"/>
        </w:rPr>
        <w:t xml:space="preserve"> force in Ağrı (TRA2) region. </w:t>
      </w:r>
      <w:r w:rsidR="0006116F" w:rsidRPr="00D4730B">
        <w:rPr>
          <w:lang w:val="en-GB"/>
        </w:rPr>
        <w:t>The increase in unemployment rate in this region is relatively low</w:t>
      </w:r>
      <w:r w:rsidR="004B3A8B" w:rsidRPr="00D4730B">
        <w:rPr>
          <w:lang w:val="en-GB"/>
        </w:rPr>
        <w:t xml:space="preserve"> </w:t>
      </w:r>
      <w:r w:rsidR="0006116F" w:rsidRPr="00D4730B">
        <w:rPr>
          <w:lang w:val="en-GB"/>
        </w:rPr>
        <w:t>with 0.9 percentage points</w:t>
      </w:r>
      <w:r w:rsidR="004C5195" w:rsidRPr="00D4730B">
        <w:rPr>
          <w:lang w:val="en-GB"/>
        </w:rPr>
        <w:t xml:space="preserve">. </w:t>
      </w:r>
      <w:r w:rsidR="00EC6337">
        <w:rPr>
          <w:lang w:val="en-GB"/>
        </w:rPr>
        <w:t>Nevertheless,</w:t>
      </w:r>
      <w:r w:rsidR="007C126E" w:rsidRPr="00D4730B">
        <w:rPr>
          <w:lang w:val="en-GB"/>
        </w:rPr>
        <w:t xml:space="preserve"> </w:t>
      </w:r>
      <w:r w:rsidR="001654E9">
        <w:rPr>
          <w:lang w:val="en-GB"/>
        </w:rPr>
        <w:t xml:space="preserve">the reason </w:t>
      </w:r>
      <w:r w:rsidR="007C126E" w:rsidRPr="00D4730B">
        <w:rPr>
          <w:lang w:val="en-GB"/>
        </w:rPr>
        <w:t>behind</w:t>
      </w:r>
      <w:r w:rsidR="004C5195" w:rsidRPr="00D4730B">
        <w:rPr>
          <w:lang w:val="en-GB"/>
        </w:rPr>
        <w:t xml:space="preserve"> this increase is </w:t>
      </w:r>
      <w:r w:rsidR="00EC6337">
        <w:rPr>
          <w:lang w:val="en-GB"/>
        </w:rPr>
        <w:t xml:space="preserve">a </w:t>
      </w:r>
      <w:r w:rsidR="004C5195" w:rsidRPr="00D4730B">
        <w:rPr>
          <w:lang w:val="en-GB"/>
        </w:rPr>
        <w:t xml:space="preserve">higher absolute decline </w:t>
      </w:r>
      <w:r w:rsidR="008F0C9B" w:rsidRPr="00D4730B">
        <w:rPr>
          <w:lang w:val="en-GB"/>
        </w:rPr>
        <w:t xml:space="preserve">in employment than </w:t>
      </w:r>
      <w:r w:rsidR="00EC6337" w:rsidRPr="00D4730B">
        <w:rPr>
          <w:lang w:val="en-GB"/>
        </w:rPr>
        <w:t>labour</w:t>
      </w:r>
      <w:r w:rsidR="008F0C9B" w:rsidRPr="00D4730B">
        <w:rPr>
          <w:lang w:val="en-GB"/>
        </w:rPr>
        <w:t xml:space="preserve"> force (Table 1).</w:t>
      </w:r>
      <w:r w:rsidR="00F65E11" w:rsidRPr="00D4730B">
        <w:rPr>
          <w:lang w:val="en-GB"/>
        </w:rPr>
        <w:t xml:space="preserve"> </w:t>
      </w:r>
      <w:r w:rsidR="00BB3993">
        <w:rPr>
          <w:lang w:val="en-GB"/>
        </w:rPr>
        <w:t xml:space="preserve">Similarly </w:t>
      </w:r>
      <w:r w:rsidR="00BB3993" w:rsidRPr="00D4730B">
        <w:rPr>
          <w:lang w:val="en-GB"/>
        </w:rPr>
        <w:t xml:space="preserve">in </w:t>
      </w:r>
      <w:r w:rsidR="00BB3993" w:rsidRPr="00BB3993">
        <w:rPr>
          <w:b/>
          <w:lang w:val="en-GB"/>
        </w:rPr>
        <w:t>Mardin (TRC3) region</w:t>
      </w:r>
      <w:r w:rsidR="00BB3993">
        <w:rPr>
          <w:lang w:val="en-GB"/>
        </w:rPr>
        <w:t xml:space="preserve"> albeit unemployment remained constant we observe the highest</w:t>
      </w:r>
      <w:r w:rsidR="00BB3993" w:rsidRPr="00BB3993">
        <w:rPr>
          <w:lang w:val="en-GB"/>
        </w:rPr>
        <w:t xml:space="preserve"> </w:t>
      </w:r>
      <w:r w:rsidR="00BB3993" w:rsidRPr="00D4730B">
        <w:rPr>
          <w:lang w:val="en-GB"/>
        </w:rPr>
        <w:t>absolute decline</w:t>
      </w:r>
      <w:r w:rsidR="00BB3993">
        <w:rPr>
          <w:lang w:val="en-GB"/>
        </w:rPr>
        <w:t>s both</w:t>
      </w:r>
      <w:r w:rsidR="00BB3993" w:rsidRPr="00BB3993">
        <w:rPr>
          <w:lang w:val="en-GB"/>
        </w:rPr>
        <w:t xml:space="preserve"> </w:t>
      </w:r>
      <w:r w:rsidR="00BB3993" w:rsidRPr="00D4730B">
        <w:rPr>
          <w:lang w:val="en-GB"/>
        </w:rPr>
        <w:t xml:space="preserve">in employment (9 thousand) </w:t>
      </w:r>
      <w:r w:rsidR="00BB3993">
        <w:rPr>
          <w:lang w:val="en-GB"/>
        </w:rPr>
        <w:t>and in</w:t>
      </w:r>
      <w:r w:rsidR="00BB3993" w:rsidRPr="00D4730B">
        <w:rPr>
          <w:lang w:val="en-GB"/>
        </w:rPr>
        <w:t xml:space="preserve"> labour force (13 thousand).</w:t>
      </w:r>
      <w:r w:rsidR="00BB3993">
        <w:rPr>
          <w:lang w:val="en-GB"/>
        </w:rPr>
        <w:t xml:space="preserve"> Let us to recall that this region might be considered </w:t>
      </w:r>
      <w:r w:rsidR="00BB3993" w:rsidRPr="00BB3993">
        <w:rPr>
          <w:b/>
          <w:lang w:val="en-GB"/>
        </w:rPr>
        <w:t>as the worst preforming by all labour market indicators</w:t>
      </w:r>
    </w:p>
    <w:p w14:paraId="7539C839" w14:textId="279BCA54" w:rsidR="00900D29" w:rsidRDefault="00900D29" w:rsidP="00ED3B36">
      <w:pPr>
        <w:jc w:val="both"/>
        <w:rPr>
          <w:lang w:val="en-GB"/>
        </w:rPr>
      </w:pPr>
      <w:r>
        <w:rPr>
          <w:lang w:val="en-GB"/>
        </w:rPr>
        <w:t xml:space="preserve">The other example of unchanged unemployment is </w:t>
      </w:r>
      <w:r w:rsidRPr="00D4730B">
        <w:rPr>
          <w:lang w:val="en-GB"/>
        </w:rPr>
        <w:t>Adana-Mersin (TR62) region</w:t>
      </w:r>
      <w:r>
        <w:rPr>
          <w:lang w:val="en-GB"/>
        </w:rPr>
        <w:t>.</w:t>
      </w:r>
      <w:r w:rsidRPr="00D4730B">
        <w:rPr>
          <w:lang w:val="en-GB"/>
        </w:rPr>
        <w:t xml:space="preserve"> </w:t>
      </w:r>
      <w:r>
        <w:rPr>
          <w:lang w:val="en-GB"/>
        </w:rPr>
        <w:t>I</w:t>
      </w:r>
      <w:r w:rsidRPr="00D4730B">
        <w:rPr>
          <w:lang w:val="en-GB"/>
        </w:rPr>
        <w:t>n our previous research brief (see Betam, Research Brief 17/211)</w:t>
      </w:r>
      <w:r>
        <w:rPr>
          <w:lang w:val="en-GB"/>
        </w:rPr>
        <w:t xml:space="preserve"> we </w:t>
      </w:r>
      <w:r w:rsidRPr="00D4730B">
        <w:rPr>
          <w:lang w:val="en-GB"/>
        </w:rPr>
        <w:t>stated that</w:t>
      </w:r>
      <w:r>
        <w:rPr>
          <w:lang w:val="en-GB"/>
        </w:rPr>
        <w:t xml:space="preserve"> this region</w:t>
      </w:r>
      <w:r w:rsidRPr="00D4730B">
        <w:rPr>
          <w:lang w:val="en-GB"/>
        </w:rPr>
        <w:t xml:space="preserve"> </w:t>
      </w:r>
      <w:r>
        <w:rPr>
          <w:lang w:val="en-GB"/>
        </w:rPr>
        <w:t>suffered from</w:t>
      </w:r>
      <w:r w:rsidRPr="00900D29">
        <w:rPr>
          <w:lang w:val="en-GB"/>
        </w:rPr>
        <w:t xml:space="preserve"> </w:t>
      </w:r>
      <w:r w:rsidRPr="00D4730B">
        <w:rPr>
          <w:lang w:val="en-GB"/>
        </w:rPr>
        <w:t>the highest decline in employment</w:t>
      </w:r>
      <w:r>
        <w:rPr>
          <w:lang w:val="en-GB"/>
        </w:rPr>
        <w:t xml:space="preserve"> and labour force (23</w:t>
      </w:r>
      <w:r w:rsidRPr="00900D29">
        <w:rPr>
          <w:lang w:val="en-GB"/>
        </w:rPr>
        <w:t xml:space="preserve"> </w:t>
      </w:r>
      <w:r w:rsidRPr="00D4730B">
        <w:rPr>
          <w:lang w:val="en-GB"/>
        </w:rPr>
        <w:t>thousand and 14 thousand, respectively)</w:t>
      </w:r>
      <w:r>
        <w:rPr>
          <w:lang w:val="en-GB"/>
        </w:rPr>
        <w:t>. From 2016 to 2017 this region</w:t>
      </w:r>
      <w:r w:rsidRPr="00900D29">
        <w:rPr>
          <w:lang w:val="en-GB"/>
        </w:rPr>
        <w:t xml:space="preserve"> </w:t>
      </w:r>
      <w:r w:rsidRPr="00D4730B">
        <w:rPr>
          <w:lang w:val="en-GB"/>
        </w:rPr>
        <w:t>seems to have recovered</w:t>
      </w:r>
      <w:r>
        <w:rPr>
          <w:lang w:val="en-GB"/>
        </w:rPr>
        <w:t xml:space="preserve"> since</w:t>
      </w:r>
      <w:r w:rsidRPr="00D4730B">
        <w:rPr>
          <w:lang w:val="en-GB"/>
        </w:rPr>
        <w:t xml:space="preserve"> </w:t>
      </w:r>
      <w:r>
        <w:rPr>
          <w:lang w:val="en-GB"/>
        </w:rPr>
        <w:t xml:space="preserve">the increases in employment and labour force reached 56 and 64 thousand; </w:t>
      </w:r>
      <w:r w:rsidR="009410EF">
        <w:rPr>
          <w:lang w:val="en-GB"/>
        </w:rPr>
        <w:t>obviously</w:t>
      </w:r>
      <w:r>
        <w:rPr>
          <w:lang w:val="en-GB"/>
        </w:rPr>
        <w:t xml:space="preserve">, the </w:t>
      </w:r>
      <w:r w:rsidR="009410EF">
        <w:rPr>
          <w:lang w:val="en-GB"/>
        </w:rPr>
        <w:t xml:space="preserve">constancy of unemployment in these two regions cannot be interpreted in the same way in regards of labour market performance. </w:t>
      </w:r>
      <w:r>
        <w:rPr>
          <w:lang w:val="en-GB"/>
        </w:rPr>
        <w:t xml:space="preserve">    </w:t>
      </w:r>
    </w:p>
    <w:p w14:paraId="23AAE755" w14:textId="659FEBC6" w:rsidR="00A30575" w:rsidRPr="00D4730B" w:rsidRDefault="00F16F39" w:rsidP="00ED3B36">
      <w:pPr>
        <w:pStyle w:val="Caption"/>
        <w:keepNext/>
        <w:spacing w:line="276" w:lineRule="auto"/>
        <w:jc w:val="both"/>
        <w:rPr>
          <w:color w:val="auto"/>
          <w:sz w:val="22"/>
          <w:szCs w:val="22"/>
          <w:lang w:val="en-GB"/>
        </w:rPr>
      </w:pPr>
      <w:r w:rsidRPr="00D4730B">
        <w:rPr>
          <w:color w:val="auto"/>
          <w:sz w:val="22"/>
          <w:szCs w:val="22"/>
          <w:lang w:val="en-GB"/>
        </w:rPr>
        <w:lastRenderedPageBreak/>
        <w:t>Figure</w:t>
      </w:r>
      <w:r w:rsidR="0060482C" w:rsidRPr="00D4730B">
        <w:rPr>
          <w:color w:val="auto"/>
          <w:sz w:val="22"/>
          <w:szCs w:val="22"/>
          <w:lang w:val="en-GB"/>
        </w:rPr>
        <w:t xml:space="preserve"> </w:t>
      </w:r>
      <w:bookmarkEnd w:id="5"/>
      <w:r w:rsidR="007722CC" w:rsidRPr="00D4730B">
        <w:rPr>
          <w:color w:val="auto"/>
          <w:sz w:val="22"/>
          <w:szCs w:val="22"/>
          <w:lang w:val="en-GB"/>
        </w:rPr>
        <w:t>3</w:t>
      </w:r>
      <w:r w:rsidR="0060482C" w:rsidRPr="00D4730B">
        <w:rPr>
          <w:color w:val="auto"/>
          <w:sz w:val="22"/>
          <w:szCs w:val="22"/>
          <w:lang w:val="en-GB"/>
        </w:rPr>
        <w:t>:</w:t>
      </w:r>
      <w:r w:rsidRPr="00D4730B">
        <w:rPr>
          <w:color w:val="auto"/>
          <w:sz w:val="22"/>
          <w:szCs w:val="22"/>
          <w:lang w:val="en-GB"/>
        </w:rPr>
        <w:t xml:space="preserve"> Regions where non-agricultural unemployment increased:</w:t>
      </w:r>
      <m:oMath>
        <m:r>
          <m:rPr>
            <m:sty m:val="bi"/>
          </m:rPr>
          <w:rPr>
            <w:rFonts w:ascii="Cambria Math" w:hAnsi="Cambria Math"/>
            <w:sz w:val="16"/>
            <w:szCs w:val="16"/>
            <w:lang w:val="en-GB"/>
          </w:rPr>
          <m:t xml:space="preserve"> </m:t>
        </m:r>
        <m:sSub>
          <m:sSubPr>
            <m:ctrlPr>
              <w:rPr>
                <w:rFonts w:ascii="Cambria Math" w:hAnsi="Cambria Math"/>
                <w:b w:val="0"/>
                <w:i/>
                <w:color w:val="000000" w:themeColor="text1"/>
                <w:sz w:val="16"/>
                <w:szCs w:val="16"/>
                <w:lang w:val="en-GB"/>
              </w:rPr>
            </m:ctrlPr>
          </m:sSubPr>
          <m:e>
            <m:r>
              <m:rPr>
                <m:sty m:val="bi"/>
              </m:rPr>
              <w:rPr>
                <w:rFonts w:ascii="Cambria Math" w:hAnsi="Cambria Math"/>
                <w:color w:val="000000" w:themeColor="text1"/>
                <w:sz w:val="16"/>
                <w:szCs w:val="16"/>
                <w:lang w:val="en-GB"/>
              </w:rPr>
              <m:t>u</m:t>
            </m:r>
          </m:e>
          <m:sub>
            <m:r>
              <m:rPr>
                <m:sty m:val="bi"/>
              </m:rPr>
              <w:rPr>
                <w:rFonts w:ascii="Cambria Math" w:hAnsi="Cambria Math"/>
                <w:color w:val="000000" w:themeColor="text1"/>
                <w:sz w:val="16"/>
                <w:szCs w:val="16"/>
                <w:lang w:val="en-GB"/>
              </w:rPr>
              <m:t>td</m:t>
            </m:r>
          </m:sub>
        </m:sSub>
      </m:oMath>
      <w:r w:rsidR="00F018A7" w:rsidRPr="00D4730B">
        <w:rPr>
          <w:color w:val="auto"/>
          <w:sz w:val="22"/>
          <w:szCs w:val="22"/>
          <w:lang w:val="en-GB"/>
        </w:rPr>
        <w:t xml:space="preserve"> (</w:t>
      </w:r>
      <w:r w:rsidR="006A5242" w:rsidRPr="00D4730B">
        <w:rPr>
          <w:color w:val="auto"/>
          <w:sz w:val="22"/>
          <w:szCs w:val="22"/>
          <w:lang w:val="en-GB"/>
        </w:rPr>
        <w:t xml:space="preserve">in </w:t>
      </w:r>
      <w:r w:rsidRPr="00D4730B">
        <w:rPr>
          <w:color w:val="auto"/>
          <w:sz w:val="22"/>
          <w:szCs w:val="22"/>
          <w:lang w:val="en-GB"/>
        </w:rPr>
        <w:t>p</w:t>
      </w:r>
      <w:r w:rsidR="006A5242" w:rsidRPr="00D4730B">
        <w:rPr>
          <w:color w:val="auto"/>
          <w:sz w:val="22"/>
          <w:szCs w:val="22"/>
          <w:lang w:val="en-GB"/>
        </w:rPr>
        <w:t>p</w:t>
      </w:r>
      <w:r w:rsidR="00F018A7" w:rsidRPr="00D4730B">
        <w:rPr>
          <w:color w:val="auto"/>
          <w:sz w:val="22"/>
          <w:szCs w:val="22"/>
          <w:lang w:val="en-GB"/>
        </w:rPr>
        <w:t xml:space="preserve">, </w:t>
      </w:r>
      <w:r w:rsidR="00FD6ADD" w:rsidRPr="00D4730B">
        <w:rPr>
          <w:color w:val="auto"/>
          <w:sz w:val="22"/>
          <w:szCs w:val="22"/>
          <w:lang w:val="en-GB"/>
        </w:rPr>
        <w:t>201</w:t>
      </w:r>
      <w:r w:rsidR="00D463C1" w:rsidRPr="00D4730B">
        <w:rPr>
          <w:color w:val="auto"/>
          <w:sz w:val="22"/>
          <w:szCs w:val="22"/>
          <w:lang w:val="en-GB"/>
        </w:rPr>
        <w:t>6</w:t>
      </w:r>
      <w:r w:rsidR="00FD6ADD" w:rsidRPr="00D4730B">
        <w:rPr>
          <w:color w:val="auto"/>
          <w:sz w:val="22"/>
          <w:szCs w:val="22"/>
          <w:lang w:val="en-GB"/>
        </w:rPr>
        <w:t>-</w:t>
      </w:r>
      <w:r w:rsidR="00F018A7" w:rsidRPr="00D4730B">
        <w:rPr>
          <w:color w:val="auto"/>
          <w:sz w:val="22"/>
          <w:szCs w:val="22"/>
          <w:lang w:val="en-GB"/>
        </w:rPr>
        <w:t>201</w:t>
      </w:r>
      <w:r w:rsidR="00D463C1" w:rsidRPr="00D4730B">
        <w:rPr>
          <w:color w:val="auto"/>
          <w:sz w:val="22"/>
          <w:szCs w:val="22"/>
          <w:lang w:val="en-GB"/>
        </w:rPr>
        <w:t>7</w:t>
      </w:r>
      <w:r w:rsidR="00F018A7" w:rsidRPr="00D4730B">
        <w:rPr>
          <w:color w:val="auto"/>
          <w:sz w:val="22"/>
          <w:szCs w:val="22"/>
          <w:lang w:val="en-GB"/>
        </w:rPr>
        <w:t>)</w:t>
      </w:r>
    </w:p>
    <w:p w14:paraId="6E797E92" w14:textId="3C779FB2" w:rsidR="004A7030" w:rsidRPr="00D4730B" w:rsidRDefault="002D2A5F" w:rsidP="00EC2308">
      <w:pPr>
        <w:pStyle w:val="Caption"/>
        <w:keepNext/>
        <w:spacing w:line="276" w:lineRule="auto"/>
        <w:rPr>
          <w:b w:val="0"/>
          <w:color w:val="000000" w:themeColor="text1"/>
          <w:sz w:val="16"/>
          <w:szCs w:val="16"/>
          <w:lang w:val="en-GB"/>
        </w:rPr>
      </w:pPr>
      <w:r w:rsidRPr="00D4730B">
        <w:rPr>
          <w:noProof/>
        </w:rPr>
        <w:drawing>
          <wp:inline distT="0" distB="0" distL="0" distR="0" wp14:anchorId="1738DA13" wp14:editId="5544246A">
            <wp:extent cx="5610758" cy="2684679"/>
            <wp:effectExtent l="0" t="0" r="0" b="1905"/>
            <wp:docPr id="13" name="Grafik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05A05D1-BDB2-45A9-9275-81AC721FC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8665D" w:rsidRPr="00D4730B">
        <w:rPr>
          <w:b w:val="0"/>
          <w:sz w:val="24"/>
          <w:szCs w:val="24"/>
          <w:lang w:val="en-GB"/>
        </w:rPr>
        <w:br/>
      </w:r>
      <w:r w:rsidR="00EF3B0E" w:rsidRPr="00D4730B">
        <w:rPr>
          <w:b w:val="0"/>
          <w:color w:val="000000" w:themeColor="text1"/>
          <w:sz w:val="16"/>
          <w:szCs w:val="16"/>
          <w:lang w:val="en-GB"/>
        </w:rPr>
        <w:t>Source</w:t>
      </w:r>
      <w:r w:rsidR="0018665D" w:rsidRPr="00D4730B">
        <w:rPr>
          <w:b w:val="0"/>
          <w:color w:val="000000" w:themeColor="text1"/>
          <w:sz w:val="16"/>
          <w:szCs w:val="16"/>
          <w:lang w:val="en-GB"/>
        </w:rPr>
        <w:t xml:space="preserve">: TUIK, Betam. </w:t>
      </w:r>
      <w:r w:rsidR="00205DE6" w:rsidRPr="00D4730B">
        <w:rPr>
          <w:b w:val="0"/>
          <w:color w:val="000000" w:themeColor="text1"/>
          <w:sz w:val="16"/>
          <w:szCs w:val="16"/>
          <w:lang w:val="en-GB"/>
        </w:rPr>
        <w:t>TRB</w:t>
      </w:r>
      <w:r w:rsidR="00D463C1" w:rsidRPr="00D4730B">
        <w:rPr>
          <w:b w:val="0"/>
          <w:color w:val="000000" w:themeColor="text1"/>
          <w:sz w:val="16"/>
          <w:szCs w:val="16"/>
          <w:lang w:val="en-GB"/>
        </w:rPr>
        <w:t>2: Van</w:t>
      </w:r>
      <w:r w:rsidR="00205DE6" w:rsidRPr="00D4730B">
        <w:rPr>
          <w:b w:val="0"/>
          <w:color w:val="000000" w:themeColor="text1"/>
          <w:sz w:val="16"/>
          <w:szCs w:val="16"/>
          <w:lang w:val="en-GB"/>
        </w:rPr>
        <w:t xml:space="preserve">, Muş, Bitlis, </w:t>
      </w:r>
      <w:r w:rsidR="00313849" w:rsidRPr="00D4730B">
        <w:rPr>
          <w:b w:val="0"/>
          <w:color w:val="000000" w:themeColor="text1"/>
          <w:sz w:val="16"/>
          <w:szCs w:val="16"/>
          <w:lang w:val="en-GB"/>
        </w:rPr>
        <w:t>Hakkâri</w:t>
      </w:r>
      <w:r w:rsidR="00205DE6" w:rsidRPr="00D4730B">
        <w:rPr>
          <w:b w:val="0"/>
          <w:color w:val="000000" w:themeColor="text1"/>
          <w:sz w:val="16"/>
          <w:szCs w:val="16"/>
          <w:lang w:val="en-GB"/>
        </w:rPr>
        <w:t>, TR</w:t>
      </w:r>
      <w:r w:rsidR="001B0A55" w:rsidRPr="00D4730B">
        <w:rPr>
          <w:b w:val="0"/>
          <w:color w:val="000000" w:themeColor="text1"/>
          <w:sz w:val="16"/>
          <w:szCs w:val="16"/>
          <w:lang w:val="en-GB"/>
        </w:rPr>
        <w:t>72: Kayseri</w:t>
      </w:r>
      <w:r w:rsidR="00205DE6" w:rsidRPr="00D4730B">
        <w:rPr>
          <w:b w:val="0"/>
          <w:color w:val="000000" w:themeColor="text1"/>
          <w:sz w:val="16"/>
          <w:szCs w:val="16"/>
          <w:lang w:val="en-GB"/>
        </w:rPr>
        <w:t>, Sivas, Yozgat, TR</w:t>
      </w:r>
      <w:r w:rsidR="00506379" w:rsidRPr="00D4730B">
        <w:rPr>
          <w:b w:val="0"/>
          <w:color w:val="000000" w:themeColor="text1"/>
          <w:sz w:val="16"/>
          <w:szCs w:val="16"/>
          <w:lang w:val="en-GB"/>
        </w:rPr>
        <w:t>33: Manisa</w:t>
      </w:r>
      <w:r w:rsidR="00205DE6" w:rsidRPr="00D4730B">
        <w:rPr>
          <w:b w:val="0"/>
          <w:color w:val="000000" w:themeColor="text1"/>
          <w:sz w:val="16"/>
          <w:szCs w:val="16"/>
          <w:lang w:val="en-GB"/>
        </w:rPr>
        <w:t>, Afyon, Kütahya, Uşak, TR</w:t>
      </w:r>
      <w:r w:rsidR="00DA60DA" w:rsidRPr="00D4730B">
        <w:rPr>
          <w:b w:val="0"/>
          <w:color w:val="000000" w:themeColor="text1"/>
          <w:sz w:val="16"/>
          <w:szCs w:val="16"/>
          <w:lang w:val="en-GB"/>
        </w:rPr>
        <w:t>21: Tekirdağ</w:t>
      </w:r>
      <w:r w:rsidR="00205DE6" w:rsidRPr="00D4730B">
        <w:rPr>
          <w:b w:val="0"/>
          <w:color w:val="000000" w:themeColor="text1"/>
          <w:sz w:val="16"/>
          <w:szCs w:val="16"/>
          <w:lang w:val="en-GB"/>
        </w:rPr>
        <w:t>, Edirne, Kırklareli, TRA</w:t>
      </w:r>
      <w:r w:rsidR="00625FB6" w:rsidRPr="00D4730B">
        <w:rPr>
          <w:b w:val="0"/>
          <w:color w:val="000000" w:themeColor="text1"/>
          <w:sz w:val="16"/>
          <w:szCs w:val="16"/>
          <w:lang w:val="en-GB"/>
        </w:rPr>
        <w:t>2: Ağrı</w:t>
      </w:r>
      <w:r w:rsidR="00205DE6" w:rsidRPr="00D4730B">
        <w:rPr>
          <w:b w:val="0"/>
          <w:color w:val="000000" w:themeColor="text1"/>
          <w:sz w:val="16"/>
          <w:szCs w:val="16"/>
          <w:lang w:val="en-GB"/>
        </w:rPr>
        <w:t>, Kars, Iğdır, Ardahan, TR</w:t>
      </w:r>
      <w:r w:rsidR="00625FB6" w:rsidRPr="00D4730B">
        <w:rPr>
          <w:b w:val="0"/>
          <w:color w:val="000000" w:themeColor="text1"/>
          <w:sz w:val="16"/>
          <w:szCs w:val="16"/>
          <w:lang w:val="en-GB"/>
        </w:rPr>
        <w:t>41: Bursa</w:t>
      </w:r>
      <w:r w:rsidR="00205DE6" w:rsidRPr="00D4730B">
        <w:rPr>
          <w:b w:val="0"/>
          <w:color w:val="000000" w:themeColor="text1"/>
          <w:sz w:val="16"/>
          <w:szCs w:val="16"/>
          <w:lang w:val="en-GB"/>
        </w:rPr>
        <w:t>, Eskişehir, Bilecik, TRC1:</w:t>
      </w:r>
      <w:r w:rsidR="00625FB6" w:rsidRPr="00D4730B">
        <w:rPr>
          <w:b w:val="0"/>
          <w:color w:val="000000" w:themeColor="text1"/>
          <w:sz w:val="16"/>
          <w:szCs w:val="16"/>
          <w:lang w:val="en-GB"/>
        </w:rPr>
        <w:t xml:space="preserve"> </w:t>
      </w:r>
      <w:r w:rsidR="00205DE6" w:rsidRPr="00D4730B">
        <w:rPr>
          <w:b w:val="0"/>
          <w:color w:val="000000" w:themeColor="text1"/>
          <w:sz w:val="16"/>
          <w:szCs w:val="16"/>
          <w:lang w:val="en-GB"/>
        </w:rPr>
        <w:t>Gaziantep, Adıyaman, Kilis, TR10: İstanbul, TR32:</w:t>
      </w:r>
      <w:r w:rsidR="00625FB6" w:rsidRPr="00D4730B">
        <w:rPr>
          <w:b w:val="0"/>
          <w:color w:val="000000" w:themeColor="text1"/>
          <w:sz w:val="16"/>
          <w:szCs w:val="16"/>
          <w:lang w:val="en-GB"/>
        </w:rPr>
        <w:t xml:space="preserve"> </w:t>
      </w:r>
      <w:r w:rsidR="00205DE6" w:rsidRPr="00D4730B">
        <w:rPr>
          <w:b w:val="0"/>
          <w:color w:val="000000" w:themeColor="text1"/>
          <w:sz w:val="16"/>
          <w:szCs w:val="16"/>
          <w:lang w:val="en-GB"/>
        </w:rPr>
        <w:t>Aydın, Denizli, Muğla, TR42:</w:t>
      </w:r>
      <w:r w:rsidR="00625FB6" w:rsidRPr="00D4730B">
        <w:rPr>
          <w:b w:val="0"/>
          <w:color w:val="000000" w:themeColor="text1"/>
          <w:sz w:val="16"/>
          <w:szCs w:val="16"/>
          <w:lang w:val="en-GB"/>
        </w:rPr>
        <w:t xml:space="preserve"> </w:t>
      </w:r>
      <w:r w:rsidR="00205DE6" w:rsidRPr="00D4730B">
        <w:rPr>
          <w:b w:val="0"/>
          <w:color w:val="000000" w:themeColor="text1"/>
          <w:sz w:val="16"/>
          <w:szCs w:val="16"/>
          <w:lang w:val="en-GB"/>
        </w:rPr>
        <w:t>Kocaeli, Sakarya, Düzce, Bolu, Yalova, TR61:</w:t>
      </w:r>
      <w:r w:rsidR="00625FB6" w:rsidRPr="00D4730B">
        <w:rPr>
          <w:b w:val="0"/>
          <w:color w:val="000000" w:themeColor="text1"/>
          <w:sz w:val="16"/>
          <w:szCs w:val="16"/>
          <w:lang w:val="en-GB"/>
        </w:rPr>
        <w:t xml:space="preserve"> </w:t>
      </w:r>
      <w:r w:rsidR="00205DE6" w:rsidRPr="00D4730B">
        <w:rPr>
          <w:b w:val="0"/>
          <w:color w:val="000000" w:themeColor="text1"/>
          <w:sz w:val="16"/>
          <w:szCs w:val="16"/>
          <w:lang w:val="en-GB"/>
        </w:rPr>
        <w:t>Antalya, Isparta, Burdur, TR62:</w:t>
      </w:r>
      <w:r w:rsidR="00625FB6" w:rsidRPr="00D4730B">
        <w:rPr>
          <w:b w:val="0"/>
          <w:color w:val="000000" w:themeColor="text1"/>
          <w:sz w:val="16"/>
          <w:szCs w:val="16"/>
          <w:lang w:val="en-GB"/>
        </w:rPr>
        <w:t xml:space="preserve"> </w:t>
      </w:r>
      <w:r w:rsidR="00205DE6" w:rsidRPr="00D4730B">
        <w:rPr>
          <w:b w:val="0"/>
          <w:color w:val="000000" w:themeColor="text1"/>
          <w:sz w:val="16"/>
          <w:szCs w:val="16"/>
          <w:lang w:val="en-GB"/>
        </w:rPr>
        <w:t>Adana, Mersin, TRC3:</w:t>
      </w:r>
      <w:r w:rsidR="00B3409A" w:rsidRPr="00D4730B">
        <w:rPr>
          <w:b w:val="0"/>
          <w:color w:val="000000" w:themeColor="text1"/>
          <w:sz w:val="16"/>
          <w:szCs w:val="16"/>
          <w:lang w:val="en-GB"/>
        </w:rPr>
        <w:t xml:space="preserve"> </w:t>
      </w:r>
      <w:r w:rsidR="00205DE6" w:rsidRPr="00D4730B">
        <w:rPr>
          <w:b w:val="0"/>
          <w:color w:val="000000" w:themeColor="text1"/>
          <w:sz w:val="16"/>
          <w:szCs w:val="16"/>
          <w:lang w:val="en-GB"/>
        </w:rPr>
        <w:t>Mardin, Batman, Şırnak, Siirt</w:t>
      </w:r>
      <w:r w:rsidR="0046020A" w:rsidRPr="00D4730B">
        <w:rPr>
          <w:b w:val="0"/>
          <w:color w:val="000000" w:themeColor="text1"/>
          <w:sz w:val="16"/>
          <w:szCs w:val="16"/>
          <w:lang w:val="en-GB"/>
        </w:rPr>
        <w:br/>
      </w:r>
      <w:r w:rsidR="0046020A" w:rsidRPr="00D4730B">
        <w:rPr>
          <w:color w:val="000000" w:themeColor="text1"/>
          <w:sz w:val="16"/>
          <w:szCs w:val="16"/>
          <w:lang w:val="en-GB"/>
        </w:rPr>
        <w:t>Not</w:t>
      </w:r>
      <w:r w:rsidR="00507A87" w:rsidRPr="00D4730B">
        <w:rPr>
          <w:color w:val="000000" w:themeColor="text1"/>
          <w:sz w:val="16"/>
          <w:szCs w:val="16"/>
          <w:lang w:val="en-GB"/>
        </w:rPr>
        <w:t>e</w:t>
      </w:r>
      <w:r w:rsidR="0046020A" w:rsidRPr="00D4730B">
        <w:rPr>
          <w:color w:val="000000" w:themeColor="text1"/>
          <w:sz w:val="16"/>
          <w:szCs w:val="16"/>
          <w:lang w:val="en-GB"/>
        </w:rPr>
        <w:t>:</w:t>
      </w:r>
      <m:oMath>
        <m:r>
          <m:rPr>
            <m:sty m:val="bi"/>
          </m:rPr>
          <w:rPr>
            <w:rFonts w:ascii="Cambria Math" w:hAnsi="Cambria Math"/>
            <w:sz w:val="16"/>
            <w:szCs w:val="16"/>
            <w:lang w:val="en-GB"/>
          </w:rPr>
          <m:t xml:space="preserve"> </m:t>
        </m:r>
        <m:sSub>
          <m:sSubPr>
            <m:ctrlPr>
              <w:rPr>
                <w:rFonts w:ascii="Cambria Math" w:hAnsi="Cambria Math"/>
                <w:b w:val="0"/>
                <w:i/>
                <w:color w:val="000000" w:themeColor="text1"/>
                <w:sz w:val="16"/>
                <w:szCs w:val="16"/>
                <w:lang w:val="en-GB"/>
              </w:rPr>
            </m:ctrlPr>
          </m:sSubPr>
          <m:e>
            <m:r>
              <m:rPr>
                <m:sty m:val="bi"/>
              </m:rPr>
              <w:rPr>
                <w:rFonts w:ascii="Cambria Math" w:hAnsi="Cambria Math"/>
                <w:color w:val="000000" w:themeColor="text1"/>
                <w:sz w:val="16"/>
                <w:szCs w:val="16"/>
                <w:lang w:val="en-GB"/>
              </w:rPr>
              <m:t>u</m:t>
            </m:r>
          </m:e>
          <m:sub>
            <m:r>
              <m:rPr>
                <m:sty m:val="bi"/>
              </m:rPr>
              <w:rPr>
                <w:rFonts w:ascii="Cambria Math" w:hAnsi="Cambria Math"/>
                <w:color w:val="000000" w:themeColor="text1"/>
                <w:sz w:val="16"/>
                <w:szCs w:val="16"/>
                <w:lang w:val="en-GB"/>
              </w:rPr>
              <m:t>td</m:t>
            </m:r>
          </m:sub>
        </m:sSub>
      </m:oMath>
      <w:r w:rsidR="0046020A" w:rsidRPr="00D4730B">
        <w:rPr>
          <w:b w:val="0"/>
          <w:color w:val="000000" w:themeColor="text1"/>
          <w:sz w:val="16"/>
          <w:szCs w:val="16"/>
          <w:lang w:val="en-GB"/>
        </w:rPr>
        <w:t xml:space="preserve">: </w:t>
      </w:r>
      <w:r w:rsidR="00EF3B0E" w:rsidRPr="00D4730B">
        <w:rPr>
          <w:b w:val="0"/>
          <w:color w:val="000000" w:themeColor="text1"/>
          <w:sz w:val="16"/>
          <w:szCs w:val="16"/>
          <w:lang w:val="en-GB"/>
        </w:rPr>
        <w:t>Non-</w:t>
      </w:r>
      <w:r w:rsidR="00507A87" w:rsidRPr="00D4730B">
        <w:rPr>
          <w:b w:val="0"/>
          <w:color w:val="000000" w:themeColor="text1"/>
          <w:sz w:val="16"/>
          <w:szCs w:val="16"/>
          <w:lang w:val="en-GB"/>
        </w:rPr>
        <w:t xml:space="preserve">agricultural unemployment rate </w:t>
      </w:r>
    </w:p>
    <w:p w14:paraId="45F986F2" w14:textId="051A45AA" w:rsidR="00AA35CC" w:rsidRPr="00D4730B" w:rsidRDefault="00BE378D" w:rsidP="00ED3B36">
      <w:pPr>
        <w:pStyle w:val="Caption"/>
        <w:keepNext/>
        <w:spacing w:line="276" w:lineRule="auto"/>
        <w:jc w:val="both"/>
        <w:rPr>
          <w:color w:val="auto"/>
          <w:sz w:val="22"/>
          <w:szCs w:val="22"/>
          <w:lang w:val="en-GB"/>
        </w:rPr>
      </w:pPr>
      <w:bookmarkStart w:id="6" w:name="_Ref381805093"/>
      <w:bookmarkStart w:id="7" w:name="_Ref381867101"/>
      <w:r w:rsidRPr="00D4730B">
        <w:rPr>
          <w:color w:val="auto"/>
          <w:sz w:val="22"/>
          <w:szCs w:val="22"/>
          <w:lang w:val="en-GB"/>
        </w:rPr>
        <w:t>Table</w:t>
      </w:r>
      <w:r w:rsidR="002C5CDA" w:rsidRPr="00D4730B">
        <w:rPr>
          <w:color w:val="auto"/>
          <w:sz w:val="22"/>
          <w:szCs w:val="22"/>
          <w:lang w:val="en-GB"/>
        </w:rPr>
        <w:t xml:space="preserve"> </w:t>
      </w:r>
      <w:bookmarkEnd w:id="6"/>
      <w:bookmarkEnd w:id="7"/>
      <w:r w:rsidR="005B2242" w:rsidRPr="00D4730B">
        <w:rPr>
          <w:color w:val="auto"/>
          <w:sz w:val="22"/>
          <w:szCs w:val="22"/>
          <w:lang w:val="en-GB"/>
        </w:rPr>
        <w:t>1</w:t>
      </w:r>
      <w:r w:rsidR="002C5CDA" w:rsidRPr="00D4730B">
        <w:rPr>
          <w:color w:val="auto"/>
          <w:sz w:val="22"/>
          <w:szCs w:val="22"/>
          <w:lang w:val="en-GB"/>
        </w:rPr>
        <w:t>:</w:t>
      </w:r>
      <w:r w:rsidR="005B2242" w:rsidRPr="00D4730B">
        <w:rPr>
          <w:color w:val="auto"/>
          <w:sz w:val="22"/>
          <w:szCs w:val="22"/>
          <w:lang w:val="en-GB"/>
        </w:rPr>
        <w:t xml:space="preserve"> </w:t>
      </w:r>
      <w:r w:rsidR="00204BD0" w:rsidRPr="00D4730B">
        <w:rPr>
          <w:color w:val="auto"/>
          <w:sz w:val="22"/>
          <w:szCs w:val="22"/>
          <w:lang w:val="en-GB"/>
        </w:rPr>
        <w:t>Change in non-agricultural labor force and employment in regions the where non-agricultural unemployment increased (thousands, 2017)</w:t>
      </w:r>
    </w:p>
    <w:tbl>
      <w:tblPr>
        <w:tblW w:w="8910" w:type="dxa"/>
        <w:tblInd w:w="75" w:type="dxa"/>
        <w:tblCellMar>
          <w:left w:w="70" w:type="dxa"/>
          <w:right w:w="70" w:type="dxa"/>
        </w:tblCellMar>
        <w:tblLook w:val="04A0" w:firstRow="1" w:lastRow="0" w:firstColumn="1" w:lastColumn="0" w:noHBand="0" w:noVBand="1"/>
      </w:tblPr>
      <w:tblGrid>
        <w:gridCol w:w="5180"/>
        <w:gridCol w:w="1374"/>
        <w:gridCol w:w="1178"/>
        <w:gridCol w:w="1178"/>
      </w:tblGrid>
      <w:tr w:rsidR="00E77BE5" w:rsidRPr="00D4730B" w14:paraId="02498CAD" w14:textId="77777777" w:rsidTr="00EC2308">
        <w:trPr>
          <w:trHeight w:val="256"/>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DEF0" w14:textId="7B034E03" w:rsidR="0032462A" w:rsidRPr="00D4730B" w:rsidRDefault="00BE378D"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Regions</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6C075BAD"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Δ LFtd</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7154E86B"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Δ Etd</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6165325A"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Δ utd</w:t>
            </w:r>
          </w:p>
        </w:tc>
      </w:tr>
      <w:tr w:rsidR="00E77BE5" w:rsidRPr="00D4730B" w14:paraId="2B11E31E"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AA6847D"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 xml:space="preserve">TRB2 (Van, Muş, Bitlis, </w:t>
            </w:r>
            <w:r w:rsidR="002E7B20" w:rsidRPr="00D4730B">
              <w:rPr>
                <w:rFonts w:eastAsia="Times New Roman" w:cs="Times New Roman"/>
                <w:color w:val="000000"/>
                <w:lang w:val="en-GB"/>
              </w:rPr>
              <w:t>Hakkâri</w:t>
            </w:r>
            <w:r w:rsidRPr="00D4730B">
              <w:rPr>
                <w:rFonts w:eastAsia="Times New Roman" w:cs="Times New Roman"/>
                <w:color w:val="000000"/>
                <w:lang w:val="en-GB"/>
              </w:rPr>
              <w:t>)</w:t>
            </w:r>
          </w:p>
        </w:tc>
        <w:tc>
          <w:tcPr>
            <w:tcW w:w="1374" w:type="dxa"/>
            <w:tcBorders>
              <w:top w:val="nil"/>
              <w:left w:val="nil"/>
              <w:bottom w:val="single" w:sz="4" w:space="0" w:color="auto"/>
              <w:right w:val="single" w:sz="4" w:space="0" w:color="auto"/>
            </w:tcBorders>
            <w:shd w:val="clear" w:color="auto" w:fill="auto"/>
            <w:noWrap/>
            <w:vAlign w:val="bottom"/>
            <w:hideMark/>
          </w:tcPr>
          <w:p w14:paraId="41359FBB"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61</w:t>
            </w:r>
          </w:p>
        </w:tc>
        <w:tc>
          <w:tcPr>
            <w:tcW w:w="1178" w:type="dxa"/>
            <w:tcBorders>
              <w:top w:val="nil"/>
              <w:left w:val="nil"/>
              <w:bottom w:val="single" w:sz="4" w:space="0" w:color="auto"/>
              <w:right w:val="single" w:sz="4" w:space="0" w:color="auto"/>
            </w:tcBorders>
            <w:shd w:val="clear" w:color="auto" w:fill="auto"/>
            <w:noWrap/>
            <w:vAlign w:val="bottom"/>
            <w:hideMark/>
          </w:tcPr>
          <w:p w14:paraId="413D9E21"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30</w:t>
            </w:r>
          </w:p>
        </w:tc>
        <w:tc>
          <w:tcPr>
            <w:tcW w:w="1178" w:type="dxa"/>
            <w:tcBorders>
              <w:top w:val="nil"/>
              <w:left w:val="nil"/>
              <w:bottom w:val="single" w:sz="4" w:space="0" w:color="auto"/>
              <w:right w:val="single" w:sz="4" w:space="0" w:color="auto"/>
            </w:tcBorders>
            <w:shd w:val="clear" w:color="auto" w:fill="auto"/>
            <w:noWrap/>
            <w:vAlign w:val="bottom"/>
            <w:hideMark/>
          </w:tcPr>
          <w:p w14:paraId="73E81F9E"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5,3</w:t>
            </w:r>
          </w:p>
        </w:tc>
      </w:tr>
      <w:tr w:rsidR="00E77BE5" w:rsidRPr="00D4730B" w14:paraId="2B0E97C9"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842ACF8"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TR72 (Kayseri, Sivas, Yozgat)</w:t>
            </w:r>
          </w:p>
        </w:tc>
        <w:tc>
          <w:tcPr>
            <w:tcW w:w="1374" w:type="dxa"/>
            <w:tcBorders>
              <w:top w:val="nil"/>
              <w:left w:val="nil"/>
              <w:bottom w:val="single" w:sz="4" w:space="0" w:color="auto"/>
              <w:right w:val="single" w:sz="4" w:space="0" w:color="auto"/>
            </w:tcBorders>
            <w:shd w:val="clear" w:color="auto" w:fill="auto"/>
            <w:noWrap/>
            <w:vAlign w:val="bottom"/>
            <w:hideMark/>
          </w:tcPr>
          <w:p w14:paraId="60F29356"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46</w:t>
            </w:r>
          </w:p>
        </w:tc>
        <w:tc>
          <w:tcPr>
            <w:tcW w:w="1178" w:type="dxa"/>
            <w:tcBorders>
              <w:top w:val="nil"/>
              <w:left w:val="nil"/>
              <w:bottom w:val="single" w:sz="4" w:space="0" w:color="auto"/>
              <w:right w:val="single" w:sz="4" w:space="0" w:color="auto"/>
            </w:tcBorders>
            <w:shd w:val="clear" w:color="auto" w:fill="auto"/>
            <w:noWrap/>
            <w:vAlign w:val="bottom"/>
            <w:hideMark/>
          </w:tcPr>
          <w:p w14:paraId="550B4400"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14</w:t>
            </w:r>
          </w:p>
        </w:tc>
        <w:tc>
          <w:tcPr>
            <w:tcW w:w="1178" w:type="dxa"/>
            <w:tcBorders>
              <w:top w:val="nil"/>
              <w:left w:val="nil"/>
              <w:bottom w:val="single" w:sz="4" w:space="0" w:color="auto"/>
              <w:right w:val="single" w:sz="4" w:space="0" w:color="auto"/>
            </w:tcBorders>
            <w:shd w:val="clear" w:color="auto" w:fill="auto"/>
            <w:noWrap/>
            <w:vAlign w:val="bottom"/>
            <w:hideMark/>
          </w:tcPr>
          <w:p w14:paraId="2C3C9436"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3,9</w:t>
            </w:r>
          </w:p>
        </w:tc>
      </w:tr>
      <w:tr w:rsidR="00E77BE5" w:rsidRPr="00D4730B" w14:paraId="13925F60"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9E1CE63"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TR33 (Manisa, Afyon, Kütahya, Uşak)</w:t>
            </w:r>
          </w:p>
        </w:tc>
        <w:tc>
          <w:tcPr>
            <w:tcW w:w="1374" w:type="dxa"/>
            <w:tcBorders>
              <w:top w:val="nil"/>
              <w:left w:val="nil"/>
              <w:bottom w:val="single" w:sz="4" w:space="0" w:color="auto"/>
              <w:right w:val="single" w:sz="4" w:space="0" w:color="auto"/>
            </w:tcBorders>
            <w:shd w:val="clear" w:color="auto" w:fill="auto"/>
            <w:noWrap/>
            <w:vAlign w:val="bottom"/>
            <w:hideMark/>
          </w:tcPr>
          <w:p w14:paraId="16B79A0A"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53</w:t>
            </w:r>
          </w:p>
        </w:tc>
        <w:tc>
          <w:tcPr>
            <w:tcW w:w="1178" w:type="dxa"/>
            <w:tcBorders>
              <w:top w:val="nil"/>
              <w:left w:val="nil"/>
              <w:bottom w:val="single" w:sz="4" w:space="0" w:color="auto"/>
              <w:right w:val="single" w:sz="4" w:space="0" w:color="auto"/>
            </w:tcBorders>
            <w:shd w:val="clear" w:color="auto" w:fill="auto"/>
            <w:noWrap/>
            <w:vAlign w:val="bottom"/>
            <w:hideMark/>
          </w:tcPr>
          <w:p w14:paraId="1C9D1E98"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37</w:t>
            </w:r>
          </w:p>
        </w:tc>
        <w:tc>
          <w:tcPr>
            <w:tcW w:w="1178" w:type="dxa"/>
            <w:tcBorders>
              <w:top w:val="nil"/>
              <w:left w:val="nil"/>
              <w:bottom w:val="single" w:sz="4" w:space="0" w:color="auto"/>
              <w:right w:val="single" w:sz="4" w:space="0" w:color="auto"/>
            </w:tcBorders>
            <w:shd w:val="clear" w:color="auto" w:fill="auto"/>
            <w:noWrap/>
            <w:vAlign w:val="bottom"/>
            <w:hideMark/>
          </w:tcPr>
          <w:p w14:paraId="52AB6018"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1,4</w:t>
            </w:r>
          </w:p>
        </w:tc>
      </w:tr>
      <w:tr w:rsidR="00E77BE5" w:rsidRPr="00D4730B" w14:paraId="38F4188B"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1619381"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TR21 (Tekirdağ, Edirne, Kırklareli)</w:t>
            </w:r>
          </w:p>
        </w:tc>
        <w:tc>
          <w:tcPr>
            <w:tcW w:w="1374" w:type="dxa"/>
            <w:tcBorders>
              <w:top w:val="nil"/>
              <w:left w:val="nil"/>
              <w:bottom w:val="single" w:sz="4" w:space="0" w:color="auto"/>
              <w:right w:val="single" w:sz="4" w:space="0" w:color="auto"/>
            </w:tcBorders>
            <w:shd w:val="clear" w:color="auto" w:fill="auto"/>
            <w:noWrap/>
            <w:vAlign w:val="bottom"/>
            <w:hideMark/>
          </w:tcPr>
          <w:p w14:paraId="4764AD74"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38</w:t>
            </w:r>
          </w:p>
        </w:tc>
        <w:tc>
          <w:tcPr>
            <w:tcW w:w="1178" w:type="dxa"/>
            <w:tcBorders>
              <w:top w:val="nil"/>
              <w:left w:val="nil"/>
              <w:bottom w:val="single" w:sz="4" w:space="0" w:color="auto"/>
              <w:right w:val="single" w:sz="4" w:space="0" w:color="auto"/>
            </w:tcBorders>
            <w:shd w:val="clear" w:color="auto" w:fill="auto"/>
            <w:noWrap/>
            <w:vAlign w:val="bottom"/>
            <w:hideMark/>
          </w:tcPr>
          <w:p w14:paraId="7C5F2310"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28</w:t>
            </w:r>
          </w:p>
        </w:tc>
        <w:tc>
          <w:tcPr>
            <w:tcW w:w="1178" w:type="dxa"/>
            <w:tcBorders>
              <w:top w:val="nil"/>
              <w:left w:val="nil"/>
              <w:bottom w:val="single" w:sz="4" w:space="0" w:color="auto"/>
              <w:right w:val="single" w:sz="4" w:space="0" w:color="auto"/>
            </w:tcBorders>
            <w:shd w:val="clear" w:color="auto" w:fill="auto"/>
            <w:noWrap/>
            <w:vAlign w:val="bottom"/>
            <w:hideMark/>
          </w:tcPr>
          <w:p w14:paraId="68D11A8A"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1</w:t>
            </w:r>
            <w:r w:rsidR="00B65BB6" w:rsidRPr="00D4730B">
              <w:rPr>
                <w:rFonts w:eastAsia="Times New Roman" w:cs="Times New Roman"/>
                <w:color w:val="000000"/>
                <w:lang w:val="en-GB"/>
              </w:rPr>
              <w:t>,0</w:t>
            </w:r>
          </w:p>
        </w:tc>
      </w:tr>
      <w:tr w:rsidR="00E77BE5" w:rsidRPr="00D4730B" w14:paraId="4605DE5A"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75E625E"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TRA2 (Ağrı, Kars, Iğdır, Ardahan)</w:t>
            </w:r>
          </w:p>
        </w:tc>
        <w:tc>
          <w:tcPr>
            <w:tcW w:w="1374" w:type="dxa"/>
            <w:tcBorders>
              <w:top w:val="nil"/>
              <w:left w:val="nil"/>
              <w:bottom w:val="single" w:sz="4" w:space="0" w:color="auto"/>
              <w:right w:val="single" w:sz="4" w:space="0" w:color="auto"/>
            </w:tcBorders>
            <w:shd w:val="clear" w:color="auto" w:fill="auto"/>
            <w:noWrap/>
            <w:vAlign w:val="bottom"/>
            <w:hideMark/>
          </w:tcPr>
          <w:p w14:paraId="4AF069C5"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-1</w:t>
            </w:r>
          </w:p>
        </w:tc>
        <w:tc>
          <w:tcPr>
            <w:tcW w:w="1178" w:type="dxa"/>
            <w:tcBorders>
              <w:top w:val="nil"/>
              <w:left w:val="nil"/>
              <w:bottom w:val="single" w:sz="4" w:space="0" w:color="auto"/>
              <w:right w:val="single" w:sz="4" w:space="0" w:color="auto"/>
            </w:tcBorders>
            <w:shd w:val="clear" w:color="auto" w:fill="auto"/>
            <w:noWrap/>
            <w:vAlign w:val="bottom"/>
            <w:hideMark/>
          </w:tcPr>
          <w:p w14:paraId="04167832"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-3</w:t>
            </w:r>
          </w:p>
        </w:tc>
        <w:tc>
          <w:tcPr>
            <w:tcW w:w="1178" w:type="dxa"/>
            <w:tcBorders>
              <w:top w:val="nil"/>
              <w:left w:val="nil"/>
              <w:bottom w:val="single" w:sz="4" w:space="0" w:color="auto"/>
              <w:right w:val="single" w:sz="4" w:space="0" w:color="auto"/>
            </w:tcBorders>
            <w:shd w:val="clear" w:color="auto" w:fill="auto"/>
            <w:noWrap/>
            <w:vAlign w:val="bottom"/>
            <w:hideMark/>
          </w:tcPr>
          <w:p w14:paraId="6D0DD088"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0,9</w:t>
            </w:r>
          </w:p>
        </w:tc>
      </w:tr>
      <w:tr w:rsidR="00E77BE5" w:rsidRPr="00D4730B" w14:paraId="40EBB636"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A3000BA"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TR41 (Bursa, Eskişehir, Bilecik)</w:t>
            </w:r>
          </w:p>
        </w:tc>
        <w:tc>
          <w:tcPr>
            <w:tcW w:w="1374" w:type="dxa"/>
            <w:tcBorders>
              <w:top w:val="nil"/>
              <w:left w:val="nil"/>
              <w:bottom w:val="single" w:sz="4" w:space="0" w:color="auto"/>
              <w:right w:val="single" w:sz="4" w:space="0" w:color="auto"/>
            </w:tcBorders>
            <w:shd w:val="clear" w:color="auto" w:fill="auto"/>
            <w:noWrap/>
            <w:vAlign w:val="bottom"/>
            <w:hideMark/>
          </w:tcPr>
          <w:p w14:paraId="4E98DE33"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68</w:t>
            </w:r>
          </w:p>
        </w:tc>
        <w:tc>
          <w:tcPr>
            <w:tcW w:w="1178" w:type="dxa"/>
            <w:tcBorders>
              <w:top w:val="nil"/>
              <w:left w:val="nil"/>
              <w:bottom w:val="single" w:sz="4" w:space="0" w:color="auto"/>
              <w:right w:val="single" w:sz="4" w:space="0" w:color="auto"/>
            </w:tcBorders>
            <w:shd w:val="clear" w:color="auto" w:fill="auto"/>
            <w:noWrap/>
            <w:vAlign w:val="bottom"/>
            <w:hideMark/>
          </w:tcPr>
          <w:p w14:paraId="59912351"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51</w:t>
            </w:r>
          </w:p>
        </w:tc>
        <w:tc>
          <w:tcPr>
            <w:tcW w:w="1178" w:type="dxa"/>
            <w:tcBorders>
              <w:top w:val="nil"/>
              <w:left w:val="nil"/>
              <w:bottom w:val="single" w:sz="4" w:space="0" w:color="auto"/>
              <w:right w:val="single" w:sz="4" w:space="0" w:color="auto"/>
            </w:tcBorders>
            <w:shd w:val="clear" w:color="auto" w:fill="auto"/>
            <w:noWrap/>
            <w:vAlign w:val="bottom"/>
            <w:hideMark/>
          </w:tcPr>
          <w:p w14:paraId="3004BDA2"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0,7</w:t>
            </w:r>
          </w:p>
        </w:tc>
      </w:tr>
      <w:tr w:rsidR="00E77BE5" w:rsidRPr="00D4730B" w14:paraId="1F35B645"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DB9FE99"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TRC1 (Gaziantep, Adıyaman, Kilis)</w:t>
            </w:r>
          </w:p>
        </w:tc>
        <w:tc>
          <w:tcPr>
            <w:tcW w:w="1374" w:type="dxa"/>
            <w:tcBorders>
              <w:top w:val="nil"/>
              <w:left w:val="nil"/>
              <w:bottom w:val="single" w:sz="4" w:space="0" w:color="auto"/>
              <w:right w:val="single" w:sz="4" w:space="0" w:color="auto"/>
            </w:tcBorders>
            <w:shd w:val="clear" w:color="auto" w:fill="auto"/>
            <w:noWrap/>
            <w:vAlign w:val="bottom"/>
            <w:hideMark/>
          </w:tcPr>
          <w:p w14:paraId="53690A46"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29</w:t>
            </w:r>
          </w:p>
        </w:tc>
        <w:tc>
          <w:tcPr>
            <w:tcW w:w="1178" w:type="dxa"/>
            <w:tcBorders>
              <w:top w:val="nil"/>
              <w:left w:val="nil"/>
              <w:bottom w:val="single" w:sz="4" w:space="0" w:color="auto"/>
              <w:right w:val="single" w:sz="4" w:space="0" w:color="auto"/>
            </w:tcBorders>
            <w:shd w:val="clear" w:color="auto" w:fill="auto"/>
            <w:noWrap/>
            <w:vAlign w:val="bottom"/>
            <w:hideMark/>
          </w:tcPr>
          <w:p w14:paraId="7FBBFF56"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19</w:t>
            </w:r>
          </w:p>
        </w:tc>
        <w:tc>
          <w:tcPr>
            <w:tcW w:w="1178" w:type="dxa"/>
            <w:tcBorders>
              <w:top w:val="nil"/>
              <w:left w:val="nil"/>
              <w:bottom w:val="single" w:sz="4" w:space="0" w:color="auto"/>
              <w:right w:val="single" w:sz="4" w:space="0" w:color="auto"/>
            </w:tcBorders>
            <w:shd w:val="clear" w:color="auto" w:fill="auto"/>
            <w:noWrap/>
            <w:vAlign w:val="bottom"/>
            <w:hideMark/>
          </w:tcPr>
          <w:p w14:paraId="6A3F7343"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0,7</w:t>
            </w:r>
          </w:p>
        </w:tc>
      </w:tr>
      <w:tr w:rsidR="00E77BE5" w:rsidRPr="00D4730B" w14:paraId="0E23E4BF"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A9E423E"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TR10 (İstanbul)</w:t>
            </w:r>
          </w:p>
        </w:tc>
        <w:tc>
          <w:tcPr>
            <w:tcW w:w="1374" w:type="dxa"/>
            <w:tcBorders>
              <w:top w:val="nil"/>
              <w:left w:val="nil"/>
              <w:bottom w:val="single" w:sz="4" w:space="0" w:color="auto"/>
              <w:right w:val="single" w:sz="4" w:space="0" w:color="auto"/>
            </w:tcBorders>
            <w:shd w:val="clear" w:color="auto" w:fill="auto"/>
            <w:noWrap/>
            <w:vAlign w:val="bottom"/>
            <w:hideMark/>
          </w:tcPr>
          <w:p w14:paraId="546021CF"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135</w:t>
            </w:r>
          </w:p>
        </w:tc>
        <w:tc>
          <w:tcPr>
            <w:tcW w:w="1178" w:type="dxa"/>
            <w:tcBorders>
              <w:top w:val="nil"/>
              <w:left w:val="nil"/>
              <w:bottom w:val="single" w:sz="4" w:space="0" w:color="auto"/>
              <w:right w:val="single" w:sz="4" w:space="0" w:color="auto"/>
            </w:tcBorders>
            <w:shd w:val="clear" w:color="auto" w:fill="auto"/>
            <w:noWrap/>
            <w:vAlign w:val="bottom"/>
            <w:hideMark/>
          </w:tcPr>
          <w:p w14:paraId="06FDE183"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91</w:t>
            </w:r>
          </w:p>
        </w:tc>
        <w:tc>
          <w:tcPr>
            <w:tcW w:w="1178" w:type="dxa"/>
            <w:tcBorders>
              <w:top w:val="nil"/>
              <w:left w:val="nil"/>
              <w:bottom w:val="single" w:sz="4" w:space="0" w:color="auto"/>
              <w:right w:val="single" w:sz="4" w:space="0" w:color="auto"/>
            </w:tcBorders>
            <w:shd w:val="clear" w:color="auto" w:fill="auto"/>
            <w:noWrap/>
            <w:vAlign w:val="bottom"/>
            <w:hideMark/>
          </w:tcPr>
          <w:p w14:paraId="54C113DD"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0,4</w:t>
            </w:r>
          </w:p>
        </w:tc>
      </w:tr>
      <w:tr w:rsidR="00E77BE5" w:rsidRPr="00D4730B" w14:paraId="4A229F9D"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20B369A"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TR32 (Aydın, Denizli, Muğla)</w:t>
            </w:r>
          </w:p>
        </w:tc>
        <w:tc>
          <w:tcPr>
            <w:tcW w:w="1374" w:type="dxa"/>
            <w:tcBorders>
              <w:top w:val="nil"/>
              <w:left w:val="nil"/>
              <w:bottom w:val="single" w:sz="4" w:space="0" w:color="auto"/>
              <w:right w:val="single" w:sz="4" w:space="0" w:color="auto"/>
            </w:tcBorders>
            <w:shd w:val="clear" w:color="auto" w:fill="auto"/>
            <w:noWrap/>
            <w:vAlign w:val="bottom"/>
            <w:hideMark/>
          </w:tcPr>
          <w:p w14:paraId="533A62CC"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78</w:t>
            </w:r>
          </w:p>
        </w:tc>
        <w:tc>
          <w:tcPr>
            <w:tcW w:w="1178" w:type="dxa"/>
            <w:tcBorders>
              <w:top w:val="nil"/>
              <w:left w:val="nil"/>
              <w:bottom w:val="single" w:sz="4" w:space="0" w:color="auto"/>
              <w:right w:val="single" w:sz="4" w:space="0" w:color="auto"/>
            </w:tcBorders>
            <w:shd w:val="clear" w:color="auto" w:fill="auto"/>
            <w:noWrap/>
            <w:vAlign w:val="bottom"/>
            <w:hideMark/>
          </w:tcPr>
          <w:p w14:paraId="01ED1670"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67</w:t>
            </w:r>
          </w:p>
        </w:tc>
        <w:tc>
          <w:tcPr>
            <w:tcW w:w="1178" w:type="dxa"/>
            <w:tcBorders>
              <w:top w:val="nil"/>
              <w:left w:val="nil"/>
              <w:bottom w:val="single" w:sz="4" w:space="0" w:color="auto"/>
              <w:right w:val="single" w:sz="4" w:space="0" w:color="auto"/>
            </w:tcBorders>
            <w:shd w:val="clear" w:color="auto" w:fill="auto"/>
            <w:noWrap/>
            <w:vAlign w:val="bottom"/>
            <w:hideMark/>
          </w:tcPr>
          <w:p w14:paraId="7F82707E"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0,4</w:t>
            </w:r>
          </w:p>
        </w:tc>
      </w:tr>
      <w:tr w:rsidR="00E77BE5" w:rsidRPr="00D4730B" w14:paraId="001288B5"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D5234F6"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TR42 (Kocaeli, Sakarya, Düzce, Bolu, Yalova)</w:t>
            </w:r>
          </w:p>
        </w:tc>
        <w:tc>
          <w:tcPr>
            <w:tcW w:w="1374" w:type="dxa"/>
            <w:tcBorders>
              <w:top w:val="nil"/>
              <w:left w:val="nil"/>
              <w:bottom w:val="single" w:sz="4" w:space="0" w:color="auto"/>
              <w:right w:val="single" w:sz="4" w:space="0" w:color="auto"/>
            </w:tcBorders>
            <w:shd w:val="clear" w:color="auto" w:fill="auto"/>
            <w:noWrap/>
            <w:vAlign w:val="bottom"/>
            <w:hideMark/>
          </w:tcPr>
          <w:p w14:paraId="45C67C8F"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74</w:t>
            </w:r>
          </w:p>
        </w:tc>
        <w:tc>
          <w:tcPr>
            <w:tcW w:w="1178" w:type="dxa"/>
            <w:tcBorders>
              <w:top w:val="nil"/>
              <w:left w:val="nil"/>
              <w:bottom w:val="single" w:sz="4" w:space="0" w:color="auto"/>
              <w:right w:val="single" w:sz="4" w:space="0" w:color="auto"/>
            </w:tcBorders>
            <w:shd w:val="clear" w:color="auto" w:fill="auto"/>
            <w:noWrap/>
            <w:vAlign w:val="bottom"/>
            <w:hideMark/>
          </w:tcPr>
          <w:p w14:paraId="6AA566D1"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61</w:t>
            </w:r>
          </w:p>
        </w:tc>
        <w:tc>
          <w:tcPr>
            <w:tcW w:w="1178" w:type="dxa"/>
            <w:tcBorders>
              <w:top w:val="nil"/>
              <w:left w:val="nil"/>
              <w:bottom w:val="single" w:sz="4" w:space="0" w:color="auto"/>
              <w:right w:val="single" w:sz="4" w:space="0" w:color="auto"/>
            </w:tcBorders>
            <w:shd w:val="clear" w:color="auto" w:fill="auto"/>
            <w:noWrap/>
            <w:vAlign w:val="bottom"/>
            <w:hideMark/>
          </w:tcPr>
          <w:p w14:paraId="66665D34"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0,3</w:t>
            </w:r>
          </w:p>
        </w:tc>
      </w:tr>
      <w:tr w:rsidR="00E77BE5" w:rsidRPr="00D4730B" w14:paraId="3CF83D8C"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213420C"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TR61 (Antalya, Isparta, Burdur)</w:t>
            </w:r>
          </w:p>
        </w:tc>
        <w:tc>
          <w:tcPr>
            <w:tcW w:w="1374" w:type="dxa"/>
            <w:tcBorders>
              <w:top w:val="nil"/>
              <w:left w:val="nil"/>
              <w:bottom w:val="single" w:sz="4" w:space="0" w:color="auto"/>
              <w:right w:val="single" w:sz="4" w:space="0" w:color="auto"/>
            </w:tcBorders>
            <w:shd w:val="clear" w:color="auto" w:fill="auto"/>
            <w:noWrap/>
            <w:vAlign w:val="bottom"/>
            <w:hideMark/>
          </w:tcPr>
          <w:p w14:paraId="17D9AC57"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65</w:t>
            </w:r>
          </w:p>
        </w:tc>
        <w:tc>
          <w:tcPr>
            <w:tcW w:w="1178" w:type="dxa"/>
            <w:tcBorders>
              <w:top w:val="nil"/>
              <w:left w:val="nil"/>
              <w:bottom w:val="single" w:sz="4" w:space="0" w:color="auto"/>
              <w:right w:val="single" w:sz="4" w:space="0" w:color="auto"/>
            </w:tcBorders>
            <w:shd w:val="clear" w:color="auto" w:fill="auto"/>
            <w:noWrap/>
            <w:vAlign w:val="bottom"/>
            <w:hideMark/>
          </w:tcPr>
          <w:p w14:paraId="14B54EE3"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54</w:t>
            </w:r>
          </w:p>
        </w:tc>
        <w:tc>
          <w:tcPr>
            <w:tcW w:w="1178" w:type="dxa"/>
            <w:tcBorders>
              <w:top w:val="nil"/>
              <w:left w:val="nil"/>
              <w:bottom w:val="single" w:sz="4" w:space="0" w:color="auto"/>
              <w:right w:val="single" w:sz="4" w:space="0" w:color="auto"/>
            </w:tcBorders>
            <w:shd w:val="clear" w:color="auto" w:fill="auto"/>
            <w:noWrap/>
            <w:vAlign w:val="bottom"/>
            <w:hideMark/>
          </w:tcPr>
          <w:p w14:paraId="0AA026AC"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0,2</w:t>
            </w:r>
          </w:p>
        </w:tc>
      </w:tr>
      <w:tr w:rsidR="00E77BE5" w:rsidRPr="00D4730B" w14:paraId="33BCE7C1"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A5DEC05"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TR62 (Adana, Mersin)</w:t>
            </w:r>
          </w:p>
        </w:tc>
        <w:tc>
          <w:tcPr>
            <w:tcW w:w="1374" w:type="dxa"/>
            <w:tcBorders>
              <w:top w:val="nil"/>
              <w:left w:val="nil"/>
              <w:bottom w:val="single" w:sz="4" w:space="0" w:color="auto"/>
              <w:right w:val="single" w:sz="4" w:space="0" w:color="auto"/>
            </w:tcBorders>
            <w:shd w:val="clear" w:color="auto" w:fill="auto"/>
            <w:noWrap/>
            <w:vAlign w:val="bottom"/>
            <w:hideMark/>
          </w:tcPr>
          <w:p w14:paraId="20342C39"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64</w:t>
            </w:r>
          </w:p>
        </w:tc>
        <w:tc>
          <w:tcPr>
            <w:tcW w:w="1178" w:type="dxa"/>
            <w:tcBorders>
              <w:top w:val="nil"/>
              <w:left w:val="nil"/>
              <w:bottom w:val="single" w:sz="4" w:space="0" w:color="auto"/>
              <w:right w:val="single" w:sz="4" w:space="0" w:color="auto"/>
            </w:tcBorders>
            <w:shd w:val="clear" w:color="auto" w:fill="auto"/>
            <w:noWrap/>
            <w:vAlign w:val="bottom"/>
            <w:hideMark/>
          </w:tcPr>
          <w:p w14:paraId="0C914739"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56</w:t>
            </w:r>
          </w:p>
        </w:tc>
        <w:tc>
          <w:tcPr>
            <w:tcW w:w="1178" w:type="dxa"/>
            <w:tcBorders>
              <w:top w:val="nil"/>
              <w:left w:val="nil"/>
              <w:bottom w:val="single" w:sz="4" w:space="0" w:color="auto"/>
              <w:right w:val="single" w:sz="4" w:space="0" w:color="auto"/>
            </w:tcBorders>
            <w:shd w:val="clear" w:color="auto" w:fill="auto"/>
            <w:noWrap/>
            <w:vAlign w:val="bottom"/>
            <w:hideMark/>
          </w:tcPr>
          <w:p w14:paraId="3C66183E"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0</w:t>
            </w:r>
            <w:r w:rsidR="00B65BB6" w:rsidRPr="00D4730B">
              <w:rPr>
                <w:rFonts w:eastAsia="Times New Roman" w:cs="Times New Roman"/>
                <w:color w:val="000000"/>
                <w:lang w:val="en-GB"/>
              </w:rPr>
              <w:t>,0</w:t>
            </w:r>
          </w:p>
        </w:tc>
      </w:tr>
      <w:tr w:rsidR="00E77BE5" w:rsidRPr="00D4730B" w14:paraId="443C66C6"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11399CC" w14:textId="77777777" w:rsidR="00E77BE5" w:rsidRPr="00D4730B" w:rsidRDefault="00E77BE5" w:rsidP="00ED3B36">
            <w:pPr>
              <w:spacing w:after="0" w:line="240" w:lineRule="auto"/>
              <w:jc w:val="both"/>
              <w:rPr>
                <w:rFonts w:eastAsia="Times New Roman" w:cs="Times New Roman"/>
                <w:color w:val="000000"/>
                <w:lang w:val="en-GB"/>
              </w:rPr>
            </w:pPr>
            <w:r w:rsidRPr="00D4730B">
              <w:rPr>
                <w:rFonts w:eastAsia="Times New Roman" w:cs="Times New Roman"/>
                <w:color w:val="000000"/>
                <w:lang w:val="en-GB"/>
              </w:rPr>
              <w:t>TRC3 (Mardin, Batman, Şırnak, Siirt)</w:t>
            </w:r>
          </w:p>
        </w:tc>
        <w:tc>
          <w:tcPr>
            <w:tcW w:w="1374" w:type="dxa"/>
            <w:tcBorders>
              <w:top w:val="nil"/>
              <w:left w:val="nil"/>
              <w:bottom w:val="single" w:sz="4" w:space="0" w:color="auto"/>
              <w:right w:val="single" w:sz="4" w:space="0" w:color="auto"/>
            </w:tcBorders>
            <w:shd w:val="clear" w:color="auto" w:fill="auto"/>
            <w:noWrap/>
            <w:vAlign w:val="bottom"/>
            <w:hideMark/>
          </w:tcPr>
          <w:p w14:paraId="18001A47"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-13</w:t>
            </w:r>
          </w:p>
        </w:tc>
        <w:tc>
          <w:tcPr>
            <w:tcW w:w="1178" w:type="dxa"/>
            <w:tcBorders>
              <w:top w:val="nil"/>
              <w:left w:val="nil"/>
              <w:bottom w:val="single" w:sz="4" w:space="0" w:color="auto"/>
              <w:right w:val="single" w:sz="4" w:space="0" w:color="auto"/>
            </w:tcBorders>
            <w:shd w:val="clear" w:color="auto" w:fill="auto"/>
            <w:noWrap/>
            <w:vAlign w:val="bottom"/>
            <w:hideMark/>
          </w:tcPr>
          <w:p w14:paraId="56FCD050"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-9</w:t>
            </w:r>
          </w:p>
        </w:tc>
        <w:tc>
          <w:tcPr>
            <w:tcW w:w="1178" w:type="dxa"/>
            <w:tcBorders>
              <w:top w:val="nil"/>
              <w:left w:val="nil"/>
              <w:bottom w:val="single" w:sz="4" w:space="0" w:color="auto"/>
              <w:right w:val="single" w:sz="4" w:space="0" w:color="auto"/>
            </w:tcBorders>
            <w:shd w:val="clear" w:color="auto" w:fill="auto"/>
            <w:noWrap/>
            <w:vAlign w:val="bottom"/>
            <w:hideMark/>
          </w:tcPr>
          <w:p w14:paraId="3BD06195" w14:textId="77777777" w:rsidR="00E77BE5" w:rsidRPr="00D4730B" w:rsidRDefault="00E77BE5" w:rsidP="00EC2308">
            <w:pPr>
              <w:spacing w:after="0" w:line="240" w:lineRule="auto"/>
              <w:jc w:val="center"/>
              <w:rPr>
                <w:rFonts w:eastAsia="Times New Roman" w:cs="Times New Roman"/>
                <w:color w:val="000000"/>
                <w:lang w:val="en-GB"/>
              </w:rPr>
            </w:pPr>
            <w:r w:rsidRPr="00D4730B">
              <w:rPr>
                <w:rFonts w:eastAsia="Times New Roman" w:cs="Times New Roman"/>
                <w:color w:val="000000"/>
                <w:lang w:val="en-GB"/>
              </w:rPr>
              <w:t>0</w:t>
            </w:r>
            <w:r w:rsidR="00B65BB6" w:rsidRPr="00D4730B">
              <w:rPr>
                <w:rFonts w:eastAsia="Times New Roman" w:cs="Times New Roman"/>
                <w:color w:val="000000"/>
                <w:lang w:val="en-GB"/>
              </w:rPr>
              <w:t>,0</w:t>
            </w:r>
          </w:p>
        </w:tc>
      </w:tr>
    </w:tbl>
    <w:p w14:paraId="5C3F8502" w14:textId="7E2B2D9D" w:rsidR="00D463C1" w:rsidRPr="00D4730B" w:rsidRDefault="00BE378D" w:rsidP="00ED3B36">
      <w:pPr>
        <w:pStyle w:val="Caption"/>
        <w:keepNext/>
        <w:spacing w:after="0" w:line="276" w:lineRule="auto"/>
        <w:jc w:val="both"/>
        <w:rPr>
          <w:b w:val="0"/>
          <w:color w:val="000000" w:themeColor="text1"/>
          <w:sz w:val="16"/>
          <w:szCs w:val="16"/>
          <w:lang w:val="en-GB"/>
        </w:rPr>
      </w:pPr>
      <w:r w:rsidRPr="00D4730B">
        <w:rPr>
          <w:b w:val="0"/>
          <w:color w:val="000000" w:themeColor="text1"/>
          <w:sz w:val="16"/>
          <w:szCs w:val="16"/>
          <w:lang w:val="en-GB"/>
        </w:rPr>
        <w:t>Source: TURKSTAT</w:t>
      </w:r>
      <w:r w:rsidR="00D463C1" w:rsidRPr="00D4730B">
        <w:rPr>
          <w:b w:val="0"/>
          <w:color w:val="000000" w:themeColor="text1"/>
          <w:sz w:val="16"/>
          <w:szCs w:val="16"/>
          <w:lang w:val="en-GB"/>
        </w:rPr>
        <w:t>, Betam.</w:t>
      </w:r>
    </w:p>
    <w:p w14:paraId="0E4EB300" w14:textId="3C011383" w:rsidR="00E946A3" w:rsidRPr="00D30D5C" w:rsidRDefault="00D463C1" w:rsidP="00A42CD1">
      <w:pPr>
        <w:spacing w:after="0"/>
        <w:jc w:val="both"/>
        <w:rPr>
          <w:color w:val="000000" w:themeColor="text1"/>
          <w:sz w:val="16"/>
          <w:szCs w:val="16"/>
          <w:lang w:val="en-GB"/>
        </w:rPr>
      </w:pPr>
      <w:r w:rsidRPr="00D4730B">
        <w:rPr>
          <w:color w:val="000000" w:themeColor="text1"/>
          <w:sz w:val="16"/>
          <w:szCs w:val="16"/>
          <w:lang w:val="en-GB"/>
        </w:rPr>
        <w:t>Not</w:t>
      </w:r>
      <w:r w:rsidR="00BE378D" w:rsidRPr="00D4730B">
        <w:rPr>
          <w:color w:val="000000" w:themeColor="text1"/>
          <w:sz w:val="16"/>
          <w:szCs w:val="16"/>
          <w:lang w:val="en-GB"/>
        </w:rPr>
        <w:t>e</w:t>
      </w:r>
      <w:r w:rsidRPr="00D4730B">
        <w:rPr>
          <w:color w:val="000000" w:themeColor="text1"/>
          <w:sz w:val="16"/>
          <w:szCs w:val="16"/>
          <w:lang w:val="en-GB"/>
        </w:rPr>
        <w:t xml:space="preserve">: Δ LFtd: </w:t>
      </w:r>
      <w:r w:rsidR="00BE378D" w:rsidRPr="00D4730B">
        <w:rPr>
          <w:color w:val="000000" w:themeColor="text1"/>
          <w:sz w:val="16"/>
          <w:szCs w:val="16"/>
          <w:lang w:val="en-GB"/>
        </w:rPr>
        <w:t>the change in non-agricultural labor force</w:t>
      </w:r>
      <w:r w:rsidRPr="00D4730B">
        <w:rPr>
          <w:color w:val="000000" w:themeColor="text1"/>
          <w:sz w:val="16"/>
          <w:szCs w:val="16"/>
          <w:lang w:val="en-GB"/>
        </w:rPr>
        <w:t>, Δ Etd:</w:t>
      </w:r>
      <w:r w:rsidR="00BE378D" w:rsidRPr="00D4730B">
        <w:rPr>
          <w:color w:val="000000" w:themeColor="text1"/>
          <w:sz w:val="16"/>
          <w:szCs w:val="16"/>
          <w:lang w:val="en-GB"/>
        </w:rPr>
        <w:t xml:space="preserve"> the change in non-agricultural employment</w:t>
      </w:r>
      <w:r w:rsidRPr="00D4730B">
        <w:rPr>
          <w:color w:val="000000" w:themeColor="text1"/>
          <w:sz w:val="16"/>
          <w:szCs w:val="16"/>
          <w:lang w:val="en-GB"/>
        </w:rPr>
        <w:t xml:space="preserve">, Δ utd: </w:t>
      </w:r>
      <w:r w:rsidR="00BE378D" w:rsidRPr="00D4730B">
        <w:rPr>
          <w:color w:val="000000" w:themeColor="text1"/>
          <w:sz w:val="16"/>
          <w:szCs w:val="16"/>
          <w:lang w:val="en-GB"/>
        </w:rPr>
        <w:t>the change in non-agricultural unemployment</w:t>
      </w:r>
    </w:p>
    <w:p w14:paraId="58D1855C" w14:textId="77777777" w:rsidR="00AE622B" w:rsidRDefault="00AE622B" w:rsidP="00A42CD1">
      <w:pPr>
        <w:spacing w:after="0"/>
        <w:jc w:val="both"/>
        <w:rPr>
          <w:b/>
          <w:sz w:val="24"/>
          <w:szCs w:val="24"/>
          <w:lang w:val="en-GB"/>
        </w:rPr>
      </w:pPr>
    </w:p>
    <w:p w14:paraId="50D2BC05" w14:textId="7BFF5AE3" w:rsidR="009E1229" w:rsidRPr="00D4730B" w:rsidRDefault="001A5BC0" w:rsidP="00A42CD1">
      <w:pPr>
        <w:spacing w:after="0"/>
        <w:jc w:val="both"/>
        <w:rPr>
          <w:b/>
          <w:sz w:val="24"/>
          <w:szCs w:val="24"/>
          <w:lang w:val="en-GB"/>
        </w:rPr>
      </w:pPr>
      <w:r w:rsidRPr="004440F8">
        <w:rPr>
          <w:b/>
          <w:sz w:val="24"/>
          <w:szCs w:val="24"/>
          <w:lang w:val="en-GB"/>
        </w:rPr>
        <w:t>Regions where unemployment decreased</w:t>
      </w:r>
    </w:p>
    <w:p w14:paraId="3FECC466" w14:textId="77777777" w:rsidR="001A5BC0" w:rsidRPr="00D4730B" w:rsidRDefault="001A5BC0" w:rsidP="00A42CD1">
      <w:pPr>
        <w:spacing w:after="0"/>
        <w:jc w:val="both"/>
        <w:rPr>
          <w:color w:val="000000" w:themeColor="text1"/>
          <w:sz w:val="16"/>
          <w:szCs w:val="16"/>
          <w:lang w:val="en-GB"/>
        </w:rPr>
      </w:pPr>
    </w:p>
    <w:p w14:paraId="729EEA45" w14:textId="2402B07F" w:rsidR="001A5BC0" w:rsidRPr="00CB4686" w:rsidRDefault="001A5BC0" w:rsidP="00ED3B36">
      <w:pPr>
        <w:jc w:val="both"/>
        <w:rPr>
          <w:lang w:val="en-GB"/>
        </w:rPr>
      </w:pPr>
      <w:r w:rsidRPr="00D4730B">
        <w:rPr>
          <w:lang w:val="en-US"/>
        </w:rPr>
        <w:t xml:space="preserve">Figure 4 shows the regions where unemployment rate has decreased. </w:t>
      </w:r>
      <w:r w:rsidRPr="00D4730B">
        <w:rPr>
          <w:b/>
          <w:lang w:val="en-US"/>
        </w:rPr>
        <w:t xml:space="preserve">The strongest decline (3.7 pp) happened in </w:t>
      </w:r>
      <w:r w:rsidRPr="00D4730B">
        <w:rPr>
          <w:b/>
          <w:lang w:val="en-GB"/>
        </w:rPr>
        <w:t>Şanlıurfa-Diyarbakır (TRC2) region</w:t>
      </w:r>
      <w:r w:rsidR="004440F8">
        <w:rPr>
          <w:b/>
          <w:lang w:val="en-GB"/>
        </w:rPr>
        <w:t xml:space="preserve">. </w:t>
      </w:r>
      <w:r w:rsidRPr="00D4730B">
        <w:rPr>
          <w:b/>
          <w:lang w:val="en-GB"/>
        </w:rPr>
        <w:t xml:space="preserve"> </w:t>
      </w:r>
      <w:r w:rsidR="004440F8">
        <w:rPr>
          <w:lang w:val="en-GB"/>
        </w:rPr>
        <w:t>But despite this impressive improvement this region is ranked 3</w:t>
      </w:r>
      <w:r w:rsidR="004440F8" w:rsidRPr="004440F8">
        <w:rPr>
          <w:vertAlign w:val="superscript"/>
          <w:lang w:val="en-GB"/>
        </w:rPr>
        <w:t>rd</w:t>
      </w:r>
      <w:r w:rsidR="004440F8">
        <w:rPr>
          <w:lang w:val="en-GB"/>
        </w:rPr>
        <w:t xml:space="preserve"> according to unemployment rates.</w:t>
      </w:r>
      <w:r w:rsidR="00CB4686">
        <w:rPr>
          <w:lang w:val="en-GB"/>
        </w:rPr>
        <w:t xml:space="preserve"> </w:t>
      </w:r>
      <w:r w:rsidR="00C9583B" w:rsidRPr="00D4730B">
        <w:rPr>
          <w:lang w:val="en-US"/>
        </w:rPr>
        <w:t xml:space="preserve">This result </w:t>
      </w:r>
      <w:r w:rsidR="00CB4686">
        <w:rPr>
          <w:lang w:val="en-US"/>
        </w:rPr>
        <w:t>is originated from a</w:t>
      </w:r>
      <w:r w:rsidR="00C9583B" w:rsidRPr="00D4730B">
        <w:rPr>
          <w:lang w:val="en-US"/>
        </w:rPr>
        <w:t xml:space="preserve"> higher increase in employment (54 thousand) compared to the labor force (34 thousand) (Table 2). In this sense, it is a </w:t>
      </w:r>
      <w:r w:rsidR="00C9583B" w:rsidRPr="00D4730B">
        <w:rPr>
          <w:b/>
          <w:lang w:val="en-US"/>
        </w:rPr>
        <w:t>quite positive development</w:t>
      </w:r>
      <w:r w:rsidR="00EA7144" w:rsidRPr="00D4730B">
        <w:rPr>
          <w:b/>
          <w:lang w:val="en-US"/>
        </w:rPr>
        <w:t xml:space="preserve">. </w:t>
      </w:r>
      <w:r w:rsidR="00EF2787" w:rsidRPr="00D4730B">
        <w:rPr>
          <w:b/>
          <w:lang w:val="en-US"/>
        </w:rPr>
        <w:t xml:space="preserve"> </w:t>
      </w:r>
      <w:r w:rsidR="00EF2787" w:rsidRPr="00D4730B">
        <w:rPr>
          <w:lang w:val="en-US"/>
        </w:rPr>
        <w:t xml:space="preserve">However, the positive improvement was not enough to get rid of the </w:t>
      </w:r>
      <w:r w:rsidR="00EF2787" w:rsidRPr="00D4730B">
        <w:rPr>
          <w:lang w:val="en-US"/>
        </w:rPr>
        <w:lastRenderedPageBreak/>
        <w:t xml:space="preserve">worst area.  </w:t>
      </w:r>
      <w:r w:rsidR="00263B2B" w:rsidRPr="00D4730B">
        <w:rPr>
          <w:lang w:val="en-US"/>
        </w:rPr>
        <w:t>We recall that employment rate</w:t>
      </w:r>
      <w:r w:rsidR="00D67F05" w:rsidRPr="00D4730B">
        <w:rPr>
          <w:lang w:val="en-US"/>
        </w:rPr>
        <w:t xml:space="preserve"> in this region</w:t>
      </w:r>
      <w:r w:rsidR="00263B2B" w:rsidRPr="00D4730B">
        <w:rPr>
          <w:lang w:val="en-US"/>
        </w:rPr>
        <w:t xml:space="preserve"> is </w:t>
      </w:r>
      <w:r w:rsidR="00CB4686">
        <w:rPr>
          <w:lang w:val="en-US"/>
        </w:rPr>
        <w:t>among the lowest ones</w:t>
      </w:r>
      <w:r w:rsidR="00263B2B" w:rsidRPr="00D4730B">
        <w:rPr>
          <w:lang w:val="en-US"/>
        </w:rPr>
        <w:t xml:space="preserve"> with 30.7 percent (Annex Table 1).</w:t>
      </w:r>
    </w:p>
    <w:p w14:paraId="6C36D99A" w14:textId="3A2D18A8" w:rsidR="00F273BD" w:rsidRPr="00D4730B" w:rsidRDefault="00D67F05" w:rsidP="00F273BD">
      <w:pPr>
        <w:jc w:val="both"/>
        <w:rPr>
          <w:lang w:val="en-GB"/>
        </w:rPr>
      </w:pPr>
      <w:r w:rsidRPr="00D4730B">
        <w:rPr>
          <w:lang w:val="en-US"/>
        </w:rPr>
        <w:t xml:space="preserve">We stated that </w:t>
      </w:r>
      <w:r w:rsidR="00203D9D" w:rsidRPr="00D4730B">
        <w:rPr>
          <w:lang w:val="en-US"/>
        </w:rPr>
        <w:t>in the period of 2015-2016,</w:t>
      </w:r>
      <w:r w:rsidRPr="00D4730B">
        <w:rPr>
          <w:lang w:val="en-US"/>
        </w:rPr>
        <w:t xml:space="preserve"> Cappadocia is the worst region </w:t>
      </w:r>
      <w:r w:rsidR="00EC5257" w:rsidRPr="00D4730B">
        <w:rPr>
          <w:lang w:val="en-US"/>
        </w:rPr>
        <w:t xml:space="preserve">in terms of labor market dynamics </w:t>
      </w:r>
      <w:r w:rsidRPr="00D4730B">
        <w:rPr>
          <w:lang w:val="en-US"/>
        </w:rPr>
        <w:t xml:space="preserve">because </w:t>
      </w:r>
      <w:r w:rsidR="001235C5">
        <w:rPr>
          <w:lang w:val="en-US"/>
        </w:rPr>
        <w:t>there was a</w:t>
      </w:r>
      <w:r w:rsidRPr="00D4730B">
        <w:rPr>
          <w:lang w:val="en-US"/>
        </w:rPr>
        <w:t xml:space="preserve"> jump in unemployment and this jump stemmed from the decrease in employment</w:t>
      </w:r>
      <w:r w:rsidR="00EC5257" w:rsidRPr="00D4730B">
        <w:rPr>
          <w:lang w:val="en-US"/>
        </w:rPr>
        <w:t xml:space="preserve"> (see Betam Research Brief 17/211).</w:t>
      </w:r>
      <w:r w:rsidR="00052BF1" w:rsidRPr="00D4730B">
        <w:rPr>
          <w:lang w:val="en-US"/>
        </w:rPr>
        <w:t xml:space="preserve"> Nonetheless, in 2016-2017, </w:t>
      </w:r>
      <w:r w:rsidR="00052BF1" w:rsidRPr="00D4730B">
        <w:rPr>
          <w:b/>
          <w:lang w:val="en-US"/>
        </w:rPr>
        <w:t>Cappadocia</w:t>
      </w:r>
      <w:r w:rsidR="00122B95" w:rsidRPr="00D4730B">
        <w:rPr>
          <w:b/>
          <w:lang w:val="en-US"/>
        </w:rPr>
        <w:t xml:space="preserve"> (TR71) region is</w:t>
      </w:r>
      <w:r w:rsidR="00052BF1" w:rsidRPr="00D4730B">
        <w:rPr>
          <w:b/>
          <w:lang w:val="en-US"/>
        </w:rPr>
        <w:t xml:space="preserve"> the second region in terms of decline in unemployment with 3 percentage points.</w:t>
      </w:r>
      <w:r w:rsidR="00122B95" w:rsidRPr="00D4730B">
        <w:rPr>
          <w:b/>
          <w:lang w:val="en-US"/>
        </w:rPr>
        <w:t xml:space="preserve"> </w:t>
      </w:r>
      <w:r w:rsidR="00122B95" w:rsidRPr="00D4730B">
        <w:rPr>
          <w:lang w:val="en-US"/>
        </w:rPr>
        <w:t xml:space="preserve">The </w:t>
      </w:r>
      <w:r w:rsidR="007D313B" w:rsidRPr="00D4730B">
        <w:rPr>
          <w:lang w:val="en-US"/>
        </w:rPr>
        <w:t>reason behind</w:t>
      </w:r>
      <w:r w:rsidR="00122B95" w:rsidRPr="00D4730B">
        <w:rPr>
          <w:lang w:val="en-US"/>
        </w:rPr>
        <w:t xml:space="preserve"> the decline is a higher increase in employment than the labor force (24 thousand and 14 thousand, respectively)</w:t>
      </w:r>
      <w:r w:rsidR="00060961" w:rsidRPr="00D4730B">
        <w:rPr>
          <w:lang w:val="en-US"/>
        </w:rPr>
        <w:t xml:space="preserve"> (Table 2)</w:t>
      </w:r>
      <w:r w:rsidR="00122B95" w:rsidRPr="00D4730B">
        <w:rPr>
          <w:lang w:val="en-US"/>
        </w:rPr>
        <w:t>.</w:t>
      </w:r>
      <w:r w:rsidR="00122B95" w:rsidRPr="00D4730B">
        <w:rPr>
          <w:lang w:val="en-GB"/>
        </w:rPr>
        <w:t xml:space="preserve"> </w:t>
      </w:r>
      <w:r w:rsidR="00CA3278" w:rsidRPr="00D4730B">
        <w:rPr>
          <w:lang w:val="en-GB"/>
        </w:rPr>
        <w:t>Althou</w:t>
      </w:r>
      <w:r w:rsidR="00D3686E" w:rsidRPr="00D4730B">
        <w:rPr>
          <w:lang w:val="en-GB"/>
        </w:rPr>
        <w:t xml:space="preserve">gh this positive improvement, Cappadocia </w:t>
      </w:r>
      <w:r w:rsidR="00F43C3E" w:rsidRPr="00D4730B">
        <w:rPr>
          <w:lang w:val="en-GB"/>
        </w:rPr>
        <w:t xml:space="preserve">(TR71) is above the </w:t>
      </w:r>
      <w:r w:rsidR="00D30D5C">
        <w:rPr>
          <w:lang w:val="en-GB"/>
        </w:rPr>
        <w:t xml:space="preserve">national </w:t>
      </w:r>
      <w:r w:rsidR="00F43C3E" w:rsidRPr="00D4730B">
        <w:rPr>
          <w:lang w:val="en-GB"/>
        </w:rPr>
        <w:t xml:space="preserve">average (13 percent) with 15 percent of unemployment rate </w:t>
      </w:r>
      <w:r w:rsidR="00EC0D22" w:rsidRPr="00D4730B">
        <w:rPr>
          <w:lang w:val="en-GB"/>
        </w:rPr>
        <w:t xml:space="preserve">and below the </w:t>
      </w:r>
      <w:r w:rsidR="00D30D5C">
        <w:rPr>
          <w:lang w:val="en-GB"/>
        </w:rPr>
        <w:t>national</w:t>
      </w:r>
      <w:r w:rsidR="00EC0D22" w:rsidRPr="00D4730B">
        <w:rPr>
          <w:lang w:val="en-GB"/>
        </w:rPr>
        <w:t xml:space="preserve"> average with 36.5 percent </w:t>
      </w:r>
      <w:r w:rsidR="001235C5">
        <w:rPr>
          <w:lang w:val="en-GB"/>
        </w:rPr>
        <w:t>in</w:t>
      </w:r>
      <w:r w:rsidR="00EC0D22" w:rsidRPr="00D4730B">
        <w:rPr>
          <w:lang w:val="en-GB"/>
        </w:rPr>
        <w:t xml:space="preserve"> employment rate. </w:t>
      </w:r>
      <w:bookmarkStart w:id="8" w:name="_Ref381805740"/>
    </w:p>
    <w:p w14:paraId="6F937F72" w14:textId="7A613CAE" w:rsidR="00542080" w:rsidRPr="00D4730B" w:rsidRDefault="00542080" w:rsidP="00F273BD">
      <w:pPr>
        <w:jc w:val="both"/>
        <w:rPr>
          <w:lang w:val="en-GB"/>
        </w:rPr>
      </w:pPr>
      <w:r w:rsidRPr="00D4730B">
        <w:rPr>
          <w:lang w:val="en-US"/>
        </w:rPr>
        <w:t xml:space="preserve">Regarding the positive labor market dynamics, there are other four regions where declines in unemployment rates stemmed from a stronger increase in employment than labor force. These regions are </w:t>
      </w:r>
      <w:r w:rsidRPr="00D4730B">
        <w:rPr>
          <w:lang w:val="en-GB"/>
        </w:rPr>
        <w:t xml:space="preserve">Hatay (TR63) (-2.9 pp), Kastamonu (TR82) (-2.2 pp), Samsun (TR83) (-1.8 pp) and Balıkesir (TR22) (-0.5 pp) respectively. </w:t>
      </w:r>
      <w:r w:rsidR="000612B0" w:rsidRPr="00D4730B">
        <w:rPr>
          <w:lang w:val="en-US"/>
        </w:rPr>
        <w:t>Despite this, we should underline that Hatay regio</w:t>
      </w:r>
      <w:r w:rsidR="000358E7">
        <w:rPr>
          <w:lang w:val="en-US"/>
        </w:rPr>
        <w:t>n still</w:t>
      </w:r>
      <w:r w:rsidR="000612B0" w:rsidRPr="00D4730B">
        <w:rPr>
          <w:lang w:val="en-US"/>
        </w:rPr>
        <w:t xml:space="preserve"> have high unemployment</w:t>
      </w:r>
      <w:r w:rsidR="003553F7">
        <w:rPr>
          <w:lang w:val="en-US"/>
        </w:rPr>
        <w:t xml:space="preserve"> rate</w:t>
      </w:r>
      <w:r w:rsidR="000612B0" w:rsidRPr="00D4730B">
        <w:rPr>
          <w:lang w:val="en-US"/>
        </w:rPr>
        <w:t xml:space="preserve"> (14.0 percent). On the other hand, the performance of Balıkesir (TR22) region which have already low unemployment rate is remarkable since the unemployment rate declined from 8.8 to 8.3 percent. </w:t>
      </w:r>
    </w:p>
    <w:p w14:paraId="4D6B750D" w14:textId="17DB8901" w:rsidR="00686A22" w:rsidRPr="00D4730B" w:rsidRDefault="000612B0" w:rsidP="00ED3B36">
      <w:pPr>
        <w:pStyle w:val="Caption"/>
        <w:keepNext/>
        <w:spacing w:line="276" w:lineRule="auto"/>
        <w:jc w:val="both"/>
        <w:rPr>
          <w:color w:val="auto"/>
          <w:sz w:val="22"/>
          <w:szCs w:val="22"/>
          <w:lang w:val="en-GB"/>
        </w:rPr>
      </w:pPr>
      <w:r w:rsidRPr="00D4730B">
        <w:rPr>
          <w:color w:val="auto"/>
          <w:sz w:val="22"/>
          <w:szCs w:val="22"/>
          <w:lang w:val="en-GB"/>
        </w:rPr>
        <w:t>Figure</w:t>
      </w:r>
      <w:r w:rsidR="00686A22" w:rsidRPr="00D4730B">
        <w:rPr>
          <w:color w:val="auto"/>
          <w:sz w:val="22"/>
          <w:szCs w:val="22"/>
          <w:lang w:val="en-GB"/>
        </w:rPr>
        <w:t xml:space="preserve"> </w:t>
      </w:r>
      <w:bookmarkEnd w:id="8"/>
      <w:r w:rsidR="00686A22" w:rsidRPr="00D4730B">
        <w:rPr>
          <w:color w:val="auto"/>
          <w:sz w:val="22"/>
          <w:szCs w:val="22"/>
          <w:lang w:val="en-GB"/>
        </w:rPr>
        <w:t>4</w:t>
      </w:r>
      <w:r w:rsidRPr="00D4730B">
        <w:rPr>
          <w:color w:val="auto"/>
          <w:sz w:val="22"/>
          <w:szCs w:val="22"/>
          <w:lang w:val="en-GB"/>
        </w:rPr>
        <w:t>: Regions where non-agricultural unemployment deceased</w:t>
      </w:r>
      <w:r w:rsidR="00686A22" w:rsidRPr="00D4730B">
        <w:rPr>
          <w:color w:val="auto"/>
          <w:sz w:val="22"/>
          <w:szCs w:val="22"/>
          <w:lang w:val="en-GB"/>
        </w:rPr>
        <w:t xml:space="preserve"> </w:t>
      </w:r>
      <m:oMath>
        <m:sSub>
          <m:sSubPr>
            <m:ctrlPr>
              <w:rPr>
                <w:rFonts w:ascii="Cambria Math" w:hAnsi="Cambria Math"/>
                <w:b w:val="0"/>
                <w:i/>
                <w:color w:val="000000" w:themeColor="text1"/>
                <w:sz w:val="16"/>
                <w:szCs w:val="16"/>
                <w:lang w:val="en-GB"/>
              </w:rPr>
            </m:ctrlPr>
          </m:sSubPr>
          <m:e>
            <m:r>
              <m:rPr>
                <m:sty m:val="bi"/>
              </m:rPr>
              <w:rPr>
                <w:rFonts w:ascii="Cambria Math" w:hAnsi="Cambria Math"/>
                <w:color w:val="000000" w:themeColor="text1"/>
                <w:sz w:val="16"/>
                <w:szCs w:val="16"/>
                <w:lang w:val="en-GB"/>
              </w:rPr>
              <m:t>u</m:t>
            </m:r>
          </m:e>
          <m:sub>
            <m:r>
              <m:rPr>
                <m:sty m:val="bi"/>
              </m:rPr>
              <w:rPr>
                <w:rFonts w:ascii="Cambria Math" w:hAnsi="Cambria Math"/>
                <w:color w:val="000000" w:themeColor="text1"/>
                <w:sz w:val="16"/>
                <w:szCs w:val="16"/>
                <w:lang w:val="en-GB"/>
              </w:rPr>
              <m:t>td</m:t>
            </m:r>
          </m:sub>
        </m:sSub>
      </m:oMath>
      <w:r w:rsidR="00686A22" w:rsidRPr="00D4730B">
        <w:rPr>
          <w:color w:val="auto"/>
          <w:sz w:val="22"/>
          <w:szCs w:val="22"/>
          <w:lang w:val="en-GB"/>
        </w:rPr>
        <w:t xml:space="preserve"> (</w:t>
      </w:r>
      <w:r w:rsidRPr="00D4730B">
        <w:rPr>
          <w:color w:val="auto"/>
          <w:sz w:val="22"/>
          <w:szCs w:val="22"/>
          <w:lang w:val="en-GB"/>
        </w:rPr>
        <w:t>in pp</w:t>
      </w:r>
      <w:r w:rsidR="00686A22" w:rsidRPr="00D4730B">
        <w:rPr>
          <w:color w:val="auto"/>
          <w:sz w:val="22"/>
          <w:szCs w:val="22"/>
          <w:lang w:val="en-GB"/>
        </w:rPr>
        <w:t>, 2016-2017)</w:t>
      </w:r>
    </w:p>
    <w:p w14:paraId="32F3D1B0" w14:textId="5E9CC3C0" w:rsidR="00CE492F" w:rsidRPr="00D4730B" w:rsidRDefault="002D2A5F" w:rsidP="00ED3B36">
      <w:pPr>
        <w:pStyle w:val="Caption"/>
        <w:keepNext/>
        <w:spacing w:after="0" w:line="276" w:lineRule="auto"/>
        <w:jc w:val="both"/>
        <w:rPr>
          <w:b w:val="0"/>
          <w:color w:val="000000" w:themeColor="text1"/>
          <w:sz w:val="16"/>
          <w:szCs w:val="16"/>
          <w:lang w:val="en-GB"/>
        </w:rPr>
      </w:pPr>
      <w:r w:rsidRPr="00D4730B">
        <w:rPr>
          <w:noProof/>
        </w:rPr>
        <w:drawing>
          <wp:inline distT="0" distB="0" distL="0" distR="0" wp14:anchorId="1CDB95D9" wp14:editId="1E586BD4">
            <wp:extent cx="5753100" cy="3143250"/>
            <wp:effectExtent l="0" t="0" r="0" b="0"/>
            <wp:docPr id="15" name="Grafik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2B0A494-3D50-4B7E-8BE8-D0951F9A43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D5311" w:rsidRPr="00D4730B">
        <w:rPr>
          <w:lang w:val="en-GB"/>
        </w:rPr>
        <w:br/>
      </w:r>
      <w:r w:rsidR="000612B0" w:rsidRPr="00D4730B">
        <w:rPr>
          <w:b w:val="0"/>
          <w:color w:val="000000" w:themeColor="text1"/>
          <w:sz w:val="16"/>
          <w:szCs w:val="16"/>
          <w:lang w:val="en-GB"/>
        </w:rPr>
        <w:t>Source</w:t>
      </w:r>
      <w:r w:rsidR="007D5311" w:rsidRPr="00D4730B">
        <w:rPr>
          <w:b w:val="0"/>
          <w:color w:val="000000" w:themeColor="text1"/>
          <w:sz w:val="16"/>
          <w:szCs w:val="16"/>
          <w:lang w:val="en-GB"/>
        </w:rPr>
        <w:t xml:space="preserve">: TUIK, Betam. </w:t>
      </w:r>
      <w:bookmarkStart w:id="9" w:name="_Ref381805757"/>
      <w:r w:rsidR="00CE492F" w:rsidRPr="00D4730B">
        <w:rPr>
          <w:b w:val="0"/>
          <w:color w:val="000000" w:themeColor="text1"/>
          <w:sz w:val="16"/>
          <w:szCs w:val="16"/>
          <w:lang w:val="en-GB"/>
        </w:rPr>
        <w:t>TRC2: Şanlıurfa, Diyarbakır, TR</w:t>
      </w:r>
      <w:r w:rsidR="00D463C1" w:rsidRPr="00D4730B">
        <w:rPr>
          <w:b w:val="0"/>
          <w:color w:val="000000" w:themeColor="text1"/>
          <w:sz w:val="16"/>
          <w:szCs w:val="16"/>
          <w:lang w:val="en-GB"/>
        </w:rPr>
        <w:t>71: Kırıkkale</w:t>
      </w:r>
      <w:r w:rsidR="00CE492F" w:rsidRPr="00D4730B">
        <w:rPr>
          <w:b w:val="0"/>
          <w:color w:val="000000" w:themeColor="text1"/>
          <w:sz w:val="16"/>
          <w:szCs w:val="16"/>
          <w:lang w:val="en-GB"/>
        </w:rPr>
        <w:t xml:space="preserve">, Aksaray, Niğde, Nevşehir, </w:t>
      </w:r>
      <w:r w:rsidR="00D463C1" w:rsidRPr="00D4730B">
        <w:rPr>
          <w:b w:val="0"/>
          <w:color w:val="000000" w:themeColor="text1"/>
          <w:sz w:val="16"/>
          <w:szCs w:val="16"/>
          <w:lang w:val="en-GB"/>
        </w:rPr>
        <w:t>Kırşehir,</w:t>
      </w:r>
      <w:r w:rsidR="00CE492F" w:rsidRPr="00D4730B">
        <w:rPr>
          <w:b w:val="0"/>
          <w:color w:val="000000" w:themeColor="text1"/>
          <w:sz w:val="16"/>
          <w:szCs w:val="16"/>
          <w:lang w:val="en-GB"/>
        </w:rPr>
        <w:t xml:space="preserve"> TR</w:t>
      </w:r>
      <w:r w:rsidR="001B0A55" w:rsidRPr="00D4730B">
        <w:rPr>
          <w:b w:val="0"/>
          <w:color w:val="000000" w:themeColor="text1"/>
          <w:sz w:val="16"/>
          <w:szCs w:val="16"/>
          <w:lang w:val="en-GB"/>
        </w:rPr>
        <w:t>63: Hatay</w:t>
      </w:r>
      <w:r w:rsidR="00CE492F" w:rsidRPr="00D4730B">
        <w:rPr>
          <w:b w:val="0"/>
          <w:color w:val="000000" w:themeColor="text1"/>
          <w:sz w:val="16"/>
          <w:szCs w:val="16"/>
          <w:lang w:val="en-GB"/>
        </w:rPr>
        <w:t>, Kahramanmaraş, Osmaniye, TR</w:t>
      </w:r>
      <w:r w:rsidR="00D22157" w:rsidRPr="00D4730B">
        <w:rPr>
          <w:b w:val="0"/>
          <w:color w:val="000000" w:themeColor="text1"/>
          <w:sz w:val="16"/>
          <w:szCs w:val="16"/>
          <w:lang w:val="en-GB"/>
        </w:rPr>
        <w:t>82: Kastamonu</w:t>
      </w:r>
      <w:r w:rsidR="00CE492F" w:rsidRPr="00D4730B">
        <w:rPr>
          <w:b w:val="0"/>
          <w:color w:val="000000" w:themeColor="text1"/>
          <w:sz w:val="16"/>
          <w:szCs w:val="16"/>
          <w:lang w:val="en-GB"/>
        </w:rPr>
        <w:t>, Çankırı, Sinop, TRB</w:t>
      </w:r>
      <w:r w:rsidR="00D22157" w:rsidRPr="00D4730B">
        <w:rPr>
          <w:b w:val="0"/>
          <w:color w:val="000000" w:themeColor="text1"/>
          <w:sz w:val="16"/>
          <w:szCs w:val="16"/>
          <w:lang w:val="en-GB"/>
        </w:rPr>
        <w:t>1: Malatya</w:t>
      </w:r>
      <w:r w:rsidR="00CE492F" w:rsidRPr="00D4730B">
        <w:rPr>
          <w:b w:val="0"/>
          <w:color w:val="000000" w:themeColor="text1"/>
          <w:sz w:val="16"/>
          <w:szCs w:val="16"/>
          <w:lang w:val="en-GB"/>
        </w:rPr>
        <w:t>, Elazığ, Bingöl, Tunceli, TR</w:t>
      </w:r>
      <w:r w:rsidR="002E7B20" w:rsidRPr="00D4730B">
        <w:rPr>
          <w:b w:val="0"/>
          <w:color w:val="000000" w:themeColor="text1"/>
          <w:sz w:val="16"/>
          <w:szCs w:val="16"/>
          <w:lang w:val="en-GB"/>
        </w:rPr>
        <w:t>81: Zonguldak</w:t>
      </w:r>
      <w:r w:rsidR="00CE492F" w:rsidRPr="00D4730B">
        <w:rPr>
          <w:b w:val="0"/>
          <w:color w:val="000000" w:themeColor="text1"/>
          <w:sz w:val="16"/>
          <w:szCs w:val="16"/>
          <w:lang w:val="en-GB"/>
        </w:rPr>
        <w:t>, Karabük, Bartın, TR</w:t>
      </w:r>
      <w:r w:rsidR="00591381" w:rsidRPr="00D4730B">
        <w:rPr>
          <w:b w:val="0"/>
          <w:color w:val="000000" w:themeColor="text1"/>
          <w:sz w:val="16"/>
          <w:szCs w:val="16"/>
          <w:lang w:val="en-GB"/>
        </w:rPr>
        <w:t>83: Samsun</w:t>
      </w:r>
      <w:r w:rsidR="00CE492F" w:rsidRPr="00D4730B">
        <w:rPr>
          <w:b w:val="0"/>
          <w:color w:val="000000" w:themeColor="text1"/>
          <w:sz w:val="16"/>
          <w:szCs w:val="16"/>
          <w:lang w:val="en-GB"/>
        </w:rPr>
        <w:t>, Tokat, Çorum, Amasya, TR</w:t>
      </w:r>
      <w:r w:rsidR="009D0C60" w:rsidRPr="00D4730B">
        <w:rPr>
          <w:b w:val="0"/>
          <w:color w:val="000000" w:themeColor="text1"/>
          <w:sz w:val="16"/>
          <w:szCs w:val="16"/>
          <w:lang w:val="en-GB"/>
        </w:rPr>
        <w:t>90: Trabzon</w:t>
      </w:r>
      <w:r w:rsidR="00CE492F" w:rsidRPr="00D4730B">
        <w:rPr>
          <w:b w:val="0"/>
          <w:color w:val="000000" w:themeColor="text1"/>
          <w:sz w:val="16"/>
          <w:szCs w:val="16"/>
          <w:lang w:val="en-GB"/>
        </w:rPr>
        <w:t>, Ordu, Giresun, Rize, Artvin, Gümüşhane, TR</w:t>
      </w:r>
      <w:r w:rsidR="00B3409A" w:rsidRPr="00D4730B">
        <w:rPr>
          <w:b w:val="0"/>
          <w:color w:val="000000" w:themeColor="text1"/>
          <w:sz w:val="16"/>
          <w:szCs w:val="16"/>
          <w:lang w:val="en-GB"/>
        </w:rPr>
        <w:t>22: Balıkesir</w:t>
      </w:r>
      <w:r w:rsidR="00CE492F" w:rsidRPr="00D4730B">
        <w:rPr>
          <w:b w:val="0"/>
          <w:color w:val="000000" w:themeColor="text1"/>
          <w:sz w:val="16"/>
          <w:szCs w:val="16"/>
          <w:lang w:val="en-GB"/>
        </w:rPr>
        <w:t>, Çanakkale, TRA1:</w:t>
      </w:r>
      <w:r w:rsidR="00B3409A" w:rsidRPr="00D4730B">
        <w:rPr>
          <w:b w:val="0"/>
          <w:color w:val="000000" w:themeColor="text1"/>
          <w:sz w:val="16"/>
          <w:szCs w:val="16"/>
          <w:lang w:val="en-GB"/>
        </w:rPr>
        <w:t xml:space="preserve"> </w:t>
      </w:r>
      <w:r w:rsidR="00CE492F" w:rsidRPr="00D4730B">
        <w:rPr>
          <w:b w:val="0"/>
          <w:color w:val="000000" w:themeColor="text1"/>
          <w:sz w:val="16"/>
          <w:szCs w:val="16"/>
          <w:lang w:val="en-GB"/>
        </w:rPr>
        <w:t>Erzurum, Erzincan, Bayburt, TR52:</w:t>
      </w:r>
      <w:r w:rsidR="00B3409A" w:rsidRPr="00D4730B">
        <w:rPr>
          <w:b w:val="0"/>
          <w:color w:val="000000" w:themeColor="text1"/>
          <w:sz w:val="16"/>
          <w:szCs w:val="16"/>
          <w:lang w:val="en-GB"/>
        </w:rPr>
        <w:t xml:space="preserve"> </w:t>
      </w:r>
      <w:r w:rsidR="00CE492F" w:rsidRPr="00D4730B">
        <w:rPr>
          <w:b w:val="0"/>
          <w:color w:val="000000" w:themeColor="text1"/>
          <w:sz w:val="16"/>
          <w:szCs w:val="16"/>
          <w:lang w:val="en-GB"/>
        </w:rPr>
        <w:t>Konya, Karaman, TR31:</w:t>
      </w:r>
      <w:r w:rsidR="00B3409A" w:rsidRPr="00D4730B">
        <w:rPr>
          <w:b w:val="0"/>
          <w:color w:val="000000" w:themeColor="text1"/>
          <w:sz w:val="16"/>
          <w:szCs w:val="16"/>
          <w:lang w:val="en-GB"/>
        </w:rPr>
        <w:t xml:space="preserve"> </w:t>
      </w:r>
      <w:r w:rsidR="00CE492F" w:rsidRPr="00D4730B">
        <w:rPr>
          <w:b w:val="0"/>
          <w:color w:val="000000" w:themeColor="text1"/>
          <w:sz w:val="16"/>
          <w:szCs w:val="16"/>
          <w:lang w:val="en-GB"/>
        </w:rPr>
        <w:t>İzmir, TR</w:t>
      </w:r>
      <w:r w:rsidR="00374C4B" w:rsidRPr="00D4730B">
        <w:rPr>
          <w:b w:val="0"/>
          <w:color w:val="000000" w:themeColor="text1"/>
          <w:sz w:val="16"/>
          <w:szCs w:val="16"/>
          <w:lang w:val="en-GB"/>
        </w:rPr>
        <w:t>51: Ankara</w:t>
      </w:r>
      <w:r w:rsidR="00CE492F" w:rsidRPr="00D4730B">
        <w:rPr>
          <w:b w:val="0"/>
          <w:color w:val="000000" w:themeColor="text1"/>
          <w:sz w:val="16"/>
          <w:szCs w:val="16"/>
          <w:lang w:val="en-GB"/>
        </w:rPr>
        <w:t>.</w:t>
      </w:r>
    </w:p>
    <w:p w14:paraId="397D55EB" w14:textId="77777777" w:rsidR="0016353F" w:rsidRPr="00D4730B" w:rsidRDefault="0016353F" w:rsidP="00ED3B36">
      <w:pPr>
        <w:pStyle w:val="Caption"/>
        <w:keepNext/>
        <w:spacing w:line="276" w:lineRule="auto"/>
        <w:jc w:val="both"/>
        <w:rPr>
          <w:color w:val="000000" w:themeColor="text1"/>
          <w:sz w:val="16"/>
          <w:szCs w:val="16"/>
          <w:lang w:val="en-GB"/>
        </w:rPr>
      </w:pPr>
    </w:p>
    <w:p w14:paraId="4F2C9AF5" w14:textId="5445E311" w:rsidR="00655D7D" w:rsidRPr="00D4730B" w:rsidRDefault="00655D7D" w:rsidP="00ED3B36">
      <w:pPr>
        <w:jc w:val="both"/>
        <w:rPr>
          <w:lang w:val="en-GB"/>
        </w:rPr>
      </w:pPr>
      <w:r w:rsidRPr="00D4730B">
        <w:rPr>
          <w:lang w:val="en-GB"/>
        </w:rPr>
        <w:t>Out of 13 regions where unemployment decrease</w:t>
      </w:r>
      <w:r w:rsidR="00DC6B85">
        <w:rPr>
          <w:lang w:val="en-GB"/>
        </w:rPr>
        <w:t>d</w:t>
      </w:r>
      <w:r w:rsidRPr="00D4730B">
        <w:rPr>
          <w:lang w:val="en-GB"/>
        </w:rPr>
        <w:t xml:space="preserve">, three regions </w:t>
      </w:r>
      <w:r w:rsidR="0059531D" w:rsidRPr="00D4730B">
        <w:rPr>
          <w:lang w:val="en-GB"/>
        </w:rPr>
        <w:t xml:space="preserve">differ from the other regions. </w:t>
      </w:r>
      <w:r w:rsidR="00881FE8" w:rsidRPr="00D4730B">
        <w:rPr>
          <w:lang w:val="en-GB"/>
        </w:rPr>
        <w:t>In these regions, t</w:t>
      </w:r>
      <w:r w:rsidR="0059531D" w:rsidRPr="00D4730B">
        <w:rPr>
          <w:lang w:val="en-GB"/>
        </w:rPr>
        <w:t xml:space="preserve">he effect of decreases </w:t>
      </w:r>
      <w:r w:rsidR="00DC6B85">
        <w:rPr>
          <w:lang w:val="en-GB"/>
        </w:rPr>
        <w:t>of</w:t>
      </w:r>
      <w:r w:rsidR="0059531D" w:rsidRPr="00D4730B">
        <w:rPr>
          <w:lang w:val="en-GB"/>
        </w:rPr>
        <w:t xml:space="preserve"> </w:t>
      </w:r>
      <w:r w:rsidR="00DC6B85" w:rsidRPr="00D4730B">
        <w:rPr>
          <w:lang w:val="en-GB"/>
        </w:rPr>
        <w:t>labour</w:t>
      </w:r>
      <w:r w:rsidR="0059531D" w:rsidRPr="00D4730B">
        <w:rPr>
          <w:lang w:val="en-GB"/>
        </w:rPr>
        <w:t xml:space="preserve"> force on decreases </w:t>
      </w:r>
      <w:r w:rsidR="00DC6B85">
        <w:rPr>
          <w:lang w:val="en-GB"/>
        </w:rPr>
        <w:t>on</w:t>
      </w:r>
      <w:r w:rsidR="00767684" w:rsidRPr="00D4730B">
        <w:rPr>
          <w:lang w:val="en-GB"/>
        </w:rPr>
        <w:t xml:space="preserve"> unemployment is remarkable. </w:t>
      </w:r>
      <w:r w:rsidR="00474C32" w:rsidRPr="00D4730B">
        <w:rPr>
          <w:lang w:val="en-GB"/>
        </w:rPr>
        <w:t xml:space="preserve">In Malatya (TRB1) region, </w:t>
      </w:r>
      <w:r w:rsidR="00DC6B85">
        <w:rPr>
          <w:lang w:val="en-GB"/>
        </w:rPr>
        <w:t xml:space="preserve">while </w:t>
      </w:r>
      <w:r w:rsidR="00474C32" w:rsidRPr="00D4730B">
        <w:rPr>
          <w:lang w:val="en-GB"/>
        </w:rPr>
        <w:t>employment remain</w:t>
      </w:r>
      <w:r w:rsidR="00DC6B85">
        <w:rPr>
          <w:lang w:val="en-GB"/>
        </w:rPr>
        <w:t>s</w:t>
      </w:r>
      <w:r w:rsidR="00474C32" w:rsidRPr="00D4730B">
        <w:rPr>
          <w:lang w:val="en-GB"/>
        </w:rPr>
        <w:t xml:space="preserve"> constant </w:t>
      </w:r>
      <w:r w:rsidR="00DC6B85" w:rsidRPr="00D4730B">
        <w:rPr>
          <w:lang w:val="en-GB"/>
        </w:rPr>
        <w:t>labour</w:t>
      </w:r>
      <w:r w:rsidR="00474C32" w:rsidRPr="00D4730B">
        <w:rPr>
          <w:lang w:val="en-GB"/>
        </w:rPr>
        <w:t xml:space="preserve"> force decreases by 10 thousand</w:t>
      </w:r>
      <w:r w:rsidR="00DC6B85">
        <w:rPr>
          <w:lang w:val="en-GB"/>
        </w:rPr>
        <w:t xml:space="preserve"> causing a decrease of </w:t>
      </w:r>
      <w:r w:rsidR="00DC6B85" w:rsidRPr="00D4730B">
        <w:rPr>
          <w:lang w:val="en-GB"/>
        </w:rPr>
        <w:t>1.9 percentage points</w:t>
      </w:r>
      <w:r w:rsidR="00DC6B85">
        <w:rPr>
          <w:lang w:val="en-GB"/>
        </w:rPr>
        <w:t xml:space="preserve"> in</w:t>
      </w:r>
      <w:r w:rsidR="00474C32" w:rsidRPr="00D4730B">
        <w:rPr>
          <w:lang w:val="en-GB"/>
        </w:rPr>
        <w:t xml:space="preserve"> unemployment rate decreased by. </w:t>
      </w:r>
      <w:r w:rsidR="00F8568F" w:rsidRPr="00D4730B">
        <w:rPr>
          <w:lang w:val="en-GB"/>
        </w:rPr>
        <w:t xml:space="preserve">In Zonguldak (TR81) </w:t>
      </w:r>
      <w:r w:rsidR="00F8568F" w:rsidRPr="00D4730B">
        <w:rPr>
          <w:lang w:val="en-GB"/>
        </w:rPr>
        <w:lastRenderedPageBreak/>
        <w:t>and Trabzon (TR90) regions, unemployment rates decrease</w:t>
      </w:r>
      <w:r w:rsidR="00DC6B85">
        <w:rPr>
          <w:lang w:val="en-GB"/>
        </w:rPr>
        <w:t>d</w:t>
      </w:r>
      <w:r w:rsidR="00F8568F" w:rsidRPr="00D4730B">
        <w:rPr>
          <w:lang w:val="en-GB"/>
        </w:rPr>
        <w:t xml:space="preserve"> by 1.9 and 1.4 percentage points while </w:t>
      </w:r>
      <w:r w:rsidR="00D3561C" w:rsidRPr="00D4730B">
        <w:rPr>
          <w:lang w:val="en-GB"/>
        </w:rPr>
        <w:t xml:space="preserve">the </w:t>
      </w:r>
      <w:r w:rsidR="00DC6B85" w:rsidRPr="00D4730B">
        <w:rPr>
          <w:lang w:val="en-GB"/>
        </w:rPr>
        <w:t>labour</w:t>
      </w:r>
      <w:r w:rsidR="00F8568F" w:rsidRPr="00D4730B">
        <w:rPr>
          <w:lang w:val="en-GB"/>
        </w:rPr>
        <w:t xml:space="preserve"> force slightly decline</w:t>
      </w:r>
      <w:r w:rsidR="00DC6B85">
        <w:rPr>
          <w:lang w:val="en-GB"/>
        </w:rPr>
        <w:t>d</w:t>
      </w:r>
      <w:r w:rsidR="00F8568F" w:rsidRPr="00D4730B">
        <w:rPr>
          <w:lang w:val="en-GB"/>
        </w:rPr>
        <w:t xml:space="preserve"> by 1-2 thousand </w:t>
      </w:r>
      <w:r w:rsidR="00330C08" w:rsidRPr="00D4730B">
        <w:rPr>
          <w:lang w:val="en-GB"/>
        </w:rPr>
        <w:t xml:space="preserve">and </w:t>
      </w:r>
      <w:r w:rsidR="00D3561C" w:rsidRPr="00D4730B">
        <w:rPr>
          <w:lang w:val="en-GB"/>
        </w:rPr>
        <w:t xml:space="preserve">the </w:t>
      </w:r>
      <w:r w:rsidR="00330C08" w:rsidRPr="00D4730B">
        <w:rPr>
          <w:lang w:val="en-GB"/>
        </w:rPr>
        <w:t>employment increase</w:t>
      </w:r>
      <w:r w:rsidR="00DC6B85">
        <w:rPr>
          <w:lang w:val="en-GB"/>
        </w:rPr>
        <w:t>d</w:t>
      </w:r>
      <w:r w:rsidR="00330C08" w:rsidRPr="00D4730B">
        <w:rPr>
          <w:lang w:val="en-GB"/>
        </w:rPr>
        <w:t xml:space="preserve"> by 4-8</w:t>
      </w:r>
      <w:r w:rsidR="00D3561C" w:rsidRPr="00D4730B">
        <w:rPr>
          <w:lang w:val="en-GB"/>
        </w:rPr>
        <w:t xml:space="preserve"> </w:t>
      </w:r>
      <w:r w:rsidR="00330C08" w:rsidRPr="00D4730B">
        <w:rPr>
          <w:lang w:val="en-GB"/>
        </w:rPr>
        <w:t xml:space="preserve">thousand. </w:t>
      </w:r>
    </w:p>
    <w:p w14:paraId="335F5D1E" w14:textId="58AA6D1D" w:rsidR="007D5311" w:rsidRPr="00D4730B" w:rsidRDefault="00EC582D" w:rsidP="00840309">
      <w:pPr>
        <w:pStyle w:val="Caption"/>
        <w:keepNext/>
        <w:spacing w:line="276" w:lineRule="auto"/>
        <w:rPr>
          <w:color w:val="auto"/>
          <w:sz w:val="22"/>
          <w:szCs w:val="22"/>
          <w:lang w:val="en-US"/>
        </w:rPr>
      </w:pPr>
      <w:r w:rsidRPr="00D4730B">
        <w:rPr>
          <w:color w:val="auto"/>
          <w:sz w:val="22"/>
          <w:szCs w:val="22"/>
          <w:lang w:val="en-GB"/>
        </w:rPr>
        <w:t>T</w:t>
      </w:r>
      <w:r w:rsidR="00840309" w:rsidRPr="00D4730B">
        <w:rPr>
          <w:color w:val="auto"/>
          <w:sz w:val="22"/>
          <w:szCs w:val="22"/>
          <w:lang w:val="en-GB"/>
        </w:rPr>
        <w:t>able</w:t>
      </w:r>
      <w:r w:rsidR="00E569A9" w:rsidRPr="00D4730B">
        <w:rPr>
          <w:color w:val="auto"/>
          <w:sz w:val="22"/>
          <w:szCs w:val="22"/>
          <w:lang w:val="en-GB"/>
        </w:rPr>
        <w:t xml:space="preserve"> </w:t>
      </w:r>
      <w:bookmarkEnd w:id="9"/>
      <w:r w:rsidR="007D5311" w:rsidRPr="00D4730B">
        <w:rPr>
          <w:color w:val="auto"/>
          <w:sz w:val="22"/>
          <w:szCs w:val="22"/>
          <w:lang w:val="en-GB"/>
        </w:rPr>
        <w:t>2</w:t>
      </w:r>
      <w:r w:rsidR="00E569A9" w:rsidRPr="00D4730B">
        <w:rPr>
          <w:color w:val="auto"/>
          <w:sz w:val="22"/>
          <w:szCs w:val="22"/>
          <w:lang w:val="en-GB"/>
        </w:rPr>
        <w:t xml:space="preserve">: </w:t>
      </w:r>
      <w:r w:rsidR="00840309" w:rsidRPr="00D4730B">
        <w:rPr>
          <w:color w:val="auto"/>
          <w:sz w:val="22"/>
          <w:szCs w:val="22"/>
          <w:lang w:val="en-US"/>
        </w:rPr>
        <w:t xml:space="preserve">Change in non-agricultural labor force and employment in the regions where non-agricultural unemployment decreased (thousand, 2016) </w:t>
      </w:r>
    </w:p>
    <w:tbl>
      <w:tblPr>
        <w:tblW w:w="8908" w:type="dxa"/>
        <w:tblInd w:w="75" w:type="dxa"/>
        <w:tblCellMar>
          <w:left w:w="70" w:type="dxa"/>
          <w:right w:w="70" w:type="dxa"/>
        </w:tblCellMar>
        <w:tblLook w:val="04A0" w:firstRow="1" w:lastRow="0" w:firstColumn="1" w:lastColumn="0" w:noHBand="0" w:noVBand="1"/>
      </w:tblPr>
      <w:tblGrid>
        <w:gridCol w:w="5462"/>
        <w:gridCol w:w="1367"/>
        <w:gridCol w:w="1151"/>
        <w:gridCol w:w="928"/>
      </w:tblGrid>
      <w:tr w:rsidR="001D2D70" w:rsidRPr="00D4730B" w14:paraId="2F80207E" w14:textId="77777777" w:rsidTr="001D2D70">
        <w:trPr>
          <w:trHeight w:val="288"/>
        </w:trPr>
        <w:tc>
          <w:tcPr>
            <w:tcW w:w="5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F96C5" w14:textId="039530A2" w:rsidR="001D2D70" w:rsidRPr="00D4730B" w:rsidRDefault="00EA255C"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 xml:space="preserve">Regions </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00F7C236" w14:textId="77777777" w:rsidR="001D2D70" w:rsidRPr="00D4730B" w:rsidRDefault="001D2D70" w:rsidP="0015376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Δ LFtd</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BE23F66" w14:textId="77777777" w:rsidR="001D2D70" w:rsidRPr="00D4730B" w:rsidRDefault="001D2D70" w:rsidP="0015376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Δ Etd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71A70538" w14:textId="77777777" w:rsidR="001D2D70" w:rsidRPr="00D4730B" w:rsidRDefault="001D2D70" w:rsidP="0015376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Δ utd</w:t>
            </w:r>
          </w:p>
        </w:tc>
      </w:tr>
      <w:tr w:rsidR="001D2D70" w:rsidRPr="00D4730B" w14:paraId="048D7584"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616B5205"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TRC2 (Şanlıurfa, Diyarbakır)</w:t>
            </w:r>
          </w:p>
        </w:tc>
        <w:tc>
          <w:tcPr>
            <w:tcW w:w="1367" w:type="dxa"/>
            <w:tcBorders>
              <w:top w:val="nil"/>
              <w:left w:val="nil"/>
              <w:bottom w:val="single" w:sz="4" w:space="0" w:color="auto"/>
              <w:right w:val="single" w:sz="4" w:space="0" w:color="auto"/>
            </w:tcBorders>
            <w:shd w:val="clear" w:color="auto" w:fill="auto"/>
            <w:noWrap/>
            <w:vAlign w:val="bottom"/>
            <w:hideMark/>
          </w:tcPr>
          <w:p w14:paraId="6D367842"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34</w:t>
            </w:r>
          </w:p>
        </w:tc>
        <w:tc>
          <w:tcPr>
            <w:tcW w:w="1151" w:type="dxa"/>
            <w:tcBorders>
              <w:top w:val="nil"/>
              <w:left w:val="nil"/>
              <w:bottom w:val="single" w:sz="4" w:space="0" w:color="auto"/>
              <w:right w:val="single" w:sz="4" w:space="0" w:color="auto"/>
            </w:tcBorders>
            <w:shd w:val="clear" w:color="auto" w:fill="auto"/>
            <w:noWrap/>
            <w:vAlign w:val="bottom"/>
            <w:hideMark/>
          </w:tcPr>
          <w:p w14:paraId="5DB07223"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54</w:t>
            </w:r>
          </w:p>
        </w:tc>
        <w:tc>
          <w:tcPr>
            <w:tcW w:w="928" w:type="dxa"/>
            <w:tcBorders>
              <w:top w:val="nil"/>
              <w:left w:val="nil"/>
              <w:bottom w:val="single" w:sz="4" w:space="0" w:color="auto"/>
              <w:right w:val="single" w:sz="4" w:space="0" w:color="auto"/>
            </w:tcBorders>
            <w:shd w:val="clear" w:color="auto" w:fill="auto"/>
            <w:noWrap/>
            <w:vAlign w:val="bottom"/>
            <w:hideMark/>
          </w:tcPr>
          <w:p w14:paraId="551793C9"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-3.7</w:t>
            </w:r>
          </w:p>
        </w:tc>
      </w:tr>
      <w:tr w:rsidR="001D2D70" w:rsidRPr="00D4730B" w14:paraId="259CCBA4"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41E20738" w14:textId="5768E45C"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TR71 (Kırıkkale, Aksaray, Niğde, Nevşehir, Kırşehir)</w:t>
            </w:r>
          </w:p>
        </w:tc>
        <w:tc>
          <w:tcPr>
            <w:tcW w:w="1367" w:type="dxa"/>
            <w:tcBorders>
              <w:top w:val="nil"/>
              <w:left w:val="nil"/>
              <w:bottom w:val="single" w:sz="4" w:space="0" w:color="auto"/>
              <w:right w:val="single" w:sz="4" w:space="0" w:color="auto"/>
            </w:tcBorders>
            <w:shd w:val="clear" w:color="auto" w:fill="auto"/>
            <w:noWrap/>
            <w:vAlign w:val="bottom"/>
            <w:hideMark/>
          </w:tcPr>
          <w:p w14:paraId="173BC703"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14</w:t>
            </w:r>
          </w:p>
        </w:tc>
        <w:tc>
          <w:tcPr>
            <w:tcW w:w="1151" w:type="dxa"/>
            <w:tcBorders>
              <w:top w:val="nil"/>
              <w:left w:val="nil"/>
              <w:bottom w:val="single" w:sz="4" w:space="0" w:color="auto"/>
              <w:right w:val="single" w:sz="4" w:space="0" w:color="auto"/>
            </w:tcBorders>
            <w:shd w:val="clear" w:color="auto" w:fill="auto"/>
            <w:noWrap/>
            <w:vAlign w:val="bottom"/>
            <w:hideMark/>
          </w:tcPr>
          <w:p w14:paraId="6B4E857F"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24</w:t>
            </w:r>
          </w:p>
        </w:tc>
        <w:tc>
          <w:tcPr>
            <w:tcW w:w="928" w:type="dxa"/>
            <w:tcBorders>
              <w:top w:val="nil"/>
              <w:left w:val="nil"/>
              <w:bottom w:val="single" w:sz="4" w:space="0" w:color="auto"/>
              <w:right w:val="single" w:sz="4" w:space="0" w:color="auto"/>
            </w:tcBorders>
            <w:shd w:val="clear" w:color="auto" w:fill="auto"/>
            <w:noWrap/>
            <w:vAlign w:val="bottom"/>
            <w:hideMark/>
          </w:tcPr>
          <w:p w14:paraId="3E6436F3" w14:textId="695C9D71"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-3</w:t>
            </w:r>
            <w:r w:rsidR="003416C0" w:rsidRPr="00D4730B">
              <w:rPr>
                <w:rFonts w:ascii="Calibri" w:eastAsia="Times New Roman" w:hAnsi="Calibri" w:cs="Times New Roman"/>
                <w:color w:val="000000"/>
                <w:lang w:val="en-GB"/>
              </w:rPr>
              <w:t>.0</w:t>
            </w:r>
          </w:p>
        </w:tc>
      </w:tr>
      <w:tr w:rsidR="001D2D70" w:rsidRPr="00D4730B" w14:paraId="5C34EAD8"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0B3D115F"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TR63 (Hatay, Kahramanmaraş, Osmaniye)</w:t>
            </w:r>
          </w:p>
        </w:tc>
        <w:tc>
          <w:tcPr>
            <w:tcW w:w="1367" w:type="dxa"/>
            <w:tcBorders>
              <w:top w:val="nil"/>
              <w:left w:val="nil"/>
              <w:bottom w:val="single" w:sz="4" w:space="0" w:color="auto"/>
              <w:right w:val="single" w:sz="4" w:space="0" w:color="auto"/>
            </w:tcBorders>
            <w:shd w:val="clear" w:color="auto" w:fill="auto"/>
            <w:noWrap/>
            <w:vAlign w:val="bottom"/>
            <w:hideMark/>
          </w:tcPr>
          <w:p w14:paraId="40D0253B"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38</w:t>
            </w:r>
          </w:p>
        </w:tc>
        <w:tc>
          <w:tcPr>
            <w:tcW w:w="1151" w:type="dxa"/>
            <w:tcBorders>
              <w:top w:val="nil"/>
              <w:left w:val="nil"/>
              <w:bottom w:val="single" w:sz="4" w:space="0" w:color="auto"/>
              <w:right w:val="single" w:sz="4" w:space="0" w:color="auto"/>
            </w:tcBorders>
            <w:shd w:val="clear" w:color="auto" w:fill="auto"/>
            <w:noWrap/>
            <w:vAlign w:val="bottom"/>
            <w:hideMark/>
          </w:tcPr>
          <w:p w14:paraId="0C31195C"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56</w:t>
            </w:r>
          </w:p>
        </w:tc>
        <w:tc>
          <w:tcPr>
            <w:tcW w:w="928" w:type="dxa"/>
            <w:tcBorders>
              <w:top w:val="nil"/>
              <w:left w:val="nil"/>
              <w:bottom w:val="single" w:sz="4" w:space="0" w:color="auto"/>
              <w:right w:val="single" w:sz="4" w:space="0" w:color="auto"/>
            </w:tcBorders>
            <w:shd w:val="clear" w:color="auto" w:fill="auto"/>
            <w:noWrap/>
            <w:vAlign w:val="bottom"/>
            <w:hideMark/>
          </w:tcPr>
          <w:p w14:paraId="52A6987E"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-2.9</w:t>
            </w:r>
          </w:p>
        </w:tc>
      </w:tr>
      <w:tr w:rsidR="001D2D70" w:rsidRPr="00D4730B" w14:paraId="7842354C"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75224ED6"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TR82 (Kastamonu, Çankırı, Sinop)</w:t>
            </w:r>
          </w:p>
        </w:tc>
        <w:tc>
          <w:tcPr>
            <w:tcW w:w="1367" w:type="dxa"/>
            <w:tcBorders>
              <w:top w:val="nil"/>
              <w:left w:val="nil"/>
              <w:bottom w:val="single" w:sz="4" w:space="0" w:color="auto"/>
              <w:right w:val="single" w:sz="4" w:space="0" w:color="auto"/>
            </w:tcBorders>
            <w:shd w:val="clear" w:color="auto" w:fill="auto"/>
            <w:noWrap/>
            <w:vAlign w:val="bottom"/>
            <w:hideMark/>
          </w:tcPr>
          <w:p w14:paraId="403756F0"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7</w:t>
            </w:r>
          </w:p>
        </w:tc>
        <w:tc>
          <w:tcPr>
            <w:tcW w:w="1151" w:type="dxa"/>
            <w:tcBorders>
              <w:top w:val="nil"/>
              <w:left w:val="nil"/>
              <w:bottom w:val="single" w:sz="4" w:space="0" w:color="auto"/>
              <w:right w:val="single" w:sz="4" w:space="0" w:color="auto"/>
            </w:tcBorders>
            <w:shd w:val="clear" w:color="auto" w:fill="auto"/>
            <w:noWrap/>
            <w:vAlign w:val="bottom"/>
            <w:hideMark/>
          </w:tcPr>
          <w:p w14:paraId="260EFDF2"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10</w:t>
            </w:r>
          </w:p>
        </w:tc>
        <w:tc>
          <w:tcPr>
            <w:tcW w:w="928" w:type="dxa"/>
            <w:tcBorders>
              <w:top w:val="nil"/>
              <w:left w:val="nil"/>
              <w:bottom w:val="single" w:sz="4" w:space="0" w:color="auto"/>
              <w:right w:val="single" w:sz="4" w:space="0" w:color="auto"/>
            </w:tcBorders>
            <w:shd w:val="clear" w:color="auto" w:fill="auto"/>
            <w:noWrap/>
            <w:vAlign w:val="bottom"/>
            <w:hideMark/>
          </w:tcPr>
          <w:p w14:paraId="2830EEB4"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-2.2</w:t>
            </w:r>
          </w:p>
        </w:tc>
      </w:tr>
      <w:tr w:rsidR="001D2D70" w:rsidRPr="00D4730B" w14:paraId="67598F83"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1F039082" w14:textId="146EA4FB"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TRB1 (Malatya, Elâzığ, Bingöl, Tunceli)</w:t>
            </w:r>
          </w:p>
        </w:tc>
        <w:tc>
          <w:tcPr>
            <w:tcW w:w="1367" w:type="dxa"/>
            <w:tcBorders>
              <w:top w:val="nil"/>
              <w:left w:val="nil"/>
              <w:bottom w:val="single" w:sz="4" w:space="0" w:color="auto"/>
              <w:right w:val="single" w:sz="4" w:space="0" w:color="auto"/>
            </w:tcBorders>
            <w:shd w:val="clear" w:color="auto" w:fill="auto"/>
            <w:noWrap/>
            <w:vAlign w:val="bottom"/>
            <w:hideMark/>
          </w:tcPr>
          <w:p w14:paraId="66CB9448"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-10</w:t>
            </w:r>
          </w:p>
        </w:tc>
        <w:tc>
          <w:tcPr>
            <w:tcW w:w="1151" w:type="dxa"/>
            <w:tcBorders>
              <w:top w:val="nil"/>
              <w:left w:val="nil"/>
              <w:bottom w:val="single" w:sz="4" w:space="0" w:color="auto"/>
              <w:right w:val="single" w:sz="4" w:space="0" w:color="auto"/>
            </w:tcBorders>
            <w:shd w:val="clear" w:color="auto" w:fill="auto"/>
            <w:noWrap/>
            <w:vAlign w:val="bottom"/>
            <w:hideMark/>
          </w:tcPr>
          <w:p w14:paraId="2B046BD1"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0</w:t>
            </w:r>
          </w:p>
        </w:tc>
        <w:tc>
          <w:tcPr>
            <w:tcW w:w="928" w:type="dxa"/>
            <w:tcBorders>
              <w:top w:val="nil"/>
              <w:left w:val="nil"/>
              <w:bottom w:val="single" w:sz="4" w:space="0" w:color="auto"/>
              <w:right w:val="single" w:sz="4" w:space="0" w:color="auto"/>
            </w:tcBorders>
            <w:shd w:val="clear" w:color="auto" w:fill="auto"/>
            <w:noWrap/>
            <w:vAlign w:val="bottom"/>
            <w:hideMark/>
          </w:tcPr>
          <w:p w14:paraId="63A90CB6"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-1.9</w:t>
            </w:r>
          </w:p>
        </w:tc>
      </w:tr>
      <w:tr w:rsidR="001D2D70" w:rsidRPr="00D4730B" w14:paraId="6490AD2E"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71E375EB"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TR81 (Zonguldak, Karabük, Bartın)</w:t>
            </w:r>
          </w:p>
        </w:tc>
        <w:tc>
          <w:tcPr>
            <w:tcW w:w="1367" w:type="dxa"/>
            <w:tcBorders>
              <w:top w:val="nil"/>
              <w:left w:val="nil"/>
              <w:bottom w:val="single" w:sz="4" w:space="0" w:color="auto"/>
              <w:right w:val="single" w:sz="4" w:space="0" w:color="auto"/>
            </w:tcBorders>
            <w:shd w:val="clear" w:color="auto" w:fill="auto"/>
            <w:noWrap/>
            <w:vAlign w:val="bottom"/>
            <w:hideMark/>
          </w:tcPr>
          <w:p w14:paraId="3E2FB6B3"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w:t>
            </w:r>
          </w:p>
        </w:tc>
        <w:tc>
          <w:tcPr>
            <w:tcW w:w="1151" w:type="dxa"/>
            <w:tcBorders>
              <w:top w:val="nil"/>
              <w:left w:val="nil"/>
              <w:bottom w:val="single" w:sz="4" w:space="0" w:color="auto"/>
              <w:right w:val="single" w:sz="4" w:space="0" w:color="auto"/>
            </w:tcBorders>
            <w:shd w:val="clear" w:color="auto" w:fill="auto"/>
            <w:noWrap/>
            <w:vAlign w:val="bottom"/>
            <w:hideMark/>
          </w:tcPr>
          <w:p w14:paraId="4780D475"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4</w:t>
            </w:r>
          </w:p>
        </w:tc>
        <w:tc>
          <w:tcPr>
            <w:tcW w:w="928" w:type="dxa"/>
            <w:tcBorders>
              <w:top w:val="nil"/>
              <w:left w:val="nil"/>
              <w:bottom w:val="single" w:sz="4" w:space="0" w:color="auto"/>
              <w:right w:val="single" w:sz="4" w:space="0" w:color="auto"/>
            </w:tcBorders>
            <w:shd w:val="clear" w:color="auto" w:fill="auto"/>
            <w:noWrap/>
            <w:vAlign w:val="bottom"/>
            <w:hideMark/>
          </w:tcPr>
          <w:p w14:paraId="346367C5"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-1.9</w:t>
            </w:r>
          </w:p>
        </w:tc>
      </w:tr>
      <w:tr w:rsidR="001D2D70" w:rsidRPr="00D4730B" w14:paraId="7AF1C9C5"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1D50BBE5"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TR83 (Samsun, Tokat, Çorum, Amasya)</w:t>
            </w:r>
          </w:p>
        </w:tc>
        <w:tc>
          <w:tcPr>
            <w:tcW w:w="1367" w:type="dxa"/>
            <w:tcBorders>
              <w:top w:val="nil"/>
              <w:left w:val="nil"/>
              <w:bottom w:val="single" w:sz="4" w:space="0" w:color="auto"/>
              <w:right w:val="single" w:sz="4" w:space="0" w:color="auto"/>
            </w:tcBorders>
            <w:shd w:val="clear" w:color="auto" w:fill="auto"/>
            <w:noWrap/>
            <w:vAlign w:val="bottom"/>
            <w:hideMark/>
          </w:tcPr>
          <w:p w14:paraId="3D44EF2C"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14</w:t>
            </w:r>
          </w:p>
        </w:tc>
        <w:tc>
          <w:tcPr>
            <w:tcW w:w="1151" w:type="dxa"/>
            <w:tcBorders>
              <w:top w:val="nil"/>
              <w:left w:val="nil"/>
              <w:bottom w:val="single" w:sz="4" w:space="0" w:color="auto"/>
              <w:right w:val="single" w:sz="4" w:space="0" w:color="auto"/>
            </w:tcBorders>
            <w:shd w:val="clear" w:color="auto" w:fill="auto"/>
            <w:noWrap/>
            <w:vAlign w:val="bottom"/>
            <w:hideMark/>
          </w:tcPr>
          <w:p w14:paraId="1898408E"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25</w:t>
            </w:r>
          </w:p>
        </w:tc>
        <w:tc>
          <w:tcPr>
            <w:tcW w:w="928" w:type="dxa"/>
            <w:tcBorders>
              <w:top w:val="nil"/>
              <w:left w:val="nil"/>
              <w:bottom w:val="single" w:sz="4" w:space="0" w:color="auto"/>
              <w:right w:val="single" w:sz="4" w:space="0" w:color="auto"/>
            </w:tcBorders>
            <w:shd w:val="clear" w:color="auto" w:fill="auto"/>
            <w:noWrap/>
            <w:vAlign w:val="bottom"/>
            <w:hideMark/>
          </w:tcPr>
          <w:p w14:paraId="23F14BB3"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-1.8</w:t>
            </w:r>
          </w:p>
        </w:tc>
      </w:tr>
      <w:tr w:rsidR="001D2D70" w:rsidRPr="00D4730B" w14:paraId="5CF9BF4D"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28D6902A"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TR90 (Trabzon, Ordu, Giresun, Rize, Artvin, Gümüşhane)</w:t>
            </w:r>
          </w:p>
        </w:tc>
        <w:tc>
          <w:tcPr>
            <w:tcW w:w="1367" w:type="dxa"/>
            <w:tcBorders>
              <w:top w:val="nil"/>
              <w:left w:val="nil"/>
              <w:bottom w:val="single" w:sz="4" w:space="0" w:color="auto"/>
              <w:right w:val="single" w:sz="4" w:space="0" w:color="auto"/>
            </w:tcBorders>
            <w:shd w:val="clear" w:color="auto" w:fill="auto"/>
            <w:noWrap/>
            <w:vAlign w:val="bottom"/>
            <w:hideMark/>
          </w:tcPr>
          <w:p w14:paraId="4A657000"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w:t>
            </w:r>
          </w:p>
        </w:tc>
        <w:tc>
          <w:tcPr>
            <w:tcW w:w="1151" w:type="dxa"/>
            <w:tcBorders>
              <w:top w:val="nil"/>
              <w:left w:val="nil"/>
              <w:bottom w:val="single" w:sz="4" w:space="0" w:color="auto"/>
              <w:right w:val="single" w:sz="4" w:space="0" w:color="auto"/>
            </w:tcBorders>
            <w:shd w:val="clear" w:color="auto" w:fill="auto"/>
            <w:noWrap/>
            <w:vAlign w:val="bottom"/>
            <w:hideMark/>
          </w:tcPr>
          <w:p w14:paraId="30869A8D"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8</w:t>
            </w:r>
          </w:p>
        </w:tc>
        <w:tc>
          <w:tcPr>
            <w:tcW w:w="928" w:type="dxa"/>
            <w:tcBorders>
              <w:top w:val="nil"/>
              <w:left w:val="nil"/>
              <w:bottom w:val="single" w:sz="4" w:space="0" w:color="auto"/>
              <w:right w:val="single" w:sz="4" w:space="0" w:color="auto"/>
            </w:tcBorders>
            <w:shd w:val="clear" w:color="auto" w:fill="auto"/>
            <w:noWrap/>
            <w:vAlign w:val="bottom"/>
            <w:hideMark/>
          </w:tcPr>
          <w:p w14:paraId="36E3D1F0"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-1.4</w:t>
            </w:r>
          </w:p>
        </w:tc>
      </w:tr>
      <w:tr w:rsidR="001D2D70" w:rsidRPr="00D4730B" w14:paraId="733A2A9E"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742CC203"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TR22 (Balıkesir, Çanakkale)</w:t>
            </w:r>
          </w:p>
        </w:tc>
        <w:tc>
          <w:tcPr>
            <w:tcW w:w="1367" w:type="dxa"/>
            <w:tcBorders>
              <w:top w:val="nil"/>
              <w:left w:val="nil"/>
              <w:bottom w:val="single" w:sz="4" w:space="0" w:color="auto"/>
              <w:right w:val="single" w:sz="4" w:space="0" w:color="auto"/>
            </w:tcBorders>
            <w:shd w:val="clear" w:color="auto" w:fill="auto"/>
            <w:noWrap/>
            <w:vAlign w:val="bottom"/>
            <w:hideMark/>
          </w:tcPr>
          <w:p w14:paraId="741BF382"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8</w:t>
            </w:r>
          </w:p>
        </w:tc>
        <w:tc>
          <w:tcPr>
            <w:tcW w:w="1151" w:type="dxa"/>
            <w:tcBorders>
              <w:top w:val="nil"/>
              <w:left w:val="nil"/>
              <w:bottom w:val="single" w:sz="4" w:space="0" w:color="auto"/>
              <w:right w:val="single" w:sz="4" w:space="0" w:color="auto"/>
            </w:tcBorders>
            <w:shd w:val="clear" w:color="auto" w:fill="auto"/>
            <w:noWrap/>
            <w:vAlign w:val="bottom"/>
            <w:hideMark/>
          </w:tcPr>
          <w:p w14:paraId="6F59BD55"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10</w:t>
            </w:r>
          </w:p>
        </w:tc>
        <w:tc>
          <w:tcPr>
            <w:tcW w:w="928" w:type="dxa"/>
            <w:tcBorders>
              <w:top w:val="nil"/>
              <w:left w:val="nil"/>
              <w:bottom w:val="single" w:sz="4" w:space="0" w:color="auto"/>
              <w:right w:val="single" w:sz="4" w:space="0" w:color="auto"/>
            </w:tcBorders>
            <w:shd w:val="clear" w:color="auto" w:fill="auto"/>
            <w:noWrap/>
            <w:vAlign w:val="bottom"/>
            <w:hideMark/>
          </w:tcPr>
          <w:p w14:paraId="60C15080"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-0.5</w:t>
            </w:r>
          </w:p>
        </w:tc>
      </w:tr>
      <w:tr w:rsidR="001D2D70" w:rsidRPr="00D4730B" w14:paraId="5E36C720"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1981F3B9"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TRA1 (Erzurum, Erzincan, Bayburt)</w:t>
            </w:r>
          </w:p>
        </w:tc>
        <w:tc>
          <w:tcPr>
            <w:tcW w:w="1367" w:type="dxa"/>
            <w:tcBorders>
              <w:top w:val="nil"/>
              <w:left w:val="nil"/>
              <w:bottom w:val="single" w:sz="4" w:space="0" w:color="auto"/>
              <w:right w:val="single" w:sz="4" w:space="0" w:color="auto"/>
            </w:tcBorders>
            <w:shd w:val="clear" w:color="auto" w:fill="auto"/>
            <w:noWrap/>
            <w:vAlign w:val="bottom"/>
            <w:hideMark/>
          </w:tcPr>
          <w:p w14:paraId="296FD1A8"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19</w:t>
            </w:r>
          </w:p>
        </w:tc>
        <w:tc>
          <w:tcPr>
            <w:tcW w:w="1151" w:type="dxa"/>
            <w:tcBorders>
              <w:top w:val="nil"/>
              <w:left w:val="nil"/>
              <w:bottom w:val="single" w:sz="4" w:space="0" w:color="auto"/>
              <w:right w:val="single" w:sz="4" w:space="0" w:color="auto"/>
            </w:tcBorders>
            <w:shd w:val="clear" w:color="auto" w:fill="auto"/>
            <w:noWrap/>
            <w:vAlign w:val="bottom"/>
            <w:hideMark/>
          </w:tcPr>
          <w:p w14:paraId="41CADE84"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18</w:t>
            </w:r>
          </w:p>
        </w:tc>
        <w:tc>
          <w:tcPr>
            <w:tcW w:w="928" w:type="dxa"/>
            <w:tcBorders>
              <w:top w:val="nil"/>
              <w:left w:val="nil"/>
              <w:bottom w:val="single" w:sz="4" w:space="0" w:color="auto"/>
              <w:right w:val="single" w:sz="4" w:space="0" w:color="auto"/>
            </w:tcBorders>
            <w:shd w:val="clear" w:color="auto" w:fill="auto"/>
            <w:noWrap/>
            <w:vAlign w:val="bottom"/>
            <w:hideMark/>
          </w:tcPr>
          <w:p w14:paraId="1EC7488B"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-0.2</w:t>
            </w:r>
          </w:p>
        </w:tc>
      </w:tr>
      <w:tr w:rsidR="001D2D70" w:rsidRPr="00D4730B" w14:paraId="53743044"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7681ED2A"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TR52 (Konya, Karaman)</w:t>
            </w:r>
          </w:p>
        </w:tc>
        <w:tc>
          <w:tcPr>
            <w:tcW w:w="1367" w:type="dxa"/>
            <w:tcBorders>
              <w:top w:val="nil"/>
              <w:left w:val="nil"/>
              <w:bottom w:val="single" w:sz="4" w:space="0" w:color="auto"/>
              <w:right w:val="single" w:sz="4" w:space="0" w:color="auto"/>
            </w:tcBorders>
            <w:shd w:val="clear" w:color="auto" w:fill="auto"/>
            <w:noWrap/>
            <w:vAlign w:val="bottom"/>
            <w:hideMark/>
          </w:tcPr>
          <w:p w14:paraId="71745C97"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21</w:t>
            </w:r>
          </w:p>
        </w:tc>
        <w:tc>
          <w:tcPr>
            <w:tcW w:w="1151" w:type="dxa"/>
            <w:tcBorders>
              <w:top w:val="nil"/>
              <w:left w:val="nil"/>
              <w:bottom w:val="single" w:sz="4" w:space="0" w:color="auto"/>
              <w:right w:val="single" w:sz="4" w:space="0" w:color="auto"/>
            </w:tcBorders>
            <w:shd w:val="clear" w:color="auto" w:fill="auto"/>
            <w:noWrap/>
            <w:vAlign w:val="bottom"/>
            <w:hideMark/>
          </w:tcPr>
          <w:p w14:paraId="18110245"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21</w:t>
            </w:r>
          </w:p>
        </w:tc>
        <w:tc>
          <w:tcPr>
            <w:tcW w:w="928" w:type="dxa"/>
            <w:tcBorders>
              <w:top w:val="nil"/>
              <w:left w:val="nil"/>
              <w:bottom w:val="single" w:sz="4" w:space="0" w:color="auto"/>
              <w:right w:val="single" w:sz="4" w:space="0" w:color="auto"/>
            </w:tcBorders>
            <w:shd w:val="clear" w:color="auto" w:fill="auto"/>
            <w:noWrap/>
            <w:vAlign w:val="bottom"/>
            <w:hideMark/>
          </w:tcPr>
          <w:p w14:paraId="5F90DCD1"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-0.2</w:t>
            </w:r>
          </w:p>
        </w:tc>
      </w:tr>
      <w:tr w:rsidR="001D2D70" w:rsidRPr="00D4730B" w14:paraId="47243BBC"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2B6C8196"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TR31 (İzmir)</w:t>
            </w:r>
          </w:p>
        </w:tc>
        <w:tc>
          <w:tcPr>
            <w:tcW w:w="1367" w:type="dxa"/>
            <w:tcBorders>
              <w:top w:val="nil"/>
              <w:left w:val="nil"/>
              <w:bottom w:val="single" w:sz="4" w:space="0" w:color="auto"/>
              <w:right w:val="single" w:sz="4" w:space="0" w:color="auto"/>
            </w:tcBorders>
            <w:shd w:val="clear" w:color="auto" w:fill="auto"/>
            <w:noWrap/>
            <w:vAlign w:val="bottom"/>
            <w:hideMark/>
          </w:tcPr>
          <w:p w14:paraId="7CB42C02"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56</w:t>
            </w:r>
          </w:p>
        </w:tc>
        <w:tc>
          <w:tcPr>
            <w:tcW w:w="1151" w:type="dxa"/>
            <w:tcBorders>
              <w:top w:val="nil"/>
              <w:left w:val="nil"/>
              <w:bottom w:val="single" w:sz="4" w:space="0" w:color="auto"/>
              <w:right w:val="single" w:sz="4" w:space="0" w:color="auto"/>
            </w:tcBorders>
            <w:shd w:val="clear" w:color="auto" w:fill="auto"/>
            <w:noWrap/>
            <w:vAlign w:val="bottom"/>
            <w:hideMark/>
          </w:tcPr>
          <w:p w14:paraId="270944BC" w14:textId="77777777" w:rsidR="001D2D70" w:rsidRPr="00D4730B" w:rsidRDefault="001D2D70" w:rsidP="00094590">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49</w:t>
            </w:r>
          </w:p>
        </w:tc>
        <w:tc>
          <w:tcPr>
            <w:tcW w:w="928" w:type="dxa"/>
            <w:tcBorders>
              <w:top w:val="nil"/>
              <w:left w:val="nil"/>
              <w:bottom w:val="single" w:sz="4" w:space="0" w:color="auto"/>
              <w:right w:val="single" w:sz="4" w:space="0" w:color="auto"/>
            </w:tcBorders>
            <w:shd w:val="clear" w:color="auto" w:fill="auto"/>
            <w:noWrap/>
            <w:vAlign w:val="bottom"/>
            <w:hideMark/>
          </w:tcPr>
          <w:p w14:paraId="299EAB74"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-0.1</w:t>
            </w:r>
          </w:p>
        </w:tc>
      </w:tr>
      <w:tr w:rsidR="001D2D70" w:rsidRPr="00D4730B" w14:paraId="0FDB8765"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541476C9" w14:textId="77777777" w:rsidR="001D2D70" w:rsidRPr="00D4730B" w:rsidRDefault="001D2D70" w:rsidP="00ED3B36">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TR51 (Ankara)</w:t>
            </w:r>
          </w:p>
        </w:tc>
        <w:tc>
          <w:tcPr>
            <w:tcW w:w="1367" w:type="dxa"/>
            <w:tcBorders>
              <w:top w:val="nil"/>
              <w:left w:val="nil"/>
              <w:bottom w:val="single" w:sz="4" w:space="0" w:color="auto"/>
              <w:right w:val="single" w:sz="4" w:space="0" w:color="auto"/>
            </w:tcBorders>
            <w:shd w:val="clear" w:color="auto" w:fill="auto"/>
            <w:noWrap/>
            <w:vAlign w:val="bottom"/>
            <w:hideMark/>
          </w:tcPr>
          <w:p w14:paraId="301DCE8B" w14:textId="77777777" w:rsidR="001D2D70" w:rsidRPr="00D4730B" w:rsidRDefault="001D2D70" w:rsidP="008638C9">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62</w:t>
            </w:r>
          </w:p>
        </w:tc>
        <w:tc>
          <w:tcPr>
            <w:tcW w:w="1151" w:type="dxa"/>
            <w:tcBorders>
              <w:top w:val="nil"/>
              <w:left w:val="nil"/>
              <w:bottom w:val="single" w:sz="4" w:space="0" w:color="auto"/>
              <w:right w:val="single" w:sz="4" w:space="0" w:color="auto"/>
            </w:tcBorders>
            <w:shd w:val="clear" w:color="auto" w:fill="auto"/>
            <w:noWrap/>
            <w:vAlign w:val="bottom"/>
            <w:hideMark/>
          </w:tcPr>
          <w:p w14:paraId="028975F4" w14:textId="77777777" w:rsidR="001D2D70" w:rsidRPr="00D4730B" w:rsidRDefault="001D2D70" w:rsidP="008638C9">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57</w:t>
            </w:r>
          </w:p>
        </w:tc>
        <w:tc>
          <w:tcPr>
            <w:tcW w:w="928" w:type="dxa"/>
            <w:tcBorders>
              <w:top w:val="nil"/>
              <w:left w:val="nil"/>
              <w:bottom w:val="single" w:sz="4" w:space="0" w:color="auto"/>
              <w:right w:val="single" w:sz="4" w:space="0" w:color="auto"/>
            </w:tcBorders>
            <w:shd w:val="clear" w:color="auto" w:fill="auto"/>
            <w:noWrap/>
            <w:vAlign w:val="bottom"/>
            <w:hideMark/>
          </w:tcPr>
          <w:p w14:paraId="6E7EC1BE" w14:textId="77777777" w:rsidR="001D2D70" w:rsidRPr="00D4730B" w:rsidRDefault="001D2D70" w:rsidP="008638C9">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-0.1</w:t>
            </w:r>
          </w:p>
        </w:tc>
      </w:tr>
    </w:tbl>
    <w:p w14:paraId="44A1A469" w14:textId="3648ABF1" w:rsidR="00357679" w:rsidRPr="00D4730B" w:rsidRDefault="00EA255C" w:rsidP="00ED3B36">
      <w:pPr>
        <w:pStyle w:val="Caption"/>
        <w:keepNext/>
        <w:spacing w:after="0" w:line="276" w:lineRule="auto"/>
        <w:jc w:val="both"/>
        <w:rPr>
          <w:b w:val="0"/>
          <w:color w:val="000000" w:themeColor="text1"/>
          <w:sz w:val="16"/>
          <w:szCs w:val="16"/>
          <w:lang w:val="en-GB"/>
        </w:rPr>
      </w:pPr>
      <w:r w:rsidRPr="00D4730B">
        <w:rPr>
          <w:b w:val="0"/>
          <w:color w:val="000000" w:themeColor="text1"/>
          <w:sz w:val="16"/>
          <w:szCs w:val="16"/>
          <w:lang w:val="en-GB"/>
        </w:rPr>
        <w:t>Source: TURKSTAT</w:t>
      </w:r>
      <w:r w:rsidR="00E800CE" w:rsidRPr="00D4730B">
        <w:rPr>
          <w:b w:val="0"/>
          <w:color w:val="000000" w:themeColor="text1"/>
          <w:sz w:val="16"/>
          <w:szCs w:val="16"/>
          <w:lang w:val="en-GB"/>
        </w:rPr>
        <w:t>, Betam.</w:t>
      </w:r>
    </w:p>
    <w:p w14:paraId="3D1E55F8" w14:textId="4FD4DE30" w:rsidR="00EA255C" w:rsidRPr="00D4730B" w:rsidRDefault="00EA255C" w:rsidP="00EA255C">
      <w:pPr>
        <w:spacing w:after="0"/>
        <w:jc w:val="both"/>
        <w:rPr>
          <w:color w:val="000000" w:themeColor="text1"/>
          <w:sz w:val="16"/>
          <w:szCs w:val="16"/>
          <w:lang w:val="en-GB"/>
        </w:rPr>
      </w:pPr>
      <w:r w:rsidRPr="00D4730B">
        <w:rPr>
          <w:color w:val="000000" w:themeColor="text1"/>
          <w:sz w:val="16"/>
          <w:szCs w:val="16"/>
          <w:lang w:val="en-GB"/>
        </w:rPr>
        <w:t>Note: Δ LFtd: the change in non-agricultural labor force, Δ Etd: the change in non-agricultural employment, Δ utd: the change in non-agricultural unemployment</w:t>
      </w:r>
    </w:p>
    <w:p w14:paraId="370E4BA9" w14:textId="77777777" w:rsidR="00E946A3" w:rsidRDefault="00E946A3" w:rsidP="00ED3B36">
      <w:pPr>
        <w:jc w:val="both"/>
        <w:rPr>
          <w:b/>
          <w:sz w:val="24"/>
          <w:szCs w:val="24"/>
          <w:lang w:val="en-GB"/>
        </w:rPr>
      </w:pPr>
    </w:p>
    <w:p w14:paraId="3B335DB8" w14:textId="7C35CD34" w:rsidR="000B52B5" w:rsidRPr="00D4730B" w:rsidRDefault="00EA255C" w:rsidP="00ED3B36">
      <w:pPr>
        <w:jc w:val="both"/>
        <w:rPr>
          <w:b/>
          <w:sz w:val="24"/>
          <w:szCs w:val="24"/>
          <w:lang w:val="en-GB"/>
        </w:rPr>
      </w:pPr>
      <w:r w:rsidRPr="00D4730B">
        <w:rPr>
          <w:b/>
          <w:sz w:val="24"/>
          <w:szCs w:val="24"/>
          <w:lang w:val="en-GB"/>
        </w:rPr>
        <w:t xml:space="preserve">General evaluation </w:t>
      </w:r>
    </w:p>
    <w:p w14:paraId="48703897" w14:textId="6C40894A" w:rsidR="001F4EC0" w:rsidRPr="00D4730B" w:rsidRDefault="00402D81" w:rsidP="001F4EC0">
      <w:pPr>
        <w:jc w:val="both"/>
        <w:rPr>
          <w:lang w:val="en-US"/>
        </w:rPr>
      </w:pPr>
      <w:r w:rsidRPr="00D4730B">
        <w:rPr>
          <w:lang w:val="en-US"/>
        </w:rPr>
        <w:t xml:space="preserve">While unemployment rate in Turkey remained constant at </w:t>
      </w:r>
      <w:r w:rsidR="006F311E" w:rsidRPr="00D4730B">
        <w:rPr>
          <w:lang w:val="en-US"/>
        </w:rPr>
        <w:t>13 percent from 2016 to 2017</w:t>
      </w:r>
      <w:r w:rsidRPr="00D4730B">
        <w:rPr>
          <w:lang w:val="en-US"/>
        </w:rPr>
        <w:t>, regional labor markets behaved quite differently</w:t>
      </w:r>
      <w:r w:rsidR="00934008" w:rsidRPr="00D4730B">
        <w:rPr>
          <w:lang w:val="en-US"/>
        </w:rPr>
        <w:t xml:space="preserve">. The unemployment rate decreased in 13 regions, increased in 11 regions and </w:t>
      </w:r>
      <w:r w:rsidR="007C2FD4">
        <w:rPr>
          <w:lang w:val="en-US"/>
        </w:rPr>
        <w:t xml:space="preserve">did not change </w:t>
      </w:r>
      <w:r w:rsidR="00934008" w:rsidRPr="00D4730B">
        <w:rPr>
          <w:lang w:val="en-US"/>
        </w:rPr>
        <w:t xml:space="preserve">in 2 regions. </w:t>
      </w:r>
      <w:r w:rsidR="00634AC4" w:rsidRPr="00D4730B">
        <w:rPr>
          <w:lang w:val="en-US"/>
        </w:rPr>
        <w:t xml:space="preserve">The regional mean absolute deviation, 3.5 in 2016, increased to 3.7 in 2017. As result, the existing regional inequalities in unemployment have become even deeper. </w:t>
      </w:r>
      <w:r w:rsidR="00634AC4" w:rsidRPr="00D4730B">
        <w:rPr>
          <w:b/>
          <w:lang w:val="en-US"/>
        </w:rPr>
        <w:t>There is actually a profound gap between the lowest (6.1 percent) and the highest non-agricultural unemployment rates (30.1 percent)</w:t>
      </w:r>
      <w:r w:rsidR="008006E0" w:rsidRPr="00D4730B">
        <w:rPr>
          <w:b/>
          <w:lang w:val="en-US"/>
        </w:rPr>
        <w:t xml:space="preserve"> </w:t>
      </w:r>
      <w:r w:rsidR="008006E0" w:rsidRPr="00D4730B">
        <w:rPr>
          <w:lang w:val="en-US"/>
        </w:rPr>
        <w:t>as if we are looking at different countries where labor markets present different characteristics. This striking divergence could not be explained only by insufficient labor mobility among regions.</w:t>
      </w:r>
      <w:r w:rsidR="001F4EC0" w:rsidRPr="00D4730B">
        <w:rPr>
          <w:lang w:val="en-US"/>
        </w:rPr>
        <w:t xml:space="preserve"> Factors like highly unequal development levels, large differences in female labor force participation and asymmetric effects of economic shocks produce particular labor market structures and dynamics for different regions.</w:t>
      </w:r>
    </w:p>
    <w:p w14:paraId="035294BA" w14:textId="39BB216B" w:rsidR="00402D81" w:rsidRPr="00D4730B" w:rsidRDefault="00BC546A" w:rsidP="00ED3B36">
      <w:pPr>
        <w:jc w:val="both"/>
        <w:rPr>
          <w:lang w:val="en-GB"/>
        </w:rPr>
      </w:pPr>
      <w:r w:rsidRPr="00D4730B">
        <w:rPr>
          <w:lang w:val="en-US"/>
        </w:rPr>
        <w:t xml:space="preserve">Since </w:t>
      </w:r>
      <w:r w:rsidR="003D6E48">
        <w:rPr>
          <w:lang w:val="en-US"/>
        </w:rPr>
        <w:t xml:space="preserve">a </w:t>
      </w:r>
      <w:r w:rsidRPr="00D4730B">
        <w:rPr>
          <w:lang w:val="en-US"/>
        </w:rPr>
        <w:t xml:space="preserve">synthetic </w:t>
      </w:r>
      <w:r w:rsidR="003D6E48">
        <w:rPr>
          <w:lang w:val="en-US"/>
        </w:rPr>
        <w:t xml:space="preserve">index of performance </w:t>
      </w:r>
      <w:r w:rsidRPr="00D4730B">
        <w:rPr>
          <w:lang w:val="en-US"/>
        </w:rPr>
        <w:t xml:space="preserve">combining unemployment rate, employment ratio and </w:t>
      </w:r>
      <w:r w:rsidR="003D6E48">
        <w:rPr>
          <w:lang w:val="en-US"/>
        </w:rPr>
        <w:t>both size and direction of</w:t>
      </w:r>
      <w:r w:rsidRPr="00D4730B">
        <w:rPr>
          <w:lang w:val="en-US"/>
        </w:rPr>
        <w:t xml:space="preserve"> changes in unemployment</w:t>
      </w:r>
      <w:r w:rsidR="003D6E48">
        <w:rPr>
          <w:lang w:val="en-US"/>
        </w:rPr>
        <w:t xml:space="preserve"> is no available yet</w:t>
      </w:r>
      <w:r w:rsidRPr="00D4730B">
        <w:rPr>
          <w:lang w:val="en-US"/>
        </w:rPr>
        <w:t>, it is not possible to rank the regions systematically.</w:t>
      </w:r>
      <w:r w:rsidR="00A31BF9" w:rsidRPr="00D4730B">
        <w:rPr>
          <w:lang w:val="en-US"/>
        </w:rPr>
        <w:t xml:space="preserve"> Nevertheless, as we tried in this research brief, </w:t>
      </w:r>
      <w:r w:rsidR="003D6E48" w:rsidRPr="00D4730B">
        <w:rPr>
          <w:lang w:val="en-US"/>
        </w:rPr>
        <w:t xml:space="preserve">using the main labor market indicators </w:t>
      </w:r>
      <w:r w:rsidR="00A31BF9" w:rsidRPr="00D4730B">
        <w:rPr>
          <w:lang w:val="en-US"/>
        </w:rPr>
        <w:t xml:space="preserve">it seems that </w:t>
      </w:r>
      <w:r w:rsidR="003D6E48">
        <w:rPr>
          <w:lang w:val="en-US"/>
        </w:rPr>
        <w:t>it is at least possible to</w:t>
      </w:r>
      <w:r w:rsidR="00A31BF9" w:rsidRPr="00D4730B">
        <w:rPr>
          <w:lang w:val="en-US"/>
        </w:rPr>
        <w:t xml:space="preserve"> determine the regions in the worst and the best positions.</w:t>
      </w:r>
    </w:p>
    <w:p w14:paraId="15A0C5A1" w14:textId="031DB4BD" w:rsidR="00BB3F2C" w:rsidRDefault="00C7636F" w:rsidP="00ED3B36">
      <w:pPr>
        <w:jc w:val="both"/>
        <w:rPr>
          <w:lang w:val="en-GB"/>
        </w:rPr>
      </w:pPr>
      <w:r w:rsidRPr="00D4730B">
        <w:rPr>
          <w:b/>
          <w:lang w:val="en-US"/>
        </w:rPr>
        <w:t>No doubt,</w:t>
      </w:r>
      <w:r w:rsidRPr="00D4730B">
        <w:rPr>
          <w:lang w:val="en-US"/>
        </w:rPr>
        <w:t xml:space="preserve"> </w:t>
      </w:r>
      <w:r w:rsidRPr="00D4730B">
        <w:rPr>
          <w:b/>
          <w:lang w:val="en-US"/>
        </w:rPr>
        <w:t>Mardin-Batman-Şırnak-Siirt region is the worst</w:t>
      </w:r>
      <w:r w:rsidR="000E3E24">
        <w:rPr>
          <w:b/>
          <w:lang w:val="en-US"/>
        </w:rPr>
        <w:t xml:space="preserve"> case</w:t>
      </w:r>
      <w:r w:rsidRPr="00D4730B">
        <w:rPr>
          <w:b/>
          <w:lang w:val="en-US"/>
        </w:rPr>
        <w:t xml:space="preserve">. </w:t>
      </w:r>
      <w:r w:rsidRPr="00D4730B">
        <w:rPr>
          <w:lang w:val="en-US"/>
        </w:rPr>
        <w:t xml:space="preserve"> This region has the highest non-agricultural unemployment rate in both 2016 and 2017. </w:t>
      </w:r>
      <w:r w:rsidR="00F8770E" w:rsidRPr="00D4730B">
        <w:rPr>
          <w:lang w:val="en-US"/>
        </w:rPr>
        <w:t xml:space="preserve">Also, this region has the lowest </w:t>
      </w:r>
      <w:r w:rsidR="000E3E24">
        <w:rPr>
          <w:lang w:val="en-US"/>
        </w:rPr>
        <w:t>non-agricul</w:t>
      </w:r>
      <w:r w:rsidR="00F8770E" w:rsidRPr="00D4730B">
        <w:rPr>
          <w:lang w:val="en-US"/>
        </w:rPr>
        <w:t xml:space="preserve">tural employment rate (24.8 percent). </w:t>
      </w:r>
      <w:r w:rsidR="000E3E24">
        <w:rPr>
          <w:lang w:val="en-US"/>
        </w:rPr>
        <w:t>A</w:t>
      </w:r>
      <w:r w:rsidR="000E3E24" w:rsidRPr="00D4730B">
        <w:rPr>
          <w:lang w:val="en-US"/>
        </w:rPr>
        <w:t>lthough the unemployment rate remain</w:t>
      </w:r>
      <w:r w:rsidR="000E3E24">
        <w:rPr>
          <w:lang w:val="en-US"/>
        </w:rPr>
        <w:t xml:space="preserve">ed </w:t>
      </w:r>
      <w:r w:rsidR="000E3E24" w:rsidRPr="00D4730B">
        <w:rPr>
          <w:lang w:val="en-US"/>
        </w:rPr>
        <w:t>constant</w:t>
      </w:r>
      <w:r w:rsidR="000E3E24">
        <w:rPr>
          <w:lang w:val="en-US"/>
        </w:rPr>
        <w:t xml:space="preserve"> this was result of </w:t>
      </w:r>
      <w:r w:rsidR="00140930" w:rsidRPr="00D4730B">
        <w:rPr>
          <w:lang w:val="en-US"/>
        </w:rPr>
        <w:t>decreases in labor force and employment.</w:t>
      </w:r>
      <w:r w:rsidR="007E3F8B" w:rsidRPr="00D4730B">
        <w:rPr>
          <w:lang w:val="en-US"/>
        </w:rPr>
        <w:t xml:space="preserve"> </w:t>
      </w:r>
      <w:r w:rsidR="007E3F8B" w:rsidRPr="00D4730B">
        <w:rPr>
          <w:b/>
          <w:lang w:val="en-GB"/>
        </w:rPr>
        <w:t xml:space="preserve">Van-Muş-Bitlis region follows the Mardin region with 19.7 percent of unemployment and 29.5 percent of </w:t>
      </w:r>
      <w:r w:rsidR="000E3E24">
        <w:rPr>
          <w:b/>
          <w:lang w:val="en-GB"/>
        </w:rPr>
        <w:t>employmen</w:t>
      </w:r>
      <w:r w:rsidR="007E3F8B" w:rsidRPr="00D4730B">
        <w:rPr>
          <w:b/>
          <w:lang w:val="en-GB"/>
        </w:rPr>
        <w:t>t rates.</w:t>
      </w:r>
      <w:r w:rsidR="008C5C33" w:rsidRPr="00D4730B">
        <w:rPr>
          <w:b/>
          <w:lang w:val="en-GB"/>
        </w:rPr>
        <w:t xml:space="preserve"> </w:t>
      </w:r>
      <w:r w:rsidR="008C5C33" w:rsidRPr="00D4730B">
        <w:rPr>
          <w:lang w:val="en-GB"/>
        </w:rPr>
        <w:t xml:space="preserve">In addition, the </w:t>
      </w:r>
      <w:r w:rsidR="008C5C33" w:rsidRPr="00D4730B">
        <w:rPr>
          <w:lang w:val="en-GB"/>
        </w:rPr>
        <w:lastRenderedPageBreak/>
        <w:t>highest increase in unemployment</w:t>
      </w:r>
      <w:r w:rsidR="00A66142" w:rsidRPr="00D4730B">
        <w:rPr>
          <w:lang w:val="en-GB"/>
        </w:rPr>
        <w:t xml:space="preserve"> (5.3 pp)</w:t>
      </w:r>
      <w:r w:rsidR="008C5C33" w:rsidRPr="00D4730B">
        <w:rPr>
          <w:lang w:val="en-GB"/>
        </w:rPr>
        <w:t xml:space="preserve"> </w:t>
      </w:r>
      <w:r w:rsidR="00A66142" w:rsidRPr="00D4730B">
        <w:rPr>
          <w:lang w:val="en-GB"/>
        </w:rPr>
        <w:t xml:space="preserve">is recorded in </w:t>
      </w:r>
      <w:r w:rsidR="009A5B7D">
        <w:rPr>
          <w:lang w:val="en-GB"/>
        </w:rPr>
        <w:t>Van region.</w:t>
      </w:r>
      <w:r w:rsidR="00A66142" w:rsidRPr="00D4730B">
        <w:rPr>
          <w:lang w:val="en-GB"/>
        </w:rPr>
        <w:t xml:space="preserve"> </w:t>
      </w:r>
      <w:r w:rsidR="00DD5BEF" w:rsidRPr="00D4730B">
        <w:rPr>
          <w:lang w:val="en-GB"/>
        </w:rPr>
        <w:t>Kayseri-Sivas-Yozgat region may considered as the</w:t>
      </w:r>
      <w:r w:rsidR="00BB3F2C">
        <w:rPr>
          <w:lang w:val="en-GB"/>
        </w:rPr>
        <w:t xml:space="preserve"> worst</w:t>
      </w:r>
      <w:r w:rsidR="00DD5BEF" w:rsidRPr="00D4730B">
        <w:rPr>
          <w:lang w:val="en-GB"/>
        </w:rPr>
        <w:t xml:space="preserve"> third region. </w:t>
      </w:r>
      <w:r w:rsidR="00230F52">
        <w:rPr>
          <w:lang w:val="en-GB"/>
        </w:rPr>
        <w:t xml:space="preserve">This region where employment rate was already standing below of country average, it joined the worst area with a strong increase of unemployment rate by 3.9 percentage points.  </w:t>
      </w:r>
    </w:p>
    <w:p w14:paraId="79E834D8" w14:textId="575D6FB8" w:rsidR="008B0B2C" w:rsidRPr="00E91E6D" w:rsidRDefault="006C679A" w:rsidP="00ED3B36">
      <w:pPr>
        <w:jc w:val="both"/>
        <w:rPr>
          <w:b/>
          <w:lang w:val="en-GB"/>
        </w:rPr>
      </w:pPr>
      <w:r w:rsidRPr="00D4730B">
        <w:rPr>
          <w:b/>
          <w:lang w:val="en-GB"/>
        </w:rPr>
        <w:t xml:space="preserve">It </w:t>
      </w:r>
      <w:r w:rsidR="00120874" w:rsidRPr="00D4730B">
        <w:rPr>
          <w:b/>
          <w:lang w:val="en-GB"/>
        </w:rPr>
        <w:t xml:space="preserve">is </w:t>
      </w:r>
      <w:r w:rsidRPr="00D4730B">
        <w:rPr>
          <w:b/>
          <w:lang w:val="en-GB"/>
        </w:rPr>
        <w:t xml:space="preserve">difficult to specify </w:t>
      </w:r>
      <w:r w:rsidR="002A7B16" w:rsidRPr="00D4730B">
        <w:rPr>
          <w:b/>
          <w:lang w:val="en-GB"/>
        </w:rPr>
        <w:t xml:space="preserve">the </w:t>
      </w:r>
      <w:r w:rsidR="00AC507F" w:rsidRPr="00D4730B">
        <w:rPr>
          <w:b/>
          <w:lang w:val="en-GB"/>
        </w:rPr>
        <w:t xml:space="preserve">region </w:t>
      </w:r>
      <w:r w:rsidR="002A7B16" w:rsidRPr="00D4730B">
        <w:rPr>
          <w:b/>
          <w:lang w:val="en-GB"/>
        </w:rPr>
        <w:t>that clearly stands out in the best area</w:t>
      </w:r>
      <w:r w:rsidR="008B0B2C">
        <w:rPr>
          <w:b/>
          <w:lang w:val="en-GB"/>
        </w:rPr>
        <w:t xml:space="preserve">. </w:t>
      </w:r>
      <w:r w:rsidR="00120874" w:rsidRPr="00D4730B">
        <w:rPr>
          <w:lang w:val="en-GB"/>
        </w:rPr>
        <w:t>We stated the Thrace as the best case in 2016</w:t>
      </w:r>
      <w:r w:rsidR="008B0B2C">
        <w:rPr>
          <w:lang w:val="en-GB"/>
        </w:rPr>
        <w:t xml:space="preserve"> without hesitation</w:t>
      </w:r>
      <w:r w:rsidR="00120874" w:rsidRPr="00D4730B">
        <w:rPr>
          <w:lang w:val="en-GB"/>
        </w:rPr>
        <w:t>.</w:t>
      </w:r>
      <w:r w:rsidR="00E429F8" w:rsidRPr="00D4730B">
        <w:rPr>
          <w:lang w:val="en-GB"/>
        </w:rPr>
        <w:t xml:space="preserve"> </w:t>
      </w:r>
      <w:r w:rsidR="008B0B2C">
        <w:rPr>
          <w:lang w:val="en-GB"/>
        </w:rPr>
        <w:t xml:space="preserve">But the increase of employment by 1 percentage points (from 8.8 to 9.8 percent) in 2017 renders the assessment relatively difficult. However, considering that the unemployment rate (9.8 percent) is still far below of the country rate (13 percent) and moreover, unemployment increased was the result of a stronger increase </w:t>
      </w:r>
      <w:r w:rsidR="00E91E6D">
        <w:rPr>
          <w:lang w:val="en-GB"/>
        </w:rPr>
        <w:t>of</w:t>
      </w:r>
      <w:r w:rsidR="008B0B2C">
        <w:rPr>
          <w:lang w:val="en-GB"/>
        </w:rPr>
        <w:t xml:space="preserve"> labour force than </w:t>
      </w:r>
      <w:r w:rsidR="00E91E6D">
        <w:rPr>
          <w:lang w:val="en-GB"/>
        </w:rPr>
        <w:t xml:space="preserve">increase of </w:t>
      </w:r>
      <w:r w:rsidR="008B0B2C">
        <w:rPr>
          <w:lang w:val="en-GB"/>
        </w:rPr>
        <w:t xml:space="preserve">employment and finally employment rate increased to 49.5 percent, </w:t>
      </w:r>
      <w:r w:rsidR="00E91E6D" w:rsidRPr="00E91E6D">
        <w:rPr>
          <w:b/>
          <w:lang w:val="en-GB"/>
        </w:rPr>
        <w:t xml:space="preserve">we think that Thrace deserves the first place among the better performers. </w:t>
      </w:r>
      <w:r w:rsidR="008B0B2C" w:rsidRPr="00E91E6D">
        <w:rPr>
          <w:b/>
          <w:lang w:val="en-GB"/>
        </w:rPr>
        <w:t xml:space="preserve">   </w:t>
      </w:r>
    </w:p>
    <w:p w14:paraId="383F8314" w14:textId="51D0231C" w:rsidR="006E5323" w:rsidRPr="00AE622B" w:rsidRDefault="00297E1C" w:rsidP="00AE622B">
      <w:pPr>
        <w:jc w:val="both"/>
        <w:rPr>
          <w:lang w:val="en-GB"/>
        </w:rPr>
      </w:pPr>
      <w:r w:rsidRPr="00D4730B">
        <w:rPr>
          <w:lang w:val="en-GB"/>
        </w:rPr>
        <w:t>In other 3 regions (Aydın-Denizli-Muğla, Bursa-Eskişehir-Bilecik ve Kocaeli-Sakarya-Düzce-Bolu-Yalova) which are located in the best area, the unemployment rate</w:t>
      </w:r>
      <w:r w:rsidR="00C105C1" w:rsidRPr="00D4730B">
        <w:rPr>
          <w:lang w:val="en-GB"/>
        </w:rPr>
        <w:t>s</w:t>
      </w:r>
      <w:r w:rsidR="00396D58">
        <w:rPr>
          <w:lang w:val="en-GB"/>
        </w:rPr>
        <w:t xml:space="preserve"> also</w:t>
      </w:r>
      <w:r w:rsidRPr="00D4730B">
        <w:rPr>
          <w:lang w:val="en-GB"/>
        </w:rPr>
        <w:t xml:space="preserve"> increase</w:t>
      </w:r>
      <w:r w:rsidR="00396D58">
        <w:rPr>
          <w:lang w:val="en-GB"/>
        </w:rPr>
        <w:t>d</w:t>
      </w:r>
      <w:r w:rsidR="002943FC" w:rsidRPr="00D4730B">
        <w:rPr>
          <w:lang w:val="en-GB"/>
        </w:rPr>
        <w:t xml:space="preserve"> by</w:t>
      </w:r>
      <w:r w:rsidR="00F27618" w:rsidRPr="00D4730B">
        <w:rPr>
          <w:lang w:val="en-GB"/>
        </w:rPr>
        <w:t xml:space="preserve"> 0.3-0.7 percentage points</w:t>
      </w:r>
      <w:r w:rsidR="00396D58">
        <w:rPr>
          <w:lang w:val="en-GB"/>
        </w:rPr>
        <w:t>.</w:t>
      </w:r>
      <w:r w:rsidR="00F27618" w:rsidRPr="00D4730B">
        <w:rPr>
          <w:lang w:val="en-GB"/>
        </w:rPr>
        <w:t xml:space="preserve"> </w:t>
      </w:r>
      <w:r w:rsidR="00C02C6D">
        <w:rPr>
          <w:lang w:val="en-GB"/>
        </w:rPr>
        <w:t>Nevertheless, it is worthy to note that, like in Thrace,</w:t>
      </w:r>
      <w:r w:rsidR="006E5323">
        <w:rPr>
          <w:lang w:val="en-GB"/>
        </w:rPr>
        <w:t xml:space="preserve"> unemployment increases were the result of stronger increases in labour force than in employment. </w:t>
      </w:r>
      <w:r w:rsidR="0065103F" w:rsidRPr="006E5323">
        <w:rPr>
          <w:b/>
          <w:lang w:val="en-GB"/>
        </w:rPr>
        <w:t>Only exception is Ankara</w:t>
      </w:r>
      <w:r w:rsidR="006E5323" w:rsidRPr="006E5323">
        <w:rPr>
          <w:b/>
          <w:lang w:val="en-GB"/>
        </w:rPr>
        <w:t xml:space="preserve"> region</w:t>
      </w:r>
      <w:r w:rsidR="006E5323">
        <w:rPr>
          <w:lang w:val="en-GB"/>
        </w:rPr>
        <w:t xml:space="preserve"> </w:t>
      </w:r>
      <w:r w:rsidR="006E5323" w:rsidRPr="006E5323">
        <w:rPr>
          <w:b/>
          <w:lang w:val="en-GB"/>
        </w:rPr>
        <w:t>where</w:t>
      </w:r>
      <w:r w:rsidR="0065103F" w:rsidRPr="006E5323">
        <w:rPr>
          <w:b/>
          <w:lang w:val="en-GB"/>
        </w:rPr>
        <w:t xml:space="preserve"> unemployment slightly decrease</w:t>
      </w:r>
      <w:r w:rsidR="006E5323" w:rsidRPr="006E5323">
        <w:rPr>
          <w:b/>
          <w:lang w:val="en-GB"/>
        </w:rPr>
        <w:t>d</w:t>
      </w:r>
      <w:r w:rsidR="0065103F" w:rsidRPr="006E5323">
        <w:rPr>
          <w:b/>
          <w:lang w:val="en-GB"/>
        </w:rPr>
        <w:t xml:space="preserve"> by 0.1 percentage points</w:t>
      </w:r>
      <w:r w:rsidR="0065103F" w:rsidRPr="00D4730B">
        <w:rPr>
          <w:lang w:val="en-GB"/>
        </w:rPr>
        <w:t xml:space="preserve"> </w:t>
      </w:r>
      <w:r w:rsidR="006E5323">
        <w:rPr>
          <w:lang w:val="en-GB"/>
        </w:rPr>
        <w:t>as the result of a stronger increase of employment than labour force. Considering this performance</w:t>
      </w:r>
      <w:r w:rsidR="002C7BBD" w:rsidRPr="00D4730B">
        <w:rPr>
          <w:lang w:val="en-GB"/>
        </w:rPr>
        <w:t xml:space="preserve">, </w:t>
      </w:r>
      <w:r w:rsidR="002C7BBD" w:rsidRPr="006E5323">
        <w:rPr>
          <w:b/>
          <w:lang w:val="en-GB"/>
        </w:rPr>
        <w:t>Ankara</w:t>
      </w:r>
      <w:r w:rsidR="006E5323" w:rsidRPr="006E5323">
        <w:rPr>
          <w:b/>
          <w:lang w:val="en-GB"/>
        </w:rPr>
        <w:t xml:space="preserve"> must be considered without doubt as the second best performer after Thrace</w:t>
      </w:r>
      <w:r w:rsidR="006E5323">
        <w:rPr>
          <w:lang w:val="en-GB"/>
        </w:rPr>
        <w:t xml:space="preserve">. </w:t>
      </w:r>
    </w:p>
    <w:p w14:paraId="53B37D2B" w14:textId="77777777" w:rsidR="002C75B1" w:rsidRDefault="002C75B1" w:rsidP="00D16B6F">
      <w:pPr>
        <w:rPr>
          <w:b/>
          <w:lang w:val="en-US"/>
        </w:rPr>
      </w:pPr>
    </w:p>
    <w:p w14:paraId="27D5C53F" w14:textId="77777777" w:rsidR="002C75B1" w:rsidRDefault="002C75B1" w:rsidP="00D16B6F">
      <w:pPr>
        <w:rPr>
          <w:b/>
          <w:lang w:val="en-US"/>
        </w:rPr>
      </w:pPr>
    </w:p>
    <w:p w14:paraId="4EFCC792" w14:textId="77777777" w:rsidR="002C75B1" w:rsidRDefault="002C75B1" w:rsidP="00D16B6F">
      <w:pPr>
        <w:rPr>
          <w:b/>
          <w:lang w:val="en-US"/>
        </w:rPr>
      </w:pPr>
    </w:p>
    <w:p w14:paraId="52810308" w14:textId="77777777" w:rsidR="002C75B1" w:rsidRDefault="002C75B1" w:rsidP="00D16B6F">
      <w:pPr>
        <w:rPr>
          <w:b/>
          <w:lang w:val="en-US"/>
        </w:rPr>
      </w:pPr>
    </w:p>
    <w:p w14:paraId="3A5E1F53" w14:textId="77777777" w:rsidR="002C75B1" w:rsidRDefault="002C75B1" w:rsidP="00D16B6F">
      <w:pPr>
        <w:rPr>
          <w:b/>
          <w:lang w:val="en-US"/>
        </w:rPr>
      </w:pPr>
    </w:p>
    <w:p w14:paraId="47E48FB0" w14:textId="77777777" w:rsidR="002C75B1" w:rsidRDefault="002C75B1" w:rsidP="00D16B6F">
      <w:pPr>
        <w:rPr>
          <w:b/>
          <w:lang w:val="en-US"/>
        </w:rPr>
      </w:pPr>
    </w:p>
    <w:p w14:paraId="2669394B" w14:textId="77777777" w:rsidR="002C75B1" w:rsidRDefault="002C75B1" w:rsidP="00D16B6F">
      <w:pPr>
        <w:rPr>
          <w:b/>
          <w:lang w:val="en-US"/>
        </w:rPr>
      </w:pPr>
    </w:p>
    <w:p w14:paraId="2DC7AA5E" w14:textId="77777777" w:rsidR="002C75B1" w:rsidRDefault="002C75B1" w:rsidP="00D16B6F">
      <w:pPr>
        <w:rPr>
          <w:b/>
          <w:lang w:val="en-US"/>
        </w:rPr>
      </w:pPr>
    </w:p>
    <w:p w14:paraId="5FDFB3DC" w14:textId="77777777" w:rsidR="002C75B1" w:rsidRDefault="002C75B1" w:rsidP="00D16B6F">
      <w:pPr>
        <w:rPr>
          <w:b/>
          <w:lang w:val="en-US"/>
        </w:rPr>
      </w:pPr>
    </w:p>
    <w:p w14:paraId="2403E55A" w14:textId="77777777" w:rsidR="002C75B1" w:rsidRDefault="002C75B1" w:rsidP="00D16B6F">
      <w:pPr>
        <w:rPr>
          <w:b/>
          <w:lang w:val="en-US"/>
        </w:rPr>
      </w:pPr>
    </w:p>
    <w:p w14:paraId="44826CC9" w14:textId="77777777" w:rsidR="002C75B1" w:rsidRDefault="002C75B1" w:rsidP="00D16B6F">
      <w:pPr>
        <w:rPr>
          <w:b/>
          <w:lang w:val="en-US"/>
        </w:rPr>
      </w:pPr>
    </w:p>
    <w:p w14:paraId="5A94329C" w14:textId="77777777" w:rsidR="002C75B1" w:rsidRDefault="002C75B1" w:rsidP="00D16B6F">
      <w:pPr>
        <w:rPr>
          <w:b/>
          <w:lang w:val="en-US"/>
        </w:rPr>
      </w:pPr>
    </w:p>
    <w:p w14:paraId="0266717A" w14:textId="77777777" w:rsidR="002C75B1" w:rsidRDefault="002C75B1" w:rsidP="00D16B6F">
      <w:pPr>
        <w:rPr>
          <w:b/>
          <w:lang w:val="en-US"/>
        </w:rPr>
      </w:pPr>
    </w:p>
    <w:p w14:paraId="2F1C10E4" w14:textId="77777777" w:rsidR="002C75B1" w:rsidRDefault="002C75B1" w:rsidP="00D16B6F">
      <w:pPr>
        <w:rPr>
          <w:b/>
          <w:lang w:val="en-US"/>
        </w:rPr>
      </w:pPr>
    </w:p>
    <w:p w14:paraId="62C0BDD1" w14:textId="77777777" w:rsidR="002C75B1" w:rsidRDefault="002C75B1" w:rsidP="00D16B6F">
      <w:pPr>
        <w:rPr>
          <w:b/>
          <w:lang w:val="en-US"/>
        </w:rPr>
      </w:pPr>
    </w:p>
    <w:p w14:paraId="293FF719" w14:textId="783AC959" w:rsidR="00D16B6F" w:rsidRPr="00D4730B" w:rsidRDefault="00D16B6F" w:rsidP="00D16B6F">
      <w:pPr>
        <w:rPr>
          <w:lang w:val="en-US"/>
        </w:rPr>
      </w:pPr>
      <w:r w:rsidRPr="00D4730B">
        <w:rPr>
          <w:b/>
          <w:lang w:val="en-US"/>
        </w:rPr>
        <w:lastRenderedPageBreak/>
        <w:t>Annex Table 1: Regional non-agricultural unemployment rates and non-agricultural employment ratios (%, 2017)</w:t>
      </w:r>
    </w:p>
    <w:tbl>
      <w:tblPr>
        <w:tblpPr w:leftFromText="141" w:rightFromText="141" w:vertAnchor="text" w:tblpY="1"/>
        <w:tblOverlap w:val="neve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1"/>
        <w:gridCol w:w="1580"/>
        <w:gridCol w:w="1714"/>
      </w:tblGrid>
      <w:tr w:rsidR="00D16B6F" w:rsidRPr="00D4730B" w14:paraId="75AF7E0C" w14:textId="77777777" w:rsidTr="00E946A3">
        <w:trPr>
          <w:trHeight w:val="638"/>
        </w:trPr>
        <w:tc>
          <w:tcPr>
            <w:tcW w:w="6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BE5F" w14:textId="77777777" w:rsidR="00D16B6F" w:rsidRPr="00D4730B" w:rsidRDefault="00D16B6F" w:rsidP="00D16B6F">
            <w:pPr>
              <w:spacing w:after="0" w:line="240" w:lineRule="auto"/>
              <w:rPr>
                <w:rFonts w:ascii="Times New Roman" w:eastAsia="Times New Roman" w:hAnsi="Times New Roman" w:cs="Times New Roman"/>
                <w:b/>
                <w:sz w:val="24"/>
                <w:szCs w:val="24"/>
                <w:lang w:val="en-US"/>
              </w:rPr>
            </w:pPr>
            <w:r w:rsidRPr="00D4730B">
              <w:rPr>
                <w:rFonts w:ascii="Times New Roman" w:eastAsia="Times New Roman" w:hAnsi="Times New Roman" w:cs="Times New Roman"/>
                <w:b/>
                <w:sz w:val="24"/>
                <w:szCs w:val="24"/>
                <w:lang w:val="en-US"/>
              </w:rPr>
              <w:t>Regions</w:t>
            </w:r>
          </w:p>
          <w:p w14:paraId="4FB9B5C7" w14:textId="4228B5BC" w:rsidR="00D16B6F" w:rsidRPr="00D4730B" w:rsidRDefault="00D16B6F" w:rsidP="00D16B6F">
            <w:pPr>
              <w:spacing w:after="0" w:line="240" w:lineRule="auto"/>
              <w:jc w:val="both"/>
              <w:rPr>
                <w:rFonts w:ascii="Calibri" w:eastAsia="Times New Roman" w:hAnsi="Calibri" w:cs="Times New Roman"/>
                <w:color w:val="000000"/>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8629" w14:textId="16B45926" w:rsidR="00D16B6F" w:rsidRPr="00D4730B" w:rsidRDefault="00D16B6F" w:rsidP="00D16B6F">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b/>
                <w:color w:val="000000"/>
                <w:lang w:val="en-US"/>
              </w:rPr>
              <w:t xml:space="preserve">Non-agricultural unemployment rate </w:t>
            </w:r>
          </w:p>
        </w:tc>
        <w:tc>
          <w:tcPr>
            <w:tcW w:w="1714" w:type="dxa"/>
            <w:tcBorders>
              <w:top w:val="single" w:sz="4" w:space="0" w:color="auto"/>
              <w:left w:val="single" w:sz="4" w:space="0" w:color="auto"/>
              <w:bottom w:val="single" w:sz="4" w:space="0" w:color="auto"/>
              <w:right w:val="single" w:sz="4" w:space="0" w:color="auto"/>
            </w:tcBorders>
            <w:vAlign w:val="center"/>
          </w:tcPr>
          <w:p w14:paraId="114A97D5" w14:textId="0F43891A" w:rsidR="00D16B6F" w:rsidRPr="00D4730B" w:rsidRDefault="00E71A14" w:rsidP="00D16B6F">
            <w:pPr>
              <w:spacing w:after="0" w:line="240" w:lineRule="auto"/>
              <w:jc w:val="both"/>
              <w:rPr>
                <w:rFonts w:ascii="Calibri" w:eastAsia="Times New Roman" w:hAnsi="Calibri" w:cs="Times New Roman"/>
                <w:color w:val="000000"/>
                <w:lang w:val="en-GB"/>
              </w:rPr>
            </w:pPr>
            <m:oMathPara>
              <m:oMath>
                <m:f>
                  <m:fPr>
                    <m:type m:val="skw"/>
                    <m:ctrlPr>
                      <w:rPr>
                        <w:rFonts w:ascii="Cambria Math" w:eastAsia="Times New Roman" w:hAnsi="Cambria Math" w:cs="Times New Roman"/>
                        <w:b/>
                        <w:i/>
                        <w:color w:val="000000"/>
                        <w:sz w:val="20"/>
                        <w:szCs w:val="20"/>
                        <w:lang w:val="en-US"/>
                      </w:rPr>
                    </m:ctrlPr>
                  </m:fPr>
                  <m:num>
                    <m:sSub>
                      <m:sSubPr>
                        <m:ctrlPr>
                          <w:rPr>
                            <w:rFonts w:ascii="Cambria Math" w:eastAsia="Times New Roman" w:hAnsi="Cambria Math" w:cs="Times New Roman"/>
                            <w:b/>
                            <w:i/>
                            <w:color w:val="000000"/>
                            <w:sz w:val="20"/>
                            <w:szCs w:val="20"/>
                            <w:lang w:val="en-US"/>
                          </w:rPr>
                        </m:ctrlPr>
                      </m:sSubPr>
                      <m:e>
                        <m:r>
                          <m:rPr>
                            <m:sty m:val="bi"/>
                          </m:rPr>
                          <w:rPr>
                            <w:rFonts w:ascii="Cambria Math" w:eastAsia="Times New Roman" w:hAnsi="Cambria Math" w:cs="Times New Roman"/>
                            <w:color w:val="000000"/>
                            <w:sz w:val="20"/>
                            <w:szCs w:val="20"/>
                            <w:lang w:val="en-US"/>
                          </w:rPr>
                          <m:t>E</m:t>
                        </m:r>
                      </m:e>
                      <m:sub>
                        <m:r>
                          <m:rPr>
                            <m:sty m:val="bi"/>
                          </m:rPr>
                          <w:rPr>
                            <w:rFonts w:ascii="Cambria Math" w:eastAsia="Times New Roman" w:hAnsi="Cambria Math" w:cs="Times New Roman"/>
                            <w:color w:val="000000"/>
                            <w:sz w:val="20"/>
                            <w:szCs w:val="20"/>
                            <w:lang w:val="en-US"/>
                          </w:rPr>
                          <m:t>na</m:t>
                        </m:r>
                      </m:sub>
                    </m:sSub>
                  </m:num>
                  <m:den>
                    <m:r>
                      <m:rPr>
                        <m:sty m:val="bi"/>
                      </m:rPr>
                      <w:rPr>
                        <w:rFonts w:ascii="Cambria Math" w:eastAsia="Times New Roman" w:hAnsi="Cambria Math" w:cs="Times New Roman"/>
                        <w:color w:val="000000"/>
                        <w:sz w:val="20"/>
                        <w:szCs w:val="20"/>
                        <w:lang w:val="en-US"/>
                      </w:rPr>
                      <m:t xml:space="preserve">(WAP- </m:t>
                    </m:r>
                    <m:sSub>
                      <m:sSubPr>
                        <m:ctrlPr>
                          <w:rPr>
                            <w:rFonts w:ascii="Cambria Math" w:eastAsia="Times New Roman" w:hAnsi="Cambria Math" w:cs="Times New Roman"/>
                            <w:b/>
                            <w:i/>
                            <w:color w:val="000000"/>
                            <w:sz w:val="20"/>
                            <w:szCs w:val="20"/>
                            <w:lang w:val="en-US"/>
                          </w:rPr>
                        </m:ctrlPr>
                      </m:sSubPr>
                      <m:e>
                        <m:r>
                          <m:rPr>
                            <m:sty m:val="bi"/>
                          </m:rPr>
                          <w:rPr>
                            <w:rFonts w:ascii="Cambria Math" w:eastAsia="Times New Roman" w:hAnsi="Cambria Math" w:cs="Times New Roman"/>
                            <w:color w:val="000000"/>
                            <w:sz w:val="20"/>
                            <w:szCs w:val="20"/>
                            <w:lang w:val="en-US"/>
                          </w:rPr>
                          <m:t>E</m:t>
                        </m:r>
                      </m:e>
                      <m:sub>
                        <m:r>
                          <m:rPr>
                            <m:sty m:val="bi"/>
                          </m:rPr>
                          <w:rPr>
                            <w:rFonts w:ascii="Cambria Math" w:eastAsia="Times New Roman" w:hAnsi="Cambria Math" w:cs="Times New Roman"/>
                            <w:color w:val="000000"/>
                            <w:sz w:val="20"/>
                            <w:szCs w:val="20"/>
                            <w:lang w:val="en-US"/>
                          </w:rPr>
                          <m:t>a</m:t>
                        </m:r>
                      </m:sub>
                    </m:sSub>
                    <m:r>
                      <m:rPr>
                        <m:sty m:val="bi"/>
                      </m:rPr>
                      <w:rPr>
                        <w:rFonts w:ascii="Cambria Math" w:eastAsia="Times New Roman" w:hAnsi="Cambria Math" w:cs="Times New Roman"/>
                        <w:color w:val="000000"/>
                        <w:sz w:val="20"/>
                        <w:szCs w:val="20"/>
                        <w:lang w:val="en-US"/>
                      </w:rPr>
                      <m:t>)</m:t>
                    </m:r>
                  </m:den>
                </m:f>
              </m:oMath>
            </m:oMathPara>
          </w:p>
        </w:tc>
      </w:tr>
      <w:tr w:rsidR="005B19E6" w:rsidRPr="00D4730B" w14:paraId="03B8EF31" w14:textId="77777777" w:rsidTr="00E946A3">
        <w:trPr>
          <w:trHeight w:val="290"/>
        </w:trPr>
        <w:tc>
          <w:tcPr>
            <w:tcW w:w="6291" w:type="dxa"/>
            <w:tcBorders>
              <w:top w:val="single" w:sz="4" w:space="0" w:color="auto"/>
            </w:tcBorders>
            <w:shd w:val="clear" w:color="auto" w:fill="auto"/>
            <w:noWrap/>
            <w:vAlign w:val="bottom"/>
          </w:tcPr>
          <w:p w14:paraId="10FF4A3E" w14:textId="2B7147DD" w:rsidR="005B19E6" w:rsidRPr="00D4730B" w:rsidRDefault="005B19E6" w:rsidP="00ED3B36">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w:t>
            </w:r>
            <w:r w:rsidR="00E946A3">
              <w:rPr>
                <w:rFonts w:ascii="Calibri" w:eastAsia="Times New Roman" w:hAnsi="Calibri" w:cs="Times New Roman"/>
                <w:lang w:val="en-GB"/>
              </w:rPr>
              <w:t>urkey</w:t>
            </w:r>
          </w:p>
        </w:tc>
        <w:tc>
          <w:tcPr>
            <w:tcW w:w="1580" w:type="dxa"/>
            <w:tcBorders>
              <w:top w:val="single" w:sz="4" w:space="0" w:color="auto"/>
            </w:tcBorders>
            <w:shd w:val="clear" w:color="auto" w:fill="auto"/>
            <w:noWrap/>
            <w:vAlign w:val="bottom"/>
          </w:tcPr>
          <w:p w14:paraId="2CCFE3E6" w14:textId="76E28F9A" w:rsidR="005B19E6" w:rsidRPr="00D4730B" w:rsidRDefault="00973DD3" w:rsidP="00973DD3">
            <w:pPr>
              <w:spacing w:after="0" w:line="240" w:lineRule="auto"/>
              <w:jc w:val="center"/>
              <w:rPr>
                <w:rFonts w:ascii="Calibri" w:eastAsia="Times New Roman" w:hAnsi="Calibri" w:cs="Times New Roman"/>
                <w:lang w:val="en-GB"/>
              </w:rPr>
            </w:pPr>
            <w:r w:rsidRPr="00D4730B">
              <w:rPr>
                <w:rFonts w:ascii="Calibri" w:eastAsia="Times New Roman" w:hAnsi="Calibri" w:cs="Times New Roman"/>
                <w:lang w:val="en-GB"/>
              </w:rPr>
              <w:t>13</w:t>
            </w:r>
            <w:r w:rsidR="00E946A3">
              <w:rPr>
                <w:rFonts w:ascii="Calibri" w:eastAsia="Times New Roman" w:hAnsi="Calibri" w:cs="Times New Roman"/>
                <w:lang w:val="en-GB"/>
              </w:rPr>
              <w:t>.</w:t>
            </w:r>
            <w:r w:rsidRPr="00D4730B">
              <w:rPr>
                <w:rFonts w:ascii="Calibri" w:eastAsia="Times New Roman" w:hAnsi="Calibri" w:cs="Times New Roman"/>
                <w:lang w:val="en-GB"/>
              </w:rPr>
              <w:t>0</w:t>
            </w:r>
          </w:p>
        </w:tc>
        <w:tc>
          <w:tcPr>
            <w:tcW w:w="1714" w:type="dxa"/>
            <w:vAlign w:val="bottom"/>
          </w:tcPr>
          <w:p w14:paraId="3E66AAF3" w14:textId="1FE2BFD0" w:rsidR="005B19E6" w:rsidRPr="00D4730B" w:rsidRDefault="00973DD3" w:rsidP="00973DD3">
            <w:pPr>
              <w:spacing w:after="0" w:line="240" w:lineRule="auto"/>
              <w:jc w:val="center"/>
              <w:rPr>
                <w:rFonts w:ascii="Calibri" w:eastAsia="Times New Roman" w:hAnsi="Calibri" w:cs="Times New Roman"/>
                <w:lang w:val="en-GB"/>
              </w:rPr>
            </w:pPr>
            <w:r w:rsidRPr="00D4730B">
              <w:rPr>
                <w:rFonts w:ascii="Calibri" w:eastAsia="Times New Roman" w:hAnsi="Calibri" w:cs="Times New Roman"/>
                <w:lang w:val="en-GB"/>
              </w:rPr>
              <w:t>41</w:t>
            </w:r>
            <w:r w:rsidR="00E946A3">
              <w:rPr>
                <w:rFonts w:ascii="Calibri" w:eastAsia="Times New Roman" w:hAnsi="Calibri" w:cs="Times New Roman"/>
                <w:lang w:val="en-GB"/>
              </w:rPr>
              <w:t>.</w:t>
            </w:r>
            <w:r w:rsidRPr="00D4730B">
              <w:rPr>
                <w:rFonts w:ascii="Calibri" w:eastAsia="Times New Roman" w:hAnsi="Calibri" w:cs="Times New Roman"/>
                <w:lang w:val="en-GB"/>
              </w:rPr>
              <w:t>8</w:t>
            </w:r>
          </w:p>
        </w:tc>
      </w:tr>
      <w:tr w:rsidR="00E946A3" w:rsidRPr="00D4730B" w14:paraId="4F39D7EF" w14:textId="77777777" w:rsidTr="00E946A3">
        <w:trPr>
          <w:trHeight w:val="290"/>
        </w:trPr>
        <w:tc>
          <w:tcPr>
            <w:tcW w:w="6291" w:type="dxa"/>
            <w:tcBorders>
              <w:top w:val="single" w:sz="4" w:space="0" w:color="auto"/>
            </w:tcBorders>
            <w:shd w:val="clear" w:color="auto" w:fill="auto"/>
            <w:noWrap/>
            <w:vAlign w:val="bottom"/>
            <w:hideMark/>
          </w:tcPr>
          <w:p w14:paraId="688390FC"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TR21 (Tekirdağ, Edirne, Kırklareli)</w:t>
            </w:r>
          </w:p>
        </w:tc>
        <w:tc>
          <w:tcPr>
            <w:tcW w:w="1580" w:type="dxa"/>
            <w:tcBorders>
              <w:top w:val="single" w:sz="4" w:space="0" w:color="auto"/>
            </w:tcBorders>
            <w:shd w:val="clear" w:color="auto" w:fill="auto"/>
            <w:noWrap/>
            <w:vAlign w:val="bottom"/>
            <w:hideMark/>
          </w:tcPr>
          <w:p w14:paraId="1A5E12DA" w14:textId="0552F680"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9.8</w:t>
            </w:r>
          </w:p>
        </w:tc>
        <w:tc>
          <w:tcPr>
            <w:tcW w:w="1714" w:type="dxa"/>
            <w:vAlign w:val="bottom"/>
          </w:tcPr>
          <w:p w14:paraId="2605FFFA" w14:textId="267E678F"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49.5</w:t>
            </w:r>
          </w:p>
        </w:tc>
      </w:tr>
      <w:tr w:rsidR="00E946A3" w:rsidRPr="00D4730B" w14:paraId="2CD8D404" w14:textId="77777777" w:rsidTr="00E946A3">
        <w:trPr>
          <w:trHeight w:val="290"/>
        </w:trPr>
        <w:tc>
          <w:tcPr>
            <w:tcW w:w="6291" w:type="dxa"/>
            <w:shd w:val="clear" w:color="auto" w:fill="auto"/>
            <w:noWrap/>
            <w:vAlign w:val="bottom"/>
            <w:hideMark/>
          </w:tcPr>
          <w:p w14:paraId="791DDBEA"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TR10 (İstanbul)</w:t>
            </w:r>
          </w:p>
        </w:tc>
        <w:tc>
          <w:tcPr>
            <w:tcW w:w="1580" w:type="dxa"/>
            <w:shd w:val="clear" w:color="auto" w:fill="auto"/>
            <w:noWrap/>
            <w:vAlign w:val="bottom"/>
            <w:hideMark/>
          </w:tcPr>
          <w:p w14:paraId="098A9606" w14:textId="6D6ACF7B"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14.0</w:t>
            </w:r>
          </w:p>
        </w:tc>
        <w:tc>
          <w:tcPr>
            <w:tcW w:w="1714" w:type="dxa"/>
            <w:vAlign w:val="bottom"/>
          </w:tcPr>
          <w:p w14:paraId="24AA1AF4" w14:textId="520B10E7"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49.1</w:t>
            </w:r>
          </w:p>
        </w:tc>
      </w:tr>
      <w:tr w:rsidR="00E946A3" w:rsidRPr="00D4730B" w14:paraId="65F6BB6B" w14:textId="77777777" w:rsidTr="00E946A3">
        <w:trPr>
          <w:trHeight w:val="290"/>
        </w:trPr>
        <w:tc>
          <w:tcPr>
            <w:tcW w:w="6291" w:type="dxa"/>
            <w:shd w:val="clear" w:color="auto" w:fill="auto"/>
            <w:noWrap/>
            <w:vAlign w:val="bottom"/>
            <w:hideMark/>
          </w:tcPr>
          <w:p w14:paraId="154A5AF9"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TR51 (Ankara)</w:t>
            </w:r>
          </w:p>
        </w:tc>
        <w:tc>
          <w:tcPr>
            <w:tcW w:w="1580" w:type="dxa"/>
            <w:shd w:val="clear" w:color="auto" w:fill="auto"/>
            <w:noWrap/>
            <w:vAlign w:val="bottom"/>
            <w:hideMark/>
          </w:tcPr>
          <w:p w14:paraId="6090BACD" w14:textId="0C49D263"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11.6</w:t>
            </w:r>
          </w:p>
        </w:tc>
        <w:tc>
          <w:tcPr>
            <w:tcW w:w="1714" w:type="dxa"/>
            <w:vAlign w:val="bottom"/>
          </w:tcPr>
          <w:p w14:paraId="2B5B3B17" w14:textId="5C945D52"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46.7</w:t>
            </w:r>
          </w:p>
        </w:tc>
      </w:tr>
      <w:tr w:rsidR="00E946A3" w:rsidRPr="00D4730B" w14:paraId="6736C6B3" w14:textId="77777777" w:rsidTr="00E946A3">
        <w:trPr>
          <w:trHeight w:val="290"/>
        </w:trPr>
        <w:tc>
          <w:tcPr>
            <w:tcW w:w="6291" w:type="dxa"/>
            <w:shd w:val="clear" w:color="auto" w:fill="auto"/>
            <w:noWrap/>
            <w:vAlign w:val="bottom"/>
            <w:hideMark/>
          </w:tcPr>
          <w:p w14:paraId="4580DE73"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TR31 (İzmir)</w:t>
            </w:r>
          </w:p>
        </w:tc>
        <w:tc>
          <w:tcPr>
            <w:tcW w:w="1580" w:type="dxa"/>
            <w:shd w:val="clear" w:color="auto" w:fill="auto"/>
            <w:noWrap/>
            <w:vAlign w:val="bottom"/>
            <w:hideMark/>
          </w:tcPr>
          <w:p w14:paraId="7BE2AECD" w14:textId="4A3452F2"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15.1</w:t>
            </w:r>
          </w:p>
        </w:tc>
        <w:tc>
          <w:tcPr>
            <w:tcW w:w="1714" w:type="dxa"/>
            <w:vAlign w:val="bottom"/>
          </w:tcPr>
          <w:p w14:paraId="4258E42F" w14:textId="57B70B3E"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44.9</w:t>
            </w:r>
          </w:p>
        </w:tc>
      </w:tr>
      <w:tr w:rsidR="00E946A3" w:rsidRPr="00D4730B" w14:paraId="2E4237A2" w14:textId="77777777" w:rsidTr="00E946A3">
        <w:trPr>
          <w:trHeight w:val="290"/>
        </w:trPr>
        <w:tc>
          <w:tcPr>
            <w:tcW w:w="6291" w:type="dxa"/>
            <w:shd w:val="clear" w:color="auto" w:fill="auto"/>
            <w:noWrap/>
            <w:vAlign w:val="bottom"/>
            <w:hideMark/>
          </w:tcPr>
          <w:p w14:paraId="3B71A2E2"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TR42 (Kocaeli, Sakarya, Düzce, Bolu, Yalova)</w:t>
            </w:r>
          </w:p>
        </w:tc>
        <w:tc>
          <w:tcPr>
            <w:tcW w:w="1580" w:type="dxa"/>
            <w:shd w:val="clear" w:color="auto" w:fill="auto"/>
            <w:noWrap/>
            <w:vAlign w:val="bottom"/>
            <w:hideMark/>
          </w:tcPr>
          <w:p w14:paraId="11829A7C" w14:textId="727F9684"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12.4</w:t>
            </w:r>
          </w:p>
        </w:tc>
        <w:tc>
          <w:tcPr>
            <w:tcW w:w="1714" w:type="dxa"/>
            <w:vAlign w:val="bottom"/>
          </w:tcPr>
          <w:p w14:paraId="5A6D4D7A" w14:textId="52014775"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44.8</w:t>
            </w:r>
          </w:p>
        </w:tc>
      </w:tr>
      <w:tr w:rsidR="00E946A3" w:rsidRPr="00D4730B" w14:paraId="2599AA64" w14:textId="77777777" w:rsidTr="00E946A3">
        <w:trPr>
          <w:trHeight w:val="290"/>
        </w:trPr>
        <w:tc>
          <w:tcPr>
            <w:tcW w:w="6291" w:type="dxa"/>
            <w:shd w:val="clear" w:color="auto" w:fill="auto"/>
            <w:noWrap/>
            <w:vAlign w:val="bottom"/>
            <w:hideMark/>
          </w:tcPr>
          <w:p w14:paraId="3D5D146C"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TR41 (Bursa, Eskişehir, Bilecik)</w:t>
            </w:r>
          </w:p>
        </w:tc>
        <w:tc>
          <w:tcPr>
            <w:tcW w:w="1580" w:type="dxa"/>
            <w:shd w:val="clear" w:color="auto" w:fill="auto"/>
            <w:noWrap/>
            <w:vAlign w:val="bottom"/>
            <w:hideMark/>
          </w:tcPr>
          <w:p w14:paraId="36E55385" w14:textId="4693E9B3"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10.6</w:t>
            </w:r>
          </w:p>
        </w:tc>
        <w:tc>
          <w:tcPr>
            <w:tcW w:w="1714" w:type="dxa"/>
            <w:vAlign w:val="bottom"/>
          </w:tcPr>
          <w:p w14:paraId="16C1D874" w14:textId="4FCAE8E1"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43.9</w:t>
            </w:r>
          </w:p>
        </w:tc>
      </w:tr>
      <w:tr w:rsidR="00E946A3" w:rsidRPr="00D4730B" w14:paraId="5EAE8C62" w14:textId="77777777" w:rsidTr="00E946A3">
        <w:trPr>
          <w:trHeight w:val="290"/>
        </w:trPr>
        <w:tc>
          <w:tcPr>
            <w:tcW w:w="6291" w:type="dxa"/>
            <w:shd w:val="clear" w:color="auto" w:fill="auto"/>
            <w:noWrap/>
            <w:vAlign w:val="bottom"/>
            <w:hideMark/>
          </w:tcPr>
          <w:p w14:paraId="132A866A"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TR32 (Aydın, Denizli, Muğla)</w:t>
            </w:r>
          </w:p>
        </w:tc>
        <w:tc>
          <w:tcPr>
            <w:tcW w:w="1580" w:type="dxa"/>
            <w:shd w:val="clear" w:color="auto" w:fill="auto"/>
            <w:noWrap/>
            <w:vAlign w:val="bottom"/>
            <w:hideMark/>
          </w:tcPr>
          <w:p w14:paraId="617339F1" w14:textId="73A9CC37"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9.2</w:t>
            </w:r>
          </w:p>
        </w:tc>
        <w:tc>
          <w:tcPr>
            <w:tcW w:w="1714" w:type="dxa"/>
            <w:vAlign w:val="bottom"/>
          </w:tcPr>
          <w:p w14:paraId="1C82BD8D" w14:textId="76828A8C"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43.8</w:t>
            </w:r>
          </w:p>
        </w:tc>
      </w:tr>
      <w:tr w:rsidR="00E946A3" w:rsidRPr="00D4730B" w14:paraId="0C60D729" w14:textId="77777777" w:rsidTr="00E946A3">
        <w:trPr>
          <w:trHeight w:val="290"/>
        </w:trPr>
        <w:tc>
          <w:tcPr>
            <w:tcW w:w="6291" w:type="dxa"/>
            <w:shd w:val="clear" w:color="auto" w:fill="auto"/>
            <w:noWrap/>
            <w:vAlign w:val="bottom"/>
            <w:hideMark/>
          </w:tcPr>
          <w:p w14:paraId="694C7459"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TR61 (Antalya, Isparta, Burdur)</w:t>
            </w:r>
          </w:p>
        </w:tc>
        <w:tc>
          <w:tcPr>
            <w:tcW w:w="1580" w:type="dxa"/>
            <w:shd w:val="clear" w:color="auto" w:fill="auto"/>
            <w:noWrap/>
            <w:vAlign w:val="bottom"/>
            <w:hideMark/>
          </w:tcPr>
          <w:p w14:paraId="351877FD" w14:textId="64855B12"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14.4</w:t>
            </w:r>
          </w:p>
        </w:tc>
        <w:tc>
          <w:tcPr>
            <w:tcW w:w="1714" w:type="dxa"/>
            <w:vAlign w:val="bottom"/>
          </w:tcPr>
          <w:p w14:paraId="06BFEFD8" w14:textId="08A2996B"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43.7</w:t>
            </w:r>
          </w:p>
        </w:tc>
      </w:tr>
      <w:tr w:rsidR="00E946A3" w:rsidRPr="00D4730B" w14:paraId="23EFC88B" w14:textId="77777777" w:rsidTr="00E946A3">
        <w:trPr>
          <w:trHeight w:val="290"/>
        </w:trPr>
        <w:tc>
          <w:tcPr>
            <w:tcW w:w="6291" w:type="dxa"/>
            <w:shd w:val="clear" w:color="auto" w:fill="auto"/>
            <w:noWrap/>
            <w:vAlign w:val="bottom"/>
            <w:hideMark/>
          </w:tcPr>
          <w:p w14:paraId="6E73F426"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TR33 (Manisa, Afyon, Kütahya, Uşak)</w:t>
            </w:r>
          </w:p>
        </w:tc>
        <w:tc>
          <w:tcPr>
            <w:tcW w:w="1580" w:type="dxa"/>
            <w:shd w:val="clear" w:color="auto" w:fill="auto"/>
            <w:noWrap/>
            <w:vAlign w:val="bottom"/>
            <w:hideMark/>
          </w:tcPr>
          <w:p w14:paraId="716A37A9" w14:textId="30626867"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13.0</w:t>
            </w:r>
          </w:p>
        </w:tc>
        <w:tc>
          <w:tcPr>
            <w:tcW w:w="1714" w:type="dxa"/>
            <w:vAlign w:val="bottom"/>
          </w:tcPr>
          <w:p w14:paraId="12E630EE" w14:textId="63D45BEC"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41.8</w:t>
            </w:r>
          </w:p>
        </w:tc>
      </w:tr>
      <w:tr w:rsidR="00E946A3" w:rsidRPr="00D4730B" w14:paraId="4BBA6D11" w14:textId="77777777" w:rsidTr="00E946A3">
        <w:trPr>
          <w:trHeight w:val="290"/>
        </w:trPr>
        <w:tc>
          <w:tcPr>
            <w:tcW w:w="6291" w:type="dxa"/>
            <w:shd w:val="clear" w:color="auto" w:fill="auto"/>
            <w:noWrap/>
            <w:vAlign w:val="bottom"/>
            <w:hideMark/>
          </w:tcPr>
          <w:p w14:paraId="40ED4B2C"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TR52 (Konya, Karaman)</w:t>
            </w:r>
          </w:p>
        </w:tc>
        <w:tc>
          <w:tcPr>
            <w:tcW w:w="1580" w:type="dxa"/>
            <w:shd w:val="clear" w:color="auto" w:fill="auto"/>
            <w:noWrap/>
            <w:vAlign w:val="bottom"/>
            <w:hideMark/>
          </w:tcPr>
          <w:p w14:paraId="6A69A62E" w14:textId="340B6C6F"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8.6</w:t>
            </w:r>
          </w:p>
        </w:tc>
        <w:tc>
          <w:tcPr>
            <w:tcW w:w="1714" w:type="dxa"/>
            <w:vAlign w:val="bottom"/>
          </w:tcPr>
          <w:p w14:paraId="721932B0" w14:textId="3415FE3E"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40.0</w:t>
            </w:r>
          </w:p>
        </w:tc>
      </w:tr>
      <w:tr w:rsidR="00E946A3" w:rsidRPr="00D4730B" w14:paraId="2F39771F" w14:textId="77777777" w:rsidTr="00E946A3">
        <w:trPr>
          <w:trHeight w:val="290"/>
        </w:trPr>
        <w:tc>
          <w:tcPr>
            <w:tcW w:w="6291" w:type="dxa"/>
            <w:shd w:val="clear" w:color="auto" w:fill="auto"/>
            <w:noWrap/>
            <w:vAlign w:val="bottom"/>
            <w:hideMark/>
          </w:tcPr>
          <w:p w14:paraId="49F70B01"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TR62 (Adana, Mersin)</w:t>
            </w:r>
          </w:p>
        </w:tc>
        <w:tc>
          <w:tcPr>
            <w:tcW w:w="1580" w:type="dxa"/>
            <w:shd w:val="clear" w:color="auto" w:fill="auto"/>
            <w:noWrap/>
            <w:vAlign w:val="bottom"/>
            <w:hideMark/>
          </w:tcPr>
          <w:p w14:paraId="256DF96F" w14:textId="5DB015D2"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7.8</w:t>
            </w:r>
          </w:p>
        </w:tc>
        <w:tc>
          <w:tcPr>
            <w:tcW w:w="1714" w:type="dxa"/>
            <w:vAlign w:val="bottom"/>
          </w:tcPr>
          <w:p w14:paraId="0706E986" w14:textId="497D7AA0"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39.8</w:t>
            </w:r>
          </w:p>
        </w:tc>
      </w:tr>
      <w:tr w:rsidR="00E946A3" w:rsidRPr="00D4730B" w14:paraId="33B1686E" w14:textId="77777777" w:rsidTr="00E946A3">
        <w:trPr>
          <w:trHeight w:val="290"/>
        </w:trPr>
        <w:tc>
          <w:tcPr>
            <w:tcW w:w="6291" w:type="dxa"/>
            <w:shd w:val="clear" w:color="auto" w:fill="auto"/>
            <w:noWrap/>
            <w:vAlign w:val="bottom"/>
            <w:hideMark/>
          </w:tcPr>
          <w:p w14:paraId="4A9BB801"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TR82 (Kastamonu, Çankırı, Sinop)</w:t>
            </w:r>
          </w:p>
        </w:tc>
        <w:tc>
          <w:tcPr>
            <w:tcW w:w="1580" w:type="dxa"/>
            <w:shd w:val="clear" w:color="auto" w:fill="auto"/>
            <w:noWrap/>
            <w:vAlign w:val="bottom"/>
            <w:hideMark/>
          </w:tcPr>
          <w:p w14:paraId="52EECCBD" w14:textId="49929C63"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12.8</w:t>
            </w:r>
          </w:p>
        </w:tc>
        <w:tc>
          <w:tcPr>
            <w:tcW w:w="1714" w:type="dxa"/>
            <w:vAlign w:val="bottom"/>
          </w:tcPr>
          <w:p w14:paraId="2E31485A" w14:textId="76ECAEF3"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38.9</w:t>
            </w:r>
          </w:p>
        </w:tc>
      </w:tr>
      <w:tr w:rsidR="00E946A3" w:rsidRPr="00D4730B" w14:paraId="086D8DC5" w14:textId="77777777" w:rsidTr="00E946A3">
        <w:trPr>
          <w:trHeight w:val="290"/>
        </w:trPr>
        <w:tc>
          <w:tcPr>
            <w:tcW w:w="6291" w:type="dxa"/>
            <w:shd w:val="clear" w:color="auto" w:fill="auto"/>
            <w:noWrap/>
            <w:vAlign w:val="bottom"/>
            <w:hideMark/>
          </w:tcPr>
          <w:p w14:paraId="38002598"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TR90 (Trabzon, Ordu, Giresun, Rize, Artvin, Gümüşhane)</w:t>
            </w:r>
          </w:p>
        </w:tc>
        <w:tc>
          <w:tcPr>
            <w:tcW w:w="1580" w:type="dxa"/>
            <w:shd w:val="clear" w:color="auto" w:fill="auto"/>
            <w:noWrap/>
            <w:vAlign w:val="bottom"/>
            <w:hideMark/>
          </w:tcPr>
          <w:p w14:paraId="78AF05B1" w14:textId="417810A7"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8.2</w:t>
            </w:r>
          </w:p>
        </w:tc>
        <w:tc>
          <w:tcPr>
            <w:tcW w:w="1714" w:type="dxa"/>
            <w:vAlign w:val="bottom"/>
          </w:tcPr>
          <w:p w14:paraId="6D7A5075" w14:textId="1298F881"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38.5</w:t>
            </w:r>
          </w:p>
        </w:tc>
      </w:tr>
      <w:tr w:rsidR="00E946A3" w:rsidRPr="00D4730B" w14:paraId="3EF049DF" w14:textId="77777777" w:rsidTr="00E946A3">
        <w:trPr>
          <w:trHeight w:val="290"/>
        </w:trPr>
        <w:tc>
          <w:tcPr>
            <w:tcW w:w="6291" w:type="dxa"/>
            <w:shd w:val="clear" w:color="auto" w:fill="auto"/>
            <w:noWrap/>
            <w:vAlign w:val="bottom"/>
            <w:hideMark/>
          </w:tcPr>
          <w:p w14:paraId="6DE47C61"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TR22 (Balıkesir, Çanakkale)</w:t>
            </w:r>
          </w:p>
        </w:tc>
        <w:tc>
          <w:tcPr>
            <w:tcW w:w="1580" w:type="dxa"/>
            <w:shd w:val="clear" w:color="auto" w:fill="auto"/>
            <w:noWrap/>
            <w:vAlign w:val="bottom"/>
            <w:hideMark/>
          </w:tcPr>
          <w:p w14:paraId="71848FD1" w14:textId="4A0DE508"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6.1</w:t>
            </w:r>
          </w:p>
        </w:tc>
        <w:tc>
          <w:tcPr>
            <w:tcW w:w="1714" w:type="dxa"/>
            <w:vAlign w:val="bottom"/>
          </w:tcPr>
          <w:p w14:paraId="058E4B6D" w14:textId="49F6B82D"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38.3</w:t>
            </w:r>
          </w:p>
        </w:tc>
      </w:tr>
      <w:tr w:rsidR="00E946A3" w:rsidRPr="00D4730B" w14:paraId="2272FC11" w14:textId="77777777" w:rsidTr="00E946A3">
        <w:trPr>
          <w:trHeight w:val="290"/>
        </w:trPr>
        <w:tc>
          <w:tcPr>
            <w:tcW w:w="6291" w:type="dxa"/>
            <w:shd w:val="clear" w:color="auto" w:fill="auto"/>
            <w:noWrap/>
            <w:vAlign w:val="bottom"/>
            <w:hideMark/>
          </w:tcPr>
          <w:p w14:paraId="234ECF79"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TRB1 (Malatya, Elâzığ, Bingöl, Tunceli)</w:t>
            </w:r>
          </w:p>
        </w:tc>
        <w:tc>
          <w:tcPr>
            <w:tcW w:w="1580" w:type="dxa"/>
            <w:shd w:val="clear" w:color="auto" w:fill="auto"/>
            <w:noWrap/>
            <w:vAlign w:val="bottom"/>
            <w:hideMark/>
          </w:tcPr>
          <w:p w14:paraId="217A182B" w14:textId="596ABD74"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8.3</w:t>
            </w:r>
          </w:p>
        </w:tc>
        <w:tc>
          <w:tcPr>
            <w:tcW w:w="1714" w:type="dxa"/>
            <w:vAlign w:val="bottom"/>
          </w:tcPr>
          <w:p w14:paraId="63FE00D6" w14:textId="7A9FDC50"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37.8</w:t>
            </w:r>
          </w:p>
        </w:tc>
      </w:tr>
      <w:tr w:rsidR="00E946A3" w:rsidRPr="00D4730B" w14:paraId="6448AB85" w14:textId="77777777" w:rsidTr="00E946A3">
        <w:trPr>
          <w:trHeight w:val="290"/>
        </w:trPr>
        <w:tc>
          <w:tcPr>
            <w:tcW w:w="6291" w:type="dxa"/>
            <w:shd w:val="clear" w:color="auto" w:fill="auto"/>
            <w:noWrap/>
            <w:vAlign w:val="bottom"/>
            <w:hideMark/>
          </w:tcPr>
          <w:p w14:paraId="303CE85A"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TR81 (Zonguldak, Karabük, Bartın)</w:t>
            </w:r>
          </w:p>
        </w:tc>
        <w:tc>
          <w:tcPr>
            <w:tcW w:w="1580" w:type="dxa"/>
            <w:shd w:val="clear" w:color="auto" w:fill="auto"/>
            <w:noWrap/>
            <w:vAlign w:val="bottom"/>
            <w:hideMark/>
          </w:tcPr>
          <w:p w14:paraId="2BAA85CF" w14:textId="19862901"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10.2</w:t>
            </w:r>
          </w:p>
        </w:tc>
        <w:tc>
          <w:tcPr>
            <w:tcW w:w="1714" w:type="dxa"/>
            <w:vAlign w:val="bottom"/>
          </w:tcPr>
          <w:p w14:paraId="47DC2A1E" w14:textId="074C9164"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37.7</w:t>
            </w:r>
          </w:p>
        </w:tc>
      </w:tr>
      <w:tr w:rsidR="00E946A3" w:rsidRPr="00D4730B" w14:paraId="70B920A7" w14:textId="77777777" w:rsidTr="00E946A3">
        <w:trPr>
          <w:trHeight w:val="290"/>
        </w:trPr>
        <w:tc>
          <w:tcPr>
            <w:tcW w:w="6291" w:type="dxa"/>
            <w:shd w:val="clear" w:color="auto" w:fill="auto"/>
            <w:noWrap/>
            <w:vAlign w:val="bottom"/>
            <w:hideMark/>
          </w:tcPr>
          <w:p w14:paraId="52E8F95D"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TR71 (Kırıkkale, Aksaray, Niğde, Nevşehir, Kırşehir)</w:t>
            </w:r>
          </w:p>
        </w:tc>
        <w:tc>
          <w:tcPr>
            <w:tcW w:w="1580" w:type="dxa"/>
            <w:shd w:val="clear" w:color="auto" w:fill="auto"/>
            <w:noWrap/>
            <w:vAlign w:val="bottom"/>
            <w:hideMark/>
          </w:tcPr>
          <w:p w14:paraId="4EB33BC7" w14:textId="7FE68D72"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10.3</w:t>
            </w:r>
          </w:p>
        </w:tc>
        <w:tc>
          <w:tcPr>
            <w:tcW w:w="1714" w:type="dxa"/>
            <w:vAlign w:val="bottom"/>
          </w:tcPr>
          <w:p w14:paraId="4D0916B6" w14:textId="41A6F136"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37.1</w:t>
            </w:r>
          </w:p>
        </w:tc>
      </w:tr>
      <w:tr w:rsidR="00E946A3" w:rsidRPr="00D4730B" w14:paraId="1ECE73C9" w14:textId="77777777" w:rsidTr="00E946A3">
        <w:trPr>
          <w:trHeight w:val="290"/>
        </w:trPr>
        <w:tc>
          <w:tcPr>
            <w:tcW w:w="6291" w:type="dxa"/>
            <w:shd w:val="clear" w:color="auto" w:fill="auto"/>
            <w:noWrap/>
            <w:vAlign w:val="bottom"/>
            <w:hideMark/>
          </w:tcPr>
          <w:p w14:paraId="09268D06"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TR72 (Kayseri, Sivas, Yozgat)</w:t>
            </w:r>
          </w:p>
        </w:tc>
        <w:tc>
          <w:tcPr>
            <w:tcW w:w="1580" w:type="dxa"/>
            <w:shd w:val="clear" w:color="auto" w:fill="auto"/>
            <w:noWrap/>
            <w:vAlign w:val="bottom"/>
            <w:hideMark/>
          </w:tcPr>
          <w:p w14:paraId="26FCD774" w14:textId="289FBEC1"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15.0</w:t>
            </w:r>
          </w:p>
        </w:tc>
        <w:tc>
          <w:tcPr>
            <w:tcW w:w="1714" w:type="dxa"/>
            <w:vAlign w:val="bottom"/>
          </w:tcPr>
          <w:p w14:paraId="4CE2406D" w14:textId="42318E1E"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36.5</w:t>
            </w:r>
          </w:p>
        </w:tc>
      </w:tr>
      <w:tr w:rsidR="00E946A3" w:rsidRPr="00D4730B" w14:paraId="7C270468" w14:textId="77777777" w:rsidTr="00E946A3">
        <w:trPr>
          <w:trHeight w:val="290"/>
        </w:trPr>
        <w:tc>
          <w:tcPr>
            <w:tcW w:w="6291" w:type="dxa"/>
            <w:shd w:val="clear" w:color="auto" w:fill="auto"/>
            <w:noWrap/>
            <w:vAlign w:val="bottom"/>
            <w:hideMark/>
          </w:tcPr>
          <w:p w14:paraId="713CA5DB"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TRC1 (Gaziantep, Adıyaman, Kilis)</w:t>
            </w:r>
          </w:p>
        </w:tc>
        <w:tc>
          <w:tcPr>
            <w:tcW w:w="1580" w:type="dxa"/>
            <w:shd w:val="clear" w:color="auto" w:fill="auto"/>
            <w:noWrap/>
            <w:vAlign w:val="bottom"/>
            <w:hideMark/>
          </w:tcPr>
          <w:p w14:paraId="3EB3B978" w14:textId="0219D34C"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15.3</w:t>
            </w:r>
          </w:p>
        </w:tc>
        <w:tc>
          <w:tcPr>
            <w:tcW w:w="1714" w:type="dxa"/>
            <w:vAlign w:val="bottom"/>
          </w:tcPr>
          <w:p w14:paraId="0FDF14A0" w14:textId="28AD2D28"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36.5</w:t>
            </w:r>
          </w:p>
        </w:tc>
      </w:tr>
      <w:tr w:rsidR="00E946A3" w:rsidRPr="00D4730B" w14:paraId="0590F6E2" w14:textId="77777777" w:rsidTr="00E946A3">
        <w:trPr>
          <w:trHeight w:val="290"/>
        </w:trPr>
        <w:tc>
          <w:tcPr>
            <w:tcW w:w="6291" w:type="dxa"/>
            <w:shd w:val="clear" w:color="auto" w:fill="auto"/>
            <w:noWrap/>
            <w:vAlign w:val="bottom"/>
            <w:hideMark/>
          </w:tcPr>
          <w:p w14:paraId="7FE0F227"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TR83 (Samsun, Tokat, Çorum, Amasya)</w:t>
            </w:r>
          </w:p>
        </w:tc>
        <w:tc>
          <w:tcPr>
            <w:tcW w:w="1580" w:type="dxa"/>
            <w:shd w:val="clear" w:color="auto" w:fill="auto"/>
            <w:noWrap/>
            <w:vAlign w:val="bottom"/>
            <w:hideMark/>
          </w:tcPr>
          <w:p w14:paraId="73B6C36B" w14:textId="19B660E0"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16.5</w:t>
            </w:r>
          </w:p>
        </w:tc>
        <w:tc>
          <w:tcPr>
            <w:tcW w:w="1714" w:type="dxa"/>
            <w:vAlign w:val="bottom"/>
          </w:tcPr>
          <w:p w14:paraId="4573C673" w14:textId="5241A188"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36.5</w:t>
            </w:r>
          </w:p>
        </w:tc>
      </w:tr>
      <w:tr w:rsidR="00E946A3" w:rsidRPr="00D4730B" w14:paraId="301DCFF6" w14:textId="77777777" w:rsidTr="00E946A3">
        <w:trPr>
          <w:trHeight w:val="290"/>
        </w:trPr>
        <w:tc>
          <w:tcPr>
            <w:tcW w:w="6291" w:type="dxa"/>
            <w:shd w:val="clear" w:color="auto" w:fill="auto"/>
            <w:noWrap/>
            <w:vAlign w:val="bottom"/>
            <w:hideMark/>
          </w:tcPr>
          <w:p w14:paraId="255BEC0F"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TR63 (Hatay, Kahramanmaraş, Osmaniye)</w:t>
            </w:r>
          </w:p>
        </w:tc>
        <w:tc>
          <w:tcPr>
            <w:tcW w:w="1580" w:type="dxa"/>
            <w:shd w:val="clear" w:color="auto" w:fill="auto"/>
            <w:noWrap/>
            <w:vAlign w:val="bottom"/>
            <w:hideMark/>
          </w:tcPr>
          <w:p w14:paraId="527BB884" w14:textId="112BEE13"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10.6</w:t>
            </w:r>
          </w:p>
        </w:tc>
        <w:tc>
          <w:tcPr>
            <w:tcW w:w="1714" w:type="dxa"/>
            <w:vAlign w:val="bottom"/>
          </w:tcPr>
          <w:p w14:paraId="6F627B37" w14:textId="3AF0D295"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36.4</w:t>
            </w:r>
          </w:p>
        </w:tc>
      </w:tr>
      <w:tr w:rsidR="00E946A3" w:rsidRPr="00D4730B" w14:paraId="02D5285F" w14:textId="77777777" w:rsidTr="00E946A3">
        <w:trPr>
          <w:trHeight w:val="290"/>
        </w:trPr>
        <w:tc>
          <w:tcPr>
            <w:tcW w:w="6291" w:type="dxa"/>
            <w:shd w:val="clear" w:color="auto" w:fill="auto"/>
            <w:noWrap/>
            <w:vAlign w:val="bottom"/>
            <w:hideMark/>
          </w:tcPr>
          <w:p w14:paraId="02BFE843"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TRA1 (Erzurum, Erzincan, Bayburt)</w:t>
            </w:r>
          </w:p>
        </w:tc>
        <w:tc>
          <w:tcPr>
            <w:tcW w:w="1580" w:type="dxa"/>
            <w:shd w:val="clear" w:color="auto" w:fill="auto"/>
            <w:noWrap/>
            <w:vAlign w:val="bottom"/>
            <w:hideMark/>
          </w:tcPr>
          <w:p w14:paraId="173E084B" w14:textId="7016B324"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14.0</w:t>
            </w:r>
          </w:p>
        </w:tc>
        <w:tc>
          <w:tcPr>
            <w:tcW w:w="1714" w:type="dxa"/>
            <w:vAlign w:val="bottom"/>
          </w:tcPr>
          <w:p w14:paraId="41D0D055" w14:textId="7CA11931"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36.0</w:t>
            </w:r>
          </w:p>
        </w:tc>
      </w:tr>
      <w:tr w:rsidR="00E946A3" w:rsidRPr="00D4730B" w14:paraId="3B31ED55" w14:textId="77777777" w:rsidTr="00E946A3">
        <w:trPr>
          <w:trHeight w:val="290"/>
        </w:trPr>
        <w:tc>
          <w:tcPr>
            <w:tcW w:w="6291" w:type="dxa"/>
            <w:shd w:val="clear" w:color="auto" w:fill="auto"/>
            <w:noWrap/>
            <w:vAlign w:val="bottom"/>
            <w:hideMark/>
          </w:tcPr>
          <w:p w14:paraId="467A6FAC"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TRC2 (Şanlıurfa, Diyarbakır)</w:t>
            </w:r>
          </w:p>
        </w:tc>
        <w:tc>
          <w:tcPr>
            <w:tcW w:w="1580" w:type="dxa"/>
            <w:shd w:val="clear" w:color="auto" w:fill="auto"/>
            <w:noWrap/>
            <w:vAlign w:val="bottom"/>
            <w:hideMark/>
          </w:tcPr>
          <w:p w14:paraId="621AE4F0" w14:textId="68D9E0DE"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8.6</w:t>
            </w:r>
          </w:p>
        </w:tc>
        <w:tc>
          <w:tcPr>
            <w:tcW w:w="1714" w:type="dxa"/>
            <w:vAlign w:val="bottom"/>
          </w:tcPr>
          <w:p w14:paraId="3CCDB8A9" w14:textId="23FE4DF8"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34.3</w:t>
            </w:r>
          </w:p>
        </w:tc>
      </w:tr>
      <w:tr w:rsidR="00E946A3" w:rsidRPr="00D4730B" w14:paraId="375959F9" w14:textId="77777777" w:rsidTr="00E946A3">
        <w:trPr>
          <w:trHeight w:val="290"/>
        </w:trPr>
        <w:tc>
          <w:tcPr>
            <w:tcW w:w="6291" w:type="dxa"/>
            <w:shd w:val="clear" w:color="auto" w:fill="auto"/>
            <w:noWrap/>
            <w:vAlign w:val="bottom"/>
            <w:hideMark/>
          </w:tcPr>
          <w:p w14:paraId="056AA9BA"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TRA2 (Ağrı, Kars, Iğdır, Ardahan)</w:t>
            </w:r>
          </w:p>
        </w:tc>
        <w:tc>
          <w:tcPr>
            <w:tcW w:w="1580" w:type="dxa"/>
            <w:shd w:val="clear" w:color="auto" w:fill="auto"/>
            <w:noWrap/>
            <w:vAlign w:val="bottom"/>
            <w:hideMark/>
          </w:tcPr>
          <w:p w14:paraId="67FE01DC" w14:textId="587A463C"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19.5</w:t>
            </w:r>
          </w:p>
        </w:tc>
        <w:tc>
          <w:tcPr>
            <w:tcW w:w="1714" w:type="dxa"/>
            <w:vAlign w:val="bottom"/>
          </w:tcPr>
          <w:p w14:paraId="169A4518" w14:textId="2956BCC0"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30.7</w:t>
            </w:r>
          </w:p>
        </w:tc>
      </w:tr>
      <w:tr w:rsidR="00E946A3" w:rsidRPr="00D4730B" w14:paraId="170A1565" w14:textId="77777777" w:rsidTr="00E946A3">
        <w:trPr>
          <w:trHeight w:val="290"/>
        </w:trPr>
        <w:tc>
          <w:tcPr>
            <w:tcW w:w="6291" w:type="dxa"/>
            <w:shd w:val="clear" w:color="auto" w:fill="auto"/>
            <w:noWrap/>
            <w:vAlign w:val="bottom"/>
            <w:hideMark/>
          </w:tcPr>
          <w:p w14:paraId="79DD7E65"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TRB2 (Van, Muş, Bitlis, Hakkâri)</w:t>
            </w:r>
          </w:p>
        </w:tc>
        <w:tc>
          <w:tcPr>
            <w:tcW w:w="1580" w:type="dxa"/>
            <w:shd w:val="clear" w:color="auto" w:fill="auto"/>
            <w:noWrap/>
            <w:vAlign w:val="bottom"/>
            <w:hideMark/>
          </w:tcPr>
          <w:p w14:paraId="4146D9D5" w14:textId="63864DCB"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11.2</w:t>
            </w:r>
          </w:p>
        </w:tc>
        <w:tc>
          <w:tcPr>
            <w:tcW w:w="1714" w:type="dxa"/>
            <w:vAlign w:val="bottom"/>
          </w:tcPr>
          <w:p w14:paraId="561FA502" w14:textId="24A9CF10"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29.7</w:t>
            </w:r>
          </w:p>
        </w:tc>
      </w:tr>
      <w:tr w:rsidR="00E946A3" w:rsidRPr="00D4730B" w14:paraId="11747D61" w14:textId="77777777" w:rsidTr="00E946A3">
        <w:trPr>
          <w:trHeight w:val="290"/>
        </w:trPr>
        <w:tc>
          <w:tcPr>
            <w:tcW w:w="6291" w:type="dxa"/>
            <w:shd w:val="clear" w:color="auto" w:fill="auto"/>
            <w:noWrap/>
            <w:vAlign w:val="bottom"/>
            <w:hideMark/>
          </w:tcPr>
          <w:p w14:paraId="78E38B18" w14:textId="77777777" w:rsidR="00E946A3" w:rsidRPr="00D4730B" w:rsidRDefault="00E946A3" w:rsidP="00E946A3">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TRC3 (Mardin, Batman, Şırnak, Siirt)</w:t>
            </w:r>
          </w:p>
        </w:tc>
        <w:tc>
          <w:tcPr>
            <w:tcW w:w="1580" w:type="dxa"/>
            <w:shd w:val="clear" w:color="auto" w:fill="auto"/>
            <w:noWrap/>
            <w:vAlign w:val="bottom"/>
            <w:hideMark/>
          </w:tcPr>
          <w:p w14:paraId="4C5C1BE4" w14:textId="47CC2965"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19.7</w:t>
            </w:r>
          </w:p>
        </w:tc>
        <w:tc>
          <w:tcPr>
            <w:tcW w:w="1714" w:type="dxa"/>
            <w:vAlign w:val="bottom"/>
          </w:tcPr>
          <w:p w14:paraId="04A6E38E" w14:textId="4EBD53A0" w:rsidR="00E946A3" w:rsidRPr="00D4730B" w:rsidRDefault="00E946A3" w:rsidP="00E946A3">
            <w:pPr>
              <w:spacing w:after="0" w:line="240" w:lineRule="auto"/>
              <w:jc w:val="center"/>
              <w:rPr>
                <w:rFonts w:ascii="Calibri" w:eastAsia="Times New Roman" w:hAnsi="Calibri" w:cs="Times New Roman"/>
                <w:lang w:val="en-GB"/>
              </w:rPr>
            </w:pPr>
            <w:r>
              <w:rPr>
                <w:rFonts w:ascii="Calibri" w:hAnsi="Calibri"/>
              </w:rPr>
              <w:t>29.5</w:t>
            </w:r>
          </w:p>
        </w:tc>
      </w:tr>
    </w:tbl>
    <w:p w14:paraId="3D664E07" w14:textId="0AFC6F32" w:rsidR="00132255" w:rsidRPr="00396D58" w:rsidRDefault="00CE492F" w:rsidP="00396D58">
      <w:pPr>
        <w:rPr>
          <w:color w:val="FF0000"/>
          <w:sz w:val="16"/>
          <w:szCs w:val="16"/>
          <w:lang w:val="en-US"/>
        </w:rPr>
      </w:pPr>
      <w:r w:rsidRPr="00D4730B">
        <w:rPr>
          <w:sz w:val="16"/>
          <w:szCs w:val="16"/>
          <w:lang w:val="en-GB"/>
        </w:rPr>
        <w:br w:type="textWrapping" w:clear="all"/>
      </w:r>
      <w:r w:rsidR="00D16B6F" w:rsidRPr="00D4730B">
        <w:rPr>
          <w:sz w:val="16"/>
          <w:szCs w:val="16"/>
          <w:lang w:val="en-US"/>
        </w:rPr>
        <w:t>Source: Turkstat, Betam</w:t>
      </w:r>
      <w:r w:rsidR="00D16B6F" w:rsidRPr="00D4730B">
        <w:rPr>
          <w:sz w:val="16"/>
          <w:szCs w:val="16"/>
          <w:lang w:val="en-US"/>
        </w:rPr>
        <w:br/>
        <w:t xml:space="preserve">Note: </w:t>
      </w:r>
      <m:oMath>
        <m:sSub>
          <m:sSubPr>
            <m:ctrlPr>
              <w:rPr>
                <w:rFonts w:ascii="Cambria Math" w:hAnsi="Cambria Math"/>
                <w:i/>
                <w:color w:val="000000" w:themeColor="text1"/>
                <w:sz w:val="16"/>
                <w:szCs w:val="16"/>
                <w:lang w:val="en-US"/>
              </w:rPr>
            </m:ctrlPr>
          </m:sSubPr>
          <m:e>
            <m:r>
              <m:rPr>
                <m:sty m:val="bi"/>
              </m:rPr>
              <w:rPr>
                <w:rFonts w:ascii="Cambria Math" w:hAnsi="Cambria Math"/>
                <w:color w:val="000000" w:themeColor="text1"/>
                <w:sz w:val="16"/>
                <w:szCs w:val="16"/>
                <w:lang w:val="en-US"/>
              </w:rPr>
              <m:t>E</m:t>
            </m:r>
          </m:e>
          <m:sub>
            <m:r>
              <m:rPr>
                <m:sty m:val="bi"/>
              </m:rPr>
              <w:rPr>
                <w:rFonts w:ascii="Cambria Math" w:hAnsi="Cambria Math"/>
                <w:color w:val="000000" w:themeColor="text1"/>
                <w:sz w:val="16"/>
                <w:szCs w:val="16"/>
                <w:lang w:val="en-US"/>
              </w:rPr>
              <m:t xml:space="preserve">a </m:t>
            </m:r>
          </m:sub>
        </m:sSub>
        <m:r>
          <m:rPr>
            <m:sty m:val="bi"/>
          </m:rPr>
          <w:rPr>
            <w:rFonts w:ascii="Cambria Math" w:hAnsi="Cambria Math"/>
            <w:color w:val="000000" w:themeColor="text1"/>
            <w:sz w:val="16"/>
            <w:szCs w:val="16"/>
            <w:lang w:val="en-US"/>
          </w:rPr>
          <m:t>:</m:t>
        </m:r>
      </m:oMath>
      <w:r w:rsidR="00D16B6F" w:rsidRPr="00D4730B">
        <w:rPr>
          <w:color w:val="000000" w:themeColor="text1"/>
          <w:sz w:val="16"/>
          <w:szCs w:val="16"/>
          <w:lang w:val="en-US"/>
        </w:rPr>
        <w:t xml:space="preserve"> Agricultural employment, </w:t>
      </w:r>
      <m:oMath>
        <m:sSub>
          <m:sSubPr>
            <m:ctrlPr>
              <w:rPr>
                <w:rFonts w:ascii="Cambria Math" w:hAnsi="Cambria Math"/>
                <w:i/>
                <w:color w:val="000000" w:themeColor="text1"/>
                <w:sz w:val="16"/>
                <w:szCs w:val="16"/>
                <w:lang w:val="en-US"/>
              </w:rPr>
            </m:ctrlPr>
          </m:sSubPr>
          <m:e>
            <m:r>
              <m:rPr>
                <m:sty m:val="bi"/>
              </m:rPr>
              <w:rPr>
                <w:rFonts w:ascii="Cambria Math" w:hAnsi="Cambria Math"/>
                <w:color w:val="000000" w:themeColor="text1"/>
                <w:sz w:val="16"/>
                <w:szCs w:val="16"/>
                <w:lang w:val="en-US"/>
              </w:rPr>
              <m:t>E</m:t>
            </m:r>
          </m:e>
          <m:sub>
            <m:r>
              <m:rPr>
                <m:sty m:val="bi"/>
              </m:rPr>
              <w:rPr>
                <w:rFonts w:ascii="Cambria Math" w:hAnsi="Cambria Math"/>
                <w:color w:val="000000" w:themeColor="text1"/>
                <w:sz w:val="16"/>
                <w:szCs w:val="16"/>
                <w:lang w:val="en-US"/>
              </w:rPr>
              <m:t>na</m:t>
            </m:r>
          </m:sub>
        </m:sSub>
        <m:r>
          <m:rPr>
            <m:sty m:val="bi"/>
          </m:rPr>
          <w:rPr>
            <w:rFonts w:ascii="Cambria Math" w:hAnsi="Cambria Math"/>
            <w:color w:val="000000" w:themeColor="text1"/>
            <w:sz w:val="16"/>
            <w:szCs w:val="16"/>
            <w:lang w:val="en-US"/>
          </w:rPr>
          <m:t>:</m:t>
        </m:r>
      </m:oMath>
      <w:r w:rsidR="00D16B6F" w:rsidRPr="00D4730B">
        <w:rPr>
          <w:color w:val="000000" w:themeColor="text1"/>
          <w:sz w:val="16"/>
          <w:szCs w:val="16"/>
          <w:lang w:val="en-US"/>
        </w:rPr>
        <w:t xml:space="preserve"> Non-agricultural employment, </w:t>
      </w:r>
      <w:r w:rsidR="00D16B6F" w:rsidRPr="00D4730B">
        <w:rPr>
          <w:i/>
          <w:color w:val="000000" w:themeColor="text1"/>
          <w:sz w:val="16"/>
          <w:szCs w:val="16"/>
          <w:lang w:val="en-US"/>
        </w:rPr>
        <w:t>WAP</w:t>
      </w:r>
      <w:r w:rsidR="00D16B6F" w:rsidRPr="00D4730B">
        <w:rPr>
          <w:color w:val="000000" w:themeColor="text1"/>
          <w:sz w:val="16"/>
          <w:szCs w:val="16"/>
          <w:lang w:val="en-US"/>
        </w:rPr>
        <w:t xml:space="preserve">: Working age population </w:t>
      </w:r>
    </w:p>
    <w:p w14:paraId="2200CB95" w14:textId="77777777" w:rsidR="00E946A3" w:rsidRDefault="00E946A3" w:rsidP="00ED3B36">
      <w:pPr>
        <w:jc w:val="both"/>
        <w:rPr>
          <w:b/>
          <w:lang w:val="en-US"/>
        </w:rPr>
      </w:pPr>
    </w:p>
    <w:p w14:paraId="6BDB9F85" w14:textId="77777777" w:rsidR="00730F19" w:rsidRDefault="00730F19" w:rsidP="00ED3B36">
      <w:pPr>
        <w:jc w:val="both"/>
        <w:rPr>
          <w:b/>
          <w:lang w:val="en-US"/>
        </w:rPr>
      </w:pPr>
    </w:p>
    <w:p w14:paraId="63839592" w14:textId="77777777" w:rsidR="00730F19" w:rsidRDefault="00730F19" w:rsidP="00ED3B36">
      <w:pPr>
        <w:jc w:val="both"/>
        <w:rPr>
          <w:b/>
          <w:lang w:val="en-US"/>
        </w:rPr>
      </w:pPr>
    </w:p>
    <w:p w14:paraId="4A0DDD60" w14:textId="77777777" w:rsidR="00730F19" w:rsidRDefault="00730F19" w:rsidP="00ED3B36">
      <w:pPr>
        <w:jc w:val="both"/>
        <w:rPr>
          <w:b/>
          <w:lang w:val="en-US"/>
        </w:rPr>
      </w:pPr>
    </w:p>
    <w:p w14:paraId="10F295D4" w14:textId="77777777" w:rsidR="00730F19" w:rsidRDefault="00730F19" w:rsidP="00ED3B36">
      <w:pPr>
        <w:jc w:val="both"/>
        <w:rPr>
          <w:b/>
          <w:lang w:val="en-US"/>
        </w:rPr>
      </w:pPr>
    </w:p>
    <w:p w14:paraId="456A9359" w14:textId="77777777" w:rsidR="00730F19" w:rsidRDefault="00730F19" w:rsidP="00ED3B36">
      <w:pPr>
        <w:jc w:val="both"/>
        <w:rPr>
          <w:b/>
          <w:lang w:val="en-US"/>
        </w:rPr>
      </w:pPr>
    </w:p>
    <w:p w14:paraId="0BFE5434" w14:textId="2B7426CA" w:rsidR="00F32255" w:rsidRPr="00D4730B" w:rsidRDefault="00D16B6F" w:rsidP="00ED3B36">
      <w:pPr>
        <w:jc w:val="both"/>
        <w:rPr>
          <w:lang w:val="en-GB"/>
        </w:rPr>
      </w:pPr>
      <w:r w:rsidRPr="00D4730B">
        <w:rPr>
          <w:b/>
          <w:lang w:val="en-US"/>
        </w:rPr>
        <w:lastRenderedPageBreak/>
        <w:t>Annex Table 2</w:t>
      </w:r>
      <w:r w:rsidR="00F32255" w:rsidRPr="00D4730B">
        <w:rPr>
          <w:b/>
          <w:lang w:val="en-GB"/>
        </w:rPr>
        <w:t xml:space="preserve">: </w:t>
      </w:r>
      <w:r w:rsidRPr="00D4730B">
        <w:rPr>
          <w:b/>
          <w:lang w:val="en-US"/>
        </w:rPr>
        <w:t>Regional non-agricultural</w:t>
      </w:r>
      <w:r w:rsidR="00A915B8" w:rsidRPr="00D4730B">
        <w:rPr>
          <w:b/>
          <w:lang w:val="en-US"/>
        </w:rPr>
        <w:t xml:space="preserve"> female</w:t>
      </w:r>
      <w:r w:rsidRPr="00D4730B">
        <w:rPr>
          <w:b/>
          <w:lang w:val="en-US"/>
        </w:rPr>
        <w:t xml:space="preserve"> employment rate</w:t>
      </w:r>
      <w:r w:rsidRPr="00D4730B">
        <w:rPr>
          <w:b/>
          <w:lang w:val="en-GB"/>
        </w:rPr>
        <w:t xml:space="preserve"> </w:t>
      </w:r>
      <w:r w:rsidR="00F32255" w:rsidRPr="00D4730B">
        <w:rPr>
          <w:b/>
          <w:lang w:val="en-GB"/>
        </w:rPr>
        <w:t>(2017)</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2800"/>
      </w:tblGrid>
      <w:tr w:rsidR="00F32255" w:rsidRPr="00D4730B" w14:paraId="22AA236B" w14:textId="77777777" w:rsidTr="00F32255">
        <w:trPr>
          <w:trHeight w:val="300"/>
        </w:trPr>
        <w:tc>
          <w:tcPr>
            <w:tcW w:w="5400" w:type="dxa"/>
            <w:shd w:val="clear" w:color="auto" w:fill="auto"/>
            <w:noWrap/>
            <w:vAlign w:val="bottom"/>
            <w:hideMark/>
          </w:tcPr>
          <w:p w14:paraId="4C3DB01A" w14:textId="4D835C51" w:rsidR="00F32255" w:rsidRPr="00D4730B" w:rsidRDefault="00A915B8" w:rsidP="0053261D">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Regions</w:t>
            </w:r>
          </w:p>
        </w:tc>
        <w:tc>
          <w:tcPr>
            <w:tcW w:w="2800" w:type="dxa"/>
            <w:shd w:val="clear" w:color="auto" w:fill="auto"/>
            <w:noWrap/>
            <w:vAlign w:val="bottom"/>
            <w:hideMark/>
          </w:tcPr>
          <w:p w14:paraId="7599A70A" w14:textId="4AE19085" w:rsidR="00F32255" w:rsidRPr="00D4730B" w:rsidRDefault="00A915B8"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 xml:space="preserve">Non-agricultural female </w:t>
            </w:r>
            <w:r w:rsidR="005C5D9E" w:rsidRPr="00D4730B">
              <w:rPr>
                <w:rFonts w:ascii="Calibri" w:eastAsia="Times New Roman" w:hAnsi="Calibri" w:cs="Times New Roman"/>
                <w:color w:val="000000"/>
                <w:lang w:val="en-GB"/>
              </w:rPr>
              <w:t>employment (</w:t>
            </w:r>
            <w:r w:rsidR="00F32255" w:rsidRPr="00D4730B">
              <w:rPr>
                <w:rFonts w:ascii="Calibri" w:eastAsia="Times New Roman" w:hAnsi="Calibri" w:cs="Times New Roman"/>
                <w:color w:val="000000"/>
                <w:lang w:val="en-GB"/>
              </w:rPr>
              <w:t xml:space="preserve">%) </w:t>
            </w:r>
          </w:p>
        </w:tc>
      </w:tr>
      <w:tr w:rsidR="00F32255" w:rsidRPr="00D4730B" w14:paraId="04D63DDC" w14:textId="77777777" w:rsidTr="00F32255">
        <w:trPr>
          <w:trHeight w:val="300"/>
        </w:trPr>
        <w:tc>
          <w:tcPr>
            <w:tcW w:w="5400" w:type="dxa"/>
            <w:shd w:val="clear" w:color="auto" w:fill="auto"/>
            <w:noWrap/>
            <w:vAlign w:val="center"/>
            <w:hideMark/>
          </w:tcPr>
          <w:p w14:paraId="741D9237" w14:textId="340D6006"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w:t>
            </w:r>
            <w:r w:rsidR="00A915B8" w:rsidRPr="00D4730B">
              <w:rPr>
                <w:rFonts w:ascii="Calibri" w:eastAsia="Times New Roman" w:hAnsi="Calibri" w:cs="Times New Roman"/>
                <w:lang w:val="en-GB"/>
              </w:rPr>
              <w:t>urkey</w:t>
            </w:r>
          </w:p>
        </w:tc>
        <w:tc>
          <w:tcPr>
            <w:tcW w:w="2800" w:type="dxa"/>
            <w:shd w:val="clear" w:color="auto" w:fill="auto"/>
            <w:noWrap/>
            <w:vAlign w:val="center"/>
            <w:hideMark/>
          </w:tcPr>
          <w:p w14:paraId="2D7F39B9"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22.5</w:t>
            </w:r>
          </w:p>
        </w:tc>
      </w:tr>
      <w:tr w:rsidR="00F32255" w:rsidRPr="00D4730B" w14:paraId="07FF6843" w14:textId="77777777" w:rsidTr="00F32255">
        <w:trPr>
          <w:trHeight w:val="300"/>
        </w:trPr>
        <w:tc>
          <w:tcPr>
            <w:tcW w:w="5400" w:type="dxa"/>
            <w:shd w:val="clear" w:color="auto" w:fill="auto"/>
            <w:noWrap/>
            <w:vAlign w:val="center"/>
            <w:hideMark/>
          </w:tcPr>
          <w:p w14:paraId="2A0FD79F"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TR10 (İstanbul)</w:t>
            </w:r>
          </w:p>
        </w:tc>
        <w:tc>
          <w:tcPr>
            <w:tcW w:w="2800" w:type="dxa"/>
            <w:shd w:val="clear" w:color="auto" w:fill="auto"/>
            <w:noWrap/>
            <w:vAlign w:val="center"/>
            <w:hideMark/>
          </w:tcPr>
          <w:p w14:paraId="3CCFB92B"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30.4</w:t>
            </w:r>
          </w:p>
        </w:tc>
      </w:tr>
      <w:tr w:rsidR="00F32255" w:rsidRPr="00D4730B" w14:paraId="5A7FBC8F" w14:textId="77777777" w:rsidTr="00F32255">
        <w:trPr>
          <w:trHeight w:val="300"/>
        </w:trPr>
        <w:tc>
          <w:tcPr>
            <w:tcW w:w="5400" w:type="dxa"/>
            <w:shd w:val="clear" w:color="auto" w:fill="auto"/>
            <w:noWrap/>
            <w:vAlign w:val="center"/>
            <w:hideMark/>
          </w:tcPr>
          <w:p w14:paraId="6C4F8A4F"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TR21 (Tekirdağ, Edirne, Kırklareli)</w:t>
            </w:r>
          </w:p>
        </w:tc>
        <w:tc>
          <w:tcPr>
            <w:tcW w:w="2800" w:type="dxa"/>
            <w:shd w:val="clear" w:color="auto" w:fill="auto"/>
            <w:noWrap/>
            <w:vAlign w:val="center"/>
            <w:hideMark/>
          </w:tcPr>
          <w:p w14:paraId="4279ECD7"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29.3</w:t>
            </w:r>
          </w:p>
        </w:tc>
      </w:tr>
      <w:tr w:rsidR="00F32255" w:rsidRPr="00D4730B" w14:paraId="0CDEA25D" w14:textId="77777777" w:rsidTr="00F32255">
        <w:trPr>
          <w:trHeight w:val="300"/>
        </w:trPr>
        <w:tc>
          <w:tcPr>
            <w:tcW w:w="5400" w:type="dxa"/>
            <w:shd w:val="clear" w:color="auto" w:fill="auto"/>
            <w:noWrap/>
            <w:vAlign w:val="center"/>
            <w:hideMark/>
          </w:tcPr>
          <w:p w14:paraId="7171AC96"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TR51 (Ankara)</w:t>
            </w:r>
          </w:p>
        </w:tc>
        <w:tc>
          <w:tcPr>
            <w:tcW w:w="2800" w:type="dxa"/>
            <w:shd w:val="clear" w:color="auto" w:fill="auto"/>
            <w:noWrap/>
            <w:vAlign w:val="center"/>
            <w:hideMark/>
          </w:tcPr>
          <w:p w14:paraId="30F6F340"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27.6</w:t>
            </w:r>
          </w:p>
        </w:tc>
      </w:tr>
      <w:tr w:rsidR="00F32255" w:rsidRPr="00D4730B" w14:paraId="28DAF140" w14:textId="77777777" w:rsidTr="00F32255">
        <w:trPr>
          <w:trHeight w:val="300"/>
        </w:trPr>
        <w:tc>
          <w:tcPr>
            <w:tcW w:w="5400" w:type="dxa"/>
            <w:shd w:val="clear" w:color="auto" w:fill="auto"/>
            <w:noWrap/>
            <w:vAlign w:val="center"/>
            <w:hideMark/>
          </w:tcPr>
          <w:p w14:paraId="54078188"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TR31 (İzmir)</w:t>
            </w:r>
          </w:p>
        </w:tc>
        <w:tc>
          <w:tcPr>
            <w:tcW w:w="2800" w:type="dxa"/>
            <w:shd w:val="clear" w:color="auto" w:fill="auto"/>
            <w:noWrap/>
            <w:vAlign w:val="center"/>
            <w:hideMark/>
          </w:tcPr>
          <w:p w14:paraId="3F011DA4"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27.5</w:t>
            </w:r>
          </w:p>
        </w:tc>
      </w:tr>
      <w:tr w:rsidR="00F32255" w:rsidRPr="00D4730B" w14:paraId="6D9705B2" w14:textId="77777777" w:rsidTr="00F32255">
        <w:trPr>
          <w:trHeight w:val="300"/>
        </w:trPr>
        <w:tc>
          <w:tcPr>
            <w:tcW w:w="5400" w:type="dxa"/>
            <w:shd w:val="clear" w:color="auto" w:fill="auto"/>
            <w:noWrap/>
            <w:vAlign w:val="center"/>
            <w:hideMark/>
          </w:tcPr>
          <w:p w14:paraId="7265E177"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TR32 (Aydın, Denizli, Muğla)</w:t>
            </w:r>
          </w:p>
        </w:tc>
        <w:tc>
          <w:tcPr>
            <w:tcW w:w="2800" w:type="dxa"/>
            <w:shd w:val="clear" w:color="auto" w:fill="auto"/>
            <w:noWrap/>
            <w:vAlign w:val="center"/>
            <w:hideMark/>
          </w:tcPr>
          <w:p w14:paraId="49877B6E"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26.5</w:t>
            </w:r>
          </w:p>
        </w:tc>
      </w:tr>
      <w:tr w:rsidR="00F32255" w:rsidRPr="00D4730B" w14:paraId="2E70FDC8" w14:textId="77777777" w:rsidTr="00F32255">
        <w:trPr>
          <w:trHeight w:val="300"/>
        </w:trPr>
        <w:tc>
          <w:tcPr>
            <w:tcW w:w="5400" w:type="dxa"/>
            <w:shd w:val="clear" w:color="auto" w:fill="auto"/>
            <w:noWrap/>
            <w:vAlign w:val="center"/>
            <w:hideMark/>
          </w:tcPr>
          <w:p w14:paraId="55C27C97"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TR61 (Antalya, Isparta, Burdur)</w:t>
            </w:r>
          </w:p>
        </w:tc>
        <w:tc>
          <w:tcPr>
            <w:tcW w:w="2800" w:type="dxa"/>
            <w:shd w:val="clear" w:color="auto" w:fill="auto"/>
            <w:noWrap/>
            <w:vAlign w:val="center"/>
            <w:hideMark/>
          </w:tcPr>
          <w:p w14:paraId="2132A1AC"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25.6</w:t>
            </w:r>
          </w:p>
        </w:tc>
      </w:tr>
      <w:tr w:rsidR="00F32255" w:rsidRPr="00D4730B" w14:paraId="4034C0DB" w14:textId="77777777" w:rsidTr="00F32255">
        <w:trPr>
          <w:trHeight w:val="300"/>
        </w:trPr>
        <w:tc>
          <w:tcPr>
            <w:tcW w:w="5400" w:type="dxa"/>
            <w:shd w:val="clear" w:color="auto" w:fill="auto"/>
            <w:noWrap/>
            <w:vAlign w:val="center"/>
            <w:hideMark/>
          </w:tcPr>
          <w:p w14:paraId="3FC4A145"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TR41 (Bursa, Eskişehir, Bilecik)</w:t>
            </w:r>
          </w:p>
        </w:tc>
        <w:tc>
          <w:tcPr>
            <w:tcW w:w="2800" w:type="dxa"/>
            <w:shd w:val="clear" w:color="auto" w:fill="auto"/>
            <w:noWrap/>
            <w:vAlign w:val="center"/>
            <w:hideMark/>
          </w:tcPr>
          <w:p w14:paraId="756BB612"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24.7</w:t>
            </w:r>
          </w:p>
        </w:tc>
      </w:tr>
      <w:tr w:rsidR="00F32255" w:rsidRPr="00D4730B" w14:paraId="01F7BE38" w14:textId="77777777" w:rsidTr="00F32255">
        <w:trPr>
          <w:trHeight w:val="300"/>
        </w:trPr>
        <w:tc>
          <w:tcPr>
            <w:tcW w:w="5400" w:type="dxa"/>
            <w:shd w:val="clear" w:color="auto" w:fill="auto"/>
            <w:noWrap/>
            <w:vAlign w:val="center"/>
            <w:hideMark/>
          </w:tcPr>
          <w:p w14:paraId="42D77630"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TR42 (Kocaeli, Sakarya, Düzce, Bolu, Yalova)</w:t>
            </w:r>
          </w:p>
        </w:tc>
        <w:tc>
          <w:tcPr>
            <w:tcW w:w="2800" w:type="dxa"/>
            <w:shd w:val="clear" w:color="auto" w:fill="auto"/>
            <w:noWrap/>
            <w:vAlign w:val="center"/>
            <w:hideMark/>
          </w:tcPr>
          <w:p w14:paraId="5EDDE71A"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24.6</w:t>
            </w:r>
          </w:p>
        </w:tc>
      </w:tr>
      <w:tr w:rsidR="00F32255" w:rsidRPr="00D4730B" w14:paraId="108303F8" w14:textId="77777777" w:rsidTr="00F32255">
        <w:trPr>
          <w:trHeight w:val="300"/>
        </w:trPr>
        <w:tc>
          <w:tcPr>
            <w:tcW w:w="5400" w:type="dxa"/>
            <w:shd w:val="clear" w:color="auto" w:fill="auto"/>
            <w:noWrap/>
            <w:vAlign w:val="center"/>
            <w:hideMark/>
          </w:tcPr>
          <w:p w14:paraId="184921CB"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TR62 (Adana, Mersin)</w:t>
            </w:r>
          </w:p>
        </w:tc>
        <w:tc>
          <w:tcPr>
            <w:tcW w:w="2800" w:type="dxa"/>
            <w:shd w:val="clear" w:color="auto" w:fill="auto"/>
            <w:noWrap/>
            <w:vAlign w:val="center"/>
            <w:hideMark/>
          </w:tcPr>
          <w:p w14:paraId="48A22C1C"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21.2</w:t>
            </w:r>
          </w:p>
        </w:tc>
      </w:tr>
      <w:tr w:rsidR="00F32255" w:rsidRPr="00D4730B" w14:paraId="135ED0B6" w14:textId="77777777" w:rsidTr="00F32255">
        <w:trPr>
          <w:trHeight w:val="300"/>
        </w:trPr>
        <w:tc>
          <w:tcPr>
            <w:tcW w:w="5400" w:type="dxa"/>
            <w:shd w:val="clear" w:color="auto" w:fill="auto"/>
            <w:noWrap/>
            <w:vAlign w:val="center"/>
            <w:hideMark/>
          </w:tcPr>
          <w:p w14:paraId="0D3BF3C0"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TR82 (Kastamonu, Çankırı, Sinop)</w:t>
            </w:r>
          </w:p>
        </w:tc>
        <w:tc>
          <w:tcPr>
            <w:tcW w:w="2800" w:type="dxa"/>
            <w:shd w:val="clear" w:color="auto" w:fill="auto"/>
            <w:noWrap/>
            <w:vAlign w:val="center"/>
            <w:hideMark/>
          </w:tcPr>
          <w:p w14:paraId="5002B822"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21.0</w:t>
            </w:r>
          </w:p>
        </w:tc>
      </w:tr>
      <w:tr w:rsidR="00F32255" w:rsidRPr="00D4730B" w14:paraId="564FB832" w14:textId="77777777" w:rsidTr="00F32255">
        <w:trPr>
          <w:trHeight w:val="300"/>
        </w:trPr>
        <w:tc>
          <w:tcPr>
            <w:tcW w:w="5400" w:type="dxa"/>
            <w:shd w:val="clear" w:color="auto" w:fill="auto"/>
            <w:noWrap/>
            <w:vAlign w:val="center"/>
            <w:hideMark/>
          </w:tcPr>
          <w:p w14:paraId="3779A039"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TR90 (Trabzon, Ordu, Giresun, Rize, Artvin, Gümüşhane)</w:t>
            </w:r>
          </w:p>
        </w:tc>
        <w:tc>
          <w:tcPr>
            <w:tcW w:w="2800" w:type="dxa"/>
            <w:shd w:val="clear" w:color="auto" w:fill="auto"/>
            <w:noWrap/>
            <w:vAlign w:val="center"/>
            <w:hideMark/>
          </w:tcPr>
          <w:p w14:paraId="500476D5"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20.7</w:t>
            </w:r>
          </w:p>
        </w:tc>
      </w:tr>
      <w:tr w:rsidR="00F32255" w:rsidRPr="00D4730B" w14:paraId="7FDEE477" w14:textId="77777777" w:rsidTr="00F32255">
        <w:trPr>
          <w:trHeight w:val="300"/>
        </w:trPr>
        <w:tc>
          <w:tcPr>
            <w:tcW w:w="5400" w:type="dxa"/>
            <w:shd w:val="clear" w:color="auto" w:fill="auto"/>
            <w:noWrap/>
            <w:vAlign w:val="center"/>
            <w:hideMark/>
          </w:tcPr>
          <w:p w14:paraId="4B5A48CE"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TR22 (Balıkesir, Çanakkale)</w:t>
            </w:r>
          </w:p>
        </w:tc>
        <w:tc>
          <w:tcPr>
            <w:tcW w:w="2800" w:type="dxa"/>
            <w:shd w:val="clear" w:color="auto" w:fill="auto"/>
            <w:noWrap/>
            <w:vAlign w:val="center"/>
            <w:hideMark/>
          </w:tcPr>
          <w:p w14:paraId="61A7DD3A"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20.3</w:t>
            </w:r>
          </w:p>
        </w:tc>
      </w:tr>
      <w:tr w:rsidR="00F32255" w:rsidRPr="00D4730B" w14:paraId="590483D5" w14:textId="77777777" w:rsidTr="00F32255">
        <w:trPr>
          <w:trHeight w:val="300"/>
        </w:trPr>
        <w:tc>
          <w:tcPr>
            <w:tcW w:w="5400" w:type="dxa"/>
            <w:shd w:val="clear" w:color="auto" w:fill="auto"/>
            <w:noWrap/>
            <w:vAlign w:val="center"/>
            <w:hideMark/>
          </w:tcPr>
          <w:p w14:paraId="24EFA6BD"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TR33 (Manisa, Afyon, Kütahya, Uşak)</w:t>
            </w:r>
          </w:p>
        </w:tc>
        <w:tc>
          <w:tcPr>
            <w:tcW w:w="2800" w:type="dxa"/>
            <w:shd w:val="clear" w:color="auto" w:fill="auto"/>
            <w:noWrap/>
            <w:vAlign w:val="center"/>
            <w:hideMark/>
          </w:tcPr>
          <w:p w14:paraId="18DC5DBB"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19.4</w:t>
            </w:r>
          </w:p>
        </w:tc>
      </w:tr>
      <w:tr w:rsidR="00F32255" w:rsidRPr="00D4730B" w14:paraId="405AC381" w14:textId="77777777" w:rsidTr="00F32255">
        <w:trPr>
          <w:trHeight w:val="300"/>
        </w:trPr>
        <w:tc>
          <w:tcPr>
            <w:tcW w:w="5400" w:type="dxa"/>
            <w:shd w:val="clear" w:color="auto" w:fill="auto"/>
            <w:noWrap/>
            <w:vAlign w:val="center"/>
            <w:hideMark/>
          </w:tcPr>
          <w:p w14:paraId="1D42655D"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TR81 (Zonguldak, Karabük, Bartın)</w:t>
            </w:r>
          </w:p>
        </w:tc>
        <w:tc>
          <w:tcPr>
            <w:tcW w:w="2800" w:type="dxa"/>
            <w:shd w:val="clear" w:color="auto" w:fill="auto"/>
            <w:noWrap/>
            <w:vAlign w:val="center"/>
            <w:hideMark/>
          </w:tcPr>
          <w:p w14:paraId="1737523E"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18.6</w:t>
            </w:r>
          </w:p>
        </w:tc>
      </w:tr>
      <w:tr w:rsidR="00F32255" w:rsidRPr="00D4730B" w14:paraId="16505783" w14:textId="77777777" w:rsidTr="00F32255">
        <w:trPr>
          <w:trHeight w:val="300"/>
        </w:trPr>
        <w:tc>
          <w:tcPr>
            <w:tcW w:w="5400" w:type="dxa"/>
            <w:shd w:val="clear" w:color="auto" w:fill="auto"/>
            <w:noWrap/>
            <w:vAlign w:val="center"/>
            <w:hideMark/>
          </w:tcPr>
          <w:p w14:paraId="750B016E"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TR83 (Samsun, Tokat, Çorum, Amasya)</w:t>
            </w:r>
          </w:p>
        </w:tc>
        <w:tc>
          <w:tcPr>
            <w:tcW w:w="2800" w:type="dxa"/>
            <w:shd w:val="clear" w:color="auto" w:fill="auto"/>
            <w:noWrap/>
            <w:vAlign w:val="center"/>
            <w:hideMark/>
          </w:tcPr>
          <w:p w14:paraId="4242C36F"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18.2</w:t>
            </w:r>
          </w:p>
        </w:tc>
      </w:tr>
      <w:tr w:rsidR="00F32255" w:rsidRPr="00D4730B" w14:paraId="499FD72E" w14:textId="77777777" w:rsidTr="00F32255">
        <w:trPr>
          <w:trHeight w:val="300"/>
        </w:trPr>
        <w:tc>
          <w:tcPr>
            <w:tcW w:w="5400" w:type="dxa"/>
            <w:shd w:val="clear" w:color="auto" w:fill="auto"/>
            <w:noWrap/>
            <w:vAlign w:val="center"/>
            <w:hideMark/>
          </w:tcPr>
          <w:p w14:paraId="2339FC6E" w14:textId="77777777" w:rsidR="00F32255" w:rsidRPr="00D4730B" w:rsidRDefault="00F32255" w:rsidP="00F32255">
            <w:pPr>
              <w:spacing w:after="0" w:line="240" w:lineRule="auto"/>
              <w:jc w:val="both"/>
              <w:rPr>
                <w:rFonts w:ascii="Calibri" w:eastAsia="Times New Roman" w:hAnsi="Calibri" w:cs="Times New Roman"/>
                <w:lang w:val="en-GB"/>
              </w:rPr>
            </w:pPr>
            <w:r w:rsidRPr="00D4730B">
              <w:rPr>
                <w:rFonts w:ascii="Calibri" w:eastAsia="Times New Roman" w:hAnsi="Calibri" w:cs="Times New Roman"/>
                <w:lang w:val="en-GB"/>
              </w:rPr>
              <w:t>TRB1 (Malatya, Elâzığ, Bingöl, Tunceli)</w:t>
            </w:r>
          </w:p>
        </w:tc>
        <w:tc>
          <w:tcPr>
            <w:tcW w:w="2800" w:type="dxa"/>
            <w:shd w:val="clear" w:color="auto" w:fill="auto"/>
            <w:noWrap/>
            <w:vAlign w:val="center"/>
            <w:hideMark/>
          </w:tcPr>
          <w:p w14:paraId="0295D883"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17.5</w:t>
            </w:r>
          </w:p>
        </w:tc>
      </w:tr>
      <w:tr w:rsidR="00F32255" w:rsidRPr="00D4730B" w14:paraId="3035489B" w14:textId="77777777" w:rsidTr="00F32255">
        <w:trPr>
          <w:trHeight w:val="300"/>
        </w:trPr>
        <w:tc>
          <w:tcPr>
            <w:tcW w:w="5400" w:type="dxa"/>
            <w:shd w:val="clear" w:color="auto" w:fill="auto"/>
            <w:noWrap/>
            <w:vAlign w:val="center"/>
            <w:hideMark/>
          </w:tcPr>
          <w:p w14:paraId="140EE565" w14:textId="77777777" w:rsidR="00F32255" w:rsidRPr="00D4730B" w:rsidRDefault="00F32255" w:rsidP="00F32255">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TR52 (Konya, Karaman)</w:t>
            </w:r>
          </w:p>
        </w:tc>
        <w:tc>
          <w:tcPr>
            <w:tcW w:w="2800" w:type="dxa"/>
            <w:shd w:val="clear" w:color="auto" w:fill="auto"/>
            <w:noWrap/>
            <w:vAlign w:val="center"/>
            <w:hideMark/>
          </w:tcPr>
          <w:p w14:paraId="1A830A77"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17.1</w:t>
            </w:r>
          </w:p>
        </w:tc>
      </w:tr>
      <w:tr w:rsidR="00F32255" w:rsidRPr="00D4730B" w14:paraId="23B47A0B" w14:textId="77777777" w:rsidTr="00F32255">
        <w:trPr>
          <w:trHeight w:val="300"/>
        </w:trPr>
        <w:tc>
          <w:tcPr>
            <w:tcW w:w="5400" w:type="dxa"/>
            <w:shd w:val="clear" w:color="auto" w:fill="auto"/>
            <w:noWrap/>
            <w:vAlign w:val="center"/>
            <w:hideMark/>
          </w:tcPr>
          <w:p w14:paraId="072F1FD4" w14:textId="77777777" w:rsidR="00F32255" w:rsidRPr="00D4730B" w:rsidRDefault="00F32255" w:rsidP="00F32255">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TR63 (Hatay, Kahramanmaraş, Osmaniye)</w:t>
            </w:r>
          </w:p>
        </w:tc>
        <w:tc>
          <w:tcPr>
            <w:tcW w:w="2800" w:type="dxa"/>
            <w:shd w:val="clear" w:color="auto" w:fill="auto"/>
            <w:noWrap/>
            <w:vAlign w:val="center"/>
            <w:hideMark/>
          </w:tcPr>
          <w:p w14:paraId="35E4C05D"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16.2</w:t>
            </w:r>
          </w:p>
        </w:tc>
      </w:tr>
      <w:tr w:rsidR="00F32255" w:rsidRPr="00D4730B" w14:paraId="5517C18C" w14:textId="77777777" w:rsidTr="00F32255">
        <w:trPr>
          <w:trHeight w:val="300"/>
        </w:trPr>
        <w:tc>
          <w:tcPr>
            <w:tcW w:w="5400" w:type="dxa"/>
            <w:shd w:val="clear" w:color="auto" w:fill="auto"/>
            <w:noWrap/>
            <w:vAlign w:val="center"/>
            <w:hideMark/>
          </w:tcPr>
          <w:p w14:paraId="5DBAABB2" w14:textId="77777777" w:rsidR="00F32255" w:rsidRPr="00D4730B" w:rsidRDefault="00F32255" w:rsidP="00F32255">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TR71 (Kırıkkale, Aksaray, Niğde, Nevşehir, Kırşehir)</w:t>
            </w:r>
          </w:p>
        </w:tc>
        <w:tc>
          <w:tcPr>
            <w:tcW w:w="2800" w:type="dxa"/>
            <w:shd w:val="clear" w:color="auto" w:fill="auto"/>
            <w:noWrap/>
            <w:vAlign w:val="center"/>
            <w:hideMark/>
          </w:tcPr>
          <w:p w14:paraId="5D59B23D"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15.2</w:t>
            </w:r>
          </w:p>
        </w:tc>
      </w:tr>
      <w:tr w:rsidR="00F32255" w:rsidRPr="00D4730B" w14:paraId="578A58BE" w14:textId="77777777" w:rsidTr="00F32255">
        <w:trPr>
          <w:trHeight w:val="300"/>
        </w:trPr>
        <w:tc>
          <w:tcPr>
            <w:tcW w:w="5400" w:type="dxa"/>
            <w:shd w:val="clear" w:color="auto" w:fill="auto"/>
            <w:noWrap/>
            <w:vAlign w:val="center"/>
            <w:hideMark/>
          </w:tcPr>
          <w:p w14:paraId="0B690D93" w14:textId="77777777" w:rsidR="00F32255" w:rsidRPr="00D4730B" w:rsidRDefault="00F32255" w:rsidP="00F32255">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TRC1 (Gaziantep, Adıyaman, Kilis)</w:t>
            </w:r>
          </w:p>
        </w:tc>
        <w:tc>
          <w:tcPr>
            <w:tcW w:w="2800" w:type="dxa"/>
            <w:shd w:val="clear" w:color="auto" w:fill="auto"/>
            <w:noWrap/>
            <w:vAlign w:val="center"/>
            <w:hideMark/>
          </w:tcPr>
          <w:p w14:paraId="583A8197"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15.1</w:t>
            </w:r>
          </w:p>
        </w:tc>
      </w:tr>
      <w:tr w:rsidR="00F32255" w:rsidRPr="00D4730B" w14:paraId="6E4664FD" w14:textId="77777777" w:rsidTr="00F32255">
        <w:trPr>
          <w:trHeight w:val="300"/>
        </w:trPr>
        <w:tc>
          <w:tcPr>
            <w:tcW w:w="5400" w:type="dxa"/>
            <w:shd w:val="clear" w:color="auto" w:fill="auto"/>
            <w:noWrap/>
            <w:vAlign w:val="center"/>
            <w:hideMark/>
          </w:tcPr>
          <w:p w14:paraId="717B5786" w14:textId="77777777" w:rsidR="00F32255" w:rsidRPr="00D4730B" w:rsidRDefault="00F32255" w:rsidP="00F32255">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TRA1 (Erzurum, Erzincan, Bayburt)</w:t>
            </w:r>
          </w:p>
        </w:tc>
        <w:tc>
          <w:tcPr>
            <w:tcW w:w="2800" w:type="dxa"/>
            <w:shd w:val="clear" w:color="auto" w:fill="auto"/>
            <w:noWrap/>
            <w:vAlign w:val="center"/>
            <w:hideMark/>
          </w:tcPr>
          <w:p w14:paraId="23D99C1A"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14.6</w:t>
            </w:r>
          </w:p>
        </w:tc>
      </w:tr>
      <w:tr w:rsidR="00F32255" w:rsidRPr="00D4730B" w14:paraId="4584CABC" w14:textId="77777777" w:rsidTr="00F32255">
        <w:trPr>
          <w:trHeight w:val="300"/>
        </w:trPr>
        <w:tc>
          <w:tcPr>
            <w:tcW w:w="5400" w:type="dxa"/>
            <w:shd w:val="clear" w:color="auto" w:fill="auto"/>
            <w:noWrap/>
            <w:vAlign w:val="center"/>
            <w:hideMark/>
          </w:tcPr>
          <w:p w14:paraId="1D9D2C0F" w14:textId="77777777" w:rsidR="00F32255" w:rsidRPr="00D4730B" w:rsidRDefault="00F32255" w:rsidP="00F32255">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TR72 (Kayseri, Sivas, Yozgat)</w:t>
            </w:r>
          </w:p>
        </w:tc>
        <w:tc>
          <w:tcPr>
            <w:tcW w:w="2800" w:type="dxa"/>
            <w:shd w:val="clear" w:color="auto" w:fill="auto"/>
            <w:noWrap/>
            <w:vAlign w:val="center"/>
            <w:hideMark/>
          </w:tcPr>
          <w:p w14:paraId="31AFEF87"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14.4</w:t>
            </w:r>
          </w:p>
        </w:tc>
      </w:tr>
      <w:tr w:rsidR="00F32255" w:rsidRPr="00D4730B" w14:paraId="3B3E7424" w14:textId="77777777" w:rsidTr="00F32255">
        <w:trPr>
          <w:trHeight w:val="300"/>
        </w:trPr>
        <w:tc>
          <w:tcPr>
            <w:tcW w:w="5400" w:type="dxa"/>
            <w:shd w:val="clear" w:color="auto" w:fill="auto"/>
            <w:noWrap/>
            <w:vAlign w:val="center"/>
            <w:hideMark/>
          </w:tcPr>
          <w:p w14:paraId="12626D16" w14:textId="77777777" w:rsidR="00F32255" w:rsidRPr="00D4730B" w:rsidRDefault="00F32255" w:rsidP="00F32255">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TRC2 (Şanlıurfa, Diyarbakır)</w:t>
            </w:r>
          </w:p>
        </w:tc>
        <w:tc>
          <w:tcPr>
            <w:tcW w:w="2800" w:type="dxa"/>
            <w:shd w:val="clear" w:color="auto" w:fill="auto"/>
            <w:noWrap/>
            <w:vAlign w:val="center"/>
            <w:hideMark/>
          </w:tcPr>
          <w:p w14:paraId="64FF8FD9"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10.7</w:t>
            </w:r>
          </w:p>
        </w:tc>
      </w:tr>
      <w:tr w:rsidR="00F32255" w:rsidRPr="00D4730B" w14:paraId="7C17513B" w14:textId="77777777" w:rsidTr="00F32255">
        <w:trPr>
          <w:trHeight w:val="300"/>
        </w:trPr>
        <w:tc>
          <w:tcPr>
            <w:tcW w:w="5400" w:type="dxa"/>
            <w:shd w:val="clear" w:color="auto" w:fill="auto"/>
            <w:noWrap/>
            <w:vAlign w:val="center"/>
            <w:hideMark/>
          </w:tcPr>
          <w:p w14:paraId="65FA49AA" w14:textId="77777777" w:rsidR="00F32255" w:rsidRPr="00D4730B" w:rsidRDefault="00F32255" w:rsidP="00F32255">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TRA2 (Ağrı, Kars, Iğdır, Ardahan)</w:t>
            </w:r>
          </w:p>
        </w:tc>
        <w:tc>
          <w:tcPr>
            <w:tcW w:w="2800" w:type="dxa"/>
            <w:shd w:val="clear" w:color="auto" w:fill="auto"/>
            <w:noWrap/>
            <w:vAlign w:val="center"/>
            <w:hideMark/>
          </w:tcPr>
          <w:p w14:paraId="4DE8EEA0"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8.6</w:t>
            </w:r>
          </w:p>
        </w:tc>
      </w:tr>
      <w:tr w:rsidR="00F32255" w:rsidRPr="00D4730B" w14:paraId="3EECE8F7" w14:textId="77777777" w:rsidTr="00F32255">
        <w:trPr>
          <w:trHeight w:val="300"/>
        </w:trPr>
        <w:tc>
          <w:tcPr>
            <w:tcW w:w="5400" w:type="dxa"/>
            <w:shd w:val="clear" w:color="auto" w:fill="auto"/>
            <w:noWrap/>
            <w:vAlign w:val="center"/>
            <w:hideMark/>
          </w:tcPr>
          <w:p w14:paraId="25942DDC" w14:textId="77777777" w:rsidR="00F32255" w:rsidRPr="00D4730B" w:rsidRDefault="00F32255" w:rsidP="00F32255">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TRB2 (Van, Muş, Bitlis, Hakkâri)</w:t>
            </w:r>
          </w:p>
        </w:tc>
        <w:tc>
          <w:tcPr>
            <w:tcW w:w="2800" w:type="dxa"/>
            <w:shd w:val="clear" w:color="auto" w:fill="auto"/>
            <w:noWrap/>
            <w:vAlign w:val="center"/>
            <w:hideMark/>
          </w:tcPr>
          <w:p w14:paraId="40B01A47"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7.4</w:t>
            </w:r>
          </w:p>
        </w:tc>
      </w:tr>
      <w:tr w:rsidR="00F32255" w:rsidRPr="00D4730B" w14:paraId="210297B8" w14:textId="77777777" w:rsidTr="00F32255">
        <w:trPr>
          <w:trHeight w:val="300"/>
        </w:trPr>
        <w:tc>
          <w:tcPr>
            <w:tcW w:w="5400" w:type="dxa"/>
            <w:shd w:val="clear" w:color="auto" w:fill="auto"/>
            <w:noWrap/>
            <w:vAlign w:val="center"/>
            <w:hideMark/>
          </w:tcPr>
          <w:p w14:paraId="21B21709" w14:textId="77777777" w:rsidR="00F32255" w:rsidRPr="00D4730B" w:rsidRDefault="00F32255" w:rsidP="00F32255">
            <w:pPr>
              <w:spacing w:after="0" w:line="240" w:lineRule="auto"/>
              <w:jc w:val="both"/>
              <w:rPr>
                <w:rFonts w:ascii="Calibri" w:eastAsia="Times New Roman" w:hAnsi="Calibri" w:cs="Times New Roman"/>
                <w:color w:val="000000"/>
                <w:lang w:val="en-GB"/>
              </w:rPr>
            </w:pPr>
            <w:r w:rsidRPr="00D4730B">
              <w:rPr>
                <w:rFonts w:ascii="Calibri" w:eastAsia="Times New Roman" w:hAnsi="Calibri" w:cs="Times New Roman"/>
                <w:color w:val="000000"/>
                <w:lang w:val="en-GB"/>
              </w:rPr>
              <w:t>TRC3 (Mardin, Batman, Şırnak, Siirt)</w:t>
            </w:r>
          </w:p>
        </w:tc>
        <w:tc>
          <w:tcPr>
            <w:tcW w:w="2800" w:type="dxa"/>
            <w:shd w:val="clear" w:color="auto" w:fill="auto"/>
            <w:noWrap/>
            <w:vAlign w:val="center"/>
            <w:hideMark/>
          </w:tcPr>
          <w:p w14:paraId="482A7CCD" w14:textId="77777777" w:rsidR="00F32255" w:rsidRPr="00D4730B" w:rsidRDefault="00F32255" w:rsidP="00F32255">
            <w:pPr>
              <w:spacing w:after="0" w:line="240" w:lineRule="auto"/>
              <w:jc w:val="center"/>
              <w:rPr>
                <w:rFonts w:ascii="Calibri" w:eastAsia="Times New Roman" w:hAnsi="Calibri" w:cs="Times New Roman"/>
                <w:color w:val="000000"/>
                <w:lang w:val="en-GB"/>
              </w:rPr>
            </w:pPr>
            <w:r w:rsidRPr="00D4730B">
              <w:rPr>
                <w:rFonts w:ascii="Calibri" w:eastAsia="Times New Roman" w:hAnsi="Calibri" w:cs="Times New Roman"/>
                <w:color w:val="000000"/>
                <w:lang w:val="en-GB"/>
              </w:rPr>
              <w:t>7.2</w:t>
            </w:r>
          </w:p>
        </w:tc>
      </w:tr>
    </w:tbl>
    <w:p w14:paraId="753F834E" w14:textId="6327F88A" w:rsidR="00F32255" w:rsidRPr="00D4730B" w:rsidRDefault="005C5D9E" w:rsidP="00ED3B36">
      <w:pPr>
        <w:jc w:val="both"/>
        <w:rPr>
          <w:b/>
          <w:lang w:val="en-GB"/>
        </w:rPr>
      </w:pPr>
      <w:r w:rsidRPr="00D4730B">
        <w:rPr>
          <w:sz w:val="16"/>
          <w:szCs w:val="16"/>
          <w:lang w:val="en-US"/>
        </w:rPr>
        <w:t>Source: Turkstat, Betam</w:t>
      </w:r>
    </w:p>
    <w:p w14:paraId="64094D8C" w14:textId="77777777" w:rsidR="00F32255" w:rsidRPr="00D4730B" w:rsidRDefault="00F32255" w:rsidP="00ED3B36">
      <w:pPr>
        <w:jc w:val="both"/>
        <w:rPr>
          <w:b/>
          <w:lang w:val="en-GB"/>
        </w:rPr>
      </w:pPr>
    </w:p>
    <w:p w14:paraId="4575AC3F" w14:textId="114286BE" w:rsidR="00EC01FB" w:rsidRPr="00D4730B" w:rsidRDefault="005C5D9E" w:rsidP="00ED3B36">
      <w:pPr>
        <w:jc w:val="both"/>
        <w:rPr>
          <w:b/>
          <w:lang w:val="en-GB"/>
        </w:rPr>
      </w:pPr>
      <w:r w:rsidRPr="00D4730B">
        <w:rPr>
          <w:noProof/>
          <w:sz w:val="24"/>
          <w:szCs w:val="24"/>
        </w:rPr>
        <w:lastRenderedPageBreak/>
        <mc:AlternateContent>
          <mc:Choice Requires="wps">
            <w:drawing>
              <wp:anchor distT="45720" distB="45720" distL="114300" distR="114300" simplePos="0" relativeHeight="251674112" behindDoc="0" locked="0" layoutInCell="1" allowOverlap="1" wp14:anchorId="62EF1F9C" wp14:editId="6BB30CF2">
                <wp:simplePos x="0" y="0"/>
                <wp:positionH relativeFrom="margin">
                  <wp:posOffset>-195580</wp:posOffset>
                </wp:positionH>
                <wp:positionV relativeFrom="paragraph">
                  <wp:posOffset>0</wp:posOffset>
                </wp:positionV>
                <wp:extent cx="6391275" cy="76390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639050"/>
                        </a:xfrm>
                        <a:prstGeom prst="rect">
                          <a:avLst/>
                        </a:prstGeom>
                        <a:solidFill>
                          <a:srgbClr val="FFFFFF"/>
                        </a:solidFill>
                        <a:ln w="9525">
                          <a:solidFill>
                            <a:srgbClr val="000000"/>
                          </a:solidFill>
                          <a:miter lim="800000"/>
                          <a:headEnd/>
                          <a:tailEnd/>
                        </a:ln>
                      </wps:spPr>
                      <wps:txbx>
                        <w:txbxContent>
                          <w:p w14:paraId="5A855949" w14:textId="77777777" w:rsidR="00143504" w:rsidRPr="00566B0C" w:rsidRDefault="00143504" w:rsidP="005C5D9E">
                            <w:pPr>
                              <w:jc w:val="both"/>
                              <w:rPr>
                                <w:lang w:val="en-US"/>
                              </w:rPr>
                            </w:pPr>
                            <w:r w:rsidRPr="00566B0C">
                              <w:rPr>
                                <w:b/>
                                <w:lang w:val="en-US"/>
                              </w:rPr>
                              <w:t>BOX: The impact of agricultural employment on regional unemployment rates</w:t>
                            </w:r>
                          </w:p>
                          <w:p w14:paraId="48BF21C2" w14:textId="77777777" w:rsidR="00143504" w:rsidRPr="007C3735" w:rsidRDefault="00143504" w:rsidP="005C5D9E">
                            <w:pPr>
                              <w:jc w:val="both"/>
                              <w:rPr>
                                <w:lang w:val="en-US"/>
                              </w:rPr>
                            </w:pPr>
                            <w:r w:rsidRPr="007C3735">
                              <w:rPr>
                                <w:lang w:val="en-US"/>
                              </w:rPr>
                              <w:t xml:space="preserve">Turkish Statistical Institute releases </w:t>
                            </w:r>
                            <w:r>
                              <w:rPr>
                                <w:lang w:val="en-US"/>
                              </w:rPr>
                              <w:t>overall a</w:t>
                            </w:r>
                            <w:r w:rsidRPr="007C3735">
                              <w:rPr>
                                <w:lang w:val="en-US"/>
                              </w:rPr>
                              <w:t xml:space="preserve">nd non-agricultural unemployment rates separately for the 26 regions (NUTS 2). </w:t>
                            </w:r>
                            <w:r>
                              <w:rPr>
                                <w:lang w:val="en-US"/>
                              </w:rPr>
                              <w:t xml:space="preserve">To </w:t>
                            </w:r>
                            <w:r w:rsidRPr="007C3735">
                              <w:rPr>
                                <w:lang w:val="en-US"/>
                              </w:rPr>
                              <w:t>conduct a regional comparison, whi</w:t>
                            </w:r>
                            <w:r>
                              <w:rPr>
                                <w:lang w:val="en-US"/>
                              </w:rPr>
                              <w:t>ch of these rates should we preferred</w:t>
                            </w:r>
                            <w:r w:rsidRPr="007C3735">
                              <w:rPr>
                                <w:lang w:val="en-US"/>
                              </w:rPr>
                              <w:t xml:space="preserve">? This is a legitimate question since not only there exist large gaps between two rates for numerous regions but also the regional ranking according to these rates are different. For example, Ağrı-Kars-Iğdır-Ardahan (TRA2) region holding general unemployment rate of 4.9 percent is ranked second from bottom but it is ranked </w:t>
                            </w:r>
                            <w:r>
                              <w:rPr>
                                <w:lang w:val="en-US"/>
                              </w:rPr>
                              <w:t>2</w:t>
                            </w:r>
                            <w:r w:rsidRPr="007C3735">
                              <w:rPr>
                                <w:vertAlign w:val="superscript"/>
                                <w:lang w:val="en-US"/>
                              </w:rPr>
                              <w:t>th</w:t>
                            </w:r>
                            <w:r w:rsidRPr="007C3735">
                              <w:rPr>
                                <w:lang w:val="en-US"/>
                              </w:rPr>
                              <w:t xml:space="preserve"> with a non-agricultural unemployment rate of 10.3 percent.  </w:t>
                            </w:r>
                          </w:p>
                          <w:p w14:paraId="677ED9F4" w14:textId="77777777" w:rsidR="00143504" w:rsidRPr="007C3735" w:rsidRDefault="00143504" w:rsidP="005C5D9E">
                            <w:pPr>
                              <w:jc w:val="both"/>
                              <w:rPr>
                                <w:lang w:val="en-US"/>
                              </w:rPr>
                            </w:pPr>
                            <w:r w:rsidRPr="007C3735">
                              <w:rPr>
                                <w:lang w:val="en-US"/>
                              </w:rPr>
                              <w:t xml:space="preserve">The principal source </w:t>
                            </w:r>
                            <w:r>
                              <w:rPr>
                                <w:lang w:val="en-US"/>
                              </w:rPr>
                              <w:t xml:space="preserve">of </w:t>
                            </w:r>
                            <w:r w:rsidRPr="007C3735">
                              <w:rPr>
                                <w:lang w:val="en-US"/>
                              </w:rPr>
                              <w:t xml:space="preserve">the gap between </w:t>
                            </w:r>
                            <w:r>
                              <w:rPr>
                                <w:lang w:val="en-US"/>
                              </w:rPr>
                              <w:t xml:space="preserve">overall </w:t>
                            </w:r>
                            <w:r w:rsidRPr="007C3735">
                              <w:rPr>
                                <w:lang w:val="en-US"/>
                              </w:rPr>
                              <w:t xml:space="preserve">and non-agricultural rates is </w:t>
                            </w:r>
                            <w:r>
                              <w:rPr>
                                <w:lang w:val="en-US"/>
                              </w:rPr>
                              <w:t>the la</w:t>
                            </w:r>
                            <w:r w:rsidRPr="007C3735">
                              <w:rPr>
                                <w:lang w:val="en-US"/>
                              </w:rPr>
                              <w:t xml:space="preserve">rge differences in the share of agricultural employment in total employment across regions. The Turkish agriculture sector is mainly dominated by family producers. The unemployment rate in agriculture is very </w:t>
                            </w:r>
                            <w:r>
                              <w:rPr>
                                <w:lang w:val="en-US"/>
                              </w:rPr>
                              <w:t xml:space="preserve">low </w:t>
                            </w:r>
                            <w:r w:rsidRPr="007C3735">
                              <w:rPr>
                                <w:lang w:val="en-US"/>
                              </w:rPr>
                              <w:t>because individual</w:t>
                            </w:r>
                            <w:r>
                              <w:rPr>
                                <w:lang w:val="en-US"/>
                              </w:rPr>
                              <w:t xml:space="preserve"> members of </w:t>
                            </w:r>
                            <w:r w:rsidRPr="007C3735">
                              <w:rPr>
                                <w:lang w:val="en-US"/>
                              </w:rPr>
                              <w:t>farm</w:t>
                            </w:r>
                            <w:r>
                              <w:rPr>
                                <w:lang w:val="en-US"/>
                              </w:rPr>
                              <w:t xml:space="preserve">ing </w:t>
                            </w:r>
                            <w:r w:rsidRPr="007C3735">
                              <w:rPr>
                                <w:lang w:val="en-US"/>
                              </w:rPr>
                              <w:t xml:space="preserve">families participate more or less in economic activities. Indeed, we measure the number of unemployed in non-agricultural sector as 3 million </w:t>
                            </w:r>
                            <w:r>
                              <w:rPr>
                                <w:lang w:val="en-US"/>
                              </w:rPr>
                              <w:t>396</w:t>
                            </w:r>
                            <w:r w:rsidRPr="007C3735">
                              <w:rPr>
                                <w:lang w:val="en-US"/>
                              </w:rPr>
                              <w:t xml:space="preserve"> thousand for 201</w:t>
                            </w:r>
                            <w:r>
                              <w:rPr>
                                <w:lang w:val="en-US"/>
                              </w:rPr>
                              <w:t>7</w:t>
                            </w:r>
                            <w:r w:rsidRPr="007C3735">
                              <w:rPr>
                                <w:lang w:val="en-US"/>
                              </w:rPr>
                              <w:t xml:space="preserve"> by using the non-agricultural unemployment rate (13 percent) and the non-agricultural employment (2</w:t>
                            </w:r>
                            <w:r>
                              <w:rPr>
                                <w:lang w:val="en-US"/>
                              </w:rPr>
                              <w:t>2</w:t>
                            </w:r>
                            <w:r w:rsidRPr="007C3735">
                              <w:rPr>
                                <w:lang w:val="en-US"/>
                              </w:rPr>
                              <w:t xml:space="preserve"> million </w:t>
                            </w:r>
                            <w:r>
                              <w:rPr>
                                <w:lang w:val="en-US"/>
                              </w:rPr>
                              <w:t xml:space="preserve">725 </w:t>
                            </w:r>
                            <w:r w:rsidRPr="007C3735">
                              <w:rPr>
                                <w:lang w:val="en-US"/>
                              </w:rPr>
                              <w:t xml:space="preserve">thousand). Since the number of </w:t>
                            </w:r>
                            <w:r>
                              <w:rPr>
                                <w:lang w:val="en-US"/>
                              </w:rPr>
                              <w:t xml:space="preserve">total </w:t>
                            </w:r>
                            <w:r w:rsidRPr="007C3735">
                              <w:rPr>
                                <w:lang w:val="en-US"/>
                              </w:rPr>
                              <w:t xml:space="preserve">unemployed is 3 million </w:t>
                            </w:r>
                            <w:r>
                              <w:rPr>
                                <w:lang w:val="en-US"/>
                              </w:rPr>
                              <w:t>454</w:t>
                            </w:r>
                            <w:r w:rsidRPr="007C3735">
                              <w:rPr>
                                <w:lang w:val="en-US"/>
                              </w:rPr>
                              <w:t xml:space="preserve"> thousand in 201</w:t>
                            </w:r>
                            <w:r>
                              <w:rPr>
                                <w:lang w:val="en-US"/>
                              </w:rPr>
                              <w:t>7</w:t>
                            </w:r>
                            <w:r w:rsidRPr="007C3735">
                              <w:rPr>
                                <w:lang w:val="en-US"/>
                              </w:rPr>
                              <w:t>, the number of unemployed in agriculture can be estimated at 5</w:t>
                            </w:r>
                            <w:r>
                              <w:rPr>
                                <w:lang w:val="en-US"/>
                              </w:rPr>
                              <w:t>8</w:t>
                            </w:r>
                            <w:r w:rsidRPr="007C3735">
                              <w:rPr>
                                <w:lang w:val="en-US"/>
                              </w:rPr>
                              <w:t xml:space="preserve"> thousand level. </w:t>
                            </w:r>
                          </w:p>
                          <w:p w14:paraId="087C549D" w14:textId="77777777" w:rsidR="00143504" w:rsidRPr="007C3735" w:rsidRDefault="00143504" w:rsidP="005C5D9E">
                            <w:pPr>
                              <w:jc w:val="both"/>
                              <w:rPr>
                                <w:lang w:val="en-US"/>
                              </w:rPr>
                            </w:pPr>
                            <w:r w:rsidRPr="007C3735">
                              <w:rPr>
                                <w:lang w:val="en-US"/>
                              </w:rPr>
                              <w:t xml:space="preserve">Assuming that unemployment in agriculture does not exist, the link between </w:t>
                            </w:r>
                            <w:r>
                              <w:rPr>
                                <w:lang w:val="en-US"/>
                              </w:rPr>
                              <w:t xml:space="preserve">overall </w:t>
                            </w:r>
                            <w:r w:rsidRPr="007C3735">
                              <w:rPr>
                                <w:lang w:val="en-US"/>
                              </w:rPr>
                              <w:t>unemployment rate and non-agricultural rate can be formulated as below:</w:t>
                            </w:r>
                          </w:p>
                          <w:p w14:paraId="24C6BEE3" w14:textId="77777777" w:rsidR="00143504" w:rsidRPr="00C52009" w:rsidRDefault="00E71A14" w:rsidP="005C5D9E">
                            <m:oMathPara>
                              <m:oMath>
                                <m:sSub>
                                  <m:sSubPr>
                                    <m:ctrlPr>
                                      <w:rPr>
                                        <w:rFonts w:ascii="Cambria Math" w:hAnsi="Cambria Math"/>
                                        <w:i/>
                                      </w:rPr>
                                    </m:ctrlPr>
                                  </m:sSubPr>
                                  <m:e>
                                    <m:r>
                                      <w:rPr>
                                        <w:rFonts w:ascii="Cambria Math" w:hAnsi="Cambria Math"/>
                                      </w:rPr>
                                      <m:t>U ~ U</m:t>
                                    </m:r>
                                  </m:e>
                                  <m:sub>
                                    <m:r>
                                      <w:rPr>
                                        <w:rFonts w:ascii="Cambria Math" w:hAnsi="Cambria Math"/>
                                      </w:rPr>
                                      <m:t>na</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na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oMath>
                            </m:oMathPara>
                          </w:p>
                          <w:p w14:paraId="7795D89D" w14:textId="77777777" w:rsidR="00143504" w:rsidRDefault="00143504" w:rsidP="005C5D9E">
                            <m:oMath>
                              <m:r>
                                <w:rPr>
                                  <w:rFonts w:ascii="Cambria Math" w:hAnsi="Cambria Math"/>
                                </w:rPr>
                                <m:t>U</m:t>
                              </m:r>
                            </m:oMath>
                            <w:r>
                              <w:t xml:space="preserve">: Total number of unemployed;  </w:t>
                            </w:r>
                            <m:oMath>
                              <m:sSub>
                                <m:sSubPr>
                                  <m:ctrlPr>
                                    <w:rPr>
                                      <w:rFonts w:ascii="Cambria Math" w:hAnsi="Cambria Math"/>
                                      <w:i/>
                                    </w:rPr>
                                  </m:ctrlPr>
                                </m:sSubPr>
                                <m:e>
                                  <m:r>
                                    <w:rPr>
                                      <w:rFonts w:ascii="Cambria Math" w:hAnsi="Cambria Math"/>
                                    </w:rPr>
                                    <m:t>U</m:t>
                                  </m:r>
                                </m:e>
                                <m:sub>
                                  <m:r>
                                    <w:rPr>
                                      <w:rFonts w:ascii="Cambria Math" w:hAnsi="Cambria Math"/>
                                    </w:rPr>
                                    <m:t>an</m:t>
                                  </m:r>
                                </m:sub>
                              </m:sSub>
                              <m:r>
                                <w:rPr>
                                  <w:rFonts w:ascii="Cambria Math" w:hAnsi="Cambria Math"/>
                                </w:rPr>
                                <m:t>:</m:t>
                              </m:r>
                            </m:oMath>
                            <w:r w:rsidRPr="00330FB6">
                              <w:t xml:space="preserve"> Number of non-agricultural unemployed, </w:t>
                            </w:r>
                            <m:oMath>
                              <m:r>
                                <w:rPr>
                                  <w:rFonts w:ascii="Cambria Math" w:hAnsi="Cambria Math"/>
                                </w:rPr>
                                <m:t>u</m:t>
                              </m:r>
                            </m:oMath>
                            <w:r w:rsidRPr="00330FB6">
                              <w:t>: Unemployment rate</w:t>
                            </w:r>
                            <w:r w:rsidRPr="00330FB6">
                              <w:br/>
                            </w:r>
                            <m:oMath>
                              <m:sSub>
                                <m:sSubPr>
                                  <m:ctrlPr>
                                    <w:rPr>
                                      <w:rFonts w:ascii="Cambria Math" w:hAnsi="Cambria Math"/>
                                      <w:i/>
                                    </w:rPr>
                                  </m:ctrlPr>
                                </m:sSubPr>
                                <m:e>
                                  <m:r>
                                    <w:rPr>
                                      <w:rFonts w:ascii="Cambria Math" w:hAnsi="Cambria Math"/>
                                    </w:rPr>
                                    <m:t>u</m:t>
                                  </m:r>
                                </m:e>
                                <m:sub>
                                  <m:r>
                                    <w:rPr>
                                      <w:rFonts w:ascii="Cambria Math" w:hAnsi="Cambria Math"/>
                                    </w:rPr>
                                    <m:t>na</m:t>
                                  </m:r>
                                </m:sub>
                              </m:sSub>
                            </m:oMath>
                            <w:r w:rsidRPr="00330FB6">
                              <w:t xml:space="preserve">: Non-agricultural unemployment rate </w:t>
                            </w:r>
                            <m:oMath>
                              <m:r>
                                <w:rPr>
                                  <w:rFonts w:ascii="Cambria Math" w:hAnsi="Cambria Math"/>
                                </w:rPr>
                                <m:t>LF</m:t>
                              </m:r>
                            </m:oMath>
                            <w:r w:rsidRPr="00330FB6">
                              <w:t xml:space="preserve">: Total labor force; </w:t>
                            </w:r>
                            <m:oMath>
                              <m:sSub>
                                <m:sSubPr>
                                  <m:ctrlPr>
                                    <w:rPr>
                                      <w:rFonts w:ascii="Cambria Math" w:hAnsi="Cambria Math"/>
                                      <w:i/>
                                    </w:rPr>
                                  </m:ctrlPr>
                                </m:sSubPr>
                                <m:e>
                                  <m:r>
                                    <w:rPr>
                                      <w:rFonts w:ascii="Cambria Math" w:hAnsi="Cambria Math"/>
                                    </w:rPr>
                                    <m:t>LF</m:t>
                                  </m:r>
                                </m:e>
                                <m:sub>
                                  <m:r>
                                    <w:rPr>
                                      <w:rFonts w:ascii="Cambria Math" w:hAnsi="Cambria Math"/>
                                    </w:rPr>
                                    <m:t xml:space="preserve">na </m:t>
                                  </m:r>
                                </m:sub>
                              </m:sSub>
                            </m:oMath>
                            <w:r w:rsidRPr="00330FB6">
                              <w:t xml:space="preserve">: Non-agricultural labor force; </w:t>
                            </w:r>
                            <m:oMath>
                              <m:sSub>
                                <m:sSubPr>
                                  <m:ctrlPr>
                                    <w:rPr>
                                      <w:rFonts w:ascii="Cambria Math" w:hAnsi="Cambria Math"/>
                                      <w:i/>
                                    </w:rPr>
                                  </m:ctrlPr>
                                </m:sSubPr>
                                <m:e>
                                  <m:r>
                                    <w:rPr>
                                      <w:rFonts w:ascii="Cambria Math" w:hAnsi="Cambria Math"/>
                                    </w:rPr>
                                    <m:t>LF</m:t>
                                  </m:r>
                                </m:e>
                                <m:sub>
                                  <m:r>
                                    <w:rPr>
                                      <w:rFonts w:ascii="Cambria Math" w:hAnsi="Cambria Math"/>
                                    </w:rPr>
                                    <m:t>a</m:t>
                                  </m:r>
                                </m:sub>
                              </m:sSub>
                            </m:oMath>
                            <w:r w:rsidRPr="00330FB6">
                              <w:t>:</w:t>
                            </w:r>
                            <w:r>
                              <w:t xml:space="preserve"> Agricultural labor force</w:t>
                            </w:r>
                          </w:p>
                          <w:p w14:paraId="4AA3EA2F" w14:textId="77777777" w:rsidR="00143504" w:rsidRDefault="00E71A14" w:rsidP="005C5D9E">
                            <w:pPr>
                              <w:jc w:val="center"/>
                            </w:pPr>
                            <m:oMath>
                              <m:sSub>
                                <m:sSubPr>
                                  <m:ctrlPr>
                                    <w:rPr>
                                      <w:rFonts w:ascii="Cambria Math" w:hAnsi="Cambria Math"/>
                                      <w:i/>
                                    </w:rPr>
                                  </m:ctrlPr>
                                </m:sSubPr>
                                <m:e>
                                  <m:r>
                                    <w:rPr>
                                      <w:rFonts w:ascii="Cambria Math" w:hAnsi="Cambria Math"/>
                                    </w:rPr>
                                    <m:t>U ~ U</m:t>
                                  </m:r>
                                </m:e>
                                <m:sub>
                                  <m:r>
                                    <w:rPr>
                                      <w:rFonts w:ascii="Cambria Math" w:hAnsi="Cambria Math"/>
                                    </w:rPr>
                                    <m:t>na</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a</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a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 xml:space="preserve"> =</m:t>
                              </m:r>
                            </m:oMath>
                            <w:r w:rsidR="00143504">
                              <w:t xml:space="preserve"> agricultural employment</w:t>
                            </w:r>
                          </w:p>
                          <w:p w14:paraId="0D5BDD53" w14:textId="77777777" w:rsidR="00143504" w:rsidRPr="00D13D5D" w:rsidRDefault="00E71A14" w:rsidP="005C5D9E">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oMath>
                            </m:oMathPara>
                          </w:p>
                          <w:p w14:paraId="1846813C" w14:textId="2F730754" w:rsidR="00143504" w:rsidRPr="007C3735" w:rsidRDefault="00E71A14" w:rsidP="005C5D9E">
                            <w:pPr>
                              <w:rPr>
                                <w:lang w:val="en-US"/>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na</m:t>
                                      </m:r>
                                    </m:sub>
                                  </m:sSub>
                                </m:num>
                                <m:den>
                                  <m:r>
                                    <w:rPr>
                                      <w:rFonts w:ascii="Cambria Math" w:hAnsi="Cambria Math"/>
                                      <w:sz w:val="28"/>
                                      <w:szCs w:val="28"/>
                                    </w:rPr>
                                    <m:t>u</m:t>
                                  </m:r>
                                </m:den>
                              </m:f>
                            </m:oMath>
                            <w:r w:rsidR="00143504" w:rsidRPr="007C3735">
                              <w:t xml:space="preserve">   </w:t>
                            </w:r>
                            <w:r w:rsidR="00143504" w:rsidRPr="007C3735">
                              <w:rPr>
                                <w:lang w:val="en-US"/>
                              </w:rPr>
                              <w:t xml:space="preserve">ratio represents the relative difference between the </w:t>
                            </w:r>
                            <w:r w:rsidR="00143504">
                              <w:rPr>
                                <w:lang w:val="en-US"/>
                              </w:rPr>
                              <w:t xml:space="preserve">overall </w:t>
                            </w:r>
                            <w:r w:rsidR="00143504" w:rsidRPr="007C3735">
                              <w:rPr>
                                <w:lang w:val="en-US"/>
                              </w:rPr>
                              <w:t>and the non-agricultural unemployment rates,</w:t>
                            </w:r>
                            <w:r w:rsidR="00143504">
                              <w:rPr>
                                <w:lang w:val="en-US"/>
                              </w:rPr>
                              <w:t xml:space="preserve"> </w:t>
                            </w:r>
                            <w:r w:rsidR="00143504" w:rsidRPr="007C3735">
                              <w:rPr>
                                <w:lang w:val="en-US"/>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a</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na</m:t>
                                      </m:r>
                                    </m:sub>
                                  </m:sSub>
                                </m:den>
                              </m:f>
                            </m:oMath>
                            <w:r w:rsidR="00143504" w:rsidRPr="007C3735">
                              <w:rPr>
                                <w:lang w:val="en-US"/>
                              </w:rPr>
                              <w:t xml:space="preserve"> </w:t>
                            </w:r>
                            <w:r w:rsidR="00143504">
                              <w:rPr>
                                <w:lang w:val="en-US"/>
                              </w:rPr>
                              <w:t xml:space="preserve"> </w:t>
                            </w:r>
                            <w:r w:rsidR="00143504" w:rsidRPr="007C3735">
                              <w:rPr>
                                <w:lang w:val="en-US"/>
                              </w:rPr>
                              <w:t>ratio represents the relative weight of agricultural employment.</w:t>
                            </w:r>
                          </w:p>
                          <w:p w14:paraId="63D8AA98" w14:textId="77777777" w:rsidR="00143504" w:rsidRPr="007C3735" w:rsidRDefault="00143504" w:rsidP="005C5D9E">
                            <w:pPr>
                              <w:rPr>
                                <w:lang w:val="en-US"/>
                              </w:rPr>
                            </w:pPr>
                            <w:r w:rsidRPr="007C3735">
                              <w:rPr>
                                <w:lang w:val="en-US"/>
                              </w:rPr>
                              <w:t xml:space="preserve">The figure below shows the link between the relative differences among the </w:t>
                            </w:r>
                            <w:r>
                              <w:rPr>
                                <w:lang w:val="en-US"/>
                              </w:rPr>
                              <w:t xml:space="preserve">overall </w:t>
                            </w:r>
                            <w:r w:rsidRPr="007C3735">
                              <w:rPr>
                                <w:lang w:val="en-US"/>
                              </w:rPr>
                              <w:t>and the non-agricultural unemployment rates</w:t>
                            </w:r>
                            <w:r w:rsidRPr="007C3735">
                              <w:rPr>
                                <w:i/>
                                <w:lang w:val="en-US"/>
                              </w:rPr>
                              <w:t xml:space="preserve"> (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na</m:t>
                                      </m:r>
                                    </m:sub>
                                  </m:sSub>
                                </m:num>
                                <m:den>
                                  <m:r>
                                    <w:rPr>
                                      <w:rFonts w:ascii="Cambria Math" w:hAnsi="Cambria Math"/>
                                      <w:sz w:val="26"/>
                                      <w:szCs w:val="26"/>
                                    </w:rPr>
                                    <m:t>u</m:t>
                                  </m:r>
                                </m:den>
                              </m:f>
                              <m:r>
                                <w:rPr>
                                  <w:rFonts w:ascii="Cambria Math" w:hAnsi="Cambria Math"/>
                                  <w:sz w:val="26"/>
                                  <w:szCs w:val="26"/>
                                </w:rPr>
                                <m:t>)</m:t>
                              </m:r>
                            </m:oMath>
                            <w:r w:rsidRPr="007C3735">
                              <w:rPr>
                                <w:lang w:val="en-US"/>
                              </w:rPr>
                              <w:t xml:space="preserve"> and the relative weight of agricultural employment </w:t>
                            </w:r>
                            <w:r w:rsidRPr="007C3735">
                              <w:rPr>
                                <w:i/>
                                <w:lang w:val="en-US"/>
                              </w:rPr>
                              <w:t xml:space="preserve">(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a</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na</m:t>
                                      </m:r>
                                    </m:sub>
                                  </m:sSub>
                                </m:den>
                              </m:f>
                            </m:oMath>
                            <w:r w:rsidRPr="007C3735">
                              <w:rPr>
                                <w:i/>
                              </w:rPr>
                              <w:t xml:space="preserve"> )</w:t>
                            </w:r>
                            <w:r w:rsidRPr="007C3735">
                              <w:rPr>
                                <w:lang w:val="en-US"/>
                              </w:rPr>
                              <w:t xml:space="preserve"> for 26 regions using Turk</w:t>
                            </w:r>
                            <w:r>
                              <w:rPr>
                                <w:lang w:val="en-US"/>
                              </w:rPr>
                              <w:t xml:space="preserve">stat </w:t>
                            </w:r>
                            <w:r w:rsidRPr="007C3735">
                              <w:rPr>
                                <w:lang w:val="en-US"/>
                              </w:rPr>
                              <w:t xml:space="preserve">data.  </w:t>
                            </w:r>
                          </w:p>
                          <w:p w14:paraId="0A157438" w14:textId="77777777" w:rsidR="00143504" w:rsidRPr="006228B4" w:rsidRDefault="00143504" w:rsidP="005C5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F1F9C" id="Text Box 2" o:spid="_x0000_s1028" type="#_x0000_t202" style="position:absolute;left:0;text-align:left;margin-left:-15.4pt;margin-top:0;width:503.25pt;height:601.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nhJgIAAEw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LSgzT&#10;KNGjGAJ5BwMpIju99SUGPVgMCwMeo8qpUm/vgX/3xMCmY2Ynbp2DvhOsweym8WZ2cXXE8RGk7j9B&#10;g8+wfYAENLROR+qQDILoqNLxrExMhePh1dvltFjMKeHoW6CVz5N2GSufr1vnwwcBmsRNRR1Kn+DZ&#10;4d6HmA4rn0Piax6UbLZSqWS4Xb1RjhwYtsk2famCF2HKkL6iy3kxHxn4K0Sevj9BaBmw35XUFb0+&#10;B7Ey8vbeNKkbA5Nq3GPKypyIjNyNLIahHpJiZ31qaI7IrIOxvXEccdOB+0lJj61dUf9jz5ygRH00&#10;qM5yOpvFWUjGbL4o0HCXnvrSwwxHqIoGSsbtJqT5ibwZuEUVW5n4jXKPmZxSxpZNtJ/GK87EpZ2i&#10;fv0E1k8AAAD//wMAUEsDBBQABgAIAAAAIQCbCQcI3wAAAAkBAAAPAAAAZHJzL2Rvd25yZXYueG1s&#10;TI/BTsMwEETvSPyDtUhcUGvTQNOGOBVCAsENCoKrG2+TCHsdYjcNf89yguNoRjNvys3knRhxiF0g&#10;DZdzBQKpDrajRsPb6/1sBSImQ9a4QKjhGyNsqtOT0hQ2HOkFx21qBJdQLIyGNqW+kDLWLXoT56FH&#10;Ym8fBm8Sy6GRdjBHLvdOLpRaSm864oXW9HjXYv25PXgNq6vH8SM+Zc/v9XLv1ukiHx++Bq3Pz6bb&#10;GxAJp/QXhl98RoeKmXbhQDYKp2GWKUZPGvgR2+v8Ogex49xCZQpkVcr/D6ofAAAA//8DAFBLAQIt&#10;ABQABgAIAAAAIQC2gziS/gAAAOEBAAATAAAAAAAAAAAAAAAAAAAAAABbQ29udGVudF9UeXBlc10u&#10;eG1sUEsBAi0AFAAGAAgAAAAhADj9If/WAAAAlAEAAAsAAAAAAAAAAAAAAAAALwEAAF9yZWxzLy5y&#10;ZWxzUEsBAi0AFAAGAAgAAAAhAG9DueEmAgAATAQAAA4AAAAAAAAAAAAAAAAALgIAAGRycy9lMm9E&#10;b2MueG1sUEsBAi0AFAAGAAgAAAAhAJsJBwjfAAAACQEAAA8AAAAAAAAAAAAAAAAAgAQAAGRycy9k&#10;b3ducmV2LnhtbFBLBQYAAAAABAAEAPMAAACMBQAAAAA=&#10;">
                <v:textbox>
                  <w:txbxContent>
                    <w:p w14:paraId="5A855949" w14:textId="77777777" w:rsidR="00143504" w:rsidRPr="00566B0C" w:rsidRDefault="00143504" w:rsidP="005C5D9E">
                      <w:pPr>
                        <w:jc w:val="both"/>
                        <w:rPr>
                          <w:lang w:val="en-US"/>
                        </w:rPr>
                      </w:pPr>
                      <w:r w:rsidRPr="00566B0C">
                        <w:rPr>
                          <w:b/>
                          <w:lang w:val="en-US"/>
                        </w:rPr>
                        <w:t>BOX: The impact of agricultural employment on regional unemployment rates</w:t>
                      </w:r>
                    </w:p>
                    <w:p w14:paraId="48BF21C2" w14:textId="77777777" w:rsidR="00143504" w:rsidRPr="007C3735" w:rsidRDefault="00143504" w:rsidP="005C5D9E">
                      <w:pPr>
                        <w:jc w:val="both"/>
                        <w:rPr>
                          <w:lang w:val="en-US"/>
                        </w:rPr>
                      </w:pPr>
                      <w:r w:rsidRPr="007C3735">
                        <w:rPr>
                          <w:lang w:val="en-US"/>
                        </w:rPr>
                        <w:t xml:space="preserve">Turkish Statistical Institute releases </w:t>
                      </w:r>
                      <w:r>
                        <w:rPr>
                          <w:lang w:val="en-US"/>
                        </w:rPr>
                        <w:t>overall a</w:t>
                      </w:r>
                      <w:r w:rsidRPr="007C3735">
                        <w:rPr>
                          <w:lang w:val="en-US"/>
                        </w:rPr>
                        <w:t xml:space="preserve">nd non-agricultural unemployment rates separately for the 26 regions (NUTS 2). </w:t>
                      </w:r>
                      <w:r>
                        <w:rPr>
                          <w:lang w:val="en-US"/>
                        </w:rPr>
                        <w:t xml:space="preserve">To </w:t>
                      </w:r>
                      <w:r w:rsidRPr="007C3735">
                        <w:rPr>
                          <w:lang w:val="en-US"/>
                        </w:rPr>
                        <w:t>conduct a regional comparison, whi</w:t>
                      </w:r>
                      <w:r>
                        <w:rPr>
                          <w:lang w:val="en-US"/>
                        </w:rPr>
                        <w:t>ch of these rates should we preferred</w:t>
                      </w:r>
                      <w:r w:rsidRPr="007C3735">
                        <w:rPr>
                          <w:lang w:val="en-US"/>
                        </w:rPr>
                        <w:t xml:space="preserve">? This is a legitimate question since not only there exist large gaps between two rates for numerous regions but also the regional ranking according to these rates are different. For example, </w:t>
                      </w:r>
                      <w:proofErr w:type="spellStart"/>
                      <w:r w:rsidRPr="007C3735">
                        <w:rPr>
                          <w:lang w:val="en-US"/>
                        </w:rPr>
                        <w:t>Ağrı</w:t>
                      </w:r>
                      <w:proofErr w:type="spellEnd"/>
                      <w:r w:rsidRPr="007C3735">
                        <w:rPr>
                          <w:lang w:val="en-US"/>
                        </w:rPr>
                        <w:t>-Kars-</w:t>
                      </w:r>
                      <w:proofErr w:type="spellStart"/>
                      <w:r w:rsidRPr="007C3735">
                        <w:rPr>
                          <w:lang w:val="en-US"/>
                        </w:rPr>
                        <w:t>Iğdır</w:t>
                      </w:r>
                      <w:proofErr w:type="spellEnd"/>
                      <w:r w:rsidRPr="007C3735">
                        <w:rPr>
                          <w:lang w:val="en-US"/>
                        </w:rPr>
                        <w:t>-</w:t>
                      </w:r>
                      <w:proofErr w:type="spellStart"/>
                      <w:r w:rsidRPr="007C3735">
                        <w:rPr>
                          <w:lang w:val="en-US"/>
                        </w:rPr>
                        <w:t>Ardahan</w:t>
                      </w:r>
                      <w:proofErr w:type="spellEnd"/>
                      <w:r w:rsidRPr="007C3735">
                        <w:rPr>
                          <w:lang w:val="en-US"/>
                        </w:rPr>
                        <w:t xml:space="preserve"> (TRA2) region holding general unemployment rate of 4.9 percent is ranked second from bottom but it is ranked </w:t>
                      </w:r>
                      <w:r>
                        <w:rPr>
                          <w:lang w:val="en-US"/>
                        </w:rPr>
                        <w:t>2</w:t>
                      </w:r>
                      <w:r w:rsidRPr="007C3735">
                        <w:rPr>
                          <w:vertAlign w:val="superscript"/>
                          <w:lang w:val="en-US"/>
                        </w:rPr>
                        <w:t>th</w:t>
                      </w:r>
                      <w:r w:rsidRPr="007C3735">
                        <w:rPr>
                          <w:lang w:val="en-US"/>
                        </w:rPr>
                        <w:t xml:space="preserve"> with a non-agricultural unemployment rate of 10.3 percent.  </w:t>
                      </w:r>
                    </w:p>
                    <w:p w14:paraId="677ED9F4" w14:textId="77777777" w:rsidR="00143504" w:rsidRPr="007C3735" w:rsidRDefault="00143504" w:rsidP="005C5D9E">
                      <w:pPr>
                        <w:jc w:val="both"/>
                        <w:rPr>
                          <w:lang w:val="en-US"/>
                        </w:rPr>
                      </w:pPr>
                      <w:r w:rsidRPr="007C3735">
                        <w:rPr>
                          <w:lang w:val="en-US"/>
                        </w:rPr>
                        <w:t xml:space="preserve">The principal source </w:t>
                      </w:r>
                      <w:r>
                        <w:rPr>
                          <w:lang w:val="en-US"/>
                        </w:rPr>
                        <w:t xml:space="preserve">of </w:t>
                      </w:r>
                      <w:r w:rsidRPr="007C3735">
                        <w:rPr>
                          <w:lang w:val="en-US"/>
                        </w:rPr>
                        <w:t xml:space="preserve">the gap between </w:t>
                      </w:r>
                      <w:r>
                        <w:rPr>
                          <w:lang w:val="en-US"/>
                        </w:rPr>
                        <w:t xml:space="preserve">overall </w:t>
                      </w:r>
                      <w:r w:rsidRPr="007C3735">
                        <w:rPr>
                          <w:lang w:val="en-US"/>
                        </w:rPr>
                        <w:t xml:space="preserve">and non-agricultural rates is </w:t>
                      </w:r>
                      <w:r>
                        <w:rPr>
                          <w:lang w:val="en-US"/>
                        </w:rPr>
                        <w:t>the la</w:t>
                      </w:r>
                      <w:r w:rsidRPr="007C3735">
                        <w:rPr>
                          <w:lang w:val="en-US"/>
                        </w:rPr>
                        <w:t xml:space="preserve">rge differences in the share of agricultural employment in total employment across regions. The Turkish agriculture sector is mainly dominated by family producers. The unemployment rate in agriculture is very </w:t>
                      </w:r>
                      <w:r>
                        <w:rPr>
                          <w:lang w:val="en-US"/>
                        </w:rPr>
                        <w:t xml:space="preserve">low </w:t>
                      </w:r>
                      <w:r w:rsidRPr="007C3735">
                        <w:rPr>
                          <w:lang w:val="en-US"/>
                        </w:rPr>
                        <w:t>because individual</w:t>
                      </w:r>
                      <w:r>
                        <w:rPr>
                          <w:lang w:val="en-US"/>
                        </w:rPr>
                        <w:t xml:space="preserve"> members of </w:t>
                      </w:r>
                      <w:r w:rsidRPr="007C3735">
                        <w:rPr>
                          <w:lang w:val="en-US"/>
                        </w:rPr>
                        <w:t>farm</w:t>
                      </w:r>
                      <w:r>
                        <w:rPr>
                          <w:lang w:val="en-US"/>
                        </w:rPr>
                        <w:t xml:space="preserve">ing </w:t>
                      </w:r>
                      <w:r w:rsidRPr="007C3735">
                        <w:rPr>
                          <w:lang w:val="en-US"/>
                        </w:rPr>
                        <w:t xml:space="preserve">families participate more or less in economic activities. Indeed, we measure the number of unemployed in non-agricultural sector as 3 million </w:t>
                      </w:r>
                      <w:r>
                        <w:rPr>
                          <w:lang w:val="en-US"/>
                        </w:rPr>
                        <w:t>396</w:t>
                      </w:r>
                      <w:r w:rsidRPr="007C3735">
                        <w:rPr>
                          <w:lang w:val="en-US"/>
                        </w:rPr>
                        <w:t xml:space="preserve"> thousand for 201</w:t>
                      </w:r>
                      <w:r>
                        <w:rPr>
                          <w:lang w:val="en-US"/>
                        </w:rPr>
                        <w:t>7</w:t>
                      </w:r>
                      <w:r w:rsidRPr="007C3735">
                        <w:rPr>
                          <w:lang w:val="en-US"/>
                        </w:rPr>
                        <w:t xml:space="preserve"> by using the non-agricultural unemployment rate (13 percent) and the non-agricultural employment (2</w:t>
                      </w:r>
                      <w:r>
                        <w:rPr>
                          <w:lang w:val="en-US"/>
                        </w:rPr>
                        <w:t>2</w:t>
                      </w:r>
                      <w:r w:rsidRPr="007C3735">
                        <w:rPr>
                          <w:lang w:val="en-US"/>
                        </w:rPr>
                        <w:t xml:space="preserve"> million </w:t>
                      </w:r>
                      <w:r>
                        <w:rPr>
                          <w:lang w:val="en-US"/>
                        </w:rPr>
                        <w:t xml:space="preserve">725 </w:t>
                      </w:r>
                      <w:r w:rsidRPr="007C3735">
                        <w:rPr>
                          <w:lang w:val="en-US"/>
                        </w:rPr>
                        <w:t xml:space="preserve">thousand). Since the number of </w:t>
                      </w:r>
                      <w:r>
                        <w:rPr>
                          <w:lang w:val="en-US"/>
                        </w:rPr>
                        <w:t xml:space="preserve">total </w:t>
                      </w:r>
                      <w:r w:rsidRPr="007C3735">
                        <w:rPr>
                          <w:lang w:val="en-US"/>
                        </w:rPr>
                        <w:t xml:space="preserve">unemployed is 3 million </w:t>
                      </w:r>
                      <w:r>
                        <w:rPr>
                          <w:lang w:val="en-US"/>
                        </w:rPr>
                        <w:t>454</w:t>
                      </w:r>
                      <w:r w:rsidRPr="007C3735">
                        <w:rPr>
                          <w:lang w:val="en-US"/>
                        </w:rPr>
                        <w:t xml:space="preserve"> thousand in 201</w:t>
                      </w:r>
                      <w:r>
                        <w:rPr>
                          <w:lang w:val="en-US"/>
                        </w:rPr>
                        <w:t>7</w:t>
                      </w:r>
                      <w:r w:rsidRPr="007C3735">
                        <w:rPr>
                          <w:lang w:val="en-US"/>
                        </w:rPr>
                        <w:t>, the number of unemployed in agriculture can be estimated at 5</w:t>
                      </w:r>
                      <w:r>
                        <w:rPr>
                          <w:lang w:val="en-US"/>
                        </w:rPr>
                        <w:t>8</w:t>
                      </w:r>
                      <w:r w:rsidRPr="007C3735">
                        <w:rPr>
                          <w:lang w:val="en-US"/>
                        </w:rPr>
                        <w:t xml:space="preserve"> thousand level. </w:t>
                      </w:r>
                    </w:p>
                    <w:p w14:paraId="087C549D" w14:textId="77777777" w:rsidR="00143504" w:rsidRPr="007C3735" w:rsidRDefault="00143504" w:rsidP="005C5D9E">
                      <w:pPr>
                        <w:jc w:val="both"/>
                        <w:rPr>
                          <w:lang w:val="en-US"/>
                        </w:rPr>
                      </w:pPr>
                      <w:r w:rsidRPr="007C3735">
                        <w:rPr>
                          <w:lang w:val="en-US"/>
                        </w:rPr>
                        <w:t xml:space="preserve">Assuming that unemployment in agriculture does not exist, the link between </w:t>
                      </w:r>
                      <w:r>
                        <w:rPr>
                          <w:lang w:val="en-US"/>
                        </w:rPr>
                        <w:t xml:space="preserve">overall </w:t>
                      </w:r>
                      <w:r w:rsidRPr="007C3735">
                        <w:rPr>
                          <w:lang w:val="en-US"/>
                        </w:rPr>
                        <w:t>unemployment rate and non-agricultural rate can be formulated as below:</w:t>
                      </w:r>
                    </w:p>
                    <w:p w14:paraId="24C6BEE3" w14:textId="77777777" w:rsidR="00143504" w:rsidRPr="00C52009" w:rsidRDefault="00143504" w:rsidP="005C5D9E">
                      <m:oMathPara>
                        <m:oMath>
                          <m:sSub>
                            <m:sSubPr>
                              <m:ctrlPr>
                                <w:rPr>
                                  <w:rFonts w:ascii="Cambria Math" w:hAnsi="Cambria Math"/>
                                  <w:i/>
                                </w:rPr>
                              </m:ctrlPr>
                            </m:sSubPr>
                            <m:e>
                              <m:r>
                                <w:rPr>
                                  <w:rFonts w:ascii="Cambria Math" w:hAnsi="Cambria Math"/>
                                </w:rPr>
                                <m:t>U ~ U</m:t>
                              </m:r>
                            </m:e>
                            <m:sub>
                              <m:r>
                                <w:rPr>
                                  <w:rFonts w:ascii="Cambria Math" w:hAnsi="Cambria Math"/>
                                </w:rPr>
                                <m:t>na</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na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oMath>
                      </m:oMathPara>
                    </w:p>
                    <w:p w14:paraId="7795D89D" w14:textId="77777777" w:rsidR="00143504" w:rsidRDefault="00143504" w:rsidP="005C5D9E">
                      <m:oMath>
                        <m:r>
                          <w:rPr>
                            <w:rFonts w:ascii="Cambria Math" w:hAnsi="Cambria Math"/>
                          </w:rPr>
                          <m:t>U</m:t>
                        </m:r>
                      </m:oMath>
                      <w:r>
                        <w:t xml:space="preserve">: Total number of unemployed;  </w:t>
                      </w:r>
                      <m:oMath>
                        <m:sSub>
                          <m:sSubPr>
                            <m:ctrlPr>
                              <w:rPr>
                                <w:rFonts w:ascii="Cambria Math" w:hAnsi="Cambria Math"/>
                                <w:i/>
                              </w:rPr>
                            </m:ctrlPr>
                          </m:sSubPr>
                          <m:e>
                            <m:r>
                              <w:rPr>
                                <w:rFonts w:ascii="Cambria Math" w:hAnsi="Cambria Math"/>
                              </w:rPr>
                              <m:t>U</m:t>
                            </m:r>
                          </m:e>
                          <m:sub>
                            <m:r>
                              <w:rPr>
                                <w:rFonts w:ascii="Cambria Math" w:hAnsi="Cambria Math"/>
                              </w:rPr>
                              <m:t>an</m:t>
                            </m:r>
                          </m:sub>
                        </m:sSub>
                        <m:r>
                          <w:rPr>
                            <w:rFonts w:ascii="Cambria Math" w:hAnsi="Cambria Math"/>
                          </w:rPr>
                          <m:t>:</m:t>
                        </m:r>
                      </m:oMath>
                      <w:r w:rsidRPr="00330FB6">
                        <w:t xml:space="preserve"> Number of non-agricultural unemployed, </w:t>
                      </w:r>
                      <m:oMath>
                        <m:r>
                          <w:rPr>
                            <w:rFonts w:ascii="Cambria Math" w:hAnsi="Cambria Math"/>
                          </w:rPr>
                          <m:t>u</m:t>
                        </m:r>
                      </m:oMath>
                      <w:r w:rsidRPr="00330FB6">
                        <w:t>: Unemployment rate</w:t>
                      </w:r>
                      <w:r w:rsidRPr="00330FB6">
                        <w:br/>
                      </w:r>
                      <m:oMath>
                        <m:sSub>
                          <m:sSubPr>
                            <m:ctrlPr>
                              <w:rPr>
                                <w:rFonts w:ascii="Cambria Math" w:hAnsi="Cambria Math"/>
                                <w:i/>
                              </w:rPr>
                            </m:ctrlPr>
                          </m:sSubPr>
                          <m:e>
                            <m:r>
                              <w:rPr>
                                <w:rFonts w:ascii="Cambria Math" w:hAnsi="Cambria Math"/>
                              </w:rPr>
                              <m:t>u</m:t>
                            </m:r>
                          </m:e>
                          <m:sub>
                            <m:r>
                              <w:rPr>
                                <w:rFonts w:ascii="Cambria Math" w:hAnsi="Cambria Math"/>
                              </w:rPr>
                              <m:t>na</m:t>
                            </m:r>
                          </m:sub>
                        </m:sSub>
                      </m:oMath>
                      <w:r w:rsidRPr="00330FB6">
                        <w:t xml:space="preserve">: Non-agricultural unemployment rate </w:t>
                      </w:r>
                      <m:oMath>
                        <m:r>
                          <w:rPr>
                            <w:rFonts w:ascii="Cambria Math" w:hAnsi="Cambria Math"/>
                          </w:rPr>
                          <m:t>LF</m:t>
                        </m:r>
                      </m:oMath>
                      <w:r w:rsidRPr="00330FB6">
                        <w:t xml:space="preserve">: Total labor force; </w:t>
                      </w:r>
                      <m:oMath>
                        <m:sSub>
                          <m:sSubPr>
                            <m:ctrlPr>
                              <w:rPr>
                                <w:rFonts w:ascii="Cambria Math" w:hAnsi="Cambria Math"/>
                                <w:i/>
                              </w:rPr>
                            </m:ctrlPr>
                          </m:sSubPr>
                          <m:e>
                            <m:r>
                              <w:rPr>
                                <w:rFonts w:ascii="Cambria Math" w:hAnsi="Cambria Math"/>
                              </w:rPr>
                              <m:t>LF</m:t>
                            </m:r>
                          </m:e>
                          <m:sub>
                            <m:r>
                              <w:rPr>
                                <w:rFonts w:ascii="Cambria Math" w:hAnsi="Cambria Math"/>
                              </w:rPr>
                              <m:t xml:space="preserve">na </m:t>
                            </m:r>
                          </m:sub>
                        </m:sSub>
                      </m:oMath>
                      <w:r w:rsidRPr="00330FB6">
                        <w:t xml:space="preserve">: Non-agricultural labor force; </w:t>
                      </w:r>
                      <m:oMath>
                        <m:sSub>
                          <m:sSubPr>
                            <m:ctrlPr>
                              <w:rPr>
                                <w:rFonts w:ascii="Cambria Math" w:hAnsi="Cambria Math"/>
                                <w:i/>
                              </w:rPr>
                            </m:ctrlPr>
                          </m:sSubPr>
                          <m:e>
                            <m:r>
                              <w:rPr>
                                <w:rFonts w:ascii="Cambria Math" w:hAnsi="Cambria Math"/>
                              </w:rPr>
                              <m:t>LF</m:t>
                            </m:r>
                          </m:e>
                          <m:sub>
                            <m:r>
                              <w:rPr>
                                <w:rFonts w:ascii="Cambria Math" w:hAnsi="Cambria Math"/>
                              </w:rPr>
                              <m:t>a</m:t>
                            </m:r>
                          </m:sub>
                        </m:sSub>
                      </m:oMath>
                      <w:r w:rsidRPr="00330FB6">
                        <w:t>:</w:t>
                      </w:r>
                      <w:r>
                        <w:t xml:space="preserve"> Agricultural labor force</w:t>
                      </w:r>
                    </w:p>
                    <w:p w14:paraId="4AA3EA2F" w14:textId="77777777" w:rsidR="00143504" w:rsidRDefault="00143504" w:rsidP="005C5D9E">
                      <w:pPr>
                        <w:jc w:val="center"/>
                      </w:pPr>
                      <m:oMath>
                        <m:sSub>
                          <m:sSubPr>
                            <m:ctrlPr>
                              <w:rPr>
                                <w:rFonts w:ascii="Cambria Math" w:hAnsi="Cambria Math"/>
                                <w:i/>
                              </w:rPr>
                            </m:ctrlPr>
                          </m:sSubPr>
                          <m:e>
                            <m:r>
                              <w:rPr>
                                <w:rFonts w:ascii="Cambria Math" w:hAnsi="Cambria Math"/>
                              </w:rPr>
                              <m:t>U ~ U</m:t>
                            </m:r>
                          </m:e>
                          <m:sub>
                            <m:r>
                              <w:rPr>
                                <w:rFonts w:ascii="Cambria Math" w:hAnsi="Cambria Math"/>
                              </w:rPr>
                              <m:t>na</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a</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a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 xml:space="preserve"> =</m:t>
                        </m:r>
                      </m:oMath>
                      <w:r>
                        <w:t xml:space="preserve"> agricultural employment</w:t>
                      </w:r>
                    </w:p>
                    <w:p w14:paraId="0D5BDD53" w14:textId="77777777" w:rsidR="00143504" w:rsidRPr="00D13D5D" w:rsidRDefault="00143504" w:rsidP="005C5D9E">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oMath>
                      </m:oMathPara>
                    </w:p>
                    <w:p w14:paraId="1846813C" w14:textId="2F730754" w:rsidR="00143504" w:rsidRPr="007C3735" w:rsidRDefault="00143504" w:rsidP="005C5D9E">
                      <w:pPr>
                        <w:rPr>
                          <w:lang w:val="en-US"/>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na</m:t>
                                </m:r>
                              </m:sub>
                            </m:sSub>
                          </m:num>
                          <m:den>
                            <m:r>
                              <w:rPr>
                                <w:rFonts w:ascii="Cambria Math" w:hAnsi="Cambria Math"/>
                                <w:sz w:val="28"/>
                                <w:szCs w:val="28"/>
                              </w:rPr>
                              <m:t>u</m:t>
                            </m:r>
                          </m:den>
                        </m:f>
                      </m:oMath>
                      <w:r w:rsidRPr="007C3735">
                        <w:t xml:space="preserve">   </w:t>
                      </w:r>
                      <w:proofErr w:type="gramStart"/>
                      <w:r w:rsidRPr="007C3735">
                        <w:rPr>
                          <w:lang w:val="en-US"/>
                        </w:rPr>
                        <w:t>ratio</w:t>
                      </w:r>
                      <w:proofErr w:type="gramEnd"/>
                      <w:r w:rsidRPr="007C3735">
                        <w:rPr>
                          <w:lang w:val="en-US"/>
                        </w:rPr>
                        <w:t xml:space="preserve"> represents the relative difference between the </w:t>
                      </w:r>
                      <w:r>
                        <w:rPr>
                          <w:lang w:val="en-US"/>
                        </w:rPr>
                        <w:t xml:space="preserve">overall </w:t>
                      </w:r>
                      <w:r w:rsidRPr="007C3735">
                        <w:rPr>
                          <w:lang w:val="en-US"/>
                        </w:rPr>
                        <w:t>and the non-agricultural unemployment rates,</w:t>
                      </w:r>
                      <w:r>
                        <w:rPr>
                          <w:lang w:val="en-US"/>
                        </w:rPr>
                        <w:t xml:space="preserve"> </w:t>
                      </w:r>
                      <w:r w:rsidRPr="007C3735">
                        <w:rPr>
                          <w:lang w:val="en-US"/>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a</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na</m:t>
                                </m:r>
                              </m:sub>
                            </m:sSub>
                          </m:den>
                        </m:f>
                      </m:oMath>
                      <w:r w:rsidRPr="007C3735">
                        <w:rPr>
                          <w:lang w:val="en-US"/>
                        </w:rPr>
                        <w:t xml:space="preserve"> </w:t>
                      </w:r>
                      <w:r>
                        <w:rPr>
                          <w:lang w:val="en-US"/>
                        </w:rPr>
                        <w:t xml:space="preserve"> </w:t>
                      </w:r>
                      <w:r w:rsidRPr="007C3735">
                        <w:rPr>
                          <w:lang w:val="en-US"/>
                        </w:rPr>
                        <w:t>ratio represents the relative weight of agricultural employment.</w:t>
                      </w:r>
                    </w:p>
                    <w:p w14:paraId="63D8AA98" w14:textId="77777777" w:rsidR="00143504" w:rsidRPr="007C3735" w:rsidRDefault="00143504" w:rsidP="005C5D9E">
                      <w:pPr>
                        <w:rPr>
                          <w:lang w:val="en-US"/>
                        </w:rPr>
                      </w:pPr>
                      <w:r w:rsidRPr="007C3735">
                        <w:rPr>
                          <w:lang w:val="en-US"/>
                        </w:rPr>
                        <w:t xml:space="preserve">The figure below shows the link between the relative differences among the </w:t>
                      </w:r>
                      <w:r>
                        <w:rPr>
                          <w:lang w:val="en-US"/>
                        </w:rPr>
                        <w:t xml:space="preserve">overall </w:t>
                      </w:r>
                      <w:r w:rsidRPr="007C3735">
                        <w:rPr>
                          <w:lang w:val="en-US"/>
                        </w:rPr>
                        <w:t>and the non-agricultural unemployment rates</w:t>
                      </w:r>
                      <w:r w:rsidRPr="007C3735">
                        <w:rPr>
                          <w:i/>
                          <w:lang w:val="en-US"/>
                        </w:rPr>
                        <w:t xml:space="preserve"> </w:t>
                      </w:r>
                      <w:proofErr w:type="gramStart"/>
                      <w:r w:rsidRPr="007C3735">
                        <w:rPr>
                          <w:i/>
                          <w:lang w:val="en-US"/>
                        </w:rPr>
                        <w:t xml:space="preserve">( </w:t>
                      </w:r>
                      <m:oMath>
                        <m:f>
                          <m:fPr>
                            <m:ctrlPr>
                              <w:rPr>
                                <w:rFonts w:ascii="Cambria Math" w:hAnsi="Cambria Math"/>
                                <w:i/>
                                <w:sz w:val="26"/>
                                <w:szCs w:val="26"/>
                              </w:rPr>
                            </m:ctrlPr>
                          </m:fPr>
                          <m:num>
                            <w:proofErr w:type="gramEnd"/>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na</m:t>
                                </m:r>
                              </m:sub>
                            </m:sSub>
                          </m:num>
                          <m:den>
                            <m:r>
                              <w:rPr>
                                <w:rFonts w:ascii="Cambria Math" w:hAnsi="Cambria Math"/>
                                <w:sz w:val="26"/>
                                <w:szCs w:val="26"/>
                              </w:rPr>
                              <m:t>u</m:t>
                            </m:r>
                          </m:den>
                        </m:f>
                        <m:r>
                          <w:rPr>
                            <w:rFonts w:ascii="Cambria Math" w:hAnsi="Cambria Math"/>
                            <w:sz w:val="26"/>
                            <w:szCs w:val="26"/>
                          </w:rPr>
                          <m:t>)</m:t>
                        </m:r>
                      </m:oMath>
                      <w:r w:rsidRPr="007C3735">
                        <w:rPr>
                          <w:lang w:val="en-US"/>
                        </w:rPr>
                        <w:t xml:space="preserve"> and the relative weight of agricultural employment </w:t>
                      </w:r>
                      <w:r w:rsidRPr="007C3735">
                        <w:rPr>
                          <w:i/>
                          <w:lang w:val="en-US"/>
                        </w:rPr>
                        <w:t xml:space="preserve">(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a</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na</m:t>
                                </m:r>
                              </m:sub>
                            </m:sSub>
                          </m:den>
                        </m:f>
                      </m:oMath>
                      <w:r w:rsidRPr="007C3735">
                        <w:rPr>
                          <w:i/>
                        </w:rPr>
                        <w:t xml:space="preserve"> )</w:t>
                      </w:r>
                      <w:r w:rsidRPr="007C3735">
                        <w:rPr>
                          <w:lang w:val="en-US"/>
                        </w:rPr>
                        <w:t xml:space="preserve"> for 26 regions using </w:t>
                      </w:r>
                      <w:proofErr w:type="spellStart"/>
                      <w:r w:rsidRPr="007C3735">
                        <w:rPr>
                          <w:lang w:val="en-US"/>
                        </w:rPr>
                        <w:t>Turk</w:t>
                      </w:r>
                      <w:r>
                        <w:rPr>
                          <w:lang w:val="en-US"/>
                        </w:rPr>
                        <w:t>stat</w:t>
                      </w:r>
                      <w:proofErr w:type="spellEnd"/>
                      <w:r>
                        <w:rPr>
                          <w:lang w:val="en-US"/>
                        </w:rPr>
                        <w:t xml:space="preserve"> </w:t>
                      </w:r>
                      <w:r w:rsidRPr="007C3735">
                        <w:rPr>
                          <w:lang w:val="en-US"/>
                        </w:rPr>
                        <w:t xml:space="preserve">data.  </w:t>
                      </w:r>
                    </w:p>
                    <w:p w14:paraId="0A157438" w14:textId="77777777" w:rsidR="00143504" w:rsidRPr="006228B4" w:rsidRDefault="00143504" w:rsidP="005C5D9E"/>
                  </w:txbxContent>
                </v:textbox>
                <w10:wrap type="square" anchorx="margin"/>
              </v:shape>
            </w:pict>
          </mc:Fallback>
        </mc:AlternateContent>
      </w:r>
    </w:p>
    <w:p w14:paraId="003E6C7E" w14:textId="77777777" w:rsidR="00EC01FB" w:rsidRPr="00D4730B" w:rsidRDefault="00EC01FB" w:rsidP="00ED3B36">
      <w:pPr>
        <w:jc w:val="both"/>
        <w:rPr>
          <w:b/>
          <w:lang w:val="en-GB"/>
        </w:rPr>
      </w:pPr>
    </w:p>
    <w:p w14:paraId="6952AAF6" w14:textId="77777777" w:rsidR="00EC01FB" w:rsidRPr="00D4730B" w:rsidRDefault="00EC01FB" w:rsidP="00ED3B36">
      <w:pPr>
        <w:jc w:val="both"/>
        <w:rPr>
          <w:b/>
          <w:lang w:val="en-GB"/>
        </w:rPr>
      </w:pPr>
    </w:p>
    <w:p w14:paraId="02FCB265" w14:textId="52ADF4DB" w:rsidR="005C5D9E" w:rsidRPr="00D4730B" w:rsidRDefault="005C5D9E" w:rsidP="005C5D9E">
      <w:pPr>
        <w:rPr>
          <w:b/>
          <w:lang w:val="en-US"/>
        </w:rPr>
      </w:pPr>
      <w:r w:rsidRPr="00D4730B">
        <w:rPr>
          <w:b/>
          <w:lang w:val="en-US"/>
        </w:rPr>
        <w:lastRenderedPageBreak/>
        <w:t xml:space="preserve">Annex Figure 1 : Relationship between  </w:t>
      </w:r>
      <m:oMath>
        <m:f>
          <m:fPr>
            <m:ctrlPr>
              <w:rPr>
                <w:rFonts w:ascii="Cambria Math" w:hAnsi="Cambria Math"/>
                <w:b/>
                <w:i/>
                <w:color w:val="000000" w:themeColor="text1"/>
                <w:sz w:val="28"/>
                <w:szCs w:val="28"/>
                <w:lang w:val="en-US" w:eastAsia="en-US"/>
              </w:rPr>
            </m:ctrlPr>
          </m:fPr>
          <m:num>
            <m:sSub>
              <m:sSubPr>
                <m:ctrlPr>
                  <w:rPr>
                    <w:rFonts w:ascii="Cambria Math" w:hAnsi="Cambria Math"/>
                    <w:b/>
                    <w:i/>
                    <w:color w:val="000000" w:themeColor="text1"/>
                    <w:sz w:val="28"/>
                    <w:szCs w:val="28"/>
                    <w:lang w:val="en-US" w:eastAsia="en-US"/>
                  </w:rPr>
                </m:ctrlPr>
              </m:sSubPr>
              <m:e>
                <m:r>
                  <m:rPr>
                    <m:sty m:val="bi"/>
                  </m:rPr>
                  <w:rPr>
                    <w:rFonts w:ascii="Cambria Math" w:hAnsi="Cambria Math"/>
                    <w:color w:val="000000" w:themeColor="text1"/>
                    <w:sz w:val="28"/>
                    <w:szCs w:val="28"/>
                    <w:lang w:val="en-US"/>
                  </w:rPr>
                  <m:t>u</m:t>
                </m:r>
              </m:e>
              <m:sub>
                <m:r>
                  <m:rPr>
                    <m:sty m:val="bi"/>
                  </m:rPr>
                  <w:rPr>
                    <w:rFonts w:ascii="Cambria Math" w:hAnsi="Cambria Math"/>
                    <w:color w:val="000000" w:themeColor="text1"/>
                    <w:sz w:val="28"/>
                    <w:szCs w:val="28"/>
                    <w:lang w:val="en-US"/>
                  </w:rPr>
                  <m:t>na</m:t>
                </m:r>
              </m:sub>
            </m:sSub>
          </m:num>
          <m:den>
            <m:r>
              <m:rPr>
                <m:sty m:val="bi"/>
              </m:rPr>
              <w:rPr>
                <w:rFonts w:ascii="Cambria Math" w:hAnsi="Cambria Math"/>
                <w:color w:val="000000" w:themeColor="text1"/>
                <w:sz w:val="28"/>
                <w:szCs w:val="28"/>
                <w:lang w:val="en-US"/>
              </w:rPr>
              <m:t>u</m:t>
            </m:r>
          </m:den>
        </m:f>
      </m:oMath>
      <w:r w:rsidRPr="00D4730B">
        <w:rPr>
          <w:b/>
          <w:color w:val="000000" w:themeColor="text1"/>
          <w:lang w:val="en-US"/>
        </w:rPr>
        <w:t xml:space="preserve">  </w:t>
      </w:r>
      <w:r w:rsidRPr="00D4730B">
        <w:rPr>
          <w:b/>
          <w:lang w:val="en-US"/>
        </w:rPr>
        <w:t xml:space="preserve">and  </w:t>
      </w:r>
      <m:oMath>
        <m:r>
          <m:rPr>
            <m:sty m:val="bi"/>
          </m:rPr>
          <w:rPr>
            <w:rFonts w:ascii="Cambria Math" w:hAnsi="Cambria Math"/>
            <w:sz w:val="24"/>
            <w:szCs w:val="24"/>
            <w:lang w:val="en-US"/>
          </w:rPr>
          <m:t>1+</m:t>
        </m:r>
        <m:f>
          <m:fPr>
            <m:ctrlPr>
              <w:rPr>
                <w:rFonts w:ascii="Cambria Math" w:hAnsi="Cambria Math"/>
                <w:b/>
                <w:i/>
                <w:color w:val="000000" w:themeColor="text1"/>
                <w:sz w:val="24"/>
                <w:szCs w:val="24"/>
                <w:lang w:val="en-US" w:eastAsia="en-US"/>
              </w:rPr>
            </m:ctrlPr>
          </m:fPr>
          <m:num>
            <m:sSub>
              <m:sSubPr>
                <m:ctrlPr>
                  <w:rPr>
                    <w:rFonts w:ascii="Cambria Math" w:hAnsi="Cambria Math"/>
                    <w:b/>
                    <w:i/>
                    <w:color w:val="000000" w:themeColor="text1"/>
                    <w:sz w:val="24"/>
                    <w:szCs w:val="24"/>
                    <w:lang w:val="en-US" w:eastAsia="en-US"/>
                  </w:rPr>
                </m:ctrlPr>
              </m:sSubPr>
              <m:e>
                <m:r>
                  <m:rPr>
                    <m:sty m:val="bi"/>
                  </m:rPr>
                  <w:rPr>
                    <w:rFonts w:ascii="Cambria Math" w:hAnsi="Cambria Math"/>
                    <w:color w:val="000000" w:themeColor="text1"/>
                    <w:sz w:val="24"/>
                    <w:szCs w:val="24"/>
                    <w:lang w:val="en-US"/>
                  </w:rPr>
                  <m:t>E</m:t>
                </m:r>
              </m:e>
              <m:sub>
                <m:r>
                  <m:rPr>
                    <m:sty m:val="bi"/>
                  </m:rPr>
                  <w:rPr>
                    <w:rFonts w:ascii="Cambria Math" w:hAnsi="Cambria Math"/>
                    <w:color w:val="000000" w:themeColor="text1"/>
                    <w:sz w:val="24"/>
                    <w:szCs w:val="24"/>
                    <w:lang w:val="en-US"/>
                  </w:rPr>
                  <m:t>a</m:t>
                </m:r>
              </m:sub>
            </m:sSub>
          </m:num>
          <m:den>
            <m:sSub>
              <m:sSubPr>
                <m:ctrlPr>
                  <w:rPr>
                    <w:rFonts w:ascii="Cambria Math" w:hAnsi="Cambria Math"/>
                    <w:b/>
                    <w:i/>
                    <w:color w:val="000000" w:themeColor="text1"/>
                    <w:sz w:val="24"/>
                    <w:szCs w:val="24"/>
                    <w:lang w:val="en-US" w:eastAsia="en-US"/>
                  </w:rPr>
                </m:ctrlPr>
              </m:sSubPr>
              <m:e>
                <m:r>
                  <m:rPr>
                    <m:sty m:val="bi"/>
                  </m:rPr>
                  <w:rPr>
                    <w:rFonts w:ascii="Cambria Math" w:hAnsi="Cambria Math"/>
                    <w:color w:val="000000" w:themeColor="text1"/>
                    <w:sz w:val="24"/>
                    <w:szCs w:val="24"/>
                    <w:lang w:val="en-US"/>
                  </w:rPr>
                  <m:t>LF</m:t>
                </m:r>
              </m:e>
              <m:sub>
                <m:r>
                  <m:rPr>
                    <m:sty m:val="bi"/>
                  </m:rPr>
                  <w:rPr>
                    <w:rFonts w:ascii="Cambria Math" w:hAnsi="Cambria Math"/>
                    <w:color w:val="000000" w:themeColor="text1"/>
                    <w:sz w:val="24"/>
                    <w:szCs w:val="24"/>
                    <w:lang w:val="en-US"/>
                  </w:rPr>
                  <m:t>na</m:t>
                </m:r>
              </m:sub>
            </m:sSub>
          </m:den>
        </m:f>
      </m:oMath>
      <w:r w:rsidRPr="00D4730B">
        <w:rPr>
          <w:b/>
          <w:lang w:val="en-US"/>
        </w:rPr>
        <w:t xml:space="preserve">   (2017)</w:t>
      </w:r>
    </w:p>
    <w:p w14:paraId="38AEA3EF" w14:textId="47FE641B" w:rsidR="00DC6185" w:rsidRPr="00D4730B" w:rsidRDefault="00313849" w:rsidP="00ED3B36">
      <w:pPr>
        <w:jc w:val="both"/>
        <w:rPr>
          <w:lang w:val="en-GB"/>
        </w:rPr>
      </w:pPr>
      <w:r w:rsidRPr="00D4730B">
        <w:rPr>
          <w:noProof/>
        </w:rPr>
        <w:drawing>
          <wp:inline distT="0" distB="0" distL="0" distR="0" wp14:anchorId="05534198" wp14:editId="1729DEDE">
            <wp:extent cx="5287245" cy="353298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5934" cy="3538795"/>
                    </a:xfrm>
                    <a:prstGeom prst="rect">
                      <a:avLst/>
                    </a:prstGeom>
                  </pic:spPr>
                </pic:pic>
              </a:graphicData>
            </a:graphic>
          </wp:inline>
        </w:drawing>
      </w:r>
    </w:p>
    <w:p w14:paraId="6058E5D5" w14:textId="77777777" w:rsidR="00D45962" w:rsidRPr="000A3AD5" w:rsidRDefault="00D45962" w:rsidP="00D45962">
      <w:pPr>
        <w:rPr>
          <w:sz w:val="16"/>
          <w:szCs w:val="16"/>
          <w:lang w:val="en-US"/>
        </w:rPr>
      </w:pPr>
      <w:r w:rsidRPr="00D4730B">
        <w:rPr>
          <w:sz w:val="16"/>
          <w:szCs w:val="16"/>
          <w:lang w:val="en-US"/>
        </w:rPr>
        <w:t>Source: Turkstat, Betam</w:t>
      </w:r>
    </w:p>
    <w:p w14:paraId="1941880E" w14:textId="77777777" w:rsidR="00F35846" w:rsidRPr="00EA7EDB" w:rsidRDefault="00F35846" w:rsidP="00ED3B36">
      <w:pPr>
        <w:jc w:val="both"/>
        <w:rPr>
          <w:lang w:val="en-GB"/>
        </w:rPr>
      </w:pPr>
    </w:p>
    <w:p w14:paraId="020D371D" w14:textId="77777777" w:rsidR="00F35846" w:rsidRPr="00EA7EDB" w:rsidRDefault="00F35846" w:rsidP="00ED3B36">
      <w:pPr>
        <w:spacing w:after="0" w:line="240" w:lineRule="auto"/>
        <w:jc w:val="both"/>
        <w:rPr>
          <w:rFonts w:ascii="Courier New" w:hAnsi="Courier New" w:cs="Courier New"/>
          <w:sz w:val="18"/>
          <w:szCs w:val="18"/>
          <w:lang w:val="en-GB"/>
        </w:rPr>
      </w:pPr>
    </w:p>
    <w:p w14:paraId="50080596" w14:textId="77777777" w:rsidR="00F35846" w:rsidRPr="00EA7EDB" w:rsidRDefault="00F35846" w:rsidP="00ED3B36">
      <w:pPr>
        <w:spacing w:after="0" w:line="240" w:lineRule="auto"/>
        <w:jc w:val="both"/>
        <w:rPr>
          <w:rFonts w:ascii="Courier New" w:hAnsi="Courier New" w:cs="Courier New"/>
          <w:sz w:val="18"/>
          <w:szCs w:val="18"/>
          <w:lang w:val="en-GB"/>
        </w:rPr>
      </w:pPr>
    </w:p>
    <w:p w14:paraId="5ECB3238" w14:textId="56156555" w:rsidR="00F35846" w:rsidRPr="00EA7EDB" w:rsidRDefault="00F35846" w:rsidP="00ED3B36">
      <w:pPr>
        <w:spacing w:after="0" w:line="240" w:lineRule="auto"/>
        <w:jc w:val="both"/>
        <w:rPr>
          <w:rFonts w:ascii="Courier New" w:hAnsi="Courier New" w:cs="Courier New"/>
          <w:sz w:val="18"/>
          <w:szCs w:val="18"/>
          <w:lang w:val="en-GB"/>
        </w:rPr>
      </w:pPr>
    </w:p>
    <w:p w14:paraId="0DDD4386" w14:textId="7C7436C1" w:rsidR="00DC42FF" w:rsidRPr="00EA7EDB" w:rsidRDefault="00DC42FF" w:rsidP="00ED3B36">
      <w:pPr>
        <w:spacing w:after="0" w:line="240" w:lineRule="auto"/>
        <w:jc w:val="both"/>
        <w:rPr>
          <w:rFonts w:ascii="Courier New" w:hAnsi="Courier New" w:cs="Courier New"/>
          <w:sz w:val="18"/>
          <w:szCs w:val="18"/>
          <w:lang w:val="en-GB"/>
        </w:rPr>
      </w:pPr>
    </w:p>
    <w:p w14:paraId="11658A78" w14:textId="7F7DD6E9" w:rsidR="00DC42FF" w:rsidRPr="00EA7EDB" w:rsidRDefault="00DC42FF" w:rsidP="00ED3B36">
      <w:pPr>
        <w:spacing w:after="0" w:line="240" w:lineRule="auto"/>
        <w:jc w:val="both"/>
        <w:rPr>
          <w:rFonts w:ascii="Courier New" w:hAnsi="Courier New" w:cs="Courier New"/>
          <w:sz w:val="18"/>
          <w:szCs w:val="18"/>
          <w:lang w:val="en-GB"/>
        </w:rPr>
      </w:pPr>
    </w:p>
    <w:p w14:paraId="19AAA720" w14:textId="42DA417B" w:rsidR="00DC42FF" w:rsidRPr="00EA7EDB" w:rsidRDefault="00DC42FF" w:rsidP="00ED3B36">
      <w:pPr>
        <w:spacing w:after="0" w:line="240" w:lineRule="auto"/>
        <w:jc w:val="both"/>
        <w:rPr>
          <w:rFonts w:ascii="Courier New" w:hAnsi="Courier New" w:cs="Courier New"/>
          <w:sz w:val="18"/>
          <w:szCs w:val="18"/>
          <w:lang w:val="en-GB"/>
        </w:rPr>
      </w:pPr>
    </w:p>
    <w:p w14:paraId="4A0ED0C4" w14:textId="356BDB2D" w:rsidR="00DC42FF" w:rsidRPr="00EA7EDB" w:rsidRDefault="00DC42FF" w:rsidP="00ED3B36">
      <w:pPr>
        <w:spacing w:after="0" w:line="240" w:lineRule="auto"/>
        <w:jc w:val="both"/>
        <w:rPr>
          <w:rFonts w:ascii="Courier New" w:hAnsi="Courier New" w:cs="Courier New"/>
          <w:sz w:val="18"/>
          <w:szCs w:val="18"/>
          <w:lang w:val="en-GB"/>
        </w:rPr>
      </w:pPr>
    </w:p>
    <w:p w14:paraId="05C41D60" w14:textId="4FA79F0D" w:rsidR="00DC42FF" w:rsidRPr="00EA7EDB" w:rsidRDefault="00DC42FF" w:rsidP="00ED3B36">
      <w:pPr>
        <w:spacing w:after="0" w:line="240" w:lineRule="auto"/>
        <w:jc w:val="both"/>
        <w:rPr>
          <w:rFonts w:ascii="Courier New" w:hAnsi="Courier New" w:cs="Courier New"/>
          <w:sz w:val="18"/>
          <w:szCs w:val="18"/>
          <w:lang w:val="en-GB"/>
        </w:rPr>
      </w:pPr>
    </w:p>
    <w:p w14:paraId="6C8D91E2" w14:textId="0E2274FB" w:rsidR="00DC42FF" w:rsidRPr="00EA7EDB" w:rsidRDefault="00DC42FF" w:rsidP="00ED3B36">
      <w:pPr>
        <w:spacing w:after="0" w:line="240" w:lineRule="auto"/>
        <w:jc w:val="both"/>
        <w:rPr>
          <w:rFonts w:ascii="Courier New" w:hAnsi="Courier New" w:cs="Courier New"/>
          <w:sz w:val="18"/>
          <w:szCs w:val="18"/>
          <w:lang w:val="en-GB"/>
        </w:rPr>
      </w:pPr>
    </w:p>
    <w:p w14:paraId="5AEE679F" w14:textId="070A1F93" w:rsidR="00DC42FF" w:rsidRPr="00EA7EDB" w:rsidRDefault="00DC42FF" w:rsidP="00ED3B36">
      <w:pPr>
        <w:spacing w:after="0" w:line="240" w:lineRule="auto"/>
        <w:jc w:val="both"/>
        <w:rPr>
          <w:rFonts w:ascii="Courier New" w:hAnsi="Courier New" w:cs="Courier New"/>
          <w:sz w:val="18"/>
          <w:szCs w:val="18"/>
          <w:lang w:val="en-GB"/>
        </w:rPr>
      </w:pPr>
    </w:p>
    <w:p w14:paraId="2A69F197" w14:textId="3D66079F" w:rsidR="00DC42FF" w:rsidRPr="00EA7EDB" w:rsidRDefault="00DC42FF" w:rsidP="00ED3B36">
      <w:pPr>
        <w:spacing w:after="0" w:line="240" w:lineRule="auto"/>
        <w:jc w:val="both"/>
        <w:rPr>
          <w:rFonts w:ascii="Courier New" w:hAnsi="Courier New" w:cs="Courier New"/>
          <w:sz w:val="18"/>
          <w:szCs w:val="18"/>
          <w:lang w:val="en-GB"/>
        </w:rPr>
      </w:pPr>
    </w:p>
    <w:p w14:paraId="0E3F2978" w14:textId="282697BE" w:rsidR="00DC42FF" w:rsidRPr="00EA7EDB" w:rsidRDefault="00DC42FF" w:rsidP="00ED3B36">
      <w:pPr>
        <w:spacing w:after="0" w:line="240" w:lineRule="auto"/>
        <w:jc w:val="both"/>
        <w:rPr>
          <w:rFonts w:ascii="Courier New" w:hAnsi="Courier New" w:cs="Courier New"/>
          <w:sz w:val="18"/>
          <w:szCs w:val="18"/>
          <w:lang w:val="en-GB"/>
        </w:rPr>
      </w:pPr>
    </w:p>
    <w:p w14:paraId="6B9821DF" w14:textId="46585DA6" w:rsidR="00DC42FF" w:rsidRPr="00EA7EDB" w:rsidRDefault="00DC42FF" w:rsidP="00ED3B36">
      <w:pPr>
        <w:spacing w:after="0" w:line="240" w:lineRule="auto"/>
        <w:jc w:val="both"/>
        <w:rPr>
          <w:rFonts w:ascii="Courier New" w:hAnsi="Courier New" w:cs="Courier New"/>
          <w:sz w:val="18"/>
          <w:szCs w:val="18"/>
          <w:lang w:val="en-GB"/>
        </w:rPr>
      </w:pPr>
    </w:p>
    <w:p w14:paraId="470D8A09" w14:textId="6D756836" w:rsidR="00DC42FF" w:rsidRPr="00EA7EDB" w:rsidRDefault="00DC42FF" w:rsidP="00ED3B36">
      <w:pPr>
        <w:spacing w:after="0" w:line="240" w:lineRule="auto"/>
        <w:jc w:val="both"/>
        <w:rPr>
          <w:rFonts w:ascii="Courier New" w:hAnsi="Courier New" w:cs="Courier New"/>
          <w:sz w:val="18"/>
          <w:szCs w:val="18"/>
          <w:lang w:val="en-GB"/>
        </w:rPr>
      </w:pPr>
    </w:p>
    <w:p w14:paraId="4C2BE3DD" w14:textId="4AD1860D" w:rsidR="00DC42FF" w:rsidRPr="00EA7EDB" w:rsidRDefault="00DC42FF" w:rsidP="00ED3B36">
      <w:pPr>
        <w:spacing w:after="0" w:line="240" w:lineRule="auto"/>
        <w:jc w:val="both"/>
        <w:rPr>
          <w:rFonts w:ascii="Courier New" w:hAnsi="Courier New" w:cs="Courier New"/>
          <w:sz w:val="18"/>
          <w:szCs w:val="18"/>
          <w:lang w:val="en-GB"/>
        </w:rPr>
      </w:pPr>
    </w:p>
    <w:p w14:paraId="631088B9" w14:textId="0C59FF8C" w:rsidR="00DC42FF" w:rsidRPr="00EA7EDB" w:rsidRDefault="00DC42FF" w:rsidP="00ED3B36">
      <w:pPr>
        <w:spacing w:after="0" w:line="240" w:lineRule="auto"/>
        <w:jc w:val="both"/>
        <w:rPr>
          <w:rFonts w:ascii="Courier New" w:hAnsi="Courier New" w:cs="Courier New"/>
          <w:sz w:val="18"/>
          <w:szCs w:val="18"/>
          <w:lang w:val="en-GB"/>
        </w:rPr>
      </w:pPr>
    </w:p>
    <w:p w14:paraId="73AD4545" w14:textId="594756BC" w:rsidR="00DC42FF" w:rsidRPr="00EA7EDB" w:rsidRDefault="00DC42FF" w:rsidP="00ED3B36">
      <w:pPr>
        <w:spacing w:after="0" w:line="240" w:lineRule="auto"/>
        <w:jc w:val="both"/>
        <w:rPr>
          <w:rFonts w:ascii="Courier New" w:hAnsi="Courier New" w:cs="Courier New"/>
          <w:sz w:val="18"/>
          <w:szCs w:val="18"/>
          <w:lang w:val="en-GB"/>
        </w:rPr>
      </w:pPr>
    </w:p>
    <w:p w14:paraId="20D74F14" w14:textId="7F017180" w:rsidR="00DC42FF" w:rsidRPr="00EA7EDB" w:rsidRDefault="00DC42FF" w:rsidP="00ED3B36">
      <w:pPr>
        <w:spacing w:after="0" w:line="240" w:lineRule="auto"/>
        <w:jc w:val="both"/>
        <w:rPr>
          <w:rFonts w:ascii="Courier New" w:hAnsi="Courier New" w:cs="Courier New"/>
          <w:sz w:val="18"/>
          <w:szCs w:val="18"/>
          <w:lang w:val="en-GB"/>
        </w:rPr>
      </w:pPr>
    </w:p>
    <w:p w14:paraId="756C4763" w14:textId="55FBA5F6" w:rsidR="00DC42FF" w:rsidRPr="00EA7EDB" w:rsidRDefault="00DC42FF" w:rsidP="00ED3B36">
      <w:pPr>
        <w:spacing w:after="0" w:line="240" w:lineRule="auto"/>
        <w:jc w:val="both"/>
        <w:rPr>
          <w:rFonts w:ascii="Courier New" w:hAnsi="Courier New" w:cs="Courier New"/>
          <w:sz w:val="18"/>
          <w:szCs w:val="18"/>
          <w:lang w:val="en-GB"/>
        </w:rPr>
      </w:pPr>
    </w:p>
    <w:p w14:paraId="321AB818" w14:textId="46152F82" w:rsidR="00DC42FF" w:rsidRPr="00EA7EDB" w:rsidRDefault="00DC42FF" w:rsidP="00ED3B36">
      <w:pPr>
        <w:spacing w:after="0" w:line="240" w:lineRule="auto"/>
        <w:jc w:val="both"/>
        <w:rPr>
          <w:rFonts w:ascii="Courier New" w:hAnsi="Courier New" w:cs="Courier New"/>
          <w:sz w:val="18"/>
          <w:szCs w:val="18"/>
          <w:lang w:val="en-GB"/>
        </w:rPr>
      </w:pPr>
    </w:p>
    <w:p w14:paraId="35CC704F" w14:textId="7EFD579E" w:rsidR="00DC42FF" w:rsidRPr="00EA7EDB" w:rsidRDefault="00DC42FF" w:rsidP="00ED3B36">
      <w:pPr>
        <w:spacing w:after="0" w:line="240" w:lineRule="auto"/>
        <w:jc w:val="both"/>
        <w:rPr>
          <w:rFonts w:ascii="Courier New" w:hAnsi="Courier New" w:cs="Courier New"/>
          <w:sz w:val="18"/>
          <w:szCs w:val="18"/>
          <w:lang w:val="en-GB"/>
        </w:rPr>
      </w:pPr>
    </w:p>
    <w:p w14:paraId="58174F31" w14:textId="11460251" w:rsidR="00DC42FF" w:rsidRPr="00EA7EDB" w:rsidRDefault="00DC42FF" w:rsidP="00ED3B36">
      <w:pPr>
        <w:spacing w:after="0" w:line="240" w:lineRule="auto"/>
        <w:jc w:val="both"/>
        <w:rPr>
          <w:rFonts w:ascii="Courier New" w:hAnsi="Courier New" w:cs="Courier New"/>
          <w:sz w:val="18"/>
          <w:szCs w:val="18"/>
          <w:lang w:val="en-GB"/>
        </w:rPr>
      </w:pPr>
    </w:p>
    <w:p w14:paraId="45D38609" w14:textId="5EC9F257" w:rsidR="00DC42FF" w:rsidRPr="00EA7EDB" w:rsidRDefault="00DC42FF" w:rsidP="00ED3B36">
      <w:pPr>
        <w:spacing w:after="0" w:line="240" w:lineRule="auto"/>
        <w:jc w:val="both"/>
        <w:rPr>
          <w:rFonts w:ascii="Courier New" w:hAnsi="Courier New" w:cs="Courier New"/>
          <w:sz w:val="18"/>
          <w:szCs w:val="18"/>
          <w:lang w:val="en-GB"/>
        </w:rPr>
      </w:pPr>
    </w:p>
    <w:p w14:paraId="0462E31A" w14:textId="60AF1AB6" w:rsidR="00DC42FF" w:rsidRPr="00EA7EDB" w:rsidRDefault="00DC42FF" w:rsidP="00ED3B36">
      <w:pPr>
        <w:spacing w:after="0" w:line="240" w:lineRule="auto"/>
        <w:jc w:val="both"/>
        <w:rPr>
          <w:rFonts w:ascii="Courier New" w:hAnsi="Courier New" w:cs="Courier New"/>
          <w:sz w:val="18"/>
          <w:szCs w:val="18"/>
          <w:lang w:val="en-GB"/>
        </w:rPr>
      </w:pPr>
    </w:p>
    <w:p w14:paraId="38A08FC9" w14:textId="02B8D96E" w:rsidR="00DC42FF" w:rsidRPr="00EA7EDB" w:rsidRDefault="00DC42FF" w:rsidP="00ED3B36">
      <w:pPr>
        <w:spacing w:after="0" w:line="240" w:lineRule="auto"/>
        <w:jc w:val="both"/>
        <w:rPr>
          <w:rFonts w:ascii="Courier New" w:hAnsi="Courier New" w:cs="Courier New"/>
          <w:sz w:val="18"/>
          <w:szCs w:val="18"/>
          <w:lang w:val="en-GB"/>
        </w:rPr>
      </w:pPr>
    </w:p>
    <w:p w14:paraId="087A0869" w14:textId="4CA16782" w:rsidR="00DC42FF" w:rsidRPr="00EA7EDB" w:rsidRDefault="00DC42FF" w:rsidP="00ED3B36">
      <w:pPr>
        <w:spacing w:after="0" w:line="240" w:lineRule="auto"/>
        <w:jc w:val="both"/>
        <w:rPr>
          <w:rFonts w:ascii="Courier New" w:hAnsi="Courier New" w:cs="Courier New"/>
          <w:sz w:val="18"/>
          <w:szCs w:val="18"/>
          <w:lang w:val="en-GB"/>
        </w:rPr>
      </w:pPr>
    </w:p>
    <w:p w14:paraId="670CBC02" w14:textId="6E9588D1" w:rsidR="00DC42FF" w:rsidRPr="00EA7EDB" w:rsidRDefault="00DC42FF" w:rsidP="00ED3B36">
      <w:pPr>
        <w:spacing w:after="0" w:line="240" w:lineRule="auto"/>
        <w:jc w:val="both"/>
        <w:rPr>
          <w:rFonts w:ascii="Courier New" w:hAnsi="Courier New" w:cs="Courier New"/>
          <w:sz w:val="18"/>
          <w:szCs w:val="18"/>
          <w:lang w:val="en-GB"/>
        </w:rPr>
      </w:pPr>
    </w:p>
    <w:p w14:paraId="79AEAFEF" w14:textId="3DA06753" w:rsidR="00DC42FF" w:rsidRPr="00EA7EDB" w:rsidRDefault="00DC42FF" w:rsidP="00ED3B36">
      <w:pPr>
        <w:spacing w:after="0" w:line="240" w:lineRule="auto"/>
        <w:jc w:val="both"/>
        <w:rPr>
          <w:rFonts w:ascii="Courier New" w:hAnsi="Courier New" w:cs="Courier New"/>
          <w:sz w:val="18"/>
          <w:szCs w:val="18"/>
          <w:lang w:val="en-GB"/>
        </w:rPr>
      </w:pPr>
    </w:p>
    <w:p w14:paraId="4DA8AC99" w14:textId="5AF2546E" w:rsidR="00DC42FF" w:rsidRPr="00EA7EDB" w:rsidRDefault="00DC42FF" w:rsidP="00ED3B36">
      <w:pPr>
        <w:spacing w:after="0" w:line="240" w:lineRule="auto"/>
        <w:jc w:val="both"/>
        <w:rPr>
          <w:rFonts w:ascii="Courier New" w:hAnsi="Courier New" w:cs="Courier New"/>
          <w:sz w:val="18"/>
          <w:szCs w:val="18"/>
          <w:lang w:val="en-GB"/>
        </w:rPr>
      </w:pPr>
    </w:p>
    <w:p w14:paraId="70440ABC" w14:textId="713B43EF" w:rsidR="00DC42FF" w:rsidRPr="00EA7EDB" w:rsidRDefault="00DC42FF" w:rsidP="00ED3B36">
      <w:pPr>
        <w:spacing w:after="0" w:line="240" w:lineRule="auto"/>
        <w:jc w:val="both"/>
        <w:rPr>
          <w:rFonts w:ascii="Courier New" w:hAnsi="Courier New" w:cs="Courier New"/>
          <w:sz w:val="18"/>
          <w:szCs w:val="18"/>
          <w:lang w:val="en-GB"/>
        </w:rPr>
      </w:pPr>
    </w:p>
    <w:sectPr w:rsidR="00DC42FF" w:rsidRPr="00EA7EDB" w:rsidSect="00D2038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2B99A" w14:textId="77777777" w:rsidR="00E71A14" w:rsidRDefault="00E71A14" w:rsidP="00B047D4">
      <w:pPr>
        <w:spacing w:after="0" w:line="240" w:lineRule="auto"/>
      </w:pPr>
      <w:r>
        <w:separator/>
      </w:r>
    </w:p>
  </w:endnote>
  <w:endnote w:type="continuationSeparator" w:id="0">
    <w:p w14:paraId="5B7383A6" w14:textId="77777777" w:rsidR="00E71A14" w:rsidRDefault="00E71A14"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561176"/>
      <w:docPartObj>
        <w:docPartGallery w:val="Page Numbers (Bottom of Page)"/>
        <w:docPartUnique/>
      </w:docPartObj>
    </w:sdtPr>
    <w:sdtEndPr/>
    <w:sdtContent>
      <w:p w14:paraId="0E801545" w14:textId="66C1F0F8" w:rsidR="00143504" w:rsidRDefault="00143504" w:rsidP="00BC48E9">
        <w:pPr>
          <w:pStyle w:val="Footer"/>
          <w:jc w:val="center"/>
        </w:pPr>
        <w:r>
          <w:fldChar w:fldCharType="begin"/>
        </w:r>
        <w:r>
          <w:instrText xml:space="preserve"> PAGE   \* MERGEFORMAT </w:instrText>
        </w:r>
        <w:r>
          <w:fldChar w:fldCharType="separate"/>
        </w:r>
        <w:r w:rsidR="000D09D4">
          <w:rPr>
            <w:noProof/>
          </w:rPr>
          <w:t>1</w:t>
        </w:r>
        <w:r>
          <w:rPr>
            <w:noProof/>
          </w:rPr>
          <w:fldChar w:fldCharType="end"/>
        </w:r>
      </w:p>
    </w:sdtContent>
  </w:sdt>
  <w:p w14:paraId="62BCBF3F" w14:textId="77777777" w:rsidR="00143504" w:rsidRDefault="0014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85F10" w14:textId="77777777" w:rsidR="00E71A14" w:rsidRDefault="00E71A14" w:rsidP="00B047D4">
      <w:pPr>
        <w:spacing w:after="0" w:line="240" w:lineRule="auto"/>
      </w:pPr>
      <w:r>
        <w:separator/>
      </w:r>
    </w:p>
  </w:footnote>
  <w:footnote w:type="continuationSeparator" w:id="0">
    <w:p w14:paraId="6D81AB6D" w14:textId="77777777" w:rsidR="00E71A14" w:rsidRDefault="00E71A14" w:rsidP="00B047D4">
      <w:pPr>
        <w:spacing w:after="0" w:line="240" w:lineRule="auto"/>
      </w:pPr>
      <w:r>
        <w:continuationSeparator/>
      </w:r>
    </w:p>
  </w:footnote>
  <w:footnote w:id="1">
    <w:p w14:paraId="74D892A4" w14:textId="5BA408AD" w:rsidR="00143504" w:rsidRPr="00E946A3" w:rsidRDefault="00143504" w:rsidP="008C087D">
      <w:pPr>
        <w:pStyle w:val="FootnoteText"/>
        <w:rPr>
          <w:rFonts w:asciiTheme="minorHAnsi" w:hAnsiTheme="minorHAnsi" w:cs="Arial"/>
          <w:sz w:val="18"/>
          <w:szCs w:val="18"/>
          <w:lang w:val="en-GB"/>
        </w:rPr>
      </w:pPr>
      <w:r w:rsidRPr="00E946A3">
        <w:rPr>
          <w:rStyle w:val="FootnoteReference"/>
          <w:rFonts w:asciiTheme="minorHAnsi" w:hAnsiTheme="minorHAnsi" w:cs="Arial"/>
          <w:b/>
          <w:sz w:val="18"/>
          <w:szCs w:val="18"/>
          <w:lang w:val="en-GB"/>
        </w:rPr>
        <w:t>*</w:t>
      </w:r>
      <w:r w:rsidRPr="00E946A3">
        <w:rPr>
          <w:rFonts w:asciiTheme="minorHAnsi" w:hAnsiTheme="minorHAnsi" w:cs="Arial"/>
          <w:sz w:val="18"/>
          <w:szCs w:val="18"/>
          <w:lang w:val="en-GB"/>
        </w:rPr>
        <w:t xml:space="preserve">Prof. Dr. Seyfettin Gürsel, </w:t>
      </w:r>
      <w:r w:rsidRPr="00E946A3">
        <w:rPr>
          <w:rFonts w:asciiTheme="minorHAnsi" w:hAnsiTheme="minorHAnsi" w:cs="Arial"/>
          <w:b/>
          <w:sz w:val="18"/>
          <w:szCs w:val="18"/>
          <w:lang w:val="en-GB"/>
        </w:rPr>
        <w:t>Betam</w:t>
      </w:r>
      <w:r w:rsidRPr="00E946A3">
        <w:rPr>
          <w:rFonts w:asciiTheme="minorHAnsi" w:hAnsiTheme="minorHAnsi" w:cs="Arial"/>
          <w:sz w:val="18"/>
          <w:szCs w:val="18"/>
          <w:lang w:val="en-GB"/>
        </w:rPr>
        <w:t>, Director, seyfettin.gursel@eas.bau.edu.tr</w:t>
      </w:r>
    </w:p>
  </w:footnote>
  <w:footnote w:id="2">
    <w:p w14:paraId="337E8A3A" w14:textId="30F9A64E" w:rsidR="00143504" w:rsidRPr="00E946A3" w:rsidRDefault="00143504" w:rsidP="008C087D">
      <w:pPr>
        <w:pStyle w:val="FootnoteText"/>
        <w:rPr>
          <w:rFonts w:asciiTheme="minorHAnsi" w:hAnsiTheme="minorHAnsi" w:cs="Arial"/>
          <w:sz w:val="18"/>
          <w:szCs w:val="18"/>
          <w:lang w:val="en-GB"/>
        </w:rPr>
      </w:pPr>
      <w:r w:rsidRPr="00E946A3">
        <w:rPr>
          <w:rStyle w:val="FootnoteReference"/>
          <w:rFonts w:asciiTheme="minorHAnsi" w:hAnsiTheme="minorHAnsi" w:cs="Arial"/>
          <w:b/>
          <w:sz w:val="18"/>
          <w:szCs w:val="18"/>
          <w:lang w:val="en-GB"/>
        </w:rPr>
        <w:t>**</w:t>
      </w:r>
      <w:r w:rsidRPr="00E946A3">
        <w:rPr>
          <w:rFonts w:asciiTheme="minorHAnsi" w:hAnsiTheme="minorHAnsi" w:cs="Arial"/>
          <w:sz w:val="18"/>
          <w:szCs w:val="18"/>
          <w:lang w:val="en-GB"/>
        </w:rPr>
        <w:t xml:space="preserve">Yazgı Genç, </w:t>
      </w:r>
      <w:r w:rsidRPr="00E946A3">
        <w:rPr>
          <w:rFonts w:asciiTheme="minorHAnsi" w:hAnsiTheme="minorHAnsi" w:cs="Arial"/>
          <w:b/>
          <w:sz w:val="18"/>
          <w:szCs w:val="18"/>
          <w:lang w:val="en-GB"/>
        </w:rPr>
        <w:t>Betam</w:t>
      </w:r>
      <w:r w:rsidRPr="00E946A3">
        <w:rPr>
          <w:rFonts w:asciiTheme="minorHAnsi" w:hAnsiTheme="minorHAnsi" w:cs="Arial"/>
          <w:sz w:val="18"/>
          <w:szCs w:val="18"/>
          <w:lang w:val="en-GB"/>
        </w:rPr>
        <w:t>, Research Assistant, yazgi.genc@eas.bau.edu.tr</w:t>
      </w:r>
    </w:p>
  </w:footnote>
  <w:footnote w:id="3">
    <w:p w14:paraId="712EE12E" w14:textId="4102BD66" w:rsidR="00143504" w:rsidRPr="00E946A3" w:rsidRDefault="00143504" w:rsidP="008C087D">
      <w:pPr>
        <w:pStyle w:val="FootnoteText"/>
        <w:rPr>
          <w:rFonts w:asciiTheme="minorHAnsi" w:hAnsiTheme="minorHAnsi" w:cs="Arial"/>
          <w:sz w:val="18"/>
          <w:szCs w:val="18"/>
          <w:lang w:val="en-GB"/>
        </w:rPr>
      </w:pPr>
      <w:r w:rsidRPr="00E946A3">
        <w:rPr>
          <w:rStyle w:val="FootnoteReference"/>
          <w:rFonts w:asciiTheme="minorHAnsi" w:hAnsiTheme="minorHAnsi" w:cs="Arial"/>
          <w:b/>
          <w:sz w:val="18"/>
          <w:szCs w:val="18"/>
          <w:lang w:val="en-GB"/>
        </w:rPr>
        <w:t>***</w:t>
      </w:r>
      <w:r w:rsidRPr="00E946A3">
        <w:rPr>
          <w:rFonts w:asciiTheme="minorHAnsi" w:hAnsiTheme="minorHAnsi" w:cs="Arial"/>
          <w:sz w:val="18"/>
          <w:szCs w:val="18"/>
          <w:lang w:val="en-GB"/>
        </w:rPr>
        <w:t xml:space="preserve"> Mine Durmaz Aslan, </w:t>
      </w:r>
      <w:r w:rsidRPr="00E946A3">
        <w:rPr>
          <w:rFonts w:asciiTheme="minorHAnsi" w:hAnsiTheme="minorHAnsi" w:cs="Arial"/>
          <w:b/>
          <w:sz w:val="18"/>
          <w:szCs w:val="18"/>
          <w:lang w:val="en-GB"/>
        </w:rPr>
        <w:t>Betam</w:t>
      </w:r>
      <w:r w:rsidRPr="00E946A3">
        <w:rPr>
          <w:rFonts w:asciiTheme="minorHAnsi" w:hAnsiTheme="minorHAnsi" w:cs="Arial"/>
          <w:sz w:val="18"/>
          <w:szCs w:val="18"/>
          <w:lang w:val="en-GB"/>
        </w:rPr>
        <w:t xml:space="preserve"> Research Assistant, mine.durmaz@eas.bau.edu.tr</w:t>
      </w:r>
    </w:p>
  </w:footnote>
  <w:footnote w:id="4">
    <w:p w14:paraId="2E819F5E" w14:textId="77777777" w:rsidR="00143504" w:rsidRPr="00E946A3" w:rsidRDefault="00143504" w:rsidP="008C087D">
      <w:pPr>
        <w:pStyle w:val="FootnoteText"/>
        <w:rPr>
          <w:rFonts w:asciiTheme="minorHAnsi" w:hAnsiTheme="minorHAnsi" w:cs="Arial"/>
          <w:sz w:val="18"/>
          <w:szCs w:val="18"/>
          <w:lang w:val="en-GB"/>
        </w:rPr>
      </w:pPr>
    </w:p>
  </w:footnote>
  <w:footnote w:id="5">
    <w:p w14:paraId="0C9C7FBA" w14:textId="408C29BB" w:rsidR="00143504" w:rsidRPr="00683688" w:rsidRDefault="00143504" w:rsidP="009D6767">
      <w:pPr>
        <w:pStyle w:val="FootnoteText"/>
        <w:jc w:val="both"/>
        <w:rPr>
          <w:rFonts w:asciiTheme="minorHAnsi" w:hAnsiTheme="minorHAnsi" w:cstheme="minorHAnsi"/>
          <w:sz w:val="18"/>
          <w:szCs w:val="18"/>
          <w:lang w:val="en-GB"/>
        </w:rPr>
      </w:pPr>
      <w:r w:rsidRPr="00E946A3">
        <w:rPr>
          <w:rStyle w:val="FootnoteReference"/>
          <w:lang w:val="en-GB"/>
        </w:rPr>
        <w:footnoteRef/>
      </w:r>
      <w:r>
        <w:rPr>
          <w:lang w:val="en-GB"/>
        </w:rPr>
        <w:t xml:space="preserve"> The ranking of regions according to non-agricultural unemployment rates differs from the ranking according to general unemployment rates. </w:t>
      </w:r>
      <w:r w:rsidRPr="00E946A3">
        <w:rPr>
          <w:lang w:val="en-GB"/>
        </w:rPr>
        <w:t xml:space="preserve"> </w:t>
      </w:r>
      <w:r>
        <w:rPr>
          <w:lang w:val="en-GB"/>
        </w:rPr>
        <w:t xml:space="preserve">For a comparison of these rankings see </w:t>
      </w:r>
      <w:r w:rsidRPr="00683688">
        <w:rPr>
          <w:rFonts w:asciiTheme="minorHAnsi" w:hAnsiTheme="minorHAnsi" w:cstheme="minorHAnsi"/>
          <w:sz w:val="18"/>
          <w:szCs w:val="18"/>
          <w:lang w:val="en-GB"/>
        </w:rPr>
        <w:t xml:space="preserve">Betam </w:t>
      </w:r>
      <w:r>
        <w:rPr>
          <w:rFonts w:asciiTheme="minorHAnsi" w:hAnsiTheme="minorHAnsi" w:cstheme="minorHAnsi"/>
          <w:sz w:val="18"/>
          <w:szCs w:val="18"/>
          <w:lang w:val="en-GB"/>
        </w:rPr>
        <w:t>RB</w:t>
      </w:r>
      <w:r w:rsidRPr="00683688">
        <w:rPr>
          <w:rFonts w:asciiTheme="minorHAnsi" w:hAnsiTheme="minorHAnsi" w:cstheme="minorHAnsi"/>
          <w:sz w:val="18"/>
          <w:szCs w:val="18"/>
          <w:lang w:val="en-GB"/>
        </w:rPr>
        <w:t xml:space="preserve"> 17/211</w:t>
      </w:r>
      <w:r w:rsidRPr="00E946A3">
        <w:rPr>
          <w:rFonts w:asciiTheme="minorHAnsi" w:hAnsiTheme="minorHAnsi" w:cstheme="minorHAnsi"/>
          <w:color w:val="FF0000"/>
          <w:sz w:val="18"/>
          <w:szCs w:val="18"/>
          <w:lang w:val="en-GB"/>
        </w:rPr>
        <w:t xml:space="preserve">. </w:t>
      </w:r>
      <w:r w:rsidRPr="00683688">
        <w:rPr>
          <w:rFonts w:asciiTheme="minorHAnsi" w:hAnsiTheme="minorHAnsi" w:cstheme="minorHAnsi"/>
          <w:sz w:val="18"/>
          <w:szCs w:val="18"/>
          <w:lang w:val="en-GB"/>
        </w:rPr>
        <w:t xml:space="preserve">Here is a </w:t>
      </w:r>
      <w:r>
        <w:rPr>
          <w:rFonts w:asciiTheme="minorHAnsi" w:hAnsiTheme="minorHAnsi" w:cstheme="minorHAnsi"/>
          <w:sz w:val="18"/>
          <w:szCs w:val="18"/>
          <w:lang w:val="en-GB"/>
        </w:rPr>
        <w:t xml:space="preserve">typical example for 2017: </w:t>
      </w:r>
      <w:r w:rsidRPr="00683688">
        <w:rPr>
          <w:rFonts w:asciiTheme="minorHAnsi" w:hAnsiTheme="minorHAnsi" w:cstheme="minorHAnsi"/>
          <w:sz w:val="18"/>
          <w:szCs w:val="18"/>
          <w:lang w:val="en-GB"/>
        </w:rPr>
        <w:t xml:space="preserve">Şanlıurfa-Diyarbakır (TRC2) is ranked as third highest non-agricultural unemployment rate with 19,5 percent while it is ranked as fifth highest general unemployment rate with 13.8 per cent.  </w:t>
      </w:r>
    </w:p>
  </w:footnote>
  <w:footnote w:id="6">
    <w:p w14:paraId="6ADCB1D9" w14:textId="77777777" w:rsidR="00143504" w:rsidRPr="00E946A3" w:rsidRDefault="00143504" w:rsidP="009D6767">
      <w:pPr>
        <w:pStyle w:val="FootnoteText"/>
        <w:jc w:val="both"/>
        <w:rPr>
          <w:color w:val="FF0000"/>
          <w:lang w:val="en-GB"/>
        </w:rPr>
      </w:pPr>
    </w:p>
    <w:p w14:paraId="2F9FC346" w14:textId="2DD9CCB0" w:rsidR="00143504" w:rsidRPr="00E946A3" w:rsidRDefault="00143504" w:rsidP="009D6767">
      <w:pPr>
        <w:pStyle w:val="FootnoteText"/>
        <w:jc w:val="both"/>
        <w:rPr>
          <w:rFonts w:asciiTheme="minorHAnsi" w:hAnsiTheme="minorHAnsi" w:cstheme="minorHAnsi"/>
          <w:color w:val="FF0000"/>
          <w:sz w:val="18"/>
          <w:szCs w:val="18"/>
          <w:lang w:val="en-GB"/>
        </w:rPr>
      </w:pPr>
      <w:r w:rsidRPr="00E946A3">
        <w:rPr>
          <w:rStyle w:val="FootnoteReference"/>
          <w:color w:val="FF0000"/>
          <w:lang w:val="en-GB"/>
        </w:rPr>
        <w:footnoteRef/>
      </w:r>
      <w:r>
        <w:rPr>
          <w:rStyle w:val="FootnoteReference"/>
          <w:color w:val="FF0000"/>
          <w:lang w:val="en-GB"/>
        </w:rPr>
        <w:t xml:space="preserve"> </w:t>
      </w:r>
      <w:r w:rsidRPr="003179B8">
        <w:rPr>
          <w:rStyle w:val="FootnoteReference"/>
          <w:vertAlign w:val="baseline"/>
          <w:lang w:val="en-GB"/>
        </w:rPr>
        <w:t xml:space="preserve">The </w:t>
      </w:r>
      <w:r>
        <w:rPr>
          <w:lang w:val="en-GB"/>
        </w:rPr>
        <w:t>Fact that the unemployment rate stagnated at 13 percent from 2016 to 2017 conceals the large variations that occurred during two years. The seasonally adjusted serial of unemployment rate shows that this rate increased strongly from 11.8 to 14.2 per cent between April 2016 and December 2016 as the consequence of low growth-low employment regime; the yearly average of unemployment rate has been estimated at 13 per cent. Then high growth-high employment regime took start and unemployment rate decreased to 12.3 percent in December 2017. By coincidence the yearly average has been estimated at 13 per cent again.</w:t>
      </w:r>
      <w:r w:rsidRPr="00E946A3">
        <w:rPr>
          <w:rFonts w:asciiTheme="minorHAnsi" w:hAnsiTheme="minorHAnsi" w:cstheme="minorHAnsi"/>
          <w:color w:val="FF0000"/>
          <w:sz w:val="18"/>
          <w:szCs w:val="18"/>
          <w:lang w:val="en-GB"/>
        </w:rPr>
        <w:t xml:space="preserve"> </w:t>
      </w:r>
    </w:p>
    <w:p w14:paraId="1F132E92" w14:textId="77777777" w:rsidR="00143504" w:rsidRPr="00E946A3" w:rsidRDefault="00143504" w:rsidP="009D6767">
      <w:pPr>
        <w:pStyle w:val="FootnoteText"/>
        <w:jc w:val="both"/>
        <w:rPr>
          <w:color w:val="FF0000"/>
          <w:lang w:val="en-GB"/>
        </w:rPr>
      </w:pPr>
    </w:p>
  </w:footnote>
  <w:footnote w:id="7">
    <w:p w14:paraId="46E97FB0" w14:textId="05A62FAF" w:rsidR="00143504" w:rsidRPr="00E946A3" w:rsidRDefault="00143504" w:rsidP="00846FFE">
      <w:pPr>
        <w:pStyle w:val="FootnoteText"/>
        <w:jc w:val="both"/>
        <w:rPr>
          <w:rFonts w:asciiTheme="minorHAnsi" w:hAnsiTheme="minorHAnsi" w:cstheme="minorHAnsi"/>
          <w:sz w:val="18"/>
          <w:szCs w:val="18"/>
          <w:lang w:val="en-GB"/>
        </w:rPr>
      </w:pPr>
      <w:r w:rsidRPr="00E946A3">
        <w:rPr>
          <w:rStyle w:val="FootnoteReference"/>
          <w:lang w:val="en-GB"/>
        </w:rPr>
        <w:footnoteRef/>
      </w:r>
      <w:r>
        <w:rPr>
          <w:lang w:val="en-GB"/>
        </w:rPr>
        <w:t xml:space="preserve"> According to general unemployment rates Turkes has been ranked third with 3.6 average deviation, Italy second with 4.4 and Spain first with 5.1.</w:t>
      </w:r>
    </w:p>
  </w:footnote>
  <w:footnote w:id="8">
    <w:p w14:paraId="5E0D3D71" w14:textId="77777777" w:rsidR="00143504" w:rsidRPr="00E946A3" w:rsidRDefault="00143504" w:rsidP="00AE622B">
      <w:pPr>
        <w:pStyle w:val="FootnoteText"/>
        <w:rPr>
          <w:rFonts w:asciiTheme="minorHAnsi" w:hAnsiTheme="minorHAnsi"/>
          <w:sz w:val="18"/>
          <w:lang w:val="en-GB"/>
        </w:rPr>
      </w:pPr>
      <w:r w:rsidRPr="00E946A3">
        <w:rPr>
          <w:rStyle w:val="FootnoteReference"/>
          <w:lang w:val="en-GB"/>
        </w:rPr>
        <w:footnoteRef/>
      </w:r>
      <w:r w:rsidRPr="00E946A3">
        <w:rPr>
          <w:lang w:val="en-GB"/>
        </w:rPr>
        <w:t xml:space="preserve"> </w:t>
      </w:r>
      <w:r w:rsidRPr="00ED3950">
        <w:rPr>
          <w:rFonts w:asciiTheme="minorHAnsi" w:hAnsiTheme="minorHAnsi"/>
          <w:sz w:val="18"/>
          <w:lang w:val="en-GB"/>
        </w:rPr>
        <w:t>In Gaziantep (TRC1) region, the non-agricultural unemployment rate was 9.4 percent in 2014, 11.4 percent in 2015, 15.8 percent in 2016 and 16.5 percent in 2017.</w:t>
      </w:r>
    </w:p>
    <w:p w14:paraId="3CFAF470" w14:textId="77777777" w:rsidR="00143504" w:rsidRPr="00E946A3" w:rsidRDefault="00143504" w:rsidP="00AE622B">
      <w:pPr>
        <w:pStyle w:val="FootnoteText"/>
        <w:rPr>
          <w:lang w:val="en-GB"/>
        </w:rPr>
      </w:pPr>
    </w:p>
  </w:footnote>
  <w:footnote w:id="9">
    <w:p w14:paraId="0280451B" w14:textId="77777777" w:rsidR="00143504" w:rsidRPr="00ED3950" w:rsidRDefault="00143504" w:rsidP="00AE622B">
      <w:pPr>
        <w:pStyle w:val="FootnoteText"/>
        <w:rPr>
          <w:color w:val="FF0000"/>
          <w:sz w:val="18"/>
          <w:szCs w:val="18"/>
          <w:lang w:val="en-GB"/>
        </w:rPr>
      </w:pPr>
      <w:r w:rsidRPr="00E946A3">
        <w:rPr>
          <w:rStyle w:val="FootnoteReference"/>
          <w:lang w:val="en-GB"/>
        </w:rPr>
        <w:footnoteRef/>
      </w:r>
      <w:r w:rsidRPr="00E946A3">
        <w:rPr>
          <w:lang w:val="en-GB"/>
        </w:rPr>
        <w:t xml:space="preserve"> </w:t>
      </w:r>
      <w:r>
        <w:rPr>
          <w:lang w:val="en-GB"/>
        </w:rPr>
        <w:t xml:space="preserve">It is worthy to note that Hatay region is has the highest second Syrian ratio (16.2 per cent) after Gaziantep region. This exceptional case reveals that unemployment may decrease despite a high Syrian population.           </w:t>
      </w:r>
    </w:p>
    <w:p w14:paraId="0DE7DD2D" w14:textId="77777777" w:rsidR="00143504" w:rsidRPr="00E946A3" w:rsidRDefault="00143504" w:rsidP="00AE622B">
      <w:pPr>
        <w:pStyle w:val="FootnoteText"/>
        <w:rPr>
          <w:lang w:val="en-GB"/>
        </w:rPr>
      </w:pPr>
      <w:r w:rsidRPr="00E946A3">
        <w:rPr>
          <w:lang w:val="en-GB"/>
        </w:rPr>
        <w:t xml:space="preserve">  </w:t>
      </w:r>
    </w:p>
  </w:footnote>
  <w:footnote w:id="10">
    <w:p w14:paraId="60A39BDA" w14:textId="6FACC6CF" w:rsidR="00143504" w:rsidRDefault="00143504">
      <w:pPr>
        <w:pStyle w:val="FootnoteText"/>
        <w:rPr>
          <w:rFonts w:asciiTheme="minorHAnsi" w:hAnsiTheme="minorHAnsi"/>
          <w:color w:val="FF0000"/>
          <w:sz w:val="18"/>
          <w:lang w:val="en-GB"/>
        </w:rPr>
      </w:pPr>
      <w:r w:rsidRPr="00E946A3">
        <w:rPr>
          <w:rStyle w:val="FootnoteReference"/>
          <w:lang w:val="en-GB"/>
        </w:rPr>
        <w:footnoteRef/>
      </w:r>
      <w:r w:rsidRPr="00E946A3">
        <w:rPr>
          <w:lang w:val="en-GB"/>
        </w:rPr>
        <w:t xml:space="preserve"> </w:t>
      </w:r>
      <w:r>
        <w:rPr>
          <w:lang w:val="en-GB"/>
        </w:rPr>
        <w:t>For a comprehensive analysis on high female unemployment in İzmir see the Betam’s report “</w:t>
      </w:r>
      <w:r w:rsidRPr="00FC2101">
        <w:rPr>
          <w:rFonts w:asciiTheme="minorHAnsi" w:hAnsiTheme="minorHAnsi"/>
          <w:sz w:val="18"/>
          <w:lang w:val="en-GB"/>
        </w:rPr>
        <w:t>İzmir Büyükşehir Belediyesi’nin İzmir ekonomisine ve</w:t>
      </w:r>
      <w:r>
        <w:rPr>
          <w:rFonts w:asciiTheme="minorHAnsi" w:hAnsiTheme="minorHAnsi"/>
          <w:sz w:val="18"/>
          <w:lang w:val="en-GB"/>
        </w:rPr>
        <w:t xml:space="preserve"> istihdamına katkısı: 2004-2016”</w:t>
      </w:r>
      <w:r w:rsidRPr="00FC2101">
        <w:rPr>
          <w:rFonts w:asciiTheme="minorHAnsi" w:hAnsiTheme="minorHAnsi"/>
          <w:sz w:val="18"/>
          <w:lang w:val="en-GB"/>
        </w:rPr>
        <w:t xml:space="preserve">, </w:t>
      </w:r>
      <w:r>
        <w:rPr>
          <w:rFonts w:asciiTheme="minorHAnsi" w:hAnsiTheme="minorHAnsi"/>
          <w:sz w:val="18"/>
          <w:lang w:val="en-GB"/>
        </w:rPr>
        <w:t xml:space="preserve">November </w:t>
      </w:r>
      <w:r w:rsidRPr="00FC2101">
        <w:rPr>
          <w:rFonts w:asciiTheme="minorHAnsi" w:hAnsiTheme="minorHAnsi"/>
          <w:sz w:val="18"/>
          <w:lang w:val="en-GB"/>
        </w:rPr>
        <w:t>2017”</w:t>
      </w:r>
      <w:r>
        <w:rPr>
          <w:rFonts w:asciiTheme="minorHAnsi" w:hAnsiTheme="minorHAnsi"/>
          <w:sz w:val="18"/>
          <w:lang w:val="en-GB"/>
        </w:rPr>
        <w:t>.</w:t>
      </w:r>
    </w:p>
    <w:p w14:paraId="5812814B" w14:textId="7F9ED59B" w:rsidR="00143504" w:rsidRPr="00B04FE5" w:rsidRDefault="00143504">
      <w:pPr>
        <w:pStyle w:val="FootnoteText"/>
        <w:rPr>
          <w:rFonts w:asciiTheme="minorHAnsi" w:hAnsiTheme="minorHAnsi"/>
          <w:color w:val="FF0000"/>
          <w:lang w:val="en-GB"/>
        </w:rPr>
      </w:pPr>
      <w:r w:rsidRPr="00B04FE5">
        <w:rPr>
          <w:rFonts w:asciiTheme="minorHAnsi" w:hAnsiTheme="minorHAnsi"/>
          <w:color w:val="FF0000"/>
          <w:sz w:val="18"/>
          <w:lang w:val="en-GB"/>
        </w:rPr>
        <w:t xml:space="preserve"> </w:t>
      </w:r>
    </w:p>
  </w:footnote>
  <w:footnote w:id="11">
    <w:p w14:paraId="0D724FBF" w14:textId="47E2B5AC" w:rsidR="00143504" w:rsidRPr="008731FB" w:rsidRDefault="00143504" w:rsidP="0020546E">
      <w:pPr>
        <w:pStyle w:val="FootnoteText"/>
        <w:jc w:val="both"/>
        <w:rPr>
          <w:sz w:val="18"/>
          <w:szCs w:val="18"/>
          <w:lang w:val="en-GB"/>
        </w:rPr>
      </w:pPr>
      <w:r w:rsidRPr="00AA3D27">
        <w:rPr>
          <w:rStyle w:val="FootnoteReference"/>
          <w:sz w:val="18"/>
          <w:szCs w:val="18"/>
          <w:lang w:val="en-GB"/>
        </w:rPr>
        <w:footnoteRef/>
      </w:r>
      <w:r>
        <w:rPr>
          <w:rFonts w:asciiTheme="minorHAnsi" w:hAnsiTheme="minorHAnsi"/>
          <w:color w:val="FF0000"/>
          <w:sz w:val="18"/>
          <w:szCs w:val="18"/>
          <w:lang w:val="en-GB"/>
        </w:rPr>
        <w:t xml:space="preserve"> </w:t>
      </w:r>
      <w:r w:rsidRPr="00AA3D27">
        <w:rPr>
          <w:rFonts w:asciiTheme="minorHAnsi" w:hAnsiTheme="minorHAnsi"/>
          <w:sz w:val="18"/>
          <w:szCs w:val="18"/>
          <w:lang w:val="en-GB"/>
        </w:rPr>
        <w:t>Low non-agricultural employment rates</w:t>
      </w:r>
      <w:r>
        <w:rPr>
          <w:rFonts w:asciiTheme="minorHAnsi" w:hAnsiTheme="minorHAnsi"/>
          <w:sz w:val="18"/>
          <w:szCs w:val="18"/>
          <w:lang w:val="en-GB"/>
        </w:rPr>
        <w:t xml:space="preserve"> are caused by low female participation rates in non-agricultural sector. Noting that for Turkey the female participation rate in non-agricultural sector is 22.5 percent In 2017, the same rate in 6 regions of this area is as follows: </w:t>
      </w:r>
      <w:r w:rsidRPr="008731FB">
        <w:rPr>
          <w:rFonts w:asciiTheme="minorHAnsi" w:hAnsiTheme="minorHAnsi"/>
          <w:sz w:val="18"/>
          <w:szCs w:val="18"/>
          <w:lang w:val="en-GB"/>
        </w:rPr>
        <w:t xml:space="preserve">Erzurum (TRA1) 14,6; Konya (TR52) 17,1; Manisa (TR33) 19,4; Balıkesir (TR22) 20,3; </w:t>
      </w:r>
      <w:r>
        <w:rPr>
          <w:rFonts w:asciiTheme="minorHAnsi" w:hAnsiTheme="minorHAnsi"/>
          <w:sz w:val="18"/>
          <w:szCs w:val="18"/>
          <w:lang w:val="en-GB"/>
        </w:rPr>
        <w:t>East Black Sea</w:t>
      </w:r>
      <w:r w:rsidRPr="008731FB">
        <w:rPr>
          <w:rFonts w:asciiTheme="minorHAnsi" w:hAnsiTheme="minorHAnsi"/>
          <w:sz w:val="18"/>
          <w:szCs w:val="18"/>
          <w:lang w:val="en-GB"/>
        </w:rPr>
        <w:t xml:space="preserve"> (TR90)  20,7 </w:t>
      </w:r>
      <w:r>
        <w:rPr>
          <w:rFonts w:asciiTheme="minorHAnsi" w:hAnsiTheme="minorHAnsi"/>
          <w:sz w:val="18"/>
          <w:szCs w:val="18"/>
          <w:lang w:val="en-GB"/>
        </w:rPr>
        <w:t>and</w:t>
      </w:r>
      <w:r w:rsidRPr="008731FB">
        <w:rPr>
          <w:rFonts w:asciiTheme="minorHAnsi" w:hAnsiTheme="minorHAnsi"/>
          <w:sz w:val="18"/>
          <w:szCs w:val="18"/>
          <w:lang w:val="en-GB"/>
        </w:rPr>
        <w:t xml:space="preserve"> Kastamonu (TR82) 21,0 (</w:t>
      </w:r>
      <w:r>
        <w:rPr>
          <w:rFonts w:asciiTheme="minorHAnsi" w:hAnsiTheme="minorHAnsi"/>
          <w:sz w:val="18"/>
          <w:szCs w:val="18"/>
          <w:lang w:val="en-GB"/>
        </w:rPr>
        <w:t>Annexe Table</w:t>
      </w:r>
      <w:r w:rsidRPr="008731FB">
        <w:rPr>
          <w:rFonts w:asciiTheme="minorHAnsi" w:hAnsiTheme="minorHAnsi"/>
          <w:sz w:val="18"/>
          <w:szCs w:val="18"/>
          <w:lang w:val="en-GB"/>
        </w:rPr>
        <w:t xml:space="preserve"> 2).</w:t>
      </w:r>
    </w:p>
  </w:footnote>
  <w:footnote w:id="12">
    <w:p w14:paraId="2989D398" w14:textId="76E9BB2C" w:rsidR="00143504" w:rsidRPr="00E946A3" w:rsidRDefault="00143504">
      <w:pPr>
        <w:pStyle w:val="FootnoteText"/>
        <w:rPr>
          <w:sz w:val="18"/>
          <w:szCs w:val="18"/>
          <w:lang w:val="en-GB"/>
        </w:rPr>
      </w:pPr>
      <w:r w:rsidRPr="00E946A3">
        <w:rPr>
          <w:rStyle w:val="FootnoteReference"/>
          <w:lang w:val="en-GB"/>
        </w:rPr>
        <w:footnoteRef/>
      </w:r>
      <w:r w:rsidRPr="00E946A3">
        <w:rPr>
          <w:lang w:val="en-GB"/>
        </w:rPr>
        <w:t xml:space="preserve"> </w:t>
      </w:r>
      <w:r w:rsidRPr="00B04FE5">
        <w:rPr>
          <w:rFonts w:asciiTheme="minorHAnsi" w:hAnsiTheme="minorHAnsi"/>
          <w:sz w:val="18"/>
          <w:szCs w:val="18"/>
          <w:lang w:val="en-GB"/>
        </w:rPr>
        <w:t xml:space="preserve">Non-agricultural employment rates are 30.4 percent in </w:t>
      </w:r>
      <w:r w:rsidRPr="00E946A3">
        <w:rPr>
          <w:rFonts w:asciiTheme="minorHAnsi" w:hAnsiTheme="minorHAnsi"/>
          <w:sz w:val="18"/>
          <w:szCs w:val="18"/>
          <w:lang w:val="en-GB"/>
        </w:rPr>
        <w:t>İstanbul (TR10), 29.3 percent in T</w:t>
      </w:r>
      <w:r>
        <w:rPr>
          <w:rFonts w:asciiTheme="minorHAnsi" w:hAnsiTheme="minorHAnsi"/>
          <w:sz w:val="18"/>
          <w:szCs w:val="18"/>
          <w:lang w:val="en-GB"/>
        </w:rPr>
        <w:t>hrace</w:t>
      </w:r>
      <w:r w:rsidRPr="00E946A3">
        <w:rPr>
          <w:rFonts w:asciiTheme="minorHAnsi" w:hAnsiTheme="minorHAnsi"/>
          <w:sz w:val="18"/>
          <w:szCs w:val="18"/>
          <w:lang w:val="en-GB"/>
        </w:rPr>
        <w:t xml:space="preserve"> (TR21), 27.6 percent in Ankara (TR51),24.3 percent in Bursa (TR41), 24.6 percent in Kocaeli (TR 42), respectively (Annex Table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D4"/>
    <w:rsid w:val="00000C67"/>
    <w:rsid w:val="00000E76"/>
    <w:rsid w:val="00002804"/>
    <w:rsid w:val="000030D9"/>
    <w:rsid w:val="000075E7"/>
    <w:rsid w:val="000078F5"/>
    <w:rsid w:val="00007C44"/>
    <w:rsid w:val="000105C5"/>
    <w:rsid w:val="000107AC"/>
    <w:rsid w:val="00013563"/>
    <w:rsid w:val="00015D84"/>
    <w:rsid w:val="00016079"/>
    <w:rsid w:val="00017A66"/>
    <w:rsid w:val="00020248"/>
    <w:rsid w:val="00021313"/>
    <w:rsid w:val="00026090"/>
    <w:rsid w:val="000279DF"/>
    <w:rsid w:val="00027F6C"/>
    <w:rsid w:val="00030820"/>
    <w:rsid w:val="000333E2"/>
    <w:rsid w:val="000335F8"/>
    <w:rsid w:val="00033938"/>
    <w:rsid w:val="00033B7C"/>
    <w:rsid w:val="00033D91"/>
    <w:rsid w:val="000358A2"/>
    <w:rsid w:val="000358E7"/>
    <w:rsid w:val="00036A9C"/>
    <w:rsid w:val="00037EE8"/>
    <w:rsid w:val="00040E8E"/>
    <w:rsid w:val="00045E7A"/>
    <w:rsid w:val="0004695D"/>
    <w:rsid w:val="0004755F"/>
    <w:rsid w:val="0005091E"/>
    <w:rsid w:val="000509F3"/>
    <w:rsid w:val="00050FAA"/>
    <w:rsid w:val="00052BF1"/>
    <w:rsid w:val="00055096"/>
    <w:rsid w:val="000556D0"/>
    <w:rsid w:val="000564C8"/>
    <w:rsid w:val="000576CA"/>
    <w:rsid w:val="000579C3"/>
    <w:rsid w:val="00057D65"/>
    <w:rsid w:val="00060961"/>
    <w:rsid w:val="0006116F"/>
    <w:rsid w:val="000612B0"/>
    <w:rsid w:val="000612FA"/>
    <w:rsid w:val="00061961"/>
    <w:rsid w:val="000643B9"/>
    <w:rsid w:val="00064AB5"/>
    <w:rsid w:val="00065FFB"/>
    <w:rsid w:val="00067759"/>
    <w:rsid w:val="00071541"/>
    <w:rsid w:val="000715D4"/>
    <w:rsid w:val="00072205"/>
    <w:rsid w:val="0007252A"/>
    <w:rsid w:val="00072FE5"/>
    <w:rsid w:val="00074C7B"/>
    <w:rsid w:val="0008042D"/>
    <w:rsid w:val="00082D8F"/>
    <w:rsid w:val="00084432"/>
    <w:rsid w:val="00084A44"/>
    <w:rsid w:val="00086B90"/>
    <w:rsid w:val="000871DC"/>
    <w:rsid w:val="000901AE"/>
    <w:rsid w:val="0009318C"/>
    <w:rsid w:val="000935EE"/>
    <w:rsid w:val="00094361"/>
    <w:rsid w:val="00094590"/>
    <w:rsid w:val="000947E3"/>
    <w:rsid w:val="00097491"/>
    <w:rsid w:val="00097E4C"/>
    <w:rsid w:val="000A7353"/>
    <w:rsid w:val="000B2C54"/>
    <w:rsid w:val="000B5285"/>
    <w:rsid w:val="000B52B5"/>
    <w:rsid w:val="000B6374"/>
    <w:rsid w:val="000B6C25"/>
    <w:rsid w:val="000C050E"/>
    <w:rsid w:val="000C3F90"/>
    <w:rsid w:val="000C6C0F"/>
    <w:rsid w:val="000C7C12"/>
    <w:rsid w:val="000D09D4"/>
    <w:rsid w:val="000D283E"/>
    <w:rsid w:val="000D44CB"/>
    <w:rsid w:val="000D477C"/>
    <w:rsid w:val="000D524B"/>
    <w:rsid w:val="000D52FE"/>
    <w:rsid w:val="000D60A4"/>
    <w:rsid w:val="000E036D"/>
    <w:rsid w:val="000E093E"/>
    <w:rsid w:val="000E23A9"/>
    <w:rsid w:val="000E25AE"/>
    <w:rsid w:val="000E2B57"/>
    <w:rsid w:val="000E3E24"/>
    <w:rsid w:val="000E3E2D"/>
    <w:rsid w:val="000E5830"/>
    <w:rsid w:val="000E62A9"/>
    <w:rsid w:val="000E6369"/>
    <w:rsid w:val="000E7A4A"/>
    <w:rsid w:val="000E7C86"/>
    <w:rsid w:val="000F0B07"/>
    <w:rsid w:val="000F1E19"/>
    <w:rsid w:val="000F262B"/>
    <w:rsid w:val="000F3ED1"/>
    <w:rsid w:val="000F43C4"/>
    <w:rsid w:val="000F4FF7"/>
    <w:rsid w:val="000F7113"/>
    <w:rsid w:val="00100F08"/>
    <w:rsid w:val="00101496"/>
    <w:rsid w:val="001045BE"/>
    <w:rsid w:val="00104AF9"/>
    <w:rsid w:val="00105E09"/>
    <w:rsid w:val="001100CD"/>
    <w:rsid w:val="0011188B"/>
    <w:rsid w:val="00113B28"/>
    <w:rsid w:val="00113F1E"/>
    <w:rsid w:val="00115167"/>
    <w:rsid w:val="00116996"/>
    <w:rsid w:val="00117EC6"/>
    <w:rsid w:val="00120874"/>
    <w:rsid w:val="00121099"/>
    <w:rsid w:val="00122B95"/>
    <w:rsid w:val="001230FF"/>
    <w:rsid w:val="001235C5"/>
    <w:rsid w:val="00124419"/>
    <w:rsid w:val="00124509"/>
    <w:rsid w:val="00127946"/>
    <w:rsid w:val="00132255"/>
    <w:rsid w:val="00132665"/>
    <w:rsid w:val="0013457F"/>
    <w:rsid w:val="001346D2"/>
    <w:rsid w:val="001364EA"/>
    <w:rsid w:val="00136844"/>
    <w:rsid w:val="001374B4"/>
    <w:rsid w:val="00140930"/>
    <w:rsid w:val="00141698"/>
    <w:rsid w:val="00142238"/>
    <w:rsid w:val="00143504"/>
    <w:rsid w:val="00146097"/>
    <w:rsid w:val="00146B33"/>
    <w:rsid w:val="00147043"/>
    <w:rsid w:val="001512F9"/>
    <w:rsid w:val="00152A84"/>
    <w:rsid w:val="00153765"/>
    <w:rsid w:val="001552F4"/>
    <w:rsid w:val="00156235"/>
    <w:rsid w:val="001564FC"/>
    <w:rsid w:val="00157376"/>
    <w:rsid w:val="00160D36"/>
    <w:rsid w:val="001615F6"/>
    <w:rsid w:val="00161AB6"/>
    <w:rsid w:val="00161D42"/>
    <w:rsid w:val="0016353F"/>
    <w:rsid w:val="0016374B"/>
    <w:rsid w:val="00164C1E"/>
    <w:rsid w:val="001654E9"/>
    <w:rsid w:val="0016636F"/>
    <w:rsid w:val="0017166A"/>
    <w:rsid w:val="001723E0"/>
    <w:rsid w:val="00172926"/>
    <w:rsid w:val="00173AA6"/>
    <w:rsid w:val="0018032F"/>
    <w:rsid w:val="001806F1"/>
    <w:rsid w:val="001821CB"/>
    <w:rsid w:val="00184CB9"/>
    <w:rsid w:val="0018665D"/>
    <w:rsid w:val="001872A1"/>
    <w:rsid w:val="001900F3"/>
    <w:rsid w:val="00190B10"/>
    <w:rsid w:val="00190BEB"/>
    <w:rsid w:val="00192DC4"/>
    <w:rsid w:val="0019328B"/>
    <w:rsid w:val="00193BE3"/>
    <w:rsid w:val="00195AAD"/>
    <w:rsid w:val="00196C36"/>
    <w:rsid w:val="00197A7B"/>
    <w:rsid w:val="001A069A"/>
    <w:rsid w:val="001A2B62"/>
    <w:rsid w:val="001A416A"/>
    <w:rsid w:val="001A4876"/>
    <w:rsid w:val="001A4B47"/>
    <w:rsid w:val="001A5BC0"/>
    <w:rsid w:val="001A5E6F"/>
    <w:rsid w:val="001A6101"/>
    <w:rsid w:val="001A79E3"/>
    <w:rsid w:val="001B0489"/>
    <w:rsid w:val="001B0A55"/>
    <w:rsid w:val="001B16C4"/>
    <w:rsid w:val="001B30F8"/>
    <w:rsid w:val="001B3DFE"/>
    <w:rsid w:val="001B4061"/>
    <w:rsid w:val="001B5AF6"/>
    <w:rsid w:val="001B62AD"/>
    <w:rsid w:val="001C16F7"/>
    <w:rsid w:val="001C1D1B"/>
    <w:rsid w:val="001C280D"/>
    <w:rsid w:val="001C2961"/>
    <w:rsid w:val="001C3BC3"/>
    <w:rsid w:val="001C5B91"/>
    <w:rsid w:val="001C6120"/>
    <w:rsid w:val="001C61EC"/>
    <w:rsid w:val="001D2D70"/>
    <w:rsid w:val="001D6328"/>
    <w:rsid w:val="001E0829"/>
    <w:rsid w:val="001E0A12"/>
    <w:rsid w:val="001E0CC2"/>
    <w:rsid w:val="001E254A"/>
    <w:rsid w:val="001E2732"/>
    <w:rsid w:val="001E334B"/>
    <w:rsid w:val="001E3CF1"/>
    <w:rsid w:val="001E60E5"/>
    <w:rsid w:val="001E79B9"/>
    <w:rsid w:val="001F0018"/>
    <w:rsid w:val="001F2343"/>
    <w:rsid w:val="001F2B5A"/>
    <w:rsid w:val="001F32F5"/>
    <w:rsid w:val="001F3CB9"/>
    <w:rsid w:val="001F4EC0"/>
    <w:rsid w:val="001F561B"/>
    <w:rsid w:val="001F5699"/>
    <w:rsid w:val="001F688B"/>
    <w:rsid w:val="002005E4"/>
    <w:rsid w:val="00201782"/>
    <w:rsid w:val="00203D9D"/>
    <w:rsid w:val="002041AF"/>
    <w:rsid w:val="00204551"/>
    <w:rsid w:val="00204594"/>
    <w:rsid w:val="00204734"/>
    <w:rsid w:val="00204BD0"/>
    <w:rsid w:val="0020546E"/>
    <w:rsid w:val="00205DE6"/>
    <w:rsid w:val="00206921"/>
    <w:rsid w:val="00207667"/>
    <w:rsid w:val="00207D67"/>
    <w:rsid w:val="002118AE"/>
    <w:rsid w:val="00216A83"/>
    <w:rsid w:val="00220512"/>
    <w:rsid w:val="00220C29"/>
    <w:rsid w:val="00220C4C"/>
    <w:rsid w:val="0022297C"/>
    <w:rsid w:val="00227A44"/>
    <w:rsid w:val="00230F52"/>
    <w:rsid w:val="0023159D"/>
    <w:rsid w:val="00231704"/>
    <w:rsid w:val="00232843"/>
    <w:rsid w:val="002329BB"/>
    <w:rsid w:val="002339FE"/>
    <w:rsid w:val="002347F5"/>
    <w:rsid w:val="00236613"/>
    <w:rsid w:val="002402C2"/>
    <w:rsid w:val="00241636"/>
    <w:rsid w:val="00243447"/>
    <w:rsid w:val="00246C8D"/>
    <w:rsid w:val="00250093"/>
    <w:rsid w:val="00250E65"/>
    <w:rsid w:val="00252180"/>
    <w:rsid w:val="002524F5"/>
    <w:rsid w:val="00253144"/>
    <w:rsid w:val="002531A6"/>
    <w:rsid w:val="00256E87"/>
    <w:rsid w:val="0025739A"/>
    <w:rsid w:val="00257F75"/>
    <w:rsid w:val="0026052D"/>
    <w:rsid w:val="00260704"/>
    <w:rsid w:val="002616C3"/>
    <w:rsid w:val="00261CE2"/>
    <w:rsid w:val="00261E33"/>
    <w:rsid w:val="00263845"/>
    <w:rsid w:val="00263B2B"/>
    <w:rsid w:val="002640C6"/>
    <w:rsid w:val="0026568E"/>
    <w:rsid w:val="002676DA"/>
    <w:rsid w:val="002704B4"/>
    <w:rsid w:val="002705A3"/>
    <w:rsid w:val="002707C3"/>
    <w:rsid w:val="00270C0B"/>
    <w:rsid w:val="0027177C"/>
    <w:rsid w:val="00271D97"/>
    <w:rsid w:val="002724A0"/>
    <w:rsid w:val="00273653"/>
    <w:rsid w:val="00275994"/>
    <w:rsid w:val="002759F3"/>
    <w:rsid w:val="0027615A"/>
    <w:rsid w:val="002762EE"/>
    <w:rsid w:val="00276C1C"/>
    <w:rsid w:val="002778EB"/>
    <w:rsid w:val="00280444"/>
    <w:rsid w:val="0028060F"/>
    <w:rsid w:val="00280D89"/>
    <w:rsid w:val="00283F18"/>
    <w:rsid w:val="00285203"/>
    <w:rsid w:val="00290D79"/>
    <w:rsid w:val="00291F3F"/>
    <w:rsid w:val="00292139"/>
    <w:rsid w:val="00293A54"/>
    <w:rsid w:val="00293B15"/>
    <w:rsid w:val="002940F3"/>
    <w:rsid w:val="002943FC"/>
    <w:rsid w:val="00295151"/>
    <w:rsid w:val="00297843"/>
    <w:rsid w:val="00297E1C"/>
    <w:rsid w:val="002A1159"/>
    <w:rsid w:val="002A2449"/>
    <w:rsid w:val="002A2E12"/>
    <w:rsid w:val="002A4570"/>
    <w:rsid w:val="002A5C0B"/>
    <w:rsid w:val="002A7B16"/>
    <w:rsid w:val="002A7C6D"/>
    <w:rsid w:val="002B278B"/>
    <w:rsid w:val="002B3684"/>
    <w:rsid w:val="002B3CA9"/>
    <w:rsid w:val="002B5A04"/>
    <w:rsid w:val="002B5DBD"/>
    <w:rsid w:val="002C2012"/>
    <w:rsid w:val="002C2A0F"/>
    <w:rsid w:val="002C2DA0"/>
    <w:rsid w:val="002C5CDA"/>
    <w:rsid w:val="002C75B1"/>
    <w:rsid w:val="002C7BBD"/>
    <w:rsid w:val="002D1455"/>
    <w:rsid w:val="002D2152"/>
    <w:rsid w:val="002D2A29"/>
    <w:rsid w:val="002D2A5F"/>
    <w:rsid w:val="002D3B5D"/>
    <w:rsid w:val="002D3B84"/>
    <w:rsid w:val="002D4228"/>
    <w:rsid w:val="002D5AF7"/>
    <w:rsid w:val="002D6B4F"/>
    <w:rsid w:val="002E0F19"/>
    <w:rsid w:val="002E2CA7"/>
    <w:rsid w:val="002E3B63"/>
    <w:rsid w:val="002E40DC"/>
    <w:rsid w:val="002E4989"/>
    <w:rsid w:val="002E4A06"/>
    <w:rsid w:val="002E5AC9"/>
    <w:rsid w:val="002E5F97"/>
    <w:rsid w:val="002E7B20"/>
    <w:rsid w:val="002F06E8"/>
    <w:rsid w:val="002F0F6A"/>
    <w:rsid w:val="002F16F2"/>
    <w:rsid w:val="002F33C8"/>
    <w:rsid w:val="003025C4"/>
    <w:rsid w:val="003041B1"/>
    <w:rsid w:val="003041CB"/>
    <w:rsid w:val="003054FF"/>
    <w:rsid w:val="00307278"/>
    <w:rsid w:val="0030742C"/>
    <w:rsid w:val="00311F2A"/>
    <w:rsid w:val="00312DC0"/>
    <w:rsid w:val="00313849"/>
    <w:rsid w:val="0031393E"/>
    <w:rsid w:val="003140F1"/>
    <w:rsid w:val="00314CD1"/>
    <w:rsid w:val="003179B8"/>
    <w:rsid w:val="00321BF4"/>
    <w:rsid w:val="00323086"/>
    <w:rsid w:val="00323209"/>
    <w:rsid w:val="0032462A"/>
    <w:rsid w:val="003247F7"/>
    <w:rsid w:val="00325FD1"/>
    <w:rsid w:val="00326790"/>
    <w:rsid w:val="003267BD"/>
    <w:rsid w:val="00330C08"/>
    <w:rsid w:val="00330E0F"/>
    <w:rsid w:val="00332218"/>
    <w:rsid w:val="0033372F"/>
    <w:rsid w:val="0033410A"/>
    <w:rsid w:val="00334C5F"/>
    <w:rsid w:val="00334ED4"/>
    <w:rsid w:val="0033518E"/>
    <w:rsid w:val="00335AAF"/>
    <w:rsid w:val="003414F1"/>
    <w:rsid w:val="003416C0"/>
    <w:rsid w:val="00341957"/>
    <w:rsid w:val="00343CAD"/>
    <w:rsid w:val="00343E6A"/>
    <w:rsid w:val="00343F75"/>
    <w:rsid w:val="00344002"/>
    <w:rsid w:val="0034557E"/>
    <w:rsid w:val="00345B16"/>
    <w:rsid w:val="003461CA"/>
    <w:rsid w:val="00350063"/>
    <w:rsid w:val="00351173"/>
    <w:rsid w:val="0035187F"/>
    <w:rsid w:val="00353CA0"/>
    <w:rsid w:val="003553F7"/>
    <w:rsid w:val="00357107"/>
    <w:rsid w:val="00357679"/>
    <w:rsid w:val="0036214B"/>
    <w:rsid w:val="00363686"/>
    <w:rsid w:val="00363FED"/>
    <w:rsid w:val="0037010A"/>
    <w:rsid w:val="003720EC"/>
    <w:rsid w:val="0037236D"/>
    <w:rsid w:val="00372D39"/>
    <w:rsid w:val="00373A8B"/>
    <w:rsid w:val="00374C4B"/>
    <w:rsid w:val="003764BC"/>
    <w:rsid w:val="00376669"/>
    <w:rsid w:val="00377122"/>
    <w:rsid w:val="0038109C"/>
    <w:rsid w:val="0038280B"/>
    <w:rsid w:val="003853AD"/>
    <w:rsid w:val="00385AAD"/>
    <w:rsid w:val="003917FD"/>
    <w:rsid w:val="00392FEE"/>
    <w:rsid w:val="00394C61"/>
    <w:rsid w:val="003952AB"/>
    <w:rsid w:val="00396D58"/>
    <w:rsid w:val="003973E2"/>
    <w:rsid w:val="003A114E"/>
    <w:rsid w:val="003A34D9"/>
    <w:rsid w:val="003A4EB7"/>
    <w:rsid w:val="003A5A7C"/>
    <w:rsid w:val="003A6B5A"/>
    <w:rsid w:val="003A77A9"/>
    <w:rsid w:val="003B0FC1"/>
    <w:rsid w:val="003B54ED"/>
    <w:rsid w:val="003B59C2"/>
    <w:rsid w:val="003B5EF0"/>
    <w:rsid w:val="003B6C95"/>
    <w:rsid w:val="003C0C52"/>
    <w:rsid w:val="003C2A24"/>
    <w:rsid w:val="003C3989"/>
    <w:rsid w:val="003C5F63"/>
    <w:rsid w:val="003D086C"/>
    <w:rsid w:val="003D1625"/>
    <w:rsid w:val="003D3BED"/>
    <w:rsid w:val="003D495B"/>
    <w:rsid w:val="003D5A16"/>
    <w:rsid w:val="003D6E48"/>
    <w:rsid w:val="003D7D47"/>
    <w:rsid w:val="003E4728"/>
    <w:rsid w:val="003E4CEA"/>
    <w:rsid w:val="003E6C57"/>
    <w:rsid w:val="003E6D4C"/>
    <w:rsid w:val="003E7F64"/>
    <w:rsid w:val="003F00E4"/>
    <w:rsid w:val="003F2C3B"/>
    <w:rsid w:val="003F317F"/>
    <w:rsid w:val="003F4FD9"/>
    <w:rsid w:val="003F6A45"/>
    <w:rsid w:val="003F6C1A"/>
    <w:rsid w:val="00402C46"/>
    <w:rsid w:val="00402D81"/>
    <w:rsid w:val="00403065"/>
    <w:rsid w:val="00403676"/>
    <w:rsid w:val="00404149"/>
    <w:rsid w:val="00404F3D"/>
    <w:rsid w:val="004101AB"/>
    <w:rsid w:val="0041160B"/>
    <w:rsid w:val="00412360"/>
    <w:rsid w:val="004169FE"/>
    <w:rsid w:val="004203CC"/>
    <w:rsid w:val="004213D0"/>
    <w:rsid w:val="0042159F"/>
    <w:rsid w:val="00422665"/>
    <w:rsid w:val="0042282F"/>
    <w:rsid w:val="0042372B"/>
    <w:rsid w:val="00423BCC"/>
    <w:rsid w:val="00424864"/>
    <w:rsid w:val="004260D8"/>
    <w:rsid w:val="00431475"/>
    <w:rsid w:val="00434C46"/>
    <w:rsid w:val="00434E88"/>
    <w:rsid w:val="0043552F"/>
    <w:rsid w:val="004363C3"/>
    <w:rsid w:val="00436E09"/>
    <w:rsid w:val="0043751A"/>
    <w:rsid w:val="0044038C"/>
    <w:rsid w:val="004417A3"/>
    <w:rsid w:val="0044209B"/>
    <w:rsid w:val="00443853"/>
    <w:rsid w:val="004440F8"/>
    <w:rsid w:val="004451BD"/>
    <w:rsid w:val="00445ADB"/>
    <w:rsid w:val="00446444"/>
    <w:rsid w:val="004465C3"/>
    <w:rsid w:val="00446AF0"/>
    <w:rsid w:val="004477C8"/>
    <w:rsid w:val="00447A95"/>
    <w:rsid w:val="004507F8"/>
    <w:rsid w:val="004543BF"/>
    <w:rsid w:val="0046006F"/>
    <w:rsid w:val="0046020A"/>
    <w:rsid w:val="00460B8B"/>
    <w:rsid w:val="00461B07"/>
    <w:rsid w:val="00461BCE"/>
    <w:rsid w:val="004632E8"/>
    <w:rsid w:val="00463850"/>
    <w:rsid w:val="00464030"/>
    <w:rsid w:val="0046409E"/>
    <w:rsid w:val="00465F20"/>
    <w:rsid w:val="0046631B"/>
    <w:rsid w:val="00466BE5"/>
    <w:rsid w:val="004711C4"/>
    <w:rsid w:val="00473299"/>
    <w:rsid w:val="00473309"/>
    <w:rsid w:val="00474C32"/>
    <w:rsid w:val="00474FD2"/>
    <w:rsid w:val="004765CB"/>
    <w:rsid w:val="00476D01"/>
    <w:rsid w:val="004816FD"/>
    <w:rsid w:val="00485001"/>
    <w:rsid w:val="00485258"/>
    <w:rsid w:val="0048748D"/>
    <w:rsid w:val="00487DBE"/>
    <w:rsid w:val="004903F9"/>
    <w:rsid w:val="00491BF9"/>
    <w:rsid w:val="004922A2"/>
    <w:rsid w:val="00495849"/>
    <w:rsid w:val="0049716A"/>
    <w:rsid w:val="004A0686"/>
    <w:rsid w:val="004A0D80"/>
    <w:rsid w:val="004A10B5"/>
    <w:rsid w:val="004A1255"/>
    <w:rsid w:val="004A1712"/>
    <w:rsid w:val="004A1BC2"/>
    <w:rsid w:val="004A20AA"/>
    <w:rsid w:val="004A32F4"/>
    <w:rsid w:val="004A3D75"/>
    <w:rsid w:val="004A7030"/>
    <w:rsid w:val="004B3006"/>
    <w:rsid w:val="004B3A8B"/>
    <w:rsid w:val="004B4866"/>
    <w:rsid w:val="004B6E13"/>
    <w:rsid w:val="004C0355"/>
    <w:rsid w:val="004C1771"/>
    <w:rsid w:val="004C3625"/>
    <w:rsid w:val="004C4EE3"/>
    <w:rsid w:val="004C5195"/>
    <w:rsid w:val="004C5DFB"/>
    <w:rsid w:val="004C604E"/>
    <w:rsid w:val="004C681E"/>
    <w:rsid w:val="004D1527"/>
    <w:rsid w:val="004D38FE"/>
    <w:rsid w:val="004D409F"/>
    <w:rsid w:val="004D4409"/>
    <w:rsid w:val="004D49A8"/>
    <w:rsid w:val="004D500E"/>
    <w:rsid w:val="004D714A"/>
    <w:rsid w:val="004D7852"/>
    <w:rsid w:val="004E0E84"/>
    <w:rsid w:val="004E1C41"/>
    <w:rsid w:val="004E5179"/>
    <w:rsid w:val="004E57A0"/>
    <w:rsid w:val="004E63A4"/>
    <w:rsid w:val="004E7508"/>
    <w:rsid w:val="004F2A7A"/>
    <w:rsid w:val="004F2CB0"/>
    <w:rsid w:val="004F32A7"/>
    <w:rsid w:val="004F4C6C"/>
    <w:rsid w:val="0050058F"/>
    <w:rsid w:val="00501BD7"/>
    <w:rsid w:val="00503BBC"/>
    <w:rsid w:val="00506379"/>
    <w:rsid w:val="005079BF"/>
    <w:rsid w:val="00507A87"/>
    <w:rsid w:val="005107E8"/>
    <w:rsid w:val="00511CDF"/>
    <w:rsid w:val="005126E6"/>
    <w:rsid w:val="00512C09"/>
    <w:rsid w:val="00515450"/>
    <w:rsid w:val="005162B6"/>
    <w:rsid w:val="00516E15"/>
    <w:rsid w:val="00523BC8"/>
    <w:rsid w:val="00523C1B"/>
    <w:rsid w:val="00524BEE"/>
    <w:rsid w:val="00524FBA"/>
    <w:rsid w:val="005258F4"/>
    <w:rsid w:val="00525B28"/>
    <w:rsid w:val="00527786"/>
    <w:rsid w:val="0053261D"/>
    <w:rsid w:val="00533E95"/>
    <w:rsid w:val="005360CA"/>
    <w:rsid w:val="005366A7"/>
    <w:rsid w:val="0054175A"/>
    <w:rsid w:val="00542080"/>
    <w:rsid w:val="0054361C"/>
    <w:rsid w:val="00545A44"/>
    <w:rsid w:val="0054644B"/>
    <w:rsid w:val="005505DA"/>
    <w:rsid w:val="00550760"/>
    <w:rsid w:val="00550830"/>
    <w:rsid w:val="00554963"/>
    <w:rsid w:val="00554A3D"/>
    <w:rsid w:val="00554BE2"/>
    <w:rsid w:val="0055583B"/>
    <w:rsid w:val="00561125"/>
    <w:rsid w:val="0056117A"/>
    <w:rsid w:val="005635B6"/>
    <w:rsid w:val="005637FF"/>
    <w:rsid w:val="00564D58"/>
    <w:rsid w:val="005676DA"/>
    <w:rsid w:val="00573386"/>
    <w:rsid w:val="005737C0"/>
    <w:rsid w:val="00576CA7"/>
    <w:rsid w:val="00581F22"/>
    <w:rsid w:val="00586C44"/>
    <w:rsid w:val="00590684"/>
    <w:rsid w:val="0059098B"/>
    <w:rsid w:val="00591381"/>
    <w:rsid w:val="00591965"/>
    <w:rsid w:val="005927D4"/>
    <w:rsid w:val="00592C59"/>
    <w:rsid w:val="00592D24"/>
    <w:rsid w:val="00594E0F"/>
    <w:rsid w:val="0059531D"/>
    <w:rsid w:val="00596F10"/>
    <w:rsid w:val="005A01F8"/>
    <w:rsid w:val="005A0BD6"/>
    <w:rsid w:val="005A12F2"/>
    <w:rsid w:val="005A1850"/>
    <w:rsid w:val="005A1F86"/>
    <w:rsid w:val="005A4764"/>
    <w:rsid w:val="005A69F5"/>
    <w:rsid w:val="005A71D1"/>
    <w:rsid w:val="005A73CF"/>
    <w:rsid w:val="005B19E6"/>
    <w:rsid w:val="005B2242"/>
    <w:rsid w:val="005B57F6"/>
    <w:rsid w:val="005B704C"/>
    <w:rsid w:val="005C1465"/>
    <w:rsid w:val="005C1BC8"/>
    <w:rsid w:val="005C40D6"/>
    <w:rsid w:val="005C5D9E"/>
    <w:rsid w:val="005D062F"/>
    <w:rsid w:val="005D0E9A"/>
    <w:rsid w:val="005D235C"/>
    <w:rsid w:val="005D2C82"/>
    <w:rsid w:val="005D5073"/>
    <w:rsid w:val="005D5253"/>
    <w:rsid w:val="005D5AA1"/>
    <w:rsid w:val="005D647F"/>
    <w:rsid w:val="005D7E14"/>
    <w:rsid w:val="005E0D31"/>
    <w:rsid w:val="005E1898"/>
    <w:rsid w:val="005E5373"/>
    <w:rsid w:val="005E6B44"/>
    <w:rsid w:val="005E6C92"/>
    <w:rsid w:val="005F7F9C"/>
    <w:rsid w:val="006004FE"/>
    <w:rsid w:val="00601C3C"/>
    <w:rsid w:val="00602F11"/>
    <w:rsid w:val="0060482C"/>
    <w:rsid w:val="006051F6"/>
    <w:rsid w:val="00605BE1"/>
    <w:rsid w:val="00607878"/>
    <w:rsid w:val="00610BCD"/>
    <w:rsid w:val="00614287"/>
    <w:rsid w:val="00614312"/>
    <w:rsid w:val="00617768"/>
    <w:rsid w:val="00617C2B"/>
    <w:rsid w:val="0062019B"/>
    <w:rsid w:val="0062288A"/>
    <w:rsid w:val="0062431B"/>
    <w:rsid w:val="0062464E"/>
    <w:rsid w:val="006257E6"/>
    <w:rsid w:val="00625E5F"/>
    <w:rsid w:val="00625FB6"/>
    <w:rsid w:val="006260A0"/>
    <w:rsid w:val="006260D8"/>
    <w:rsid w:val="006266E5"/>
    <w:rsid w:val="00627B56"/>
    <w:rsid w:val="00631413"/>
    <w:rsid w:val="006323FF"/>
    <w:rsid w:val="00632456"/>
    <w:rsid w:val="0063266F"/>
    <w:rsid w:val="00632AA3"/>
    <w:rsid w:val="0063364A"/>
    <w:rsid w:val="00634006"/>
    <w:rsid w:val="00634861"/>
    <w:rsid w:val="00634AC4"/>
    <w:rsid w:val="0063516B"/>
    <w:rsid w:val="00635210"/>
    <w:rsid w:val="0063578B"/>
    <w:rsid w:val="006361E9"/>
    <w:rsid w:val="0064261F"/>
    <w:rsid w:val="0064382A"/>
    <w:rsid w:val="006456CB"/>
    <w:rsid w:val="00646A69"/>
    <w:rsid w:val="00646A6F"/>
    <w:rsid w:val="00646F26"/>
    <w:rsid w:val="00647330"/>
    <w:rsid w:val="006476E0"/>
    <w:rsid w:val="006504E9"/>
    <w:rsid w:val="00650695"/>
    <w:rsid w:val="00650DCE"/>
    <w:rsid w:val="0065103F"/>
    <w:rsid w:val="00655D7D"/>
    <w:rsid w:val="00656374"/>
    <w:rsid w:val="00656E81"/>
    <w:rsid w:val="00657317"/>
    <w:rsid w:val="00657C39"/>
    <w:rsid w:val="00660270"/>
    <w:rsid w:val="00662FEB"/>
    <w:rsid w:val="006634E3"/>
    <w:rsid w:val="00663DA6"/>
    <w:rsid w:val="00665C9D"/>
    <w:rsid w:val="00666316"/>
    <w:rsid w:val="00666BD7"/>
    <w:rsid w:val="00670085"/>
    <w:rsid w:val="00670A9E"/>
    <w:rsid w:val="00672BB0"/>
    <w:rsid w:val="00672D3A"/>
    <w:rsid w:val="00675631"/>
    <w:rsid w:val="006769ED"/>
    <w:rsid w:val="006777BF"/>
    <w:rsid w:val="00681559"/>
    <w:rsid w:val="0068204E"/>
    <w:rsid w:val="00683688"/>
    <w:rsid w:val="006836CA"/>
    <w:rsid w:val="00683A2B"/>
    <w:rsid w:val="00684CF8"/>
    <w:rsid w:val="00686199"/>
    <w:rsid w:val="0068646D"/>
    <w:rsid w:val="00686A22"/>
    <w:rsid w:val="00686C8C"/>
    <w:rsid w:val="00690854"/>
    <w:rsid w:val="0069173E"/>
    <w:rsid w:val="00691B92"/>
    <w:rsid w:val="00692B5E"/>
    <w:rsid w:val="00693922"/>
    <w:rsid w:val="00695D9A"/>
    <w:rsid w:val="00696C7D"/>
    <w:rsid w:val="006978AC"/>
    <w:rsid w:val="00697A4C"/>
    <w:rsid w:val="006A0766"/>
    <w:rsid w:val="006A3246"/>
    <w:rsid w:val="006A34A7"/>
    <w:rsid w:val="006A3AE1"/>
    <w:rsid w:val="006A4030"/>
    <w:rsid w:val="006A5242"/>
    <w:rsid w:val="006A5438"/>
    <w:rsid w:val="006A5E7B"/>
    <w:rsid w:val="006A702E"/>
    <w:rsid w:val="006A7F1E"/>
    <w:rsid w:val="006B0B5D"/>
    <w:rsid w:val="006B0CB9"/>
    <w:rsid w:val="006B1808"/>
    <w:rsid w:val="006B2696"/>
    <w:rsid w:val="006B5434"/>
    <w:rsid w:val="006B67EB"/>
    <w:rsid w:val="006B76ED"/>
    <w:rsid w:val="006B7C00"/>
    <w:rsid w:val="006C2341"/>
    <w:rsid w:val="006C3D04"/>
    <w:rsid w:val="006C4514"/>
    <w:rsid w:val="006C4B8D"/>
    <w:rsid w:val="006C679A"/>
    <w:rsid w:val="006D0CC7"/>
    <w:rsid w:val="006D14E3"/>
    <w:rsid w:val="006D182B"/>
    <w:rsid w:val="006D27BB"/>
    <w:rsid w:val="006D5334"/>
    <w:rsid w:val="006D6600"/>
    <w:rsid w:val="006D7D2E"/>
    <w:rsid w:val="006E2867"/>
    <w:rsid w:val="006E33BD"/>
    <w:rsid w:val="006E5323"/>
    <w:rsid w:val="006E6A33"/>
    <w:rsid w:val="006E7F3C"/>
    <w:rsid w:val="006F0DF6"/>
    <w:rsid w:val="006F311E"/>
    <w:rsid w:val="006F4356"/>
    <w:rsid w:val="006F515E"/>
    <w:rsid w:val="006F5D5E"/>
    <w:rsid w:val="006F6E5A"/>
    <w:rsid w:val="006F77F6"/>
    <w:rsid w:val="00701934"/>
    <w:rsid w:val="0070209F"/>
    <w:rsid w:val="007038FE"/>
    <w:rsid w:val="0070480C"/>
    <w:rsid w:val="00705AA9"/>
    <w:rsid w:val="00707ED7"/>
    <w:rsid w:val="00713361"/>
    <w:rsid w:val="0071549E"/>
    <w:rsid w:val="007164B6"/>
    <w:rsid w:val="00716B7A"/>
    <w:rsid w:val="00716D19"/>
    <w:rsid w:val="00716E95"/>
    <w:rsid w:val="007203E0"/>
    <w:rsid w:val="00720637"/>
    <w:rsid w:val="0072078A"/>
    <w:rsid w:val="00720E04"/>
    <w:rsid w:val="00722135"/>
    <w:rsid w:val="00722E63"/>
    <w:rsid w:val="007237A9"/>
    <w:rsid w:val="0072457D"/>
    <w:rsid w:val="00724850"/>
    <w:rsid w:val="007255E9"/>
    <w:rsid w:val="00730F19"/>
    <w:rsid w:val="0073120D"/>
    <w:rsid w:val="0073248B"/>
    <w:rsid w:val="007337BC"/>
    <w:rsid w:val="007348DD"/>
    <w:rsid w:val="007366AD"/>
    <w:rsid w:val="00737A63"/>
    <w:rsid w:val="00741768"/>
    <w:rsid w:val="00742189"/>
    <w:rsid w:val="007426CF"/>
    <w:rsid w:val="00742C45"/>
    <w:rsid w:val="00750AB1"/>
    <w:rsid w:val="00750F6E"/>
    <w:rsid w:val="007538F3"/>
    <w:rsid w:val="007546FD"/>
    <w:rsid w:val="00754D4A"/>
    <w:rsid w:val="00760089"/>
    <w:rsid w:val="00761CCD"/>
    <w:rsid w:val="00761EA6"/>
    <w:rsid w:val="00762F24"/>
    <w:rsid w:val="00763162"/>
    <w:rsid w:val="007634D6"/>
    <w:rsid w:val="007651EB"/>
    <w:rsid w:val="00765207"/>
    <w:rsid w:val="007660F5"/>
    <w:rsid w:val="00767684"/>
    <w:rsid w:val="00767B19"/>
    <w:rsid w:val="007707E0"/>
    <w:rsid w:val="007722CC"/>
    <w:rsid w:val="00774A28"/>
    <w:rsid w:val="007756F6"/>
    <w:rsid w:val="007771A3"/>
    <w:rsid w:val="00777D30"/>
    <w:rsid w:val="00780564"/>
    <w:rsid w:val="00781F9C"/>
    <w:rsid w:val="0078488F"/>
    <w:rsid w:val="00784A02"/>
    <w:rsid w:val="0078500F"/>
    <w:rsid w:val="0079068F"/>
    <w:rsid w:val="007910B2"/>
    <w:rsid w:val="00791723"/>
    <w:rsid w:val="00792D38"/>
    <w:rsid w:val="00794163"/>
    <w:rsid w:val="007952B4"/>
    <w:rsid w:val="007961F0"/>
    <w:rsid w:val="007962C0"/>
    <w:rsid w:val="00796CAA"/>
    <w:rsid w:val="00797343"/>
    <w:rsid w:val="00797B88"/>
    <w:rsid w:val="007A05FF"/>
    <w:rsid w:val="007A1246"/>
    <w:rsid w:val="007A32EA"/>
    <w:rsid w:val="007A4215"/>
    <w:rsid w:val="007A4324"/>
    <w:rsid w:val="007A6A30"/>
    <w:rsid w:val="007B0A85"/>
    <w:rsid w:val="007B1CFB"/>
    <w:rsid w:val="007B20DD"/>
    <w:rsid w:val="007B227B"/>
    <w:rsid w:val="007B31CB"/>
    <w:rsid w:val="007B6FF5"/>
    <w:rsid w:val="007B7E68"/>
    <w:rsid w:val="007B7FA4"/>
    <w:rsid w:val="007C05FF"/>
    <w:rsid w:val="007C076A"/>
    <w:rsid w:val="007C126E"/>
    <w:rsid w:val="007C12C4"/>
    <w:rsid w:val="007C2FD4"/>
    <w:rsid w:val="007C5D21"/>
    <w:rsid w:val="007C630E"/>
    <w:rsid w:val="007C6656"/>
    <w:rsid w:val="007C6CC0"/>
    <w:rsid w:val="007C7C70"/>
    <w:rsid w:val="007D066B"/>
    <w:rsid w:val="007D2775"/>
    <w:rsid w:val="007D313B"/>
    <w:rsid w:val="007D3342"/>
    <w:rsid w:val="007D43F1"/>
    <w:rsid w:val="007D5311"/>
    <w:rsid w:val="007D5C7B"/>
    <w:rsid w:val="007D6110"/>
    <w:rsid w:val="007D6F6E"/>
    <w:rsid w:val="007E0D8E"/>
    <w:rsid w:val="007E2119"/>
    <w:rsid w:val="007E2646"/>
    <w:rsid w:val="007E3E29"/>
    <w:rsid w:val="007E3F8B"/>
    <w:rsid w:val="007E47A6"/>
    <w:rsid w:val="007E665F"/>
    <w:rsid w:val="007F057C"/>
    <w:rsid w:val="007F21BB"/>
    <w:rsid w:val="007F4D89"/>
    <w:rsid w:val="007F7E0A"/>
    <w:rsid w:val="008006E0"/>
    <w:rsid w:val="0080098F"/>
    <w:rsid w:val="00800D96"/>
    <w:rsid w:val="00802A91"/>
    <w:rsid w:val="0080310E"/>
    <w:rsid w:val="008035EF"/>
    <w:rsid w:val="00806B34"/>
    <w:rsid w:val="00807DAF"/>
    <w:rsid w:val="00813D43"/>
    <w:rsid w:val="00814461"/>
    <w:rsid w:val="00814621"/>
    <w:rsid w:val="00822DA1"/>
    <w:rsid w:val="0082573D"/>
    <w:rsid w:val="008261D3"/>
    <w:rsid w:val="00830D8F"/>
    <w:rsid w:val="008319DD"/>
    <w:rsid w:val="00831AED"/>
    <w:rsid w:val="00834DC3"/>
    <w:rsid w:val="0083591F"/>
    <w:rsid w:val="00836145"/>
    <w:rsid w:val="008401C8"/>
    <w:rsid w:val="00840309"/>
    <w:rsid w:val="00840468"/>
    <w:rsid w:val="0084238A"/>
    <w:rsid w:val="00843E10"/>
    <w:rsid w:val="008447C6"/>
    <w:rsid w:val="00844D5B"/>
    <w:rsid w:val="00846FFE"/>
    <w:rsid w:val="008504C6"/>
    <w:rsid w:val="00851037"/>
    <w:rsid w:val="00852341"/>
    <w:rsid w:val="00852B20"/>
    <w:rsid w:val="00852BE7"/>
    <w:rsid w:val="00854DEF"/>
    <w:rsid w:val="0085529A"/>
    <w:rsid w:val="00857D13"/>
    <w:rsid w:val="00862C95"/>
    <w:rsid w:val="00863763"/>
    <w:rsid w:val="008638C9"/>
    <w:rsid w:val="00863D06"/>
    <w:rsid w:val="008656CF"/>
    <w:rsid w:val="0086687C"/>
    <w:rsid w:val="00866E22"/>
    <w:rsid w:val="008670F6"/>
    <w:rsid w:val="008676FC"/>
    <w:rsid w:val="0087061D"/>
    <w:rsid w:val="0087286C"/>
    <w:rsid w:val="008731FB"/>
    <w:rsid w:val="00873691"/>
    <w:rsid w:val="00874585"/>
    <w:rsid w:val="00877CA5"/>
    <w:rsid w:val="00881FE8"/>
    <w:rsid w:val="008837BA"/>
    <w:rsid w:val="008844D4"/>
    <w:rsid w:val="008857EC"/>
    <w:rsid w:val="00886859"/>
    <w:rsid w:val="00886C87"/>
    <w:rsid w:val="008901A1"/>
    <w:rsid w:val="00891DB3"/>
    <w:rsid w:val="00893540"/>
    <w:rsid w:val="008964C5"/>
    <w:rsid w:val="00897EEA"/>
    <w:rsid w:val="008A15A8"/>
    <w:rsid w:val="008A3280"/>
    <w:rsid w:val="008A46BB"/>
    <w:rsid w:val="008A58D3"/>
    <w:rsid w:val="008A6D74"/>
    <w:rsid w:val="008A7C6F"/>
    <w:rsid w:val="008A7F9B"/>
    <w:rsid w:val="008B0B2C"/>
    <w:rsid w:val="008B1760"/>
    <w:rsid w:val="008B3F13"/>
    <w:rsid w:val="008B4DA5"/>
    <w:rsid w:val="008B5327"/>
    <w:rsid w:val="008B55E6"/>
    <w:rsid w:val="008C035F"/>
    <w:rsid w:val="008C087D"/>
    <w:rsid w:val="008C217E"/>
    <w:rsid w:val="008C2F85"/>
    <w:rsid w:val="008C40A8"/>
    <w:rsid w:val="008C4268"/>
    <w:rsid w:val="008C43BB"/>
    <w:rsid w:val="008C467D"/>
    <w:rsid w:val="008C5546"/>
    <w:rsid w:val="008C55F2"/>
    <w:rsid w:val="008C5944"/>
    <w:rsid w:val="008C5C33"/>
    <w:rsid w:val="008C5F3F"/>
    <w:rsid w:val="008D17D8"/>
    <w:rsid w:val="008D1D6B"/>
    <w:rsid w:val="008D4AE6"/>
    <w:rsid w:val="008D502C"/>
    <w:rsid w:val="008D52E4"/>
    <w:rsid w:val="008D59B9"/>
    <w:rsid w:val="008D5C77"/>
    <w:rsid w:val="008D5F8A"/>
    <w:rsid w:val="008E0198"/>
    <w:rsid w:val="008E02D0"/>
    <w:rsid w:val="008E18DC"/>
    <w:rsid w:val="008E3533"/>
    <w:rsid w:val="008E35E7"/>
    <w:rsid w:val="008E4194"/>
    <w:rsid w:val="008F0C9B"/>
    <w:rsid w:val="008F0E05"/>
    <w:rsid w:val="008F1261"/>
    <w:rsid w:val="008F1CA1"/>
    <w:rsid w:val="008F60FC"/>
    <w:rsid w:val="008F665F"/>
    <w:rsid w:val="008F711A"/>
    <w:rsid w:val="008F720A"/>
    <w:rsid w:val="009009C1"/>
    <w:rsid w:val="00900D29"/>
    <w:rsid w:val="009043D6"/>
    <w:rsid w:val="00910D21"/>
    <w:rsid w:val="0091101D"/>
    <w:rsid w:val="0091102D"/>
    <w:rsid w:val="0091208A"/>
    <w:rsid w:val="00913B2C"/>
    <w:rsid w:val="00914EF1"/>
    <w:rsid w:val="00915540"/>
    <w:rsid w:val="00916C31"/>
    <w:rsid w:val="00916F3A"/>
    <w:rsid w:val="00917B0C"/>
    <w:rsid w:val="00921C67"/>
    <w:rsid w:val="00924B69"/>
    <w:rsid w:val="009262AD"/>
    <w:rsid w:val="00930359"/>
    <w:rsid w:val="00933224"/>
    <w:rsid w:val="00933445"/>
    <w:rsid w:val="00933F5A"/>
    <w:rsid w:val="00934008"/>
    <w:rsid w:val="00934F52"/>
    <w:rsid w:val="00935A22"/>
    <w:rsid w:val="009378DB"/>
    <w:rsid w:val="009410EF"/>
    <w:rsid w:val="009412B1"/>
    <w:rsid w:val="00941ADA"/>
    <w:rsid w:val="009444D3"/>
    <w:rsid w:val="00946591"/>
    <w:rsid w:val="00950758"/>
    <w:rsid w:val="00950943"/>
    <w:rsid w:val="00951213"/>
    <w:rsid w:val="00951643"/>
    <w:rsid w:val="009527E8"/>
    <w:rsid w:val="009532F3"/>
    <w:rsid w:val="00953B1C"/>
    <w:rsid w:val="0095407E"/>
    <w:rsid w:val="00954303"/>
    <w:rsid w:val="00954793"/>
    <w:rsid w:val="009556B0"/>
    <w:rsid w:val="00956D45"/>
    <w:rsid w:val="00957FF6"/>
    <w:rsid w:val="00960408"/>
    <w:rsid w:val="009625DE"/>
    <w:rsid w:val="00962F3D"/>
    <w:rsid w:val="009656B2"/>
    <w:rsid w:val="00965FD6"/>
    <w:rsid w:val="0096787E"/>
    <w:rsid w:val="00967CB5"/>
    <w:rsid w:val="009704B8"/>
    <w:rsid w:val="009705AD"/>
    <w:rsid w:val="00970922"/>
    <w:rsid w:val="00970D38"/>
    <w:rsid w:val="00971D17"/>
    <w:rsid w:val="00972C95"/>
    <w:rsid w:val="0097310F"/>
    <w:rsid w:val="00973DD3"/>
    <w:rsid w:val="00976BAE"/>
    <w:rsid w:val="00976E37"/>
    <w:rsid w:val="0098002D"/>
    <w:rsid w:val="0098272E"/>
    <w:rsid w:val="00982EE9"/>
    <w:rsid w:val="0098317E"/>
    <w:rsid w:val="00983A16"/>
    <w:rsid w:val="00984071"/>
    <w:rsid w:val="00985ABD"/>
    <w:rsid w:val="00990047"/>
    <w:rsid w:val="009911B1"/>
    <w:rsid w:val="00991C75"/>
    <w:rsid w:val="009960DB"/>
    <w:rsid w:val="0099663C"/>
    <w:rsid w:val="00996A09"/>
    <w:rsid w:val="009A0215"/>
    <w:rsid w:val="009A3773"/>
    <w:rsid w:val="009A5AEE"/>
    <w:rsid w:val="009A5B7D"/>
    <w:rsid w:val="009A68EF"/>
    <w:rsid w:val="009B43B6"/>
    <w:rsid w:val="009B4428"/>
    <w:rsid w:val="009B5206"/>
    <w:rsid w:val="009B68D1"/>
    <w:rsid w:val="009C001B"/>
    <w:rsid w:val="009C10F4"/>
    <w:rsid w:val="009C30B5"/>
    <w:rsid w:val="009C31C1"/>
    <w:rsid w:val="009C351B"/>
    <w:rsid w:val="009C3EA7"/>
    <w:rsid w:val="009C4878"/>
    <w:rsid w:val="009C4BA8"/>
    <w:rsid w:val="009C7C42"/>
    <w:rsid w:val="009D0C60"/>
    <w:rsid w:val="009D385F"/>
    <w:rsid w:val="009D4823"/>
    <w:rsid w:val="009D561E"/>
    <w:rsid w:val="009D62F6"/>
    <w:rsid w:val="009D6767"/>
    <w:rsid w:val="009D7A86"/>
    <w:rsid w:val="009E1229"/>
    <w:rsid w:val="009E1995"/>
    <w:rsid w:val="009E1D98"/>
    <w:rsid w:val="009E391A"/>
    <w:rsid w:val="009F18EF"/>
    <w:rsid w:val="009F3B5E"/>
    <w:rsid w:val="00A00597"/>
    <w:rsid w:val="00A00870"/>
    <w:rsid w:val="00A01A58"/>
    <w:rsid w:val="00A02E9B"/>
    <w:rsid w:val="00A03E8F"/>
    <w:rsid w:val="00A06036"/>
    <w:rsid w:val="00A060EC"/>
    <w:rsid w:val="00A066A3"/>
    <w:rsid w:val="00A06732"/>
    <w:rsid w:val="00A1030B"/>
    <w:rsid w:val="00A10B1B"/>
    <w:rsid w:val="00A11962"/>
    <w:rsid w:val="00A1316C"/>
    <w:rsid w:val="00A14474"/>
    <w:rsid w:val="00A14791"/>
    <w:rsid w:val="00A2071A"/>
    <w:rsid w:val="00A20A2A"/>
    <w:rsid w:val="00A212D9"/>
    <w:rsid w:val="00A223BC"/>
    <w:rsid w:val="00A22786"/>
    <w:rsid w:val="00A22E02"/>
    <w:rsid w:val="00A235D1"/>
    <w:rsid w:val="00A2428F"/>
    <w:rsid w:val="00A27D4B"/>
    <w:rsid w:val="00A30575"/>
    <w:rsid w:val="00A316A6"/>
    <w:rsid w:val="00A31BF9"/>
    <w:rsid w:val="00A31C9C"/>
    <w:rsid w:val="00A3393A"/>
    <w:rsid w:val="00A34634"/>
    <w:rsid w:val="00A35B81"/>
    <w:rsid w:val="00A36AF9"/>
    <w:rsid w:val="00A4081F"/>
    <w:rsid w:val="00A41B0F"/>
    <w:rsid w:val="00A41C65"/>
    <w:rsid w:val="00A42CD1"/>
    <w:rsid w:val="00A447B6"/>
    <w:rsid w:val="00A47203"/>
    <w:rsid w:val="00A50772"/>
    <w:rsid w:val="00A51D1E"/>
    <w:rsid w:val="00A52FDA"/>
    <w:rsid w:val="00A53CCE"/>
    <w:rsid w:val="00A57152"/>
    <w:rsid w:val="00A6074B"/>
    <w:rsid w:val="00A61D91"/>
    <w:rsid w:val="00A645BB"/>
    <w:rsid w:val="00A6601C"/>
    <w:rsid w:val="00A66142"/>
    <w:rsid w:val="00A67F0F"/>
    <w:rsid w:val="00A7389E"/>
    <w:rsid w:val="00A73C33"/>
    <w:rsid w:val="00A77389"/>
    <w:rsid w:val="00A82119"/>
    <w:rsid w:val="00A82C92"/>
    <w:rsid w:val="00A852D4"/>
    <w:rsid w:val="00A858AC"/>
    <w:rsid w:val="00A877D1"/>
    <w:rsid w:val="00A904A9"/>
    <w:rsid w:val="00A90C7A"/>
    <w:rsid w:val="00A9139B"/>
    <w:rsid w:val="00A915B8"/>
    <w:rsid w:val="00A9169F"/>
    <w:rsid w:val="00A924D4"/>
    <w:rsid w:val="00A94B95"/>
    <w:rsid w:val="00A95909"/>
    <w:rsid w:val="00AA03A2"/>
    <w:rsid w:val="00AA0765"/>
    <w:rsid w:val="00AA1988"/>
    <w:rsid w:val="00AA1E2D"/>
    <w:rsid w:val="00AA2FF9"/>
    <w:rsid w:val="00AA35CC"/>
    <w:rsid w:val="00AA3D27"/>
    <w:rsid w:val="00AA4315"/>
    <w:rsid w:val="00AA6FC5"/>
    <w:rsid w:val="00AA7169"/>
    <w:rsid w:val="00AB0054"/>
    <w:rsid w:val="00AB09A9"/>
    <w:rsid w:val="00AB21D7"/>
    <w:rsid w:val="00AB3177"/>
    <w:rsid w:val="00AB6214"/>
    <w:rsid w:val="00AB696C"/>
    <w:rsid w:val="00AC0A6A"/>
    <w:rsid w:val="00AC0CEB"/>
    <w:rsid w:val="00AC507F"/>
    <w:rsid w:val="00AC641F"/>
    <w:rsid w:val="00AC6835"/>
    <w:rsid w:val="00AD059E"/>
    <w:rsid w:val="00AD1638"/>
    <w:rsid w:val="00AD1D99"/>
    <w:rsid w:val="00AD20DB"/>
    <w:rsid w:val="00AD26D4"/>
    <w:rsid w:val="00AD2F18"/>
    <w:rsid w:val="00AD3D6B"/>
    <w:rsid w:val="00AD4DBA"/>
    <w:rsid w:val="00AD5131"/>
    <w:rsid w:val="00AD6F80"/>
    <w:rsid w:val="00AE3962"/>
    <w:rsid w:val="00AE47F6"/>
    <w:rsid w:val="00AE4D42"/>
    <w:rsid w:val="00AE59DF"/>
    <w:rsid w:val="00AE5D39"/>
    <w:rsid w:val="00AE622B"/>
    <w:rsid w:val="00AE661C"/>
    <w:rsid w:val="00AE71C1"/>
    <w:rsid w:val="00AF0639"/>
    <w:rsid w:val="00AF103F"/>
    <w:rsid w:val="00AF22FB"/>
    <w:rsid w:val="00AF2768"/>
    <w:rsid w:val="00AF2C11"/>
    <w:rsid w:val="00AF33A3"/>
    <w:rsid w:val="00AF7FA8"/>
    <w:rsid w:val="00B013E2"/>
    <w:rsid w:val="00B0401F"/>
    <w:rsid w:val="00B047D4"/>
    <w:rsid w:val="00B04FE5"/>
    <w:rsid w:val="00B0580D"/>
    <w:rsid w:val="00B07BB2"/>
    <w:rsid w:val="00B102C6"/>
    <w:rsid w:val="00B1199C"/>
    <w:rsid w:val="00B11C80"/>
    <w:rsid w:val="00B16A22"/>
    <w:rsid w:val="00B16BFD"/>
    <w:rsid w:val="00B17A10"/>
    <w:rsid w:val="00B20CB2"/>
    <w:rsid w:val="00B20CEA"/>
    <w:rsid w:val="00B21E78"/>
    <w:rsid w:val="00B24BFE"/>
    <w:rsid w:val="00B267C3"/>
    <w:rsid w:val="00B267DA"/>
    <w:rsid w:val="00B26E25"/>
    <w:rsid w:val="00B311E6"/>
    <w:rsid w:val="00B31648"/>
    <w:rsid w:val="00B31DDE"/>
    <w:rsid w:val="00B3409A"/>
    <w:rsid w:val="00B34CEE"/>
    <w:rsid w:val="00B3674B"/>
    <w:rsid w:val="00B37C44"/>
    <w:rsid w:val="00B4080D"/>
    <w:rsid w:val="00B41C3C"/>
    <w:rsid w:val="00B422A3"/>
    <w:rsid w:val="00B4528D"/>
    <w:rsid w:val="00B457EB"/>
    <w:rsid w:val="00B46492"/>
    <w:rsid w:val="00B46ACE"/>
    <w:rsid w:val="00B46B83"/>
    <w:rsid w:val="00B50406"/>
    <w:rsid w:val="00B52BA0"/>
    <w:rsid w:val="00B56629"/>
    <w:rsid w:val="00B569A2"/>
    <w:rsid w:val="00B579C9"/>
    <w:rsid w:val="00B60583"/>
    <w:rsid w:val="00B611DD"/>
    <w:rsid w:val="00B61DBD"/>
    <w:rsid w:val="00B6367E"/>
    <w:rsid w:val="00B65BB6"/>
    <w:rsid w:val="00B663EB"/>
    <w:rsid w:val="00B67D8E"/>
    <w:rsid w:val="00B7001D"/>
    <w:rsid w:val="00B70312"/>
    <w:rsid w:val="00B73483"/>
    <w:rsid w:val="00B73492"/>
    <w:rsid w:val="00B7410A"/>
    <w:rsid w:val="00B7420E"/>
    <w:rsid w:val="00B75E47"/>
    <w:rsid w:val="00B760D6"/>
    <w:rsid w:val="00B76A08"/>
    <w:rsid w:val="00B76CBE"/>
    <w:rsid w:val="00B8337B"/>
    <w:rsid w:val="00B8427C"/>
    <w:rsid w:val="00B85816"/>
    <w:rsid w:val="00B87439"/>
    <w:rsid w:val="00B91071"/>
    <w:rsid w:val="00B93690"/>
    <w:rsid w:val="00B93A1A"/>
    <w:rsid w:val="00B93B09"/>
    <w:rsid w:val="00B94117"/>
    <w:rsid w:val="00B9543C"/>
    <w:rsid w:val="00B95903"/>
    <w:rsid w:val="00BA125C"/>
    <w:rsid w:val="00BA4800"/>
    <w:rsid w:val="00BA5924"/>
    <w:rsid w:val="00BA59EF"/>
    <w:rsid w:val="00BA5B94"/>
    <w:rsid w:val="00BA61AA"/>
    <w:rsid w:val="00BA64BC"/>
    <w:rsid w:val="00BB0B11"/>
    <w:rsid w:val="00BB368B"/>
    <w:rsid w:val="00BB38F1"/>
    <w:rsid w:val="00BB3993"/>
    <w:rsid w:val="00BB3CD5"/>
    <w:rsid w:val="00BB3F2C"/>
    <w:rsid w:val="00BB475E"/>
    <w:rsid w:val="00BB6F86"/>
    <w:rsid w:val="00BC1FF0"/>
    <w:rsid w:val="00BC2189"/>
    <w:rsid w:val="00BC40ED"/>
    <w:rsid w:val="00BC4428"/>
    <w:rsid w:val="00BC48E9"/>
    <w:rsid w:val="00BC546A"/>
    <w:rsid w:val="00BC7604"/>
    <w:rsid w:val="00BD3D9F"/>
    <w:rsid w:val="00BD577A"/>
    <w:rsid w:val="00BE0A21"/>
    <w:rsid w:val="00BE0C84"/>
    <w:rsid w:val="00BE1056"/>
    <w:rsid w:val="00BE1533"/>
    <w:rsid w:val="00BE1627"/>
    <w:rsid w:val="00BE25B5"/>
    <w:rsid w:val="00BE378D"/>
    <w:rsid w:val="00BE5A3E"/>
    <w:rsid w:val="00BE6E3B"/>
    <w:rsid w:val="00BF0CBA"/>
    <w:rsid w:val="00BF0EED"/>
    <w:rsid w:val="00BF108C"/>
    <w:rsid w:val="00BF1974"/>
    <w:rsid w:val="00BF2841"/>
    <w:rsid w:val="00BF589F"/>
    <w:rsid w:val="00C006AD"/>
    <w:rsid w:val="00C02C6D"/>
    <w:rsid w:val="00C032B6"/>
    <w:rsid w:val="00C040FD"/>
    <w:rsid w:val="00C06ACA"/>
    <w:rsid w:val="00C06ECD"/>
    <w:rsid w:val="00C06FAB"/>
    <w:rsid w:val="00C078B8"/>
    <w:rsid w:val="00C105C1"/>
    <w:rsid w:val="00C10AC8"/>
    <w:rsid w:val="00C11207"/>
    <w:rsid w:val="00C117CD"/>
    <w:rsid w:val="00C12BCD"/>
    <w:rsid w:val="00C14E7A"/>
    <w:rsid w:val="00C16CB9"/>
    <w:rsid w:val="00C21991"/>
    <w:rsid w:val="00C22FB7"/>
    <w:rsid w:val="00C26247"/>
    <w:rsid w:val="00C27524"/>
    <w:rsid w:val="00C275AD"/>
    <w:rsid w:val="00C27769"/>
    <w:rsid w:val="00C27A39"/>
    <w:rsid w:val="00C31440"/>
    <w:rsid w:val="00C3235A"/>
    <w:rsid w:val="00C337C5"/>
    <w:rsid w:val="00C33F1C"/>
    <w:rsid w:val="00C3513B"/>
    <w:rsid w:val="00C36404"/>
    <w:rsid w:val="00C37B1B"/>
    <w:rsid w:val="00C40E6E"/>
    <w:rsid w:val="00C41E23"/>
    <w:rsid w:val="00C4509A"/>
    <w:rsid w:val="00C45BC1"/>
    <w:rsid w:val="00C460D8"/>
    <w:rsid w:val="00C46F38"/>
    <w:rsid w:val="00C51824"/>
    <w:rsid w:val="00C54EF5"/>
    <w:rsid w:val="00C5605A"/>
    <w:rsid w:val="00C56737"/>
    <w:rsid w:val="00C57C79"/>
    <w:rsid w:val="00C57DE6"/>
    <w:rsid w:val="00C602D2"/>
    <w:rsid w:val="00C609DE"/>
    <w:rsid w:val="00C60CB6"/>
    <w:rsid w:val="00C635C2"/>
    <w:rsid w:val="00C64171"/>
    <w:rsid w:val="00C64B91"/>
    <w:rsid w:val="00C712DA"/>
    <w:rsid w:val="00C72A4C"/>
    <w:rsid w:val="00C7636F"/>
    <w:rsid w:val="00C76486"/>
    <w:rsid w:val="00C7711B"/>
    <w:rsid w:val="00C773E1"/>
    <w:rsid w:val="00C77695"/>
    <w:rsid w:val="00C82B95"/>
    <w:rsid w:val="00C830CB"/>
    <w:rsid w:val="00C85585"/>
    <w:rsid w:val="00C90602"/>
    <w:rsid w:val="00C916D5"/>
    <w:rsid w:val="00C9583B"/>
    <w:rsid w:val="00C969FC"/>
    <w:rsid w:val="00C96F44"/>
    <w:rsid w:val="00C9704F"/>
    <w:rsid w:val="00CA0C79"/>
    <w:rsid w:val="00CA2E37"/>
    <w:rsid w:val="00CA3278"/>
    <w:rsid w:val="00CA34A2"/>
    <w:rsid w:val="00CA34AC"/>
    <w:rsid w:val="00CA369B"/>
    <w:rsid w:val="00CA5F26"/>
    <w:rsid w:val="00CA671B"/>
    <w:rsid w:val="00CA70A6"/>
    <w:rsid w:val="00CA71F9"/>
    <w:rsid w:val="00CB1440"/>
    <w:rsid w:val="00CB2455"/>
    <w:rsid w:val="00CB28ED"/>
    <w:rsid w:val="00CB4686"/>
    <w:rsid w:val="00CB4BE1"/>
    <w:rsid w:val="00CB4C45"/>
    <w:rsid w:val="00CB5C8F"/>
    <w:rsid w:val="00CC651E"/>
    <w:rsid w:val="00CC65E0"/>
    <w:rsid w:val="00CD2E57"/>
    <w:rsid w:val="00CD3EA8"/>
    <w:rsid w:val="00CD4645"/>
    <w:rsid w:val="00CD4A18"/>
    <w:rsid w:val="00CD6710"/>
    <w:rsid w:val="00CE0762"/>
    <w:rsid w:val="00CE1DC4"/>
    <w:rsid w:val="00CE1F4D"/>
    <w:rsid w:val="00CE21C3"/>
    <w:rsid w:val="00CE2233"/>
    <w:rsid w:val="00CE492F"/>
    <w:rsid w:val="00CE6C8C"/>
    <w:rsid w:val="00CE7492"/>
    <w:rsid w:val="00CF1297"/>
    <w:rsid w:val="00CF1CDB"/>
    <w:rsid w:val="00CF2B6E"/>
    <w:rsid w:val="00CF3073"/>
    <w:rsid w:val="00CF45B4"/>
    <w:rsid w:val="00CF7BCF"/>
    <w:rsid w:val="00D00245"/>
    <w:rsid w:val="00D011EE"/>
    <w:rsid w:val="00D0135E"/>
    <w:rsid w:val="00D02D15"/>
    <w:rsid w:val="00D03B5B"/>
    <w:rsid w:val="00D04081"/>
    <w:rsid w:val="00D10465"/>
    <w:rsid w:val="00D120E0"/>
    <w:rsid w:val="00D133B6"/>
    <w:rsid w:val="00D14556"/>
    <w:rsid w:val="00D14D19"/>
    <w:rsid w:val="00D16B6F"/>
    <w:rsid w:val="00D16E0F"/>
    <w:rsid w:val="00D2038A"/>
    <w:rsid w:val="00D21B87"/>
    <w:rsid w:val="00D22157"/>
    <w:rsid w:val="00D23EDB"/>
    <w:rsid w:val="00D249E2"/>
    <w:rsid w:val="00D309AA"/>
    <w:rsid w:val="00D30D5C"/>
    <w:rsid w:val="00D3199E"/>
    <w:rsid w:val="00D322C6"/>
    <w:rsid w:val="00D342BC"/>
    <w:rsid w:val="00D3561C"/>
    <w:rsid w:val="00D3686E"/>
    <w:rsid w:val="00D373AF"/>
    <w:rsid w:val="00D37C2E"/>
    <w:rsid w:val="00D40568"/>
    <w:rsid w:val="00D427F7"/>
    <w:rsid w:val="00D435AA"/>
    <w:rsid w:val="00D45621"/>
    <w:rsid w:val="00D45962"/>
    <w:rsid w:val="00D462EF"/>
    <w:rsid w:val="00D463C1"/>
    <w:rsid w:val="00D46A8A"/>
    <w:rsid w:val="00D4730B"/>
    <w:rsid w:val="00D50C0B"/>
    <w:rsid w:val="00D50C57"/>
    <w:rsid w:val="00D50EB8"/>
    <w:rsid w:val="00D51079"/>
    <w:rsid w:val="00D51AE4"/>
    <w:rsid w:val="00D53075"/>
    <w:rsid w:val="00D54215"/>
    <w:rsid w:val="00D55D62"/>
    <w:rsid w:val="00D574B7"/>
    <w:rsid w:val="00D578AE"/>
    <w:rsid w:val="00D57BF4"/>
    <w:rsid w:val="00D6004D"/>
    <w:rsid w:val="00D61315"/>
    <w:rsid w:val="00D619F5"/>
    <w:rsid w:val="00D64828"/>
    <w:rsid w:val="00D64944"/>
    <w:rsid w:val="00D656DE"/>
    <w:rsid w:val="00D657AE"/>
    <w:rsid w:val="00D65BBD"/>
    <w:rsid w:val="00D67F05"/>
    <w:rsid w:val="00D718C1"/>
    <w:rsid w:val="00D721FD"/>
    <w:rsid w:val="00D750DC"/>
    <w:rsid w:val="00D7525C"/>
    <w:rsid w:val="00D758EE"/>
    <w:rsid w:val="00D81EB3"/>
    <w:rsid w:val="00D82DDE"/>
    <w:rsid w:val="00D835E0"/>
    <w:rsid w:val="00D9222B"/>
    <w:rsid w:val="00D9356A"/>
    <w:rsid w:val="00D93EF7"/>
    <w:rsid w:val="00DA068E"/>
    <w:rsid w:val="00DA0C24"/>
    <w:rsid w:val="00DA21FC"/>
    <w:rsid w:val="00DA3661"/>
    <w:rsid w:val="00DA60DA"/>
    <w:rsid w:val="00DA65F5"/>
    <w:rsid w:val="00DA7679"/>
    <w:rsid w:val="00DB02EF"/>
    <w:rsid w:val="00DB0725"/>
    <w:rsid w:val="00DB0E97"/>
    <w:rsid w:val="00DB1E39"/>
    <w:rsid w:val="00DB2ABE"/>
    <w:rsid w:val="00DB2F53"/>
    <w:rsid w:val="00DB4899"/>
    <w:rsid w:val="00DB63EC"/>
    <w:rsid w:val="00DB6479"/>
    <w:rsid w:val="00DC18DB"/>
    <w:rsid w:val="00DC1B9F"/>
    <w:rsid w:val="00DC2AB3"/>
    <w:rsid w:val="00DC31C0"/>
    <w:rsid w:val="00DC42FF"/>
    <w:rsid w:val="00DC6185"/>
    <w:rsid w:val="00DC6B85"/>
    <w:rsid w:val="00DC6BD5"/>
    <w:rsid w:val="00DD2F5D"/>
    <w:rsid w:val="00DD3915"/>
    <w:rsid w:val="00DD5BEF"/>
    <w:rsid w:val="00DD61FF"/>
    <w:rsid w:val="00DD6560"/>
    <w:rsid w:val="00DD66EC"/>
    <w:rsid w:val="00DE13E8"/>
    <w:rsid w:val="00DE3345"/>
    <w:rsid w:val="00DE4EC4"/>
    <w:rsid w:val="00DE5F60"/>
    <w:rsid w:val="00DF0A4D"/>
    <w:rsid w:val="00DF0A91"/>
    <w:rsid w:val="00DF0B98"/>
    <w:rsid w:val="00DF2FAF"/>
    <w:rsid w:val="00DF5554"/>
    <w:rsid w:val="00DF5A0E"/>
    <w:rsid w:val="00DF5C51"/>
    <w:rsid w:val="00E01ECD"/>
    <w:rsid w:val="00E02A4D"/>
    <w:rsid w:val="00E0411A"/>
    <w:rsid w:val="00E04609"/>
    <w:rsid w:val="00E06CA7"/>
    <w:rsid w:val="00E075F1"/>
    <w:rsid w:val="00E07704"/>
    <w:rsid w:val="00E11799"/>
    <w:rsid w:val="00E13BA5"/>
    <w:rsid w:val="00E14193"/>
    <w:rsid w:val="00E14383"/>
    <w:rsid w:val="00E20352"/>
    <w:rsid w:val="00E20F1D"/>
    <w:rsid w:val="00E21E3E"/>
    <w:rsid w:val="00E23EB5"/>
    <w:rsid w:val="00E23F27"/>
    <w:rsid w:val="00E24C6D"/>
    <w:rsid w:val="00E25501"/>
    <w:rsid w:val="00E25EFD"/>
    <w:rsid w:val="00E30688"/>
    <w:rsid w:val="00E327D8"/>
    <w:rsid w:val="00E34CD5"/>
    <w:rsid w:val="00E37440"/>
    <w:rsid w:val="00E407F5"/>
    <w:rsid w:val="00E40B06"/>
    <w:rsid w:val="00E41316"/>
    <w:rsid w:val="00E41C10"/>
    <w:rsid w:val="00E42205"/>
    <w:rsid w:val="00E429F8"/>
    <w:rsid w:val="00E433C7"/>
    <w:rsid w:val="00E43B19"/>
    <w:rsid w:val="00E4413D"/>
    <w:rsid w:val="00E45230"/>
    <w:rsid w:val="00E466C4"/>
    <w:rsid w:val="00E467B3"/>
    <w:rsid w:val="00E46C67"/>
    <w:rsid w:val="00E5089B"/>
    <w:rsid w:val="00E5407F"/>
    <w:rsid w:val="00E554A8"/>
    <w:rsid w:val="00E556AF"/>
    <w:rsid w:val="00E55C27"/>
    <w:rsid w:val="00E569A9"/>
    <w:rsid w:val="00E6007D"/>
    <w:rsid w:val="00E600FB"/>
    <w:rsid w:val="00E60455"/>
    <w:rsid w:val="00E61EC5"/>
    <w:rsid w:val="00E63CEE"/>
    <w:rsid w:val="00E6598F"/>
    <w:rsid w:val="00E66917"/>
    <w:rsid w:val="00E66BCE"/>
    <w:rsid w:val="00E67304"/>
    <w:rsid w:val="00E67F18"/>
    <w:rsid w:val="00E70593"/>
    <w:rsid w:val="00E70B11"/>
    <w:rsid w:val="00E71A14"/>
    <w:rsid w:val="00E720A3"/>
    <w:rsid w:val="00E7363C"/>
    <w:rsid w:val="00E73FE5"/>
    <w:rsid w:val="00E7564E"/>
    <w:rsid w:val="00E775A3"/>
    <w:rsid w:val="00E779E3"/>
    <w:rsid w:val="00E77BE5"/>
    <w:rsid w:val="00E77D2F"/>
    <w:rsid w:val="00E80033"/>
    <w:rsid w:val="00E800CE"/>
    <w:rsid w:val="00E80BCD"/>
    <w:rsid w:val="00E84D8D"/>
    <w:rsid w:val="00E85107"/>
    <w:rsid w:val="00E857FB"/>
    <w:rsid w:val="00E85A96"/>
    <w:rsid w:val="00E87B70"/>
    <w:rsid w:val="00E91E6D"/>
    <w:rsid w:val="00E932AE"/>
    <w:rsid w:val="00E9399B"/>
    <w:rsid w:val="00E946A3"/>
    <w:rsid w:val="00E96114"/>
    <w:rsid w:val="00EA152A"/>
    <w:rsid w:val="00EA1F48"/>
    <w:rsid w:val="00EA255C"/>
    <w:rsid w:val="00EA33D8"/>
    <w:rsid w:val="00EA365E"/>
    <w:rsid w:val="00EA42F9"/>
    <w:rsid w:val="00EA519C"/>
    <w:rsid w:val="00EA54B7"/>
    <w:rsid w:val="00EA5E46"/>
    <w:rsid w:val="00EA7144"/>
    <w:rsid w:val="00EA7474"/>
    <w:rsid w:val="00EA7EDB"/>
    <w:rsid w:val="00EB3F5D"/>
    <w:rsid w:val="00EB4D65"/>
    <w:rsid w:val="00EB762F"/>
    <w:rsid w:val="00EC01FB"/>
    <w:rsid w:val="00EC0832"/>
    <w:rsid w:val="00EC0D22"/>
    <w:rsid w:val="00EC0F10"/>
    <w:rsid w:val="00EC1704"/>
    <w:rsid w:val="00EC2308"/>
    <w:rsid w:val="00EC4991"/>
    <w:rsid w:val="00EC5257"/>
    <w:rsid w:val="00EC582D"/>
    <w:rsid w:val="00EC6337"/>
    <w:rsid w:val="00EC6A05"/>
    <w:rsid w:val="00ED03D2"/>
    <w:rsid w:val="00ED2ACC"/>
    <w:rsid w:val="00ED3950"/>
    <w:rsid w:val="00ED3B36"/>
    <w:rsid w:val="00ED52C9"/>
    <w:rsid w:val="00ED5B32"/>
    <w:rsid w:val="00ED6095"/>
    <w:rsid w:val="00ED690D"/>
    <w:rsid w:val="00EE20E5"/>
    <w:rsid w:val="00EE242E"/>
    <w:rsid w:val="00EE2CA3"/>
    <w:rsid w:val="00EE3907"/>
    <w:rsid w:val="00EE4897"/>
    <w:rsid w:val="00EE489F"/>
    <w:rsid w:val="00EE4BDA"/>
    <w:rsid w:val="00EE67E6"/>
    <w:rsid w:val="00EE7976"/>
    <w:rsid w:val="00EF0E3C"/>
    <w:rsid w:val="00EF2058"/>
    <w:rsid w:val="00EF2787"/>
    <w:rsid w:val="00EF3B0E"/>
    <w:rsid w:val="00EF43D2"/>
    <w:rsid w:val="00EF48E6"/>
    <w:rsid w:val="00EF52AF"/>
    <w:rsid w:val="00EF6F37"/>
    <w:rsid w:val="00EF749C"/>
    <w:rsid w:val="00F001D7"/>
    <w:rsid w:val="00F00A69"/>
    <w:rsid w:val="00F01394"/>
    <w:rsid w:val="00F018A7"/>
    <w:rsid w:val="00F039FC"/>
    <w:rsid w:val="00F05F3D"/>
    <w:rsid w:val="00F07645"/>
    <w:rsid w:val="00F10F77"/>
    <w:rsid w:val="00F13295"/>
    <w:rsid w:val="00F1354E"/>
    <w:rsid w:val="00F1568D"/>
    <w:rsid w:val="00F15E54"/>
    <w:rsid w:val="00F165BE"/>
    <w:rsid w:val="00F16F39"/>
    <w:rsid w:val="00F174A3"/>
    <w:rsid w:val="00F21AE9"/>
    <w:rsid w:val="00F23047"/>
    <w:rsid w:val="00F234B5"/>
    <w:rsid w:val="00F23A7B"/>
    <w:rsid w:val="00F23FE3"/>
    <w:rsid w:val="00F242EF"/>
    <w:rsid w:val="00F248AA"/>
    <w:rsid w:val="00F273BD"/>
    <w:rsid w:val="00F27618"/>
    <w:rsid w:val="00F314A1"/>
    <w:rsid w:val="00F31AC6"/>
    <w:rsid w:val="00F32255"/>
    <w:rsid w:val="00F338A0"/>
    <w:rsid w:val="00F34ACF"/>
    <w:rsid w:val="00F34B7C"/>
    <w:rsid w:val="00F353CC"/>
    <w:rsid w:val="00F356A4"/>
    <w:rsid w:val="00F35846"/>
    <w:rsid w:val="00F36403"/>
    <w:rsid w:val="00F41769"/>
    <w:rsid w:val="00F4194E"/>
    <w:rsid w:val="00F43C3E"/>
    <w:rsid w:val="00F43C76"/>
    <w:rsid w:val="00F45E22"/>
    <w:rsid w:val="00F5231D"/>
    <w:rsid w:val="00F532CE"/>
    <w:rsid w:val="00F54526"/>
    <w:rsid w:val="00F54CF4"/>
    <w:rsid w:val="00F55717"/>
    <w:rsid w:val="00F57B53"/>
    <w:rsid w:val="00F57BE0"/>
    <w:rsid w:val="00F639A2"/>
    <w:rsid w:val="00F648C4"/>
    <w:rsid w:val="00F64D78"/>
    <w:rsid w:val="00F65E11"/>
    <w:rsid w:val="00F6692D"/>
    <w:rsid w:val="00F66FD7"/>
    <w:rsid w:val="00F71035"/>
    <w:rsid w:val="00F73423"/>
    <w:rsid w:val="00F7512C"/>
    <w:rsid w:val="00F77112"/>
    <w:rsid w:val="00F8568F"/>
    <w:rsid w:val="00F8667D"/>
    <w:rsid w:val="00F866D0"/>
    <w:rsid w:val="00F87327"/>
    <w:rsid w:val="00F8770E"/>
    <w:rsid w:val="00F9001E"/>
    <w:rsid w:val="00F9078E"/>
    <w:rsid w:val="00F91F83"/>
    <w:rsid w:val="00F9337E"/>
    <w:rsid w:val="00F94233"/>
    <w:rsid w:val="00F96DBA"/>
    <w:rsid w:val="00F97679"/>
    <w:rsid w:val="00FA1A74"/>
    <w:rsid w:val="00FA452A"/>
    <w:rsid w:val="00FA7302"/>
    <w:rsid w:val="00FB0901"/>
    <w:rsid w:val="00FB107F"/>
    <w:rsid w:val="00FB1C83"/>
    <w:rsid w:val="00FB242B"/>
    <w:rsid w:val="00FB340D"/>
    <w:rsid w:val="00FB42C9"/>
    <w:rsid w:val="00FB7B26"/>
    <w:rsid w:val="00FC1866"/>
    <w:rsid w:val="00FC2101"/>
    <w:rsid w:val="00FC265E"/>
    <w:rsid w:val="00FC3E3A"/>
    <w:rsid w:val="00FC7671"/>
    <w:rsid w:val="00FD2094"/>
    <w:rsid w:val="00FD2CA4"/>
    <w:rsid w:val="00FD38F7"/>
    <w:rsid w:val="00FD6ADD"/>
    <w:rsid w:val="00FE0057"/>
    <w:rsid w:val="00FE0834"/>
    <w:rsid w:val="00FE34DB"/>
    <w:rsid w:val="00FE353E"/>
    <w:rsid w:val="00FE3B2F"/>
    <w:rsid w:val="00FE51B3"/>
    <w:rsid w:val="00FF087F"/>
    <w:rsid w:val="00FF1AE0"/>
    <w:rsid w:val="00FF2A58"/>
    <w:rsid w:val="00FF324D"/>
    <w:rsid w:val="00FF3A9E"/>
    <w:rsid w:val="00FF4A89"/>
    <w:rsid w:val="00FF71D2"/>
    <w:rsid w:val="00FF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85612"/>
  <w15:docId w15:val="{6EDBFF3A-BA76-4054-9CF6-FB128D71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 w:type="character" w:styleId="PlaceholderText">
    <w:name w:val="Placeholder Text"/>
    <w:basedOn w:val="DefaultParagraphFont"/>
    <w:uiPriority w:val="99"/>
    <w:semiHidden/>
    <w:rsid w:val="00784A02"/>
    <w:rPr>
      <w:color w:val="808080"/>
    </w:rPr>
  </w:style>
  <w:style w:type="paragraph" w:styleId="NormalWeb">
    <w:name w:val="Normal (Web)"/>
    <w:basedOn w:val="Normal"/>
    <w:uiPriority w:val="99"/>
    <w:semiHidden/>
    <w:unhideWhenUsed/>
    <w:rsid w:val="002D2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3C2A24"/>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D20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721">
      <w:bodyDiv w:val="1"/>
      <w:marLeft w:val="0"/>
      <w:marRight w:val="0"/>
      <w:marTop w:val="0"/>
      <w:marBottom w:val="0"/>
      <w:divBdr>
        <w:top w:val="none" w:sz="0" w:space="0" w:color="auto"/>
        <w:left w:val="none" w:sz="0" w:space="0" w:color="auto"/>
        <w:bottom w:val="none" w:sz="0" w:space="0" w:color="auto"/>
        <w:right w:val="none" w:sz="0" w:space="0" w:color="auto"/>
      </w:divBdr>
    </w:div>
    <w:div w:id="64954955">
      <w:bodyDiv w:val="1"/>
      <w:marLeft w:val="0"/>
      <w:marRight w:val="0"/>
      <w:marTop w:val="0"/>
      <w:marBottom w:val="0"/>
      <w:divBdr>
        <w:top w:val="none" w:sz="0" w:space="0" w:color="auto"/>
        <w:left w:val="none" w:sz="0" w:space="0" w:color="auto"/>
        <w:bottom w:val="none" w:sz="0" w:space="0" w:color="auto"/>
        <w:right w:val="none" w:sz="0" w:space="0" w:color="auto"/>
      </w:divBdr>
    </w:div>
    <w:div w:id="177668593">
      <w:bodyDiv w:val="1"/>
      <w:marLeft w:val="0"/>
      <w:marRight w:val="0"/>
      <w:marTop w:val="0"/>
      <w:marBottom w:val="0"/>
      <w:divBdr>
        <w:top w:val="none" w:sz="0" w:space="0" w:color="auto"/>
        <w:left w:val="none" w:sz="0" w:space="0" w:color="auto"/>
        <w:bottom w:val="none" w:sz="0" w:space="0" w:color="auto"/>
        <w:right w:val="none" w:sz="0" w:space="0" w:color="auto"/>
      </w:divBdr>
    </w:div>
    <w:div w:id="208226412">
      <w:bodyDiv w:val="1"/>
      <w:marLeft w:val="0"/>
      <w:marRight w:val="0"/>
      <w:marTop w:val="0"/>
      <w:marBottom w:val="0"/>
      <w:divBdr>
        <w:top w:val="none" w:sz="0" w:space="0" w:color="auto"/>
        <w:left w:val="none" w:sz="0" w:space="0" w:color="auto"/>
        <w:bottom w:val="none" w:sz="0" w:space="0" w:color="auto"/>
        <w:right w:val="none" w:sz="0" w:space="0" w:color="auto"/>
      </w:divBdr>
    </w:div>
    <w:div w:id="257563717">
      <w:bodyDiv w:val="1"/>
      <w:marLeft w:val="0"/>
      <w:marRight w:val="0"/>
      <w:marTop w:val="0"/>
      <w:marBottom w:val="0"/>
      <w:divBdr>
        <w:top w:val="none" w:sz="0" w:space="0" w:color="auto"/>
        <w:left w:val="none" w:sz="0" w:space="0" w:color="auto"/>
        <w:bottom w:val="none" w:sz="0" w:space="0" w:color="auto"/>
        <w:right w:val="none" w:sz="0" w:space="0" w:color="auto"/>
      </w:divBdr>
    </w:div>
    <w:div w:id="297490002">
      <w:bodyDiv w:val="1"/>
      <w:marLeft w:val="0"/>
      <w:marRight w:val="0"/>
      <w:marTop w:val="0"/>
      <w:marBottom w:val="0"/>
      <w:divBdr>
        <w:top w:val="none" w:sz="0" w:space="0" w:color="auto"/>
        <w:left w:val="none" w:sz="0" w:space="0" w:color="auto"/>
        <w:bottom w:val="none" w:sz="0" w:space="0" w:color="auto"/>
        <w:right w:val="none" w:sz="0" w:space="0" w:color="auto"/>
      </w:divBdr>
    </w:div>
    <w:div w:id="308901306">
      <w:bodyDiv w:val="1"/>
      <w:marLeft w:val="0"/>
      <w:marRight w:val="0"/>
      <w:marTop w:val="0"/>
      <w:marBottom w:val="0"/>
      <w:divBdr>
        <w:top w:val="none" w:sz="0" w:space="0" w:color="auto"/>
        <w:left w:val="none" w:sz="0" w:space="0" w:color="auto"/>
        <w:bottom w:val="none" w:sz="0" w:space="0" w:color="auto"/>
        <w:right w:val="none" w:sz="0" w:space="0" w:color="auto"/>
      </w:divBdr>
    </w:div>
    <w:div w:id="328757076">
      <w:bodyDiv w:val="1"/>
      <w:marLeft w:val="0"/>
      <w:marRight w:val="0"/>
      <w:marTop w:val="0"/>
      <w:marBottom w:val="0"/>
      <w:divBdr>
        <w:top w:val="none" w:sz="0" w:space="0" w:color="auto"/>
        <w:left w:val="none" w:sz="0" w:space="0" w:color="auto"/>
        <w:bottom w:val="none" w:sz="0" w:space="0" w:color="auto"/>
        <w:right w:val="none" w:sz="0" w:space="0" w:color="auto"/>
      </w:divBdr>
    </w:div>
    <w:div w:id="348215807">
      <w:bodyDiv w:val="1"/>
      <w:marLeft w:val="0"/>
      <w:marRight w:val="0"/>
      <w:marTop w:val="0"/>
      <w:marBottom w:val="0"/>
      <w:divBdr>
        <w:top w:val="none" w:sz="0" w:space="0" w:color="auto"/>
        <w:left w:val="none" w:sz="0" w:space="0" w:color="auto"/>
        <w:bottom w:val="none" w:sz="0" w:space="0" w:color="auto"/>
        <w:right w:val="none" w:sz="0" w:space="0" w:color="auto"/>
      </w:divBdr>
    </w:div>
    <w:div w:id="394819933">
      <w:bodyDiv w:val="1"/>
      <w:marLeft w:val="0"/>
      <w:marRight w:val="0"/>
      <w:marTop w:val="0"/>
      <w:marBottom w:val="0"/>
      <w:divBdr>
        <w:top w:val="none" w:sz="0" w:space="0" w:color="auto"/>
        <w:left w:val="none" w:sz="0" w:space="0" w:color="auto"/>
        <w:bottom w:val="none" w:sz="0" w:space="0" w:color="auto"/>
        <w:right w:val="none" w:sz="0" w:space="0" w:color="auto"/>
      </w:divBdr>
    </w:div>
    <w:div w:id="413089492">
      <w:bodyDiv w:val="1"/>
      <w:marLeft w:val="0"/>
      <w:marRight w:val="0"/>
      <w:marTop w:val="0"/>
      <w:marBottom w:val="0"/>
      <w:divBdr>
        <w:top w:val="none" w:sz="0" w:space="0" w:color="auto"/>
        <w:left w:val="none" w:sz="0" w:space="0" w:color="auto"/>
        <w:bottom w:val="none" w:sz="0" w:space="0" w:color="auto"/>
        <w:right w:val="none" w:sz="0" w:space="0" w:color="auto"/>
      </w:divBdr>
    </w:div>
    <w:div w:id="445317812">
      <w:bodyDiv w:val="1"/>
      <w:marLeft w:val="0"/>
      <w:marRight w:val="0"/>
      <w:marTop w:val="0"/>
      <w:marBottom w:val="0"/>
      <w:divBdr>
        <w:top w:val="none" w:sz="0" w:space="0" w:color="auto"/>
        <w:left w:val="none" w:sz="0" w:space="0" w:color="auto"/>
        <w:bottom w:val="none" w:sz="0" w:space="0" w:color="auto"/>
        <w:right w:val="none" w:sz="0" w:space="0" w:color="auto"/>
      </w:divBdr>
    </w:div>
    <w:div w:id="518541556">
      <w:bodyDiv w:val="1"/>
      <w:marLeft w:val="0"/>
      <w:marRight w:val="0"/>
      <w:marTop w:val="0"/>
      <w:marBottom w:val="0"/>
      <w:divBdr>
        <w:top w:val="none" w:sz="0" w:space="0" w:color="auto"/>
        <w:left w:val="none" w:sz="0" w:space="0" w:color="auto"/>
        <w:bottom w:val="none" w:sz="0" w:space="0" w:color="auto"/>
        <w:right w:val="none" w:sz="0" w:space="0" w:color="auto"/>
      </w:divBdr>
    </w:div>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566376554">
      <w:bodyDiv w:val="1"/>
      <w:marLeft w:val="0"/>
      <w:marRight w:val="0"/>
      <w:marTop w:val="0"/>
      <w:marBottom w:val="0"/>
      <w:divBdr>
        <w:top w:val="none" w:sz="0" w:space="0" w:color="auto"/>
        <w:left w:val="none" w:sz="0" w:space="0" w:color="auto"/>
        <w:bottom w:val="none" w:sz="0" w:space="0" w:color="auto"/>
        <w:right w:val="none" w:sz="0" w:space="0" w:color="auto"/>
      </w:divBdr>
    </w:div>
    <w:div w:id="588201285">
      <w:bodyDiv w:val="1"/>
      <w:marLeft w:val="0"/>
      <w:marRight w:val="0"/>
      <w:marTop w:val="0"/>
      <w:marBottom w:val="0"/>
      <w:divBdr>
        <w:top w:val="none" w:sz="0" w:space="0" w:color="auto"/>
        <w:left w:val="none" w:sz="0" w:space="0" w:color="auto"/>
        <w:bottom w:val="none" w:sz="0" w:space="0" w:color="auto"/>
        <w:right w:val="none" w:sz="0" w:space="0" w:color="auto"/>
      </w:divBdr>
    </w:div>
    <w:div w:id="592468997">
      <w:bodyDiv w:val="1"/>
      <w:marLeft w:val="0"/>
      <w:marRight w:val="0"/>
      <w:marTop w:val="0"/>
      <w:marBottom w:val="0"/>
      <w:divBdr>
        <w:top w:val="none" w:sz="0" w:space="0" w:color="auto"/>
        <w:left w:val="none" w:sz="0" w:space="0" w:color="auto"/>
        <w:bottom w:val="none" w:sz="0" w:space="0" w:color="auto"/>
        <w:right w:val="none" w:sz="0" w:space="0" w:color="auto"/>
      </w:divBdr>
    </w:div>
    <w:div w:id="616108199">
      <w:bodyDiv w:val="1"/>
      <w:marLeft w:val="0"/>
      <w:marRight w:val="0"/>
      <w:marTop w:val="0"/>
      <w:marBottom w:val="0"/>
      <w:divBdr>
        <w:top w:val="none" w:sz="0" w:space="0" w:color="auto"/>
        <w:left w:val="none" w:sz="0" w:space="0" w:color="auto"/>
        <w:bottom w:val="none" w:sz="0" w:space="0" w:color="auto"/>
        <w:right w:val="none" w:sz="0" w:space="0" w:color="auto"/>
      </w:divBdr>
    </w:div>
    <w:div w:id="707532640">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946235880">
      <w:bodyDiv w:val="1"/>
      <w:marLeft w:val="0"/>
      <w:marRight w:val="0"/>
      <w:marTop w:val="0"/>
      <w:marBottom w:val="0"/>
      <w:divBdr>
        <w:top w:val="none" w:sz="0" w:space="0" w:color="auto"/>
        <w:left w:val="none" w:sz="0" w:space="0" w:color="auto"/>
        <w:bottom w:val="none" w:sz="0" w:space="0" w:color="auto"/>
        <w:right w:val="none" w:sz="0" w:space="0" w:color="auto"/>
      </w:divBdr>
    </w:div>
    <w:div w:id="1040516130">
      <w:bodyDiv w:val="1"/>
      <w:marLeft w:val="0"/>
      <w:marRight w:val="0"/>
      <w:marTop w:val="0"/>
      <w:marBottom w:val="0"/>
      <w:divBdr>
        <w:top w:val="none" w:sz="0" w:space="0" w:color="auto"/>
        <w:left w:val="none" w:sz="0" w:space="0" w:color="auto"/>
        <w:bottom w:val="none" w:sz="0" w:space="0" w:color="auto"/>
        <w:right w:val="none" w:sz="0" w:space="0" w:color="auto"/>
      </w:divBdr>
    </w:div>
    <w:div w:id="1066758141">
      <w:bodyDiv w:val="1"/>
      <w:marLeft w:val="0"/>
      <w:marRight w:val="0"/>
      <w:marTop w:val="0"/>
      <w:marBottom w:val="0"/>
      <w:divBdr>
        <w:top w:val="none" w:sz="0" w:space="0" w:color="auto"/>
        <w:left w:val="none" w:sz="0" w:space="0" w:color="auto"/>
        <w:bottom w:val="none" w:sz="0" w:space="0" w:color="auto"/>
        <w:right w:val="none" w:sz="0" w:space="0" w:color="auto"/>
      </w:divBdr>
    </w:div>
    <w:div w:id="1072433884">
      <w:bodyDiv w:val="1"/>
      <w:marLeft w:val="0"/>
      <w:marRight w:val="0"/>
      <w:marTop w:val="0"/>
      <w:marBottom w:val="0"/>
      <w:divBdr>
        <w:top w:val="none" w:sz="0" w:space="0" w:color="auto"/>
        <w:left w:val="none" w:sz="0" w:space="0" w:color="auto"/>
        <w:bottom w:val="none" w:sz="0" w:space="0" w:color="auto"/>
        <w:right w:val="none" w:sz="0" w:space="0" w:color="auto"/>
      </w:divBdr>
    </w:div>
    <w:div w:id="1073042316">
      <w:bodyDiv w:val="1"/>
      <w:marLeft w:val="0"/>
      <w:marRight w:val="0"/>
      <w:marTop w:val="0"/>
      <w:marBottom w:val="0"/>
      <w:divBdr>
        <w:top w:val="none" w:sz="0" w:space="0" w:color="auto"/>
        <w:left w:val="none" w:sz="0" w:space="0" w:color="auto"/>
        <w:bottom w:val="none" w:sz="0" w:space="0" w:color="auto"/>
        <w:right w:val="none" w:sz="0" w:space="0" w:color="auto"/>
      </w:divBdr>
    </w:div>
    <w:div w:id="1089889154">
      <w:bodyDiv w:val="1"/>
      <w:marLeft w:val="0"/>
      <w:marRight w:val="0"/>
      <w:marTop w:val="0"/>
      <w:marBottom w:val="0"/>
      <w:divBdr>
        <w:top w:val="none" w:sz="0" w:space="0" w:color="auto"/>
        <w:left w:val="none" w:sz="0" w:space="0" w:color="auto"/>
        <w:bottom w:val="none" w:sz="0" w:space="0" w:color="auto"/>
        <w:right w:val="none" w:sz="0" w:space="0" w:color="auto"/>
      </w:divBdr>
    </w:div>
    <w:div w:id="1130628774">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302538569">
      <w:bodyDiv w:val="1"/>
      <w:marLeft w:val="0"/>
      <w:marRight w:val="0"/>
      <w:marTop w:val="0"/>
      <w:marBottom w:val="0"/>
      <w:divBdr>
        <w:top w:val="none" w:sz="0" w:space="0" w:color="auto"/>
        <w:left w:val="none" w:sz="0" w:space="0" w:color="auto"/>
        <w:bottom w:val="none" w:sz="0" w:space="0" w:color="auto"/>
        <w:right w:val="none" w:sz="0" w:space="0" w:color="auto"/>
      </w:divBdr>
    </w:div>
    <w:div w:id="1308123643">
      <w:bodyDiv w:val="1"/>
      <w:marLeft w:val="0"/>
      <w:marRight w:val="0"/>
      <w:marTop w:val="0"/>
      <w:marBottom w:val="0"/>
      <w:divBdr>
        <w:top w:val="none" w:sz="0" w:space="0" w:color="auto"/>
        <w:left w:val="none" w:sz="0" w:space="0" w:color="auto"/>
        <w:bottom w:val="none" w:sz="0" w:space="0" w:color="auto"/>
        <w:right w:val="none" w:sz="0" w:space="0" w:color="auto"/>
      </w:divBdr>
    </w:div>
    <w:div w:id="1325819021">
      <w:bodyDiv w:val="1"/>
      <w:marLeft w:val="0"/>
      <w:marRight w:val="0"/>
      <w:marTop w:val="0"/>
      <w:marBottom w:val="0"/>
      <w:divBdr>
        <w:top w:val="none" w:sz="0" w:space="0" w:color="auto"/>
        <w:left w:val="none" w:sz="0" w:space="0" w:color="auto"/>
        <w:bottom w:val="none" w:sz="0" w:space="0" w:color="auto"/>
        <w:right w:val="none" w:sz="0" w:space="0" w:color="auto"/>
      </w:divBdr>
    </w:div>
    <w:div w:id="1371342992">
      <w:bodyDiv w:val="1"/>
      <w:marLeft w:val="0"/>
      <w:marRight w:val="0"/>
      <w:marTop w:val="0"/>
      <w:marBottom w:val="0"/>
      <w:divBdr>
        <w:top w:val="none" w:sz="0" w:space="0" w:color="auto"/>
        <w:left w:val="none" w:sz="0" w:space="0" w:color="auto"/>
        <w:bottom w:val="none" w:sz="0" w:space="0" w:color="auto"/>
        <w:right w:val="none" w:sz="0" w:space="0" w:color="auto"/>
      </w:divBdr>
    </w:div>
    <w:div w:id="1385330007">
      <w:bodyDiv w:val="1"/>
      <w:marLeft w:val="0"/>
      <w:marRight w:val="0"/>
      <w:marTop w:val="0"/>
      <w:marBottom w:val="0"/>
      <w:divBdr>
        <w:top w:val="none" w:sz="0" w:space="0" w:color="auto"/>
        <w:left w:val="none" w:sz="0" w:space="0" w:color="auto"/>
        <w:bottom w:val="none" w:sz="0" w:space="0" w:color="auto"/>
        <w:right w:val="none" w:sz="0" w:space="0" w:color="auto"/>
      </w:divBdr>
    </w:div>
    <w:div w:id="1389264045">
      <w:bodyDiv w:val="1"/>
      <w:marLeft w:val="0"/>
      <w:marRight w:val="0"/>
      <w:marTop w:val="0"/>
      <w:marBottom w:val="0"/>
      <w:divBdr>
        <w:top w:val="none" w:sz="0" w:space="0" w:color="auto"/>
        <w:left w:val="none" w:sz="0" w:space="0" w:color="auto"/>
        <w:bottom w:val="none" w:sz="0" w:space="0" w:color="auto"/>
        <w:right w:val="none" w:sz="0" w:space="0" w:color="auto"/>
      </w:divBdr>
    </w:div>
    <w:div w:id="1449160689">
      <w:bodyDiv w:val="1"/>
      <w:marLeft w:val="0"/>
      <w:marRight w:val="0"/>
      <w:marTop w:val="0"/>
      <w:marBottom w:val="0"/>
      <w:divBdr>
        <w:top w:val="none" w:sz="0" w:space="0" w:color="auto"/>
        <w:left w:val="none" w:sz="0" w:space="0" w:color="auto"/>
        <w:bottom w:val="none" w:sz="0" w:space="0" w:color="auto"/>
        <w:right w:val="none" w:sz="0" w:space="0" w:color="auto"/>
      </w:divBdr>
    </w:div>
    <w:div w:id="1572153931">
      <w:bodyDiv w:val="1"/>
      <w:marLeft w:val="0"/>
      <w:marRight w:val="0"/>
      <w:marTop w:val="0"/>
      <w:marBottom w:val="0"/>
      <w:divBdr>
        <w:top w:val="none" w:sz="0" w:space="0" w:color="auto"/>
        <w:left w:val="none" w:sz="0" w:space="0" w:color="auto"/>
        <w:bottom w:val="none" w:sz="0" w:space="0" w:color="auto"/>
        <w:right w:val="none" w:sz="0" w:space="0" w:color="auto"/>
      </w:divBdr>
    </w:div>
    <w:div w:id="1579947884">
      <w:bodyDiv w:val="1"/>
      <w:marLeft w:val="0"/>
      <w:marRight w:val="0"/>
      <w:marTop w:val="0"/>
      <w:marBottom w:val="0"/>
      <w:divBdr>
        <w:top w:val="none" w:sz="0" w:space="0" w:color="auto"/>
        <w:left w:val="none" w:sz="0" w:space="0" w:color="auto"/>
        <w:bottom w:val="none" w:sz="0" w:space="0" w:color="auto"/>
        <w:right w:val="none" w:sz="0" w:space="0" w:color="auto"/>
      </w:divBdr>
    </w:div>
    <w:div w:id="1606038394">
      <w:bodyDiv w:val="1"/>
      <w:marLeft w:val="0"/>
      <w:marRight w:val="0"/>
      <w:marTop w:val="0"/>
      <w:marBottom w:val="0"/>
      <w:divBdr>
        <w:top w:val="none" w:sz="0" w:space="0" w:color="auto"/>
        <w:left w:val="none" w:sz="0" w:space="0" w:color="auto"/>
        <w:bottom w:val="none" w:sz="0" w:space="0" w:color="auto"/>
        <w:right w:val="none" w:sz="0" w:space="0" w:color="auto"/>
      </w:divBdr>
    </w:div>
    <w:div w:id="1628731611">
      <w:bodyDiv w:val="1"/>
      <w:marLeft w:val="0"/>
      <w:marRight w:val="0"/>
      <w:marTop w:val="0"/>
      <w:marBottom w:val="0"/>
      <w:divBdr>
        <w:top w:val="none" w:sz="0" w:space="0" w:color="auto"/>
        <w:left w:val="none" w:sz="0" w:space="0" w:color="auto"/>
        <w:bottom w:val="none" w:sz="0" w:space="0" w:color="auto"/>
        <w:right w:val="none" w:sz="0" w:space="0" w:color="auto"/>
      </w:divBdr>
    </w:div>
    <w:div w:id="1744713645">
      <w:bodyDiv w:val="1"/>
      <w:marLeft w:val="0"/>
      <w:marRight w:val="0"/>
      <w:marTop w:val="0"/>
      <w:marBottom w:val="0"/>
      <w:divBdr>
        <w:top w:val="none" w:sz="0" w:space="0" w:color="auto"/>
        <w:left w:val="none" w:sz="0" w:space="0" w:color="auto"/>
        <w:bottom w:val="none" w:sz="0" w:space="0" w:color="auto"/>
        <w:right w:val="none" w:sz="0" w:space="0" w:color="auto"/>
      </w:divBdr>
    </w:div>
    <w:div w:id="1780759695">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782917176">
      <w:bodyDiv w:val="1"/>
      <w:marLeft w:val="0"/>
      <w:marRight w:val="0"/>
      <w:marTop w:val="0"/>
      <w:marBottom w:val="0"/>
      <w:divBdr>
        <w:top w:val="none" w:sz="0" w:space="0" w:color="auto"/>
        <w:left w:val="none" w:sz="0" w:space="0" w:color="auto"/>
        <w:bottom w:val="none" w:sz="0" w:space="0" w:color="auto"/>
        <w:right w:val="none" w:sz="0" w:space="0" w:color="auto"/>
      </w:divBdr>
    </w:div>
    <w:div w:id="1836261989">
      <w:bodyDiv w:val="1"/>
      <w:marLeft w:val="0"/>
      <w:marRight w:val="0"/>
      <w:marTop w:val="0"/>
      <w:marBottom w:val="0"/>
      <w:divBdr>
        <w:top w:val="none" w:sz="0" w:space="0" w:color="auto"/>
        <w:left w:val="none" w:sz="0" w:space="0" w:color="auto"/>
        <w:bottom w:val="none" w:sz="0" w:space="0" w:color="auto"/>
        <w:right w:val="none" w:sz="0" w:space="0" w:color="auto"/>
      </w:divBdr>
    </w:div>
    <w:div w:id="1851025361">
      <w:bodyDiv w:val="1"/>
      <w:marLeft w:val="0"/>
      <w:marRight w:val="0"/>
      <w:marTop w:val="0"/>
      <w:marBottom w:val="0"/>
      <w:divBdr>
        <w:top w:val="none" w:sz="0" w:space="0" w:color="auto"/>
        <w:left w:val="none" w:sz="0" w:space="0" w:color="auto"/>
        <w:bottom w:val="none" w:sz="0" w:space="0" w:color="auto"/>
        <w:right w:val="none" w:sz="0" w:space="0" w:color="auto"/>
      </w:divBdr>
    </w:div>
    <w:div w:id="1873613619">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 w:id="1962689479">
      <w:bodyDiv w:val="1"/>
      <w:marLeft w:val="0"/>
      <w:marRight w:val="0"/>
      <w:marTop w:val="0"/>
      <w:marBottom w:val="0"/>
      <w:divBdr>
        <w:top w:val="none" w:sz="0" w:space="0" w:color="auto"/>
        <w:left w:val="none" w:sz="0" w:space="0" w:color="auto"/>
        <w:bottom w:val="none" w:sz="0" w:space="0" w:color="auto"/>
        <w:right w:val="none" w:sz="0" w:space="0" w:color="auto"/>
      </w:divBdr>
    </w:div>
    <w:div w:id="1980648623">
      <w:bodyDiv w:val="1"/>
      <w:marLeft w:val="0"/>
      <w:marRight w:val="0"/>
      <w:marTop w:val="0"/>
      <w:marBottom w:val="0"/>
      <w:divBdr>
        <w:top w:val="none" w:sz="0" w:space="0" w:color="auto"/>
        <w:left w:val="none" w:sz="0" w:space="0" w:color="auto"/>
        <w:bottom w:val="none" w:sz="0" w:space="0" w:color="auto"/>
        <w:right w:val="none" w:sz="0" w:space="0" w:color="auto"/>
      </w:divBdr>
    </w:div>
    <w:div w:id="1981841392">
      <w:bodyDiv w:val="1"/>
      <w:marLeft w:val="0"/>
      <w:marRight w:val="0"/>
      <w:marTop w:val="0"/>
      <w:marBottom w:val="0"/>
      <w:divBdr>
        <w:top w:val="none" w:sz="0" w:space="0" w:color="auto"/>
        <w:left w:val="none" w:sz="0" w:space="0" w:color="auto"/>
        <w:bottom w:val="none" w:sz="0" w:space="0" w:color="auto"/>
        <w:right w:val="none" w:sz="0" w:space="0" w:color="auto"/>
      </w:divBdr>
    </w:div>
    <w:div w:id="2051880435">
      <w:bodyDiv w:val="1"/>
      <w:marLeft w:val="0"/>
      <w:marRight w:val="0"/>
      <w:marTop w:val="0"/>
      <w:marBottom w:val="0"/>
      <w:divBdr>
        <w:top w:val="none" w:sz="0" w:space="0" w:color="auto"/>
        <w:left w:val="none" w:sz="0" w:space="0" w:color="auto"/>
        <w:bottom w:val="none" w:sz="0" w:space="0" w:color="auto"/>
        <w:right w:val="none" w:sz="0" w:space="0" w:color="auto"/>
      </w:divBdr>
    </w:div>
    <w:div w:id="2061707833">
      <w:bodyDiv w:val="1"/>
      <w:marLeft w:val="0"/>
      <w:marRight w:val="0"/>
      <w:marTop w:val="0"/>
      <w:marBottom w:val="0"/>
      <w:divBdr>
        <w:top w:val="none" w:sz="0" w:space="0" w:color="auto"/>
        <w:left w:val="none" w:sz="0" w:space="0" w:color="auto"/>
        <w:bottom w:val="none" w:sz="0" w:space="0" w:color="auto"/>
        <w:right w:val="none" w:sz="0" w:space="0" w:color="auto"/>
      </w:divBdr>
    </w:div>
    <w:div w:id="2099590408">
      <w:bodyDiv w:val="1"/>
      <w:marLeft w:val="0"/>
      <w:marRight w:val="0"/>
      <w:marTop w:val="0"/>
      <w:marBottom w:val="0"/>
      <w:divBdr>
        <w:top w:val="none" w:sz="0" w:space="0" w:color="auto"/>
        <w:left w:val="none" w:sz="0" w:space="0" w:color="auto"/>
        <w:bottom w:val="none" w:sz="0" w:space="0" w:color="auto"/>
        <w:right w:val="none" w:sz="0" w:space="0" w:color="auto"/>
      </w:divBdr>
    </w:div>
    <w:div w:id="2128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yazgi.genc\Dropbox\AN_Bolgesel_issizlik\2018\bolgesel_issizlik_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yazgi.genc\Desktop\YAZGI\AN_Bolgesel_issizlik\2018\bolgesel_issizlik_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azgi.genc\Desktop\YAZGI\AN_Bolgesel_issizlik\2018\bolgesel_issizlik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63310522357E-2"/>
          <c:y val="1.97677245667989E-2"/>
          <c:w val="0.90081311490240301"/>
          <c:h val="0.88717890288817403"/>
        </c:manualLayout>
      </c:layout>
      <c:barChart>
        <c:barDir val="bar"/>
        <c:grouping val="clustered"/>
        <c:varyColors val="0"/>
        <c:ser>
          <c:idx val="0"/>
          <c:order val="0"/>
          <c:tx>
            <c:strRef>
              <c:f>Sekil_1!$C$3</c:f>
              <c:strCache>
                <c:ptCount val="1"/>
                <c:pt idx="0">
                  <c:v>2017</c:v>
                </c:pt>
              </c:strCache>
            </c:strRef>
          </c:tx>
          <c:spPr>
            <a:solidFill>
              <a:schemeClr val="accent6">
                <a:lumMod val="60000"/>
                <a:lumOff val="40000"/>
              </a:schemeClr>
            </a:solidFill>
            <a:ln>
              <a:noFill/>
            </a:ln>
            <a:effectLst/>
          </c:spPr>
          <c:invertIfNegative val="0"/>
          <c:dPt>
            <c:idx val="1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E364-4104-8205-27C9C51441F9}"/>
              </c:ext>
            </c:extLst>
          </c:dPt>
          <c:dLbls>
            <c:dLbl>
              <c:idx val="0"/>
              <c:layout>
                <c:manualLayout>
                  <c:x val="-3.2639734687788099E-3"/>
                  <c:y val="3.953544913359769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364-4104-8205-27C9C51441F9}"/>
                </c:ext>
                <c:ext xmlns:c15="http://schemas.microsoft.com/office/drawing/2012/chart" uri="{CE6537A1-D6FC-4f65-9D91-7224C49458BB}"/>
              </c:extLst>
            </c:dLbl>
            <c:dLbl>
              <c:idx val="3"/>
              <c:layout>
                <c:manualLayout>
                  <c:x val="-4.8959602031682101E-3"/>
                  <c:y val="3.953544913359629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364-4104-8205-27C9C51441F9}"/>
                </c:ext>
                <c:ext xmlns:c15="http://schemas.microsoft.com/office/drawing/2012/chart" uri="{CE6537A1-D6FC-4f65-9D91-7224C49458BB}"/>
              </c:extLst>
            </c:dLbl>
            <c:dLbl>
              <c:idx val="5"/>
              <c:layout>
                <c:manualLayout>
                  <c:x val="-9.7919204063364202E-3"/>
                  <c:y val="1.9767724566798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364-4104-8205-27C9C51441F9}"/>
                </c:ext>
                <c:ext xmlns:c15="http://schemas.microsoft.com/office/drawing/2012/chart" uri="{CE6537A1-D6FC-4f65-9D91-7224C49458BB}"/>
              </c:extLst>
            </c:dLbl>
            <c:dLbl>
              <c:idx val="8"/>
              <c:layout>
                <c:manualLayout>
                  <c:x val="-4.8959602031682101E-3"/>
                  <c:y val="5.93031737003966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364-4104-8205-27C9C51441F9}"/>
                </c:ext>
                <c:ext xmlns:c15="http://schemas.microsoft.com/office/drawing/2012/chart" uri="{CE6537A1-D6FC-4f65-9D91-7224C49458BB}"/>
              </c:extLst>
            </c:dLbl>
            <c:dLbl>
              <c:idx val="9"/>
              <c:layout>
                <c:manualLayout>
                  <c:x val="-1.6319867343894E-3"/>
                  <c:y val="3.953544913359700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364-4104-8205-27C9C51441F9}"/>
                </c:ext>
                <c:ext xmlns:c15="http://schemas.microsoft.com/office/drawing/2012/chart" uri="{CE6537A1-D6FC-4f65-9D91-7224C49458BB}"/>
              </c:extLst>
            </c:dLbl>
            <c:dLbl>
              <c:idx val="15"/>
              <c:layout>
                <c:manualLayout>
                  <c:x val="-5.98388223310967E-17"/>
                  <c:y val="-5.93031737003966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364-4104-8205-27C9C51441F9}"/>
                </c:ext>
                <c:ext xmlns:c15="http://schemas.microsoft.com/office/drawing/2012/chart" uri="{CE6537A1-D6FC-4f65-9D91-7224C49458BB}"/>
              </c:extLst>
            </c:dLbl>
            <c:dLbl>
              <c:idx val="16"/>
              <c:layout>
                <c:manualLayout>
                  <c:x val="-1.6319867343894E-3"/>
                  <c:y val="-5.93031737003966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364-4104-8205-27C9C51441F9}"/>
                </c:ext>
                <c:ext xmlns:c15="http://schemas.microsoft.com/office/drawing/2012/chart" uri="{CE6537A1-D6FC-4f65-9D91-7224C49458BB}"/>
              </c:extLst>
            </c:dLbl>
            <c:dLbl>
              <c:idx val="24"/>
              <c:layout>
                <c:manualLayout>
                  <c:x val="-3.2639734687788099E-3"/>
                  <c:y val="5.93031737003966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364-4104-8205-27C9C51441F9}"/>
                </c:ext>
                <c:ext xmlns:c15="http://schemas.microsoft.com/office/drawing/2012/chart" uri="{CE6537A1-D6FC-4f65-9D91-7224C49458BB}"/>
              </c:extLst>
            </c:dLbl>
            <c:dLbl>
              <c:idx val="26"/>
              <c:layout>
                <c:manualLayout>
                  <c:x val="-1.1967764466219301E-16"/>
                  <c:y val="-3.9535449133597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364-4104-8205-27C9C51441F9}"/>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Sekil_1!$A$4:$A$30</c:f>
              <c:strCache>
                <c:ptCount val="27"/>
                <c:pt idx="0">
                  <c:v>TR90</c:v>
                </c:pt>
                <c:pt idx="1">
                  <c:v>TR52</c:v>
                </c:pt>
                <c:pt idx="2">
                  <c:v>TR82</c:v>
                </c:pt>
                <c:pt idx="3">
                  <c:v>TR22 </c:v>
                </c:pt>
                <c:pt idx="4">
                  <c:v>TR33</c:v>
                </c:pt>
                <c:pt idx="5">
                  <c:v>TRA1 </c:v>
                </c:pt>
                <c:pt idx="6">
                  <c:v>TR32 </c:v>
                </c:pt>
                <c:pt idx="7">
                  <c:v>TR21 </c:v>
                </c:pt>
                <c:pt idx="8">
                  <c:v>TRB1 </c:v>
                </c:pt>
                <c:pt idx="9">
                  <c:v>TR81 </c:v>
                </c:pt>
                <c:pt idx="10">
                  <c:v>TR41 </c:v>
                </c:pt>
                <c:pt idx="11">
                  <c:v>TR83</c:v>
                </c:pt>
                <c:pt idx="12">
                  <c:v>TRA2</c:v>
                </c:pt>
                <c:pt idx="13">
                  <c:v>TR51</c:v>
                </c:pt>
                <c:pt idx="14">
                  <c:v>TR42</c:v>
                </c:pt>
                <c:pt idx="15">
                  <c:v>TR62 </c:v>
                </c:pt>
                <c:pt idx="16">
                  <c:v>Turkey</c:v>
                </c:pt>
                <c:pt idx="17">
                  <c:v>TR10</c:v>
                </c:pt>
                <c:pt idx="18">
                  <c:v>TR63 </c:v>
                </c:pt>
                <c:pt idx="19">
                  <c:v>TR61 </c:v>
                </c:pt>
                <c:pt idx="20">
                  <c:v>TR71</c:v>
                </c:pt>
                <c:pt idx="21">
                  <c:v>TR31</c:v>
                </c:pt>
                <c:pt idx="22">
                  <c:v>TR72</c:v>
                </c:pt>
                <c:pt idx="23">
                  <c:v>TRC1 </c:v>
                </c:pt>
                <c:pt idx="24">
                  <c:v>TRC2 </c:v>
                </c:pt>
                <c:pt idx="25">
                  <c:v>TRB2</c:v>
                </c:pt>
                <c:pt idx="26">
                  <c:v>TRC3 </c:v>
                </c:pt>
              </c:strCache>
            </c:strRef>
          </c:cat>
          <c:val>
            <c:numRef>
              <c:f>Sekil_1!$C$4:$C$30</c:f>
              <c:numCache>
                <c:formatCode>#,#00</c:formatCode>
                <c:ptCount val="27"/>
                <c:pt idx="0">
                  <c:v>6.1</c:v>
                </c:pt>
                <c:pt idx="1">
                  <c:v>7.8</c:v>
                </c:pt>
                <c:pt idx="2">
                  <c:v>8.1999999999999993</c:v>
                </c:pt>
                <c:pt idx="3">
                  <c:v>8.3000000000000007</c:v>
                </c:pt>
                <c:pt idx="4">
                  <c:v>8.6</c:v>
                </c:pt>
                <c:pt idx="5">
                  <c:v>8.6</c:v>
                </c:pt>
                <c:pt idx="6">
                  <c:v>9.1999999999999993</c:v>
                </c:pt>
                <c:pt idx="7">
                  <c:v>9.8000000000000007</c:v>
                </c:pt>
                <c:pt idx="8">
                  <c:v>10.199999999999999</c:v>
                </c:pt>
                <c:pt idx="9">
                  <c:v>10.3</c:v>
                </c:pt>
                <c:pt idx="10">
                  <c:v>10.6</c:v>
                </c:pt>
                <c:pt idx="11">
                  <c:v>10.6</c:v>
                </c:pt>
                <c:pt idx="12">
                  <c:v>11.2</c:v>
                </c:pt>
                <c:pt idx="13">
                  <c:v>11.6</c:v>
                </c:pt>
                <c:pt idx="14">
                  <c:v>12.4</c:v>
                </c:pt>
                <c:pt idx="15">
                  <c:v>12.8</c:v>
                </c:pt>
                <c:pt idx="16">
                  <c:v>13</c:v>
                </c:pt>
                <c:pt idx="17">
                  <c:v>14</c:v>
                </c:pt>
                <c:pt idx="18">
                  <c:v>14</c:v>
                </c:pt>
                <c:pt idx="19">
                  <c:v>14.4</c:v>
                </c:pt>
                <c:pt idx="20">
                  <c:v>15</c:v>
                </c:pt>
                <c:pt idx="21">
                  <c:v>15.1</c:v>
                </c:pt>
                <c:pt idx="22">
                  <c:v>15.3</c:v>
                </c:pt>
                <c:pt idx="23">
                  <c:v>16.5</c:v>
                </c:pt>
                <c:pt idx="24">
                  <c:v>19.5</c:v>
                </c:pt>
                <c:pt idx="25">
                  <c:v>19.7</c:v>
                </c:pt>
                <c:pt idx="26">
                  <c:v>30.1</c:v>
                </c:pt>
              </c:numCache>
            </c:numRef>
          </c:val>
          <c:extLst xmlns:c16r2="http://schemas.microsoft.com/office/drawing/2015/06/chart">
            <c:ext xmlns:c16="http://schemas.microsoft.com/office/drawing/2014/chart" uri="{C3380CC4-5D6E-409C-BE32-E72D297353CC}">
              <c16:uniqueId val="{0000000A-E364-4104-8205-27C9C51441F9}"/>
            </c:ext>
          </c:extLst>
        </c:ser>
        <c:ser>
          <c:idx val="1"/>
          <c:order val="1"/>
          <c:tx>
            <c:strRef>
              <c:f>Sekil_1!$B$3</c:f>
              <c:strCache>
                <c:ptCount val="1"/>
                <c:pt idx="0">
                  <c:v>2016</c:v>
                </c:pt>
              </c:strCache>
            </c:strRef>
          </c:tx>
          <c:spPr>
            <a:solidFill>
              <a:schemeClr val="tx2">
                <a:lumMod val="40000"/>
                <a:lumOff val="60000"/>
              </a:schemeClr>
            </a:solidFill>
            <a:ln>
              <a:noFill/>
            </a:ln>
            <a:effectLst/>
          </c:spPr>
          <c:invertIfNegative val="0"/>
          <c:dPt>
            <c:idx val="1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C-E364-4104-8205-27C9C51441F9}"/>
              </c:ext>
            </c:extLst>
          </c:dPt>
          <c:dLbls>
            <c:dLbl>
              <c:idx val="1"/>
              <c:layout>
                <c:manualLayout>
                  <c:x val="-6.5279469375576198E-3"/>
                  <c:y val="-7.907089826719690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364-4104-8205-27C9C51441F9}"/>
                </c:ext>
                <c:ext xmlns:c15="http://schemas.microsoft.com/office/drawing/2012/chart" uri="{CE6537A1-D6FC-4f65-9D91-7224C49458BB}"/>
              </c:extLst>
            </c:dLbl>
            <c:dLbl>
              <c:idx val="4"/>
              <c:layout>
                <c:manualLayout>
                  <c:x val="-4.8959602031682396E-3"/>
                  <c:y val="-5.93031737003966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364-4104-8205-27C9C51441F9}"/>
                </c:ext>
                <c:ext xmlns:c15="http://schemas.microsoft.com/office/drawing/2012/chart" uri="{CE6537A1-D6FC-4f65-9D91-7224C49458BB}"/>
              </c:extLst>
            </c:dLbl>
            <c:dLbl>
              <c:idx val="5"/>
              <c:layout>
                <c:manualLayout>
                  <c:x val="-9.7919204063364202E-3"/>
                  <c:y val="-5.93031737003966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364-4104-8205-27C9C51441F9}"/>
                </c:ext>
                <c:ext xmlns:c15="http://schemas.microsoft.com/office/drawing/2012/chart" uri="{CE6537A1-D6FC-4f65-9D91-7224C49458BB}"/>
              </c:extLst>
            </c:dLbl>
            <c:dLbl>
              <c:idx val="6"/>
              <c:layout>
                <c:manualLayout>
                  <c:x val="-4.8959602031682101E-3"/>
                  <c:y val="-5.930317370039809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364-4104-8205-27C9C51441F9}"/>
                </c:ext>
                <c:ext xmlns:c15="http://schemas.microsoft.com/office/drawing/2012/chart" uri="{CE6537A1-D6FC-4f65-9D91-7224C49458BB}"/>
              </c:extLst>
            </c:dLbl>
            <c:dLbl>
              <c:idx val="7"/>
              <c:layout>
                <c:manualLayout>
                  <c:x val="-4.8959602031682101E-3"/>
                  <c:y val="-5.930317370039740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364-4104-8205-27C9C51441F9}"/>
                </c:ext>
                <c:ext xmlns:c15="http://schemas.microsoft.com/office/drawing/2012/chart" uri="{CE6537A1-D6FC-4f65-9D91-7224C49458BB}"/>
              </c:extLst>
            </c:dLbl>
            <c:dLbl>
              <c:idx val="12"/>
              <c:layout>
                <c:manualLayout>
                  <c:x val="-1.6319867343894E-3"/>
                  <c:y val="-5.93031737003966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364-4104-8205-27C9C51441F9}"/>
                </c:ext>
                <c:ext xmlns:c15="http://schemas.microsoft.com/office/drawing/2012/chart" uri="{CE6537A1-D6FC-4f65-9D91-7224C49458BB}"/>
              </c:extLst>
            </c:dLbl>
            <c:dLbl>
              <c:idx val="13"/>
              <c:layout>
                <c:manualLayout>
                  <c:x val="-4.8959602031682101E-3"/>
                  <c:y val="-7.907089826719549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364-4104-8205-27C9C51441F9}"/>
                </c:ext>
                <c:ext xmlns:c15="http://schemas.microsoft.com/office/drawing/2012/chart" uri="{CE6537A1-D6FC-4f65-9D91-7224C49458BB}"/>
              </c:extLst>
            </c:dLbl>
            <c:dLbl>
              <c:idx val="14"/>
              <c:layout>
                <c:manualLayout>
                  <c:x val="-8.15993367194702E-3"/>
                  <c:y val="-5.93031737003966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364-4104-8205-27C9C51441F9}"/>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15-E364-4104-8205-27C9C51441F9}"/>
                </c:ext>
                <c:ext xmlns:c15="http://schemas.microsoft.com/office/drawing/2012/chart" uri="{CE6537A1-D6FC-4f65-9D91-7224C49458BB}"/>
              </c:extLst>
            </c:dLbl>
            <c:dLbl>
              <c:idx val="16"/>
              <c:delete val="1"/>
              <c:extLst xmlns:c16r2="http://schemas.microsoft.com/office/drawing/2015/06/chart">
                <c:ext xmlns:c16="http://schemas.microsoft.com/office/drawing/2014/chart" uri="{C3380CC4-5D6E-409C-BE32-E72D297353CC}">
                  <c16:uniqueId val="{0000000C-E364-4104-8205-27C9C51441F9}"/>
                </c:ext>
                <c:ext xmlns:c15="http://schemas.microsoft.com/office/drawing/2012/chart" uri="{CE6537A1-D6FC-4f65-9D91-7224C49458BB}"/>
              </c:extLst>
            </c:dLbl>
            <c:dLbl>
              <c:idx val="17"/>
              <c:layout>
                <c:manualLayout>
                  <c:x val="-3.2639734687788099E-3"/>
                  <c:y val="-5.930317370039700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364-4104-8205-27C9C51441F9}"/>
                </c:ext>
                <c:ext xmlns:c15="http://schemas.microsoft.com/office/drawing/2012/chart" uri="{CE6537A1-D6FC-4f65-9D91-7224C49458BB}"/>
              </c:extLst>
            </c:dLbl>
            <c:dLbl>
              <c:idx val="19"/>
              <c:layout>
                <c:manualLayout>
                  <c:x val="-1.6319867343894E-3"/>
                  <c:y val="-9.883862283399439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E364-4104-8205-27C9C51441F9}"/>
                </c:ext>
                <c:ext xmlns:c15="http://schemas.microsoft.com/office/drawing/2012/chart" uri="{CE6537A1-D6FC-4f65-9D91-7224C49458BB}"/>
              </c:extLst>
            </c:dLbl>
            <c:dLbl>
              <c:idx val="21"/>
              <c:layout>
                <c:manualLayout>
                  <c:x val="-8.1599336719470807E-3"/>
                  <c:y val="-7.907089826719589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E364-4104-8205-27C9C51441F9}"/>
                </c:ext>
                <c:ext xmlns:c15="http://schemas.microsoft.com/office/drawing/2012/chart" uri="{CE6537A1-D6FC-4f65-9D91-7224C49458BB}"/>
              </c:extLst>
            </c:dLbl>
            <c:dLbl>
              <c:idx val="23"/>
              <c:layout>
                <c:manualLayout>
                  <c:x val="-9.7919204063364705E-3"/>
                  <c:y val="-5.93031737003968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E364-4104-8205-27C9C51441F9}"/>
                </c:ext>
                <c:ext xmlns:c15="http://schemas.microsoft.com/office/drawing/2012/chart" uri="{CE6537A1-D6FC-4f65-9D91-7224C49458BB}"/>
              </c:extLst>
            </c:dLbl>
            <c:dLbl>
              <c:idx val="25"/>
              <c:layout>
                <c:manualLayout>
                  <c:x val="0"/>
                  <c:y val="-5.93031737003966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E364-4104-8205-27C9C51441F9}"/>
                </c:ext>
                <c:ext xmlns:c15="http://schemas.microsoft.com/office/drawing/2012/chart" uri="{CE6537A1-D6FC-4f65-9D91-7224C49458BB}"/>
              </c:extLst>
            </c:dLbl>
            <c:dLbl>
              <c:idx val="26"/>
              <c:delete val="1"/>
              <c:extLst xmlns:c16r2="http://schemas.microsoft.com/office/drawing/2015/06/chart">
                <c:ext xmlns:c16="http://schemas.microsoft.com/office/drawing/2014/chart" uri="{C3380CC4-5D6E-409C-BE32-E72D297353CC}">
                  <c16:uniqueId val="{0000001B-E364-4104-8205-27C9C51441F9}"/>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Sekil_1!$B$4:$B$30</c:f>
              <c:numCache>
                <c:formatCode>#,#00</c:formatCode>
                <c:ptCount val="27"/>
                <c:pt idx="0">
                  <c:v>7.5</c:v>
                </c:pt>
                <c:pt idx="1">
                  <c:v>8</c:v>
                </c:pt>
                <c:pt idx="2">
                  <c:v>10.4</c:v>
                </c:pt>
                <c:pt idx="3">
                  <c:v>8.8000000000000007</c:v>
                </c:pt>
                <c:pt idx="4">
                  <c:v>7.2</c:v>
                </c:pt>
                <c:pt idx="5">
                  <c:v>8.8000000000000007</c:v>
                </c:pt>
                <c:pt idx="6">
                  <c:v>8.8000000000000007</c:v>
                </c:pt>
                <c:pt idx="7">
                  <c:v>8.8000000000000007</c:v>
                </c:pt>
                <c:pt idx="8">
                  <c:v>12.1</c:v>
                </c:pt>
                <c:pt idx="9">
                  <c:v>12.2</c:v>
                </c:pt>
                <c:pt idx="10">
                  <c:v>9.9</c:v>
                </c:pt>
                <c:pt idx="11">
                  <c:v>12.4</c:v>
                </c:pt>
                <c:pt idx="12">
                  <c:v>10.3</c:v>
                </c:pt>
                <c:pt idx="13">
                  <c:v>11.7</c:v>
                </c:pt>
                <c:pt idx="14">
                  <c:v>12.1</c:v>
                </c:pt>
                <c:pt idx="15">
                  <c:v>12.8</c:v>
                </c:pt>
                <c:pt idx="16">
                  <c:v>13</c:v>
                </c:pt>
                <c:pt idx="17">
                  <c:v>13.6</c:v>
                </c:pt>
                <c:pt idx="18">
                  <c:v>16.899999999999999</c:v>
                </c:pt>
                <c:pt idx="19">
                  <c:v>14.2</c:v>
                </c:pt>
                <c:pt idx="20">
                  <c:v>18</c:v>
                </c:pt>
                <c:pt idx="21">
                  <c:v>15.2</c:v>
                </c:pt>
                <c:pt idx="22">
                  <c:v>11.4</c:v>
                </c:pt>
                <c:pt idx="23">
                  <c:v>15.8</c:v>
                </c:pt>
                <c:pt idx="24">
                  <c:v>23.2</c:v>
                </c:pt>
                <c:pt idx="25">
                  <c:v>14.4</c:v>
                </c:pt>
                <c:pt idx="26">
                  <c:v>30.1</c:v>
                </c:pt>
              </c:numCache>
            </c:numRef>
          </c:val>
          <c:extLst xmlns:c16r2="http://schemas.microsoft.com/office/drawing/2015/06/chart">
            <c:ext xmlns:c16="http://schemas.microsoft.com/office/drawing/2014/chart" uri="{C3380CC4-5D6E-409C-BE32-E72D297353CC}">
              <c16:uniqueId val="{0000001C-E364-4104-8205-27C9C51441F9}"/>
            </c:ext>
          </c:extLst>
        </c:ser>
        <c:dLbls>
          <c:dLblPos val="outEnd"/>
          <c:showLegendKey val="0"/>
          <c:showVal val="1"/>
          <c:showCatName val="0"/>
          <c:showSerName val="0"/>
          <c:showPercent val="0"/>
          <c:showBubbleSize val="0"/>
        </c:dLbls>
        <c:gapWidth val="128"/>
        <c:axId val="265175600"/>
        <c:axId val="265178400"/>
      </c:barChart>
      <c:catAx>
        <c:axId val="26517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265178400"/>
        <c:crosses val="autoZero"/>
        <c:auto val="1"/>
        <c:lblAlgn val="ctr"/>
        <c:lblOffset val="100"/>
        <c:noMultiLvlLbl val="0"/>
      </c:catAx>
      <c:valAx>
        <c:axId val="265178400"/>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26517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Sekil_3veSekil_4!$G$3:$G$15</c:f>
              <c:strCache>
                <c:ptCount val="13"/>
                <c:pt idx="0">
                  <c:v>TRB2</c:v>
                </c:pt>
                <c:pt idx="1">
                  <c:v>TR72</c:v>
                </c:pt>
                <c:pt idx="2">
                  <c:v>TR33</c:v>
                </c:pt>
                <c:pt idx="3">
                  <c:v>TR21 </c:v>
                </c:pt>
                <c:pt idx="4">
                  <c:v>TRA2</c:v>
                </c:pt>
                <c:pt idx="5">
                  <c:v>TR41 </c:v>
                </c:pt>
                <c:pt idx="6">
                  <c:v>TRC1 </c:v>
                </c:pt>
                <c:pt idx="7">
                  <c:v>TR10</c:v>
                </c:pt>
                <c:pt idx="8">
                  <c:v>TR32 </c:v>
                </c:pt>
                <c:pt idx="9">
                  <c:v>TR42</c:v>
                </c:pt>
                <c:pt idx="10">
                  <c:v>TR61 </c:v>
                </c:pt>
                <c:pt idx="11">
                  <c:v>TR62 </c:v>
                </c:pt>
                <c:pt idx="12">
                  <c:v>TRC3 </c:v>
                </c:pt>
              </c:strCache>
            </c:strRef>
          </c:cat>
          <c:val>
            <c:numRef>
              <c:f>Sekil_3veSekil_4!$J$3:$J$15</c:f>
              <c:numCache>
                <c:formatCode>0.0</c:formatCode>
                <c:ptCount val="13"/>
                <c:pt idx="0">
                  <c:v>5.2999999999999989</c:v>
                </c:pt>
                <c:pt idx="1">
                  <c:v>3.9</c:v>
                </c:pt>
                <c:pt idx="2">
                  <c:v>1.399999999999999</c:v>
                </c:pt>
                <c:pt idx="3">
                  <c:v>1</c:v>
                </c:pt>
                <c:pt idx="4">
                  <c:v>0.89999999999999902</c:v>
                </c:pt>
                <c:pt idx="5">
                  <c:v>0.69999999999999896</c:v>
                </c:pt>
                <c:pt idx="6">
                  <c:v>0.69999999999999896</c:v>
                </c:pt>
                <c:pt idx="7">
                  <c:v>0.4</c:v>
                </c:pt>
                <c:pt idx="8">
                  <c:v>0.39999999999999902</c:v>
                </c:pt>
                <c:pt idx="9">
                  <c:v>0.30000000000000099</c:v>
                </c:pt>
                <c:pt idx="10">
                  <c:v>0.20000000000000101</c:v>
                </c:pt>
                <c:pt idx="11">
                  <c:v>0</c:v>
                </c:pt>
                <c:pt idx="12">
                  <c:v>0</c:v>
                </c:pt>
              </c:numCache>
            </c:numRef>
          </c:val>
          <c:extLst xmlns:c16r2="http://schemas.microsoft.com/office/drawing/2015/06/chart">
            <c:ext xmlns:c16="http://schemas.microsoft.com/office/drawing/2014/chart" uri="{C3380CC4-5D6E-409C-BE32-E72D297353CC}">
              <c16:uniqueId val="{00000000-54A0-4EC6-BC56-AA7250C5F8B6}"/>
            </c:ext>
          </c:extLst>
        </c:ser>
        <c:dLbls>
          <c:dLblPos val="outEnd"/>
          <c:showLegendKey val="0"/>
          <c:showVal val="1"/>
          <c:showCatName val="0"/>
          <c:showSerName val="0"/>
          <c:showPercent val="0"/>
          <c:showBubbleSize val="0"/>
        </c:dLbls>
        <c:gapWidth val="219"/>
        <c:overlap val="-27"/>
        <c:axId val="265177280"/>
        <c:axId val="265784448"/>
      </c:barChart>
      <c:catAx>
        <c:axId val="26517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784448"/>
        <c:crosses val="autoZero"/>
        <c:auto val="1"/>
        <c:lblAlgn val="ctr"/>
        <c:lblOffset val="100"/>
        <c:noMultiLvlLbl val="0"/>
      </c:catAx>
      <c:valAx>
        <c:axId val="26578444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177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Sekil_3veSekil_4!$G$20:$G$32</c:f>
              <c:strCache>
                <c:ptCount val="13"/>
                <c:pt idx="0">
                  <c:v>TRC2 </c:v>
                </c:pt>
                <c:pt idx="1">
                  <c:v>TR71</c:v>
                </c:pt>
                <c:pt idx="2">
                  <c:v>TR63 </c:v>
                </c:pt>
                <c:pt idx="3">
                  <c:v>TR82</c:v>
                </c:pt>
                <c:pt idx="4">
                  <c:v>TRB1 </c:v>
                </c:pt>
                <c:pt idx="5">
                  <c:v>TR81 </c:v>
                </c:pt>
                <c:pt idx="6">
                  <c:v>TR83</c:v>
                </c:pt>
                <c:pt idx="7">
                  <c:v>TR90</c:v>
                </c:pt>
                <c:pt idx="8">
                  <c:v>TR22 </c:v>
                </c:pt>
                <c:pt idx="9">
                  <c:v>TRA1 </c:v>
                </c:pt>
                <c:pt idx="10">
                  <c:v>TR52</c:v>
                </c:pt>
                <c:pt idx="11">
                  <c:v>TR31</c:v>
                </c:pt>
                <c:pt idx="12">
                  <c:v>TR51</c:v>
                </c:pt>
              </c:strCache>
            </c:strRef>
          </c:cat>
          <c:val>
            <c:numRef>
              <c:f>Sekil_3veSekil_4!$J$20:$J$32</c:f>
              <c:numCache>
                <c:formatCode>0.0</c:formatCode>
                <c:ptCount val="13"/>
                <c:pt idx="0">
                  <c:v>-3.6999999999999988</c:v>
                </c:pt>
                <c:pt idx="1">
                  <c:v>-3</c:v>
                </c:pt>
                <c:pt idx="2">
                  <c:v>-2.8999999999999981</c:v>
                </c:pt>
                <c:pt idx="3">
                  <c:v>-2.2000000000000011</c:v>
                </c:pt>
                <c:pt idx="4">
                  <c:v>-1.9</c:v>
                </c:pt>
                <c:pt idx="5">
                  <c:v>-1.8999999999999979</c:v>
                </c:pt>
                <c:pt idx="6">
                  <c:v>-1.8000000000000009</c:v>
                </c:pt>
                <c:pt idx="7">
                  <c:v>-1.4</c:v>
                </c:pt>
                <c:pt idx="8">
                  <c:v>-0.5</c:v>
                </c:pt>
                <c:pt idx="9">
                  <c:v>-0.20000000000000101</c:v>
                </c:pt>
                <c:pt idx="10">
                  <c:v>-0.2</c:v>
                </c:pt>
                <c:pt idx="11">
                  <c:v>-9.99999999999997E-2</c:v>
                </c:pt>
                <c:pt idx="12">
                  <c:v>-9.99999999999997E-2</c:v>
                </c:pt>
              </c:numCache>
            </c:numRef>
          </c:val>
          <c:extLst xmlns:c16r2="http://schemas.microsoft.com/office/drawing/2015/06/chart">
            <c:ext xmlns:c16="http://schemas.microsoft.com/office/drawing/2014/chart" uri="{C3380CC4-5D6E-409C-BE32-E72D297353CC}">
              <c16:uniqueId val="{00000000-F547-412F-B9E7-1C9947947F6A}"/>
            </c:ext>
          </c:extLst>
        </c:ser>
        <c:dLbls>
          <c:dLblPos val="outEnd"/>
          <c:showLegendKey val="0"/>
          <c:showVal val="1"/>
          <c:showCatName val="0"/>
          <c:showSerName val="0"/>
          <c:showPercent val="0"/>
          <c:showBubbleSize val="0"/>
        </c:dLbls>
        <c:gapWidth val="219"/>
        <c:overlap val="-27"/>
        <c:axId val="265781088"/>
        <c:axId val="265783328"/>
      </c:barChart>
      <c:catAx>
        <c:axId val="26578108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265783328"/>
        <c:crosses val="autoZero"/>
        <c:auto val="1"/>
        <c:lblAlgn val="ctr"/>
        <c:lblOffset val="100"/>
        <c:noMultiLvlLbl val="0"/>
      </c:catAx>
      <c:valAx>
        <c:axId val="26578332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265781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pPr>
      <a:endParaRPr lang="tr-T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E576C-E6A3-4878-AF4F-219FE0B6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4457</Words>
  <Characters>25411</Characters>
  <Application>Microsoft Office Word</Application>
  <DocSecurity>0</DocSecurity>
  <Lines>211</Lines>
  <Paragraphs>59</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29809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seyfettin gursel</dc:creator>
  <cp:lastModifiedBy>seyfettin gursel</cp:lastModifiedBy>
  <cp:revision>2</cp:revision>
  <cp:lastPrinted>2018-04-27T06:40:00Z</cp:lastPrinted>
  <dcterms:created xsi:type="dcterms:W3CDTF">2018-05-18T11:28:00Z</dcterms:created>
  <dcterms:modified xsi:type="dcterms:W3CDTF">2018-05-18T11:28:00Z</dcterms:modified>
</cp:coreProperties>
</file>