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1A080D" w:rsidRDefault="00C30F90">
      <w:pPr>
        <w:rPr>
          <w:rFonts w:ascii="Palatino Linotype" w:hAnsi="Palatino Linotype" w:cstheme="minorHAnsi"/>
        </w:rPr>
      </w:pPr>
      <w:r>
        <w:rPr>
          <w:rFonts w:ascii="Palatino Linotype" w:hAnsi="Palatino Linotype" w:cstheme="minorHAnsi"/>
          <w:noProof/>
        </w:rPr>
        <mc:AlternateContent>
          <mc:Choice Requires="wps">
            <w:drawing>
              <wp:anchor distT="0" distB="0" distL="114935" distR="114935" simplePos="0" relativeHeight="251661824" behindDoc="0" locked="0" layoutInCell="1" allowOverlap="1">
                <wp:simplePos x="0" y="0"/>
                <wp:positionH relativeFrom="column">
                  <wp:posOffset>4748530</wp:posOffset>
                </wp:positionH>
                <wp:positionV relativeFrom="paragraph">
                  <wp:posOffset>5080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C8647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3 </w:t>
                            </w:r>
                            <w:r w:rsidR="00C53444">
                              <w:rPr>
                                <w:rFonts w:ascii="Arial" w:eastAsia="Times New Roman" w:hAnsi="Arial" w:cs="Arial"/>
                                <w:b/>
                                <w:bCs/>
                                <w:color w:val="FFFFFF"/>
                                <w:sz w:val="22"/>
                                <w:szCs w:val="22"/>
                                <w:lang w:eastAsia="ar-SA"/>
                              </w:rPr>
                              <w:t>Nisan</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pt;margin-top:.4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" stroked="f">
                <v:fill opacity="0"/>
                <v:textbox inset="0,0,0,0">
                  <w:txbxContent>
                    <w:p w:rsidR="00D07713" w:rsidRPr="00D07713" w:rsidRDefault="00C8647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 xml:space="preserve">3 </w:t>
                      </w:r>
                      <w:r w:rsidR="00C53444">
                        <w:rPr>
                          <w:rFonts w:ascii="Arial" w:eastAsia="Times New Roman" w:hAnsi="Arial" w:cs="Arial"/>
                          <w:b/>
                          <w:bCs/>
                          <w:color w:val="FFFFFF"/>
                          <w:sz w:val="22"/>
                          <w:szCs w:val="22"/>
                          <w:lang w:eastAsia="ar-SA"/>
                        </w:rPr>
                        <w:t>Nisan</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v:textbox>
              </v:shape>
            </w:pict>
          </mc:Fallback>
        </mc:AlternateContent>
      </w:r>
      <w:r>
        <w:rPr>
          <w:rFonts w:ascii="Palatino Linotype" w:hAnsi="Palatino Linotype" w:cstheme="minorHAnsi"/>
          <w:noProof/>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 xml:space="preserve">2017 </w:t>
                            </w:r>
                            <w:r w:rsidR="00C53444">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 xml:space="preserve">2017 </w:t>
                      </w:r>
                      <w:r w:rsidR="00C53444">
                        <w:rPr>
                          <w:rFonts w:ascii="Times New Roman" w:hAnsi="Times New Roman" w:cs="Times New Roman"/>
                          <w:sz w:val="40"/>
                          <w:szCs w:val="40"/>
                        </w:rPr>
                        <w:t>4</w:t>
                      </w:r>
                      <w:r w:rsidR="00D07713" w:rsidRPr="00803E3E">
                        <w:rPr>
                          <w:rFonts w:ascii="Times New Roman" w:hAnsi="Times New Roman" w:cs="Times New Roman"/>
                          <w:sz w:val="40"/>
                          <w:szCs w:val="40"/>
                        </w:rPr>
                        <w:t>. Çeyrek</w:t>
                      </w:r>
                    </w:p>
                  </w:txbxContent>
                </v:textbox>
              </v:shape>
            </w:pict>
          </mc:Fallback>
        </mc:AlternateContent>
      </w:r>
      <w:r w:rsidR="00D07713" w:rsidRPr="001A080D">
        <w:rPr>
          <w:rFonts w:ascii="Palatino Linotype" w:hAnsi="Palatino Linotype" w:cstheme="minorHAnsi"/>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1A080D" w:rsidRDefault="00D07713">
      <w:pPr>
        <w:rPr>
          <w:rFonts w:ascii="Palatino Linotype" w:hAnsi="Palatino Linotype" w:cstheme="minorHAnsi"/>
        </w:rPr>
      </w:pPr>
    </w:p>
    <w:p w:rsidR="00D07713" w:rsidRPr="001A080D" w:rsidRDefault="00D07713" w:rsidP="00D07713">
      <w:pPr>
        <w:spacing w:line="288" w:lineRule="auto"/>
        <w:ind w:right="-319"/>
        <w:jc w:val="center"/>
        <w:outlineLvl w:val="0"/>
        <w:rPr>
          <w:rFonts w:ascii="Palatino Linotype" w:hAnsi="Palatino Linotype" w:cstheme="minorHAnsi"/>
          <w:b/>
          <w:bCs/>
          <w:sz w:val="28"/>
          <w:szCs w:val="28"/>
        </w:rPr>
      </w:pPr>
    </w:p>
    <w:p w:rsidR="00D07713" w:rsidRPr="001A080D" w:rsidRDefault="00830B62" w:rsidP="00924CD9">
      <w:pPr>
        <w:spacing w:line="288" w:lineRule="auto"/>
        <w:ind w:right="-319"/>
        <w:jc w:val="center"/>
        <w:outlineLvl w:val="0"/>
        <w:rPr>
          <w:rFonts w:ascii="Palatino Linotype" w:hAnsi="Palatino Linotype" w:cstheme="minorHAnsi"/>
          <w:b/>
          <w:bCs/>
          <w:sz w:val="28"/>
          <w:szCs w:val="28"/>
        </w:rPr>
      </w:pPr>
      <w:r w:rsidRPr="001A080D">
        <w:rPr>
          <w:rFonts w:ascii="Palatino Linotype" w:hAnsi="Palatino Linotype" w:cstheme="minorHAnsi"/>
          <w:b/>
          <w:bCs/>
          <w:sz w:val="28"/>
          <w:szCs w:val="28"/>
        </w:rPr>
        <w:t>2017 YILI SON</w:t>
      </w:r>
      <w:r w:rsidR="001537D8" w:rsidRPr="001A080D">
        <w:rPr>
          <w:rFonts w:ascii="Palatino Linotype" w:hAnsi="Palatino Linotype" w:cstheme="minorHAnsi"/>
          <w:b/>
          <w:bCs/>
          <w:sz w:val="28"/>
          <w:szCs w:val="28"/>
        </w:rPr>
        <w:t xml:space="preserve"> ÇEYREK</w:t>
      </w:r>
      <w:r w:rsidRPr="001A080D">
        <w:rPr>
          <w:rFonts w:ascii="Palatino Linotype" w:hAnsi="Palatino Linotype" w:cstheme="minorHAnsi"/>
          <w:b/>
          <w:bCs/>
          <w:sz w:val="28"/>
          <w:szCs w:val="28"/>
        </w:rPr>
        <w:t>TE DE YÜKSEK BÜYÜME</w:t>
      </w:r>
    </w:p>
    <w:p w:rsidR="00D07713" w:rsidRPr="001A080D" w:rsidRDefault="003172DB" w:rsidP="00D07713">
      <w:pPr>
        <w:jc w:val="center"/>
        <w:rPr>
          <w:rFonts w:ascii="Palatino Linotype" w:hAnsi="Palatino Linotype" w:cstheme="minorHAnsi"/>
        </w:rPr>
      </w:pPr>
      <w:r w:rsidRPr="001A080D">
        <w:rPr>
          <w:rFonts w:ascii="Palatino Linotype" w:hAnsi="Palatino Linotype" w:cstheme="minorHAnsi"/>
          <w:b/>
          <w:bCs/>
          <w:sz w:val="22"/>
          <w:szCs w:val="22"/>
        </w:rPr>
        <w:t>Seyfettin Gürsel</w:t>
      </w:r>
      <w:r w:rsidRPr="001A080D">
        <w:rPr>
          <w:rStyle w:val="FootnoteReference"/>
          <w:rFonts w:ascii="Palatino Linotype" w:hAnsi="Palatino Linotype" w:cstheme="minorHAnsi"/>
          <w:b/>
          <w:bCs/>
          <w:sz w:val="22"/>
          <w:szCs w:val="22"/>
        </w:rPr>
        <w:footnoteReference w:id="1"/>
      </w:r>
      <w:r w:rsidRPr="001A080D">
        <w:rPr>
          <w:rFonts w:ascii="Palatino Linotype" w:hAnsi="Palatino Linotype" w:cstheme="minorHAnsi"/>
          <w:b/>
          <w:bCs/>
          <w:sz w:val="22"/>
          <w:szCs w:val="22"/>
        </w:rPr>
        <w:t>,</w:t>
      </w:r>
      <w:r w:rsidR="00B02D74">
        <w:rPr>
          <w:rFonts w:ascii="Palatino Linotype" w:hAnsi="Palatino Linotype" w:cstheme="minorHAnsi"/>
          <w:b/>
          <w:bCs/>
          <w:sz w:val="22"/>
          <w:szCs w:val="22"/>
        </w:rPr>
        <w:t xml:space="preserve"> </w:t>
      </w:r>
      <w:r w:rsidR="00D07713" w:rsidRPr="001A080D">
        <w:rPr>
          <w:rFonts w:ascii="Palatino Linotype" w:hAnsi="Palatino Linotype" w:cstheme="minorHAnsi"/>
          <w:b/>
          <w:bCs/>
          <w:sz w:val="22"/>
          <w:szCs w:val="22"/>
        </w:rPr>
        <w:t>Ozan Bakış</w:t>
      </w:r>
      <w:r w:rsidR="00C32789" w:rsidRPr="001A080D">
        <w:rPr>
          <w:rStyle w:val="FootnoteReference"/>
          <w:rFonts w:ascii="Palatino Linotype" w:hAnsi="Palatino Linotype" w:cstheme="minorHAnsi"/>
          <w:b/>
          <w:bCs/>
          <w:sz w:val="22"/>
          <w:szCs w:val="22"/>
        </w:rPr>
        <w:footnoteReference w:id="2"/>
      </w:r>
      <w:r w:rsidR="001537D8" w:rsidRPr="001A080D">
        <w:rPr>
          <w:rFonts w:ascii="Palatino Linotype" w:hAnsi="Palatino Linotype" w:cstheme="minorHAnsi"/>
          <w:b/>
          <w:bCs/>
          <w:sz w:val="22"/>
          <w:szCs w:val="22"/>
        </w:rPr>
        <w:t xml:space="preserve"> ve Uğurcan Acar</w:t>
      </w:r>
      <w:r w:rsidR="001537D8" w:rsidRPr="001A080D">
        <w:rPr>
          <w:rStyle w:val="FootnoteReference"/>
          <w:rFonts w:ascii="Palatino Linotype" w:hAnsi="Palatino Linotype" w:cstheme="minorHAnsi"/>
          <w:b/>
          <w:bCs/>
          <w:sz w:val="22"/>
          <w:szCs w:val="22"/>
        </w:rPr>
        <w:footnoteReference w:id="3"/>
      </w:r>
    </w:p>
    <w:p w:rsidR="00D07713" w:rsidRPr="001A080D" w:rsidRDefault="00D07713">
      <w:pPr>
        <w:rPr>
          <w:rFonts w:ascii="Palatino Linotype" w:hAnsi="Palatino Linotype" w:cstheme="minorHAnsi"/>
        </w:rPr>
      </w:pPr>
    </w:p>
    <w:p w:rsidR="00D257C1" w:rsidRPr="001A080D" w:rsidRDefault="00D257C1" w:rsidP="007B70AD">
      <w:pPr>
        <w:jc w:val="center"/>
        <w:rPr>
          <w:rFonts w:ascii="Palatino Linotype" w:hAnsi="Palatino Linotype" w:cstheme="minorHAnsi"/>
          <w:b/>
          <w:sz w:val="22"/>
          <w:szCs w:val="22"/>
        </w:rPr>
      </w:pPr>
      <w:r w:rsidRPr="001A080D">
        <w:rPr>
          <w:rFonts w:ascii="Palatino Linotype" w:hAnsi="Palatino Linotype" w:cstheme="minorHAnsi"/>
          <w:b/>
          <w:sz w:val="22"/>
          <w:szCs w:val="22"/>
        </w:rPr>
        <w:t>Yönetici</w:t>
      </w:r>
      <w:r w:rsidR="00C86475" w:rsidRPr="001A080D">
        <w:rPr>
          <w:rFonts w:ascii="Palatino Linotype" w:hAnsi="Palatino Linotype" w:cstheme="minorHAnsi"/>
          <w:b/>
          <w:sz w:val="22"/>
          <w:szCs w:val="22"/>
        </w:rPr>
        <w:t xml:space="preserve"> </w:t>
      </w:r>
      <w:r w:rsidRPr="001A080D">
        <w:rPr>
          <w:rFonts w:ascii="Palatino Linotype" w:hAnsi="Palatino Linotype" w:cstheme="minorHAnsi"/>
          <w:b/>
          <w:sz w:val="22"/>
          <w:szCs w:val="22"/>
        </w:rPr>
        <w:t>Özeti</w:t>
      </w:r>
    </w:p>
    <w:p w:rsidR="00D07713" w:rsidRPr="001A080D" w:rsidRDefault="00D257C1" w:rsidP="00CE55CC">
      <w:pPr>
        <w:spacing w:after="120"/>
        <w:ind w:right="567"/>
        <w:jc w:val="both"/>
        <w:rPr>
          <w:rFonts w:ascii="Palatino Linotype" w:hAnsi="Palatino Linotype" w:cstheme="minorHAnsi"/>
          <w:strike/>
          <w:sz w:val="22"/>
          <w:szCs w:val="22"/>
        </w:rPr>
      </w:pPr>
      <w:r w:rsidRPr="001A080D">
        <w:rPr>
          <w:rFonts w:ascii="Palatino Linotype" w:hAnsi="Palatino Linotype" w:cstheme="minorHAnsi"/>
          <w:sz w:val="22"/>
          <w:szCs w:val="22"/>
        </w:rPr>
        <w:t xml:space="preserve">2017 yılının </w:t>
      </w:r>
      <w:r w:rsidR="00830B62" w:rsidRPr="001A080D">
        <w:rPr>
          <w:rFonts w:ascii="Palatino Linotype" w:hAnsi="Palatino Linotype" w:cstheme="minorHAnsi"/>
          <w:sz w:val="22"/>
          <w:szCs w:val="22"/>
        </w:rPr>
        <w:t>son</w:t>
      </w:r>
      <w:r w:rsidRPr="001A080D">
        <w:rPr>
          <w:rFonts w:ascii="Palatino Linotype" w:hAnsi="Palatino Linotype" w:cstheme="minorHAnsi"/>
          <w:sz w:val="22"/>
          <w:szCs w:val="22"/>
        </w:rPr>
        <w:t xml:space="preserve"> çeyreğinde Gayri Safi Yurtiçi </w:t>
      </w:r>
      <w:proofErr w:type="gramStart"/>
      <w:r w:rsidRPr="001A080D">
        <w:rPr>
          <w:rFonts w:ascii="Palatino Linotype" w:hAnsi="Palatino Linotype" w:cstheme="minorHAnsi"/>
          <w:sz w:val="22"/>
          <w:szCs w:val="22"/>
        </w:rPr>
        <w:t>Hasıla</w:t>
      </w:r>
      <w:proofErr w:type="gramEnd"/>
      <w:r w:rsidRPr="001A080D">
        <w:rPr>
          <w:rFonts w:ascii="Palatino Linotype" w:hAnsi="Palatino Linotype" w:cstheme="minorHAnsi"/>
          <w:sz w:val="22"/>
          <w:szCs w:val="22"/>
        </w:rPr>
        <w:t xml:space="preserve"> (GSYH) mevsim ve takvim etkilerinden arındırılmış rakamlarla bir önceki çeyreğe kıyasla yüzde </w:t>
      </w:r>
      <w:r w:rsidR="00E306CB" w:rsidRPr="001A080D">
        <w:rPr>
          <w:rFonts w:ascii="Palatino Linotype" w:hAnsi="Palatino Linotype" w:cstheme="minorHAnsi"/>
          <w:sz w:val="22"/>
          <w:szCs w:val="22"/>
        </w:rPr>
        <w:t>1</w:t>
      </w:r>
      <w:r w:rsidRPr="001A080D">
        <w:rPr>
          <w:rFonts w:ascii="Palatino Linotype" w:hAnsi="Palatino Linotype" w:cstheme="minorHAnsi"/>
          <w:sz w:val="22"/>
          <w:szCs w:val="22"/>
        </w:rPr>
        <w:t>,</w:t>
      </w:r>
      <w:r w:rsidR="00830B62" w:rsidRPr="001A080D">
        <w:rPr>
          <w:rFonts w:ascii="Palatino Linotype" w:hAnsi="Palatino Linotype" w:cstheme="minorHAnsi"/>
          <w:sz w:val="22"/>
          <w:szCs w:val="22"/>
        </w:rPr>
        <w:t>8</w:t>
      </w:r>
      <w:r w:rsidRPr="001A080D">
        <w:rPr>
          <w:rFonts w:ascii="Palatino Linotype" w:hAnsi="Palatino Linotype" w:cstheme="minorHAnsi"/>
          <w:sz w:val="22"/>
          <w:szCs w:val="22"/>
        </w:rPr>
        <w:t xml:space="preserve">, geçen yılın </w:t>
      </w:r>
      <w:r w:rsidR="00EA7527" w:rsidRPr="001A080D">
        <w:rPr>
          <w:rFonts w:ascii="Palatino Linotype" w:hAnsi="Palatino Linotype" w:cstheme="minorHAnsi"/>
          <w:sz w:val="22"/>
          <w:szCs w:val="22"/>
        </w:rPr>
        <w:t>dördüncü</w:t>
      </w:r>
      <w:r w:rsidRPr="001A080D">
        <w:rPr>
          <w:rFonts w:ascii="Palatino Linotype" w:hAnsi="Palatino Linotype" w:cstheme="minorHAnsi"/>
          <w:sz w:val="22"/>
          <w:szCs w:val="22"/>
        </w:rPr>
        <w:t xml:space="preserve"> çeyreğine kıyasla yüzde </w:t>
      </w:r>
      <w:r w:rsidR="00830B62" w:rsidRPr="001A080D">
        <w:rPr>
          <w:rFonts w:ascii="Palatino Linotype" w:hAnsi="Palatino Linotype" w:cstheme="minorHAnsi"/>
          <w:sz w:val="22"/>
          <w:szCs w:val="22"/>
        </w:rPr>
        <w:t>7</w:t>
      </w:r>
      <w:r w:rsidRPr="001A080D">
        <w:rPr>
          <w:rFonts w:ascii="Palatino Linotype" w:hAnsi="Palatino Linotype" w:cstheme="minorHAnsi"/>
          <w:sz w:val="22"/>
          <w:szCs w:val="22"/>
        </w:rPr>
        <w:t>,</w:t>
      </w:r>
      <w:r w:rsidR="00830B62" w:rsidRPr="001A080D">
        <w:rPr>
          <w:rFonts w:ascii="Palatino Linotype" w:hAnsi="Palatino Linotype" w:cstheme="minorHAnsi"/>
          <w:sz w:val="22"/>
          <w:szCs w:val="22"/>
        </w:rPr>
        <w:t>3</w:t>
      </w:r>
      <w:r w:rsidRPr="001A080D">
        <w:rPr>
          <w:rFonts w:ascii="Palatino Linotype" w:hAnsi="Palatino Linotype" w:cstheme="minorHAnsi"/>
          <w:sz w:val="22"/>
          <w:szCs w:val="22"/>
        </w:rPr>
        <w:t xml:space="preserve"> oranında arttı. </w:t>
      </w:r>
      <w:r w:rsidR="00CC79C0" w:rsidRPr="001A080D">
        <w:rPr>
          <w:rFonts w:ascii="Palatino Linotype" w:hAnsi="Palatino Linotype" w:cstheme="minorHAnsi"/>
          <w:sz w:val="22"/>
          <w:szCs w:val="22"/>
        </w:rPr>
        <w:t xml:space="preserve">Yıldan yıla büyümeye </w:t>
      </w:r>
      <w:r w:rsidRPr="001A080D">
        <w:rPr>
          <w:rFonts w:ascii="Palatino Linotype" w:hAnsi="Palatino Linotype" w:cstheme="minorHAnsi"/>
          <w:sz w:val="22"/>
          <w:szCs w:val="22"/>
        </w:rPr>
        <w:t>en yüksek katkı</w:t>
      </w:r>
      <w:r w:rsidR="00830B62" w:rsidRPr="001A080D">
        <w:rPr>
          <w:rFonts w:ascii="Palatino Linotype" w:hAnsi="Palatino Linotype" w:cstheme="minorHAnsi"/>
          <w:sz w:val="22"/>
          <w:szCs w:val="22"/>
        </w:rPr>
        <w:t>lar tüketim (4</w:t>
      </w:r>
      <w:r w:rsidR="000978C8" w:rsidRPr="001A080D">
        <w:rPr>
          <w:rFonts w:ascii="Palatino Linotype" w:hAnsi="Palatino Linotype" w:cstheme="minorHAnsi"/>
          <w:sz w:val="22"/>
          <w:szCs w:val="22"/>
        </w:rPr>
        <w:t>,</w:t>
      </w:r>
      <w:r w:rsidR="00830B62" w:rsidRPr="001A080D">
        <w:rPr>
          <w:rFonts w:ascii="Palatino Linotype" w:hAnsi="Palatino Linotype" w:cstheme="minorHAnsi"/>
          <w:sz w:val="22"/>
          <w:szCs w:val="22"/>
        </w:rPr>
        <w:t>0</w:t>
      </w:r>
      <w:r w:rsidR="000978C8" w:rsidRPr="001A080D">
        <w:rPr>
          <w:rFonts w:ascii="Palatino Linotype" w:hAnsi="Palatino Linotype" w:cstheme="minorHAnsi"/>
          <w:sz w:val="22"/>
          <w:szCs w:val="22"/>
        </w:rPr>
        <w:t xml:space="preserve"> yüzde puan</w:t>
      </w:r>
      <w:r w:rsidR="00830B62" w:rsidRPr="001A080D">
        <w:rPr>
          <w:rFonts w:ascii="Palatino Linotype" w:hAnsi="Palatino Linotype" w:cstheme="minorHAnsi"/>
          <w:sz w:val="22"/>
          <w:szCs w:val="22"/>
        </w:rPr>
        <w:t xml:space="preserve">) ve stok değişimi (3,7 yüzde puan) kalemlerinden geldi. </w:t>
      </w:r>
      <w:r w:rsidR="000978C8" w:rsidRPr="001A080D">
        <w:rPr>
          <w:rFonts w:ascii="Palatino Linotype" w:hAnsi="Palatino Linotype" w:cstheme="minorHAnsi"/>
          <w:sz w:val="22"/>
          <w:szCs w:val="22"/>
        </w:rPr>
        <w:t xml:space="preserve">Yüzde </w:t>
      </w:r>
      <w:r w:rsidR="00080336" w:rsidRPr="001A080D">
        <w:rPr>
          <w:rFonts w:ascii="Palatino Linotype" w:hAnsi="Palatino Linotype" w:cstheme="minorHAnsi"/>
          <w:sz w:val="22"/>
          <w:szCs w:val="22"/>
        </w:rPr>
        <w:t>6</w:t>
      </w:r>
      <w:r w:rsidR="000978C8" w:rsidRPr="001A080D">
        <w:rPr>
          <w:rFonts w:ascii="Palatino Linotype" w:hAnsi="Palatino Linotype" w:cstheme="minorHAnsi"/>
          <w:sz w:val="22"/>
          <w:szCs w:val="22"/>
        </w:rPr>
        <w:t>’n</w:t>
      </w:r>
      <w:r w:rsidR="00080336" w:rsidRPr="001A080D">
        <w:rPr>
          <w:rFonts w:ascii="Palatino Linotype" w:hAnsi="Palatino Linotype" w:cstheme="minorHAnsi"/>
          <w:sz w:val="22"/>
          <w:szCs w:val="22"/>
        </w:rPr>
        <w:t>ı</w:t>
      </w:r>
      <w:r w:rsidR="000978C8" w:rsidRPr="001A080D">
        <w:rPr>
          <w:rFonts w:ascii="Palatino Linotype" w:hAnsi="Palatino Linotype" w:cstheme="minorHAnsi"/>
          <w:sz w:val="22"/>
          <w:szCs w:val="22"/>
        </w:rPr>
        <w:t xml:space="preserve">n üzerinde büyüyen yatırımların katkısı </w:t>
      </w:r>
      <w:r w:rsidR="00830B62" w:rsidRPr="001A080D">
        <w:rPr>
          <w:rFonts w:ascii="Palatino Linotype" w:hAnsi="Palatino Linotype" w:cstheme="minorHAnsi"/>
          <w:sz w:val="22"/>
          <w:szCs w:val="22"/>
        </w:rPr>
        <w:t>1</w:t>
      </w:r>
      <w:r w:rsidR="000978C8" w:rsidRPr="001A080D">
        <w:rPr>
          <w:rFonts w:ascii="Palatino Linotype" w:hAnsi="Palatino Linotype" w:cstheme="minorHAnsi"/>
          <w:sz w:val="22"/>
          <w:szCs w:val="22"/>
        </w:rPr>
        <w:t>,</w:t>
      </w:r>
      <w:r w:rsidR="00830B62" w:rsidRPr="001A080D">
        <w:rPr>
          <w:rFonts w:ascii="Palatino Linotype" w:hAnsi="Palatino Linotype" w:cstheme="minorHAnsi"/>
          <w:sz w:val="22"/>
          <w:szCs w:val="22"/>
        </w:rPr>
        <w:t>8</w:t>
      </w:r>
      <w:r w:rsidR="000978C8" w:rsidRPr="001A080D">
        <w:rPr>
          <w:rFonts w:ascii="Palatino Linotype" w:hAnsi="Palatino Linotype" w:cstheme="minorHAnsi"/>
          <w:sz w:val="22"/>
          <w:szCs w:val="22"/>
        </w:rPr>
        <w:t xml:space="preserve"> yüzde puan ol</w:t>
      </w:r>
      <w:r w:rsidR="00830B62" w:rsidRPr="001A080D">
        <w:rPr>
          <w:rFonts w:ascii="Palatino Linotype" w:hAnsi="Palatino Linotype" w:cstheme="minorHAnsi"/>
          <w:sz w:val="22"/>
          <w:szCs w:val="22"/>
        </w:rPr>
        <w:t xml:space="preserve">urken yüzde </w:t>
      </w:r>
      <w:r w:rsidR="00080336" w:rsidRPr="001A080D">
        <w:rPr>
          <w:rFonts w:ascii="Palatino Linotype" w:hAnsi="Palatino Linotype" w:cstheme="minorHAnsi"/>
          <w:sz w:val="22"/>
          <w:szCs w:val="22"/>
        </w:rPr>
        <w:t>9,3</w:t>
      </w:r>
      <w:r w:rsidR="00830B62" w:rsidRPr="001A080D">
        <w:rPr>
          <w:rFonts w:ascii="Palatino Linotype" w:hAnsi="Palatino Linotype" w:cstheme="minorHAnsi"/>
          <w:sz w:val="22"/>
          <w:szCs w:val="22"/>
        </w:rPr>
        <w:t xml:space="preserve"> büyüyen ihracatın katkısı ancak 2,0 yüzde puan oldu</w:t>
      </w:r>
      <w:r w:rsidR="000978C8" w:rsidRPr="001A080D">
        <w:rPr>
          <w:rFonts w:ascii="Palatino Linotype" w:hAnsi="Palatino Linotype" w:cstheme="minorHAnsi"/>
          <w:sz w:val="22"/>
          <w:szCs w:val="22"/>
        </w:rPr>
        <w:t xml:space="preserve">. </w:t>
      </w:r>
      <w:r w:rsidR="00830B62" w:rsidRPr="001A080D">
        <w:rPr>
          <w:rFonts w:ascii="Palatino Linotype" w:hAnsi="Palatino Linotype" w:cstheme="minorHAnsi"/>
          <w:sz w:val="22"/>
          <w:szCs w:val="22"/>
        </w:rPr>
        <w:t>İthalat büyümesi</w:t>
      </w:r>
      <w:r w:rsidR="002804E5" w:rsidRPr="001A080D">
        <w:rPr>
          <w:rFonts w:ascii="Palatino Linotype" w:hAnsi="Palatino Linotype" w:cstheme="minorHAnsi"/>
          <w:sz w:val="22"/>
          <w:szCs w:val="22"/>
        </w:rPr>
        <w:t>, rekor artışla,</w:t>
      </w:r>
      <w:r w:rsidR="00830B62" w:rsidRPr="001A080D">
        <w:rPr>
          <w:rFonts w:ascii="Palatino Linotype" w:hAnsi="Palatino Linotype" w:cstheme="minorHAnsi"/>
          <w:sz w:val="22"/>
          <w:szCs w:val="22"/>
        </w:rPr>
        <w:t xml:space="preserve"> yüzde </w:t>
      </w:r>
      <w:r w:rsidR="00F136EE" w:rsidRPr="001A080D">
        <w:rPr>
          <w:rFonts w:ascii="Palatino Linotype" w:hAnsi="Palatino Linotype" w:cstheme="minorHAnsi"/>
          <w:sz w:val="22"/>
          <w:szCs w:val="22"/>
        </w:rPr>
        <w:t>22,7</w:t>
      </w:r>
      <w:r w:rsidR="00830B62" w:rsidRPr="001A080D">
        <w:rPr>
          <w:rFonts w:ascii="Palatino Linotype" w:hAnsi="Palatino Linotype" w:cstheme="minorHAnsi"/>
          <w:sz w:val="22"/>
          <w:szCs w:val="22"/>
        </w:rPr>
        <w:t xml:space="preserve"> ol</w:t>
      </w:r>
      <w:r w:rsidR="002804E5" w:rsidRPr="001A080D">
        <w:rPr>
          <w:rFonts w:ascii="Palatino Linotype" w:hAnsi="Palatino Linotype" w:cstheme="minorHAnsi"/>
          <w:sz w:val="22"/>
          <w:szCs w:val="22"/>
        </w:rPr>
        <w:t xml:space="preserve">arak gerçekleşti ve </w:t>
      </w:r>
      <w:r w:rsidR="00EA7527" w:rsidRPr="001A080D">
        <w:rPr>
          <w:rFonts w:ascii="Palatino Linotype" w:hAnsi="Palatino Linotype" w:cstheme="minorHAnsi"/>
          <w:sz w:val="22"/>
          <w:szCs w:val="22"/>
        </w:rPr>
        <w:t xml:space="preserve">büyüme katkısı eksi 5,4 yüzde puan oldu. Sonuçta net ihracatın </w:t>
      </w:r>
      <w:r w:rsidR="00830B62" w:rsidRPr="001A080D">
        <w:rPr>
          <w:rFonts w:ascii="Palatino Linotype" w:hAnsi="Palatino Linotype" w:cstheme="minorHAnsi"/>
          <w:sz w:val="22"/>
          <w:szCs w:val="22"/>
        </w:rPr>
        <w:t>büyümeye katkı</w:t>
      </w:r>
      <w:r w:rsidR="001A080D">
        <w:rPr>
          <w:rFonts w:ascii="Palatino Linotype" w:hAnsi="Palatino Linotype" w:cstheme="minorHAnsi"/>
          <w:sz w:val="22"/>
          <w:szCs w:val="22"/>
        </w:rPr>
        <w:t>sı</w:t>
      </w:r>
      <w:r w:rsidR="00830B62" w:rsidRPr="001A080D">
        <w:rPr>
          <w:rFonts w:ascii="Palatino Linotype" w:hAnsi="Palatino Linotype" w:cstheme="minorHAnsi"/>
          <w:sz w:val="22"/>
          <w:szCs w:val="22"/>
        </w:rPr>
        <w:t xml:space="preserve"> eksi </w:t>
      </w:r>
      <w:r w:rsidR="00EA7527" w:rsidRPr="001A080D">
        <w:rPr>
          <w:rFonts w:ascii="Palatino Linotype" w:hAnsi="Palatino Linotype" w:cstheme="minorHAnsi"/>
          <w:sz w:val="22"/>
          <w:szCs w:val="22"/>
        </w:rPr>
        <w:t>3,4</w:t>
      </w:r>
      <w:r w:rsidR="00830B62" w:rsidRPr="001A080D">
        <w:rPr>
          <w:rFonts w:ascii="Palatino Linotype" w:hAnsi="Palatino Linotype" w:cstheme="minorHAnsi"/>
          <w:sz w:val="22"/>
          <w:szCs w:val="22"/>
        </w:rPr>
        <w:t xml:space="preserve"> yüzde puan </w:t>
      </w:r>
      <w:r w:rsidR="00EA7527" w:rsidRPr="001A080D">
        <w:rPr>
          <w:rFonts w:ascii="Palatino Linotype" w:hAnsi="Palatino Linotype" w:cstheme="minorHAnsi"/>
          <w:sz w:val="22"/>
          <w:szCs w:val="22"/>
        </w:rPr>
        <w:t>gibi yüksek bir düzeyde gerçekleşti.</w:t>
      </w:r>
      <w:r w:rsidR="00830B62" w:rsidRPr="001A080D">
        <w:rPr>
          <w:rFonts w:ascii="Palatino Linotype" w:hAnsi="Palatino Linotype" w:cstheme="minorHAnsi"/>
          <w:sz w:val="22"/>
          <w:szCs w:val="22"/>
        </w:rPr>
        <w:t xml:space="preserve"> K</w:t>
      </w:r>
      <w:r w:rsidR="00CC79C0" w:rsidRPr="001A080D">
        <w:rPr>
          <w:rFonts w:ascii="Palatino Linotype" w:hAnsi="Palatino Linotype" w:cstheme="minorHAnsi"/>
          <w:sz w:val="22"/>
          <w:szCs w:val="22"/>
        </w:rPr>
        <w:t>amu tüketimi</w:t>
      </w:r>
      <w:r w:rsidR="00830B62" w:rsidRPr="001A080D">
        <w:rPr>
          <w:rFonts w:ascii="Palatino Linotype" w:hAnsi="Palatino Linotype" w:cstheme="minorHAnsi"/>
          <w:sz w:val="22"/>
          <w:szCs w:val="22"/>
        </w:rPr>
        <w:t xml:space="preserve">nin katkısı ise 1,2 yüzde puan ile sınırlı kaldı. </w:t>
      </w:r>
    </w:p>
    <w:p w:rsidR="00CC79C0" w:rsidRPr="001A080D" w:rsidRDefault="00830B62" w:rsidP="00CE55CC">
      <w:pPr>
        <w:spacing w:after="120"/>
        <w:ind w:right="567"/>
        <w:jc w:val="both"/>
        <w:rPr>
          <w:rFonts w:ascii="Palatino Linotype" w:hAnsi="Palatino Linotype" w:cstheme="minorHAnsi"/>
          <w:sz w:val="22"/>
          <w:szCs w:val="22"/>
        </w:rPr>
      </w:pPr>
      <w:r w:rsidRPr="001A080D">
        <w:rPr>
          <w:rFonts w:ascii="Palatino Linotype" w:hAnsi="Palatino Linotype" w:cstheme="minorHAnsi"/>
          <w:sz w:val="22"/>
          <w:szCs w:val="22"/>
        </w:rPr>
        <w:t xml:space="preserve">2017 yılının tümünde </w:t>
      </w:r>
      <w:r w:rsidR="00036770" w:rsidRPr="001A080D">
        <w:rPr>
          <w:rFonts w:ascii="Palatino Linotype" w:hAnsi="Palatino Linotype" w:cstheme="minorHAnsi"/>
          <w:sz w:val="22"/>
          <w:szCs w:val="22"/>
        </w:rPr>
        <w:t xml:space="preserve">GSYH </w:t>
      </w:r>
      <w:r w:rsidRPr="001A080D">
        <w:rPr>
          <w:rFonts w:ascii="Palatino Linotype" w:hAnsi="Palatino Linotype" w:cstheme="minorHAnsi"/>
          <w:sz w:val="22"/>
          <w:szCs w:val="22"/>
        </w:rPr>
        <w:t>zincirlenmiş hacim endeksi</w:t>
      </w:r>
      <w:r w:rsidR="00036770" w:rsidRPr="001A080D">
        <w:rPr>
          <w:rFonts w:ascii="Palatino Linotype" w:hAnsi="Palatino Linotype" w:cstheme="minorHAnsi"/>
          <w:sz w:val="22"/>
          <w:szCs w:val="22"/>
        </w:rPr>
        <w:t xml:space="preserve"> olarak yüzde 7,4 artış ile </w:t>
      </w:r>
      <w:r w:rsidR="00625B95" w:rsidRPr="001A080D">
        <w:rPr>
          <w:rFonts w:ascii="Palatino Linotype" w:hAnsi="Palatino Linotype" w:cstheme="minorHAnsi"/>
          <w:sz w:val="22"/>
          <w:szCs w:val="22"/>
        </w:rPr>
        <w:t xml:space="preserve">2018-2020 Orta Vadeli Programında </w:t>
      </w:r>
      <w:r w:rsidR="00451A8A" w:rsidRPr="001A080D">
        <w:rPr>
          <w:rFonts w:ascii="Palatino Linotype" w:hAnsi="Palatino Linotype" w:cstheme="minorHAnsi"/>
          <w:sz w:val="22"/>
          <w:szCs w:val="22"/>
        </w:rPr>
        <w:t>(OVP)</w:t>
      </w:r>
      <w:r w:rsidR="00036770" w:rsidRPr="001A080D">
        <w:rPr>
          <w:rFonts w:ascii="Palatino Linotype" w:hAnsi="Palatino Linotype" w:cstheme="minorHAnsi"/>
          <w:sz w:val="22"/>
          <w:szCs w:val="22"/>
        </w:rPr>
        <w:t xml:space="preserve"> öngörülen </w:t>
      </w:r>
      <w:r w:rsidR="00625B95" w:rsidRPr="001A080D">
        <w:rPr>
          <w:rFonts w:ascii="Palatino Linotype" w:hAnsi="Palatino Linotype" w:cstheme="minorHAnsi"/>
          <w:sz w:val="22"/>
          <w:szCs w:val="22"/>
        </w:rPr>
        <w:t>yüzde 5,5’</w:t>
      </w:r>
      <w:r w:rsidR="00036770" w:rsidRPr="001A080D">
        <w:rPr>
          <w:rFonts w:ascii="Palatino Linotype" w:hAnsi="Palatino Linotype" w:cstheme="minorHAnsi"/>
          <w:sz w:val="22"/>
          <w:szCs w:val="22"/>
        </w:rPr>
        <w:t xml:space="preserve">in neredeyse iki puan üzerine çıktı. Bu yüksek büyümede </w:t>
      </w:r>
      <w:r w:rsidR="004F0543" w:rsidRPr="001A080D">
        <w:rPr>
          <w:rFonts w:ascii="Palatino Linotype" w:hAnsi="Palatino Linotype" w:cstheme="minorHAnsi"/>
          <w:sz w:val="22"/>
          <w:szCs w:val="22"/>
        </w:rPr>
        <w:t xml:space="preserve">Kredi Garanti Fonu ve diğer teşviklerin etkili olduğu </w:t>
      </w:r>
      <w:r w:rsidR="00036770" w:rsidRPr="001A080D">
        <w:rPr>
          <w:rFonts w:ascii="Palatino Linotype" w:hAnsi="Palatino Linotype" w:cstheme="minorHAnsi"/>
          <w:sz w:val="22"/>
          <w:szCs w:val="22"/>
        </w:rPr>
        <w:t>herkesçe kabul gör</w:t>
      </w:r>
      <w:r w:rsidR="00EA7527" w:rsidRPr="001A080D">
        <w:rPr>
          <w:rFonts w:ascii="Palatino Linotype" w:hAnsi="Palatino Linotype" w:cstheme="minorHAnsi"/>
          <w:sz w:val="22"/>
          <w:szCs w:val="22"/>
        </w:rPr>
        <w:t>en bir olgudur</w:t>
      </w:r>
      <w:r w:rsidR="00036770" w:rsidRPr="001A080D">
        <w:rPr>
          <w:rFonts w:ascii="Palatino Linotype" w:hAnsi="Palatino Linotype" w:cstheme="minorHAnsi"/>
          <w:sz w:val="22"/>
          <w:szCs w:val="22"/>
        </w:rPr>
        <w:t xml:space="preserve">. Asıl soru 2018’de bu muazzam teşviklerin bütçe kısıtları </w:t>
      </w:r>
      <w:proofErr w:type="gramStart"/>
      <w:r w:rsidR="00036770" w:rsidRPr="001A080D">
        <w:rPr>
          <w:rFonts w:ascii="Palatino Linotype" w:hAnsi="Palatino Linotype" w:cstheme="minorHAnsi"/>
          <w:sz w:val="22"/>
          <w:szCs w:val="22"/>
        </w:rPr>
        <w:t>dahilinde</w:t>
      </w:r>
      <w:proofErr w:type="gramEnd"/>
      <w:r w:rsidR="00036770" w:rsidRPr="001A080D">
        <w:rPr>
          <w:rFonts w:ascii="Palatino Linotype" w:hAnsi="Palatino Linotype" w:cstheme="minorHAnsi"/>
          <w:sz w:val="22"/>
          <w:szCs w:val="22"/>
        </w:rPr>
        <w:t xml:space="preserve"> ne oranda sürdürülebileceğidir. </w:t>
      </w:r>
    </w:p>
    <w:p w:rsidR="00D07713" w:rsidRPr="001A080D" w:rsidRDefault="00D07713">
      <w:pPr>
        <w:rPr>
          <w:rFonts w:ascii="Palatino Linotype" w:hAnsi="Palatino Linotype" w:cstheme="minorHAnsi"/>
          <w:sz w:val="22"/>
          <w:szCs w:val="22"/>
        </w:rPr>
      </w:pPr>
    </w:p>
    <w:p w:rsidR="00632221" w:rsidRPr="001A080D" w:rsidRDefault="00632221">
      <w:pPr>
        <w:rPr>
          <w:rFonts w:ascii="Palatino Linotype" w:hAnsi="Palatino Linotype" w:cstheme="minorHAnsi"/>
          <w:sz w:val="22"/>
          <w:szCs w:val="22"/>
        </w:rPr>
      </w:pPr>
    </w:p>
    <w:p w:rsidR="00E57043" w:rsidRPr="001A080D" w:rsidRDefault="00E57043" w:rsidP="00E85F3F">
      <w:pPr>
        <w:keepNext/>
        <w:ind w:right="77"/>
        <w:jc w:val="both"/>
        <w:rPr>
          <w:rFonts w:ascii="Palatino Linotype" w:hAnsi="Palatino Linotype" w:cstheme="minorHAnsi"/>
          <w:b/>
          <w:bCs/>
          <w:sz w:val="22"/>
          <w:szCs w:val="22"/>
        </w:rPr>
      </w:pPr>
      <w:r w:rsidRPr="001A080D">
        <w:rPr>
          <w:rFonts w:ascii="Palatino Linotype" w:hAnsi="Palatino Linotype" w:cstheme="minorHAnsi"/>
          <w:b/>
          <w:bCs/>
          <w:sz w:val="22"/>
          <w:szCs w:val="22"/>
        </w:rPr>
        <w:t>Şekil</w:t>
      </w:r>
      <w:r w:rsidR="00D53424" w:rsidRPr="001A080D">
        <w:rPr>
          <w:rFonts w:ascii="Palatino Linotype" w:hAnsi="Palatino Linotype" w:cstheme="minorHAnsi"/>
          <w:b/>
          <w:bCs/>
          <w:sz w:val="22"/>
          <w:szCs w:val="22"/>
        </w:rPr>
        <w:t xml:space="preserve"> 1: GSYH alt kalemlerinin 2017 </w:t>
      </w:r>
      <w:r w:rsidR="00C53444" w:rsidRPr="001A080D">
        <w:rPr>
          <w:rFonts w:ascii="Palatino Linotype" w:hAnsi="Palatino Linotype" w:cstheme="minorHAnsi"/>
          <w:b/>
          <w:bCs/>
          <w:sz w:val="22"/>
          <w:szCs w:val="22"/>
        </w:rPr>
        <w:t>4</w:t>
      </w:r>
      <w:r w:rsidRPr="001A080D">
        <w:rPr>
          <w:rFonts w:ascii="Palatino Linotype" w:hAnsi="Palatino Linotype" w:cstheme="minorHAnsi"/>
          <w:b/>
          <w:bCs/>
          <w:sz w:val="22"/>
          <w:szCs w:val="22"/>
        </w:rPr>
        <w:t xml:space="preserve">. çeyrekte bir önceki yılın aynı çeyreğine göre büyüme oranları </w:t>
      </w:r>
      <w:r w:rsidR="006C3EE6" w:rsidRPr="001A080D">
        <w:rPr>
          <w:rFonts w:ascii="Palatino Linotype" w:hAnsi="Palatino Linotype" w:cstheme="minorHAnsi"/>
          <w:b/>
          <w:bCs/>
          <w:sz w:val="22"/>
          <w:szCs w:val="22"/>
        </w:rPr>
        <w:t>(s</w:t>
      </w:r>
      <w:r w:rsidR="00D4574F" w:rsidRPr="001A080D">
        <w:rPr>
          <w:rFonts w:ascii="Palatino Linotype" w:hAnsi="Palatino Linotype" w:cstheme="minorHAnsi"/>
          <w:b/>
          <w:bCs/>
          <w:sz w:val="22"/>
          <w:szCs w:val="22"/>
        </w:rPr>
        <w:t>ağ</w:t>
      </w:r>
      <w:r w:rsidR="001A080D">
        <w:rPr>
          <w:rFonts w:ascii="Palatino Linotype" w:hAnsi="Palatino Linotype" w:cstheme="minorHAnsi"/>
          <w:b/>
          <w:bCs/>
          <w:sz w:val="22"/>
          <w:szCs w:val="22"/>
        </w:rPr>
        <w:t xml:space="preserve"> </w:t>
      </w:r>
      <w:r w:rsidR="00CB3462" w:rsidRPr="001A080D">
        <w:rPr>
          <w:rFonts w:ascii="Palatino Linotype" w:hAnsi="Palatino Linotype" w:cstheme="minorHAnsi"/>
          <w:b/>
          <w:bCs/>
          <w:sz w:val="22"/>
          <w:szCs w:val="22"/>
        </w:rPr>
        <w:t>şekil</w:t>
      </w:r>
      <w:r w:rsidR="006C3EE6" w:rsidRPr="001A080D">
        <w:rPr>
          <w:rFonts w:ascii="Palatino Linotype" w:hAnsi="Palatino Linotype" w:cstheme="minorHAnsi"/>
          <w:b/>
          <w:bCs/>
          <w:sz w:val="22"/>
          <w:szCs w:val="22"/>
        </w:rPr>
        <w:t>) ve büyümeye katkıları (s</w:t>
      </w:r>
      <w:r w:rsidR="00D4574F" w:rsidRPr="001A080D">
        <w:rPr>
          <w:rFonts w:ascii="Palatino Linotype" w:hAnsi="Palatino Linotype" w:cstheme="minorHAnsi"/>
          <w:b/>
          <w:bCs/>
          <w:sz w:val="22"/>
          <w:szCs w:val="22"/>
        </w:rPr>
        <w:t>ol</w:t>
      </w:r>
      <w:r w:rsidR="001A080D">
        <w:rPr>
          <w:rFonts w:ascii="Palatino Linotype" w:hAnsi="Palatino Linotype" w:cstheme="minorHAnsi"/>
          <w:b/>
          <w:bCs/>
          <w:sz w:val="22"/>
          <w:szCs w:val="22"/>
        </w:rPr>
        <w:t xml:space="preserve"> </w:t>
      </w:r>
      <w:r w:rsidR="00CB3462" w:rsidRPr="001A080D">
        <w:rPr>
          <w:rFonts w:ascii="Palatino Linotype" w:hAnsi="Palatino Linotype" w:cstheme="minorHAnsi"/>
          <w:b/>
          <w:bCs/>
          <w:sz w:val="22"/>
          <w:szCs w:val="22"/>
        </w:rPr>
        <w:t>şekil</w:t>
      </w:r>
      <w:r w:rsidR="006C3EE6" w:rsidRPr="001A080D">
        <w:rPr>
          <w:rFonts w:ascii="Palatino Linotype" w:hAnsi="Palatino Linotype" w:cstheme="minorHAnsi"/>
          <w:b/>
          <w:bCs/>
          <w:sz w:val="22"/>
          <w:szCs w:val="22"/>
        </w:rPr>
        <w:t>)</w:t>
      </w:r>
    </w:p>
    <w:p w:rsidR="00D07713" w:rsidRPr="001A080D" w:rsidRDefault="00D07713" w:rsidP="00E85F3F">
      <w:pPr>
        <w:keepNext/>
        <w:rPr>
          <w:rFonts w:ascii="Palatino Linotype" w:hAnsi="Palatino Linotype" w:cstheme="minorHAnsi"/>
        </w:rPr>
      </w:pPr>
    </w:p>
    <w:p w:rsidR="00D07713" w:rsidRPr="001A080D" w:rsidRDefault="00655938" w:rsidP="001C2C68">
      <w:pPr>
        <w:keepNext/>
        <w:ind w:left="-567" w:right="-567"/>
        <w:rPr>
          <w:rFonts w:ascii="Palatino Linotype" w:hAnsi="Palatino Linotype" w:cstheme="minorHAnsi"/>
        </w:rPr>
      </w:pPr>
      <w:r w:rsidRPr="001A080D">
        <w:rPr>
          <w:noProof/>
        </w:rPr>
        <w:drawing>
          <wp:inline distT="0" distB="0" distL="0" distR="0">
            <wp:extent cx="2990850" cy="2105025"/>
            <wp:effectExtent l="0" t="0" r="0" b="9525"/>
            <wp:docPr id="2" name="Grafik 2">
              <a:extLst xmlns:a="http://schemas.openxmlformats.org/drawingml/2006/main">
                <a:ext uri="{FF2B5EF4-FFF2-40B4-BE49-F238E27FC236}">
                  <a16:creationId xmlns:a16="http://schemas.microsoft.com/office/drawing/2014/main" id="{9ADAA2E1-08CE-438E-AFE2-4F471FEAD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86808" w:rsidRPr="001A080D">
        <w:rPr>
          <w:noProof/>
        </w:rPr>
        <w:drawing>
          <wp:inline distT="0" distB="0" distL="0" distR="0">
            <wp:extent cx="3076575" cy="2124075"/>
            <wp:effectExtent l="0" t="0" r="9525" b="9525"/>
            <wp:docPr id="6" name="Grafik 6">
              <a:extLst xmlns:a="http://schemas.openxmlformats.org/drawingml/2006/main">
                <a:ext uri="{FF2B5EF4-FFF2-40B4-BE49-F238E27FC236}">
                  <a16:creationId xmlns:a16="http://schemas.microsoft.com/office/drawing/2014/main" id="{E45B290E-BC09-4195-A599-1E59AE595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1A080D" w:rsidRDefault="001C2C68" w:rsidP="001C2C68">
      <w:pPr>
        <w:keepNext/>
        <w:rPr>
          <w:rFonts w:ascii="Palatino Linotype" w:hAnsi="Palatino Linotype" w:cstheme="minorHAnsi"/>
        </w:rPr>
      </w:pPr>
    </w:p>
    <w:p w:rsidR="001C2C68" w:rsidRPr="001A080D" w:rsidRDefault="004931A5" w:rsidP="001C2C68">
      <w:pPr>
        <w:keepNext/>
        <w:rPr>
          <w:rFonts w:ascii="Palatino Linotype" w:hAnsi="Palatino Linotype" w:cstheme="minorHAnsi"/>
        </w:rPr>
      </w:pPr>
      <w:r w:rsidRPr="001A080D">
        <w:rPr>
          <w:rFonts w:ascii="Palatino Linotype" w:hAnsi="Palatino Linotype" w:cstheme="minorHAnsi"/>
          <w:sz w:val="18"/>
          <w:szCs w:val="18"/>
        </w:rPr>
        <w:t>Kaynak: TÜİK, Betam</w:t>
      </w:r>
      <w:r w:rsidRPr="001A080D">
        <w:rPr>
          <w:rFonts w:ascii="Palatino Linotype" w:hAnsi="Palatino Linotype" w:cstheme="minorHAnsi"/>
          <w:sz w:val="16"/>
          <w:szCs w:val="16"/>
        </w:rPr>
        <w:t xml:space="preserve">. </w:t>
      </w:r>
    </w:p>
    <w:p w:rsidR="00D07713" w:rsidRPr="001A080D" w:rsidRDefault="00D07713">
      <w:pPr>
        <w:rPr>
          <w:rFonts w:ascii="Palatino Linotype" w:hAnsi="Palatino Linotype" w:cstheme="minorHAnsi"/>
        </w:rPr>
      </w:pPr>
    </w:p>
    <w:p w:rsidR="006C3EE6" w:rsidRPr="001A080D" w:rsidRDefault="00C11B5A"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1A080D">
        <w:rPr>
          <w:rFonts w:ascii="Palatino Linotype" w:hAnsi="Palatino Linotype" w:cstheme="minorHAnsi"/>
          <w:b/>
          <w:bCs/>
          <w:sz w:val="22"/>
          <w:szCs w:val="22"/>
        </w:rPr>
        <w:t>Özel t</w:t>
      </w:r>
      <w:r w:rsidR="0058588C" w:rsidRPr="001A080D">
        <w:rPr>
          <w:rFonts w:ascii="Palatino Linotype" w:hAnsi="Palatino Linotype" w:cstheme="minorHAnsi"/>
          <w:b/>
          <w:bCs/>
          <w:sz w:val="22"/>
          <w:szCs w:val="22"/>
        </w:rPr>
        <w:t>üketimde ılımlı artış</w:t>
      </w:r>
    </w:p>
    <w:p w:rsidR="006C3EE6" w:rsidRPr="001A080D"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sidRPr="001A080D">
        <w:rPr>
          <w:rFonts w:ascii="Palatino Linotype" w:hAnsi="Palatino Linotype" w:cstheme="minorHAnsi"/>
          <w:sz w:val="22"/>
          <w:szCs w:val="22"/>
        </w:rPr>
        <w:lastRenderedPageBreak/>
        <w:t xml:space="preserve">Geçen yılın aynı çeyreğine göre </w:t>
      </w:r>
      <w:r w:rsidR="00080211" w:rsidRPr="001A080D">
        <w:rPr>
          <w:rFonts w:ascii="Palatino Linotype" w:hAnsi="Palatino Linotype" w:cstheme="minorHAnsi"/>
          <w:sz w:val="22"/>
          <w:szCs w:val="22"/>
        </w:rPr>
        <w:t>üçüncü</w:t>
      </w:r>
      <w:r w:rsidRPr="001A080D">
        <w:rPr>
          <w:rFonts w:ascii="Palatino Linotype" w:hAnsi="Palatino Linotype" w:cstheme="minorHAnsi"/>
          <w:sz w:val="22"/>
          <w:szCs w:val="22"/>
        </w:rPr>
        <w:t xml:space="preserve"> çeyrekte yüzde </w:t>
      </w:r>
      <w:r w:rsidR="00586424" w:rsidRPr="001A080D">
        <w:rPr>
          <w:rFonts w:ascii="Palatino Linotype" w:hAnsi="Palatino Linotype" w:cstheme="minorHAnsi"/>
          <w:sz w:val="22"/>
          <w:szCs w:val="22"/>
        </w:rPr>
        <w:t>10</w:t>
      </w:r>
      <w:r w:rsidRPr="001A080D">
        <w:rPr>
          <w:rFonts w:ascii="Palatino Linotype" w:hAnsi="Palatino Linotype" w:cstheme="minorHAnsi"/>
          <w:sz w:val="22"/>
          <w:szCs w:val="22"/>
        </w:rPr>
        <w:t>,</w:t>
      </w:r>
      <w:r w:rsidR="00586424" w:rsidRPr="001A080D">
        <w:rPr>
          <w:rFonts w:ascii="Palatino Linotype" w:hAnsi="Palatino Linotype" w:cstheme="minorHAnsi"/>
          <w:sz w:val="22"/>
          <w:szCs w:val="22"/>
        </w:rPr>
        <w:t>9</w:t>
      </w:r>
      <w:r w:rsidRPr="001A080D">
        <w:rPr>
          <w:rFonts w:ascii="Palatino Linotype" w:hAnsi="Palatino Linotype" w:cstheme="minorHAnsi"/>
          <w:sz w:val="22"/>
          <w:szCs w:val="22"/>
        </w:rPr>
        <w:t xml:space="preserve"> büyüyen özel tüketim </w:t>
      </w:r>
      <w:r w:rsidR="00080211" w:rsidRPr="001A080D">
        <w:rPr>
          <w:rFonts w:ascii="Palatino Linotype" w:hAnsi="Palatino Linotype" w:cstheme="minorHAnsi"/>
          <w:sz w:val="22"/>
          <w:szCs w:val="22"/>
        </w:rPr>
        <w:t>dördüncü</w:t>
      </w:r>
      <w:r w:rsidRPr="001A080D">
        <w:rPr>
          <w:rFonts w:ascii="Palatino Linotype" w:hAnsi="Palatino Linotype" w:cstheme="minorHAnsi"/>
          <w:sz w:val="22"/>
          <w:szCs w:val="22"/>
        </w:rPr>
        <w:t xml:space="preserve"> çeyrekte yüzde </w:t>
      </w:r>
      <w:r w:rsidR="0048774D" w:rsidRPr="001A080D">
        <w:rPr>
          <w:rFonts w:ascii="Palatino Linotype" w:hAnsi="Palatino Linotype" w:cstheme="minorHAnsi"/>
          <w:sz w:val="22"/>
          <w:szCs w:val="22"/>
        </w:rPr>
        <w:t>6</w:t>
      </w:r>
      <w:r w:rsidRPr="001A080D">
        <w:rPr>
          <w:rFonts w:ascii="Palatino Linotype" w:hAnsi="Palatino Linotype" w:cstheme="minorHAnsi"/>
          <w:sz w:val="22"/>
          <w:szCs w:val="22"/>
        </w:rPr>
        <w:t>,</w:t>
      </w:r>
      <w:r w:rsidR="0048774D" w:rsidRPr="001A080D">
        <w:rPr>
          <w:rFonts w:ascii="Palatino Linotype" w:hAnsi="Palatino Linotype" w:cstheme="minorHAnsi"/>
          <w:sz w:val="22"/>
          <w:szCs w:val="22"/>
        </w:rPr>
        <w:t>6</w:t>
      </w:r>
      <w:r w:rsidRPr="001A080D">
        <w:rPr>
          <w:rFonts w:ascii="Palatino Linotype" w:hAnsi="Palatino Linotype" w:cstheme="minorHAnsi"/>
          <w:sz w:val="22"/>
          <w:szCs w:val="22"/>
        </w:rPr>
        <w:t xml:space="preserve"> büyüdü</w:t>
      </w:r>
      <w:r w:rsidR="007F3C9B" w:rsidRPr="001A080D">
        <w:rPr>
          <w:rFonts w:ascii="Palatino Linotype" w:hAnsi="Palatino Linotype" w:cstheme="minorHAnsi"/>
          <w:sz w:val="22"/>
          <w:szCs w:val="22"/>
        </w:rPr>
        <w:t xml:space="preserve">. </w:t>
      </w:r>
      <w:r w:rsidR="00080211" w:rsidRPr="001A080D">
        <w:rPr>
          <w:rFonts w:ascii="Palatino Linotype" w:hAnsi="Palatino Linotype" w:cstheme="minorHAnsi"/>
          <w:sz w:val="22"/>
          <w:szCs w:val="22"/>
        </w:rPr>
        <w:t xml:space="preserve">Büyümeye yaptığı katkı yüzde 6,4’ten yüzde 4’e düşse de özel tüketim büyümenin lokomotifi olmayı son çeyrekte de sürdürdü. </w:t>
      </w:r>
      <w:r w:rsidR="00A6165E" w:rsidRPr="001A080D">
        <w:rPr>
          <w:rFonts w:ascii="Palatino Linotype" w:hAnsi="Palatino Linotype" w:cstheme="minorHAnsi"/>
          <w:sz w:val="22"/>
          <w:szCs w:val="22"/>
        </w:rPr>
        <w:t>(</w:t>
      </w:r>
      <w:r w:rsidR="006C3EE6" w:rsidRPr="001A080D">
        <w:rPr>
          <w:rFonts w:ascii="Palatino Linotype" w:hAnsi="Palatino Linotype" w:cstheme="minorHAnsi"/>
          <w:sz w:val="22"/>
          <w:szCs w:val="22"/>
        </w:rPr>
        <w:t xml:space="preserve">Tablo 1). </w:t>
      </w:r>
      <w:r w:rsidR="00080211" w:rsidRPr="001A080D">
        <w:rPr>
          <w:rFonts w:ascii="Palatino Linotype" w:hAnsi="Palatino Linotype" w:cstheme="minorHAnsi"/>
          <w:sz w:val="22"/>
          <w:szCs w:val="22"/>
        </w:rPr>
        <w:t>M</w:t>
      </w:r>
      <w:r w:rsidR="004931A5" w:rsidRPr="001A080D">
        <w:rPr>
          <w:rFonts w:ascii="Palatino Linotype" w:hAnsi="Palatino Linotype" w:cstheme="minorHAnsi"/>
          <w:sz w:val="22"/>
          <w:szCs w:val="22"/>
        </w:rPr>
        <w:t xml:space="preserve">evsim ve takvim etkilerinden arındırılmış rakamlara baktığımızda </w:t>
      </w:r>
      <w:r w:rsidR="00080211" w:rsidRPr="001A080D">
        <w:rPr>
          <w:rFonts w:ascii="Palatino Linotype" w:hAnsi="Palatino Linotype" w:cstheme="minorHAnsi"/>
          <w:sz w:val="22"/>
          <w:szCs w:val="22"/>
        </w:rPr>
        <w:t>özel tüketim</w:t>
      </w:r>
      <w:r w:rsidR="00C86475" w:rsidRPr="001A080D">
        <w:rPr>
          <w:rFonts w:ascii="Palatino Linotype" w:hAnsi="Palatino Linotype" w:cstheme="minorHAnsi"/>
          <w:sz w:val="22"/>
          <w:szCs w:val="22"/>
        </w:rPr>
        <w:t xml:space="preserve"> </w:t>
      </w:r>
      <w:r w:rsidR="00EA7527" w:rsidRPr="001A080D">
        <w:rPr>
          <w:rFonts w:ascii="Palatino Linotype" w:hAnsi="Palatino Linotype" w:cstheme="minorHAnsi"/>
          <w:sz w:val="22"/>
          <w:szCs w:val="22"/>
        </w:rPr>
        <w:t>artışının son çeyrekte güçlendiğini (yüzde 1,8’den 2,7’ye</w:t>
      </w:r>
      <w:r w:rsidR="00EA7527" w:rsidRPr="001A080D">
        <w:rPr>
          <w:rFonts w:ascii="Palatino Linotype" w:hAnsi="Palatino Linotype" w:cstheme="minorHAnsi"/>
          <w:b/>
          <w:sz w:val="22"/>
          <w:szCs w:val="22"/>
        </w:rPr>
        <w:t>)</w:t>
      </w:r>
      <w:r w:rsidR="00EA7527" w:rsidRPr="001A080D">
        <w:rPr>
          <w:rFonts w:ascii="Palatino Linotype" w:hAnsi="Palatino Linotype" w:cstheme="minorHAnsi"/>
          <w:sz w:val="22"/>
          <w:szCs w:val="22"/>
        </w:rPr>
        <w:t xml:space="preserve"> ve büyümeye katk</w:t>
      </w:r>
      <w:r w:rsidR="001A080D">
        <w:rPr>
          <w:rFonts w:ascii="Palatino Linotype" w:hAnsi="Palatino Linotype" w:cstheme="minorHAnsi"/>
          <w:sz w:val="22"/>
          <w:szCs w:val="22"/>
        </w:rPr>
        <w:t>ı</w:t>
      </w:r>
      <w:r w:rsidR="00EA7527" w:rsidRPr="001A080D">
        <w:rPr>
          <w:rFonts w:ascii="Palatino Linotype" w:hAnsi="Palatino Linotype" w:cstheme="minorHAnsi"/>
          <w:sz w:val="22"/>
          <w:szCs w:val="22"/>
        </w:rPr>
        <w:t>sının</w:t>
      </w:r>
      <w:r w:rsidR="00080211" w:rsidRPr="001A080D">
        <w:rPr>
          <w:rFonts w:ascii="Palatino Linotype" w:hAnsi="Palatino Linotype" w:cstheme="minorHAnsi"/>
          <w:sz w:val="22"/>
          <w:szCs w:val="22"/>
        </w:rPr>
        <w:t xml:space="preserve"> arttığını görüyoruz </w:t>
      </w:r>
      <w:r w:rsidR="004931A5" w:rsidRPr="001A080D">
        <w:rPr>
          <w:rFonts w:ascii="Palatino Linotype" w:hAnsi="Palatino Linotype" w:cstheme="minorHAnsi"/>
          <w:sz w:val="22"/>
          <w:szCs w:val="22"/>
        </w:rPr>
        <w:t xml:space="preserve">(Tablo 2). </w:t>
      </w:r>
    </w:p>
    <w:p w:rsidR="003D44CE" w:rsidRPr="001A080D" w:rsidRDefault="006C3EE6" w:rsidP="006C3EE6">
      <w:pPr>
        <w:keepNext/>
        <w:ind w:right="77"/>
        <w:jc w:val="both"/>
        <w:rPr>
          <w:rFonts w:ascii="Palatino Linotype" w:hAnsi="Palatino Linotype" w:cstheme="minorHAnsi"/>
          <w:b/>
          <w:bCs/>
          <w:sz w:val="22"/>
          <w:szCs w:val="22"/>
        </w:rPr>
      </w:pPr>
      <w:r w:rsidRPr="001A080D">
        <w:rPr>
          <w:rFonts w:ascii="Palatino Linotype" w:hAnsi="Palatino Linotype" w:cstheme="minorHAnsi"/>
          <w:b/>
          <w:bCs/>
          <w:sz w:val="22"/>
          <w:szCs w:val="22"/>
        </w:rPr>
        <w:t xml:space="preserve">Tablo 1: </w:t>
      </w:r>
      <w:r w:rsidR="00D53424" w:rsidRPr="001A080D">
        <w:rPr>
          <w:rFonts w:ascii="Palatino Linotype" w:hAnsi="Palatino Linotype" w:cstheme="minorHAnsi"/>
          <w:b/>
          <w:bCs/>
          <w:sz w:val="22"/>
          <w:szCs w:val="22"/>
        </w:rPr>
        <w:t xml:space="preserve">GSYH alt kalemlerinin 2017 </w:t>
      </w:r>
      <w:r w:rsidR="00E540BC" w:rsidRPr="001A080D">
        <w:rPr>
          <w:rFonts w:ascii="Palatino Linotype" w:hAnsi="Palatino Linotype" w:cstheme="minorHAnsi"/>
          <w:b/>
          <w:bCs/>
          <w:sz w:val="22"/>
          <w:szCs w:val="22"/>
        </w:rPr>
        <w:t>3</w:t>
      </w:r>
      <w:r w:rsidRPr="001A080D">
        <w:rPr>
          <w:rFonts w:ascii="Palatino Linotype" w:hAnsi="Palatino Linotype" w:cstheme="minorHAnsi"/>
          <w:b/>
          <w:bCs/>
          <w:sz w:val="22"/>
          <w:szCs w:val="22"/>
        </w:rPr>
        <w:t xml:space="preserve">. </w:t>
      </w:r>
      <w:r w:rsidR="00CF5053" w:rsidRPr="001A080D">
        <w:rPr>
          <w:rFonts w:ascii="Palatino Linotype" w:hAnsi="Palatino Linotype" w:cstheme="minorHAnsi"/>
          <w:b/>
          <w:bCs/>
          <w:sz w:val="22"/>
          <w:szCs w:val="22"/>
        </w:rPr>
        <w:t>v</w:t>
      </w:r>
      <w:r w:rsidRPr="001A080D">
        <w:rPr>
          <w:rFonts w:ascii="Palatino Linotype" w:hAnsi="Palatino Linotype" w:cstheme="minorHAnsi"/>
          <w:b/>
          <w:bCs/>
          <w:sz w:val="22"/>
          <w:szCs w:val="22"/>
        </w:rPr>
        <w:t xml:space="preserve">e </w:t>
      </w:r>
      <w:r w:rsidR="00E540BC" w:rsidRPr="001A080D">
        <w:rPr>
          <w:rFonts w:ascii="Palatino Linotype" w:hAnsi="Palatino Linotype" w:cstheme="minorHAnsi"/>
          <w:b/>
          <w:bCs/>
          <w:sz w:val="22"/>
          <w:szCs w:val="22"/>
        </w:rPr>
        <w:t>4</w:t>
      </w:r>
      <w:r w:rsidRPr="001A080D">
        <w:rPr>
          <w:rFonts w:ascii="Palatino Linotype" w:hAnsi="Palatino Linotype" w:cstheme="minorHAnsi"/>
          <w:b/>
          <w:bCs/>
          <w:sz w:val="22"/>
          <w:szCs w:val="22"/>
        </w:rPr>
        <w:t>. çeyrekte bir önceki yılın aynı çeyreğine göre büyüme oranları ve büyümeye katkıları</w:t>
      </w:r>
    </w:p>
    <w:p w:rsidR="00EA7527" w:rsidRPr="001A080D" w:rsidRDefault="00EA7527" w:rsidP="006C3EE6">
      <w:pPr>
        <w:keepNext/>
        <w:ind w:right="77"/>
        <w:jc w:val="both"/>
        <w:rPr>
          <w:rFonts w:ascii="Palatino Linotype" w:hAnsi="Palatino Linotype" w:cstheme="minorHAnsi"/>
          <w:bCs/>
          <w:sz w:val="22"/>
          <w:szCs w:val="22"/>
        </w:rPr>
      </w:pP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2017Q3</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2017Q4</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Katkı (%)</w:t>
            </w:r>
          </w:p>
        </w:tc>
      </w:tr>
      <w:tr w:rsidR="00A86808" w:rsidRPr="001A080D" w:rsidTr="00A86808">
        <w:trPr>
          <w:trHeight w:val="282"/>
        </w:trPr>
        <w:tc>
          <w:tcPr>
            <w:tcW w:w="1480" w:type="dxa"/>
            <w:tcBorders>
              <w:top w:val="single" w:sz="4" w:space="0" w:color="auto"/>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10.9</w:t>
            </w:r>
          </w:p>
        </w:tc>
        <w:tc>
          <w:tcPr>
            <w:tcW w:w="961" w:type="dxa"/>
            <w:tcBorders>
              <w:top w:val="single" w:sz="4" w:space="0" w:color="auto"/>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6.4</w:t>
            </w:r>
          </w:p>
        </w:tc>
        <w:tc>
          <w:tcPr>
            <w:tcW w:w="1259" w:type="dxa"/>
            <w:tcBorders>
              <w:top w:val="single" w:sz="4" w:space="0" w:color="auto"/>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6.6</w:t>
            </w:r>
          </w:p>
        </w:tc>
        <w:tc>
          <w:tcPr>
            <w:tcW w:w="961" w:type="dxa"/>
            <w:tcBorders>
              <w:top w:val="single" w:sz="4" w:space="0" w:color="auto"/>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4.0</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6.7</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0.9</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7.4</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1.2</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13.2</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3.8</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6.1</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1.8</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0.0</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3.7</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17.9</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3.8</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9.3</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2.0</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15.0</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-3.6</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22.7</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-5.4</w:t>
            </w:r>
          </w:p>
        </w:tc>
      </w:tr>
      <w:tr w:rsidR="00A86808" w:rsidRPr="001A080D" w:rsidTr="00A86808">
        <w:trPr>
          <w:trHeight w:val="315"/>
        </w:trPr>
        <w:tc>
          <w:tcPr>
            <w:tcW w:w="1480" w:type="dxa"/>
            <w:tcBorders>
              <w:top w:val="nil"/>
              <w:left w:val="nil"/>
              <w:bottom w:val="double" w:sz="6" w:space="0" w:color="auto"/>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11.3</w:t>
            </w:r>
          </w:p>
        </w:tc>
        <w:tc>
          <w:tcPr>
            <w:tcW w:w="961" w:type="dxa"/>
            <w:tcBorders>
              <w:top w:val="nil"/>
              <w:left w:val="nil"/>
              <w:bottom w:val="double" w:sz="6" w:space="0" w:color="auto"/>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A86808" w:rsidRPr="001A080D" w:rsidRDefault="003A7596" w:rsidP="00A86808">
            <w:pPr>
              <w:jc w:val="center"/>
              <w:rPr>
                <w:rFonts w:ascii="Calibri" w:hAnsi="Calibri"/>
                <w:color w:val="000000"/>
                <w:sz w:val="20"/>
                <w:szCs w:val="20"/>
              </w:rPr>
            </w:pPr>
            <w:r w:rsidRPr="001A080D">
              <w:rPr>
                <w:rFonts w:ascii="Calibri" w:hAnsi="Calibri"/>
                <w:color w:val="000000"/>
                <w:sz w:val="20"/>
                <w:szCs w:val="20"/>
              </w:rPr>
              <w:t>7.3</w:t>
            </w:r>
          </w:p>
        </w:tc>
        <w:tc>
          <w:tcPr>
            <w:tcW w:w="961" w:type="dxa"/>
            <w:tcBorders>
              <w:top w:val="nil"/>
              <w:left w:val="nil"/>
              <w:bottom w:val="double" w:sz="6" w:space="0" w:color="auto"/>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r>
    </w:tbl>
    <w:p w:rsidR="004931A5" w:rsidRPr="001A080D" w:rsidRDefault="003D44CE" w:rsidP="004931A5">
      <w:pPr>
        <w:keepNext/>
        <w:rPr>
          <w:rFonts w:ascii="Palatino Linotype" w:hAnsi="Palatino Linotype" w:cstheme="minorHAnsi"/>
          <w:sz w:val="18"/>
          <w:szCs w:val="18"/>
        </w:rPr>
      </w:pPr>
      <w:r w:rsidRPr="001A080D">
        <w:rPr>
          <w:rFonts w:ascii="Palatino Linotype" w:hAnsi="Palatino Linotype" w:cstheme="minorHAnsi"/>
          <w:sz w:val="18"/>
          <w:szCs w:val="18"/>
        </w:rPr>
        <w:t>Ka</w:t>
      </w:r>
      <w:r w:rsidR="004931A5" w:rsidRPr="001A080D">
        <w:rPr>
          <w:rFonts w:ascii="Palatino Linotype" w:hAnsi="Palatino Linotype" w:cstheme="minorHAnsi"/>
          <w:sz w:val="18"/>
          <w:szCs w:val="18"/>
        </w:rPr>
        <w:t xml:space="preserve">ynak: TÜİK, Betam. </w:t>
      </w:r>
    </w:p>
    <w:p w:rsidR="006C3EE6" w:rsidRPr="001A080D" w:rsidRDefault="006C3EE6" w:rsidP="006C3EE6">
      <w:pPr>
        <w:keepNext/>
        <w:rPr>
          <w:rFonts w:ascii="Palatino Linotype" w:hAnsi="Palatino Linotype" w:cstheme="minorHAnsi"/>
        </w:rPr>
      </w:pPr>
    </w:p>
    <w:p w:rsidR="006C3EE6" w:rsidRPr="001A080D" w:rsidRDefault="006C3EE6" w:rsidP="006C3EE6">
      <w:pPr>
        <w:keepNext/>
        <w:ind w:right="77"/>
        <w:jc w:val="both"/>
        <w:rPr>
          <w:rFonts w:ascii="Palatino Linotype" w:hAnsi="Palatino Linotype" w:cstheme="minorHAnsi"/>
          <w:b/>
          <w:bCs/>
          <w:sz w:val="22"/>
          <w:szCs w:val="22"/>
        </w:rPr>
      </w:pPr>
      <w:r w:rsidRPr="001A080D">
        <w:rPr>
          <w:rFonts w:ascii="Palatino Linotype" w:hAnsi="Palatino Linotype" w:cstheme="minorHAnsi"/>
          <w:b/>
          <w:bCs/>
          <w:sz w:val="22"/>
          <w:szCs w:val="22"/>
        </w:rPr>
        <w:t xml:space="preserve">Tablo 2: </w:t>
      </w:r>
      <w:r w:rsidR="00D53424" w:rsidRPr="001A080D">
        <w:rPr>
          <w:rFonts w:ascii="Palatino Linotype" w:hAnsi="Palatino Linotype" w:cstheme="minorHAnsi"/>
          <w:b/>
          <w:bCs/>
          <w:sz w:val="22"/>
          <w:szCs w:val="22"/>
        </w:rPr>
        <w:t xml:space="preserve">GSYH alt kalemlerinin 2017 </w:t>
      </w:r>
      <w:r w:rsidR="00E540BC" w:rsidRPr="001A080D">
        <w:rPr>
          <w:rFonts w:ascii="Palatino Linotype" w:hAnsi="Palatino Linotype" w:cstheme="minorHAnsi"/>
          <w:b/>
          <w:bCs/>
          <w:sz w:val="22"/>
          <w:szCs w:val="22"/>
        </w:rPr>
        <w:t>3</w:t>
      </w:r>
      <w:r w:rsidRPr="001A080D">
        <w:rPr>
          <w:rFonts w:ascii="Palatino Linotype" w:hAnsi="Palatino Linotype" w:cstheme="minorHAnsi"/>
          <w:b/>
          <w:bCs/>
          <w:sz w:val="22"/>
          <w:szCs w:val="22"/>
        </w:rPr>
        <w:t xml:space="preserve">. </w:t>
      </w:r>
      <w:r w:rsidR="00CF5053" w:rsidRPr="001A080D">
        <w:rPr>
          <w:rFonts w:ascii="Palatino Linotype" w:hAnsi="Palatino Linotype" w:cstheme="minorHAnsi"/>
          <w:b/>
          <w:bCs/>
          <w:sz w:val="22"/>
          <w:szCs w:val="22"/>
        </w:rPr>
        <w:t>v</w:t>
      </w:r>
      <w:r w:rsidRPr="001A080D">
        <w:rPr>
          <w:rFonts w:ascii="Palatino Linotype" w:hAnsi="Palatino Linotype" w:cstheme="minorHAnsi"/>
          <w:b/>
          <w:bCs/>
          <w:sz w:val="22"/>
          <w:szCs w:val="22"/>
        </w:rPr>
        <w:t xml:space="preserve">e </w:t>
      </w:r>
      <w:r w:rsidR="00E540BC" w:rsidRPr="001A080D">
        <w:rPr>
          <w:rFonts w:ascii="Palatino Linotype" w:hAnsi="Palatino Linotype" w:cstheme="minorHAnsi"/>
          <w:b/>
          <w:bCs/>
          <w:sz w:val="22"/>
          <w:szCs w:val="22"/>
        </w:rPr>
        <w:t>4</w:t>
      </w:r>
      <w:r w:rsidRPr="001A080D">
        <w:rPr>
          <w:rFonts w:ascii="Palatino Linotype" w:hAnsi="Palatino Linotype" w:cstheme="minorHAnsi"/>
          <w:b/>
          <w:bCs/>
          <w:sz w:val="22"/>
          <w:szCs w:val="22"/>
        </w:rPr>
        <w:t>. çeyrekte bir önceki çeyreğe göre büyüme oranları ve büyümeye katkıları</w:t>
      </w:r>
      <w:r w:rsidR="00CF5053" w:rsidRPr="001A080D">
        <w:rPr>
          <w:rFonts w:ascii="Palatino Linotype" w:hAnsi="Palatino Linotype" w:cstheme="minorHAnsi"/>
          <w:b/>
          <w:bCs/>
          <w:sz w:val="22"/>
          <w:szCs w:val="22"/>
        </w:rPr>
        <w:t xml:space="preserve"> (mevsim ve takvim etkilerinden arındırılmış)</w:t>
      </w:r>
    </w:p>
    <w:p w:rsidR="00EA7527" w:rsidRPr="001A080D" w:rsidRDefault="00EA7527" w:rsidP="006C3EE6">
      <w:pPr>
        <w:keepNext/>
        <w:ind w:right="77"/>
        <w:jc w:val="both"/>
        <w:rPr>
          <w:rFonts w:ascii="Palatino Linotype" w:hAnsi="Palatino Linotype" w:cstheme="minorHAnsi"/>
          <w:b/>
          <w:bCs/>
          <w:sz w:val="22"/>
          <w:szCs w:val="22"/>
        </w:rPr>
      </w:pP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2017Q3</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2017Q4</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b/>
                <w:bCs/>
                <w:color w:val="000000"/>
                <w:sz w:val="20"/>
                <w:szCs w:val="20"/>
              </w:rPr>
            </w:pPr>
            <w:r w:rsidRPr="001A080D">
              <w:rPr>
                <w:rFonts w:ascii="Calibri" w:hAnsi="Calibri"/>
                <w:b/>
                <w:bCs/>
                <w:color w:val="000000"/>
                <w:sz w:val="20"/>
                <w:szCs w:val="20"/>
              </w:rPr>
              <w:t>Katkı (%)</w:t>
            </w:r>
          </w:p>
        </w:tc>
      </w:tr>
      <w:tr w:rsidR="00A86808" w:rsidRPr="001A080D" w:rsidTr="00A86808">
        <w:trPr>
          <w:trHeight w:val="282"/>
        </w:trPr>
        <w:tc>
          <w:tcPr>
            <w:tcW w:w="1480" w:type="dxa"/>
            <w:tcBorders>
              <w:top w:val="single" w:sz="4" w:space="0" w:color="auto"/>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1.8</w:t>
            </w:r>
          </w:p>
        </w:tc>
        <w:tc>
          <w:tcPr>
            <w:tcW w:w="961" w:type="dxa"/>
            <w:tcBorders>
              <w:top w:val="single" w:sz="4" w:space="0" w:color="auto"/>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1.0</w:t>
            </w:r>
          </w:p>
        </w:tc>
        <w:tc>
          <w:tcPr>
            <w:tcW w:w="1259" w:type="dxa"/>
            <w:tcBorders>
              <w:top w:val="single" w:sz="4" w:space="0" w:color="auto"/>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2.7</w:t>
            </w:r>
          </w:p>
        </w:tc>
        <w:tc>
          <w:tcPr>
            <w:tcW w:w="961" w:type="dxa"/>
            <w:tcBorders>
              <w:top w:val="single" w:sz="4" w:space="0" w:color="auto"/>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1.6</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-0.1</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0.0</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6.5</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0.9</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4.5</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1.3</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-1.2</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-0.4</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0.3</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0.7</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-0.7</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-0.2</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4.9</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1.1</w:t>
            </w:r>
          </w:p>
        </w:tc>
      </w:tr>
      <w:tr w:rsidR="00A86808" w:rsidRPr="001A080D" w:rsidTr="00A86808">
        <w:trPr>
          <w:trHeight w:val="282"/>
        </w:trPr>
        <w:tc>
          <w:tcPr>
            <w:tcW w:w="1480" w:type="dxa"/>
            <w:tcBorders>
              <w:top w:val="nil"/>
              <w:left w:val="nil"/>
              <w:bottom w:val="nil"/>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4.6</w:t>
            </w:r>
          </w:p>
        </w:tc>
        <w:tc>
          <w:tcPr>
            <w:tcW w:w="961" w:type="dxa"/>
            <w:tcBorders>
              <w:top w:val="nil"/>
              <w:left w:val="nil"/>
              <w:bottom w:val="nil"/>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-1.2</w:t>
            </w:r>
          </w:p>
        </w:tc>
        <w:tc>
          <w:tcPr>
            <w:tcW w:w="1259"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8.4</w:t>
            </w:r>
          </w:p>
        </w:tc>
        <w:tc>
          <w:tcPr>
            <w:tcW w:w="961" w:type="dxa"/>
            <w:tcBorders>
              <w:top w:val="nil"/>
              <w:left w:val="nil"/>
              <w:bottom w:val="nil"/>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-2.2</w:t>
            </w:r>
          </w:p>
        </w:tc>
      </w:tr>
      <w:tr w:rsidR="00A86808" w:rsidRPr="001A080D" w:rsidTr="00A86808">
        <w:trPr>
          <w:trHeight w:val="315"/>
        </w:trPr>
        <w:tc>
          <w:tcPr>
            <w:tcW w:w="1480" w:type="dxa"/>
            <w:tcBorders>
              <w:top w:val="nil"/>
              <w:left w:val="nil"/>
              <w:bottom w:val="double" w:sz="6" w:space="0" w:color="auto"/>
              <w:right w:val="nil"/>
            </w:tcBorders>
            <w:shd w:val="clear" w:color="000000" w:fill="FFFFFF"/>
            <w:noWrap/>
            <w:vAlign w:val="bottom"/>
            <w:hideMark/>
          </w:tcPr>
          <w:p w:rsidR="00A86808" w:rsidRPr="001A080D" w:rsidRDefault="00A86808" w:rsidP="00A86808">
            <w:pPr>
              <w:rPr>
                <w:rFonts w:ascii="Calibri" w:hAnsi="Calibri"/>
                <w:b/>
                <w:bCs/>
                <w:color w:val="000000"/>
                <w:sz w:val="20"/>
                <w:szCs w:val="20"/>
              </w:rPr>
            </w:pPr>
            <w:r w:rsidRPr="001A080D">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1.3</w:t>
            </w:r>
          </w:p>
        </w:tc>
        <w:tc>
          <w:tcPr>
            <w:tcW w:w="961" w:type="dxa"/>
            <w:tcBorders>
              <w:top w:val="nil"/>
              <w:left w:val="nil"/>
              <w:bottom w:val="double" w:sz="6" w:space="0" w:color="auto"/>
              <w:right w:val="single" w:sz="4" w:space="0" w:color="auto"/>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1.8</w:t>
            </w:r>
          </w:p>
        </w:tc>
        <w:tc>
          <w:tcPr>
            <w:tcW w:w="961" w:type="dxa"/>
            <w:tcBorders>
              <w:top w:val="nil"/>
              <w:left w:val="nil"/>
              <w:bottom w:val="double" w:sz="6" w:space="0" w:color="auto"/>
              <w:right w:val="nil"/>
            </w:tcBorders>
            <w:shd w:val="clear" w:color="000000" w:fill="FFFFFF"/>
            <w:noWrap/>
            <w:vAlign w:val="bottom"/>
            <w:hideMark/>
          </w:tcPr>
          <w:p w:rsidR="00A86808" w:rsidRPr="001A080D" w:rsidRDefault="00A86808" w:rsidP="00A86808">
            <w:pPr>
              <w:jc w:val="center"/>
              <w:rPr>
                <w:rFonts w:ascii="Calibri" w:hAnsi="Calibri"/>
                <w:color w:val="000000"/>
                <w:sz w:val="20"/>
                <w:szCs w:val="20"/>
              </w:rPr>
            </w:pPr>
            <w:r w:rsidRPr="001A080D">
              <w:rPr>
                <w:rFonts w:ascii="Calibri" w:hAnsi="Calibri"/>
                <w:color w:val="000000"/>
                <w:sz w:val="20"/>
                <w:szCs w:val="20"/>
              </w:rPr>
              <w:t> </w:t>
            </w:r>
          </w:p>
        </w:tc>
      </w:tr>
    </w:tbl>
    <w:p w:rsidR="00F46A54" w:rsidRPr="001A080D" w:rsidRDefault="003D44CE" w:rsidP="00F46A54">
      <w:pPr>
        <w:keepNext/>
        <w:rPr>
          <w:rFonts w:ascii="Palatino Linotype" w:hAnsi="Palatino Linotype" w:cstheme="minorHAnsi"/>
          <w:sz w:val="18"/>
          <w:szCs w:val="18"/>
        </w:rPr>
      </w:pPr>
      <w:r w:rsidRPr="001A080D">
        <w:rPr>
          <w:rFonts w:ascii="Palatino Linotype" w:hAnsi="Palatino Linotype" w:cstheme="minorHAnsi"/>
          <w:sz w:val="18"/>
          <w:szCs w:val="18"/>
        </w:rPr>
        <w:t>Ka</w:t>
      </w:r>
      <w:r w:rsidR="00F46A54" w:rsidRPr="001A080D">
        <w:rPr>
          <w:rFonts w:ascii="Palatino Linotype" w:hAnsi="Palatino Linotype" w:cstheme="minorHAnsi"/>
          <w:sz w:val="18"/>
          <w:szCs w:val="18"/>
        </w:rPr>
        <w:t xml:space="preserve">ynak: TÜİK, Betam. </w:t>
      </w:r>
    </w:p>
    <w:p w:rsidR="006C3EE6" w:rsidRPr="001A080D" w:rsidRDefault="006C3EE6" w:rsidP="004931A5">
      <w:pPr>
        <w:pStyle w:val="NormalWeb"/>
        <w:spacing w:before="0" w:beforeAutospacing="0" w:after="0" w:afterAutospacing="0" w:line="360" w:lineRule="auto"/>
        <w:ind w:right="77"/>
        <w:rPr>
          <w:rFonts w:ascii="Palatino Linotype" w:hAnsi="Palatino Linotype" w:cstheme="minorHAnsi"/>
          <w:b/>
          <w:sz w:val="20"/>
          <w:szCs w:val="20"/>
          <w:highlight w:val="yellow"/>
        </w:rPr>
      </w:pPr>
    </w:p>
    <w:p w:rsidR="006C3EE6" w:rsidRPr="001A080D" w:rsidRDefault="006C3EE6" w:rsidP="004931A5">
      <w:pPr>
        <w:pStyle w:val="NormalWeb"/>
        <w:spacing w:before="0" w:beforeAutospacing="0" w:after="0" w:afterAutospacing="0" w:line="360" w:lineRule="auto"/>
        <w:ind w:right="77"/>
        <w:rPr>
          <w:rFonts w:ascii="Palatino Linotype" w:hAnsi="Palatino Linotype" w:cstheme="minorHAnsi"/>
          <w:b/>
          <w:sz w:val="22"/>
          <w:szCs w:val="22"/>
        </w:rPr>
      </w:pPr>
      <w:r w:rsidRPr="001A080D">
        <w:rPr>
          <w:rFonts w:ascii="Palatino Linotype" w:hAnsi="Palatino Linotype" w:cstheme="minorHAnsi"/>
          <w:b/>
          <w:sz w:val="22"/>
          <w:szCs w:val="22"/>
        </w:rPr>
        <w:t>Yatırımlar</w:t>
      </w:r>
      <w:r w:rsidR="00080211" w:rsidRPr="001A080D">
        <w:rPr>
          <w:rFonts w:ascii="Palatino Linotype" w:hAnsi="Palatino Linotype" w:cstheme="minorHAnsi"/>
          <w:b/>
          <w:sz w:val="22"/>
          <w:szCs w:val="22"/>
        </w:rPr>
        <w:t xml:space="preserve">ın katkısı </w:t>
      </w:r>
      <w:r w:rsidR="00B56D03" w:rsidRPr="001A080D">
        <w:rPr>
          <w:rFonts w:ascii="Palatino Linotype" w:hAnsi="Palatino Linotype" w:cstheme="minorHAnsi"/>
          <w:b/>
          <w:sz w:val="22"/>
          <w:szCs w:val="22"/>
        </w:rPr>
        <w:t>azaldı</w:t>
      </w:r>
    </w:p>
    <w:p w:rsidR="003E1EED" w:rsidRPr="001A080D" w:rsidRDefault="009B1546"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1A080D">
        <w:rPr>
          <w:rFonts w:ascii="Palatino Linotype" w:hAnsi="Palatino Linotype" w:cstheme="minorHAnsi"/>
          <w:sz w:val="22"/>
          <w:szCs w:val="22"/>
        </w:rPr>
        <w:t xml:space="preserve">2017 yılının </w:t>
      </w:r>
      <w:r w:rsidR="00080211" w:rsidRPr="001A080D">
        <w:rPr>
          <w:rFonts w:ascii="Palatino Linotype" w:hAnsi="Palatino Linotype" w:cstheme="minorHAnsi"/>
          <w:sz w:val="22"/>
          <w:szCs w:val="22"/>
        </w:rPr>
        <w:t>üçüncü</w:t>
      </w:r>
      <w:r w:rsidRPr="001A080D">
        <w:rPr>
          <w:rFonts w:ascii="Palatino Linotype" w:hAnsi="Palatino Linotype" w:cstheme="minorHAnsi"/>
          <w:sz w:val="22"/>
          <w:szCs w:val="22"/>
        </w:rPr>
        <w:t xml:space="preserve"> çeyre</w:t>
      </w:r>
      <w:r w:rsidR="00A310EA" w:rsidRPr="001A080D">
        <w:rPr>
          <w:rFonts w:ascii="Palatino Linotype" w:hAnsi="Palatino Linotype" w:cstheme="minorHAnsi"/>
          <w:sz w:val="22"/>
          <w:szCs w:val="22"/>
        </w:rPr>
        <w:t xml:space="preserve">ğinde </w:t>
      </w:r>
      <w:r w:rsidR="00EA7527" w:rsidRPr="001A080D">
        <w:rPr>
          <w:rFonts w:ascii="Palatino Linotype" w:hAnsi="Palatino Linotype" w:cstheme="minorHAnsi"/>
          <w:sz w:val="22"/>
          <w:szCs w:val="22"/>
        </w:rPr>
        <w:t xml:space="preserve">yıllık </w:t>
      </w:r>
      <w:proofErr w:type="gramStart"/>
      <w:r w:rsidR="00EA7527" w:rsidRPr="001A080D">
        <w:rPr>
          <w:rFonts w:ascii="Palatino Linotype" w:hAnsi="Palatino Linotype" w:cstheme="minorHAnsi"/>
          <w:sz w:val="22"/>
          <w:szCs w:val="22"/>
        </w:rPr>
        <w:t>bazda</w:t>
      </w:r>
      <w:proofErr w:type="gramEnd"/>
      <w:r w:rsidR="00C86475" w:rsidRPr="001A080D">
        <w:rPr>
          <w:rFonts w:ascii="Palatino Linotype" w:hAnsi="Palatino Linotype" w:cstheme="minorHAnsi"/>
          <w:sz w:val="22"/>
          <w:szCs w:val="22"/>
        </w:rPr>
        <w:t xml:space="preserve"> </w:t>
      </w:r>
      <w:r w:rsidR="00B56D03" w:rsidRPr="001A080D">
        <w:rPr>
          <w:rFonts w:ascii="Palatino Linotype" w:hAnsi="Palatino Linotype" w:cstheme="minorHAnsi"/>
          <w:sz w:val="22"/>
          <w:szCs w:val="22"/>
        </w:rPr>
        <w:t>yüzde</w:t>
      </w:r>
      <w:r w:rsidR="00C86475" w:rsidRPr="001A080D">
        <w:rPr>
          <w:rFonts w:ascii="Palatino Linotype" w:hAnsi="Palatino Linotype" w:cstheme="minorHAnsi"/>
          <w:sz w:val="22"/>
          <w:szCs w:val="22"/>
        </w:rPr>
        <w:t xml:space="preserve"> </w:t>
      </w:r>
      <w:r w:rsidR="00EA7527" w:rsidRPr="001A080D">
        <w:rPr>
          <w:rFonts w:ascii="Palatino Linotype" w:hAnsi="Palatino Linotype" w:cstheme="minorHAnsi"/>
          <w:sz w:val="22"/>
          <w:szCs w:val="22"/>
        </w:rPr>
        <w:t>13,2</w:t>
      </w:r>
      <w:r w:rsidR="00C86475" w:rsidRPr="001A080D">
        <w:rPr>
          <w:rFonts w:ascii="Palatino Linotype" w:hAnsi="Palatino Linotype" w:cstheme="minorHAnsi"/>
          <w:sz w:val="22"/>
          <w:szCs w:val="22"/>
        </w:rPr>
        <w:t xml:space="preserve"> </w:t>
      </w:r>
      <w:r w:rsidR="00B56D03" w:rsidRPr="001A080D">
        <w:rPr>
          <w:rFonts w:ascii="Palatino Linotype" w:hAnsi="Palatino Linotype" w:cstheme="minorHAnsi"/>
          <w:sz w:val="22"/>
          <w:szCs w:val="22"/>
        </w:rPr>
        <w:t xml:space="preserve">büyüyerek </w:t>
      </w:r>
      <w:r w:rsidRPr="001A080D">
        <w:rPr>
          <w:rFonts w:ascii="Palatino Linotype" w:hAnsi="Palatino Linotype" w:cstheme="minorHAnsi"/>
          <w:sz w:val="22"/>
          <w:szCs w:val="22"/>
        </w:rPr>
        <w:t xml:space="preserve">büyümeye </w:t>
      </w:r>
      <w:r w:rsidR="00080211" w:rsidRPr="001A080D">
        <w:rPr>
          <w:rFonts w:ascii="Palatino Linotype" w:hAnsi="Palatino Linotype" w:cstheme="minorHAnsi"/>
          <w:sz w:val="22"/>
          <w:szCs w:val="22"/>
        </w:rPr>
        <w:t>3,8</w:t>
      </w:r>
      <w:r w:rsidR="00C86475" w:rsidRPr="001A080D">
        <w:rPr>
          <w:rFonts w:ascii="Palatino Linotype" w:hAnsi="Palatino Linotype" w:cstheme="minorHAnsi"/>
          <w:sz w:val="22"/>
          <w:szCs w:val="22"/>
        </w:rPr>
        <w:t xml:space="preserve"> </w:t>
      </w:r>
      <w:r w:rsidR="00AB1006" w:rsidRPr="001A080D">
        <w:rPr>
          <w:rFonts w:ascii="Palatino Linotype" w:hAnsi="Palatino Linotype" w:cstheme="minorHAnsi"/>
          <w:sz w:val="22"/>
          <w:szCs w:val="22"/>
        </w:rPr>
        <w:t>yüzde puan</w:t>
      </w:r>
      <w:r w:rsidR="00C86475" w:rsidRPr="001A080D">
        <w:rPr>
          <w:rFonts w:ascii="Palatino Linotype" w:hAnsi="Palatino Linotype" w:cstheme="minorHAnsi"/>
          <w:sz w:val="22"/>
          <w:szCs w:val="22"/>
        </w:rPr>
        <w:t xml:space="preserve"> </w:t>
      </w:r>
      <w:r w:rsidR="00A310EA" w:rsidRPr="001A080D">
        <w:rPr>
          <w:rFonts w:ascii="Palatino Linotype" w:hAnsi="Palatino Linotype" w:cstheme="minorHAnsi"/>
          <w:sz w:val="22"/>
          <w:szCs w:val="22"/>
        </w:rPr>
        <w:t>katkı yapan yatırımlar</w:t>
      </w:r>
      <w:r w:rsidR="00B56D03" w:rsidRPr="001A080D">
        <w:rPr>
          <w:rFonts w:ascii="Palatino Linotype" w:hAnsi="Palatino Linotype" w:cstheme="minorHAnsi"/>
          <w:sz w:val="22"/>
          <w:szCs w:val="22"/>
        </w:rPr>
        <w:t xml:space="preserve"> son çeyrekte yüzde 6,1 büyüyerek GSYH büyümesine</w:t>
      </w:r>
      <w:r w:rsidR="00C86475" w:rsidRPr="001A080D">
        <w:rPr>
          <w:rFonts w:ascii="Palatino Linotype" w:hAnsi="Palatino Linotype" w:cstheme="minorHAnsi"/>
          <w:sz w:val="22"/>
          <w:szCs w:val="22"/>
        </w:rPr>
        <w:t xml:space="preserve"> </w:t>
      </w:r>
      <w:r w:rsidR="00080211" w:rsidRPr="001A080D">
        <w:rPr>
          <w:rFonts w:ascii="Palatino Linotype" w:hAnsi="Palatino Linotype" w:cstheme="minorHAnsi"/>
          <w:sz w:val="22"/>
          <w:szCs w:val="22"/>
        </w:rPr>
        <w:t>1,8</w:t>
      </w:r>
      <w:r w:rsidR="00B56D03" w:rsidRPr="001A080D">
        <w:rPr>
          <w:rFonts w:ascii="Palatino Linotype" w:hAnsi="Palatino Linotype" w:cstheme="minorHAnsi"/>
          <w:sz w:val="22"/>
          <w:szCs w:val="22"/>
        </w:rPr>
        <w:t xml:space="preserve"> yüzde</w:t>
      </w:r>
      <w:r w:rsidR="00C86475" w:rsidRPr="001A080D">
        <w:rPr>
          <w:rFonts w:ascii="Palatino Linotype" w:hAnsi="Palatino Linotype" w:cstheme="minorHAnsi"/>
          <w:sz w:val="22"/>
          <w:szCs w:val="22"/>
        </w:rPr>
        <w:t xml:space="preserve"> </w:t>
      </w:r>
      <w:r w:rsidR="00B56D03" w:rsidRPr="001A080D">
        <w:rPr>
          <w:rFonts w:ascii="Palatino Linotype" w:hAnsi="Palatino Linotype" w:cstheme="minorHAnsi"/>
          <w:sz w:val="22"/>
          <w:szCs w:val="22"/>
        </w:rPr>
        <w:t>puanlık bir katkı yaptı</w:t>
      </w:r>
      <w:r w:rsidR="00C86475" w:rsidRPr="001A080D">
        <w:rPr>
          <w:rFonts w:ascii="Palatino Linotype" w:hAnsi="Palatino Linotype" w:cstheme="minorHAnsi"/>
          <w:sz w:val="22"/>
          <w:szCs w:val="22"/>
        </w:rPr>
        <w:t xml:space="preserve"> </w:t>
      </w:r>
      <w:r w:rsidR="00AB1006" w:rsidRPr="001A080D">
        <w:rPr>
          <w:rFonts w:ascii="Palatino Linotype" w:hAnsi="Palatino Linotype" w:cstheme="minorHAnsi"/>
          <w:sz w:val="22"/>
          <w:szCs w:val="22"/>
        </w:rPr>
        <w:t>(Tablo 1)</w:t>
      </w:r>
      <w:r w:rsidR="00A310EA" w:rsidRPr="001A080D">
        <w:rPr>
          <w:rFonts w:ascii="Palatino Linotype" w:hAnsi="Palatino Linotype" w:cstheme="minorHAnsi"/>
          <w:sz w:val="22"/>
          <w:szCs w:val="22"/>
        </w:rPr>
        <w:t>. Yatırımların yıllık büyümeye katkısı ikinci çeyrekte 2,4 yüzde puan iken, üçüncü çeyrekte bu katkı 3,5 yüzde puana çık</w:t>
      </w:r>
      <w:r w:rsidR="00B56D03" w:rsidRPr="001A080D">
        <w:rPr>
          <w:rFonts w:ascii="Palatino Linotype" w:hAnsi="Palatino Linotype" w:cstheme="minorHAnsi"/>
          <w:sz w:val="22"/>
          <w:szCs w:val="22"/>
        </w:rPr>
        <w:t>mıştı. Bu gelişmeyi Kredi Garanti Fonu’nun (KGF</w:t>
      </w:r>
      <w:r w:rsidR="00DD4D85" w:rsidRPr="001A080D">
        <w:rPr>
          <w:rFonts w:ascii="Palatino Linotype" w:hAnsi="Palatino Linotype" w:cstheme="minorHAnsi"/>
          <w:sz w:val="22"/>
          <w:szCs w:val="22"/>
        </w:rPr>
        <w:t xml:space="preserve">) ekonomiye yansımaları olarak yorumlamıştık. Son çeyrek verileri </w:t>
      </w:r>
      <w:r w:rsidR="00DD4D85" w:rsidRPr="001A080D">
        <w:rPr>
          <w:rFonts w:ascii="Palatino Linotype" w:hAnsi="Palatino Linotype" w:cstheme="minorHAnsi"/>
          <w:sz w:val="22"/>
          <w:szCs w:val="22"/>
        </w:rPr>
        <w:lastRenderedPageBreak/>
        <w:t>KGF etkilerinin sönümlenmeye başladığını ortaya koyuyor</w:t>
      </w:r>
      <w:r w:rsidR="00DA0C5D" w:rsidRPr="001A080D">
        <w:rPr>
          <w:rStyle w:val="FootnoteReference"/>
          <w:rFonts w:ascii="Palatino Linotype" w:hAnsi="Palatino Linotype" w:cstheme="minorHAnsi"/>
          <w:sz w:val="22"/>
          <w:szCs w:val="22"/>
        </w:rPr>
        <w:footnoteReference w:id="4"/>
      </w:r>
      <w:r w:rsidR="00DA0C5D" w:rsidRPr="001A080D">
        <w:rPr>
          <w:rFonts w:ascii="Palatino Linotype" w:hAnsi="Palatino Linotype" w:cstheme="minorHAnsi"/>
          <w:sz w:val="22"/>
          <w:szCs w:val="22"/>
        </w:rPr>
        <w:t xml:space="preserve">. </w:t>
      </w:r>
      <w:proofErr w:type="gramStart"/>
      <w:r w:rsidR="00AB1006" w:rsidRPr="001A080D">
        <w:rPr>
          <w:rFonts w:ascii="Palatino Linotype" w:hAnsi="Palatino Linotype" w:cstheme="minorHAnsi"/>
          <w:sz w:val="22"/>
          <w:szCs w:val="22"/>
        </w:rPr>
        <w:t>Nitekim,</w:t>
      </w:r>
      <w:proofErr w:type="gramEnd"/>
      <w:r w:rsidR="00AB1006" w:rsidRPr="001A080D">
        <w:rPr>
          <w:rFonts w:ascii="Palatino Linotype" w:hAnsi="Palatino Linotype" w:cstheme="minorHAnsi"/>
          <w:sz w:val="22"/>
          <w:szCs w:val="22"/>
        </w:rPr>
        <w:t xml:space="preserve"> üçüncü çeyrekten dördüncü çeyreğe yatırımların azaldığını (eksi yüzde 1,2) ve büyümeyi 0,4 yüzde p</w:t>
      </w:r>
      <w:r w:rsidR="001F1554" w:rsidRPr="001A080D">
        <w:rPr>
          <w:rFonts w:ascii="Palatino Linotype" w:hAnsi="Palatino Linotype" w:cstheme="minorHAnsi"/>
          <w:sz w:val="22"/>
          <w:szCs w:val="22"/>
        </w:rPr>
        <w:t>uan aşağıya çektiği görülüyor (T</w:t>
      </w:r>
      <w:r w:rsidR="00AB1006" w:rsidRPr="001A080D">
        <w:rPr>
          <w:rFonts w:ascii="Palatino Linotype" w:hAnsi="Palatino Linotype" w:cstheme="minorHAnsi"/>
          <w:sz w:val="22"/>
          <w:szCs w:val="22"/>
        </w:rPr>
        <w:t>ablo 2).</w:t>
      </w:r>
      <w:r w:rsidR="001F1554" w:rsidRPr="001A080D">
        <w:rPr>
          <w:rFonts w:ascii="Palatino Linotype" w:hAnsi="Palatino Linotype" w:cstheme="minorHAnsi"/>
          <w:sz w:val="22"/>
          <w:szCs w:val="22"/>
        </w:rPr>
        <w:t xml:space="preserve"> </w:t>
      </w:r>
      <w:r w:rsidR="001E72E4" w:rsidRPr="001A080D">
        <w:rPr>
          <w:rFonts w:ascii="Palatino Linotype" w:hAnsi="Palatino Linotype" w:cstheme="minorHAnsi"/>
          <w:sz w:val="22"/>
          <w:szCs w:val="22"/>
        </w:rPr>
        <w:t>Bu</w:t>
      </w:r>
      <w:r w:rsidR="001F1554" w:rsidRPr="001A080D">
        <w:rPr>
          <w:rFonts w:ascii="Palatino Linotype" w:hAnsi="Palatino Linotype" w:cstheme="minorHAnsi"/>
          <w:sz w:val="22"/>
          <w:szCs w:val="22"/>
        </w:rPr>
        <w:t xml:space="preserve"> </w:t>
      </w:r>
      <w:r w:rsidR="001E72E4" w:rsidRPr="001A080D">
        <w:rPr>
          <w:rFonts w:ascii="Palatino Linotype" w:hAnsi="Palatino Linotype" w:cstheme="minorHAnsi"/>
          <w:sz w:val="22"/>
          <w:szCs w:val="22"/>
        </w:rPr>
        <w:t xml:space="preserve">gerilemenin son çeyrekte inşaat sektöründe gözlemlenen durgunluktan kaynaklandığı anlaşılmaktadır; </w:t>
      </w:r>
      <w:r w:rsidR="001F1554" w:rsidRPr="001A080D">
        <w:rPr>
          <w:rFonts w:ascii="Palatino Linotype" w:hAnsi="Palatino Linotype" w:cstheme="minorHAnsi"/>
          <w:sz w:val="22"/>
          <w:szCs w:val="22"/>
        </w:rPr>
        <w:t>i</w:t>
      </w:r>
      <w:r w:rsidR="001E72E4" w:rsidRPr="001A080D">
        <w:rPr>
          <w:rFonts w:ascii="Palatino Linotype" w:hAnsi="Palatino Linotype" w:cstheme="minorHAnsi"/>
          <w:sz w:val="22"/>
          <w:szCs w:val="22"/>
        </w:rPr>
        <w:t>lk dokuz ayda yıllık olarak yüzde 12’nin üzerinde büyüyen bu sektörün son 3 ayda yıllık büyümesi yüzde 4,8’e gerilemiştir.</w:t>
      </w:r>
    </w:p>
    <w:p w:rsidR="00D45167" w:rsidRPr="001A080D" w:rsidRDefault="00D45167" w:rsidP="00681022">
      <w:pPr>
        <w:pStyle w:val="NormalWeb"/>
        <w:spacing w:before="0" w:beforeAutospacing="0" w:after="0" w:afterAutospacing="0" w:line="360" w:lineRule="auto"/>
        <w:ind w:right="77"/>
        <w:rPr>
          <w:rFonts w:ascii="Palatino Linotype" w:hAnsi="Palatino Linotype" w:cstheme="minorHAnsi"/>
          <w:b/>
          <w:sz w:val="22"/>
          <w:szCs w:val="22"/>
        </w:rPr>
      </w:pPr>
    </w:p>
    <w:p w:rsidR="00681AD9" w:rsidRPr="001A080D"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1A080D">
        <w:rPr>
          <w:rFonts w:ascii="Palatino Linotype" w:hAnsi="Palatino Linotype" w:cstheme="minorHAnsi"/>
          <w:b/>
          <w:sz w:val="22"/>
          <w:szCs w:val="22"/>
        </w:rPr>
        <w:t>Stok değişimlerin</w:t>
      </w:r>
      <w:r w:rsidR="00492020" w:rsidRPr="001A080D">
        <w:rPr>
          <w:rFonts w:ascii="Palatino Linotype" w:hAnsi="Palatino Linotype" w:cstheme="minorHAnsi"/>
          <w:b/>
          <w:sz w:val="22"/>
          <w:szCs w:val="22"/>
        </w:rPr>
        <w:t>den güçlü destek</w:t>
      </w:r>
    </w:p>
    <w:p w:rsidR="002106DF" w:rsidRPr="001A080D"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r w:rsidRPr="001A080D">
        <w:rPr>
          <w:rFonts w:ascii="Palatino Linotype" w:hAnsi="Palatino Linotype" w:cstheme="minorHAnsi"/>
          <w:sz w:val="22"/>
          <w:szCs w:val="22"/>
        </w:rPr>
        <w:t xml:space="preserve">2017 yılının </w:t>
      </w:r>
      <w:r w:rsidR="00492020" w:rsidRPr="001A080D">
        <w:rPr>
          <w:rFonts w:ascii="Palatino Linotype" w:hAnsi="Palatino Linotype" w:cstheme="minorHAnsi"/>
          <w:sz w:val="22"/>
          <w:szCs w:val="22"/>
        </w:rPr>
        <w:t>üçüncü</w:t>
      </w:r>
      <w:r w:rsidR="00C82B14" w:rsidRPr="001A080D">
        <w:rPr>
          <w:rFonts w:ascii="Palatino Linotype" w:hAnsi="Palatino Linotype" w:cstheme="minorHAnsi"/>
          <w:sz w:val="22"/>
          <w:szCs w:val="22"/>
        </w:rPr>
        <w:t xml:space="preserve"> çeyreğinde s</w:t>
      </w:r>
      <w:r w:rsidRPr="001A080D">
        <w:rPr>
          <w:rFonts w:ascii="Palatino Linotype" w:hAnsi="Palatino Linotype" w:cstheme="minorHAnsi"/>
          <w:sz w:val="22"/>
          <w:szCs w:val="22"/>
        </w:rPr>
        <w:t>tok değişi</w:t>
      </w:r>
      <w:r w:rsidR="00492020" w:rsidRPr="001A080D">
        <w:rPr>
          <w:rFonts w:ascii="Palatino Linotype" w:hAnsi="Palatino Linotype" w:cstheme="minorHAnsi"/>
          <w:sz w:val="22"/>
          <w:szCs w:val="22"/>
        </w:rPr>
        <w:t>mlerinin</w:t>
      </w:r>
      <w:r w:rsidRPr="001A080D">
        <w:rPr>
          <w:rFonts w:ascii="Palatino Linotype" w:hAnsi="Palatino Linotype" w:cstheme="minorHAnsi"/>
          <w:sz w:val="22"/>
          <w:szCs w:val="22"/>
        </w:rPr>
        <w:t xml:space="preserve"> büyümeye </w:t>
      </w:r>
      <w:r w:rsidR="00492020" w:rsidRPr="001A080D">
        <w:rPr>
          <w:rFonts w:ascii="Palatino Linotype" w:hAnsi="Palatino Linotype" w:cstheme="minorHAnsi"/>
          <w:sz w:val="22"/>
          <w:szCs w:val="22"/>
        </w:rPr>
        <w:t xml:space="preserve">herhangi bir </w:t>
      </w:r>
      <w:r w:rsidRPr="001A080D">
        <w:rPr>
          <w:rFonts w:ascii="Palatino Linotype" w:hAnsi="Palatino Linotype" w:cstheme="minorHAnsi"/>
          <w:sz w:val="22"/>
          <w:szCs w:val="22"/>
        </w:rPr>
        <w:t xml:space="preserve">katkısı </w:t>
      </w:r>
      <w:r w:rsidR="00492020" w:rsidRPr="001A080D">
        <w:rPr>
          <w:rFonts w:ascii="Palatino Linotype" w:hAnsi="Palatino Linotype" w:cstheme="minorHAnsi"/>
          <w:sz w:val="22"/>
          <w:szCs w:val="22"/>
        </w:rPr>
        <w:t>yokken son</w:t>
      </w:r>
      <w:r w:rsidR="00C82B14" w:rsidRPr="001A080D">
        <w:rPr>
          <w:rFonts w:ascii="Palatino Linotype" w:hAnsi="Palatino Linotype" w:cstheme="minorHAnsi"/>
          <w:sz w:val="22"/>
          <w:szCs w:val="22"/>
        </w:rPr>
        <w:t xml:space="preserve"> çeyrekte </w:t>
      </w:r>
      <w:r w:rsidR="00492020" w:rsidRPr="001A080D">
        <w:rPr>
          <w:rFonts w:ascii="Palatino Linotype" w:hAnsi="Palatino Linotype" w:cstheme="minorHAnsi"/>
          <w:sz w:val="22"/>
          <w:szCs w:val="22"/>
        </w:rPr>
        <w:t>3,7</w:t>
      </w:r>
      <w:r w:rsidR="003061DC" w:rsidRPr="001A080D">
        <w:rPr>
          <w:rFonts w:ascii="Palatino Linotype" w:hAnsi="Palatino Linotype" w:cstheme="minorHAnsi"/>
          <w:sz w:val="22"/>
          <w:szCs w:val="22"/>
        </w:rPr>
        <w:t xml:space="preserve"> yüzde puanlık muazzam bir </w:t>
      </w:r>
      <w:r w:rsidR="00492020" w:rsidRPr="001A080D">
        <w:rPr>
          <w:rFonts w:ascii="Palatino Linotype" w:hAnsi="Palatino Linotype" w:cstheme="minorHAnsi"/>
          <w:sz w:val="22"/>
          <w:szCs w:val="22"/>
        </w:rPr>
        <w:t xml:space="preserve">katkı meydana geldi </w:t>
      </w:r>
      <w:r w:rsidRPr="001A080D">
        <w:rPr>
          <w:rFonts w:ascii="Palatino Linotype" w:hAnsi="Palatino Linotype" w:cstheme="minorHAnsi"/>
          <w:sz w:val="22"/>
          <w:szCs w:val="22"/>
        </w:rPr>
        <w:t xml:space="preserve">(Tablo 1).  Mevsim ve takvim etkilerinden arındırılmış stok değişiminin çeyreklik büyümeye katkısının </w:t>
      </w:r>
      <w:r w:rsidR="00492020" w:rsidRPr="001A080D">
        <w:rPr>
          <w:rFonts w:ascii="Palatino Linotype" w:hAnsi="Palatino Linotype" w:cstheme="minorHAnsi"/>
          <w:sz w:val="22"/>
          <w:szCs w:val="22"/>
        </w:rPr>
        <w:t>da</w:t>
      </w:r>
      <w:r w:rsidR="00C82B14" w:rsidRPr="001A080D">
        <w:rPr>
          <w:rFonts w:ascii="Palatino Linotype" w:hAnsi="Palatino Linotype" w:cstheme="minorHAnsi"/>
          <w:sz w:val="22"/>
          <w:szCs w:val="22"/>
        </w:rPr>
        <w:t xml:space="preserve"> 0,</w:t>
      </w:r>
      <w:r w:rsidR="00492020" w:rsidRPr="001A080D">
        <w:rPr>
          <w:rFonts w:ascii="Palatino Linotype" w:hAnsi="Palatino Linotype" w:cstheme="minorHAnsi"/>
          <w:sz w:val="22"/>
          <w:szCs w:val="22"/>
        </w:rPr>
        <w:t>3</w:t>
      </w:r>
      <w:r w:rsidR="00C82B14" w:rsidRPr="001A080D">
        <w:rPr>
          <w:rFonts w:ascii="Palatino Linotype" w:hAnsi="Palatino Linotype" w:cstheme="minorHAnsi"/>
          <w:sz w:val="22"/>
          <w:szCs w:val="22"/>
        </w:rPr>
        <w:t xml:space="preserve"> yüzde puan</w:t>
      </w:r>
      <w:r w:rsidR="00A15DC3" w:rsidRPr="001A080D">
        <w:rPr>
          <w:rFonts w:ascii="Palatino Linotype" w:hAnsi="Palatino Linotype" w:cstheme="minorHAnsi"/>
          <w:sz w:val="22"/>
          <w:szCs w:val="22"/>
        </w:rPr>
        <w:t>dan</w:t>
      </w:r>
      <w:r w:rsidR="001F1554" w:rsidRPr="001A080D">
        <w:rPr>
          <w:rFonts w:ascii="Palatino Linotype" w:hAnsi="Palatino Linotype" w:cstheme="minorHAnsi"/>
          <w:sz w:val="22"/>
          <w:szCs w:val="22"/>
        </w:rPr>
        <w:t xml:space="preserve"> </w:t>
      </w:r>
      <w:r w:rsidR="00A15DC3" w:rsidRPr="001A080D">
        <w:rPr>
          <w:rFonts w:ascii="Palatino Linotype" w:hAnsi="Palatino Linotype" w:cstheme="minorHAnsi"/>
          <w:sz w:val="22"/>
          <w:szCs w:val="22"/>
        </w:rPr>
        <w:t>0,7 yüzde puana çıktığı görülüyor</w:t>
      </w:r>
      <w:r w:rsidR="001F1554" w:rsidRPr="001A080D">
        <w:rPr>
          <w:rFonts w:ascii="Palatino Linotype" w:hAnsi="Palatino Linotype" w:cstheme="minorHAnsi"/>
          <w:sz w:val="22"/>
          <w:szCs w:val="22"/>
        </w:rPr>
        <w:t xml:space="preserve"> </w:t>
      </w:r>
      <w:r w:rsidRPr="001A080D">
        <w:rPr>
          <w:rFonts w:ascii="Palatino Linotype" w:hAnsi="Palatino Linotype" w:cstheme="minorHAnsi"/>
          <w:sz w:val="22"/>
          <w:szCs w:val="22"/>
        </w:rPr>
        <w:t>(Tablo 2).</w:t>
      </w:r>
    </w:p>
    <w:p w:rsidR="00F5130C" w:rsidRPr="001A080D" w:rsidRDefault="002106DF" w:rsidP="00C82B14">
      <w:pPr>
        <w:pStyle w:val="NormalWeb"/>
        <w:spacing w:before="0" w:beforeAutospacing="0" w:after="0" w:afterAutospacing="0" w:line="360" w:lineRule="auto"/>
        <w:ind w:right="77"/>
        <w:jc w:val="both"/>
        <w:rPr>
          <w:rFonts w:ascii="Palatino Linotype" w:hAnsi="Palatino Linotype" w:cstheme="minorHAnsi"/>
          <w:color w:val="FF0000"/>
          <w:sz w:val="22"/>
          <w:szCs w:val="22"/>
        </w:rPr>
      </w:pPr>
      <w:r w:rsidRPr="001A080D">
        <w:rPr>
          <w:rFonts w:ascii="Palatino Linotype" w:hAnsi="Palatino Linotype" w:cstheme="minorHAnsi"/>
          <w:sz w:val="22"/>
          <w:szCs w:val="22"/>
        </w:rPr>
        <w:t>TÜİK yeni milli gelir serilerini hesaplarken</w:t>
      </w:r>
      <w:r w:rsidR="0053582F" w:rsidRPr="001A080D">
        <w:rPr>
          <w:rFonts w:ascii="Palatino Linotype" w:hAnsi="Palatino Linotype" w:cstheme="minorHAnsi"/>
          <w:sz w:val="22"/>
          <w:szCs w:val="22"/>
        </w:rPr>
        <w:t xml:space="preserve"> zincirleme hacim endeksi yöntemini kullanıyor. </w:t>
      </w:r>
      <w:r w:rsidRPr="001A080D">
        <w:rPr>
          <w:rFonts w:ascii="Palatino Linotype" w:hAnsi="Palatino Linotype" w:cstheme="minorHAnsi"/>
          <w:sz w:val="22"/>
          <w:szCs w:val="22"/>
        </w:rPr>
        <w:t>Zincirleme yöntemde</w:t>
      </w:r>
      <w:r w:rsidR="0053582F" w:rsidRPr="001A080D">
        <w:rPr>
          <w:rFonts w:ascii="Palatino Linotype" w:hAnsi="Palatino Linotype" w:cstheme="minorHAnsi"/>
          <w:sz w:val="22"/>
          <w:szCs w:val="22"/>
        </w:rPr>
        <w:t xml:space="preserve"> hem </w:t>
      </w:r>
      <w:proofErr w:type="spellStart"/>
      <w:r w:rsidR="0053582F" w:rsidRPr="001A080D">
        <w:rPr>
          <w:rFonts w:ascii="Palatino Linotype" w:hAnsi="Palatino Linotype" w:cstheme="minorHAnsi"/>
          <w:sz w:val="22"/>
          <w:szCs w:val="22"/>
        </w:rPr>
        <w:t>toplamsallık</w:t>
      </w:r>
      <w:proofErr w:type="spellEnd"/>
      <w:r w:rsidR="0053582F" w:rsidRPr="001A080D">
        <w:rPr>
          <w:rFonts w:ascii="Palatino Linotype" w:hAnsi="Palatino Linotype" w:cstheme="minorHAnsi"/>
          <w:sz w:val="22"/>
          <w:szCs w:val="22"/>
        </w:rPr>
        <w:t xml:space="preserve"> sorunu olduğu hem de </w:t>
      </w:r>
      <w:r w:rsidRPr="001A080D">
        <w:rPr>
          <w:rFonts w:ascii="Palatino Linotype" w:hAnsi="Palatino Linotype" w:cstheme="minorHAnsi"/>
          <w:sz w:val="22"/>
          <w:szCs w:val="22"/>
        </w:rPr>
        <w:t>"stoktaki değişiklikler" kalemi için zincirlenmiş endeks türetileme</w:t>
      </w:r>
      <w:r w:rsidR="0053582F" w:rsidRPr="001A080D">
        <w:rPr>
          <w:rFonts w:ascii="Palatino Linotype" w:hAnsi="Palatino Linotype" w:cstheme="minorHAnsi"/>
          <w:sz w:val="22"/>
          <w:szCs w:val="22"/>
        </w:rPr>
        <w:t>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w:t>
      </w:r>
      <w:r w:rsidRPr="001A080D">
        <w:rPr>
          <w:rFonts w:ascii="Palatino Linotype" w:hAnsi="Palatino Linotype" w:cstheme="minorHAnsi"/>
          <w:sz w:val="22"/>
          <w:szCs w:val="22"/>
        </w:rPr>
        <w:t>bkz. Betam Araştırma Notu 17/217).</w:t>
      </w:r>
    </w:p>
    <w:p w:rsidR="00D45167" w:rsidRPr="001A080D" w:rsidRDefault="00D45167" w:rsidP="00F46A54">
      <w:pPr>
        <w:pStyle w:val="NormalWeb"/>
        <w:spacing w:before="0" w:beforeAutospacing="0" w:after="0" w:afterAutospacing="0" w:line="360" w:lineRule="auto"/>
        <w:ind w:right="77"/>
        <w:rPr>
          <w:rFonts w:ascii="Palatino Linotype" w:hAnsi="Palatino Linotype" w:cstheme="minorHAnsi"/>
          <w:b/>
          <w:sz w:val="22"/>
          <w:szCs w:val="22"/>
        </w:rPr>
      </w:pPr>
    </w:p>
    <w:p w:rsidR="00F46A54" w:rsidRPr="001A080D" w:rsidRDefault="003061DC" w:rsidP="00F46A54">
      <w:pPr>
        <w:pStyle w:val="NormalWeb"/>
        <w:spacing w:before="0" w:beforeAutospacing="0" w:after="0" w:afterAutospacing="0" w:line="360" w:lineRule="auto"/>
        <w:ind w:right="77"/>
        <w:rPr>
          <w:rFonts w:ascii="Palatino Linotype" w:hAnsi="Palatino Linotype" w:cstheme="minorHAnsi"/>
          <w:b/>
          <w:sz w:val="22"/>
          <w:szCs w:val="22"/>
        </w:rPr>
      </w:pPr>
      <w:r w:rsidRPr="001A080D">
        <w:rPr>
          <w:rFonts w:ascii="Palatino Linotype" w:hAnsi="Palatino Linotype" w:cstheme="minorHAnsi"/>
          <w:b/>
          <w:sz w:val="22"/>
          <w:szCs w:val="22"/>
        </w:rPr>
        <w:t>Net dış ticaretin katkısı negatife döndü</w:t>
      </w:r>
    </w:p>
    <w:p w:rsidR="009B16AD" w:rsidRDefault="003061DC" w:rsidP="009B16AD">
      <w:pPr>
        <w:pStyle w:val="NormalWeb"/>
        <w:spacing w:before="0" w:beforeAutospacing="0" w:after="0" w:afterAutospacing="0" w:line="360" w:lineRule="auto"/>
        <w:ind w:right="77"/>
        <w:jc w:val="both"/>
        <w:rPr>
          <w:rFonts w:ascii="Palatino Linotype" w:hAnsi="Palatino Linotype" w:cstheme="minorHAnsi"/>
          <w:sz w:val="22"/>
          <w:szCs w:val="22"/>
        </w:rPr>
      </w:pPr>
      <w:r w:rsidRPr="001A080D">
        <w:rPr>
          <w:rFonts w:ascii="Palatino Linotype" w:hAnsi="Palatino Linotype" w:cstheme="minorHAnsi"/>
          <w:sz w:val="22"/>
          <w:szCs w:val="22"/>
        </w:rPr>
        <w:t>2017 yılının üçüncü çeyreğinde net dış ticaretin katkısı sıfıra yakın çıkmıştı. Son çeyrekte ise b</w:t>
      </w:r>
      <w:r w:rsidR="00C82B14" w:rsidRPr="001A080D">
        <w:rPr>
          <w:rFonts w:ascii="Palatino Linotype" w:hAnsi="Palatino Linotype" w:cstheme="minorHAnsi"/>
          <w:sz w:val="22"/>
          <w:szCs w:val="22"/>
        </w:rPr>
        <w:t>ir önceki yılın aynı çeyreği ile kıyaslandığında</w:t>
      </w:r>
      <w:r w:rsidR="001F1554" w:rsidRPr="001A080D">
        <w:rPr>
          <w:rFonts w:ascii="Palatino Linotype" w:hAnsi="Palatino Linotype" w:cstheme="minorHAnsi"/>
          <w:sz w:val="22"/>
          <w:szCs w:val="22"/>
        </w:rPr>
        <w:t xml:space="preserve"> </w:t>
      </w:r>
      <w:r w:rsidR="005A617F" w:rsidRPr="001A080D">
        <w:rPr>
          <w:rFonts w:ascii="Palatino Linotype" w:hAnsi="Palatino Linotype" w:cstheme="minorHAnsi"/>
          <w:sz w:val="22"/>
          <w:szCs w:val="22"/>
        </w:rPr>
        <w:t>ihracatın büyümeye katkısı</w:t>
      </w:r>
      <w:r w:rsidR="00D45167" w:rsidRPr="001A080D">
        <w:rPr>
          <w:rFonts w:ascii="Palatino Linotype" w:hAnsi="Palatino Linotype" w:cstheme="minorHAnsi"/>
          <w:sz w:val="22"/>
          <w:szCs w:val="22"/>
        </w:rPr>
        <w:t>nın</w:t>
      </w:r>
      <w:r w:rsidR="001F1554" w:rsidRPr="001A080D">
        <w:rPr>
          <w:rFonts w:ascii="Palatino Linotype" w:hAnsi="Palatino Linotype" w:cstheme="minorHAnsi"/>
          <w:color w:val="FF0000"/>
          <w:sz w:val="22"/>
          <w:szCs w:val="22"/>
        </w:rPr>
        <w:t xml:space="preserve"> </w:t>
      </w:r>
      <w:r w:rsidR="005A617F" w:rsidRPr="001A080D">
        <w:rPr>
          <w:rFonts w:ascii="Palatino Linotype" w:hAnsi="Palatino Linotype" w:cstheme="minorHAnsi"/>
          <w:sz w:val="22"/>
          <w:szCs w:val="22"/>
        </w:rPr>
        <w:t>3,8</w:t>
      </w:r>
      <w:r w:rsidR="001F1554" w:rsidRPr="001A080D">
        <w:rPr>
          <w:rFonts w:ascii="Palatino Linotype" w:hAnsi="Palatino Linotype" w:cstheme="minorHAnsi"/>
          <w:sz w:val="22"/>
          <w:szCs w:val="22"/>
        </w:rPr>
        <w:t xml:space="preserve"> </w:t>
      </w:r>
      <w:r w:rsidR="00D45167" w:rsidRPr="001A080D">
        <w:rPr>
          <w:rFonts w:ascii="Palatino Linotype" w:hAnsi="Palatino Linotype" w:cstheme="minorHAnsi"/>
          <w:sz w:val="22"/>
          <w:szCs w:val="22"/>
        </w:rPr>
        <w:t>yüzde</w:t>
      </w:r>
      <w:r w:rsidR="001F1554" w:rsidRPr="001A080D">
        <w:rPr>
          <w:rFonts w:ascii="Palatino Linotype" w:hAnsi="Palatino Linotype" w:cstheme="minorHAnsi"/>
          <w:sz w:val="22"/>
          <w:szCs w:val="22"/>
        </w:rPr>
        <w:t xml:space="preserve"> </w:t>
      </w:r>
      <w:r w:rsidR="00D45167" w:rsidRPr="001A080D">
        <w:rPr>
          <w:rFonts w:ascii="Palatino Linotype" w:hAnsi="Palatino Linotype" w:cstheme="minorHAnsi"/>
          <w:sz w:val="22"/>
          <w:szCs w:val="22"/>
        </w:rPr>
        <w:t>puandan</w:t>
      </w:r>
      <w:r w:rsidR="005A617F" w:rsidRPr="001A080D">
        <w:rPr>
          <w:rFonts w:ascii="Palatino Linotype" w:hAnsi="Palatino Linotype" w:cstheme="minorHAnsi"/>
          <w:sz w:val="22"/>
          <w:szCs w:val="22"/>
        </w:rPr>
        <w:t xml:space="preserve"> 2</w:t>
      </w:r>
      <w:r w:rsidR="001F1554" w:rsidRPr="001A080D">
        <w:rPr>
          <w:rFonts w:ascii="Palatino Linotype" w:hAnsi="Palatino Linotype" w:cstheme="minorHAnsi"/>
          <w:sz w:val="22"/>
          <w:szCs w:val="22"/>
        </w:rPr>
        <w:t xml:space="preserve"> </w:t>
      </w:r>
      <w:r w:rsidR="00D45167" w:rsidRPr="001A080D">
        <w:rPr>
          <w:rFonts w:ascii="Palatino Linotype" w:hAnsi="Palatino Linotype" w:cstheme="minorHAnsi"/>
          <w:sz w:val="22"/>
          <w:szCs w:val="22"/>
        </w:rPr>
        <w:t>yüzde puana</w:t>
      </w:r>
      <w:r w:rsidR="005A617F" w:rsidRPr="001A080D">
        <w:rPr>
          <w:rFonts w:ascii="Palatino Linotype" w:hAnsi="Palatino Linotype" w:cstheme="minorHAnsi"/>
          <w:sz w:val="22"/>
          <w:szCs w:val="22"/>
        </w:rPr>
        <w:t>, ithalatın katkısı</w:t>
      </w:r>
      <w:r w:rsidR="00D45167" w:rsidRPr="001A080D">
        <w:rPr>
          <w:rFonts w:ascii="Palatino Linotype" w:hAnsi="Palatino Linotype" w:cstheme="minorHAnsi"/>
          <w:sz w:val="22"/>
          <w:szCs w:val="22"/>
        </w:rPr>
        <w:t>nın</w:t>
      </w:r>
      <w:r w:rsidR="005A617F" w:rsidRPr="001A080D">
        <w:rPr>
          <w:rFonts w:ascii="Palatino Linotype" w:hAnsi="Palatino Linotype" w:cstheme="minorHAnsi"/>
          <w:sz w:val="22"/>
          <w:szCs w:val="22"/>
        </w:rPr>
        <w:t xml:space="preserve"> ise </w:t>
      </w:r>
      <w:r w:rsidR="001F1554" w:rsidRPr="001A080D">
        <w:rPr>
          <w:rFonts w:ascii="Palatino Linotype" w:hAnsi="Palatino Linotype" w:cstheme="minorHAnsi"/>
          <w:sz w:val="22"/>
          <w:szCs w:val="22"/>
        </w:rPr>
        <w:t xml:space="preserve">eksi </w:t>
      </w:r>
      <w:r w:rsidR="005A617F" w:rsidRPr="001A080D">
        <w:rPr>
          <w:rFonts w:ascii="Palatino Linotype" w:hAnsi="Palatino Linotype" w:cstheme="minorHAnsi"/>
          <w:sz w:val="22"/>
          <w:szCs w:val="22"/>
        </w:rPr>
        <w:t>3,6</w:t>
      </w:r>
      <w:r w:rsidR="001F1554" w:rsidRPr="001A080D">
        <w:rPr>
          <w:rFonts w:ascii="Palatino Linotype" w:hAnsi="Palatino Linotype" w:cstheme="minorHAnsi"/>
          <w:sz w:val="22"/>
          <w:szCs w:val="22"/>
        </w:rPr>
        <w:t xml:space="preserve"> </w:t>
      </w:r>
      <w:r w:rsidR="00D45167" w:rsidRPr="001A080D">
        <w:rPr>
          <w:rFonts w:ascii="Palatino Linotype" w:hAnsi="Palatino Linotype" w:cstheme="minorHAnsi"/>
          <w:sz w:val="22"/>
          <w:szCs w:val="22"/>
        </w:rPr>
        <w:t>yüzde puandan</w:t>
      </w:r>
      <w:r w:rsidR="001F1554" w:rsidRPr="001A080D">
        <w:rPr>
          <w:rFonts w:ascii="Palatino Linotype" w:hAnsi="Palatino Linotype" w:cstheme="minorHAnsi"/>
          <w:sz w:val="22"/>
          <w:szCs w:val="22"/>
        </w:rPr>
        <w:t xml:space="preserve"> eksi </w:t>
      </w:r>
      <w:r w:rsidR="00D45167" w:rsidRPr="001A080D">
        <w:rPr>
          <w:rFonts w:ascii="Palatino Linotype" w:hAnsi="Palatino Linotype" w:cstheme="minorHAnsi"/>
          <w:sz w:val="22"/>
          <w:szCs w:val="22"/>
        </w:rPr>
        <w:t>5,4 yüzde puana</w:t>
      </w:r>
      <w:r w:rsidR="001F1554" w:rsidRPr="001A080D">
        <w:rPr>
          <w:rFonts w:ascii="Palatino Linotype" w:hAnsi="Palatino Linotype" w:cstheme="minorHAnsi"/>
          <w:sz w:val="22"/>
          <w:szCs w:val="22"/>
        </w:rPr>
        <w:t xml:space="preserve"> </w:t>
      </w:r>
      <w:r w:rsidR="005A617F" w:rsidRPr="001A080D">
        <w:rPr>
          <w:rFonts w:ascii="Palatino Linotype" w:hAnsi="Palatino Linotype" w:cstheme="minorHAnsi"/>
          <w:sz w:val="22"/>
          <w:szCs w:val="22"/>
        </w:rPr>
        <w:t>gerile</w:t>
      </w:r>
      <w:r w:rsidR="00D45167" w:rsidRPr="001A080D">
        <w:rPr>
          <w:rFonts w:ascii="Palatino Linotype" w:hAnsi="Palatino Linotype" w:cstheme="minorHAnsi"/>
          <w:sz w:val="22"/>
          <w:szCs w:val="22"/>
        </w:rPr>
        <w:t xml:space="preserve">mesiyle net ihracatın katkısını son </w:t>
      </w:r>
      <w:r w:rsidR="001F1554" w:rsidRPr="001A080D">
        <w:rPr>
          <w:rFonts w:ascii="Palatino Linotype" w:hAnsi="Palatino Linotype" w:cstheme="minorHAnsi"/>
          <w:sz w:val="22"/>
          <w:szCs w:val="22"/>
        </w:rPr>
        <w:t>çeyrekte eksi 3,4 yüzde puan ol</w:t>
      </w:r>
      <w:r w:rsidR="00D45167" w:rsidRPr="001A080D">
        <w:rPr>
          <w:rFonts w:ascii="Palatino Linotype" w:hAnsi="Palatino Linotype" w:cstheme="minorHAnsi"/>
          <w:sz w:val="22"/>
          <w:szCs w:val="22"/>
        </w:rPr>
        <w:t>arak gerçekleşti</w:t>
      </w:r>
      <w:r w:rsidR="001F1554" w:rsidRPr="001A080D">
        <w:rPr>
          <w:rFonts w:ascii="Palatino Linotype" w:hAnsi="Palatino Linotype" w:cstheme="minorHAnsi"/>
          <w:sz w:val="22"/>
          <w:szCs w:val="22"/>
        </w:rPr>
        <w:t xml:space="preserve"> </w:t>
      </w:r>
      <w:r w:rsidR="00EE150B" w:rsidRPr="001A080D">
        <w:rPr>
          <w:rFonts w:ascii="Palatino Linotype" w:hAnsi="Palatino Linotype" w:cstheme="minorHAnsi"/>
          <w:sz w:val="22"/>
          <w:szCs w:val="22"/>
        </w:rPr>
        <w:t xml:space="preserve">(Tablo 1). </w:t>
      </w:r>
      <w:r w:rsidR="00C82B14" w:rsidRPr="001A080D">
        <w:rPr>
          <w:rFonts w:ascii="Palatino Linotype" w:hAnsi="Palatino Linotype" w:cstheme="minorHAnsi"/>
          <w:sz w:val="22"/>
          <w:szCs w:val="22"/>
        </w:rPr>
        <w:t>M</w:t>
      </w:r>
      <w:r w:rsidR="00EE150B" w:rsidRPr="001A080D">
        <w:rPr>
          <w:rFonts w:ascii="Palatino Linotype" w:hAnsi="Palatino Linotype" w:cstheme="minorHAnsi"/>
          <w:sz w:val="22"/>
          <w:szCs w:val="22"/>
        </w:rPr>
        <w:t xml:space="preserve">evsim ve takvim etkilerinden arındırılmış </w:t>
      </w:r>
      <w:r w:rsidR="00F5130C" w:rsidRPr="001A080D">
        <w:rPr>
          <w:rFonts w:ascii="Palatino Linotype" w:hAnsi="Palatino Linotype" w:cstheme="minorHAnsi"/>
          <w:sz w:val="22"/>
          <w:szCs w:val="22"/>
        </w:rPr>
        <w:t>çeyrekten çeyreğe değişim</w:t>
      </w:r>
      <w:r w:rsidR="00C82B14" w:rsidRPr="001A080D">
        <w:rPr>
          <w:rFonts w:ascii="Palatino Linotype" w:hAnsi="Palatino Linotype" w:cstheme="minorHAnsi"/>
          <w:sz w:val="22"/>
          <w:szCs w:val="22"/>
        </w:rPr>
        <w:t>ler</w:t>
      </w:r>
      <w:r w:rsidR="00D45167" w:rsidRPr="001A080D">
        <w:rPr>
          <w:rFonts w:ascii="Palatino Linotype" w:hAnsi="Palatino Linotype" w:cstheme="minorHAnsi"/>
          <w:sz w:val="22"/>
          <w:szCs w:val="22"/>
        </w:rPr>
        <w:t>d</w:t>
      </w:r>
      <w:r w:rsidR="00C82B14" w:rsidRPr="001A080D">
        <w:rPr>
          <w:rFonts w:ascii="Palatino Linotype" w:hAnsi="Palatino Linotype" w:cstheme="minorHAnsi"/>
          <w:sz w:val="22"/>
          <w:szCs w:val="22"/>
        </w:rPr>
        <w:t xml:space="preserve">e </w:t>
      </w:r>
      <w:r w:rsidRPr="001A080D">
        <w:rPr>
          <w:rFonts w:ascii="Palatino Linotype" w:hAnsi="Palatino Linotype" w:cstheme="minorHAnsi"/>
          <w:sz w:val="22"/>
          <w:szCs w:val="22"/>
        </w:rPr>
        <w:t xml:space="preserve">de benzer bir durum olduğunu </w:t>
      </w:r>
      <w:r w:rsidR="00D45167" w:rsidRPr="001A080D">
        <w:rPr>
          <w:rFonts w:ascii="Palatino Linotype" w:hAnsi="Palatino Linotype" w:cstheme="minorHAnsi"/>
          <w:sz w:val="22"/>
          <w:szCs w:val="22"/>
        </w:rPr>
        <w:t>gözlemliyoruz.</w:t>
      </w:r>
      <w:r w:rsidR="001F1554" w:rsidRPr="001A080D">
        <w:rPr>
          <w:rFonts w:ascii="Palatino Linotype" w:hAnsi="Palatino Linotype" w:cstheme="minorHAnsi"/>
          <w:sz w:val="22"/>
          <w:szCs w:val="22"/>
        </w:rPr>
        <w:t xml:space="preserve"> </w:t>
      </w:r>
      <w:r w:rsidR="00E565C5" w:rsidRPr="001A080D">
        <w:rPr>
          <w:rFonts w:ascii="Palatino Linotype" w:hAnsi="Palatino Linotype" w:cstheme="minorHAnsi"/>
          <w:sz w:val="22"/>
          <w:szCs w:val="22"/>
        </w:rPr>
        <w:t>İkinci çeyrekten üç</w:t>
      </w:r>
      <w:r w:rsidR="001A080D">
        <w:rPr>
          <w:rFonts w:ascii="Palatino Linotype" w:hAnsi="Palatino Linotype" w:cstheme="minorHAnsi"/>
          <w:sz w:val="22"/>
          <w:szCs w:val="22"/>
        </w:rPr>
        <w:t>üncü çeyreğe hem ihracat ve itha</w:t>
      </w:r>
      <w:r w:rsidR="00E565C5" w:rsidRPr="001A080D">
        <w:rPr>
          <w:rFonts w:ascii="Palatino Linotype" w:hAnsi="Palatino Linotype" w:cstheme="minorHAnsi"/>
          <w:sz w:val="22"/>
          <w:szCs w:val="22"/>
        </w:rPr>
        <w:t>lat birlikte azalırken net ihracatın büyümeye katkısı eksi 1,4 yüzde puan olmuştu.</w:t>
      </w:r>
      <w:r w:rsidR="001F1554" w:rsidRPr="001A080D">
        <w:rPr>
          <w:rFonts w:ascii="Palatino Linotype" w:hAnsi="Palatino Linotype" w:cstheme="minorHAnsi"/>
          <w:sz w:val="22"/>
          <w:szCs w:val="22"/>
        </w:rPr>
        <w:t xml:space="preserve"> </w:t>
      </w:r>
      <w:r w:rsidR="00E565C5" w:rsidRPr="001A080D">
        <w:rPr>
          <w:rFonts w:ascii="Palatino Linotype" w:hAnsi="Palatino Linotype" w:cstheme="minorHAnsi"/>
          <w:sz w:val="22"/>
          <w:szCs w:val="22"/>
        </w:rPr>
        <w:t>Dördüncü çeyrekte ihracatta görülen güç</w:t>
      </w:r>
      <w:r w:rsidR="009B16AD" w:rsidRPr="001A080D">
        <w:rPr>
          <w:rFonts w:ascii="Palatino Linotype" w:hAnsi="Palatino Linotype" w:cstheme="minorHAnsi"/>
          <w:sz w:val="22"/>
          <w:szCs w:val="22"/>
        </w:rPr>
        <w:t>l</w:t>
      </w:r>
      <w:r w:rsidR="00E565C5" w:rsidRPr="001A080D">
        <w:rPr>
          <w:rFonts w:ascii="Palatino Linotype" w:hAnsi="Palatino Linotype" w:cstheme="minorHAnsi"/>
          <w:sz w:val="22"/>
          <w:szCs w:val="22"/>
        </w:rPr>
        <w:t xml:space="preserve">ü artışa rağmen (yüzde 4,9) </w:t>
      </w:r>
      <w:r w:rsidR="00E565C5" w:rsidRPr="001A080D">
        <w:rPr>
          <w:rFonts w:ascii="Palatino Linotype" w:hAnsi="Palatino Linotype" w:cstheme="minorHAnsi"/>
          <w:sz w:val="22"/>
          <w:szCs w:val="22"/>
        </w:rPr>
        <w:lastRenderedPageBreak/>
        <w:t xml:space="preserve">ithalatta çok daha güçlü bir artışın (yüzde 8,4) gerçekleşmesi sonucu negatif katkı bir miktar azalsa da (eksi 1,1 yüzde puan) </w:t>
      </w:r>
      <w:r w:rsidR="009B16AD" w:rsidRPr="001A080D">
        <w:rPr>
          <w:rFonts w:ascii="Palatino Linotype" w:hAnsi="Palatino Linotype" w:cstheme="minorHAnsi"/>
          <w:sz w:val="22"/>
          <w:szCs w:val="22"/>
        </w:rPr>
        <w:t>değişmemiştir</w:t>
      </w:r>
      <w:r w:rsidR="001F1554" w:rsidRPr="001A080D">
        <w:rPr>
          <w:rFonts w:ascii="Palatino Linotype" w:hAnsi="Palatino Linotype" w:cstheme="minorHAnsi"/>
          <w:sz w:val="22"/>
          <w:szCs w:val="22"/>
        </w:rPr>
        <w:t xml:space="preserve"> </w:t>
      </w:r>
      <w:r w:rsidR="00E565C5" w:rsidRPr="001A080D">
        <w:rPr>
          <w:rFonts w:ascii="Palatino Linotype" w:hAnsi="Palatino Linotype" w:cstheme="minorHAnsi"/>
          <w:sz w:val="22"/>
          <w:szCs w:val="22"/>
        </w:rPr>
        <w:t>(Tablo 2).</w:t>
      </w:r>
    </w:p>
    <w:p w:rsidR="001A080D" w:rsidRPr="001A080D" w:rsidRDefault="001A080D" w:rsidP="009B16AD">
      <w:pPr>
        <w:pStyle w:val="NormalWeb"/>
        <w:spacing w:before="0" w:beforeAutospacing="0" w:after="0" w:afterAutospacing="0" w:line="360" w:lineRule="auto"/>
        <w:ind w:right="77"/>
        <w:jc w:val="both"/>
        <w:rPr>
          <w:rFonts w:ascii="Palatino Linotype" w:hAnsi="Palatino Linotype" w:cstheme="minorHAnsi"/>
          <w:sz w:val="22"/>
          <w:szCs w:val="22"/>
        </w:rPr>
      </w:pPr>
    </w:p>
    <w:p w:rsidR="006C3EE6" w:rsidRPr="001A080D"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A080D">
        <w:rPr>
          <w:rFonts w:ascii="Palatino Linotype" w:hAnsi="Palatino Linotype" w:cstheme="minorHAnsi"/>
          <w:b/>
          <w:bCs/>
          <w:sz w:val="22"/>
          <w:szCs w:val="22"/>
        </w:rPr>
        <w:t>Kamu harcamaları</w:t>
      </w:r>
      <w:r w:rsidR="008C70C5" w:rsidRPr="001A080D">
        <w:rPr>
          <w:rFonts w:ascii="Palatino Linotype" w:hAnsi="Palatino Linotype" w:cstheme="minorHAnsi"/>
          <w:b/>
          <w:bCs/>
          <w:sz w:val="22"/>
          <w:szCs w:val="22"/>
        </w:rPr>
        <w:t xml:space="preserve">nın büyüme katkısı </w:t>
      </w:r>
      <w:r w:rsidR="00916533" w:rsidRPr="001A080D">
        <w:rPr>
          <w:rFonts w:ascii="Palatino Linotype" w:hAnsi="Palatino Linotype" w:cstheme="minorHAnsi"/>
          <w:b/>
          <w:bCs/>
          <w:sz w:val="22"/>
          <w:szCs w:val="22"/>
        </w:rPr>
        <w:t>arttı</w:t>
      </w:r>
    </w:p>
    <w:p w:rsidR="00E565C5" w:rsidRPr="001A080D" w:rsidRDefault="00D803A1" w:rsidP="001F1554">
      <w:pPr>
        <w:pStyle w:val="NormalWeb"/>
        <w:spacing w:before="0" w:beforeAutospacing="0" w:after="0" w:afterAutospacing="0" w:line="360" w:lineRule="auto"/>
        <w:ind w:right="77"/>
        <w:jc w:val="both"/>
        <w:rPr>
          <w:rFonts w:ascii="Palatino Linotype" w:hAnsi="Palatino Linotype" w:cstheme="minorHAnsi"/>
          <w:sz w:val="22"/>
          <w:szCs w:val="22"/>
        </w:rPr>
      </w:pPr>
      <w:r>
        <w:rPr>
          <w:rFonts w:ascii="Palatino Linotype" w:hAnsi="Palatino Linotype" w:cstheme="minorHAnsi"/>
          <w:sz w:val="22"/>
          <w:szCs w:val="22"/>
        </w:rPr>
        <w:t>İkinci çeyrekten üçüncü çey</w:t>
      </w:r>
      <w:r w:rsidR="009B16AD" w:rsidRPr="001A080D">
        <w:rPr>
          <w:rFonts w:ascii="Palatino Linotype" w:hAnsi="Palatino Linotype" w:cstheme="minorHAnsi"/>
          <w:sz w:val="22"/>
          <w:szCs w:val="22"/>
        </w:rPr>
        <w:t>reğe sert bir frene tabi olduğu görülen d</w:t>
      </w:r>
      <w:r w:rsidR="00EB476F" w:rsidRPr="001A080D">
        <w:rPr>
          <w:rFonts w:ascii="Palatino Linotype" w:hAnsi="Palatino Linotype" w:cstheme="minorHAnsi"/>
          <w:sz w:val="22"/>
          <w:szCs w:val="22"/>
        </w:rPr>
        <w:t xml:space="preserve">evletin </w:t>
      </w:r>
      <w:r w:rsidR="00C82B14" w:rsidRPr="001A080D">
        <w:rPr>
          <w:rFonts w:ascii="Palatino Linotype" w:hAnsi="Palatino Linotype" w:cstheme="minorHAnsi"/>
          <w:sz w:val="22"/>
          <w:szCs w:val="22"/>
        </w:rPr>
        <w:t>n</w:t>
      </w:r>
      <w:r w:rsidR="00EB476F" w:rsidRPr="001A080D">
        <w:rPr>
          <w:rFonts w:ascii="Palatino Linotype" w:hAnsi="Palatino Linotype" w:cstheme="minorHAnsi"/>
          <w:sz w:val="22"/>
          <w:szCs w:val="22"/>
        </w:rPr>
        <w:t xml:space="preserve">ihai </w:t>
      </w:r>
      <w:r w:rsidR="00C82B14" w:rsidRPr="001A080D">
        <w:rPr>
          <w:rFonts w:ascii="Palatino Linotype" w:hAnsi="Palatino Linotype" w:cstheme="minorHAnsi"/>
          <w:sz w:val="22"/>
          <w:szCs w:val="22"/>
        </w:rPr>
        <w:t>tüketim h</w:t>
      </w:r>
      <w:r w:rsidR="00EB476F" w:rsidRPr="001A080D">
        <w:rPr>
          <w:rFonts w:ascii="Palatino Linotype" w:hAnsi="Palatino Linotype" w:cstheme="minorHAnsi"/>
          <w:sz w:val="22"/>
          <w:szCs w:val="22"/>
        </w:rPr>
        <w:t>arcamalar</w:t>
      </w:r>
      <w:r w:rsidR="00CF5053" w:rsidRPr="001A080D">
        <w:rPr>
          <w:rFonts w:ascii="Palatino Linotype" w:hAnsi="Palatino Linotype" w:cstheme="minorHAnsi"/>
          <w:sz w:val="22"/>
          <w:szCs w:val="22"/>
        </w:rPr>
        <w:t>ı</w:t>
      </w:r>
      <w:r w:rsidR="009B16AD" w:rsidRPr="001A080D">
        <w:rPr>
          <w:rFonts w:ascii="Palatino Linotype" w:hAnsi="Palatino Linotype" w:cstheme="minorHAnsi"/>
          <w:sz w:val="22"/>
          <w:szCs w:val="22"/>
        </w:rPr>
        <w:t xml:space="preserve"> büyümeye hiç katkı yapmazken, dördüncü çeyrekte harcamalara yeniden gaz verildiği açıkça görülmektedir. </w:t>
      </w:r>
      <w:proofErr w:type="gramStart"/>
      <w:r w:rsidR="009B16AD" w:rsidRPr="001A080D">
        <w:rPr>
          <w:rFonts w:ascii="Palatino Linotype" w:hAnsi="Palatino Linotype" w:cstheme="minorHAnsi"/>
          <w:sz w:val="22"/>
          <w:szCs w:val="22"/>
        </w:rPr>
        <w:t>Nitekim,</w:t>
      </w:r>
      <w:proofErr w:type="gramEnd"/>
      <w:r w:rsidR="009B16AD" w:rsidRPr="001A080D">
        <w:rPr>
          <w:rFonts w:ascii="Palatino Linotype" w:hAnsi="Palatino Linotype" w:cstheme="minorHAnsi"/>
          <w:sz w:val="22"/>
          <w:szCs w:val="22"/>
        </w:rPr>
        <w:t xml:space="preserve"> üçüncü çeyrekten dördüncü çeyreğe devletin nihai tüketim harcamaları yüzde 6,5 gibi çok yüksek bir artış kaydetmiş, büyüme katk</w:t>
      </w:r>
      <w:r w:rsidR="001D0150">
        <w:rPr>
          <w:rFonts w:ascii="Palatino Linotype" w:hAnsi="Palatino Linotype" w:cstheme="minorHAnsi"/>
          <w:sz w:val="22"/>
          <w:szCs w:val="22"/>
        </w:rPr>
        <w:t>ı</w:t>
      </w:r>
      <w:r w:rsidR="009B16AD" w:rsidRPr="001A080D">
        <w:rPr>
          <w:rFonts w:ascii="Palatino Linotype" w:hAnsi="Palatino Linotype" w:cstheme="minorHAnsi"/>
          <w:sz w:val="22"/>
          <w:szCs w:val="22"/>
        </w:rPr>
        <w:t>sı da 0,9 yüzde puanla yüzde 1,8’lik çeyreklik GSYH a</w:t>
      </w:r>
      <w:r w:rsidR="005600E7" w:rsidRPr="001A080D">
        <w:rPr>
          <w:rFonts w:ascii="Palatino Linotype" w:hAnsi="Palatino Linotype" w:cstheme="minorHAnsi"/>
          <w:sz w:val="22"/>
          <w:szCs w:val="22"/>
        </w:rPr>
        <w:t>rtışının yarısını karşılamıştır</w:t>
      </w:r>
      <w:r w:rsidR="001F1554" w:rsidRPr="001A080D">
        <w:rPr>
          <w:rFonts w:ascii="Palatino Linotype" w:hAnsi="Palatino Linotype" w:cstheme="minorHAnsi"/>
          <w:sz w:val="22"/>
          <w:szCs w:val="22"/>
        </w:rPr>
        <w:t xml:space="preserve"> </w:t>
      </w:r>
      <w:r w:rsidR="009B16AD" w:rsidRPr="001A080D">
        <w:rPr>
          <w:rFonts w:ascii="Palatino Linotype" w:hAnsi="Palatino Linotype" w:cstheme="minorHAnsi"/>
          <w:sz w:val="22"/>
          <w:szCs w:val="22"/>
        </w:rPr>
        <w:t>(Tablo 2).</w:t>
      </w:r>
    </w:p>
    <w:p w:rsidR="00844C00" w:rsidRPr="001A080D" w:rsidRDefault="00844C00" w:rsidP="00B27C9F">
      <w:pPr>
        <w:pStyle w:val="NormalWeb"/>
        <w:spacing w:before="0" w:beforeAutospacing="0" w:after="0" w:afterAutospacing="0" w:line="360" w:lineRule="auto"/>
        <w:ind w:right="77"/>
        <w:rPr>
          <w:rFonts w:ascii="Palatino Linotype" w:hAnsi="Palatino Linotype" w:cstheme="minorHAnsi"/>
          <w:b/>
          <w:bCs/>
          <w:sz w:val="22"/>
          <w:szCs w:val="22"/>
        </w:rPr>
      </w:pPr>
    </w:p>
    <w:p w:rsidR="00B27C9F" w:rsidRPr="001A080D" w:rsidRDefault="004F0543" w:rsidP="00B27C9F">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1A080D">
        <w:rPr>
          <w:rFonts w:ascii="Palatino Linotype" w:hAnsi="Palatino Linotype" w:cstheme="minorHAnsi"/>
          <w:b/>
          <w:bCs/>
          <w:sz w:val="22"/>
          <w:szCs w:val="22"/>
        </w:rPr>
        <w:t>B</w:t>
      </w:r>
      <w:r w:rsidR="00B27C9F" w:rsidRPr="001A080D">
        <w:rPr>
          <w:rFonts w:ascii="Palatino Linotype" w:hAnsi="Palatino Linotype" w:cstheme="minorHAnsi"/>
          <w:b/>
          <w:bCs/>
          <w:sz w:val="22"/>
          <w:szCs w:val="22"/>
        </w:rPr>
        <w:t>üyümenin geleceği</w:t>
      </w:r>
      <w:r w:rsidR="00B45DFF" w:rsidRPr="001A080D">
        <w:rPr>
          <w:rFonts w:ascii="Palatino Linotype" w:hAnsi="Palatino Linotype" w:cstheme="minorHAnsi"/>
          <w:b/>
          <w:bCs/>
          <w:sz w:val="22"/>
          <w:szCs w:val="22"/>
        </w:rPr>
        <w:t xml:space="preserve"> </w:t>
      </w:r>
    </w:p>
    <w:p w:rsidR="00A3095F" w:rsidRPr="001A080D" w:rsidRDefault="00694F52" w:rsidP="00681AD9">
      <w:pPr>
        <w:pStyle w:val="NormalWeb"/>
        <w:spacing w:before="0" w:beforeAutospacing="0" w:after="0" w:afterAutospacing="0" w:line="360" w:lineRule="auto"/>
        <w:ind w:right="77"/>
        <w:jc w:val="both"/>
        <w:rPr>
          <w:rFonts w:ascii="Palatino Linotype" w:hAnsi="Palatino Linotype" w:cstheme="minorHAnsi"/>
          <w:sz w:val="22"/>
          <w:szCs w:val="22"/>
        </w:rPr>
      </w:pPr>
      <w:r w:rsidRPr="001A080D">
        <w:rPr>
          <w:rFonts w:ascii="Palatino Linotype" w:hAnsi="Palatino Linotype" w:cstheme="minorHAnsi"/>
          <w:sz w:val="22"/>
          <w:szCs w:val="22"/>
        </w:rPr>
        <w:t xml:space="preserve">2016 3. çeyrekte ekonomide yaşanan küçülmenin oluşturduğu </w:t>
      </w:r>
      <w:proofErr w:type="gramStart"/>
      <w:r w:rsidRPr="001A080D">
        <w:rPr>
          <w:rFonts w:ascii="Palatino Linotype" w:hAnsi="Palatino Linotype" w:cstheme="minorHAnsi"/>
          <w:sz w:val="22"/>
          <w:szCs w:val="22"/>
        </w:rPr>
        <w:t>baz</w:t>
      </w:r>
      <w:proofErr w:type="gramEnd"/>
      <w:r w:rsidRPr="001A080D">
        <w:rPr>
          <w:rFonts w:ascii="Palatino Linotype" w:hAnsi="Palatino Linotype" w:cstheme="minorHAnsi"/>
          <w:sz w:val="22"/>
          <w:szCs w:val="22"/>
        </w:rPr>
        <w:t xml:space="preserve"> etkisi nedeniyle yıllık büyüme oranı</w:t>
      </w:r>
      <w:r w:rsidR="00DC0B1C" w:rsidRPr="001A080D">
        <w:rPr>
          <w:rFonts w:ascii="Palatino Linotype" w:hAnsi="Palatino Linotype" w:cstheme="minorHAnsi"/>
          <w:sz w:val="22"/>
          <w:szCs w:val="22"/>
        </w:rPr>
        <w:t>nın</w:t>
      </w:r>
      <w:r w:rsidRPr="001A080D">
        <w:rPr>
          <w:rFonts w:ascii="Palatino Linotype" w:hAnsi="Palatino Linotype" w:cstheme="minorHAnsi"/>
          <w:sz w:val="22"/>
          <w:szCs w:val="22"/>
        </w:rPr>
        <w:t xml:space="preserve"> yüksek </w:t>
      </w:r>
      <w:r w:rsidR="00DC0B1C" w:rsidRPr="001A080D">
        <w:rPr>
          <w:rFonts w:ascii="Palatino Linotype" w:hAnsi="Palatino Linotype" w:cstheme="minorHAnsi"/>
          <w:sz w:val="22"/>
          <w:szCs w:val="22"/>
        </w:rPr>
        <w:t xml:space="preserve">çıkması </w:t>
      </w:r>
      <w:r w:rsidRPr="001A080D">
        <w:rPr>
          <w:rFonts w:ascii="Palatino Linotype" w:hAnsi="Palatino Linotype" w:cstheme="minorHAnsi"/>
          <w:sz w:val="22"/>
          <w:szCs w:val="22"/>
        </w:rPr>
        <w:t>bekleniyordu</w:t>
      </w:r>
      <w:r w:rsidR="00DC0B1C" w:rsidRPr="001A080D">
        <w:rPr>
          <w:rFonts w:ascii="Palatino Linotype" w:hAnsi="Palatino Linotype" w:cstheme="minorHAnsi"/>
          <w:sz w:val="22"/>
          <w:szCs w:val="22"/>
        </w:rPr>
        <w:t xml:space="preserve">. Bununla birlikte son çeyrekte GSYH artışının çeyreklik </w:t>
      </w:r>
      <w:proofErr w:type="gramStart"/>
      <w:r w:rsidR="00DC0B1C" w:rsidRPr="001A080D">
        <w:rPr>
          <w:rFonts w:ascii="Palatino Linotype" w:hAnsi="Palatino Linotype" w:cstheme="minorHAnsi"/>
          <w:sz w:val="22"/>
          <w:szCs w:val="22"/>
        </w:rPr>
        <w:t>bazda</w:t>
      </w:r>
      <w:proofErr w:type="gramEnd"/>
      <w:r w:rsidR="00DC0B1C" w:rsidRPr="001A080D">
        <w:rPr>
          <w:rFonts w:ascii="Palatino Linotype" w:hAnsi="Palatino Linotype" w:cstheme="minorHAnsi"/>
          <w:sz w:val="22"/>
          <w:szCs w:val="22"/>
        </w:rPr>
        <w:t xml:space="preserve"> yüzde 1,3’ten 1,8’e yükselmesi ile yıllık büyümenin yüzde 7,4’e ulaşmasını sağladığı belirtilmelidir. </w:t>
      </w:r>
      <w:r w:rsidR="009A71AF" w:rsidRPr="001A080D">
        <w:rPr>
          <w:rFonts w:ascii="Palatino Linotype" w:hAnsi="Palatino Linotype" w:cstheme="minorHAnsi"/>
          <w:sz w:val="22"/>
          <w:szCs w:val="22"/>
        </w:rPr>
        <w:t>2017 toplam yıllık büyüme</w:t>
      </w:r>
      <w:r w:rsidR="00DC0B1C" w:rsidRPr="001A080D">
        <w:rPr>
          <w:rFonts w:ascii="Palatino Linotype" w:hAnsi="Palatino Linotype" w:cstheme="minorHAnsi"/>
          <w:sz w:val="22"/>
          <w:szCs w:val="22"/>
        </w:rPr>
        <w:t xml:space="preserve"> </w:t>
      </w:r>
      <w:proofErr w:type="spellStart"/>
      <w:r w:rsidR="00DC0B1C" w:rsidRPr="001A080D">
        <w:rPr>
          <w:rFonts w:ascii="Palatino Linotype" w:hAnsi="Palatino Linotype" w:cstheme="minorHAnsi"/>
          <w:sz w:val="22"/>
          <w:szCs w:val="22"/>
        </w:rPr>
        <w:t>OVP'de</w:t>
      </w:r>
      <w:proofErr w:type="spellEnd"/>
      <w:r w:rsidR="00DC0B1C" w:rsidRPr="001A080D">
        <w:rPr>
          <w:rFonts w:ascii="Palatino Linotype" w:hAnsi="Palatino Linotype" w:cstheme="minorHAnsi"/>
          <w:sz w:val="22"/>
          <w:szCs w:val="22"/>
        </w:rPr>
        <w:t xml:space="preserve"> öngörülen </w:t>
      </w:r>
      <w:r w:rsidR="009A71AF" w:rsidRPr="001A080D">
        <w:rPr>
          <w:rFonts w:ascii="Palatino Linotype" w:hAnsi="Palatino Linotype" w:cstheme="minorHAnsi"/>
          <w:sz w:val="22"/>
          <w:szCs w:val="22"/>
        </w:rPr>
        <w:t>yüzde 5,5'</w:t>
      </w:r>
      <w:r w:rsidR="00DC0B1C" w:rsidRPr="001A080D">
        <w:rPr>
          <w:rFonts w:ascii="Palatino Linotype" w:hAnsi="Palatino Linotype" w:cstheme="minorHAnsi"/>
          <w:sz w:val="22"/>
          <w:szCs w:val="22"/>
        </w:rPr>
        <w:t>in çok üzerine çıkm</w:t>
      </w:r>
      <w:r w:rsidR="001A080D" w:rsidRPr="001A080D">
        <w:rPr>
          <w:rFonts w:ascii="Palatino Linotype" w:hAnsi="Palatino Linotype" w:cstheme="minorHAnsi"/>
          <w:sz w:val="22"/>
          <w:szCs w:val="22"/>
        </w:rPr>
        <w:t>ası ile</w:t>
      </w:r>
      <w:r w:rsidR="00DC0B1C" w:rsidRPr="001A080D">
        <w:rPr>
          <w:rFonts w:ascii="Palatino Linotype" w:hAnsi="Palatino Linotype" w:cstheme="minorHAnsi"/>
          <w:sz w:val="22"/>
          <w:szCs w:val="22"/>
        </w:rPr>
        <w:t xml:space="preserve"> </w:t>
      </w:r>
      <w:r w:rsidR="008B29F8" w:rsidRPr="001A080D">
        <w:rPr>
          <w:rFonts w:ascii="Palatino Linotype" w:hAnsi="Palatino Linotype" w:cstheme="minorHAnsi"/>
          <w:sz w:val="22"/>
          <w:szCs w:val="22"/>
        </w:rPr>
        <w:t xml:space="preserve">enflasyonda görülen yükselmede Türk Lirasının değer kaybının yanı sıra talep bakısının da etkili olduğu, dolayısıyla </w:t>
      </w:r>
      <w:r w:rsidR="00DC0B1C" w:rsidRPr="001A080D">
        <w:rPr>
          <w:rFonts w:ascii="Palatino Linotype" w:hAnsi="Palatino Linotype" w:cstheme="minorHAnsi"/>
          <w:sz w:val="22"/>
          <w:szCs w:val="22"/>
        </w:rPr>
        <w:t>ekonominin</w:t>
      </w:r>
      <w:r w:rsidR="008B29F8" w:rsidRPr="001A080D">
        <w:rPr>
          <w:rFonts w:ascii="Palatino Linotype" w:hAnsi="Palatino Linotype" w:cstheme="minorHAnsi"/>
          <w:sz w:val="22"/>
          <w:szCs w:val="22"/>
        </w:rPr>
        <w:t xml:space="preserve"> aşırı ısındığı tartışm</w:t>
      </w:r>
      <w:r w:rsidR="00844C00" w:rsidRPr="001A080D">
        <w:rPr>
          <w:rFonts w:ascii="Palatino Linotype" w:hAnsi="Palatino Linotype" w:cstheme="minorHAnsi"/>
          <w:sz w:val="22"/>
          <w:szCs w:val="22"/>
        </w:rPr>
        <w:t>a</w:t>
      </w:r>
      <w:r w:rsidR="008B29F8" w:rsidRPr="001A080D">
        <w:rPr>
          <w:rFonts w:ascii="Palatino Linotype" w:hAnsi="Palatino Linotype" w:cstheme="minorHAnsi"/>
          <w:sz w:val="22"/>
          <w:szCs w:val="22"/>
        </w:rPr>
        <w:t>larını gündeme taşımıştır. Bu bağlamda GSYH artışın 2016’da yüzde 3,2 ile sınırlı kaldığı ve son iki yılda ortalama art</w:t>
      </w:r>
      <w:r w:rsidR="001A080D">
        <w:rPr>
          <w:rFonts w:ascii="Palatino Linotype" w:hAnsi="Palatino Linotype" w:cstheme="minorHAnsi"/>
          <w:sz w:val="22"/>
          <w:szCs w:val="22"/>
        </w:rPr>
        <w:t>ışın yüzde 5,3 ile OVP öngö</w:t>
      </w:r>
      <w:r w:rsidR="008B29F8" w:rsidRPr="001A080D">
        <w:rPr>
          <w:rFonts w:ascii="Palatino Linotype" w:hAnsi="Palatino Linotype" w:cstheme="minorHAnsi"/>
          <w:sz w:val="22"/>
          <w:szCs w:val="22"/>
        </w:rPr>
        <w:t>r</w:t>
      </w:r>
      <w:r w:rsidR="001A080D">
        <w:rPr>
          <w:rFonts w:ascii="Palatino Linotype" w:hAnsi="Palatino Linotype" w:cstheme="minorHAnsi"/>
          <w:sz w:val="22"/>
          <w:szCs w:val="22"/>
        </w:rPr>
        <w:t>ü</w:t>
      </w:r>
      <w:r w:rsidR="001A080D" w:rsidRPr="001A080D">
        <w:rPr>
          <w:rFonts w:ascii="Palatino Linotype" w:hAnsi="Palatino Linotype" w:cstheme="minorHAnsi"/>
          <w:sz w:val="22"/>
          <w:szCs w:val="22"/>
        </w:rPr>
        <w:t>leri ile uyumlu olduğu söylene</w:t>
      </w:r>
      <w:r w:rsidR="008B29F8" w:rsidRPr="001A080D">
        <w:rPr>
          <w:rFonts w:ascii="Palatino Linotype" w:hAnsi="Palatino Linotype" w:cstheme="minorHAnsi"/>
          <w:sz w:val="22"/>
          <w:szCs w:val="22"/>
        </w:rPr>
        <w:t>bilir.</w:t>
      </w:r>
    </w:p>
    <w:p w:rsidR="00C82B14" w:rsidRPr="001A080D" w:rsidRDefault="00A3095F" w:rsidP="00681AD9">
      <w:pPr>
        <w:pStyle w:val="NormalWeb"/>
        <w:spacing w:before="0" w:beforeAutospacing="0" w:after="0" w:afterAutospacing="0" w:line="360" w:lineRule="auto"/>
        <w:ind w:right="77"/>
        <w:jc w:val="both"/>
        <w:rPr>
          <w:rFonts w:ascii="Palatino Linotype" w:hAnsi="Palatino Linotype" w:cstheme="minorHAnsi"/>
          <w:sz w:val="22"/>
          <w:szCs w:val="22"/>
        </w:rPr>
      </w:pPr>
      <w:r w:rsidRPr="001A080D">
        <w:rPr>
          <w:rFonts w:ascii="Palatino Linotype" w:hAnsi="Palatino Linotype" w:cstheme="minorHAnsi"/>
          <w:sz w:val="22"/>
          <w:szCs w:val="22"/>
        </w:rPr>
        <w:t xml:space="preserve">2018’de GSYH artışlarına yönelik uluslararası kuruluşların ve diğer kurumların </w:t>
      </w:r>
      <w:r w:rsidR="00C30F90" w:rsidRPr="00CE55CC">
        <w:rPr>
          <w:rFonts w:ascii="Palatino Linotype" w:hAnsi="Palatino Linotype" w:cstheme="minorHAnsi"/>
          <w:sz w:val="22"/>
          <w:szCs w:val="22"/>
        </w:rPr>
        <w:t>tahminleri</w:t>
      </w:r>
      <w:r w:rsidR="00C30F90">
        <w:rPr>
          <w:rFonts w:ascii="Palatino Linotype" w:hAnsi="Palatino Linotype" w:cstheme="minorHAnsi"/>
          <w:sz w:val="22"/>
          <w:szCs w:val="22"/>
        </w:rPr>
        <w:t xml:space="preserve"> </w:t>
      </w:r>
      <w:r w:rsidRPr="001A080D">
        <w:rPr>
          <w:rFonts w:ascii="Palatino Linotype" w:hAnsi="Palatino Linotype" w:cstheme="minorHAnsi"/>
          <w:sz w:val="22"/>
          <w:szCs w:val="22"/>
        </w:rPr>
        <w:t>yüzde 4 ile yüzde 5 arasında değişme</w:t>
      </w:r>
      <w:r w:rsidR="001A080D">
        <w:rPr>
          <w:rFonts w:ascii="Palatino Linotype" w:hAnsi="Palatino Linotype" w:cstheme="minorHAnsi"/>
          <w:sz w:val="22"/>
          <w:szCs w:val="22"/>
        </w:rPr>
        <w:t>ktedir. İç talebi güçlü bir şek</w:t>
      </w:r>
      <w:r w:rsidRPr="001A080D">
        <w:rPr>
          <w:rFonts w:ascii="Palatino Linotype" w:hAnsi="Palatino Linotype" w:cstheme="minorHAnsi"/>
          <w:sz w:val="22"/>
          <w:szCs w:val="22"/>
        </w:rPr>
        <w:t xml:space="preserve">ilde destekleyen teşviklerin mali disiplin kaygıları ile 2018’de devam etmemesi durumunda bu büyüme aralığı makul sayılabilir. Ancak son çeyrekte kamu tüketim harcamalarında gözlemlenen büyük artış mali disiplin kaygısının ikinci plana itildiği izlenimini vermektedir. </w:t>
      </w:r>
      <w:r w:rsidR="004E5018" w:rsidRPr="001A080D">
        <w:rPr>
          <w:rFonts w:ascii="Palatino Linotype" w:hAnsi="Palatino Linotype" w:cstheme="minorHAnsi"/>
          <w:sz w:val="22"/>
          <w:szCs w:val="22"/>
        </w:rPr>
        <w:t>Son çeyrekte GSYH artışı</w:t>
      </w:r>
      <w:r w:rsidR="001A080D" w:rsidRPr="001A080D">
        <w:rPr>
          <w:rFonts w:ascii="Palatino Linotype" w:hAnsi="Palatino Linotype" w:cstheme="minorHAnsi"/>
          <w:sz w:val="22"/>
          <w:szCs w:val="22"/>
        </w:rPr>
        <w:t>n</w:t>
      </w:r>
      <w:r w:rsidR="004E5018" w:rsidRPr="001A080D">
        <w:rPr>
          <w:rFonts w:ascii="Palatino Linotype" w:hAnsi="Palatino Linotype" w:cstheme="minorHAnsi"/>
          <w:sz w:val="22"/>
          <w:szCs w:val="22"/>
        </w:rPr>
        <w:t>daki ivmelenmede güçlü özel tüketim artışı başat paya</w:t>
      </w:r>
      <w:bookmarkStart w:id="0" w:name="_GoBack"/>
      <w:bookmarkEnd w:id="0"/>
      <w:r w:rsidR="004E5018" w:rsidRPr="001A080D">
        <w:rPr>
          <w:rFonts w:ascii="Palatino Linotype" w:hAnsi="Palatino Linotype" w:cstheme="minorHAnsi"/>
          <w:sz w:val="22"/>
          <w:szCs w:val="22"/>
        </w:rPr>
        <w:t xml:space="preserve"> sahip olurken kamu tüketim harcamalarındaki artış da önemli rol oynamıştır. Öte yandan son çeyrekte net ihracat</w:t>
      </w:r>
      <w:r w:rsidR="00B45DFF" w:rsidRPr="001A080D">
        <w:rPr>
          <w:rFonts w:ascii="Palatino Linotype" w:hAnsi="Palatino Linotype" w:cstheme="minorHAnsi"/>
          <w:sz w:val="22"/>
          <w:szCs w:val="22"/>
        </w:rPr>
        <w:t xml:space="preserve">ın negatif katkı yapmasına neden olan yüksek ithalat artışının 2018’de devam edip etmeyeceği keza </w:t>
      </w:r>
      <w:r w:rsidR="004E5018" w:rsidRPr="001A080D">
        <w:rPr>
          <w:rFonts w:ascii="Palatino Linotype" w:hAnsi="Palatino Linotype" w:cstheme="minorHAnsi"/>
          <w:sz w:val="22"/>
          <w:szCs w:val="22"/>
        </w:rPr>
        <w:t>yatırımlar</w:t>
      </w:r>
      <w:r w:rsidR="00B45DFF" w:rsidRPr="001A080D">
        <w:rPr>
          <w:rFonts w:ascii="Palatino Linotype" w:hAnsi="Palatino Linotype" w:cstheme="minorHAnsi"/>
          <w:sz w:val="22"/>
          <w:szCs w:val="22"/>
        </w:rPr>
        <w:t xml:space="preserve">ın da katkısını negatife çeviren inşaattaki durgunluğun kalıcı olup olmadığı </w:t>
      </w:r>
      <w:r w:rsidR="004E5018" w:rsidRPr="001A080D">
        <w:rPr>
          <w:rFonts w:ascii="Palatino Linotype" w:hAnsi="Palatino Linotype" w:cstheme="minorHAnsi"/>
          <w:sz w:val="22"/>
          <w:szCs w:val="22"/>
        </w:rPr>
        <w:t xml:space="preserve">şimdilik belli değildir. Bu </w:t>
      </w:r>
      <w:r w:rsidR="00B45DFF" w:rsidRPr="001A080D">
        <w:rPr>
          <w:rFonts w:ascii="Palatino Linotype" w:hAnsi="Palatino Linotype" w:cstheme="minorHAnsi"/>
          <w:sz w:val="22"/>
          <w:szCs w:val="22"/>
        </w:rPr>
        <w:t xml:space="preserve">iki kesimde yaşanacak gelişmelerin 2018’de ekonomik büyümenin </w:t>
      </w:r>
      <w:r w:rsidR="004E5018" w:rsidRPr="001A080D">
        <w:rPr>
          <w:rFonts w:ascii="Palatino Linotype" w:hAnsi="Palatino Linotype" w:cstheme="minorHAnsi"/>
          <w:sz w:val="22"/>
          <w:szCs w:val="22"/>
        </w:rPr>
        <w:t xml:space="preserve">mertebesinde belirleyici </w:t>
      </w:r>
      <w:r w:rsidR="00B45DFF" w:rsidRPr="001A080D">
        <w:rPr>
          <w:rFonts w:ascii="Palatino Linotype" w:hAnsi="Palatino Linotype" w:cstheme="minorHAnsi"/>
          <w:sz w:val="22"/>
          <w:szCs w:val="22"/>
        </w:rPr>
        <w:t>rol oynayacağı</w:t>
      </w:r>
      <w:r w:rsidR="004E5018" w:rsidRPr="001A080D">
        <w:rPr>
          <w:rFonts w:ascii="Palatino Linotype" w:hAnsi="Palatino Linotype" w:cstheme="minorHAnsi"/>
          <w:sz w:val="22"/>
          <w:szCs w:val="22"/>
        </w:rPr>
        <w:t xml:space="preserve"> söylenebilir. </w:t>
      </w:r>
      <w:r w:rsidR="00B45DFF" w:rsidRPr="001A080D">
        <w:rPr>
          <w:rFonts w:ascii="Palatino Linotype" w:hAnsi="Palatino Linotype" w:cstheme="minorHAnsi"/>
          <w:sz w:val="22"/>
          <w:szCs w:val="22"/>
        </w:rPr>
        <w:t>Yılın</w:t>
      </w:r>
      <w:r w:rsidR="004E5018" w:rsidRPr="001A080D">
        <w:rPr>
          <w:rFonts w:ascii="Palatino Linotype" w:hAnsi="Palatino Linotype" w:cstheme="minorHAnsi"/>
          <w:sz w:val="22"/>
          <w:szCs w:val="22"/>
        </w:rPr>
        <w:t xml:space="preserve"> ilk </w:t>
      </w:r>
      <w:r w:rsidR="004E5018" w:rsidRPr="001A080D">
        <w:rPr>
          <w:rFonts w:ascii="Palatino Linotype" w:hAnsi="Palatino Linotype" w:cstheme="minorHAnsi"/>
          <w:sz w:val="22"/>
          <w:szCs w:val="22"/>
        </w:rPr>
        <w:lastRenderedPageBreak/>
        <w:t xml:space="preserve">çeyreğine dair büyüme tahminimizi </w:t>
      </w:r>
      <w:r w:rsidR="001A080D">
        <w:rPr>
          <w:rFonts w:ascii="Palatino Linotype" w:hAnsi="Palatino Linotype" w:cstheme="minorHAnsi"/>
          <w:sz w:val="22"/>
          <w:szCs w:val="22"/>
        </w:rPr>
        <w:t>önümüzdeki günlerde</w:t>
      </w:r>
      <w:r w:rsidR="004E5018" w:rsidRPr="001A080D">
        <w:rPr>
          <w:rFonts w:ascii="Palatino Linotype" w:hAnsi="Palatino Linotype" w:cstheme="minorHAnsi"/>
          <w:sz w:val="22"/>
          <w:szCs w:val="22"/>
        </w:rPr>
        <w:t xml:space="preserve"> yayınladığımızda </w:t>
      </w:r>
      <w:r w:rsidR="00B45DFF" w:rsidRPr="001A080D">
        <w:rPr>
          <w:rFonts w:ascii="Palatino Linotype" w:hAnsi="Palatino Linotype" w:cstheme="minorHAnsi"/>
          <w:sz w:val="22"/>
          <w:szCs w:val="22"/>
        </w:rPr>
        <w:t xml:space="preserve">bu konudaki belirsizliklerin bir ölçüde aydınlanacağını umuyoruz. </w:t>
      </w:r>
    </w:p>
    <w:p w:rsidR="00D07713" w:rsidRPr="001A080D" w:rsidRDefault="00E85F3F"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1A080D">
        <w:rPr>
          <w:rFonts w:ascii="Palatino Linotype" w:hAnsi="Palatino Linotype" w:cstheme="minorHAnsi"/>
          <w:b/>
          <w:bCs/>
          <w:sz w:val="22"/>
          <w:szCs w:val="22"/>
        </w:rPr>
        <w:t xml:space="preserve">Şekil </w:t>
      </w:r>
      <w:r w:rsidR="00F22A71" w:rsidRPr="001A080D">
        <w:rPr>
          <w:rFonts w:ascii="Palatino Linotype" w:hAnsi="Palatino Linotype" w:cstheme="minorHAnsi"/>
          <w:b/>
          <w:bCs/>
          <w:sz w:val="22"/>
          <w:szCs w:val="22"/>
        </w:rPr>
        <w:t>2</w:t>
      </w:r>
      <w:r w:rsidRPr="001A080D">
        <w:rPr>
          <w:rFonts w:ascii="Palatino Linotype" w:hAnsi="Palatino Linotype" w:cstheme="minorHAnsi"/>
          <w:b/>
          <w:bCs/>
          <w:sz w:val="22"/>
          <w:szCs w:val="22"/>
        </w:rPr>
        <w:t xml:space="preserve">: </w:t>
      </w:r>
      <w:r w:rsidRPr="00505041">
        <w:rPr>
          <w:rFonts w:ascii="Palatino Linotype" w:hAnsi="Palatino Linotype" w:cstheme="minorHAnsi"/>
          <w:b/>
          <w:bCs/>
          <w:sz w:val="22"/>
          <w:szCs w:val="22"/>
        </w:rPr>
        <w:t>Bir önceki çeyreğe ve geçen yılın aynı çeyreğine göre GSYH büyüme oranları</w:t>
      </w:r>
    </w:p>
    <w:p w:rsidR="00681AD9" w:rsidRPr="001A080D" w:rsidRDefault="000141C7"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1A080D">
        <w:rPr>
          <w:noProof/>
        </w:rPr>
        <w:drawing>
          <wp:inline distT="0" distB="0" distL="0" distR="0">
            <wp:extent cx="5760720" cy="3622040"/>
            <wp:effectExtent l="0" t="0" r="11430" b="16510"/>
            <wp:docPr id="4" name="Grafik 4">
              <a:extLst xmlns:a="http://schemas.openxmlformats.org/drawingml/2006/main">
                <a:ext uri="{FF2B5EF4-FFF2-40B4-BE49-F238E27FC236}">
                  <a16:creationId xmlns:a16="http://schemas.microsoft.com/office/drawing/2014/main" id="{3027850B-1BDE-40AC-B61E-29668B686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EED" w:rsidRPr="001A080D" w:rsidRDefault="003E1EED" w:rsidP="00C82B14">
      <w:pPr>
        <w:keepNext/>
        <w:rPr>
          <w:rFonts w:ascii="Palatino Linotype" w:hAnsi="Palatino Linotype" w:cstheme="minorHAnsi"/>
          <w:sz w:val="18"/>
          <w:szCs w:val="18"/>
        </w:rPr>
      </w:pPr>
      <w:r w:rsidRPr="001A080D">
        <w:rPr>
          <w:rFonts w:ascii="Palatino Linotype" w:hAnsi="Palatino Linotype" w:cstheme="minorHAnsi"/>
          <w:sz w:val="18"/>
          <w:szCs w:val="18"/>
        </w:rPr>
        <w:t xml:space="preserve">Kaynak: TÜİK, Betam. </w:t>
      </w:r>
    </w:p>
    <w:p w:rsidR="00C82B14" w:rsidRPr="001A080D" w:rsidRDefault="00C82B14" w:rsidP="003E1EED">
      <w:pPr>
        <w:keepNext/>
        <w:rPr>
          <w:rFonts w:ascii="Palatino Linotype" w:hAnsi="Palatino Linotype" w:cstheme="minorHAnsi"/>
          <w:sz w:val="18"/>
          <w:szCs w:val="18"/>
        </w:rPr>
      </w:pPr>
    </w:p>
    <w:p w:rsidR="00E750CC" w:rsidRPr="001A080D" w:rsidRDefault="00E750CC" w:rsidP="00E85F3F">
      <w:pPr>
        <w:keepNext/>
        <w:rPr>
          <w:rFonts w:ascii="Palatino Linotype" w:hAnsi="Palatino Linotype" w:cstheme="minorHAnsi"/>
        </w:rPr>
      </w:pPr>
    </w:p>
    <w:p w:rsidR="00681AD9" w:rsidRPr="001A080D" w:rsidRDefault="00681AD9" w:rsidP="00E85F3F">
      <w:pPr>
        <w:keepNext/>
        <w:rPr>
          <w:rFonts w:ascii="Palatino Linotype" w:hAnsi="Palatino Linotype" w:cstheme="minorHAnsi"/>
        </w:rPr>
      </w:pPr>
    </w:p>
    <w:p w:rsidR="001A080D" w:rsidRPr="001A080D" w:rsidRDefault="001A080D">
      <w:pPr>
        <w:keepNext/>
        <w:rPr>
          <w:rFonts w:ascii="Palatino Linotype" w:hAnsi="Palatino Linotype" w:cstheme="minorHAnsi"/>
        </w:rPr>
      </w:pPr>
    </w:p>
    <w:sectPr w:rsidR="001A080D" w:rsidRPr="001A080D"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4B" w:rsidRDefault="0079264B" w:rsidP="00DA0C5D">
      <w:r>
        <w:separator/>
      </w:r>
    </w:p>
  </w:endnote>
  <w:endnote w:type="continuationSeparator" w:id="0">
    <w:p w:rsidR="0079264B" w:rsidRDefault="0079264B"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4B" w:rsidRDefault="0079264B" w:rsidP="00DA0C5D">
      <w:r>
        <w:separator/>
      </w:r>
    </w:p>
  </w:footnote>
  <w:footnote w:type="continuationSeparator" w:id="0">
    <w:p w:rsidR="0079264B" w:rsidRDefault="0079264B" w:rsidP="00DA0C5D">
      <w:r>
        <w:continuationSeparator/>
      </w:r>
    </w:p>
  </w:footnote>
  <w:footnote w:id="1">
    <w:p w:rsidR="003172DB" w:rsidRPr="001866FC" w:rsidRDefault="003172DB" w:rsidP="003172DB">
      <w:pPr>
        <w:pStyle w:val="FootnoteText"/>
        <w:rPr>
          <w:rFonts w:ascii="Palatino Linotype" w:hAnsi="Palatino Linotype"/>
          <w:sz w:val="18"/>
          <w:szCs w:val="18"/>
        </w:rPr>
      </w:pPr>
      <w:r>
        <w:rPr>
          <w:rStyle w:val="FootnoteReference"/>
        </w:rPr>
        <w:footnoteRef/>
      </w:r>
      <w:r>
        <w:t xml:space="preserve"> </w:t>
      </w:r>
      <w:r w:rsidRPr="001866FC">
        <w:rPr>
          <w:rFonts w:ascii="Palatino Linotype" w:hAnsi="Palatino Linotype"/>
          <w:sz w:val="18"/>
          <w:szCs w:val="18"/>
        </w:rPr>
        <w:t>Prof. Dr. Seyfettin Gürsel, Betam, Direktör,  seyfettin.gursel@eas.bahcesehir.edu.tr</w:t>
      </w:r>
    </w:p>
  </w:footnote>
  <w:footnote w:id="2">
    <w:p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3">
    <w:p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 ugurcan.acar@eas.bau.edu.tr</w:t>
      </w:r>
      <w:r>
        <w:t xml:space="preserve"> </w:t>
      </w:r>
    </w:p>
  </w:footnote>
  <w:footnote w:id="4">
    <w:p w:rsidR="00DA0C5D" w:rsidRPr="00B27C9F" w:rsidRDefault="00DA0C5D">
      <w:pPr>
        <w:pStyle w:val="FootnoteText"/>
      </w:pPr>
      <w:r w:rsidRPr="00B27C9F">
        <w:rPr>
          <w:rStyle w:val="FootnoteReference"/>
        </w:rPr>
        <w:footnoteRef/>
      </w:r>
      <w:proofErr w:type="spellStart"/>
      <w:r w:rsidRPr="00BE06CE">
        <w:rPr>
          <w:rFonts w:ascii="Palatino Linotype" w:hAnsi="Palatino Linotype"/>
          <w:sz w:val="18"/>
          <w:szCs w:val="18"/>
        </w:rPr>
        <w:t>KGF’n</w:t>
      </w:r>
      <w:r w:rsidR="00A310EA" w:rsidRPr="00BE06CE">
        <w:rPr>
          <w:rFonts w:ascii="Palatino Linotype" w:hAnsi="Palatino Linotype"/>
          <w:sz w:val="18"/>
          <w:szCs w:val="18"/>
        </w:rPr>
        <w:t>i</w:t>
      </w:r>
      <w:r w:rsidRPr="00BE06CE">
        <w:rPr>
          <w:rFonts w:ascii="Palatino Linotype" w:hAnsi="Palatino Linotype"/>
          <w:sz w:val="18"/>
          <w:szCs w:val="18"/>
        </w:rPr>
        <w:t>n</w:t>
      </w:r>
      <w:proofErr w:type="spellEnd"/>
      <w:r w:rsidRPr="00BE06CE">
        <w:rPr>
          <w:rFonts w:ascii="Palatino Linotype" w:hAnsi="Palatino Linotype"/>
          <w:sz w:val="18"/>
          <w:szCs w:val="18"/>
        </w:rPr>
        <w:t xml:space="preserve"> Hazine’den aldığı destek tutarı 2015 yılı</w:t>
      </w:r>
      <w:r w:rsidR="0022673E" w:rsidRPr="00BE06CE">
        <w:rPr>
          <w:rFonts w:ascii="Palatino Linotype" w:hAnsi="Palatino Linotype"/>
          <w:sz w:val="18"/>
          <w:szCs w:val="18"/>
        </w:rPr>
        <w:t>n</w:t>
      </w:r>
      <w:r w:rsidRPr="00BE06CE">
        <w:rPr>
          <w:rFonts w:ascii="Palatino Linotype" w:hAnsi="Palatino Linotype"/>
          <w:sz w:val="18"/>
          <w:szCs w:val="18"/>
        </w:rPr>
        <w:t xml:space="preserve">da 2 milyar TL’ye </w:t>
      </w:r>
      <w:r w:rsidR="0022673E" w:rsidRPr="00BE06CE">
        <w:rPr>
          <w:rFonts w:ascii="Palatino Linotype" w:hAnsi="Palatino Linotype"/>
          <w:sz w:val="18"/>
          <w:szCs w:val="18"/>
        </w:rPr>
        <w:t xml:space="preserve">ardından 2017’de 25 milyar TL’ye </w:t>
      </w:r>
      <w:r w:rsidRPr="00BE06CE">
        <w:rPr>
          <w:rFonts w:ascii="Palatino Linotype" w:hAnsi="Palatino Linotype"/>
          <w:sz w:val="18"/>
          <w:szCs w:val="18"/>
        </w:rPr>
        <w:t xml:space="preserve">yükseltildi. </w:t>
      </w:r>
      <w:r w:rsidR="00F46A54" w:rsidRPr="00BE06CE">
        <w:rPr>
          <w:rFonts w:ascii="Palatino Linotype" w:hAnsi="Palatino Linotype"/>
          <w:sz w:val="18"/>
          <w:szCs w:val="18"/>
        </w:rPr>
        <w:t>2017’de yapılan düzenlemede KGF tarafından verilen kefaletlerin toplam bakiye tutarı 250 milyar TL ile sınırlandırıldı. B</w:t>
      </w:r>
      <w:r w:rsidRPr="00BE06CE">
        <w:rPr>
          <w:rFonts w:ascii="Palatino Linotype" w:hAnsi="Palatino Linotype"/>
          <w:sz w:val="18"/>
          <w:szCs w:val="18"/>
        </w:rPr>
        <w:t>kz.</w:t>
      </w:r>
      <w:r w:rsidR="0014542A" w:rsidRPr="00BE06CE">
        <w:rPr>
          <w:rFonts w:ascii="Palatino Linotype" w:hAnsi="Palatino Linotype"/>
          <w:sz w:val="18"/>
          <w:szCs w:val="18"/>
        </w:rPr>
        <w:t xml:space="preserve"> </w:t>
      </w:r>
      <w:hyperlink r:id="rId1" w:history="1">
        <w:r w:rsidRPr="00BE06CE">
          <w:rPr>
            <w:rStyle w:val="Hyperlink"/>
            <w:rFonts w:ascii="Palatino Linotype" w:hAnsi="Palatino Linotype"/>
            <w:sz w:val="18"/>
            <w:szCs w:val="18"/>
          </w:rPr>
          <w:t>http://www.kgf.com.tr/index.php/tr/bilgi-merkezi/rakamlarla-kgf</w:t>
        </w:r>
      </w:hyperlink>
      <w:r w:rsidR="0014542A" w:rsidRPr="00BE06CE">
        <w:rPr>
          <w:rFonts w:ascii="Palatino Linotype" w:hAnsi="Palatino Linotype"/>
          <w:sz w:val="18"/>
          <w:szCs w:val="18"/>
        </w:rPr>
        <w:t xml:space="preserve"> ve</w:t>
      </w:r>
      <w:r w:rsidR="00324C51" w:rsidRPr="00BE06CE">
        <w:rPr>
          <w:rFonts w:ascii="Palatino Linotype" w:hAnsi="Palatino Linotype"/>
          <w:sz w:val="18"/>
          <w:szCs w:val="18"/>
        </w:rPr>
        <w:t xml:space="preserve"> </w:t>
      </w:r>
      <w:hyperlink r:id="rId2" w:history="1">
        <w:r w:rsidR="00F46A54" w:rsidRPr="00BE06CE">
          <w:rPr>
            <w:rStyle w:val="Hyperlink"/>
            <w:rFonts w:ascii="Palatino Linotype" w:hAnsi="Palatino Linotype"/>
            <w:sz w:val="18"/>
            <w:szCs w:val="18"/>
          </w:rPr>
          <w:t>http://www.kgf.com.tr/index.php/tr/desteklerimiz/kaynaklarimiz/hazine-mustesarligi-fonu</w:t>
        </w:r>
      </w:hyperlink>
    </w:p>
    <w:p w:rsidR="00F46A54" w:rsidRDefault="00F46A54">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13"/>
    <w:rsid w:val="000141C7"/>
    <w:rsid w:val="00036770"/>
    <w:rsid w:val="00041FB7"/>
    <w:rsid w:val="00054943"/>
    <w:rsid w:val="00055EA1"/>
    <w:rsid w:val="000652B6"/>
    <w:rsid w:val="00080211"/>
    <w:rsid w:val="00080336"/>
    <w:rsid w:val="00096CDA"/>
    <w:rsid w:val="000978C8"/>
    <w:rsid w:val="000A612E"/>
    <w:rsid w:val="000B0FC1"/>
    <w:rsid w:val="000C634D"/>
    <w:rsid w:val="000D5FD3"/>
    <w:rsid w:val="0012527F"/>
    <w:rsid w:val="00125770"/>
    <w:rsid w:val="00140468"/>
    <w:rsid w:val="0014542A"/>
    <w:rsid w:val="001537D8"/>
    <w:rsid w:val="001866FC"/>
    <w:rsid w:val="001A080D"/>
    <w:rsid w:val="001B3A44"/>
    <w:rsid w:val="001C2C68"/>
    <w:rsid w:val="001C552A"/>
    <w:rsid w:val="001C65BF"/>
    <w:rsid w:val="001D0150"/>
    <w:rsid w:val="001D5B02"/>
    <w:rsid w:val="001D6465"/>
    <w:rsid w:val="001E72E4"/>
    <w:rsid w:val="001F1554"/>
    <w:rsid w:val="001F7B1D"/>
    <w:rsid w:val="001F7BC7"/>
    <w:rsid w:val="002106DF"/>
    <w:rsid w:val="00212579"/>
    <w:rsid w:val="00214914"/>
    <w:rsid w:val="0022673E"/>
    <w:rsid w:val="00275745"/>
    <w:rsid w:val="002804E5"/>
    <w:rsid w:val="00282242"/>
    <w:rsid w:val="002847DE"/>
    <w:rsid w:val="0028498B"/>
    <w:rsid w:val="0029624E"/>
    <w:rsid w:val="002A07A9"/>
    <w:rsid w:val="002C5C24"/>
    <w:rsid w:val="003061DC"/>
    <w:rsid w:val="003172DB"/>
    <w:rsid w:val="00324C51"/>
    <w:rsid w:val="00334E27"/>
    <w:rsid w:val="00344A74"/>
    <w:rsid w:val="003777B5"/>
    <w:rsid w:val="003967B5"/>
    <w:rsid w:val="003A488B"/>
    <w:rsid w:val="003A7596"/>
    <w:rsid w:val="003C2891"/>
    <w:rsid w:val="003D44CE"/>
    <w:rsid w:val="003E1EED"/>
    <w:rsid w:val="00407C84"/>
    <w:rsid w:val="00431C38"/>
    <w:rsid w:val="00433A75"/>
    <w:rsid w:val="00451A8A"/>
    <w:rsid w:val="00483EC5"/>
    <w:rsid w:val="0048774D"/>
    <w:rsid w:val="00492020"/>
    <w:rsid w:val="004931A5"/>
    <w:rsid w:val="004B130D"/>
    <w:rsid w:val="004E5018"/>
    <w:rsid w:val="004F0543"/>
    <w:rsid w:val="004F10AB"/>
    <w:rsid w:val="00505041"/>
    <w:rsid w:val="00510883"/>
    <w:rsid w:val="00530B9F"/>
    <w:rsid w:val="0053582F"/>
    <w:rsid w:val="0053586E"/>
    <w:rsid w:val="0054145E"/>
    <w:rsid w:val="005600E7"/>
    <w:rsid w:val="0058588C"/>
    <w:rsid w:val="00586424"/>
    <w:rsid w:val="005A617F"/>
    <w:rsid w:val="005C08B0"/>
    <w:rsid w:val="005D4126"/>
    <w:rsid w:val="00625B95"/>
    <w:rsid w:val="00632221"/>
    <w:rsid w:val="0064012D"/>
    <w:rsid w:val="00643113"/>
    <w:rsid w:val="006439C5"/>
    <w:rsid w:val="00647318"/>
    <w:rsid w:val="006549E3"/>
    <w:rsid w:val="00655938"/>
    <w:rsid w:val="006761BB"/>
    <w:rsid w:val="00681022"/>
    <w:rsid w:val="00681AD9"/>
    <w:rsid w:val="00694B4D"/>
    <w:rsid w:val="00694F52"/>
    <w:rsid w:val="006C3EE6"/>
    <w:rsid w:val="006D1DD6"/>
    <w:rsid w:val="006D32A0"/>
    <w:rsid w:val="00711A8A"/>
    <w:rsid w:val="00724E7C"/>
    <w:rsid w:val="0074205B"/>
    <w:rsid w:val="00761711"/>
    <w:rsid w:val="00773D8B"/>
    <w:rsid w:val="00783CD4"/>
    <w:rsid w:val="0079264B"/>
    <w:rsid w:val="007B70AD"/>
    <w:rsid w:val="007D4953"/>
    <w:rsid w:val="007F3C9B"/>
    <w:rsid w:val="0081114C"/>
    <w:rsid w:val="00817A10"/>
    <w:rsid w:val="00830B62"/>
    <w:rsid w:val="00832402"/>
    <w:rsid w:val="00844C00"/>
    <w:rsid w:val="0084500C"/>
    <w:rsid w:val="00845A54"/>
    <w:rsid w:val="008469D3"/>
    <w:rsid w:val="00865CE6"/>
    <w:rsid w:val="008B29F8"/>
    <w:rsid w:val="008C70C5"/>
    <w:rsid w:val="008F1741"/>
    <w:rsid w:val="00916533"/>
    <w:rsid w:val="00924CD9"/>
    <w:rsid w:val="00940DA9"/>
    <w:rsid w:val="00963B04"/>
    <w:rsid w:val="009A71AF"/>
    <w:rsid w:val="009B1546"/>
    <w:rsid w:val="009B16AD"/>
    <w:rsid w:val="009B651F"/>
    <w:rsid w:val="009D71BF"/>
    <w:rsid w:val="009E0348"/>
    <w:rsid w:val="009E25DA"/>
    <w:rsid w:val="009E68C6"/>
    <w:rsid w:val="00A03316"/>
    <w:rsid w:val="00A15DC3"/>
    <w:rsid w:val="00A3095F"/>
    <w:rsid w:val="00A310EA"/>
    <w:rsid w:val="00A46C4A"/>
    <w:rsid w:val="00A50FB7"/>
    <w:rsid w:val="00A6165E"/>
    <w:rsid w:val="00A675D3"/>
    <w:rsid w:val="00A719DB"/>
    <w:rsid w:val="00A842EA"/>
    <w:rsid w:val="00A8572B"/>
    <w:rsid w:val="00A86808"/>
    <w:rsid w:val="00A874DA"/>
    <w:rsid w:val="00AB1006"/>
    <w:rsid w:val="00AE59EE"/>
    <w:rsid w:val="00B02D74"/>
    <w:rsid w:val="00B27C9F"/>
    <w:rsid w:val="00B45DFF"/>
    <w:rsid w:val="00B56D03"/>
    <w:rsid w:val="00B82B92"/>
    <w:rsid w:val="00BB5725"/>
    <w:rsid w:val="00BD6621"/>
    <w:rsid w:val="00BE06CE"/>
    <w:rsid w:val="00BE7C49"/>
    <w:rsid w:val="00C11B5A"/>
    <w:rsid w:val="00C30F90"/>
    <w:rsid w:val="00C32789"/>
    <w:rsid w:val="00C34C5C"/>
    <w:rsid w:val="00C35660"/>
    <w:rsid w:val="00C5056E"/>
    <w:rsid w:val="00C53444"/>
    <w:rsid w:val="00C57749"/>
    <w:rsid w:val="00C82B14"/>
    <w:rsid w:val="00C86475"/>
    <w:rsid w:val="00C97FD1"/>
    <w:rsid w:val="00CA234B"/>
    <w:rsid w:val="00CB3462"/>
    <w:rsid w:val="00CB767C"/>
    <w:rsid w:val="00CC3EAD"/>
    <w:rsid w:val="00CC79C0"/>
    <w:rsid w:val="00CE55CC"/>
    <w:rsid w:val="00CF5053"/>
    <w:rsid w:val="00D07713"/>
    <w:rsid w:val="00D257C1"/>
    <w:rsid w:val="00D45167"/>
    <w:rsid w:val="00D4574F"/>
    <w:rsid w:val="00D53424"/>
    <w:rsid w:val="00D63430"/>
    <w:rsid w:val="00D803A1"/>
    <w:rsid w:val="00D90931"/>
    <w:rsid w:val="00DA0C5D"/>
    <w:rsid w:val="00DC0B1C"/>
    <w:rsid w:val="00DD4D85"/>
    <w:rsid w:val="00E23E54"/>
    <w:rsid w:val="00E306CB"/>
    <w:rsid w:val="00E40CBC"/>
    <w:rsid w:val="00E41840"/>
    <w:rsid w:val="00E540BC"/>
    <w:rsid w:val="00E565C5"/>
    <w:rsid w:val="00E57043"/>
    <w:rsid w:val="00E5723B"/>
    <w:rsid w:val="00E667CB"/>
    <w:rsid w:val="00E750CC"/>
    <w:rsid w:val="00E82940"/>
    <w:rsid w:val="00E85F3F"/>
    <w:rsid w:val="00EA7527"/>
    <w:rsid w:val="00EB2C83"/>
    <w:rsid w:val="00EB476F"/>
    <w:rsid w:val="00EC136E"/>
    <w:rsid w:val="00EC2814"/>
    <w:rsid w:val="00EE150B"/>
    <w:rsid w:val="00EF09A7"/>
    <w:rsid w:val="00F0076E"/>
    <w:rsid w:val="00F118B1"/>
    <w:rsid w:val="00F136EE"/>
    <w:rsid w:val="00F22A71"/>
    <w:rsid w:val="00F27D86"/>
    <w:rsid w:val="00F46A54"/>
    <w:rsid w:val="00F5130C"/>
    <w:rsid w:val="00F65C09"/>
    <w:rsid w:val="00F70EC7"/>
    <w:rsid w:val="00F94113"/>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481B"/>
  <w15:docId w15:val="{F8074CCE-5C42-498B-AC77-391F5D2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www.kgf.com.tr/index.php/tr/desteklerimiz/kaynaklarimiz/hazine-mustesarligi-fonu" TargetMode="External"/><Relationship Id="rId1" Type="http://schemas.openxmlformats.org/officeDocument/2006/relationships/hyperlink" Target="http://www.kgf.com.tr/index.php/tr/bilgi-merkezi/rakamlarla-kg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gurcan.acar\Dropbox%20(Personal)\betam_buyume_degerlendirme\buy_deg_tablo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gurcan.acar\Dropbox%20(Personal)\betam_buyume_degerlendirme\buy_deg_tablol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etam_buyume_degerlendirme\buy_deg_tablo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'2017Q4'!$F$3</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'2017Q4'!$F$4:$F$9</c:f>
              <c:numCache>
                <c:formatCode>#,#00</c:formatCode>
                <c:ptCount val="6"/>
                <c:pt idx="0">
                  <c:v>3.9820319033239691</c:v>
                </c:pt>
                <c:pt idx="1">
                  <c:v>1.2008315711227999</c:v>
                </c:pt>
                <c:pt idx="2">
                  <c:v>1.8029987066923598</c:v>
                </c:pt>
                <c:pt idx="3">
                  <c:v>3.65526059297183</c:v>
                </c:pt>
                <c:pt idx="4">
                  <c:v>1.9757669313804</c:v>
                </c:pt>
                <c:pt idx="5">
                  <c:v>-5.4081238462064682</c:v>
                </c:pt>
              </c:numCache>
            </c:numRef>
          </c:val>
          <c:extLst>
            <c:ext xmlns:c16="http://schemas.microsoft.com/office/drawing/2014/chart" uri="{C3380CC4-5D6E-409C-BE32-E72D297353CC}">
              <c16:uniqueId val="{00000000-78F5-47FC-B547-27686018253E}"/>
            </c:ext>
          </c:extLst>
        </c:ser>
        <c:dLbls>
          <c:showLegendKey val="0"/>
          <c:showVal val="1"/>
          <c:showCatName val="0"/>
          <c:showSerName val="0"/>
          <c:showPercent val="0"/>
          <c:showBubbleSize val="0"/>
        </c:dLbls>
        <c:gapWidth val="219"/>
        <c:overlap val="-27"/>
        <c:axId val="92524928"/>
        <c:axId val="102886784"/>
      </c:barChart>
      <c:catAx>
        <c:axId val="9252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886784"/>
        <c:crosses val="autoZero"/>
        <c:auto val="1"/>
        <c:lblAlgn val="ctr"/>
        <c:lblOffset val="100"/>
        <c:noMultiLvlLbl val="0"/>
      </c:catAx>
      <c:valAx>
        <c:axId val="10288678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25249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'2017Q4'!$E$3</c:f>
              <c:strCache>
                <c:ptCount val="1"/>
                <c:pt idx="0">
                  <c:v>Değişim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'2017Q4'!$E$4:$E$10</c:f>
              <c:numCache>
                <c:formatCode>#,#00</c:formatCode>
                <c:ptCount val="6"/>
                <c:pt idx="0">
                  <c:v>6.643356643356646</c:v>
                </c:pt>
                <c:pt idx="1">
                  <c:v>7.4185765983111995</c:v>
                </c:pt>
                <c:pt idx="2">
                  <c:v>6.0567010309278375</c:v>
                </c:pt>
                <c:pt idx="3">
                  <c:v>9.2639593908629294</c:v>
                </c:pt>
                <c:pt idx="4">
                  <c:v>22.660996354799529</c:v>
                </c:pt>
                <c:pt idx="5">
                  <c:v>7.2087658592848936</c:v>
                </c:pt>
              </c:numCache>
              <c:extLst/>
            </c:numRef>
          </c:val>
          <c:extLst>
            <c:ext xmlns:c16="http://schemas.microsoft.com/office/drawing/2014/chart" uri="{C3380CC4-5D6E-409C-BE32-E72D297353CC}">
              <c16:uniqueId val="{00000000-DA17-4464-B87B-E0D11E2DD403}"/>
            </c:ext>
          </c:extLst>
        </c:ser>
        <c:dLbls>
          <c:showLegendKey val="0"/>
          <c:showVal val="1"/>
          <c:showCatName val="0"/>
          <c:showSerName val="0"/>
          <c:showPercent val="0"/>
          <c:showBubbleSize val="0"/>
        </c:dLbls>
        <c:gapWidth val="219"/>
        <c:overlap val="-27"/>
        <c:axId val="90712320"/>
        <c:axId val="90756224"/>
      </c:barChart>
      <c:catAx>
        <c:axId val="9071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0756224"/>
        <c:crosses val="autoZero"/>
        <c:auto val="1"/>
        <c:lblAlgn val="ctr"/>
        <c:lblOffset val="100"/>
        <c:noMultiLvlLbl val="0"/>
      </c:catAx>
      <c:valAx>
        <c:axId val="9075622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071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'2017Q4'!$E$24</c:f>
              <c:strCache>
                <c:ptCount val="1"/>
                <c:pt idx="0">
                  <c:v>Yıllık değişim</c:v>
                </c:pt>
              </c:strCache>
            </c:strRef>
          </c:tx>
          <c:spPr>
            <a:solidFill>
              <a:schemeClr val="accent1"/>
            </a:solidFill>
            <a:ln>
              <a:noFill/>
            </a:ln>
            <a:effectLst/>
          </c:spPr>
          <c:invertIfNegative val="0"/>
          <c:cat>
            <c:strRef>
              <c:f>'2017Q4'!$A$29:$A$48</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'2017Q4'!$E$29:$E$48</c:f>
              <c:numCache>
                <c:formatCode>#,#00</c:formatCode>
                <c:ptCount val="20"/>
                <c:pt idx="0">
                  <c:v>8.4931506849315017</c:v>
                </c:pt>
                <c:pt idx="1">
                  <c:v>9.7879282218596959</c:v>
                </c:pt>
                <c:pt idx="2">
                  <c:v>8.9311859443631079</c:v>
                </c:pt>
                <c:pt idx="3">
                  <c:v>6.8814055636896114</c:v>
                </c:pt>
                <c:pt idx="4">
                  <c:v>8.6700336700336713</c:v>
                </c:pt>
                <c:pt idx="5">
                  <c:v>2.8974739970282428</c:v>
                </c:pt>
                <c:pt idx="6">
                  <c:v>3.6290322580645027</c:v>
                </c:pt>
                <c:pt idx="7">
                  <c:v>5.958904109589036</c:v>
                </c:pt>
                <c:pt idx="8">
                  <c:v>3.5631293570875378</c:v>
                </c:pt>
                <c:pt idx="9">
                  <c:v>7.1480144404332258</c:v>
                </c:pt>
                <c:pt idx="10">
                  <c:v>5.836575875486381</c:v>
                </c:pt>
                <c:pt idx="11">
                  <c:v>7.498383968972222</c:v>
                </c:pt>
                <c:pt idx="12">
                  <c:v>4.7868362004487741</c:v>
                </c:pt>
                <c:pt idx="13">
                  <c:v>4.9191374663072533</c:v>
                </c:pt>
                <c:pt idx="14">
                  <c:v>-0.85784313725488825</c:v>
                </c:pt>
                <c:pt idx="15">
                  <c:v>4.2693926638604829</c:v>
                </c:pt>
                <c:pt idx="16">
                  <c:v>5.4246966452533814</c:v>
                </c:pt>
                <c:pt idx="17">
                  <c:v>5.3949903660886349</c:v>
                </c:pt>
                <c:pt idx="18">
                  <c:v>11.310259579728051</c:v>
                </c:pt>
                <c:pt idx="19">
                  <c:v>7.2087658592848936</c:v>
                </c:pt>
              </c:numCache>
            </c:numRef>
          </c:val>
          <c:extLst>
            <c:ext xmlns:c16="http://schemas.microsoft.com/office/drawing/2014/chart" uri="{C3380CC4-5D6E-409C-BE32-E72D297353CC}">
              <c16:uniqueId val="{00000000-EA1B-4790-99FE-301A84D9BE78}"/>
            </c:ext>
          </c:extLst>
        </c:ser>
        <c:dLbls>
          <c:showLegendKey val="0"/>
          <c:showVal val="0"/>
          <c:showCatName val="0"/>
          <c:showSerName val="0"/>
          <c:showPercent val="0"/>
          <c:showBubbleSize val="0"/>
        </c:dLbls>
        <c:gapWidth val="75"/>
        <c:overlap val="-25"/>
        <c:axId val="187586432"/>
        <c:axId val="187587968"/>
      </c:barChart>
      <c:lineChart>
        <c:grouping val="standard"/>
        <c:varyColors val="0"/>
        <c:ser>
          <c:idx val="1"/>
          <c:order val="1"/>
          <c:tx>
            <c:strRef>
              <c:f>'2017Q4'!$F$24</c:f>
              <c:strCache>
                <c:ptCount val="1"/>
                <c:pt idx="0">
                  <c:v>Çeyreklik değişim</c:v>
                </c:pt>
              </c:strCache>
            </c:strRef>
          </c:tx>
          <c:spPr>
            <a:ln w="25400" cap="rnd">
              <a:solidFill>
                <a:schemeClr val="tx1"/>
              </a:solidFill>
              <a:round/>
            </a:ln>
            <a:effectLst/>
          </c:spPr>
          <c:marker>
            <c:symbol val="none"/>
          </c:marker>
          <c:cat>
            <c:strRef>
              <c:f>'2017Q4'!$A$29:$A$48</c:f>
              <c:strCache>
                <c:ptCount val="20"/>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strCache>
            </c:strRef>
          </c:cat>
          <c:val>
            <c:numRef>
              <c:f>'2017Q4'!$F$29:$F$48</c:f>
              <c:numCache>
                <c:formatCode>#,#00</c:formatCode>
                <c:ptCount val="20"/>
                <c:pt idx="0">
                  <c:v>3.6208473643695607</c:v>
                </c:pt>
                <c:pt idx="1">
                  <c:v>2.6178718129820098</c:v>
                </c:pt>
                <c:pt idx="2">
                  <c:v>1.3467776232332311</c:v>
                </c:pt>
                <c:pt idx="3">
                  <c:v>0.7323027399487092</c:v>
                </c:pt>
                <c:pt idx="4">
                  <c:v>2.6644199701576952</c:v>
                </c:pt>
                <c:pt idx="5">
                  <c:v>-1.5498061970789394</c:v>
                </c:pt>
                <c:pt idx="6">
                  <c:v>2.3568373717736337</c:v>
                </c:pt>
                <c:pt idx="7">
                  <c:v>1.494892512565249</c:v>
                </c:pt>
                <c:pt idx="8">
                  <c:v>1.9138233500613384</c:v>
                </c:pt>
                <c:pt idx="9">
                  <c:v>1.4760777205564681</c:v>
                </c:pt>
                <c:pt idx="10">
                  <c:v>1.2793090679439119</c:v>
                </c:pt>
                <c:pt idx="11">
                  <c:v>0.94202517597088442</c:v>
                </c:pt>
                <c:pt idx="12">
                  <c:v>0.64336542478962144</c:v>
                </c:pt>
                <c:pt idx="13">
                  <c:v>1.2719491919117809</c:v>
                </c:pt>
                <c:pt idx="14">
                  <c:v>-2.5189777727543397</c:v>
                </c:pt>
                <c:pt idx="15">
                  <c:v>4.6884139786342649</c:v>
                </c:pt>
                <c:pt idx="16">
                  <c:v>1.8269411455545059</c:v>
                </c:pt>
                <c:pt idx="17">
                  <c:v>2.3272053370412267</c:v>
                </c:pt>
                <c:pt idx="18">
                  <c:v>1.2921538886925048</c:v>
                </c:pt>
                <c:pt idx="19">
                  <c:v>1.7815327636437233</c:v>
                </c:pt>
              </c:numCache>
            </c:numRef>
          </c:val>
          <c:smooth val="0"/>
          <c:extLst>
            <c:ext xmlns:c16="http://schemas.microsoft.com/office/drawing/2014/chart" uri="{C3380CC4-5D6E-409C-BE32-E72D297353CC}">
              <c16:uniqueId val="{00000001-EA1B-4790-99FE-301A84D9BE78}"/>
            </c:ext>
          </c:extLst>
        </c:ser>
        <c:dLbls>
          <c:showLegendKey val="0"/>
          <c:showVal val="0"/>
          <c:showCatName val="0"/>
          <c:showSerName val="0"/>
          <c:showPercent val="0"/>
          <c:showBubbleSize val="0"/>
        </c:dLbls>
        <c:marker val="1"/>
        <c:smooth val="0"/>
        <c:axId val="187586432"/>
        <c:axId val="187587968"/>
      </c:lineChart>
      <c:catAx>
        <c:axId val="18758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87587968"/>
        <c:crosses val="autoZero"/>
        <c:auto val="1"/>
        <c:lblAlgn val="ctr"/>
        <c:lblOffset val="100"/>
        <c:noMultiLvlLbl val="0"/>
      </c:catAx>
      <c:valAx>
        <c:axId val="187587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758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0C6C-BF29-4B22-BDEA-224D90E6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1163</Words>
  <Characters>6631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merve.akgul</cp:lastModifiedBy>
  <cp:revision>3</cp:revision>
  <cp:lastPrinted>2017-12-14T09:18:00Z</cp:lastPrinted>
  <dcterms:created xsi:type="dcterms:W3CDTF">2018-04-03T05:28:00Z</dcterms:created>
  <dcterms:modified xsi:type="dcterms:W3CDTF">2018-04-03T08:30:00Z</dcterms:modified>
</cp:coreProperties>
</file>