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4ECED3" w14:textId="0291B6E0" w:rsidR="008A0C5D" w:rsidRPr="00DA4693" w:rsidRDefault="00414469" w:rsidP="00414469">
      <w:pPr>
        <w:pStyle w:val="Heading2"/>
        <w:tabs>
          <w:tab w:val="left" w:pos="8903"/>
          <w:tab w:val="right" w:pos="9070"/>
        </w:tabs>
        <w:ind w:left="6372"/>
        <w:rPr>
          <w:rFonts w:eastAsiaTheme="minorHAnsi"/>
          <w:color w:val="FF0000"/>
          <w:lang w:val="tr-TR" w:eastAsia="en-US"/>
        </w:rPr>
      </w:pPr>
      <w:r w:rsidRPr="009D7B6F">
        <w:rPr>
          <w:noProof/>
          <w:szCs w:val="22"/>
          <w:lang w:eastAsia="tr-TR"/>
        </w:rPr>
        <w:drawing>
          <wp:anchor distT="0" distB="0" distL="114300" distR="114300" simplePos="0" relativeHeight="251660800" behindDoc="1" locked="0" layoutInCell="1" allowOverlap="1" wp14:anchorId="53CAFBDC" wp14:editId="71F5599E">
            <wp:simplePos x="0" y="0"/>
            <wp:positionH relativeFrom="column">
              <wp:posOffset>-733425</wp:posOffset>
            </wp:positionH>
            <wp:positionV relativeFrom="paragraph">
              <wp:posOffset>-715010</wp:posOffset>
            </wp:positionV>
            <wp:extent cx="7229475" cy="1322070"/>
            <wp:effectExtent l="19050" t="0" r="9525" b="0"/>
            <wp:wrapNone/>
            <wp:docPr id="18"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7" cstate="print"/>
                    <a:srcRect/>
                    <a:stretch>
                      <a:fillRect/>
                    </a:stretch>
                  </pic:blipFill>
                  <pic:spPr bwMode="auto">
                    <a:xfrm>
                      <a:off x="0" y="0"/>
                      <a:ext cx="7229475" cy="1322070"/>
                    </a:xfrm>
                    <a:prstGeom prst="rect">
                      <a:avLst/>
                    </a:prstGeom>
                    <a:noFill/>
                  </pic:spPr>
                </pic:pic>
              </a:graphicData>
            </a:graphic>
          </wp:anchor>
        </w:drawing>
      </w:r>
      <w:r>
        <w:rPr>
          <w:noProof/>
          <w:szCs w:val="22"/>
          <w:lang w:eastAsia="tr-TR"/>
        </w:rPr>
        <mc:AlternateContent>
          <mc:Choice Requires="wps">
            <w:drawing>
              <wp:anchor distT="0" distB="0" distL="114935" distR="114935" simplePos="0" relativeHeight="251662848" behindDoc="0" locked="0" layoutInCell="1" allowOverlap="1" wp14:anchorId="6457A415" wp14:editId="04584ED7">
                <wp:simplePos x="0" y="0"/>
                <wp:positionH relativeFrom="column">
                  <wp:posOffset>1671320</wp:posOffset>
                </wp:positionH>
                <wp:positionV relativeFrom="paragraph">
                  <wp:posOffset>-528955</wp:posOffset>
                </wp:positionV>
                <wp:extent cx="3963670" cy="466725"/>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466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7E9E42" w14:textId="14D26135" w:rsidR="00414469" w:rsidRPr="00414469" w:rsidRDefault="00414469" w:rsidP="00414469">
                            <w:pPr>
                              <w:pStyle w:val="Heading1"/>
                              <w:jc w:val="left"/>
                              <w:rPr>
                                <w:b/>
                                <w:color w:val="auto"/>
                                <w:sz w:val="52"/>
                                <w:szCs w:val="52"/>
                                <w:lang w:val="en-GB"/>
                              </w:rPr>
                            </w:pPr>
                            <w:r>
                              <w:rPr>
                                <w:b/>
                                <w:color w:val="auto"/>
                                <w:sz w:val="52"/>
                                <w:szCs w:val="52"/>
                                <w:lang w:val="en-GB"/>
                              </w:rPr>
                              <w:t>Research Note 18</w:t>
                            </w:r>
                            <w:r w:rsidRPr="00414469">
                              <w:rPr>
                                <w:b/>
                                <w:color w:val="auto"/>
                                <w:sz w:val="52"/>
                                <w:szCs w:val="52"/>
                                <w:lang w:val="en-GB"/>
                              </w:rPr>
                              <w:t>/</w:t>
                            </w:r>
                            <w:r>
                              <w:rPr>
                                <w:b/>
                                <w:color w:val="auto"/>
                                <w:sz w:val="52"/>
                                <w:szCs w:val="52"/>
                                <w:lang w:val="en-GB"/>
                              </w:rPr>
                              <w:t>222</w:t>
                            </w:r>
                          </w:p>
                          <w:p w14:paraId="308A2EAE" w14:textId="77777777" w:rsidR="00414469" w:rsidRPr="00B54C13" w:rsidRDefault="00414469" w:rsidP="00414469">
                            <w:pPr>
                              <w:pStyle w:val="Heading2"/>
                              <w:rPr>
                                <w:b w:val="0"/>
                                <w:bCs w:val="0"/>
                                <w:i/>
                                <w:iCs w:val="0"/>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7A415" id="_x0000_t202" coordsize="21600,21600" o:spt="202" path="m,l,21600r21600,l21600,xe">
                <v:stroke joinstyle="miter"/>
                <v:path gradientshapeok="t" o:connecttype="rect"/>
              </v:shapetype>
              <v:shape id="Text Box 3" o:spid="_x0000_s1026" type="#_x0000_t202" style="position:absolute;left:0;text-align:left;margin-left:131.6pt;margin-top:-41.65pt;width:312.1pt;height:36.7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5UnigIAAB0FAAAOAAAAZHJzL2Uyb0RvYy54bWysVG1v2yAQ/j5p/wHxPbWdOk5s1an6skyT&#10;uhep3Q8gBsdoGBiQ2N20/74D4rTdNGma5g/4gOPhubvnuLgce4EOzFiuZI2zsxQjJhtFudzV+PPD&#10;ZrbCyDoiKRFKsho/Mosv169fXQy6YnPVKUGZQQAibTXoGnfO6SpJbNOxntgzpZmEzVaZnjiYml1C&#10;DRkAvRfJPE2LZFCGaqMaZi2s3sZNvA74bcsa97FtLXNI1Bi4uTCaMG79mKwvSLUzRHe8OdIg/8Ci&#10;J1zCpSeoW+II2hv+G1TPG6Osat1Zo/pEtS1vWIgBosnSX6K574hmIRZIjtWnNNn/B9t8OHwyiFOo&#10;3QIjSXqo0QMbHbpWIzr36Rm0rcDrXoOfG2EZXEOoVt+p5otFUt10RO7YlTFq6BihQC/zJ5NnRyOO&#10;9SDb4b2icA3ZOxWAxtb0PneQDQToUKbHU2k8lQYWz8vivFjCVgN7eVEs54twBamm09pY95apHnmj&#10;xgZKH9DJ4c46z4ZUk4u/zCrB6YYLESZmt70RBh0IyGQTvnhW6I7E1SAVwLDRNeC9wBDSI0nlMeN1&#10;cQUiAAJ+z8cSNPG9zOZ5ej0vZ5titZzlm3wxK5fpapZm5XVZpHmZ325+eAZZXnWcUibvuGSTPrP8&#10;7+p/7JSorKBQNNS4XEDqQtB/zEAavmN+XwTZcwftKnhf49XJiVS+6m8khbBJ5QgX0U5e0g8pgxxM&#10;/5CVoBEviygQN25HQPHC2Sr6CGoxCooJdYc3BoxOmW8YDdCvNbZf98QwjMQ7CYrzzT0ZZjK2k0Fk&#10;A0dr7DCK5o2Lj8BeG77rADlqWqorUGXLg2CeWABlP4EeDOSP74Vv8ufz4PX0qq1/AgAA//8DAFBL&#10;AwQUAAYACAAAACEAD621vt4AAAAKAQAADwAAAGRycy9kb3ducmV2LnhtbEyPwU7DMAyG70i8Q2Qk&#10;bltKi7asNJ1gCK6IgrRr1npN1capmmwrb485saPtT7+/v9jObhBnnELnScPDMgGBVPumo1bD99fb&#10;QoEI0VBjBk+o4QcDbMvbm8Lkjb/QJ56r2AoOoZAbDTbGMZcy1BadCUs/IvHt6CdnIo9TK5vJXDjc&#10;DTJNkpV0piP+YM2IO4t1X52chuwjXe/De/W6G/e46VV46Y9ktb6/m5+fQESc4z8Mf/qsDiU7HfyJ&#10;miAGDekqSxnVsFBZBoIJpdaPIA682SiQZSGvK5S/AAAA//8DAFBLAQItABQABgAIAAAAIQC2gziS&#10;/gAAAOEBAAATAAAAAAAAAAAAAAAAAAAAAABbQ29udGVudF9UeXBlc10ueG1sUEsBAi0AFAAGAAgA&#10;AAAhADj9If/WAAAAlAEAAAsAAAAAAAAAAAAAAAAALwEAAF9yZWxzLy5yZWxzUEsBAi0AFAAGAAgA&#10;AAAhACpDlSeKAgAAHQUAAA4AAAAAAAAAAAAAAAAALgIAAGRycy9lMm9Eb2MueG1sUEsBAi0AFAAG&#10;AAgAAAAhAA+ttb7eAAAACgEAAA8AAAAAAAAAAAAAAAAA5AQAAGRycy9kb3ducmV2LnhtbFBLBQYA&#10;AAAABAAEAPMAAADvBQAAAAA=&#10;" stroked="f">
                <v:fill opacity="0"/>
                <v:textbox inset="0,0,0,0">
                  <w:txbxContent>
                    <w:p w14:paraId="4C7E9E42" w14:textId="14D26135" w:rsidR="00414469" w:rsidRPr="00414469" w:rsidRDefault="00414469" w:rsidP="00414469">
                      <w:pPr>
                        <w:pStyle w:val="Heading1"/>
                        <w:jc w:val="left"/>
                        <w:rPr>
                          <w:b/>
                          <w:color w:val="auto"/>
                          <w:sz w:val="52"/>
                          <w:szCs w:val="52"/>
                          <w:lang w:val="en-GB"/>
                        </w:rPr>
                      </w:pPr>
                      <w:r>
                        <w:rPr>
                          <w:b/>
                          <w:color w:val="auto"/>
                          <w:sz w:val="52"/>
                          <w:szCs w:val="52"/>
                          <w:lang w:val="en-GB"/>
                        </w:rPr>
                        <w:t>Research Note 18</w:t>
                      </w:r>
                      <w:r w:rsidRPr="00414469">
                        <w:rPr>
                          <w:b/>
                          <w:color w:val="auto"/>
                          <w:sz w:val="52"/>
                          <w:szCs w:val="52"/>
                          <w:lang w:val="en-GB"/>
                        </w:rPr>
                        <w:t>/</w:t>
                      </w:r>
                      <w:r>
                        <w:rPr>
                          <w:b/>
                          <w:color w:val="auto"/>
                          <w:sz w:val="52"/>
                          <w:szCs w:val="52"/>
                          <w:lang w:val="en-GB"/>
                        </w:rPr>
                        <w:t>222</w:t>
                      </w:r>
                    </w:p>
                    <w:p w14:paraId="308A2EAE" w14:textId="77777777" w:rsidR="00414469" w:rsidRPr="00B54C13" w:rsidRDefault="00414469" w:rsidP="00414469">
                      <w:pPr>
                        <w:pStyle w:val="Heading2"/>
                        <w:rPr>
                          <w:b w:val="0"/>
                          <w:bCs w:val="0"/>
                          <w:i/>
                          <w:iCs w:val="0"/>
                          <w:lang w:val="tr-TR"/>
                        </w:rPr>
                      </w:pPr>
                    </w:p>
                  </w:txbxContent>
                </v:textbox>
              </v:shape>
            </w:pict>
          </mc:Fallback>
        </mc:AlternateContent>
      </w:r>
      <w:r w:rsidR="003D5470" w:rsidRPr="00DA4693">
        <w:rPr>
          <w:rFonts w:eastAsiaTheme="minorHAnsi"/>
          <w:color w:val="FF0000"/>
          <w:lang w:val="tr-TR" w:eastAsia="en-US"/>
        </w:rPr>
        <w:tab/>
      </w:r>
      <w:r>
        <w:rPr>
          <w:rFonts w:ascii="Arial" w:hAnsi="Arial"/>
          <w:color w:val="FFFFFF" w:themeColor="background1"/>
          <w:szCs w:val="22"/>
        </w:rPr>
        <w:t xml:space="preserve">  </w:t>
      </w:r>
      <w:r w:rsidR="00D37932" w:rsidRPr="00DA4693">
        <w:rPr>
          <w:rFonts w:eastAsiaTheme="minorHAnsi"/>
          <w:color w:val="FF0000"/>
          <w:lang w:val="tr-TR" w:eastAsia="en-US"/>
        </w:rPr>
        <w:tab/>
      </w:r>
    </w:p>
    <w:p w14:paraId="1461370B" w14:textId="7D0A3D6C" w:rsidR="008A0C5D" w:rsidRPr="00DA4693" w:rsidRDefault="00414469" w:rsidP="00414469">
      <w:pPr>
        <w:tabs>
          <w:tab w:val="left" w:pos="8265"/>
          <w:tab w:val="right" w:pos="9070"/>
        </w:tabs>
        <w:rPr>
          <w:rFonts w:eastAsiaTheme="minorHAnsi"/>
          <w:color w:val="FF0000"/>
          <w:lang w:eastAsia="en-US"/>
        </w:rPr>
      </w:pPr>
      <w:r>
        <w:rPr>
          <w:rFonts w:eastAsiaTheme="minorHAnsi"/>
          <w:color w:val="FF0000"/>
          <w:lang w:eastAsia="en-US"/>
        </w:rPr>
        <w:tab/>
      </w:r>
      <w:r w:rsidRPr="00414469">
        <w:rPr>
          <w:rFonts w:eastAsiaTheme="minorHAnsi"/>
          <w:b/>
          <w:color w:val="FF0000"/>
          <w:lang w:eastAsia="en-US"/>
        </w:rPr>
        <w:tab/>
      </w:r>
      <w:r w:rsidRPr="00414469">
        <w:rPr>
          <w:rFonts w:ascii="Arial" w:hAnsi="Arial"/>
          <w:b/>
          <w:color w:val="FFFFFF" w:themeColor="background1"/>
          <w:szCs w:val="22"/>
        </w:rPr>
        <w:t>8</w:t>
      </w:r>
      <w:r>
        <w:rPr>
          <w:rFonts w:ascii="Arial" w:hAnsi="Arial"/>
          <w:b/>
          <w:color w:val="FFFFFF" w:themeColor="background1"/>
          <w:szCs w:val="22"/>
          <w:lang w:val="en-GB"/>
        </w:rPr>
        <w:t xml:space="preserve"> February</w:t>
      </w:r>
      <w:r w:rsidRPr="009D7B6F">
        <w:rPr>
          <w:rFonts w:ascii="Arial" w:hAnsi="Arial"/>
          <w:b/>
          <w:color w:val="FFFFFF" w:themeColor="background1"/>
          <w:szCs w:val="22"/>
          <w:lang w:val="en-GB"/>
        </w:rPr>
        <w:t xml:space="preserve"> 2018</w:t>
      </w:r>
    </w:p>
    <w:p w14:paraId="060E690A" w14:textId="2C323F36" w:rsidR="00DA4693" w:rsidRPr="00DA4693" w:rsidRDefault="003B1D45" w:rsidP="00DA4693">
      <w:pPr>
        <w:jc w:val="center"/>
        <w:rPr>
          <w:b/>
          <w:color w:val="FF0000"/>
          <w:sz w:val="32"/>
          <w:szCs w:val="32"/>
          <w:lang w:val="en-GB"/>
        </w:rPr>
      </w:pPr>
      <w:r w:rsidRPr="0041348B">
        <w:rPr>
          <w:b/>
          <w:sz w:val="32"/>
          <w:szCs w:val="32"/>
          <w:lang w:val="en-GB"/>
        </w:rPr>
        <w:t>The effect of minimum wage hike on informality is concentrated on low-wage sectors</w:t>
      </w:r>
      <w:r w:rsidR="00DA4693" w:rsidRPr="0041348B">
        <w:rPr>
          <w:b/>
          <w:sz w:val="32"/>
          <w:szCs w:val="32"/>
          <w:lang w:val="en-GB"/>
        </w:rPr>
        <w:t xml:space="preserve"> </w:t>
      </w:r>
    </w:p>
    <w:p w14:paraId="71E0546F" w14:textId="5A7500A0" w:rsidR="00DA4693" w:rsidRPr="00DA4693" w:rsidRDefault="00DA4693" w:rsidP="00DA4693">
      <w:pPr>
        <w:spacing w:before="120"/>
        <w:jc w:val="center"/>
        <w:rPr>
          <w:b/>
          <w:bCs/>
          <w:szCs w:val="22"/>
          <w:lang w:val="en-GB"/>
        </w:rPr>
      </w:pPr>
      <w:r w:rsidRPr="00DA4693">
        <w:rPr>
          <w:b/>
          <w:bCs/>
          <w:szCs w:val="22"/>
          <w:lang w:val="en-GB"/>
        </w:rPr>
        <w:t>Seyfettin Gürsel</w:t>
      </w:r>
      <w:r w:rsidRPr="00DA4693">
        <w:rPr>
          <w:rStyle w:val="FootnoteReference"/>
          <w:b/>
          <w:bCs/>
          <w:szCs w:val="22"/>
          <w:lang w:val="en-GB"/>
        </w:rPr>
        <w:footnoteReference w:customMarkFollows="1" w:id="1"/>
        <w:t>*</w:t>
      </w:r>
      <w:r w:rsidRPr="00DA4693">
        <w:rPr>
          <w:b/>
          <w:bCs/>
          <w:szCs w:val="22"/>
          <w:lang w:val="en-GB"/>
        </w:rPr>
        <w:t>, Ozan Bakış</w:t>
      </w:r>
      <w:r w:rsidRPr="00DA4693">
        <w:rPr>
          <w:rStyle w:val="FootnoteReference"/>
          <w:b/>
          <w:bCs/>
          <w:szCs w:val="22"/>
          <w:lang w:val="en-GB"/>
        </w:rPr>
        <w:footnoteReference w:customMarkFollows="1" w:id="2"/>
        <w:sym w:font="Symbol" w:char="F02A"/>
      </w:r>
      <w:r w:rsidRPr="00DA4693">
        <w:rPr>
          <w:rStyle w:val="FootnoteReference"/>
          <w:b/>
          <w:bCs/>
          <w:szCs w:val="22"/>
          <w:lang w:val="en-GB"/>
        </w:rPr>
        <w:sym w:font="Symbol" w:char="F02A"/>
      </w:r>
      <w:r w:rsidRPr="00DA4693">
        <w:rPr>
          <w:rStyle w:val="FootnoteReference"/>
          <w:b/>
          <w:bCs/>
          <w:szCs w:val="22"/>
          <w:lang w:val="en-GB"/>
        </w:rPr>
        <w:t xml:space="preserve"> </w:t>
      </w:r>
      <w:r w:rsidR="00A62CA6">
        <w:rPr>
          <w:b/>
          <w:bCs/>
          <w:szCs w:val="22"/>
          <w:lang w:val="en-GB"/>
        </w:rPr>
        <w:t>and</w:t>
      </w:r>
      <w:r w:rsidRPr="00DA4693">
        <w:rPr>
          <w:b/>
          <w:bCs/>
          <w:szCs w:val="22"/>
          <w:lang w:val="en-GB"/>
        </w:rPr>
        <w:t xml:space="preserve"> Yazgı Genç***</w:t>
      </w:r>
    </w:p>
    <w:p w14:paraId="4614222E" w14:textId="77777777" w:rsidR="00DA4693" w:rsidRPr="00DA4693" w:rsidRDefault="00DA4693" w:rsidP="00DA4693">
      <w:pPr>
        <w:pStyle w:val="Heading2"/>
        <w:jc w:val="center"/>
      </w:pPr>
      <w:r w:rsidRPr="00DA4693">
        <w:t xml:space="preserve">Executive Summary </w:t>
      </w:r>
    </w:p>
    <w:p w14:paraId="489E11E8" w14:textId="3546995B" w:rsidR="00DA4693" w:rsidRPr="00DA4693" w:rsidRDefault="00DA4693" w:rsidP="00DA4693">
      <w:pPr>
        <w:ind w:left="567" w:right="567"/>
        <w:rPr>
          <w:rFonts w:eastAsiaTheme="minorHAnsi"/>
          <w:lang w:val="en-GB" w:eastAsia="en-US"/>
        </w:rPr>
      </w:pPr>
      <w:r w:rsidRPr="00DA4693">
        <w:rPr>
          <w:rFonts w:eastAsiaTheme="minorHAnsi"/>
          <w:lang w:val="en-GB" w:eastAsia="en-US"/>
        </w:rPr>
        <w:t xml:space="preserve">In the research note we published earlier </w:t>
      </w:r>
      <w:r w:rsidR="00505214">
        <w:rPr>
          <w:rFonts w:eastAsiaTheme="minorHAnsi"/>
          <w:lang w:val="en-GB" w:eastAsia="en-US"/>
        </w:rPr>
        <w:t xml:space="preserve">(see </w:t>
      </w:r>
      <w:r w:rsidR="00505214">
        <w:rPr>
          <w:szCs w:val="22"/>
          <w:lang w:val="en-GB" w:eastAsia="tr-TR"/>
        </w:rPr>
        <w:t>Betam Research Note 18/220,</w:t>
      </w:r>
      <w:r w:rsidR="00505214" w:rsidRPr="00DA4693">
        <w:rPr>
          <w:rFonts w:eastAsiaTheme="minorHAnsi"/>
          <w:lang w:val="en-GB" w:eastAsia="en-US"/>
        </w:rPr>
        <w:t xml:space="preserve"> </w:t>
      </w:r>
      <w:r w:rsidRPr="00DA4693">
        <w:rPr>
          <w:rFonts w:eastAsiaTheme="minorHAnsi"/>
          <w:lang w:val="en-GB" w:eastAsia="en-US"/>
        </w:rPr>
        <w:t xml:space="preserve">“Minimum wage </w:t>
      </w:r>
      <w:r w:rsidR="005B14CF">
        <w:rPr>
          <w:rFonts w:eastAsiaTheme="minorHAnsi"/>
          <w:lang w:val="en-GB" w:eastAsia="en-US"/>
        </w:rPr>
        <w:t xml:space="preserve">affects formal employment </w:t>
      </w:r>
      <w:r w:rsidRPr="00DA4693">
        <w:rPr>
          <w:rFonts w:eastAsiaTheme="minorHAnsi"/>
          <w:lang w:val="en-GB" w:eastAsia="en-US"/>
        </w:rPr>
        <w:t>negati</w:t>
      </w:r>
      <w:r w:rsidR="005B14CF">
        <w:rPr>
          <w:rFonts w:eastAsiaTheme="minorHAnsi"/>
          <w:lang w:val="en-GB" w:eastAsia="en-US"/>
        </w:rPr>
        <w:t>vely</w:t>
      </w:r>
      <w:bookmarkStart w:id="0" w:name="_GoBack"/>
      <w:bookmarkEnd w:id="0"/>
      <w:r w:rsidRPr="00DA4693">
        <w:rPr>
          <w:rFonts w:eastAsiaTheme="minorHAnsi"/>
          <w:lang w:val="en-GB" w:eastAsia="en-US"/>
        </w:rPr>
        <w:t>”</w:t>
      </w:r>
      <w:r w:rsidR="00505214">
        <w:rPr>
          <w:rFonts w:eastAsiaTheme="minorHAnsi"/>
          <w:lang w:val="en-GB" w:eastAsia="en-US"/>
        </w:rPr>
        <w:t>)</w:t>
      </w:r>
      <w:r w:rsidRPr="00DA4693">
        <w:rPr>
          <w:rFonts w:eastAsiaTheme="minorHAnsi"/>
          <w:lang w:val="en-GB" w:eastAsia="en-US"/>
        </w:rPr>
        <w:t>, the effect of the increase in minimum wage on i</w:t>
      </w:r>
      <w:r w:rsidR="00505214">
        <w:rPr>
          <w:rFonts w:eastAsiaTheme="minorHAnsi"/>
          <w:lang w:val="en-GB" w:eastAsia="en-US"/>
        </w:rPr>
        <w:t xml:space="preserve">nformal employment was analysed for both wage and non-wage earners </w:t>
      </w:r>
      <w:r w:rsidRPr="00DA4693">
        <w:rPr>
          <w:rFonts w:eastAsiaTheme="minorHAnsi"/>
          <w:lang w:val="en-GB" w:eastAsia="en-US"/>
        </w:rPr>
        <w:t>(employer, own account worker and free family</w:t>
      </w:r>
      <w:r w:rsidR="00505214">
        <w:rPr>
          <w:rFonts w:eastAsiaTheme="minorHAnsi"/>
          <w:lang w:val="en-GB" w:eastAsia="en-US"/>
        </w:rPr>
        <w:t xml:space="preserve"> worker)</w:t>
      </w:r>
      <w:r w:rsidRPr="00DA4693">
        <w:rPr>
          <w:rFonts w:eastAsiaTheme="minorHAnsi"/>
          <w:lang w:val="en-GB" w:eastAsia="en-US"/>
        </w:rPr>
        <w:t xml:space="preserve">. </w:t>
      </w:r>
      <w:r w:rsidR="00505214">
        <w:rPr>
          <w:rFonts w:eastAsiaTheme="minorHAnsi"/>
          <w:lang w:val="en-GB" w:eastAsia="en-US"/>
        </w:rPr>
        <w:t>W</w:t>
      </w:r>
      <w:r w:rsidRPr="00DA4693">
        <w:rPr>
          <w:rFonts w:eastAsiaTheme="minorHAnsi"/>
          <w:lang w:val="en-GB" w:eastAsia="en-US"/>
        </w:rPr>
        <w:t>e observed that effect of minimum wage increase is positive especially for non-</w:t>
      </w:r>
      <w:r w:rsidR="00505214">
        <w:rPr>
          <w:rFonts w:eastAsiaTheme="minorHAnsi"/>
          <w:lang w:val="en-GB" w:eastAsia="en-US"/>
        </w:rPr>
        <w:t>wage earners</w:t>
      </w:r>
      <w:r w:rsidRPr="00DA4693">
        <w:rPr>
          <w:rFonts w:eastAsiaTheme="minorHAnsi"/>
          <w:lang w:val="en-GB" w:eastAsia="en-US"/>
        </w:rPr>
        <w:t xml:space="preserve">. </w:t>
      </w:r>
    </w:p>
    <w:p w14:paraId="7321BC5A" w14:textId="502320EC" w:rsidR="00DA4693" w:rsidRPr="00DA4693" w:rsidRDefault="00DA4693" w:rsidP="00DA4693">
      <w:pPr>
        <w:ind w:left="567" w:right="567"/>
        <w:rPr>
          <w:rFonts w:eastAsiaTheme="minorHAnsi"/>
          <w:lang w:val="en-GB" w:eastAsia="en-US"/>
        </w:rPr>
      </w:pPr>
      <w:r w:rsidRPr="00DA4693">
        <w:rPr>
          <w:rFonts w:eastAsiaTheme="minorHAnsi"/>
          <w:lang w:val="en-GB" w:eastAsia="en-US"/>
        </w:rPr>
        <w:t xml:space="preserve">In </w:t>
      </w:r>
      <w:r w:rsidR="00505214">
        <w:rPr>
          <w:rFonts w:eastAsiaTheme="minorHAnsi"/>
          <w:lang w:val="en-GB" w:eastAsia="en-US"/>
        </w:rPr>
        <w:t>this</w:t>
      </w:r>
      <w:r w:rsidRPr="00DA4693">
        <w:rPr>
          <w:rFonts w:eastAsiaTheme="minorHAnsi"/>
          <w:lang w:val="en-GB" w:eastAsia="en-US"/>
        </w:rPr>
        <w:t xml:space="preserve"> research note, we are examining the effect of minimum wage on informal employment at the sector level by using the most up</w:t>
      </w:r>
      <w:r w:rsidR="000E5BBB">
        <w:rPr>
          <w:rFonts w:eastAsiaTheme="minorHAnsi"/>
          <w:lang w:val="en-GB" w:eastAsia="en-US"/>
        </w:rPr>
        <w:t>-to-</w:t>
      </w:r>
      <w:r w:rsidRPr="00DA4693">
        <w:rPr>
          <w:rFonts w:eastAsiaTheme="minorHAnsi"/>
          <w:lang w:val="en-GB" w:eastAsia="en-US"/>
        </w:rPr>
        <w:t xml:space="preserve">date data. The </w:t>
      </w:r>
      <w:r w:rsidR="000E5BBB">
        <w:rPr>
          <w:rFonts w:eastAsiaTheme="minorHAnsi"/>
          <w:lang w:val="en-GB" w:eastAsia="en-US"/>
        </w:rPr>
        <w:t>preliminary results</w:t>
      </w:r>
      <w:r w:rsidRPr="00DA4693">
        <w:rPr>
          <w:rFonts w:eastAsiaTheme="minorHAnsi"/>
          <w:lang w:val="en-GB" w:eastAsia="en-US"/>
        </w:rPr>
        <w:t xml:space="preserve"> show that </w:t>
      </w:r>
      <w:r w:rsidR="000E5BBB">
        <w:rPr>
          <w:rFonts w:eastAsiaTheme="minorHAnsi"/>
          <w:lang w:val="en-GB" w:eastAsia="en-US"/>
        </w:rPr>
        <w:t xml:space="preserve">the </w:t>
      </w:r>
      <w:r w:rsidRPr="00DA4693">
        <w:rPr>
          <w:rFonts w:eastAsiaTheme="minorHAnsi"/>
          <w:lang w:val="en-GB" w:eastAsia="en-US"/>
        </w:rPr>
        <w:t xml:space="preserve">minimum wage increase </w:t>
      </w:r>
      <w:r w:rsidR="000E5BBB">
        <w:rPr>
          <w:rFonts w:eastAsiaTheme="minorHAnsi"/>
          <w:lang w:val="en-GB" w:eastAsia="en-US"/>
        </w:rPr>
        <w:t xml:space="preserve">in 2016 </w:t>
      </w:r>
      <w:r w:rsidRPr="00DA4693">
        <w:rPr>
          <w:rFonts w:eastAsiaTheme="minorHAnsi"/>
          <w:lang w:val="en-GB" w:eastAsia="en-US"/>
        </w:rPr>
        <w:t>affects the informal employment</w:t>
      </w:r>
      <w:r w:rsidR="000E5BBB">
        <w:rPr>
          <w:rFonts w:eastAsiaTheme="minorHAnsi"/>
          <w:lang w:val="en-GB" w:eastAsia="en-US"/>
        </w:rPr>
        <w:t xml:space="preserve"> both </w:t>
      </w:r>
      <w:r w:rsidR="000E5BBB" w:rsidRPr="00DA4693">
        <w:rPr>
          <w:rFonts w:eastAsiaTheme="minorHAnsi"/>
          <w:lang w:val="en-GB" w:eastAsia="en-US"/>
        </w:rPr>
        <w:t>in 2016 and 2017</w:t>
      </w:r>
      <w:r w:rsidRPr="00DA4693">
        <w:rPr>
          <w:rFonts w:eastAsiaTheme="minorHAnsi"/>
          <w:lang w:val="en-GB" w:eastAsia="en-US"/>
        </w:rPr>
        <w:t xml:space="preserve">. However, there is a difference between the effects in 2016 and 2017. While the effect of informality is more </w:t>
      </w:r>
      <w:r w:rsidR="000E5BBB">
        <w:rPr>
          <w:rFonts w:eastAsiaTheme="minorHAnsi"/>
          <w:lang w:val="en-GB" w:eastAsia="en-US"/>
        </w:rPr>
        <w:t>concentrated</w:t>
      </w:r>
      <w:r w:rsidRPr="00DA4693">
        <w:rPr>
          <w:rFonts w:eastAsiaTheme="minorHAnsi"/>
          <w:lang w:val="en-GB" w:eastAsia="en-US"/>
        </w:rPr>
        <w:t xml:space="preserve"> in the </w:t>
      </w:r>
      <w:r w:rsidR="000E5BBB">
        <w:rPr>
          <w:rFonts w:eastAsiaTheme="minorHAnsi"/>
          <w:lang w:val="en-GB" w:eastAsia="en-US"/>
        </w:rPr>
        <w:t xml:space="preserve">low-wage </w:t>
      </w:r>
      <w:r w:rsidRPr="00DA4693">
        <w:rPr>
          <w:rFonts w:eastAsiaTheme="minorHAnsi"/>
          <w:lang w:val="en-GB" w:eastAsia="en-US"/>
        </w:rPr>
        <w:t xml:space="preserve">sectors </w:t>
      </w:r>
      <w:r w:rsidR="000E5BBB">
        <w:rPr>
          <w:rFonts w:eastAsiaTheme="minorHAnsi"/>
          <w:lang w:val="en-GB" w:eastAsia="en-US"/>
        </w:rPr>
        <w:t xml:space="preserve">(sectors where </w:t>
      </w:r>
      <w:r w:rsidRPr="00DA4693">
        <w:rPr>
          <w:rFonts w:eastAsiaTheme="minorHAnsi"/>
          <w:lang w:val="en-GB" w:eastAsia="en-US"/>
        </w:rPr>
        <w:t xml:space="preserve">workers </w:t>
      </w:r>
      <w:r w:rsidR="000E5BBB">
        <w:rPr>
          <w:rFonts w:eastAsiaTheme="minorHAnsi"/>
          <w:lang w:val="en-GB" w:eastAsia="en-US"/>
        </w:rPr>
        <w:t>e</w:t>
      </w:r>
      <w:r w:rsidRPr="00DA4693">
        <w:rPr>
          <w:rFonts w:eastAsiaTheme="minorHAnsi"/>
          <w:lang w:val="en-GB" w:eastAsia="en-US"/>
        </w:rPr>
        <w:t>arn</w:t>
      </w:r>
      <w:r w:rsidR="000E5BBB">
        <w:rPr>
          <w:rFonts w:eastAsiaTheme="minorHAnsi"/>
          <w:lang w:val="en-GB" w:eastAsia="en-US"/>
        </w:rPr>
        <w:t>ing</w:t>
      </w:r>
      <w:r w:rsidRPr="00DA4693">
        <w:rPr>
          <w:rFonts w:eastAsiaTheme="minorHAnsi"/>
          <w:lang w:val="en-GB" w:eastAsia="en-US"/>
        </w:rPr>
        <w:t xml:space="preserve"> minimum wage </w:t>
      </w:r>
      <w:r w:rsidR="000E5BBB">
        <w:rPr>
          <w:rFonts w:eastAsiaTheme="minorHAnsi"/>
          <w:lang w:val="en-GB" w:eastAsia="en-US"/>
        </w:rPr>
        <w:t>or</w:t>
      </w:r>
      <w:r w:rsidRPr="00DA4693">
        <w:rPr>
          <w:rFonts w:eastAsiaTheme="minorHAnsi"/>
          <w:lang w:val="en-GB" w:eastAsia="en-US"/>
        </w:rPr>
        <w:t xml:space="preserve"> below</w:t>
      </w:r>
      <w:r w:rsidR="000E5BBB">
        <w:rPr>
          <w:rFonts w:eastAsiaTheme="minorHAnsi"/>
          <w:lang w:val="en-GB" w:eastAsia="en-US"/>
        </w:rPr>
        <w:t>)</w:t>
      </w:r>
      <w:r w:rsidRPr="00DA4693">
        <w:rPr>
          <w:rFonts w:eastAsiaTheme="minorHAnsi"/>
          <w:lang w:val="en-GB" w:eastAsia="en-US"/>
        </w:rPr>
        <w:t xml:space="preserve"> in 2016, in the period of 2017 the effect</w:t>
      </w:r>
      <w:r w:rsidR="000E5BBB">
        <w:rPr>
          <w:rFonts w:eastAsiaTheme="minorHAnsi"/>
          <w:lang w:val="en-GB" w:eastAsia="en-US"/>
        </w:rPr>
        <w:t>, while still there,</w:t>
      </w:r>
      <w:r w:rsidRPr="00DA4693">
        <w:rPr>
          <w:rFonts w:eastAsiaTheme="minorHAnsi"/>
          <w:lang w:val="en-GB" w:eastAsia="en-US"/>
        </w:rPr>
        <w:t xml:space="preserve"> is </w:t>
      </w:r>
      <w:r w:rsidR="00F817CD">
        <w:rPr>
          <w:rFonts w:eastAsiaTheme="minorHAnsi"/>
          <w:lang w:val="en-GB" w:eastAsia="en-US"/>
        </w:rPr>
        <w:t>likely to be independent of</w:t>
      </w:r>
      <w:r w:rsidRPr="00DA4693">
        <w:rPr>
          <w:rFonts w:eastAsiaTheme="minorHAnsi"/>
          <w:lang w:val="en-GB" w:eastAsia="en-US"/>
        </w:rPr>
        <w:t xml:space="preserve"> </w:t>
      </w:r>
      <w:r w:rsidR="000E5BBB">
        <w:rPr>
          <w:rFonts w:eastAsiaTheme="minorHAnsi"/>
          <w:lang w:val="en-GB" w:eastAsia="en-US"/>
        </w:rPr>
        <w:t>sector.</w:t>
      </w:r>
      <w:r w:rsidRPr="00DA4693">
        <w:rPr>
          <w:rFonts w:eastAsiaTheme="minorHAnsi"/>
          <w:lang w:val="en-GB" w:eastAsia="en-US"/>
        </w:rPr>
        <w:t xml:space="preserve">  </w:t>
      </w:r>
    </w:p>
    <w:p w14:paraId="3B98BDCC" w14:textId="77777777" w:rsidR="00DA4693" w:rsidRPr="00DA4693" w:rsidRDefault="00DA4693" w:rsidP="00DA4693">
      <w:pPr>
        <w:pStyle w:val="Heading2"/>
        <w:rPr>
          <w:rFonts w:eastAsiaTheme="minorHAnsi"/>
          <w:lang w:eastAsia="en-US"/>
        </w:rPr>
      </w:pPr>
      <w:r w:rsidRPr="00DA4693">
        <w:rPr>
          <w:rFonts w:eastAsiaTheme="minorHAnsi"/>
          <w:lang w:eastAsia="en-US"/>
        </w:rPr>
        <w:t>Introduction</w:t>
      </w:r>
    </w:p>
    <w:p w14:paraId="6DB60CC7" w14:textId="3D41E4F7" w:rsidR="00DA4693" w:rsidRPr="00DA4693" w:rsidRDefault="00DA4693" w:rsidP="00DA4693">
      <w:pPr>
        <w:rPr>
          <w:rFonts w:eastAsiaTheme="minorHAnsi"/>
          <w:lang w:val="en-GB" w:eastAsia="en-US"/>
        </w:rPr>
      </w:pPr>
      <w:r w:rsidRPr="00DA4693">
        <w:rPr>
          <w:rFonts w:eastAsiaTheme="minorHAnsi"/>
          <w:lang w:val="en-GB" w:eastAsia="en-US"/>
        </w:rPr>
        <w:t xml:space="preserve">In the previous research note, we have examined the effects of high minimum wage increase in 2016 (from 1000 TL to 1300 TL) on informal employment </w:t>
      </w:r>
      <w:r w:rsidR="00A060FF">
        <w:rPr>
          <w:rFonts w:eastAsiaTheme="minorHAnsi"/>
          <w:lang w:val="en-GB" w:eastAsia="en-US"/>
        </w:rPr>
        <w:t xml:space="preserve">for both wage and non-wage earners </w:t>
      </w:r>
      <w:r w:rsidRPr="00DA4693">
        <w:rPr>
          <w:rFonts w:eastAsiaTheme="minorHAnsi"/>
          <w:lang w:val="en-GB" w:eastAsia="en-US"/>
        </w:rPr>
        <w:t>using both the all data of 2016 and the first three quarters data of 2017. We noted that effects are positive especially for employers, own account workers and free family workers. In addition, we stated that results of extended studies will be examined in the next two studies. (see Betam Research Note 18/220 “Minimum wage effects formal employment negatively”)</w:t>
      </w:r>
      <w:r w:rsidRPr="00DA4693">
        <w:rPr>
          <w:rStyle w:val="FootnoteReference"/>
          <w:rFonts w:eastAsiaTheme="minorHAnsi"/>
          <w:lang w:val="en-GB" w:eastAsia="en-US"/>
        </w:rPr>
        <w:footnoteReference w:id="3"/>
      </w:r>
      <w:r w:rsidRPr="00DA4693">
        <w:rPr>
          <w:rFonts w:eastAsiaTheme="minorHAnsi"/>
          <w:lang w:val="en-GB" w:eastAsia="en-US"/>
        </w:rPr>
        <w:t>.</w:t>
      </w:r>
    </w:p>
    <w:p w14:paraId="65C4D4A3" w14:textId="6AE5747B" w:rsidR="00DA4693" w:rsidRPr="00DA4693" w:rsidRDefault="00333497" w:rsidP="00DA4693">
      <w:pPr>
        <w:rPr>
          <w:szCs w:val="22"/>
          <w:lang w:val="en-GB" w:eastAsia="tr-TR"/>
        </w:rPr>
      </w:pPr>
      <w:r>
        <w:rPr>
          <w:szCs w:val="22"/>
          <w:lang w:val="en-GB" w:eastAsia="tr-TR"/>
        </w:rPr>
        <w:t>In this research note, we analys</w:t>
      </w:r>
      <w:r w:rsidRPr="00DA4693">
        <w:rPr>
          <w:szCs w:val="22"/>
          <w:lang w:val="en-GB" w:eastAsia="tr-TR"/>
        </w:rPr>
        <w:t>e</w:t>
      </w:r>
      <w:r w:rsidR="00DA4693" w:rsidRPr="00DA4693">
        <w:rPr>
          <w:szCs w:val="22"/>
          <w:lang w:val="en-GB" w:eastAsia="tr-TR"/>
        </w:rPr>
        <w:t xml:space="preserve"> the effects of minimum wage shock at sector</w:t>
      </w:r>
      <w:r>
        <w:rPr>
          <w:szCs w:val="22"/>
          <w:lang w:val="en-GB" w:eastAsia="tr-TR"/>
        </w:rPr>
        <w:t>al</w:t>
      </w:r>
      <w:r w:rsidR="00DA4693" w:rsidRPr="00DA4693">
        <w:rPr>
          <w:szCs w:val="22"/>
          <w:lang w:val="en-GB" w:eastAsia="tr-TR"/>
        </w:rPr>
        <w:t xml:space="preserve"> level. We </w:t>
      </w:r>
      <w:r w:rsidR="008C206A">
        <w:rPr>
          <w:szCs w:val="22"/>
          <w:lang w:val="en-GB" w:eastAsia="tr-TR"/>
        </w:rPr>
        <w:t>claim</w:t>
      </w:r>
      <w:r w:rsidR="00DA4693" w:rsidRPr="00DA4693">
        <w:rPr>
          <w:szCs w:val="22"/>
          <w:lang w:val="en-GB" w:eastAsia="tr-TR"/>
        </w:rPr>
        <w:t xml:space="preserve"> that wage distribution </w:t>
      </w:r>
      <w:r>
        <w:rPr>
          <w:szCs w:val="22"/>
          <w:lang w:val="en-GB" w:eastAsia="tr-TR"/>
        </w:rPr>
        <w:t>in each</w:t>
      </w:r>
      <w:r w:rsidR="00DA4693" w:rsidRPr="00DA4693">
        <w:rPr>
          <w:szCs w:val="22"/>
          <w:lang w:val="en-GB" w:eastAsia="tr-TR"/>
        </w:rPr>
        <w:t xml:space="preserve"> sector can be used </w:t>
      </w:r>
      <w:r>
        <w:rPr>
          <w:szCs w:val="22"/>
          <w:lang w:val="en-GB" w:eastAsia="tr-TR"/>
        </w:rPr>
        <w:t xml:space="preserve">as a proxy for </w:t>
      </w:r>
      <w:r w:rsidR="00DA4693" w:rsidRPr="00DA4693">
        <w:rPr>
          <w:szCs w:val="22"/>
          <w:lang w:val="en-GB" w:eastAsia="tr-TR"/>
        </w:rPr>
        <w:t xml:space="preserve">the effect of minimum </w:t>
      </w:r>
      <w:r w:rsidR="00DA4693" w:rsidRPr="00DA4693">
        <w:rPr>
          <w:szCs w:val="22"/>
          <w:lang w:val="en-GB" w:eastAsia="tr-TR"/>
        </w:rPr>
        <w:lastRenderedPageBreak/>
        <w:t xml:space="preserve">wage increase on informal employment. The first step of this assumption is determining the differences of the rate of </w:t>
      </w:r>
      <w:r w:rsidR="001C06C5">
        <w:rPr>
          <w:szCs w:val="22"/>
          <w:lang w:val="en-GB" w:eastAsia="tr-TR"/>
        </w:rPr>
        <w:t xml:space="preserve">low-wage workers </w:t>
      </w:r>
      <w:r w:rsidR="00DA4693" w:rsidRPr="00DA4693">
        <w:rPr>
          <w:szCs w:val="22"/>
          <w:lang w:val="en-GB" w:eastAsia="tr-TR"/>
        </w:rPr>
        <w:t xml:space="preserve">in each sector. This ratio can be interpreted as </w:t>
      </w:r>
      <w:r w:rsidR="008C206A">
        <w:rPr>
          <w:szCs w:val="22"/>
          <w:lang w:val="en-GB" w:eastAsia="tr-TR"/>
        </w:rPr>
        <w:t xml:space="preserve">reflecting </w:t>
      </w:r>
      <w:r w:rsidR="00DA4693" w:rsidRPr="00DA4693">
        <w:rPr>
          <w:szCs w:val="22"/>
          <w:lang w:val="en-GB" w:eastAsia="tr-TR"/>
        </w:rPr>
        <w:t xml:space="preserve">“the </w:t>
      </w:r>
      <w:r w:rsidR="008C206A">
        <w:rPr>
          <w:szCs w:val="22"/>
          <w:lang w:val="en-GB" w:eastAsia="tr-TR"/>
        </w:rPr>
        <w:t>effect</w:t>
      </w:r>
      <w:r w:rsidR="00DA4693" w:rsidRPr="00DA4693">
        <w:rPr>
          <w:szCs w:val="22"/>
          <w:lang w:val="en-GB" w:eastAsia="tr-TR"/>
        </w:rPr>
        <w:t xml:space="preserve"> of minimum wage increase on </w:t>
      </w:r>
      <w:r w:rsidR="008C206A">
        <w:rPr>
          <w:szCs w:val="22"/>
          <w:lang w:val="en-GB" w:eastAsia="tr-TR"/>
        </w:rPr>
        <w:t>each</w:t>
      </w:r>
      <w:r w:rsidR="00DA4693" w:rsidRPr="00DA4693">
        <w:rPr>
          <w:szCs w:val="22"/>
          <w:lang w:val="en-GB" w:eastAsia="tr-TR"/>
        </w:rPr>
        <w:t xml:space="preserve"> sector”. In the second step we </w:t>
      </w:r>
      <w:r w:rsidR="008C206A">
        <w:rPr>
          <w:szCs w:val="22"/>
          <w:lang w:val="en-GB" w:eastAsia="tr-TR"/>
        </w:rPr>
        <w:t>verify the above claim</w:t>
      </w:r>
      <w:r w:rsidR="00DA4693" w:rsidRPr="00DA4693">
        <w:rPr>
          <w:szCs w:val="22"/>
          <w:lang w:val="en-GB" w:eastAsia="tr-TR"/>
        </w:rPr>
        <w:t xml:space="preserve">. If this </w:t>
      </w:r>
      <w:r w:rsidR="008C206A">
        <w:rPr>
          <w:szCs w:val="22"/>
          <w:lang w:val="en-GB" w:eastAsia="tr-TR"/>
        </w:rPr>
        <w:t>proposition</w:t>
      </w:r>
      <w:r w:rsidR="00DA4693" w:rsidRPr="00DA4693">
        <w:rPr>
          <w:szCs w:val="22"/>
          <w:lang w:val="en-GB" w:eastAsia="tr-TR"/>
        </w:rPr>
        <w:t xml:space="preserve"> is correct, the minimum wage increase will be more effective in low wage sectors; moreover, informal employment will increase compared to other sectors. </w:t>
      </w:r>
    </w:p>
    <w:p w14:paraId="40B0B251" w14:textId="3A66AAD7" w:rsidR="00DA4693" w:rsidRPr="00DA4693" w:rsidRDefault="00DA4693" w:rsidP="00DA4693">
      <w:pPr>
        <w:rPr>
          <w:szCs w:val="22"/>
          <w:lang w:val="en-GB" w:eastAsia="tr-TR"/>
        </w:rPr>
      </w:pPr>
      <w:r w:rsidRPr="00DA4693">
        <w:rPr>
          <w:szCs w:val="22"/>
          <w:lang w:val="en-GB" w:eastAsia="tr-TR"/>
        </w:rPr>
        <w:t xml:space="preserve">In the research note </w:t>
      </w:r>
      <w:r w:rsidR="008C206A">
        <w:rPr>
          <w:szCs w:val="22"/>
          <w:lang w:val="en-GB" w:eastAsia="tr-TR"/>
        </w:rPr>
        <w:t>we published in 2016</w:t>
      </w:r>
      <w:r w:rsidRPr="00DA4693">
        <w:rPr>
          <w:szCs w:val="22"/>
          <w:lang w:val="en-GB" w:eastAsia="tr-TR"/>
        </w:rPr>
        <w:t xml:space="preserve"> </w:t>
      </w:r>
      <w:r w:rsidR="008C206A">
        <w:rPr>
          <w:szCs w:val="22"/>
          <w:lang w:val="en-GB" w:eastAsia="tr-TR"/>
        </w:rPr>
        <w:t>(see</w:t>
      </w:r>
      <w:r w:rsidR="008C206A" w:rsidRPr="008C206A">
        <w:rPr>
          <w:szCs w:val="22"/>
          <w:lang w:val="en-GB" w:eastAsia="tr-TR"/>
        </w:rPr>
        <w:t xml:space="preserve">. Betam Research Note 16/196, </w:t>
      </w:r>
      <w:r w:rsidRPr="008C206A">
        <w:rPr>
          <w:szCs w:val="22"/>
          <w:lang w:val="en-GB" w:eastAsia="tr-TR"/>
        </w:rPr>
        <w:t>“The minimum wage increase negatively affects informal employment”</w:t>
      </w:r>
      <w:r w:rsidR="008C206A">
        <w:rPr>
          <w:szCs w:val="22"/>
          <w:lang w:val="en-GB" w:eastAsia="tr-TR"/>
        </w:rPr>
        <w:t>)</w:t>
      </w:r>
      <w:r w:rsidRPr="00DA4693">
        <w:rPr>
          <w:szCs w:val="22"/>
          <w:lang w:val="en-GB" w:eastAsia="tr-TR"/>
        </w:rPr>
        <w:t>, we tested this assumption; moreover, we stated t</w:t>
      </w:r>
      <w:r w:rsidR="00313628">
        <w:rPr>
          <w:szCs w:val="22"/>
          <w:lang w:val="en-GB" w:eastAsia="tr-TR"/>
        </w:rPr>
        <w:t xml:space="preserve">hat first findings </w:t>
      </w:r>
      <w:r w:rsidR="008C206A">
        <w:rPr>
          <w:szCs w:val="22"/>
          <w:lang w:val="en-GB" w:eastAsia="tr-TR"/>
        </w:rPr>
        <w:t xml:space="preserve">seemed to </w:t>
      </w:r>
      <w:r w:rsidR="00313628">
        <w:rPr>
          <w:szCs w:val="22"/>
          <w:lang w:val="en-GB" w:eastAsia="tr-TR"/>
        </w:rPr>
        <w:t xml:space="preserve">verify this </w:t>
      </w:r>
      <w:r w:rsidR="008C206A">
        <w:rPr>
          <w:szCs w:val="22"/>
          <w:lang w:val="en-GB" w:eastAsia="tr-TR"/>
        </w:rPr>
        <w:t>claim</w:t>
      </w:r>
      <w:r w:rsidRPr="00DA4693">
        <w:rPr>
          <w:szCs w:val="22"/>
          <w:lang w:val="en-GB" w:eastAsia="tr-TR"/>
        </w:rPr>
        <w:t>.</w:t>
      </w:r>
      <w:r w:rsidR="008C206A">
        <w:rPr>
          <w:szCs w:val="22"/>
          <w:lang w:val="en-GB" w:eastAsia="tr-TR"/>
        </w:rPr>
        <w:t xml:space="preserve">  This research note expands this</w:t>
      </w:r>
      <w:r w:rsidRPr="00DA4693">
        <w:rPr>
          <w:szCs w:val="22"/>
          <w:lang w:val="en-GB" w:eastAsia="tr-TR"/>
        </w:rPr>
        <w:t xml:space="preserve"> finding by using </w:t>
      </w:r>
      <w:r w:rsidR="008C206A">
        <w:rPr>
          <w:szCs w:val="22"/>
          <w:lang w:val="en-GB" w:eastAsia="tr-TR"/>
        </w:rPr>
        <w:t xml:space="preserve">the most up-to-date (quarterly and </w:t>
      </w:r>
      <w:r w:rsidR="008C206A" w:rsidRPr="00DA4693">
        <w:rPr>
          <w:szCs w:val="22"/>
          <w:lang w:val="en-GB" w:eastAsia="tr-TR"/>
        </w:rPr>
        <w:t>annual</w:t>
      </w:r>
      <w:r w:rsidR="008C206A">
        <w:rPr>
          <w:szCs w:val="22"/>
          <w:lang w:val="en-GB" w:eastAsia="tr-TR"/>
        </w:rPr>
        <w:t xml:space="preserve">) </w:t>
      </w:r>
      <w:r w:rsidR="008C206A" w:rsidRPr="00DA4693">
        <w:rPr>
          <w:szCs w:val="22"/>
          <w:lang w:val="en-GB" w:eastAsia="tr-TR"/>
        </w:rPr>
        <w:t>Househ</w:t>
      </w:r>
      <w:r w:rsidR="008C206A">
        <w:rPr>
          <w:szCs w:val="22"/>
          <w:lang w:val="en-GB" w:eastAsia="tr-TR"/>
        </w:rPr>
        <w:t xml:space="preserve">olds Labor Force Survey (HLFS) data published by TurkStat. </w:t>
      </w:r>
      <w:r w:rsidRPr="00DA4693">
        <w:rPr>
          <w:szCs w:val="22"/>
          <w:lang w:val="en-GB" w:eastAsia="tr-TR"/>
        </w:rPr>
        <w:t xml:space="preserve">We </w:t>
      </w:r>
      <w:r w:rsidR="006E0206">
        <w:rPr>
          <w:szCs w:val="22"/>
          <w:lang w:val="en-GB" w:eastAsia="tr-TR"/>
        </w:rPr>
        <w:t>find</w:t>
      </w:r>
      <w:r w:rsidRPr="00DA4693">
        <w:rPr>
          <w:szCs w:val="22"/>
          <w:lang w:val="en-GB" w:eastAsia="tr-TR"/>
        </w:rPr>
        <w:t xml:space="preserve"> that effect of increase in minimum wage raises the rate of informal employment more in sectors with low wage earners especially in the first two quarters following the increase. In the fourth quarter of 2016 an in 2017, we </w:t>
      </w:r>
      <w:r w:rsidR="006E0206">
        <w:rPr>
          <w:szCs w:val="22"/>
          <w:lang w:val="en-GB" w:eastAsia="tr-TR"/>
        </w:rPr>
        <w:t>observe</w:t>
      </w:r>
      <w:r w:rsidRPr="00DA4693">
        <w:rPr>
          <w:szCs w:val="22"/>
          <w:lang w:val="en-GB" w:eastAsia="tr-TR"/>
        </w:rPr>
        <w:t xml:space="preserve"> that effect continues to spread evenly across all sectors. </w:t>
      </w:r>
    </w:p>
    <w:p w14:paraId="640A9EE8" w14:textId="77777777" w:rsidR="00DA4693" w:rsidRPr="00DA4693" w:rsidRDefault="00DA4693" w:rsidP="00DA4693">
      <w:pPr>
        <w:pStyle w:val="Heading2"/>
        <w:rPr>
          <w:rFonts w:eastAsiaTheme="minorHAnsi"/>
          <w:lang w:eastAsia="en-US"/>
        </w:rPr>
      </w:pPr>
      <w:r w:rsidRPr="00DA4693">
        <w:rPr>
          <w:rFonts w:eastAsiaTheme="minorHAnsi"/>
          <w:lang w:eastAsia="en-US"/>
        </w:rPr>
        <w:t xml:space="preserve">The increase in informality is clearer in low wage sectors </w:t>
      </w:r>
    </w:p>
    <w:p w14:paraId="61815C0E" w14:textId="4053CD3C" w:rsidR="00DA4693" w:rsidRPr="00DA4693" w:rsidRDefault="00DA4693" w:rsidP="00DA4693">
      <w:pPr>
        <w:tabs>
          <w:tab w:val="left" w:pos="6374"/>
        </w:tabs>
        <w:rPr>
          <w:lang w:val="en-GB" w:eastAsia="tr-TR"/>
        </w:rPr>
      </w:pPr>
      <w:r w:rsidRPr="00DA4693">
        <w:rPr>
          <w:lang w:val="en-GB" w:eastAsia="tr-TR"/>
        </w:rPr>
        <w:t>In the research note we published on the January 10</w:t>
      </w:r>
      <w:r w:rsidRPr="00DA4693">
        <w:rPr>
          <w:vertAlign w:val="superscript"/>
          <w:lang w:val="en-GB" w:eastAsia="tr-TR"/>
        </w:rPr>
        <w:t>th</w:t>
      </w:r>
      <w:r w:rsidRPr="00DA4693">
        <w:rPr>
          <w:lang w:val="en-GB" w:eastAsia="tr-TR"/>
        </w:rPr>
        <w:t xml:space="preserve">, 2018 we stated that informality of non-salaried workers decreases almost regularly after the period of 2015.  </w:t>
      </w:r>
      <w:r w:rsidR="006E0206">
        <w:rPr>
          <w:lang w:val="en-GB" w:eastAsia="tr-TR"/>
        </w:rPr>
        <w:t>In the same note, w</w:t>
      </w:r>
      <w:r w:rsidRPr="00DA4693">
        <w:rPr>
          <w:lang w:val="en-GB" w:eastAsia="tr-TR"/>
        </w:rPr>
        <w:t xml:space="preserve">e also stated that decreases of informal employment were very low from the period of 2015 to 2016 compared to previous trends (only 0.2 percentage points). On the other hand, in the non-salaried workers informality rates which decrease before the period of 2016, separate from general trend by increasing in the period of 2015-2016.  </w:t>
      </w:r>
      <w:r w:rsidR="00313628" w:rsidRPr="00DA4693">
        <w:rPr>
          <w:lang w:val="en-GB" w:eastAsia="tr-TR"/>
        </w:rPr>
        <w:t>Sectoral</w:t>
      </w:r>
      <w:r w:rsidRPr="00DA4693">
        <w:rPr>
          <w:lang w:val="en-GB" w:eastAsia="tr-TR"/>
        </w:rPr>
        <w:t xml:space="preserve"> differences </w:t>
      </w:r>
      <w:r w:rsidR="00313628" w:rsidRPr="00DA4693">
        <w:rPr>
          <w:lang w:val="en-GB" w:eastAsia="tr-TR"/>
        </w:rPr>
        <w:t>cannot</w:t>
      </w:r>
      <w:r w:rsidRPr="00DA4693">
        <w:rPr>
          <w:lang w:val="en-GB" w:eastAsia="tr-TR"/>
        </w:rPr>
        <w:t xml:space="preserve"> be determined since the calculations above belong to all economy for both wage earners and total employment.  The sectors with the high number of low wage workers and other sectors may be affected differently by minimum wage increase. In addition, these </w:t>
      </w:r>
      <w:r w:rsidR="00313628" w:rsidRPr="00DA4693">
        <w:rPr>
          <w:lang w:val="en-GB" w:eastAsia="tr-TR"/>
        </w:rPr>
        <w:t>effects</w:t>
      </w:r>
      <w:r w:rsidRPr="00DA4693">
        <w:rPr>
          <w:lang w:val="en-GB" w:eastAsia="tr-TR"/>
        </w:rPr>
        <w:t xml:space="preserve"> may have shadowed each other. In order to check our assumption, detailed sectoral analyses are needed. We will discuss this topic in detail below. </w:t>
      </w:r>
    </w:p>
    <w:p w14:paraId="367BFF13" w14:textId="77777777" w:rsidR="00DA4693" w:rsidRPr="00DA4693" w:rsidRDefault="00DA4693" w:rsidP="00DA4693">
      <w:pPr>
        <w:pStyle w:val="Heading2"/>
        <w:rPr>
          <w:sz w:val="22"/>
          <w:szCs w:val="22"/>
          <w:lang w:eastAsia="tr-TR"/>
        </w:rPr>
      </w:pPr>
      <w:r w:rsidRPr="00DA4693">
        <w:rPr>
          <w:sz w:val="22"/>
          <w:szCs w:val="22"/>
          <w:lang w:eastAsia="tr-TR"/>
        </w:rPr>
        <w:t xml:space="preserve">Data and Methodology </w:t>
      </w:r>
    </w:p>
    <w:p w14:paraId="4DF53BAA" w14:textId="33298601" w:rsidR="00DA4693" w:rsidRPr="00DA4693" w:rsidRDefault="006E0206" w:rsidP="00DA4693">
      <w:pPr>
        <w:rPr>
          <w:szCs w:val="22"/>
          <w:lang w:val="en-GB" w:eastAsia="tr-TR"/>
        </w:rPr>
      </w:pPr>
      <w:r>
        <w:rPr>
          <w:szCs w:val="22"/>
          <w:lang w:val="en-GB" w:eastAsia="tr-TR"/>
        </w:rPr>
        <w:t xml:space="preserve">Let us, first, </w:t>
      </w:r>
      <w:r w:rsidR="00DA4693" w:rsidRPr="00DA4693">
        <w:rPr>
          <w:szCs w:val="22"/>
          <w:lang w:val="en-GB" w:eastAsia="tr-TR"/>
        </w:rPr>
        <w:t xml:space="preserve">summarize the methodology that we use to understand the effect of minimum wage increase on informality: we calculate the ratio of low-paid full-time employees at </w:t>
      </w:r>
      <w:r w:rsidR="00313628" w:rsidRPr="00DA4693">
        <w:rPr>
          <w:szCs w:val="22"/>
          <w:lang w:val="en-GB" w:eastAsia="tr-TR"/>
        </w:rPr>
        <w:t>sectoral</w:t>
      </w:r>
      <w:r w:rsidR="00DA4693" w:rsidRPr="00DA4693">
        <w:rPr>
          <w:szCs w:val="22"/>
          <w:lang w:val="en-GB" w:eastAsia="tr-TR"/>
        </w:rPr>
        <w:t xml:space="preserve"> level by using the data of 2014,</w:t>
      </w:r>
      <w:r>
        <w:rPr>
          <w:szCs w:val="22"/>
          <w:lang w:val="en-GB" w:eastAsia="tr-TR"/>
        </w:rPr>
        <w:t xml:space="preserve"> </w:t>
      </w:r>
      <w:r w:rsidR="00DA4693" w:rsidRPr="00DA4693">
        <w:rPr>
          <w:szCs w:val="22"/>
          <w:lang w:val="en-GB" w:eastAsia="tr-TR"/>
        </w:rPr>
        <w:t>2015 and 2016. It is expected that effect is higher in the sectors where low paid workers are more intense if the minimum wage increase affects the informal employment. In that case, we can compare the rates of informal employment</w:t>
      </w:r>
      <w:r w:rsidR="00536B71">
        <w:rPr>
          <w:szCs w:val="22"/>
          <w:lang w:val="en-GB" w:eastAsia="tr-TR"/>
        </w:rPr>
        <w:t xml:space="preserve"> in sectors by using all data of</w:t>
      </w:r>
      <w:r w:rsidR="00DA4693" w:rsidRPr="00DA4693">
        <w:rPr>
          <w:szCs w:val="22"/>
          <w:lang w:val="en-GB" w:eastAsia="tr-TR"/>
        </w:rPr>
        <w:t xml:space="preserve"> </w:t>
      </w:r>
      <w:r w:rsidR="00536B71">
        <w:rPr>
          <w:szCs w:val="22"/>
          <w:lang w:val="en-GB" w:eastAsia="tr-TR"/>
        </w:rPr>
        <w:t xml:space="preserve">years 2014-2016 and partial data of </w:t>
      </w:r>
      <w:r w:rsidR="00DA4693" w:rsidRPr="00DA4693">
        <w:rPr>
          <w:szCs w:val="22"/>
          <w:lang w:val="en-GB" w:eastAsia="tr-TR"/>
        </w:rPr>
        <w:t xml:space="preserve">2017 to test </w:t>
      </w:r>
      <w:r w:rsidR="00536B71">
        <w:rPr>
          <w:szCs w:val="22"/>
          <w:lang w:val="en-GB" w:eastAsia="tr-TR"/>
        </w:rPr>
        <w:t>whether</w:t>
      </w:r>
      <w:r w:rsidR="00DA4693" w:rsidRPr="00DA4693">
        <w:rPr>
          <w:szCs w:val="22"/>
          <w:lang w:val="en-GB" w:eastAsia="tr-TR"/>
        </w:rPr>
        <w:t xml:space="preserve"> sectors </w:t>
      </w:r>
      <w:r w:rsidR="00536B71">
        <w:rPr>
          <w:szCs w:val="22"/>
          <w:lang w:val="en-GB" w:eastAsia="tr-TR"/>
        </w:rPr>
        <w:t xml:space="preserve">with </w:t>
      </w:r>
      <w:r w:rsidR="00DA4693" w:rsidRPr="00DA4693">
        <w:rPr>
          <w:szCs w:val="22"/>
          <w:lang w:val="en-GB" w:eastAsia="tr-TR"/>
        </w:rPr>
        <w:t>high increase</w:t>
      </w:r>
      <w:r w:rsidR="00536B71">
        <w:rPr>
          <w:szCs w:val="22"/>
          <w:lang w:val="en-GB" w:eastAsia="tr-TR"/>
        </w:rPr>
        <w:t>s</w:t>
      </w:r>
      <w:r w:rsidR="00DA4693" w:rsidRPr="00DA4693">
        <w:rPr>
          <w:szCs w:val="22"/>
          <w:lang w:val="en-GB" w:eastAsia="tr-TR"/>
        </w:rPr>
        <w:t xml:space="preserve"> in informal employment </w:t>
      </w:r>
      <w:r w:rsidR="00536B71">
        <w:rPr>
          <w:szCs w:val="22"/>
          <w:lang w:val="en-GB" w:eastAsia="tr-TR"/>
        </w:rPr>
        <w:t xml:space="preserve">are also characterized by </w:t>
      </w:r>
      <w:r w:rsidR="0070331F">
        <w:rPr>
          <w:szCs w:val="22"/>
          <w:lang w:val="en-GB" w:eastAsia="tr-TR"/>
        </w:rPr>
        <w:t xml:space="preserve">high fractions of low wage workers. </w:t>
      </w:r>
    </w:p>
    <w:p w14:paraId="30FC9CBB" w14:textId="2631B1B7" w:rsidR="00DA4693" w:rsidRPr="00DA4693" w:rsidRDefault="00DA4693" w:rsidP="00DA4693">
      <w:pPr>
        <w:keepNext/>
        <w:rPr>
          <w:szCs w:val="22"/>
          <w:lang w:val="en-GB"/>
        </w:rPr>
      </w:pPr>
      <w:r w:rsidRPr="00DA4693">
        <w:rPr>
          <w:szCs w:val="22"/>
          <w:lang w:val="en-GB"/>
        </w:rPr>
        <w:t xml:space="preserve">We think that findings of our </w:t>
      </w:r>
      <w:r w:rsidR="006E0206">
        <w:rPr>
          <w:szCs w:val="22"/>
          <w:lang w:val="en-GB"/>
        </w:rPr>
        <w:t xml:space="preserve">previous </w:t>
      </w:r>
      <w:r w:rsidRPr="00DA4693">
        <w:rPr>
          <w:szCs w:val="22"/>
          <w:lang w:val="en-GB"/>
        </w:rPr>
        <w:t xml:space="preserve">research note show that minimum wage </w:t>
      </w:r>
      <w:r w:rsidR="006E0206">
        <w:rPr>
          <w:szCs w:val="22"/>
          <w:lang w:val="en-GB"/>
        </w:rPr>
        <w:t>hike</w:t>
      </w:r>
      <w:r w:rsidRPr="00DA4693">
        <w:rPr>
          <w:szCs w:val="22"/>
          <w:lang w:val="en-GB"/>
        </w:rPr>
        <w:t xml:space="preserve"> </w:t>
      </w:r>
      <w:r w:rsidR="006E0206">
        <w:rPr>
          <w:szCs w:val="22"/>
          <w:lang w:val="en-GB"/>
        </w:rPr>
        <w:t xml:space="preserve">affects </w:t>
      </w:r>
      <w:r w:rsidRPr="00DA4693">
        <w:rPr>
          <w:szCs w:val="22"/>
          <w:lang w:val="en-GB"/>
        </w:rPr>
        <w:t xml:space="preserve">not only wage earners but also non-salaried workers. The mechanisms by which this effect </w:t>
      </w:r>
      <w:r w:rsidR="006E0206">
        <w:rPr>
          <w:szCs w:val="22"/>
          <w:lang w:val="en-GB"/>
        </w:rPr>
        <w:t xml:space="preserve">is </w:t>
      </w:r>
      <w:r w:rsidR="006E0206">
        <w:rPr>
          <w:szCs w:val="22"/>
          <w:lang w:val="en-GB"/>
        </w:rPr>
        <w:lastRenderedPageBreak/>
        <w:t xml:space="preserve">operative </w:t>
      </w:r>
      <w:r w:rsidRPr="00DA4693">
        <w:rPr>
          <w:szCs w:val="22"/>
          <w:lang w:val="en-GB"/>
        </w:rPr>
        <w:t xml:space="preserve">need to </w:t>
      </w:r>
      <w:r w:rsidR="006E0206">
        <w:rPr>
          <w:szCs w:val="22"/>
          <w:lang w:val="en-GB"/>
        </w:rPr>
        <w:t xml:space="preserve">be </w:t>
      </w:r>
      <w:r w:rsidRPr="00DA4693">
        <w:rPr>
          <w:szCs w:val="22"/>
          <w:lang w:val="en-GB"/>
        </w:rPr>
        <w:t>investigate</w:t>
      </w:r>
      <w:r w:rsidR="006E0206">
        <w:rPr>
          <w:szCs w:val="22"/>
          <w:lang w:val="en-GB"/>
        </w:rPr>
        <w:t>d further</w:t>
      </w:r>
      <w:r w:rsidRPr="00DA4693">
        <w:rPr>
          <w:szCs w:val="22"/>
          <w:lang w:val="en-GB"/>
        </w:rPr>
        <w:t xml:space="preserve">. The first </w:t>
      </w:r>
      <w:r w:rsidR="006E0206">
        <w:rPr>
          <w:szCs w:val="22"/>
          <w:lang w:val="en-GB"/>
        </w:rPr>
        <w:t xml:space="preserve">possible </w:t>
      </w:r>
      <w:r w:rsidRPr="00DA4693">
        <w:rPr>
          <w:szCs w:val="22"/>
          <w:lang w:val="en-GB"/>
        </w:rPr>
        <w:t xml:space="preserve">reason </w:t>
      </w:r>
      <w:r w:rsidR="006E0206">
        <w:rPr>
          <w:szCs w:val="22"/>
          <w:lang w:val="en-GB"/>
        </w:rPr>
        <w:t xml:space="preserve">is higher </w:t>
      </w:r>
      <w:r w:rsidR="00234845">
        <w:rPr>
          <w:szCs w:val="22"/>
          <w:lang w:val="en-GB"/>
        </w:rPr>
        <w:t xml:space="preserve">social </w:t>
      </w:r>
      <w:r w:rsidRPr="00DA4693">
        <w:rPr>
          <w:szCs w:val="22"/>
          <w:lang w:val="en-GB"/>
        </w:rPr>
        <w:t xml:space="preserve">security premiums </w:t>
      </w:r>
      <w:r w:rsidR="006E0206">
        <w:rPr>
          <w:szCs w:val="22"/>
          <w:lang w:val="en-GB"/>
        </w:rPr>
        <w:t>(due to minimum wage increase) that</w:t>
      </w:r>
      <w:r w:rsidRPr="00DA4693">
        <w:rPr>
          <w:szCs w:val="22"/>
          <w:lang w:val="en-GB"/>
        </w:rPr>
        <w:t xml:space="preserve"> increase the cost of formality. Especially, newly established small family companies may have preferred to work for a while. Another possibility is that wage earners who work at low paid sectors can lose their jobs because of increasing cost and they can start to work </w:t>
      </w:r>
      <w:r w:rsidR="00234845">
        <w:rPr>
          <w:szCs w:val="22"/>
          <w:lang w:val="en-GB"/>
        </w:rPr>
        <w:t xml:space="preserve">informally </w:t>
      </w:r>
      <w:r w:rsidRPr="00DA4693">
        <w:rPr>
          <w:szCs w:val="22"/>
          <w:lang w:val="en-GB"/>
        </w:rPr>
        <w:t>at small family business</w:t>
      </w:r>
      <w:r w:rsidR="00234845">
        <w:rPr>
          <w:szCs w:val="22"/>
          <w:lang w:val="en-GB"/>
        </w:rPr>
        <w:t>.</w:t>
      </w:r>
    </w:p>
    <w:p w14:paraId="06F88BDF" w14:textId="0007A83C" w:rsidR="001F2847" w:rsidRDefault="001F2847" w:rsidP="00486E2E">
      <w:pPr>
        <w:shd w:val="clear" w:color="auto" w:fill="FFFFFF"/>
        <w:suppressAutoHyphens w:val="0"/>
        <w:spacing w:after="0"/>
        <w:rPr>
          <w:lang w:val="en-GB" w:eastAsia="tr-TR"/>
        </w:rPr>
      </w:pPr>
      <w:r w:rsidRPr="001F2847">
        <w:rPr>
          <w:lang w:val="en-GB" w:eastAsia="tr-TR"/>
        </w:rPr>
        <w:t>We</w:t>
      </w:r>
      <w:r>
        <w:rPr>
          <w:lang w:val="en-GB" w:eastAsia="tr-TR"/>
        </w:rPr>
        <w:t xml:space="preserve"> use the rate of workers who earn around the minimum wage and below</w:t>
      </w:r>
      <w:r w:rsidR="004F4B6E">
        <w:rPr>
          <w:lang w:val="en-GB" w:eastAsia="tr-TR"/>
        </w:rPr>
        <w:t xml:space="preserve"> (low-wage ratio)</w:t>
      </w:r>
      <w:r>
        <w:rPr>
          <w:lang w:val="en-GB" w:eastAsia="tr-TR"/>
        </w:rPr>
        <w:t xml:space="preserve"> as the effect of minimum wage increase on sectors</w:t>
      </w:r>
      <w:r w:rsidRPr="00284E5C">
        <w:rPr>
          <w:lang w:val="en-GB" w:eastAsia="tr-TR"/>
        </w:rPr>
        <w:t>. W</w:t>
      </w:r>
      <w:r w:rsidRPr="00284E5C">
        <w:rPr>
          <w:lang w:val="en-US" w:eastAsia="tr-TR"/>
        </w:rPr>
        <w:t xml:space="preserve">e obtain this information from HLFS microdata set. </w:t>
      </w:r>
      <w:r w:rsidR="00D80576" w:rsidRPr="00284E5C">
        <w:rPr>
          <w:lang w:val="en-US" w:eastAsia="tr-TR"/>
        </w:rPr>
        <w:t>Following C</w:t>
      </w:r>
      <w:r w:rsidR="000E576A" w:rsidRPr="00284E5C">
        <w:rPr>
          <w:lang w:val="en-US" w:eastAsia="tr-TR"/>
        </w:rPr>
        <w:t>ard (1992)</w:t>
      </w:r>
      <w:r w:rsidR="00D80576" w:rsidRPr="00284E5C">
        <w:rPr>
          <w:lang w:val="en-US" w:eastAsia="tr-TR"/>
        </w:rPr>
        <w:t xml:space="preserve">, to determine how a given sector is expected to be affected by the minimum wage hike in 2016, we use the fraction of workers earning a wage below the new </w:t>
      </w:r>
      <w:r w:rsidR="00284E5C" w:rsidRPr="00284E5C">
        <w:rPr>
          <w:lang w:val="en-US" w:eastAsia="tr-TR"/>
        </w:rPr>
        <w:t xml:space="preserve">(following year’s) </w:t>
      </w:r>
      <w:r w:rsidR="00D80576" w:rsidRPr="00284E5C">
        <w:rPr>
          <w:lang w:val="en-US" w:eastAsia="tr-TR"/>
        </w:rPr>
        <w:t>minimum wage</w:t>
      </w:r>
      <w:r w:rsidR="00284E5C" w:rsidRPr="00284E5C">
        <w:rPr>
          <w:lang w:val="en-US" w:eastAsia="tr-TR"/>
        </w:rPr>
        <w:t>. The</w:t>
      </w:r>
      <w:r w:rsidR="00284E5C">
        <w:rPr>
          <w:lang w:val="en-GB" w:eastAsia="tr-TR"/>
        </w:rPr>
        <w:t xml:space="preserve"> o</w:t>
      </w:r>
      <w:r w:rsidR="000E576A" w:rsidRPr="00284E5C">
        <w:rPr>
          <w:lang w:val="en-GB" w:eastAsia="tr-TR"/>
        </w:rPr>
        <w:t xml:space="preserve">nly difference is </w:t>
      </w:r>
      <w:r w:rsidR="00D72F1A" w:rsidRPr="00284E5C">
        <w:rPr>
          <w:lang w:val="en-GB" w:eastAsia="tr-TR"/>
        </w:rPr>
        <w:t>inflation</w:t>
      </w:r>
      <w:r w:rsidR="000E576A" w:rsidRPr="00284E5C">
        <w:rPr>
          <w:lang w:val="en-GB" w:eastAsia="tr-TR"/>
        </w:rPr>
        <w:t xml:space="preserve"> adjustment compared to the study of Card (1992).</w:t>
      </w:r>
      <w:r w:rsidR="00D72F1A" w:rsidRPr="00284E5C">
        <w:rPr>
          <w:lang w:val="en-GB" w:eastAsia="tr-TR"/>
        </w:rPr>
        <w:t xml:space="preserve"> </w:t>
      </w:r>
      <w:r w:rsidR="00284E5C">
        <w:rPr>
          <w:lang w:val="en-GB" w:eastAsia="tr-TR"/>
        </w:rPr>
        <w:t>To be more precise</w:t>
      </w:r>
      <w:r w:rsidR="00D72F1A">
        <w:rPr>
          <w:lang w:val="en-GB" w:eastAsia="tr-TR"/>
        </w:rPr>
        <w:t xml:space="preserve">, in 2015 average minimum wage </w:t>
      </w:r>
      <w:r w:rsidR="00D039D6">
        <w:rPr>
          <w:lang w:val="en-GB" w:eastAsia="tr-TR"/>
        </w:rPr>
        <w:t xml:space="preserve">was 975 TL and the inflation rate was 7.67 percent. </w:t>
      </w:r>
      <w:r w:rsidR="00D039D6" w:rsidRPr="00486E2E">
        <w:rPr>
          <w:lang w:val="en-GB" w:eastAsia="tr-TR"/>
        </w:rPr>
        <w:t> </w:t>
      </w:r>
      <w:r w:rsidR="00284E5C">
        <w:rPr>
          <w:lang w:val="en-GB" w:eastAsia="tr-TR"/>
        </w:rPr>
        <w:t>If all</w:t>
      </w:r>
      <w:r w:rsidR="00486E2E" w:rsidRPr="00486E2E">
        <w:rPr>
          <w:lang w:val="en-GB" w:eastAsia="tr-TR"/>
        </w:rPr>
        <w:t xml:space="preserve"> </w:t>
      </w:r>
      <w:r w:rsidR="00486E2E">
        <w:rPr>
          <w:lang w:val="en-GB" w:eastAsia="tr-TR"/>
        </w:rPr>
        <w:t>wage</w:t>
      </w:r>
      <w:r w:rsidR="00284E5C">
        <w:rPr>
          <w:lang w:val="en-GB" w:eastAsia="tr-TR"/>
        </w:rPr>
        <w:t>s</w:t>
      </w:r>
      <w:r w:rsidR="00486E2E" w:rsidRPr="00486E2E">
        <w:rPr>
          <w:lang w:val="en-GB" w:eastAsia="tr-TR"/>
        </w:rPr>
        <w:t xml:space="preserve"> </w:t>
      </w:r>
      <w:r w:rsidR="00284E5C">
        <w:rPr>
          <w:lang w:val="en-GB" w:eastAsia="tr-TR"/>
        </w:rPr>
        <w:t>increased by</w:t>
      </w:r>
      <w:r w:rsidR="00486E2E">
        <w:rPr>
          <w:lang w:val="en-GB" w:eastAsia="tr-TR"/>
        </w:rPr>
        <w:t xml:space="preserve"> inflation</w:t>
      </w:r>
      <w:r w:rsidR="00486E2E" w:rsidRPr="00486E2E">
        <w:rPr>
          <w:lang w:val="en-GB" w:eastAsia="tr-TR"/>
        </w:rPr>
        <w:t xml:space="preserve"> rate</w:t>
      </w:r>
      <w:r w:rsidR="00284E5C">
        <w:rPr>
          <w:lang w:val="en-GB" w:eastAsia="tr-TR"/>
        </w:rPr>
        <w:t xml:space="preserve"> between 2014 and 2015</w:t>
      </w:r>
      <w:r w:rsidR="00486E2E">
        <w:rPr>
          <w:lang w:val="en-GB" w:eastAsia="tr-TR"/>
        </w:rPr>
        <w:t xml:space="preserve">, </w:t>
      </w:r>
      <w:r w:rsidR="00284E5C">
        <w:rPr>
          <w:lang w:val="en-GB" w:eastAsia="tr-TR"/>
        </w:rPr>
        <w:t>a wage of</w:t>
      </w:r>
      <w:r w:rsidR="00486E2E" w:rsidRPr="00486E2E">
        <w:rPr>
          <w:lang w:val="en-GB" w:eastAsia="tr-TR"/>
        </w:rPr>
        <w:t xml:space="preserve"> 905.5</w:t>
      </w:r>
      <w:r w:rsidR="00486E2E">
        <w:rPr>
          <w:lang w:val="en-GB" w:eastAsia="tr-TR"/>
        </w:rPr>
        <w:t xml:space="preserve"> TL</w:t>
      </w:r>
      <w:r w:rsidR="00284E5C">
        <w:rPr>
          <w:lang w:val="en-GB" w:eastAsia="tr-TR"/>
        </w:rPr>
        <w:t xml:space="preserve"> in 2014</w:t>
      </w:r>
      <w:r w:rsidR="00486E2E" w:rsidRPr="00486E2E">
        <w:rPr>
          <w:lang w:val="en-GB" w:eastAsia="tr-TR"/>
        </w:rPr>
        <w:t xml:space="preserve"> would </w:t>
      </w:r>
      <w:r w:rsidR="00284E5C">
        <w:rPr>
          <w:lang w:val="en-GB" w:eastAsia="tr-TR"/>
        </w:rPr>
        <w:t>become</w:t>
      </w:r>
      <w:r w:rsidR="00486E2E" w:rsidRPr="00486E2E">
        <w:rPr>
          <w:lang w:val="en-GB" w:eastAsia="tr-TR"/>
        </w:rPr>
        <w:t xml:space="preserve"> 975 TL in </w:t>
      </w:r>
      <w:r w:rsidR="00486E2E">
        <w:rPr>
          <w:lang w:val="en-GB" w:eastAsia="tr-TR"/>
        </w:rPr>
        <w:t xml:space="preserve">the period of 2015. Thus, we calculate the share of workers who earn 905.5 TL and below </w:t>
      </w:r>
      <w:r w:rsidR="00091EA4">
        <w:rPr>
          <w:lang w:val="en-GB" w:eastAsia="tr-TR"/>
        </w:rPr>
        <w:t>in total wage earners in</w:t>
      </w:r>
      <w:r w:rsidR="00486E2E">
        <w:rPr>
          <w:lang w:val="en-GB" w:eastAsia="tr-TR"/>
        </w:rPr>
        <w:t xml:space="preserve"> each sector</w:t>
      </w:r>
      <w:r w:rsidR="00284E5C">
        <w:rPr>
          <w:lang w:val="en-GB" w:eastAsia="tr-TR"/>
        </w:rPr>
        <w:t xml:space="preserve"> </w:t>
      </w:r>
      <w:r w:rsidR="00284E5C" w:rsidRPr="001A13CB">
        <w:rPr>
          <w:lang w:val="en-GB" w:eastAsia="tr-TR"/>
        </w:rPr>
        <w:t>in 2014 HLFS data</w:t>
      </w:r>
      <w:r w:rsidR="00CB6D3C" w:rsidRPr="001A13CB">
        <w:rPr>
          <w:lang w:val="en-GB" w:eastAsia="tr-TR"/>
        </w:rPr>
        <w:t xml:space="preserve">. </w:t>
      </w:r>
      <w:r w:rsidR="00284E5C" w:rsidRPr="001A13CB">
        <w:rPr>
          <w:lang w:val="en-GB" w:eastAsia="tr-TR"/>
        </w:rPr>
        <w:t>A</w:t>
      </w:r>
      <w:r w:rsidR="00CB6D3C" w:rsidRPr="001A13CB">
        <w:rPr>
          <w:lang w:val="en-GB" w:eastAsia="tr-TR"/>
        </w:rPr>
        <w:t xml:space="preserve"> sector will be affected more by the </w:t>
      </w:r>
      <w:r w:rsidR="00284E5C" w:rsidRPr="001A13CB">
        <w:rPr>
          <w:lang w:val="en-GB" w:eastAsia="tr-TR"/>
        </w:rPr>
        <w:t>minimum wage increase when this ratio</w:t>
      </w:r>
      <w:r w:rsidR="00CB6D3C" w:rsidRPr="001A13CB">
        <w:rPr>
          <w:lang w:val="en-GB" w:eastAsia="tr-TR"/>
        </w:rPr>
        <w:t xml:space="preserve"> is higher</w:t>
      </w:r>
      <w:r w:rsidR="000C7686" w:rsidRPr="001A13CB">
        <w:rPr>
          <w:rStyle w:val="FootnoteReference"/>
          <w:lang w:eastAsia="tr-TR"/>
        </w:rPr>
        <w:footnoteReference w:id="4"/>
      </w:r>
      <w:r w:rsidR="000C7686" w:rsidRPr="001A13CB">
        <w:rPr>
          <w:lang w:val="en-GB" w:eastAsia="tr-TR"/>
        </w:rPr>
        <w:t xml:space="preserve">. </w:t>
      </w:r>
      <w:r w:rsidR="004F4B6E" w:rsidRPr="001A13CB">
        <w:rPr>
          <w:lang w:val="en-GB" w:eastAsia="tr-TR"/>
        </w:rPr>
        <w:t xml:space="preserve">Given the minimum wage hike in January 2016, the first thing that comes to mind is to compute </w:t>
      </w:r>
      <w:r w:rsidR="004F4B6E">
        <w:rPr>
          <w:lang w:val="en-GB" w:eastAsia="tr-TR"/>
        </w:rPr>
        <w:t>the low-wage ratio for year 2015. If our reasoning is correct</w:t>
      </w:r>
      <w:r w:rsidR="00427FB2" w:rsidRPr="00DA4693">
        <w:rPr>
          <w:szCs w:val="22"/>
          <w:lang w:val="en-GB" w:eastAsia="tr-TR"/>
        </w:rPr>
        <w:t>,</w:t>
      </w:r>
      <w:r w:rsidR="00427FB2">
        <w:rPr>
          <w:szCs w:val="22"/>
          <w:lang w:val="en-GB" w:eastAsia="tr-TR"/>
        </w:rPr>
        <w:t xml:space="preserve"> we expect that informal working will increase especially in low-paid sectors. </w:t>
      </w:r>
      <w:r w:rsidR="00427FB2" w:rsidRPr="00DA4693">
        <w:rPr>
          <w:szCs w:val="22"/>
          <w:lang w:val="en-GB" w:eastAsia="tr-TR"/>
        </w:rPr>
        <w:t xml:space="preserve"> </w:t>
      </w:r>
      <w:r w:rsidR="00FE1DC1">
        <w:rPr>
          <w:szCs w:val="22"/>
          <w:lang w:val="en-GB" w:eastAsia="tr-TR"/>
        </w:rPr>
        <w:t xml:space="preserve">At the same time, it is a necessary to show that </w:t>
      </w:r>
      <w:r w:rsidR="004F4B6E">
        <w:rPr>
          <w:szCs w:val="22"/>
          <w:lang w:val="en-GB" w:eastAsia="tr-TR"/>
        </w:rPr>
        <w:t xml:space="preserve">the same increase in </w:t>
      </w:r>
      <w:r w:rsidR="00FE1DC1">
        <w:rPr>
          <w:szCs w:val="22"/>
          <w:lang w:val="en-GB" w:eastAsia="tr-TR"/>
        </w:rPr>
        <w:t xml:space="preserve">informality </w:t>
      </w:r>
      <w:r w:rsidR="004F4B6E">
        <w:rPr>
          <w:szCs w:val="22"/>
          <w:lang w:val="en-GB" w:eastAsia="tr-TR"/>
        </w:rPr>
        <w:t>does not occur in the same low-wage sectors.</w:t>
      </w:r>
      <w:r w:rsidR="002763D8">
        <w:rPr>
          <w:szCs w:val="22"/>
          <w:lang w:val="en-GB" w:eastAsia="tr-TR"/>
        </w:rPr>
        <w:t xml:space="preserve"> The rate of low paid workers and informality of sectors in the period of 2014-2016 were presented in the Table 1.  </w:t>
      </w:r>
      <w:r w:rsidR="004F4B6E">
        <w:rPr>
          <w:szCs w:val="22"/>
          <w:lang w:val="en-GB" w:eastAsia="tr-TR"/>
        </w:rPr>
        <w:t xml:space="preserve">Despite </w:t>
      </w:r>
      <w:r w:rsidR="002763D8">
        <w:rPr>
          <w:szCs w:val="22"/>
          <w:lang w:val="en-GB" w:eastAsia="tr-TR"/>
        </w:rPr>
        <w:t>big difference</w:t>
      </w:r>
      <w:r w:rsidR="004F4B6E">
        <w:rPr>
          <w:szCs w:val="22"/>
          <w:lang w:val="en-GB" w:eastAsia="tr-TR"/>
        </w:rPr>
        <w:t>s</w:t>
      </w:r>
      <w:r w:rsidR="002763D8">
        <w:rPr>
          <w:szCs w:val="22"/>
          <w:lang w:val="en-GB" w:eastAsia="tr-TR"/>
        </w:rPr>
        <w:t xml:space="preserve"> in the level</w:t>
      </w:r>
      <w:r w:rsidR="004F4B6E">
        <w:rPr>
          <w:szCs w:val="22"/>
          <w:lang w:val="en-GB" w:eastAsia="tr-TR"/>
        </w:rPr>
        <w:t>s</w:t>
      </w:r>
      <w:r w:rsidR="002763D8">
        <w:rPr>
          <w:szCs w:val="22"/>
          <w:lang w:val="en-GB" w:eastAsia="tr-TR"/>
        </w:rPr>
        <w:t xml:space="preserve"> of </w:t>
      </w:r>
      <w:r w:rsidR="001C06C5">
        <w:rPr>
          <w:szCs w:val="22"/>
          <w:lang w:val="en-GB" w:eastAsia="tr-TR"/>
        </w:rPr>
        <w:t xml:space="preserve">low-wage workers </w:t>
      </w:r>
      <w:r w:rsidR="002763D8">
        <w:rPr>
          <w:szCs w:val="22"/>
          <w:lang w:val="en-GB" w:eastAsia="tr-TR"/>
        </w:rPr>
        <w:t>between years</w:t>
      </w:r>
      <w:r w:rsidR="004F4B6E">
        <w:rPr>
          <w:szCs w:val="22"/>
          <w:lang w:val="en-GB" w:eastAsia="tr-TR"/>
        </w:rPr>
        <w:t>,</w:t>
      </w:r>
      <w:r w:rsidR="002763D8">
        <w:rPr>
          <w:szCs w:val="22"/>
          <w:lang w:val="en-GB" w:eastAsia="tr-TR"/>
        </w:rPr>
        <w:t xml:space="preserve"> the ranking among sectors was almost constant in the period of 2014 and 2015</w:t>
      </w:r>
      <w:r w:rsidR="00072E4C">
        <w:rPr>
          <w:szCs w:val="22"/>
          <w:lang w:val="en-GB" w:eastAsia="tr-TR"/>
        </w:rPr>
        <w:t>.</w:t>
      </w:r>
    </w:p>
    <w:p w14:paraId="272EDCDB" w14:textId="77777777" w:rsidR="00486E2E" w:rsidRPr="001F2847" w:rsidRDefault="00486E2E" w:rsidP="00486E2E">
      <w:pPr>
        <w:shd w:val="clear" w:color="auto" w:fill="FFFFFF"/>
        <w:suppressAutoHyphens w:val="0"/>
        <w:spacing w:after="0"/>
        <w:rPr>
          <w:lang w:val="en-GB" w:eastAsia="tr-TR"/>
        </w:rPr>
      </w:pPr>
    </w:p>
    <w:p w14:paraId="6A138E4C" w14:textId="56E1CDEF" w:rsidR="00DA4693" w:rsidRPr="00DA4693" w:rsidRDefault="00DA4693" w:rsidP="008342DA">
      <w:pPr>
        <w:rPr>
          <w:szCs w:val="22"/>
          <w:lang w:val="en-GB" w:eastAsia="tr-TR"/>
        </w:rPr>
      </w:pPr>
      <w:r w:rsidRPr="00DA4693">
        <w:rPr>
          <w:szCs w:val="22"/>
          <w:lang w:val="en-GB" w:eastAsia="tr-TR"/>
        </w:rPr>
        <w:t>We have two main data sources. Firstly, we use 2014</w:t>
      </w:r>
      <w:r w:rsidR="00033403">
        <w:rPr>
          <w:szCs w:val="22"/>
          <w:lang w:val="en-GB" w:eastAsia="tr-TR"/>
        </w:rPr>
        <w:t>-2016</w:t>
      </w:r>
      <w:r w:rsidRPr="00DA4693">
        <w:rPr>
          <w:szCs w:val="22"/>
          <w:lang w:val="en-GB" w:eastAsia="tr-TR"/>
        </w:rPr>
        <w:t xml:space="preserve"> H</w:t>
      </w:r>
      <w:r w:rsidR="00033403">
        <w:rPr>
          <w:szCs w:val="22"/>
          <w:lang w:val="en-GB" w:eastAsia="tr-TR"/>
        </w:rPr>
        <w:t>LFS</w:t>
      </w:r>
      <w:r w:rsidRPr="00DA4693">
        <w:rPr>
          <w:szCs w:val="22"/>
          <w:lang w:val="en-GB" w:eastAsia="tr-TR"/>
        </w:rPr>
        <w:t xml:space="preserve"> micro data </w:t>
      </w:r>
      <w:r w:rsidR="00033403">
        <w:rPr>
          <w:szCs w:val="22"/>
          <w:lang w:val="en-GB" w:eastAsia="tr-TR"/>
        </w:rPr>
        <w:t>to compute ratio of low wage workers in each sector. The other</w:t>
      </w:r>
      <w:r>
        <w:rPr>
          <w:szCs w:val="22"/>
          <w:lang w:val="en-GB" w:eastAsia="tr-TR"/>
        </w:rPr>
        <w:t xml:space="preserve"> data source is </w:t>
      </w:r>
      <w:r w:rsidR="00F47553">
        <w:rPr>
          <w:szCs w:val="22"/>
          <w:lang w:val="en-GB" w:eastAsia="tr-TR"/>
        </w:rPr>
        <w:t>online labor force statistics</w:t>
      </w:r>
      <w:r>
        <w:rPr>
          <w:szCs w:val="22"/>
          <w:lang w:val="en-GB" w:eastAsia="tr-TR"/>
        </w:rPr>
        <w:t xml:space="preserve"> used</w:t>
      </w:r>
      <w:r w:rsidR="00F47553">
        <w:rPr>
          <w:szCs w:val="22"/>
          <w:lang w:val="en-GB" w:eastAsia="tr-TR"/>
        </w:rPr>
        <w:t xml:space="preserve"> for measuring the </w:t>
      </w:r>
      <w:r w:rsidR="00033403">
        <w:rPr>
          <w:szCs w:val="22"/>
          <w:lang w:val="en-GB" w:eastAsia="tr-TR"/>
        </w:rPr>
        <w:t xml:space="preserve">quarterly rates of informality </w:t>
      </w:r>
      <w:r w:rsidR="00F47553">
        <w:rPr>
          <w:szCs w:val="22"/>
          <w:lang w:val="en-GB" w:eastAsia="tr-TR"/>
        </w:rPr>
        <w:t>at sector</w:t>
      </w:r>
      <w:r w:rsidR="00033403">
        <w:rPr>
          <w:szCs w:val="22"/>
          <w:lang w:val="en-GB" w:eastAsia="tr-TR"/>
        </w:rPr>
        <w:t>al</w:t>
      </w:r>
      <w:r w:rsidR="00F47553">
        <w:rPr>
          <w:szCs w:val="22"/>
          <w:lang w:val="en-GB" w:eastAsia="tr-TR"/>
        </w:rPr>
        <w:t xml:space="preserve"> level.  In order to get this data, we use the link “February 2014 and after” in the “Dynamic Search” section of the “Statistical Tables and Dynamic Interrogation” heading in the “Labor Statistics” section on the TURKSTAT website. </w:t>
      </w:r>
      <w:r w:rsidR="008350DC">
        <w:rPr>
          <w:szCs w:val="22"/>
          <w:lang w:val="en-GB" w:eastAsia="tr-TR"/>
        </w:rPr>
        <w:t xml:space="preserve"> </w:t>
      </w:r>
      <w:r w:rsidR="004F64BF">
        <w:rPr>
          <w:szCs w:val="22"/>
          <w:lang w:val="en-GB" w:eastAsia="tr-TR"/>
        </w:rPr>
        <w:t>U</w:t>
      </w:r>
      <w:r w:rsidR="008350DC">
        <w:rPr>
          <w:szCs w:val="22"/>
          <w:lang w:val="en-GB" w:eastAsia="tr-TR"/>
        </w:rPr>
        <w:t>nfortunately</w:t>
      </w:r>
      <w:r w:rsidR="004F64BF">
        <w:rPr>
          <w:szCs w:val="22"/>
          <w:lang w:val="en-GB" w:eastAsia="tr-TR"/>
        </w:rPr>
        <w:t>,</w:t>
      </w:r>
      <w:r w:rsidR="008350DC">
        <w:rPr>
          <w:szCs w:val="22"/>
          <w:lang w:val="en-GB" w:eastAsia="tr-TR"/>
        </w:rPr>
        <w:t xml:space="preserve"> </w:t>
      </w:r>
      <w:r w:rsidR="004F64BF">
        <w:rPr>
          <w:szCs w:val="22"/>
          <w:lang w:val="en-GB" w:eastAsia="tr-TR"/>
        </w:rPr>
        <w:t xml:space="preserve">at </w:t>
      </w:r>
      <w:r w:rsidR="00F35452">
        <w:rPr>
          <w:szCs w:val="22"/>
          <w:lang w:val="en-GB" w:eastAsia="tr-TR"/>
        </w:rPr>
        <w:t>sectoral level (18 sectors)</w:t>
      </w:r>
      <w:r w:rsidR="004F64BF">
        <w:rPr>
          <w:szCs w:val="22"/>
          <w:lang w:val="en-GB" w:eastAsia="tr-TR"/>
        </w:rPr>
        <w:t xml:space="preserve"> queries, it is not possible to get informal employment figures for wage and non-wage earners separately. As a result</w:t>
      </w:r>
      <w:r w:rsidR="003E7957">
        <w:rPr>
          <w:szCs w:val="22"/>
          <w:lang w:val="en-GB" w:eastAsia="tr-TR"/>
        </w:rPr>
        <w:t>, we</w:t>
      </w:r>
      <w:r w:rsidR="004F64BF">
        <w:rPr>
          <w:szCs w:val="22"/>
          <w:lang w:val="en-GB" w:eastAsia="tr-TR"/>
        </w:rPr>
        <w:t xml:space="preserve"> are forced to</w:t>
      </w:r>
      <w:r w:rsidR="003E7957">
        <w:rPr>
          <w:szCs w:val="22"/>
          <w:lang w:val="en-GB" w:eastAsia="tr-TR"/>
        </w:rPr>
        <w:t xml:space="preserve"> calculate the rate of sectoral informal employment for total employment. </w:t>
      </w:r>
    </w:p>
    <w:p w14:paraId="47FFD67F" w14:textId="5F92E832" w:rsidR="00F77A00" w:rsidRPr="00BE14B7" w:rsidRDefault="002E0ACA" w:rsidP="008342DA">
      <w:pPr>
        <w:rPr>
          <w:szCs w:val="22"/>
          <w:lang w:val="en-GB" w:eastAsia="tr-TR"/>
        </w:rPr>
      </w:pPr>
      <w:r>
        <w:rPr>
          <w:szCs w:val="22"/>
          <w:lang w:val="en-GB" w:eastAsia="tr-TR"/>
        </w:rPr>
        <w:lastRenderedPageBreak/>
        <w:t xml:space="preserve">The </w:t>
      </w:r>
      <w:r w:rsidR="00F77A00" w:rsidRPr="00BE14B7">
        <w:rPr>
          <w:szCs w:val="22"/>
          <w:lang w:val="en-GB" w:eastAsia="tr-TR"/>
        </w:rPr>
        <w:t>H</w:t>
      </w:r>
      <w:r>
        <w:rPr>
          <w:szCs w:val="22"/>
          <w:lang w:val="en-GB" w:eastAsia="tr-TR"/>
        </w:rPr>
        <w:t>ousehold Budget Surveys compiled also by TurkStat considers workers with 35 hours (usual working hours)</w:t>
      </w:r>
      <w:r w:rsidR="00BE14B7" w:rsidRPr="00BE14B7">
        <w:rPr>
          <w:szCs w:val="22"/>
          <w:lang w:val="en-GB" w:eastAsia="tr-TR"/>
        </w:rPr>
        <w:t xml:space="preserve"> </w:t>
      </w:r>
      <w:r>
        <w:rPr>
          <w:szCs w:val="22"/>
          <w:lang w:val="en-GB" w:eastAsia="tr-TR"/>
        </w:rPr>
        <w:t xml:space="preserve">as </w:t>
      </w:r>
      <w:r w:rsidR="00B27556">
        <w:rPr>
          <w:szCs w:val="22"/>
          <w:lang w:val="en-GB" w:eastAsia="tr-TR"/>
        </w:rPr>
        <w:t>full-time</w:t>
      </w:r>
      <w:r>
        <w:rPr>
          <w:szCs w:val="22"/>
          <w:lang w:val="en-GB" w:eastAsia="tr-TR"/>
        </w:rPr>
        <w:t xml:space="preserve"> workers and the ones who work less as part-time workers. </w:t>
      </w:r>
      <w:r w:rsidR="00576244">
        <w:rPr>
          <w:szCs w:val="22"/>
          <w:lang w:val="en-GB" w:eastAsia="tr-TR"/>
        </w:rPr>
        <w:t xml:space="preserve">Thus, </w:t>
      </w:r>
      <w:r w:rsidR="00FB1CDE">
        <w:rPr>
          <w:szCs w:val="22"/>
          <w:lang w:val="en-GB" w:eastAsia="tr-TR"/>
        </w:rPr>
        <w:t xml:space="preserve">when we calculate the rate of </w:t>
      </w:r>
      <w:r w:rsidR="001C06C5">
        <w:rPr>
          <w:szCs w:val="22"/>
          <w:lang w:val="en-GB" w:eastAsia="tr-TR"/>
        </w:rPr>
        <w:t xml:space="preserve">low-wage workers </w:t>
      </w:r>
      <w:r w:rsidR="00FB1CDE">
        <w:rPr>
          <w:szCs w:val="22"/>
          <w:lang w:val="en-GB" w:eastAsia="tr-TR"/>
        </w:rPr>
        <w:t xml:space="preserve">at sectoral level, we </w:t>
      </w:r>
      <w:r w:rsidR="00A62CA6">
        <w:rPr>
          <w:szCs w:val="22"/>
          <w:lang w:val="en-GB" w:eastAsia="tr-TR"/>
        </w:rPr>
        <w:t>consider</w:t>
      </w:r>
      <w:r w:rsidR="00FB1CDE">
        <w:rPr>
          <w:szCs w:val="22"/>
          <w:lang w:val="en-GB" w:eastAsia="tr-TR"/>
        </w:rPr>
        <w:t xml:space="preserve"> </w:t>
      </w:r>
      <w:r w:rsidR="00B0189E">
        <w:rPr>
          <w:szCs w:val="22"/>
          <w:lang w:val="en-GB" w:eastAsia="tr-TR"/>
        </w:rPr>
        <w:t>wage earners</w:t>
      </w:r>
      <w:r w:rsidR="00FB1CDE">
        <w:rPr>
          <w:szCs w:val="22"/>
          <w:lang w:val="en-GB" w:eastAsia="tr-TR"/>
        </w:rPr>
        <w:t xml:space="preserve"> who ha</w:t>
      </w:r>
      <w:r w:rsidR="00B0189E">
        <w:rPr>
          <w:szCs w:val="22"/>
          <w:lang w:val="en-GB" w:eastAsia="tr-TR"/>
        </w:rPr>
        <w:t>ve</w:t>
      </w:r>
      <w:r w:rsidR="00FB1CDE">
        <w:rPr>
          <w:szCs w:val="22"/>
          <w:lang w:val="en-GB" w:eastAsia="tr-TR"/>
        </w:rPr>
        <w:t xml:space="preserve"> positive wage and monthly income</w:t>
      </w:r>
      <w:r w:rsidR="00B0189E">
        <w:rPr>
          <w:szCs w:val="22"/>
          <w:lang w:val="en-GB" w:eastAsia="tr-TR"/>
        </w:rPr>
        <w:t xml:space="preserve"> as a</w:t>
      </w:r>
      <w:r w:rsidR="00FB1CDE">
        <w:rPr>
          <w:szCs w:val="22"/>
          <w:lang w:val="en-GB" w:eastAsia="tr-TR"/>
        </w:rPr>
        <w:t xml:space="preserve"> minimum wage and below and work weekly 35 and more hours (full-time)</w:t>
      </w:r>
      <w:r w:rsidR="00B0189E">
        <w:rPr>
          <w:szCs w:val="22"/>
          <w:lang w:val="en-GB" w:eastAsia="tr-TR"/>
        </w:rPr>
        <w:t>.</w:t>
      </w:r>
    </w:p>
    <w:p w14:paraId="4BF180EC" w14:textId="1DDBA6C9" w:rsidR="00B0189E" w:rsidRPr="0034326A" w:rsidRDefault="003D1038" w:rsidP="008342DA">
      <w:pPr>
        <w:rPr>
          <w:szCs w:val="22"/>
          <w:lang w:val="en-GB" w:eastAsia="tr-TR"/>
        </w:rPr>
      </w:pPr>
      <w:r w:rsidRPr="003D1038">
        <w:rPr>
          <w:szCs w:val="22"/>
          <w:lang w:val="en-GB" w:eastAsia="tr-TR"/>
        </w:rPr>
        <w:t xml:space="preserve">We do our analyses </w:t>
      </w:r>
      <w:r>
        <w:rPr>
          <w:szCs w:val="22"/>
          <w:lang w:val="en-GB" w:eastAsia="tr-TR"/>
        </w:rPr>
        <w:t xml:space="preserve">by using </w:t>
      </w:r>
      <w:r w:rsidRPr="003D1038">
        <w:rPr>
          <w:szCs w:val="22"/>
          <w:lang w:val="en-GB" w:eastAsia="tr-TR"/>
        </w:rPr>
        <w:t xml:space="preserve">annual changes since the data of monthly employment has seasonality. </w:t>
      </w:r>
      <w:r w:rsidR="00990BD7">
        <w:rPr>
          <w:szCs w:val="22"/>
          <w:lang w:val="en-GB" w:eastAsia="tr-TR"/>
        </w:rPr>
        <w:t xml:space="preserve">Thus, we use the data of February, May, August and November in the period of </w:t>
      </w:r>
      <w:r w:rsidR="00993190">
        <w:rPr>
          <w:szCs w:val="22"/>
          <w:lang w:val="en-GB" w:eastAsia="tr-TR"/>
        </w:rPr>
        <w:t xml:space="preserve">2014, </w:t>
      </w:r>
      <w:r w:rsidR="00990BD7">
        <w:rPr>
          <w:szCs w:val="22"/>
          <w:lang w:val="en-GB" w:eastAsia="tr-TR"/>
        </w:rPr>
        <w:t xml:space="preserve">2015 and 2016 and the data of February, May, August in the period of 2017.  As known, the monthly data of HLFS are averages of three months. Thus, the data of February, May, August and November correspond to four quarter of a year. If our hypothesis is true we expect a positive correlation between the two variables. On the other hand, we do not expect a positive correlation between the increase of sectoral informal employment and the share of low paid workers in sector </w:t>
      </w:r>
      <w:r w:rsidR="002D1CE2">
        <w:rPr>
          <w:szCs w:val="22"/>
          <w:lang w:val="en-GB" w:eastAsia="tr-TR"/>
        </w:rPr>
        <w:t xml:space="preserve">compared to same months of 2014 and 2015 </w:t>
      </w:r>
      <w:r w:rsidR="00B903EE">
        <w:rPr>
          <w:szCs w:val="22"/>
          <w:lang w:val="en-GB" w:eastAsia="tr-TR"/>
        </w:rPr>
        <w:t>since there</w:t>
      </w:r>
      <w:r w:rsidR="00990BD7">
        <w:rPr>
          <w:szCs w:val="22"/>
          <w:lang w:val="en-GB" w:eastAsia="tr-TR"/>
        </w:rPr>
        <w:t xml:space="preserve"> is not a minimum wage shock in sectors f</w:t>
      </w:r>
      <w:r w:rsidR="000B172D">
        <w:rPr>
          <w:szCs w:val="22"/>
          <w:lang w:val="en-GB" w:eastAsia="tr-TR"/>
        </w:rPr>
        <w:t>rom the period of 2014 to 2015.</w:t>
      </w:r>
    </w:p>
    <w:p w14:paraId="243338C7" w14:textId="1E74CABD" w:rsidR="008342DA" w:rsidRPr="0034326A" w:rsidRDefault="0034326A" w:rsidP="008342DA">
      <w:pPr>
        <w:pStyle w:val="Heading2"/>
        <w:rPr>
          <w:rFonts w:eastAsiaTheme="minorHAnsi"/>
          <w:sz w:val="22"/>
          <w:szCs w:val="22"/>
          <w:lang w:eastAsia="en-US"/>
        </w:rPr>
      </w:pPr>
      <w:r w:rsidRPr="0034326A">
        <w:rPr>
          <w:rFonts w:eastAsiaTheme="minorHAnsi"/>
          <w:sz w:val="22"/>
          <w:szCs w:val="22"/>
          <w:lang w:eastAsia="en-US"/>
        </w:rPr>
        <w:t xml:space="preserve">The informality and wage distribution of sectors </w:t>
      </w:r>
    </w:p>
    <w:p w14:paraId="16C1944E" w14:textId="3212AB11" w:rsidR="0029754F" w:rsidRPr="0029754F" w:rsidRDefault="0029754F" w:rsidP="008342DA">
      <w:pPr>
        <w:rPr>
          <w:szCs w:val="22"/>
          <w:lang w:val="en-GB" w:eastAsia="tr-TR"/>
        </w:rPr>
      </w:pPr>
      <w:r w:rsidRPr="0029754F">
        <w:rPr>
          <w:szCs w:val="22"/>
          <w:lang w:val="en-GB" w:eastAsia="tr-TR"/>
        </w:rPr>
        <w:t>W</w:t>
      </w:r>
      <w:r w:rsidR="00542E5F">
        <w:rPr>
          <w:szCs w:val="22"/>
          <w:lang w:val="en-GB" w:eastAsia="tr-TR"/>
        </w:rPr>
        <w:t>e see a positive correlation between informality rate and low-wage ratio when considering sectoral data (17 sectors)</w:t>
      </w:r>
      <w:r w:rsidR="00EA5812">
        <w:rPr>
          <w:szCs w:val="22"/>
          <w:lang w:val="en-GB" w:eastAsia="tr-TR"/>
        </w:rPr>
        <w:t xml:space="preserve"> </w:t>
      </w:r>
      <w:r w:rsidR="00BE78BE">
        <w:rPr>
          <w:szCs w:val="22"/>
          <w:lang w:val="en-GB" w:eastAsia="tr-TR"/>
        </w:rPr>
        <w:t>(</w:t>
      </w:r>
      <w:r w:rsidR="00542E5F">
        <w:rPr>
          <w:szCs w:val="22"/>
          <w:lang w:val="en-GB" w:eastAsia="tr-TR"/>
        </w:rPr>
        <w:t xml:space="preserve">see </w:t>
      </w:r>
      <w:r w:rsidR="00BE78BE">
        <w:rPr>
          <w:szCs w:val="22"/>
          <w:lang w:val="en-GB" w:eastAsia="tr-TR"/>
        </w:rPr>
        <w:t>Figure 1</w:t>
      </w:r>
      <w:r w:rsidR="00542E5F">
        <w:rPr>
          <w:szCs w:val="22"/>
          <w:lang w:val="en-GB" w:eastAsia="tr-TR"/>
        </w:rPr>
        <w:t xml:space="preserve"> in </w:t>
      </w:r>
      <w:r w:rsidR="0086508E">
        <w:rPr>
          <w:szCs w:val="22"/>
          <w:lang w:val="en-GB" w:eastAsia="tr-TR"/>
        </w:rPr>
        <w:t>the a</w:t>
      </w:r>
      <w:r w:rsidR="00542E5F">
        <w:rPr>
          <w:szCs w:val="22"/>
          <w:lang w:val="en-GB" w:eastAsia="tr-TR"/>
        </w:rPr>
        <w:t>ppendix</w:t>
      </w:r>
      <w:r w:rsidR="00BE78BE">
        <w:rPr>
          <w:szCs w:val="22"/>
          <w:lang w:val="en-GB" w:eastAsia="tr-TR"/>
        </w:rPr>
        <w:t>).</w:t>
      </w:r>
      <w:r w:rsidR="003D67DA">
        <w:rPr>
          <w:szCs w:val="22"/>
          <w:lang w:val="en-GB" w:eastAsia="tr-TR"/>
        </w:rPr>
        <w:t xml:space="preserve"> Here, we need to make an important reminder.</w:t>
      </w:r>
      <w:r w:rsidR="00262014">
        <w:rPr>
          <w:szCs w:val="22"/>
          <w:lang w:val="en-GB" w:eastAsia="tr-TR"/>
        </w:rPr>
        <w:t xml:space="preserve"> The rate of informality is high in agriculture; thus, we analyse non-agricultural sectors. This is the reason why we use the information of 17 sectors rather than 18 sectors.  At the same time, inclusion of agriculture do</w:t>
      </w:r>
      <w:r w:rsidR="0037668E">
        <w:rPr>
          <w:szCs w:val="22"/>
          <w:lang w:val="en-GB" w:eastAsia="tr-TR"/>
        </w:rPr>
        <w:t>es</w:t>
      </w:r>
      <w:r w:rsidR="00262014">
        <w:rPr>
          <w:szCs w:val="22"/>
          <w:lang w:val="en-GB" w:eastAsia="tr-TR"/>
        </w:rPr>
        <w:t xml:space="preserve"> not affect our results since sectoral analyses focus on annual changes.</w:t>
      </w:r>
    </w:p>
    <w:p w14:paraId="7A9F6574" w14:textId="74E9D259" w:rsidR="00262014" w:rsidRPr="00262014" w:rsidRDefault="00262014" w:rsidP="008342DA">
      <w:pPr>
        <w:rPr>
          <w:szCs w:val="22"/>
          <w:lang w:val="en-GB" w:eastAsia="tr-TR"/>
        </w:rPr>
      </w:pPr>
      <w:r w:rsidRPr="00262014">
        <w:rPr>
          <w:szCs w:val="22"/>
          <w:lang w:val="en-GB" w:eastAsia="tr-TR"/>
        </w:rPr>
        <w:t xml:space="preserve">Table 1 shows </w:t>
      </w:r>
      <w:r>
        <w:rPr>
          <w:szCs w:val="22"/>
          <w:lang w:val="en-GB" w:eastAsia="tr-TR"/>
        </w:rPr>
        <w:t xml:space="preserve">the rate of informal employment and low paid workers </w:t>
      </w:r>
      <w:r w:rsidR="0037668E">
        <w:rPr>
          <w:szCs w:val="22"/>
          <w:lang w:val="en-GB" w:eastAsia="tr-TR"/>
        </w:rPr>
        <w:t xml:space="preserve">in 17 sectors </w:t>
      </w:r>
      <w:r>
        <w:rPr>
          <w:szCs w:val="22"/>
          <w:lang w:val="en-GB" w:eastAsia="tr-TR"/>
        </w:rPr>
        <w:t xml:space="preserve">for the last three years.  </w:t>
      </w:r>
      <w:r w:rsidR="0037668E">
        <w:rPr>
          <w:szCs w:val="22"/>
          <w:lang w:val="en-GB" w:eastAsia="tr-TR"/>
        </w:rPr>
        <w:t>The</w:t>
      </w:r>
      <w:r>
        <w:rPr>
          <w:szCs w:val="22"/>
          <w:lang w:val="en-GB" w:eastAsia="tr-TR"/>
        </w:rPr>
        <w:t xml:space="preserve"> differences between sectors are striking.  Informal employment is very high in “Other Services” (</w:t>
      </w:r>
      <w:r w:rsidR="00B75E9D">
        <w:rPr>
          <w:szCs w:val="22"/>
          <w:lang w:val="en-GB" w:eastAsia="tr-TR"/>
        </w:rPr>
        <w:t xml:space="preserve">52.1 percentage in the period of 2016). On the other </w:t>
      </w:r>
      <w:r w:rsidR="00975927">
        <w:rPr>
          <w:szCs w:val="22"/>
          <w:lang w:val="en-GB" w:eastAsia="tr-TR"/>
        </w:rPr>
        <w:t>hand, it</w:t>
      </w:r>
      <w:r w:rsidR="00B75E9D">
        <w:rPr>
          <w:szCs w:val="22"/>
          <w:lang w:val="en-GB" w:eastAsia="tr-TR"/>
        </w:rPr>
        <w:t xml:space="preserve"> is low in the sectors of “Mining and Quarrying”, “Public Administrative and Defence”, “Education” and “Financial and Insurance </w:t>
      </w:r>
      <w:r w:rsidR="00975927">
        <w:rPr>
          <w:szCs w:val="22"/>
          <w:lang w:val="en-GB" w:eastAsia="tr-TR"/>
        </w:rPr>
        <w:t>Activities” (</w:t>
      </w:r>
      <w:r w:rsidR="00B75E9D">
        <w:rPr>
          <w:szCs w:val="22"/>
          <w:lang w:val="en-GB" w:eastAsia="tr-TR"/>
        </w:rPr>
        <w:t>5.0 percentage and below i</w:t>
      </w:r>
      <w:r w:rsidR="0037668E">
        <w:rPr>
          <w:szCs w:val="22"/>
          <w:lang w:val="en-GB" w:eastAsia="tr-TR"/>
        </w:rPr>
        <w:t>n 2016). In</w:t>
      </w:r>
      <w:r w:rsidR="00B75E9D">
        <w:rPr>
          <w:szCs w:val="22"/>
          <w:lang w:val="en-GB" w:eastAsia="tr-TR"/>
        </w:rPr>
        <w:t xml:space="preserve"> 2016</w:t>
      </w:r>
      <w:r w:rsidR="00506C24">
        <w:rPr>
          <w:szCs w:val="22"/>
          <w:lang w:val="en-GB" w:eastAsia="tr-TR"/>
        </w:rPr>
        <w:t>, compared to 2015,</w:t>
      </w:r>
      <w:r w:rsidR="00B75E9D">
        <w:rPr>
          <w:szCs w:val="22"/>
          <w:lang w:val="en-GB" w:eastAsia="tr-TR"/>
        </w:rPr>
        <w:t xml:space="preserve"> the rate of informal</w:t>
      </w:r>
      <w:r w:rsidR="0037668E">
        <w:rPr>
          <w:szCs w:val="22"/>
          <w:lang w:val="en-GB" w:eastAsia="tr-TR"/>
        </w:rPr>
        <w:t>ity</w:t>
      </w:r>
      <w:r w:rsidR="00B75E9D">
        <w:rPr>
          <w:szCs w:val="22"/>
          <w:lang w:val="en-GB" w:eastAsia="tr-TR"/>
        </w:rPr>
        <w:t xml:space="preserve"> increased in many sectors</w:t>
      </w:r>
      <w:r w:rsidR="0037668E">
        <w:rPr>
          <w:szCs w:val="22"/>
          <w:lang w:val="en-GB" w:eastAsia="tr-TR"/>
        </w:rPr>
        <w:t xml:space="preserve"> while in 2015</w:t>
      </w:r>
      <w:r w:rsidR="00506C24">
        <w:rPr>
          <w:szCs w:val="22"/>
          <w:lang w:val="en-GB" w:eastAsia="tr-TR"/>
        </w:rPr>
        <w:t>, compared to 2014,</w:t>
      </w:r>
      <w:r w:rsidR="00B75E9D">
        <w:rPr>
          <w:szCs w:val="22"/>
          <w:lang w:val="en-GB" w:eastAsia="tr-TR"/>
        </w:rPr>
        <w:t xml:space="preserve"> </w:t>
      </w:r>
      <w:r w:rsidR="0037668E">
        <w:rPr>
          <w:szCs w:val="22"/>
          <w:lang w:val="en-GB" w:eastAsia="tr-TR"/>
        </w:rPr>
        <w:t>informality rates decreased i</w:t>
      </w:r>
      <w:r w:rsidR="00B75E9D">
        <w:rPr>
          <w:szCs w:val="22"/>
          <w:lang w:val="en-GB" w:eastAsia="tr-TR"/>
        </w:rPr>
        <w:t>n almost all sectors.</w:t>
      </w:r>
      <w:r w:rsidR="00975927">
        <w:rPr>
          <w:szCs w:val="22"/>
          <w:lang w:val="en-GB" w:eastAsia="tr-TR"/>
        </w:rPr>
        <w:t xml:space="preserve"> The sector of “Other Services” which has the high informality rate among non-agricultural sectors shows the most striking change:</w:t>
      </w:r>
      <w:r w:rsidR="009E56EF">
        <w:rPr>
          <w:szCs w:val="22"/>
          <w:lang w:val="en-GB" w:eastAsia="tr-TR"/>
        </w:rPr>
        <w:t xml:space="preserve"> in 2016,</w:t>
      </w:r>
      <w:r w:rsidR="00975927">
        <w:rPr>
          <w:szCs w:val="22"/>
          <w:lang w:val="en-GB" w:eastAsia="tr-TR"/>
        </w:rPr>
        <w:t xml:space="preserve"> it</w:t>
      </w:r>
      <w:r w:rsidR="009E56EF">
        <w:rPr>
          <w:szCs w:val="22"/>
          <w:lang w:val="en-GB" w:eastAsia="tr-TR"/>
        </w:rPr>
        <w:t>s informality rate increased by 0.3 percentage points (from 51.8 percentage to 52.1 percentage) while it decreased by 4.6 percentage points in the period of 2015.</w:t>
      </w:r>
      <w:r w:rsidR="00280C71">
        <w:rPr>
          <w:szCs w:val="22"/>
          <w:lang w:val="en-GB" w:eastAsia="tr-TR"/>
        </w:rPr>
        <w:t xml:space="preserve"> Lastly, in the </w:t>
      </w:r>
      <w:r w:rsidR="00506C24">
        <w:rPr>
          <w:szCs w:val="22"/>
          <w:lang w:val="en-GB" w:eastAsia="tr-TR"/>
        </w:rPr>
        <w:t>large sector of manufacturing</w:t>
      </w:r>
      <w:r w:rsidR="00280C71">
        <w:rPr>
          <w:szCs w:val="22"/>
          <w:lang w:val="en-GB" w:eastAsia="tr-TR"/>
        </w:rPr>
        <w:t xml:space="preserve">, the rate of informal employment increased by 1.1 percentage points (from 18.9 percentage to 19.9 percentage) in the period of 2015-2016 while it decreased by 1.3 percentage points in the period of 2014-2015. </w:t>
      </w:r>
    </w:p>
    <w:p w14:paraId="72869A3C" w14:textId="7229B1E5" w:rsidR="003B0B28" w:rsidRPr="0008418D" w:rsidRDefault="00F4716A" w:rsidP="00E53923">
      <w:pPr>
        <w:rPr>
          <w:szCs w:val="22"/>
          <w:lang w:val="en-GB" w:eastAsia="tr-TR"/>
        </w:rPr>
      </w:pPr>
      <w:r w:rsidRPr="00F4716A">
        <w:rPr>
          <w:szCs w:val="22"/>
          <w:lang w:val="en-GB" w:eastAsia="tr-TR"/>
        </w:rPr>
        <w:t xml:space="preserve">Table </w:t>
      </w:r>
      <w:r>
        <w:rPr>
          <w:szCs w:val="22"/>
          <w:lang w:val="en-GB" w:eastAsia="tr-TR"/>
        </w:rPr>
        <w:t>1 also shows that share of low paid workers in each sector and the relationsh</w:t>
      </w:r>
      <w:r w:rsidR="005F1303">
        <w:rPr>
          <w:szCs w:val="22"/>
          <w:lang w:val="en-GB" w:eastAsia="tr-TR"/>
        </w:rPr>
        <w:t xml:space="preserve">ip between the rate of informal employment and the rate of low paid workers. </w:t>
      </w:r>
      <w:r w:rsidR="00410752">
        <w:rPr>
          <w:szCs w:val="22"/>
          <w:lang w:val="en-GB" w:eastAsia="tr-TR"/>
        </w:rPr>
        <w:t>The positive correlation between these two rates are striking (see Table 1</w:t>
      </w:r>
      <w:r w:rsidR="008B1620">
        <w:rPr>
          <w:szCs w:val="22"/>
          <w:lang w:val="en-GB" w:eastAsia="tr-TR"/>
        </w:rPr>
        <w:t xml:space="preserve"> in </w:t>
      </w:r>
      <w:r w:rsidR="001C06C5">
        <w:rPr>
          <w:szCs w:val="22"/>
          <w:lang w:val="en-GB" w:eastAsia="tr-TR"/>
        </w:rPr>
        <w:t>the a</w:t>
      </w:r>
      <w:r w:rsidR="008B1620">
        <w:rPr>
          <w:szCs w:val="22"/>
          <w:lang w:val="en-GB" w:eastAsia="tr-TR"/>
        </w:rPr>
        <w:t>ppendix</w:t>
      </w:r>
      <w:r w:rsidR="00410752">
        <w:rPr>
          <w:szCs w:val="22"/>
          <w:lang w:val="en-GB" w:eastAsia="tr-TR"/>
        </w:rPr>
        <w:t>). Generally, the rate of informal employee is high</w:t>
      </w:r>
      <w:r w:rsidR="006D52E7">
        <w:rPr>
          <w:szCs w:val="22"/>
          <w:lang w:val="en-GB" w:eastAsia="tr-TR"/>
        </w:rPr>
        <w:t xml:space="preserve"> in low paid sectors</w:t>
      </w:r>
      <w:r w:rsidR="00410752">
        <w:rPr>
          <w:szCs w:val="22"/>
          <w:lang w:val="en-GB" w:eastAsia="tr-TR"/>
        </w:rPr>
        <w:t xml:space="preserve">. </w:t>
      </w:r>
      <w:r w:rsidR="006D52E7">
        <w:rPr>
          <w:szCs w:val="22"/>
          <w:lang w:val="en-GB" w:eastAsia="tr-TR"/>
        </w:rPr>
        <w:t xml:space="preserve"> In the period of 2016, the</w:t>
      </w:r>
      <w:r w:rsidR="00410752">
        <w:rPr>
          <w:szCs w:val="22"/>
          <w:lang w:val="en-GB" w:eastAsia="tr-TR"/>
        </w:rPr>
        <w:t xml:space="preserve"> rate of low-</w:t>
      </w:r>
      <w:r w:rsidR="00410752">
        <w:rPr>
          <w:szCs w:val="22"/>
          <w:lang w:val="en-GB" w:eastAsia="tr-TR"/>
        </w:rPr>
        <w:lastRenderedPageBreak/>
        <w:t xml:space="preserve">paid employees is </w:t>
      </w:r>
      <w:r w:rsidR="006D52E7">
        <w:rPr>
          <w:szCs w:val="22"/>
          <w:lang w:val="en-GB" w:eastAsia="tr-TR"/>
        </w:rPr>
        <w:t xml:space="preserve">the highest </w:t>
      </w:r>
      <w:r w:rsidR="00410752">
        <w:rPr>
          <w:szCs w:val="22"/>
          <w:lang w:val="en-GB" w:eastAsia="tr-TR"/>
        </w:rPr>
        <w:t xml:space="preserve">in the sectors of “Other Services” </w:t>
      </w:r>
      <w:r w:rsidR="006D52E7">
        <w:rPr>
          <w:szCs w:val="22"/>
          <w:lang w:val="en-GB" w:eastAsia="tr-TR"/>
        </w:rPr>
        <w:t>and “</w:t>
      </w:r>
      <w:r w:rsidR="00410752">
        <w:rPr>
          <w:szCs w:val="22"/>
          <w:lang w:val="en-GB" w:eastAsia="tr-TR"/>
        </w:rPr>
        <w:t>Human Health”</w:t>
      </w:r>
      <w:r w:rsidR="006D52E7">
        <w:rPr>
          <w:szCs w:val="22"/>
          <w:lang w:val="en-GB" w:eastAsia="tr-TR"/>
        </w:rPr>
        <w:t xml:space="preserve"> (45.0 percentage and 28.9 percentage respectively). On the other hand, in the sectors of “Financial and Insurance Activities” and “Public Administrative and Defence”, the rate of low paid workers is low (in the period of 2016, 1.9 and 2.2 percentage respectively).</w:t>
      </w:r>
    </w:p>
    <w:p w14:paraId="4F778354" w14:textId="4E029993" w:rsidR="0008418D" w:rsidRPr="0008418D" w:rsidRDefault="0008418D" w:rsidP="006249C9">
      <w:pPr>
        <w:rPr>
          <w:szCs w:val="22"/>
          <w:lang w:val="en-GB" w:eastAsia="tr-TR"/>
        </w:rPr>
      </w:pPr>
      <w:r>
        <w:rPr>
          <w:szCs w:val="22"/>
          <w:lang w:val="en-GB" w:eastAsia="tr-TR"/>
        </w:rPr>
        <w:t xml:space="preserve">In the period of 2014 and 2015, the average rates of low paid workers were 29.4 and 33.6 percentage respectively. </w:t>
      </w:r>
      <w:r w:rsidR="00AF67B7">
        <w:rPr>
          <w:szCs w:val="22"/>
          <w:lang w:val="en-GB" w:eastAsia="tr-TR"/>
        </w:rPr>
        <w:t xml:space="preserve">In the period of 2016 it decreased to 13.2 percentage. The reason of this decrease is </w:t>
      </w:r>
      <w:r w:rsidR="00BA1232">
        <w:rPr>
          <w:szCs w:val="22"/>
          <w:lang w:val="en-GB" w:eastAsia="tr-TR"/>
        </w:rPr>
        <w:t>that rate of</w:t>
      </w:r>
      <w:r w:rsidR="00AF67B7">
        <w:rPr>
          <w:szCs w:val="22"/>
          <w:lang w:val="en-GB" w:eastAsia="tr-TR"/>
        </w:rPr>
        <w:t xml:space="preserve"> minimum wage </w:t>
      </w:r>
      <w:r w:rsidR="00FC47BB">
        <w:rPr>
          <w:szCs w:val="22"/>
          <w:lang w:val="en-GB" w:eastAsia="tr-TR"/>
        </w:rPr>
        <w:t>increases</w:t>
      </w:r>
      <w:r w:rsidR="00AF67B7">
        <w:rPr>
          <w:szCs w:val="22"/>
          <w:lang w:val="en-GB" w:eastAsia="tr-TR"/>
        </w:rPr>
        <w:t xml:space="preserve"> </w:t>
      </w:r>
      <w:r w:rsidR="00BA1232">
        <w:rPr>
          <w:szCs w:val="22"/>
          <w:lang w:val="en-GB" w:eastAsia="tr-TR"/>
        </w:rPr>
        <w:t xml:space="preserve">in the period of 2017 (7.9 percentage points) is lower than inflation rate in 2017 (11.1 percentage). </w:t>
      </w:r>
      <w:r w:rsidR="00FC47BB">
        <w:rPr>
          <w:szCs w:val="22"/>
          <w:lang w:val="en-GB" w:eastAsia="tr-TR"/>
        </w:rPr>
        <w:t>According to our definition, if many workers who earn below minimum wage raise</w:t>
      </w:r>
      <w:r w:rsidR="00AB397B">
        <w:rPr>
          <w:szCs w:val="22"/>
          <w:lang w:val="en-GB" w:eastAsia="tr-TR"/>
        </w:rPr>
        <w:t xml:space="preserve"> their</w:t>
      </w:r>
      <w:r w:rsidR="00FC47BB">
        <w:rPr>
          <w:szCs w:val="22"/>
          <w:lang w:val="en-GB" w:eastAsia="tr-TR"/>
        </w:rPr>
        <w:t xml:space="preserve"> </w:t>
      </w:r>
      <w:r w:rsidR="00277B45">
        <w:rPr>
          <w:szCs w:val="22"/>
          <w:lang w:val="en-GB" w:eastAsia="tr-TR"/>
        </w:rPr>
        <w:t>wages as the inflation rate</w:t>
      </w:r>
      <w:r w:rsidR="00FC47BB">
        <w:rPr>
          <w:szCs w:val="22"/>
          <w:lang w:val="en-GB" w:eastAsia="tr-TR"/>
        </w:rPr>
        <w:t xml:space="preserve"> in the period of 2016, </w:t>
      </w:r>
      <w:r w:rsidR="00277B45">
        <w:rPr>
          <w:szCs w:val="22"/>
          <w:lang w:val="en-GB" w:eastAsia="tr-TR"/>
        </w:rPr>
        <w:t xml:space="preserve">they </w:t>
      </w:r>
      <w:r w:rsidR="00FC47BB">
        <w:rPr>
          <w:szCs w:val="22"/>
          <w:lang w:val="en-GB" w:eastAsia="tr-TR"/>
        </w:rPr>
        <w:t xml:space="preserve">are not considered as “low-paid” workers since they will exceed the minimum wage level in the period of 2017. </w:t>
      </w:r>
    </w:p>
    <w:p w14:paraId="65FBD1F0" w14:textId="61D317CE" w:rsidR="005A499F" w:rsidRPr="00996E77" w:rsidRDefault="005A499F" w:rsidP="006249C9">
      <w:pPr>
        <w:rPr>
          <w:b/>
          <w:lang w:val="en-GB"/>
        </w:rPr>
      </w:pPr>
      <w:r w:rsidRPr="00996E77">
        <w:rPr>
          <w:b/>
          <w:lang w:val="en-GB"/>
        </w:rPr>
        <w:t>Tabl</w:t>
      </w:r>
      <w:r w:rsidR="00996E77" w:rsidRPr="00996E77">
        <w:rPr>
          <w:b/>
          <w:lang w:val="en-GB"/>
        </w:rPr>
        <w:t>e</w:t>
      </w:r>
      <w:r w:rsidRPr="00996E77">
        <w:rPr>
          <w:b/>
          <w:lang w:val="en-GB"/>
        </w:rPr>
        <w:t xml:space="preserve"> </w:t>
      </w:r>
      <w:r w:rsidRPr="00996E77">
        <w:rPr>
          <w:b/>
          <w:lang w:val="en-GB"/>
        </w:rPr>
        <w:fldChar w:fldCharType="begin"/>
      </w:r>
      <w:r w:rsidRPr="00996E77">
        <w:rPr>
          <w:b/>
          <w:lang w:val="en-GB"/>
        </w:rPr>
        <w:instrText xml:space="preserve"> SEQ Tablo \* ARABIC </w:instrText>
      </w:r>
      <w:r w:rsidRPr="00996E77">
        <w:rPr>
          <w:b/>
          <w:lang w:val="en-GB"/>
        </w:rPr>
        <w:fldChar w:fldCharType="separate"/>
      </w:r>
      <w:r w:rsidR="00D623E6">
        <w:rPr>
          <w:b/>
          <w:noProof/>
          <w:lang w:val="en-GB"/>
        </w:rPr>
        <w:t>1</w:t>
      </w:r>
      <w:r w:rsidRPr="00996E77">
        <w:rPr>
          <w:b/>
          <w:lang w:val="en-GB"/>
        </w:rPr>
        <w:fldChar w:fldCharType="end"/>
      </w:r>
      <w:r w:rsidRPr="00996E77">
        <w:rPr>
          <w:b/>
          <w:lang w:val="en-GB"/>
        </w:rPr>
        <w:t xml:space="preserve">: </w:t>
      </w:r>
      <w:r w:rsidR="00996E77" w:rsidRPr="00996E77">
        <w:rPr>
          <w:b/>
          <w:lang w:val="en-GB"/>
        </w:rPr>
        <w:t>Informal and low paid workers according to sectors (percentage)</w:t>
      </w:r>
    </w:p>
    <w:tbl>
      <w:tblPr>
        <w:tblW w:w="9549" w:type="dxa"/>
        <w:tblInd w:w="70" w:type="dxa"/>
        <w:tblCellMar>
          <w:left w:w="70" w:type="dxa"/>
          <w:right w:w="70" w:type="dxa"/>
        </w:tblCellMar>
        <w:tblLook w:val="04A0" w:firstRow="1" w:lastRow="0" w:firstColumn="1" w:lastColumn="0" w:noHBand="0" w:noVBand="1"/>
      </w:tblPr>
      <w:tblGrid>
        <w:gridCol w:w="2520"/>
        <w:gridCol w:w="1306"/>
        <w:gridCol w:w="1037"/>
        <w:gridCol w:w="1306"/>
        <w:gridCol w:w="1037"/>
        <w:gridCol w:w="1306"/>
        <w:gridCol w:w="1037"/>
      </w:tblGrid>
      <w:tr w:rsidR="00F21CD1" w:rsidRPr="003A69B7" w14:paraId="0731CE0E" w14:textId="77777777" w:rsidTr="00996E77">
        <w:trPr>
          <w:trHeight w:val="242"/>
        </w:trPr>
        <w:tc>
          <w:tcPr>
            <w:tcW w:w="2520" w:type="dxa"/>
            <w:tcBorders>
              <w:top w:val="nil"/>
              <w:left w:val="nil"/>
              <w:bottom w:val="nil"/>
              <w:right w:val="nil"/>
            </w:tcBorders>
            <w:shd w:val="clear" w:color="000000" w:fill="FFFFFF"/>
            <w:noWrap/>
            <w:vAlign w:val="bottom"/>
            <w:hideMark/>
          </w:tcPr>
          <w:p w14:paraId="1CA2A0F8" w14:textId="77777777" w:rsidR="00ED17A4" w:rsidRPr="003A69B7" w:rsidRDefault="00ED17A4" w:rsidP="00ED17A4">
            <w:pPr>
              <w:suppressAutoHyphens w:val="0"/>
              <w:spacing w:after="0" w:line="240" w:lineRule="auto"/>
              <w:jc w:val="left"/>
              <w:rPr>
                <w:rFonts w:ascii="Calibri" w:hAnsi="Calibri" w:cs="Times New Roman"/>
                <w:sz w:val="20"/>
                <w:szCs w:val="18"/>
                <w:lang w:val="en-GB" w:eastAsia="tr-TR"/>
              </w:rPr>
            </w:pPr>
            <w:r w:rsidRPr="003A69B7">
              <w:rPr>
                <w:rFonts w:ascii="Calibri" w:hAnsi="Calibri" w:cs="Times New Roman"/>
                <w:sz w:val="20"/>
                <w:szCs w:val="18"/>
                <w:lang w:val="en-GB" w:eastAsia="tr-TR"/>
              </w:rPr>
              <w:t> </w:t>
            </w:r>
          </w:p>
        </w:tc>
        <w:tc>
          <w:tcPr>
            <w:tcW w:w="2343" w:type="dxa"/>
            <w:gridSpan w:val="2"/>
            <w:tcBorders>
              <w:top w:val="single" w:sz="4" w:space="0" w:color="auto"/>
              <w:left w:val="nil"/>
              <w:bottom w:val="single" w:sz="4" w:space="0" w:color="auto"/>
              <w:right w:val="nil"/>
            </w:tcBorders>
            <w:shd w:val="clear" w:color="000000" w:fill="FFFFFF"/>
            <w:noWrap/>
            <w:vAlign w:val="bottom"/>
            <w:hideMark/>
          </w:tcPr>
          <w:p w14:paraId="260602F7" w14:textId="77777777" w:rsidR="00ED17A4" w:rsidRPr="00B55C31" w:rsidRDefault="00ED17A4" w:rsidP="00ED17A4">
            <w:pPr>
              <w:suppressAutoHyphens w:val="0"/>
              <w:spacing w:after="0" w:line="240" w:lineRule="auto"/>
              <w:jc w:val="center"/>
              <w:rPr>
                <w:sz w:val="20"/>
                <w:szCs w:val="18"/>
                <w:lang w:val="en-GB" w:eastAsia="tr-TR"/>
              </w:rPr>
            </w:pPr>
            <w:r w:rsidRPr="00B55C31">
              <w:rPr>
                <w:sz w:val="20"/>
                <w:szCs w:val="18"/>
                <w:lang w:val="en-GB" w:eastAsia="tr-TR"/>
              </w:rPr>
              <w:t>2014</w:t>
            </w:r>
          </w:p>
        </w:tc>
        <w:tc>
          <w:tcPr>
            <w:tcW w:w="2343" w:type="dxa"/>
            <w:gridSpan w:val="2"/>
            <w:tcBorders>
              <w:top w:val="single" w:sz="4" w:space="0" w:color="auto"/>
              <w:left w:val="nil"/>
              <w:bottom w:val="single" w:sz="4" w:space="0" w:color="auto"/>
              <w:right w:val="nil"/>
            </w:tcBorders>
            <w:shd w:val="clear" w:color="000000" w:fill="FFFFFF"/>
            <w:noWrap/>
            <w:vAlign w:val="bottom"/>
            <w:hideMark/>
          </w:tcPr>
          <w:p w14:paraId="4FAC9266" w14:textId="77777777" w:rsidR="00ED17A4" w:rsidRPr="003A69B7" w:rsidRDefault="00ED17A4" w:rsidP="00ED17A4">
            <w:pPr>
              <w:suppressAutoHyphens w:val="0"/>
              <w:spacing w:after="0" w:line="240" w:lineRule="auto"/>
              <w:jc w:val="center"/>
              <w:rPr>
                <w:rFonts w:ascii="Arial" w:hAnsi="Arial"/>
                <w:sz w:val="20"/>
                <w:szCs w:val="18"/>
                <w:lang w:val="en-GB" w:eastAsia="tr-TR"/>
              </w:rPr>
            </w:pPr>
            <w:r w:rsidRPr="00B55C31">
              <w:rPr>
                <w:sz w:val="20"/>
                <w:szCs w:val="18"/>
                <w:lang w:val="en-GB" w:eastAsia="tr-TR"/>
              </w:rPr>
              <w:t>2015</w:t>
            </w:r>
          </w:p>
        </w:tc>
        <w:tc>
          <w:tcPr>
            <w:tcW w:w="2343" w:type="dxa"/>
            <w:gridSpan w:val="2"/>
            <w:tcBorders>
              <w:top w:val="single" w:sz="4" w:space="0" w:color="auto"/>
              <w:left w:val="nil"/>
              <w:bottom w:val="single" w:sz="4" w:space="0" w:color="auto"/>
              <w:right w:val="nil"/>
            </w:tcBorders>
            <w:shd w:val="clear" w:color="000000" w:fill="FFFFFF"/>
            <w:noWrap/>
            <w:vAlign w:val="bottom"/>
            <w:hideMark/>
          </w:tcPr>
          <w:p w14:paraId="2A7936A3" w14:textId="77777777" w:rsidR="00ED17A4" w:rsidRPr="003A69B7" w:rsidRDefault="00ED17A4" w:rsidP="00ED17A4">
            <w:pPr>
              <w:suppressAutoHyphens w:val="0"/>
              <w:spacing w:after="0" w:line="240" w:lineRule="auto"/>
              <w:jc w:val="center"/>
              <w:rPr>
                <w:rFonts w:ascii="Arial" w:hAnsi="Arial"/>
                <w:sz w:val="20"/>
                <w:szCs w:val="18"/>
                <w:lang w:val="en-GB" w:eastAsia="tr-TR"/>
              </w:rPr>
            </w:pPr>
            <w:r w:rsidRPr="00B55C31">
              <w:rPr>
                <w:sz w:val="20"/>
                <w:szCs w:val="18"/>
                <w:lang w:val="en-GB" w:eastAsia="tr-TR"/>
              </w:rPr>
              <w:t>2016</w:t>
            </w:r>
          </w:p>
        </w:tc>
      </w:tr>
      <w:tr w:rsidR="00C138D1" w:rsidRPr="003A69B7" w14:paraId="2A260E5F" w14:textId="77777777" w:rsidTr="00C138D1">
        <w:trPr>
          <w:trHeight w:val="254"/>
        </w:trPr>
        <w:tc>
          <w:tcPr>
            <w:tcW w:w="2520" w:type="dxa"/>
            <w:tcBorders>
              <w:top w:val="single" w:sz="4" w:space="0" w:color="auto"/>
              <w:left w:val="nil"/>
              <w:bottom w:val="single" w:sz="4" w:space="0" w:color="auto"/>
              <w:right w:val="nil"/>
            </w:tcBorders>
            <w:shd w:val="clear" w:color="000000" w:fill="FFFFFF"/>
            <w:noWrap/>
            <w:vAlign w:val="bottom"/>
            <w:hideMark/>
          </w:tcPr>
          <w:p w14:paraId="1CBAA377" w14:textId="3879838E" w:rsidR="00C138D1" w:rsidRPr="003A69B7" w:rsidRDefault="00C138D1" w:rsidP="00C138D1">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Sector</w:t>
            </w:r>
          </w:p>
        </w:tc>
        <w:tc>
          <w:tcPr>
            <w:tcW w:w="1306" w:type="dxa"/>
            <w:tcBorders>
              <w:top w:val="nil"/>
              <w:left w:val="nil"/>
              <w:bottom w:val="single" w:sz="4" w:space="0" w:color="auto"/>
              <w:right w:val="nil"/>
            </w:tcBorders>
            <w:shd w:val="clear" w:color="000000" w:fill="FFFFFF"/>
            <w:noWrap/>
            <w:vAlign w:val="bottom"/>
            <w:hideMark/>
          </w:tcPr>
          <w:p w14:paraId="3F1DBE6F" w14:textId="7D3F7DA4" w:rsidR="00C138D1" w:rsidRPr="003A69B7" w:rsidRDefault="00C138D1" w:rsidP="00C138D1">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 xml:space="preserve">Low wage </w:t>
            </w:r>
          </w:p>
        </w:tc>
        <w:tc>
          <w:tcPr>
            <w:tcW w:w="1037" w:type="dxa"/>
            <w:tcBorders>
              <w:top w:val="nil"/>
              <w:left w:val="nil"/>
              <w:bottom w:val="single" w:sz="4" w:space="0" w:color="auto"/>
              <w:right w:val="nil"/>
            </w:tcBorders>
            <w:shd w:val="clear" w:color="000000" w:fill="FFFFFF"/>
            <w:noWrap/>
            <w:vAlign w:val="bottom"/>
            <w:hideMark/>
          </w:tcPr>
          <w:p w14:paraId="731F769F" w14:textId="01D9F808" w:rsidR="00C138D1" w:rsidRPr="003A69B7" w:rsidRDefault="00C138D1" w:rsidP="00C138D1">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 xml:space="preserve">Informal  </w:t>
            </w:r>
          </w:p>
        </w:tc>
        <w:tc>
          <w:tcPr>
            <w:tcW w:w="1306" w:type="dxa"/>
            <w:tcBorders>
              <w:top w:val="nil"/>
              <w:left w:val="nil"/>
              <w:bottom w:val="single" w:sz="4" w:space="0" w:color="auto"/>
              <w:right w:val="nil"/>
            </w:tcBorders>
            <w:shd w:val="clear" w:color="000000" w:fill="FFFFFF"/>
            <w:noWrap/>
            <w:vAlign w:val="bottom"/>
            <w:hideMark/>
          </w:tcPr>
          <w:p w14:paraId="1916AAD9" w14:textId="7125494A" w:rsidR="00C138D1" w:rsidRPr="003A69B7" w:rsidRDefault="00C138D1" w:rsidP="00C138D1">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 xml:space="preserve">Low wage </w:t>
            </w:r>
          </w:p>
        </w:tc>
        <w:tc>
          <w:tcPr>
            <w:tcW w:w="1037" w:type="dxa"/>
            <w:tcBorders>
              <w:top w:val="nil"/>
              <w:left w:val="nil"/>
              <w:bottom w:val="single" w:sz="4" w:space="0" w:color="auto"/>
              <w:right w:val="nil"/>
            </w:tcBorders>
            <w:shd w:val="clear" w:color="000000" w:fill="FFFFFF"/>
            <w:noWrap/>
            <w:vAlign w:val="bottom"/>
            <w:hideMark/>
          </w:tcPr>
          <w:p w14:paraId="15A50EB1" w14:textId="55E7FD78" w:rsidR="00C138D1" w:rsidRPr="003A69B7" w:rsidRDefault="00C138D1" w:rsidP="00C138D1">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 xml:space="preserve">Informal  </w:t>
            </w:r>
          </w:p>
        </w:tc>
        <w:tc>
          <w:tcPr>
            <w:tcW w:w="1306" w:type="dxa"/>
            <w:tcBorders>
              <w:top w:val="nil"/>
              <w:left w:val="nil"/>
              <w:bottom w:val="single" w:sz="4" w:space="0" w:color="auto"/>
              <w:right w:val="nil"/>
            </w:tcBorders>
            <w:shd w:val="clear" w:color="000000" w:fill="FFFFFF"/>
            <w:noWrap/>
            <w:vAlign w:val="bottom"/>
            <w:hideMark/>
          </w:tcPr>
          <w:p w14:paraId="78315731" w14:textId="25095642" w:rsidR="00C138D1" w:rsidRPr="003A69B7" w:rsidRDefault="00C138D1" w:rsidP="00C138D1">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 xml:space="preserve">Low wage </w:t>
            </w:r>
          </w:p>
        </w:tc>
        <w:tc>
          <w:tcPr>
            <w:tcW w:w="1037" w:type="dxa"/>
            <w:tcBorders>
              <w:top w:val="nil"/>
              <w:left w:val="nil"/>
              <w:bottom w:val="single" w:sz="4" w:space="0" w:color="auto"/>
              <w:right w:val="nil"/>
            </w:tcBorders>
            <w:shd w:val="clear" w:color="000000" w:fill="FFFFFF"/>
            <w:noWrap/>
            <w:vAlign w:val="bottom"/>
            <w:hideMark/>
          </w:tcPr>
          <w:p w14:paraId="17EAEA2A" w14:textId="74E7D740" w:rsidR="00C138D1" w:rsidRPr="003A69B7" w:rsidRDefault="00C138D1" w:rsidP="00C138D1">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 xml:space="preserve">Informal  </w:t>
            </w:r>
          </w:p>
        </w:tc>
      </w:tr>
      <w:tr w:rsidR="00C138D1" w:rsidRPr="003A69B7" w14:paraId="322B183B" w14:textId="77777777" w:rsidTr="00C138D1">
        <w:trPr>
          <w:trHeight w:val="254"/>
        </w:trPr>
        <w:tc>
          <w:tcPr>
            <w:tcW w:w="2520" w:type="dxa"/>
            <w:tcBorders>
              <w:top w:val="nil"/>
              <w:left w:val="nil"/>
              <w:bottom w:val="nil"/>
              <w:right w:val="nil"/>
            </w:tcBorders>
            <w:shd w:val="clear" w:color="000000" w:fill="FFFFFF"/>
            <w:noWrap/>
            <w:vAlign w:val="bottom"/>
            <w:hideMark/>
          </w:tcPr>
          <w:p w14:paraId="30BA18E4" w14:textId="62E78A31" w:rsidR="00ED17A4" w:rsidRPr="003A69B7" w:rsidRDefault="00996E77" w:rsidP="00ED17A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Financial and Insurance</w:t>
            </w:r>
          </w:p>
        </w:tc>
        <w:tc>
          <w:tcPr>
            <w:tcW w:w="1306" w:type="dxa"/>
            <w:tcBorders>
              <w:top w:val="nil"/>
              <w:left w:val="nil"/>
              <w:bottom w:val="nil"/>
              <w:right w:val="nil"/>
            </w:tcBorders>
            <w:shd w:val="clear" w:color="000000" w:fill="FFFFFF"/>
            <w:noWrap/>
            <w:vAlign w:val="bottom"/>
            <w:hideMark/>
          </w:tcPr>
          <w:p w14:paraId="6E59A344"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7.6</w:t>
            </w:r>
          </w:p>
        </w:tc>
        <w:tc>
          <w:tcPr>
            <w:tcW w:w="1037" w:type="dxa"/>
            <w:tcBorders>
              <w:top w:val="nil"/>
              <w:left w:val="nil"/>
              <w:bottom w:val="nil"/>
              <w:right w:val="nil"/>
            </w:tcBorders>
            <w:shd w:val="clear" w:color="000000" w:fill="FFFFFF"/>
            <w:noWrap/>
            <w:vAlign w:val="bottom"/>
            <w:hideMark/>
          </w:tcPr>
          <w:p w14:paraId="7FD949A1"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3.4</w:t>
            </w:r>
          </w:p>
        </w:tc>
        <w:tc>
          <w:tcPr>
            <w:tcW w:w="1306" w:type="dxa"/>
            <w:tcBorders>
              <w:top w:val="nil"/>
              <w:left w:val="nil"/>
              <w:bottom w:val="nil"/>
              <w:right w:val="nil"/>
            </w:tcBorders>
            <w:shd w:val="clear" w:color="000000" w:fill="FFFFFF"/>
            <w:noWrap/>
            <w:vAlign w:val="bottom"/>
            <w:hideMark/>
          </w:tcPr>
          <w:p w14:paraId="4DEAB546"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17.3</w:t>
            </w:r>
          </w:p>
        </w:tc>
        <w:tc>
          <w:tcPr>
            <w:tcW w:w="1037" w:type="dxa"/>
            <w:tcBorders>
              <w:top w:val="nil"/>
              <w:left w:val="nil"/>
              <w:bottom w:val="nil"/>
              <w:right w:val="nil"/>
            </w:tcBorders>
            <w:shd w:val="clear" w:color="000000" w:fill="FFFFFF"/>
            <w:noWrap/>
            <w:vAlign w:val="bottom"/>
            <w:hideMark/>
          </w:tcPr>
          <w:p w14:paraId="40392E26"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4.0</w:t>
            </w:r>
          </w:p>
        </w:tc>
        <w:tc>
          <w:tcPr>
            <w:tcW w:w="1306" w:type="dxa"/>
            <w:tcBorders>
              <w:top w:val="nil"/>
              <w:left w:val="nil"/>
              <w:bottom w:val="nil"/>
              <w:right w:val="nil"/>
            </w:tcBorders>
            <w:shd w:val="clear" w:color="000000" w:fill="FFFFFF"/>
            <w:noWrap/>
            <w:vAlign w:val="bottom"/>
            <w:hideMark/>
          </w:tcPr>
          <w:p w14:paraId="6CAC3AF9"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1.9</w:t>
            </w:r>
          </w:p>
        </w:tc>
        <w:tc>
          <w:tcPr>
            <w:tcW w:w="1037" w:type="dxa"/>
            <w:tcBorders>
              <w:top w:val="nil"/>
              <w:left w:val="nil"/>
              <w:bottom w:val="nil"/>
              <w:right w:val="nil"/>
            </w:tcBorders>
            <w:shd w:val="clear" w:color="000000" w:fill="FFFFFF"/>
            <w:noWrap/>
            <w:vAlign w:val="bottom"/>
            <w:hideMark/>
          </w:tcPr>
          <w:p w14:paraId="265F5420"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3.3</w:t>
            </w:r>
          </w:p>
        </w:tc>
      </w:tr>
      <w:tr w:rsidR="00C138D1" w:rsidRPr="003A69B7" w14:paraId="5614CAEA" w14:textId="77777777" w:rsidTr="00C138D1">
        <w:trPr>
          <w:trHeight w:val="254"/>
        </w:trPr>
        <w:tc>
          <w:tcPr>
            <w:tcW w:w="2520" w:type="dxa"/>
            <w:tcBorders>
              <w:top w:val="nil"/>
              <w:left w:val="nil"/>
              <w:bottom w:val="nil"/>
              <w:right w:val="nil"/>
            </w:tcBorders>
            <w:shd w:val="clear" w:color="000000" w:fill="FFFFFF"/>
            <w:noWrap/>
            <w:vAlign w:val="bottom"/>
            <w:hideMark/>
          </w:tcPr>
          <w:p w14:paraId="3A4D69A6" w14:textId="5245AD23" w:rsidR="00ED17A4" w:rsidRPr="003A69B7" w:rsidRDefault="00ED17A4" w:rsidP="00ED17A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E</w:t>
            </w:r>
            <w:r w:rsidR="00996E77" w:rsidRPr="003A69B7">
              <w:rPr>
                <w:rFonts w:cs="Times New Roman"/>
                <w:sz w:val="20"/>
                <w:szCs w:val="18"/>
                <w:lang w:val="en-GB" w:eastAsia="tr-TR"/>
              </w:rPr>
              <w:t>ducation</w:t>
            </w:r>
          </w:p>
        </w:tc>
        <w:tc>
          <w:tcPr>
            <w:tcW w:w="1306" w:type="dxa"/>
            <w:tcBorders>
              <w:top w:val="nil"/>
              <w:left w:val="nil"/>
              <w:bottom w:val="nil"/>
              <w:right w:val="nil"/>
            </w:tcBorders>
            <w:shd w:val="clear" w:color="000000" w:fill="FFFFFF"/>
            <w:noWrap/>
            <w:vAlign w:val="bottom"/>
            <w:hideMark/>
          </w:tcPr>
          <w:p w14:paraId="46DAD374"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11.9</w:t>
            </w:r>
          </w:p>
        </w:tc>
        <w:tc>
          <w:tcPr>
            <w:tcW w:w="1037" w:type="dxa"/>
            <w:tcBorders>
              <w:top w:val="nil"/>
              <w:left w:val="nil"/>
              <w:bottom w:val="nil"/>
              <w:right w:val="nil"/>
            </w:tcBorders>
            <w:shd w:val="clear" w:color="000000" w:fill="FFFFFF"/>
            <w:noWrap/>
            <w:vAlign w:val="bottom"/>
            <w:hideMark/>
          </w:tcPr>
          <w:p w14:paraId="53EEF44A"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3.5</w:t>
            </w:r>
          </w:p>
        </w:tc>
        <w:tc>
          <w:tcPr>
            <w:tcW w:w="1306" w:type="dxa"/>
            <w:tcBorders>
              <w:top w:val="nil"/>
              <w:left w:val="nil"/>
              <w:bottom w:val="nil"/>
              <w:right w:val="nil"/>
            </w:tcBorders>
            <w:shd w:val="clear" w:color="000000" w:fill="FFFFFF"/>
            <w:noWrap/>
            <w:vAlign w:val="bottom"/>
            <w:hideMark/>
          </w:tcPr>
          <w:p w14:paraId="111E8AFC"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18.3</w:t>
            </w:r>
          </w:p>
        </w:tc>
        <w:tc>
          <w:tcPr>
            <w:tcW w:w="1037" w:type="dxa"/>
            <w:tcBorders>
              <w:top w:val="nil"/>
              <w:left w:val="nil"/>
              <w:bottom w:val="nil"/>
              <w:right w:val="nil"/>
            </w:tcBorders>
            <w:shd w:val="clear" w:color="000000" w:fill="FFFFFF"/>
            <w:noWrap/>
            <w:vAlign w:val="bottom"/>
            <w:hideMark/>
          </w:tcPr>
          <w:p w14:paraId="5BC69FB1"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3.2</w:t>
            </w:r>
          </w:p>
        </w:tc>
        <w:tc>
          <w:tcPr>
            <w:tcW w:w="1306" w:type="dxa"/>
            <w:tcBorders>
              <w:top w:val="nil"/>
              <w:left w:val="nil"/>
              <w:bottom w:val="nil"/>
              <w:right w:val="nil"/>
            </w:tcBorders>
            <w:shd w:val="clear" w:color="000000" w:fill="FFFFFF"/>
            <w:noWrap/>
            <w:vAlign w:val="bottom"/>
            <w:hideMark/>
          </w:tcPr>
          <w:p w14:paraId="6DE92157"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4.9</w:t>
            </w:r>
          </w:p>
        </w:tc>
        <w:tc>
          <w:tcPr>
            <w:tcW w:w="1037" w:type="dxa"/>
            <w:tcBorders>
              <w:top w:val="nil"/>
              <w:left w:val="nil"/>
              <w:bottom w:val="nil"/>
              <w:right w:val="nil"/>
            </w:tcBorders>
            <w:shd w:val="clear" w:color="000000" w:fill="FFFFFF"/>
            <w:noWrap/>
            <w:vAlign w:val="bottom"/>
            <w:hideMark/>
          </w:tcPr>
          <w:p w14:paraId="23B0F0DB"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3.6</w:t>
            </w:r>
          </w:p>
        </w:tc>
      </w:tr>
      <w:tr w:rsidR="00C138D1" w:rsidRPr="003A69B7" w14:paraId="234D96F5" w14:textId="77777777" w:rsidTr="00C138D1">
        <w:trPr>
          <w:trHeight w:val="254"/>
        </w:trPr>
        <w:tc>
          <w:tcPr>
            <w:tcW w:w="2520" w:type="dxa"/>
            <w:tcBorders>
              <w:top w:val="nil"/>
              <w:left w:val="nil"/>
              <w:bottom w:val="nil"/>
              <w:right w:val="nil"/>
            </w:tcBorders>
            <w:shd w:val="clear" w:color="000000" w:fill="FFFFFF"/>
            <w:noWrap/>
            <w:vAlign w:val="bottom"/>
            <w:hideMark/>
          </w:tcPr>
          <w:p w14:paraId="76B9462D" w14:textId="23571A8E" w:rsidR="00ED17A4" w:rsidRPr="003A69B7" w:rsidRDefault="00996E77" w:rsidP="00ED17A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 xml:space="preserve">Public Administration and Defence </w:t>
            </w:r>
          </w:p>
        </w:tc>
        <w:tc>
          <w:tcPr>
            <w:tcW w:w="1306" w:type="dxa"/>
            <w:tcBorders>
              <w:top w:val="nil"/>
              <w:left w:val="nil"/>
              <w:bottom w:val="nil"/>
              <w:right w:val="nil"/>
            </w:tcBorders>
            <w:shd w:val="clear" w:color="000000" w:fill="FFFFFF"/>
            <w:noWrap/>
            <w:vAlign w:val="bottom"/>
            <w:hideMark/>
          </w:tcPr>
          <w:p w14:paraId="3CC61E04"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6.5</w:t>
            </w:r>
          </w:p>
        </w:tc>
        <w:tc>
          <w:tcPr>
            <w:tcW w:w="1037" w:type="dxa"/>
            <w:tcBorders>
              <w:top w:val="nil"/>
              <w:left w:val="nil"/>
              <w:bottom w:val="nil"/>
              <w:right w:val="nil"/>
            </w:tcBorders>
            <w:shd w:val="clear" w:color="000000" w:fill="FFFFFF"/>
            <w:noWrap/>
            <w:vAlign w:val="bottom"/>
            <w:hideMark/>
          </w:tcPr>
          <w:p w14:paraId="177A4810"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4.1</w:t>
            </w:r>
          </w:p>
        </w:tc>
        <w:tc>
          <w:tcPr>
            <w:tcW w:w="1306" w:type="dxa"/>
            <w:tcBorders>
              <w:top w:val="nil"/>
              <w:left w:val="nil"/>
              <w:bottom w:val="nil"/>
              <w:right w:val="nil"/>
            </w:tcBorders>
            <w:shd w:val="clear" w:color="000000" w:fill="FFFFFF"/>
            <w:noWrap/>
            <w:vAlign w:val="bottom"/>
            <w:hideMark/>
          </w:tcPr>
          <w:p w14:paraId="492B41AA"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9.6</w:t>
            </w:r>
          </w:p>
        </w:tc>
        <w:tc>
          <w:tcPr>
            <w:tcW w:w="1037" w:type="dxa"/>
            <w:tcBorders>
              <w:top w:val="nil"/>
              <w:left w:val="nil"/>
              <w:bottom w:val="nil"/>
              <w:right w:val="nil"/>
            </w:tcBorders>
            <w:shd w:val="clear" w:color="000000" w:fill="FFFFFF"/>
            <w:noWrap/>
            <w:vAlign w:val="bottom"/>
            <w:hideMark/>
          </w:tcPr>
          <w:p w14:paraId="1B82E4E9"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4.0</w:t>
            </w:r>
          </w:p>
        </w:tc>
        <w:tc>
          <w:tcPr>
            <w:tcW w:w="1306" w:type="dxa"/>
            <w:tcBorders>
              <w:top w:val="nil"/>
              <w:left w:val="nil"/>
              <w:bottom w:val="nil"/>
              <w:right w:val="nil"/>
            </w:tcBorders>
            <w:shd w:val="clear" w:color="000000" w:fill="FFFFFF"/>
            <w:noWrap/>
            <w:vAlign w:val="bottom"/>
            <w:hideMark/>
          </w:tcPr>
          <w:p w14:paraId="0794836F"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2.2</w:t>
            </w:r>
          </w:p>
        </w:tc>
        <w:tc>
          <w:tcPr>
            <w:tcW w:w="1037" w:type="dxa"/>
            <w:tcBorders>
              <w:top w:val="nil"/>
              <w:left w:val="nil"/>
              <w:bottom w:val="nil"/>
              <w:right w:val="nil"/>
            </w:tcBorders>
            <w:shd w:val="clear" w:color="000000" w:fill="FFFFFF"/>
            <w:noWrap/>
            <w:vAlign w:val="bottom"/>
            <w:hideMark/>
          </w:tcPr>
          <w:p w14:paraId="6782E30F"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3.9</w:t>
            </w:r>
          </w:p>
        </w:tc>
      </w:tr>
      <w:tr w:rsidR="00C138D1" w:rsidRPr="003A69B7" w14:paraId="3C635CC9" w14:textId="77777777" w:rsidTr="00C138D1">
        <w:trPr>
          <w:trHeight w:val="254"/>
        </w:trPr>
        <w:tc>
          <w:tcPr>
            <w:tcW w:w="2520" w:type="dxa"/>
            <w:tcBorders>
              <w:top w:val="nil"/>
              <w:left w:val="nil"/>
              <w:bottom w:val="nil"/>
              <w:right w:val="nil"/>
            </w:tcBorders>
            <w:shd w:val="clear" w:color="000000" w:fill="FFFFFF"/>
            <w:noWrap/>
            <w:vAlign w:val="bottom"/>
            <w:hideMark/>
          </w:tcPr>
          <w:p w14:paraId="72A50D0B" w14:textId="6C5B6A8E" w:rsidR="00ED17A4" w:rsidRPr="003A69B7" w:rsidRDefault="00ED17A4" w:rsidP="00ED17A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M</w:t>
            </w:r>
            <w:r w:rsidR="00996E77" w:rsidRPr="003A69B7">
              <w:rPr>
                <w:rFonts w:cs="Times New Roman"/>
                <w:sz w:val="20"/>
                <w:szCs w:val="18"/>
                <w:lang w:val="en-GB" w:eastAsia="tr-TR"/>
              </w:rPr>
              <w:t xml:space="preserve">ining and Quarrying </w:t>
            </w:r>
          </w:p>
        </w:tc>
        <w:tc>
          <w:tcPr>
            <w:tcW w:w="1306" w:type="dxa"/>
            <w:tcBorders>
              <w:top w:val="nil"/>
              <w:left w:val="nil"/>
              <w:bottom w:val="nil"/>
              <w:right w:val="nil"/>
            </w:tcBorders>
            <w:shd w:val="clear" w:color="000000" w:fill="FFFFFF"/>
            <w:noWrap/>
            <w:vAlign w:val="bottom"/>
            <w:hideMark/>
          </w:tcPr>
          <w:p w14:paraId="40F2493F"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19.0</w:t>
            </w:r>
          </w:p>
        </w:tc>
        <w:tc>
          <w:tcPr>
            <w:tcW w:w="1037" w:type="dxa"/>
            <w:tcBorders>
              <w:top w:val="nil"/>
              <w:left w:val="nil"/>
              <w:bottom w:val="nil"/>
              <w:right w:val="nil"/>
            </w:tcBorders>
            <w:shd w:val="clear" w:color="000000" w:fill="FFFFFF"/>
            <w:noWrap/>
            <w:vAlign w:val="bottom"/>
            <w:hideMark/>
          </w:tcPr>
          <w:p w14:paraId="29F0BF3E"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6.7</w:t>
            </w:r>
          </w:p>
        </w:tc>
        <w:tc>
          <w:tcPr>
            <w:tcW w:w="1306" w:type="dxa"/>
            <w:tcBorders>
              <w:top w:val="nil"/>
              <w:left w:val="nil"/>
              <w:bottom w:val="nil"/>
              <w:right w:val="nil"/>
            </w:tcBorders>
            <w:shd w:val="clear" w:color="000000" w:fill="FFFFFF"/>
            <w:noWrap/>
            <w:vAlign w:val="bottom"/>
            <w:hideMark/>
          </w:tcPr>
          <w:p w14:paraId="13E580B2"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30.6</w:t>
            </w:r>
          </w:p>
        </w:tc>
        <w:tc>
          <w:tcPr>
            <w:tcW w:w="1037" w:type="dxa"/>
            <w:tcBorders>
              <w:top w:val="nil"/>
              <w:left w:val="nil"/>
              <w:bottom w:val="nil"/>
              <w:right w:val="nil"/>
            </w:tcBorders>
            <w:shd w:val="clear" w:color="000000" w:fill="FFFFFF"/>
            <w:noWrap/>
            <w:vAlign w:val="bottom"/>
            <w:hideMark/>
          </w:tcPr>
          <w:p w14:paraId="6686F7F7"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6.1</w:t>
            </w:r>
          </w:p>
        </w:tc>
        <w:tc>
          <w:tcPr>
            <w:tcW w:w="1306" w:type="dxa"/>
            <w:tcBorders>
              <w:top w:val="nil"/>
              <w:left w:val="nil"/>
              <w:bottom w:val="nil"/>
              <w:right w:val="nil"/>
            </w:tcBorders>
            <w:shd w:val="clear" w:color="000000" w:fill="FFFFFF"/>
            <w:noWrap/>
            <w:vAlign w:val="bottom"/>
            <w:hideMark/>
          </w:tcPr>
          <w:p w14:paraId="62E3AD9F"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4.0</w:t>
            </w:r>
          </w:p>
        </w:tc>
        <w:tc>
          <w:tcPr>
            <w:tcW w:w="1037" w:type="dxa"/>
            <w:tcBorders>
              <w:top w:val="nil"/>
              <w:left w:val="nil"/>
              <w:bottom w:val="nil"/>
              <w:right w:val="nil"/>
            </w:tcBorders>
            <w:shd w:val="clear" w:color="000000" w:fill="FFFFFF"/>
            <w:noWrap/>
            <w:vAlign w:val="bottom"/>
            <w:hideMark/>
          </w:tcPr>
          <w:p w14:paraId="5388A65F"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4.2</w:t>
            </w:r>
          </w:p>
        </w:tc>
      </w:tr>
      <w:tr w:rsidR="00C138D1" w:rsidRPr="003A69B7" w14:paraId="60229156" w14:textId="77777777" w:rsidTr="00C138D1">
        <w:trPr>
          <w:trHeight w:val="254"/>
        </w:trPr>
        <w:tc>
          <w:tcPr>
            <w:tcW w:w="2520" w:type="dxa"/>
            <w:tcBorders>
              <w:top w:val="nil"/>
              <w:left w:val="nil"/>
              <w:bottom w:val="nil"/>
              <w:right w:val="nil"/>
            </w:tcBorders>
            <w:shd w:val="clear" w:color="000000" w:fill="FFFFFF"/>
            <w:noWrap/>
            <w:vAlign w:val="bottom"/>
            <w:hideMark/>
          </w:tcPr>
          <w:p w14:paraId="4AEB4F6E" w14:textId="25DDC11E" w:rsidR="00ED17A4" w:rsidRPr="003A69B7" w:rsidRDefault="00996E77" w:rsidP="00ED17A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 xml:space="preserve">Professional, Scientific and Technical </w:t>
            </w:r>
          </w:p>
        </w:tc>
        <w:tc>
          <w:tcPr>
            <w:tcW w:w="1306" w:type="dxa"/>
            <w:tcBorders>
              <w:top w:val="nil"/>
              <w:left w:val="nil"/>
              <w:bottom w:val="nil"/>
              <w:right w:val="nil"/>
            </w:tcBorders>
            <w:shd w:val="clear" w:color="000000" w:fill="FFFFFF"/>
            <w:noWrap/>
            <w:vAlign w:val="bottom"/>
            <w:hideMark/>
          </w:tcPr>
          <w:p w14:paraId="40530295"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20.1</w:t>
            </w:r>
          </w:p>
        </w:tc>
        <w:tc>
          <w:tcPr>
            <w:tcW w:w="1037" w:type="dxa"/>
            <w:tcBorders>
              <w:top w:val="nil"/>
              <w:left w:val="nil"/>
              <w:bottom w:val="nil"/>
              <w:right w:val="nil"/>
            </w:tcBorders>
            <w:shd w:val="clear" w:color="000000" w:fill="FFFFFF"/>
            <w:noWrap/>
            <w:vAlign w:val="bottom"/>
            <w:hideMark/>
          </w:tcPr>
          <w:p w14:paraId="4B96DCE1"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11.1</w:t>
            </w:r>
          </w:p>
        </w:tc>
        <w:tc>
          <w:tcPr>
            <w:tcW w:w="1306" w:type="dxa"/>
            <w:tcBorders>
              <w:top w:val="nil"/>
              <w:left w:val="nil"/>
              <w:bottom w:val="nil"/>
              <w:right w:val="nil"/>
            </w:tcBorders>
            <w:shd w:val="clear" w:color="000000" w:fill="FFFFFF"/>
            <w:noWrap/>
            <w:vAlign w:val="bottom"/>
            <w:hideMark/>
          </w:tcPr>
          <w:p w14:paraId="75A479E7"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30.9</w:t>
            </w:r>
          </w:p>
        </w:tc>
        <w:tc>
          <w:tcPr>
            <w:tcW w:w="1037" w:type="dxa"/>
            <w:tcBorders>
              <w:top w:val="nil"/>
              <w:left w:val="nil"/>
              <w:bottom w:val="nil"/>
              <w:right w:val="nil"/>
            </w:tcBorders>
            <w:shd w:val="clear" w:color="000000" w:fill="FFFFFF"/>
            <w:noWrap/>
            <w:vAlign w:val="bottom"/>
            <w:hideMark/>
          </w:tcPr>
          <w:p w14:paraId="41E58EC6"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9.9</w:t>
            </w:r>
          </w:p>
        </w:tc>
        <w:tc>
          <w:tcPr>
            <w:tcW w:w="1306" w:type="dxa"/>
            <w:tcBorders>
              <w:top w:val="nil"/>
              <w:left w:val="nil"/>
              <w:bottom w:val="nil"/>
              <w:right w:val="nil"/>
            </w:tcBorders>
            <w:shd w:val="clear" w:color="000000" w:fill="FFFFFF"/>
            <w:noWrap/>
            <w:vAlign w:val="bottom"/>
            <w:hideMark/>
          </w:tcPr>
          <w:p w14:paraId="1EA32583"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6.3</w:t>
            </w:r>
          </w:p>
        </w:tc>
        <w:tc>
          <w:tcPr>
            <w:tcW w:w="1037" w:type="dxa"/>
            <w:tcBorders>
              <w:top w:val="nil"/>
              <w:left w:val="nil"/>
              <w:bottom w:val="nil"/>
              <w:right w:val="nil"/>
            </w:tcBorders>
            <w:shd w:val="clear" w:color="000000" w:fill="FFFFFF"/>
            <w:noWrap/>
            <w:vAlign w:val="bottom"/>
            <w:hideMark/>
          </w:tcPr>
          <w:p w14:paraId="73E2D56C"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9.2</w:t>
            </w:r>
          </w:p>
        </w:tc>
      </w:tr>
      <w:tr w:rsidR="00C138D1" w:rsidRPr="003A69B7" w14:paraId="4AA164BA" w14:textId="77777777" w:rsidTr="00C138D1">
        <w:trPr>
          <w:trHeight w:val="254"/>
        </w:trPr>
        <w:tc>
          <w:tcPr>
            <w:tcW w:w="2520" w:type="dxa"/>
            <w:tcBorders>
              <w:top w:val="nil"/>
              <w:left w:val="nil"/>
              <w:bottom w:val="nil"/>
              <w:right w:val="nil"/>
            </w:tcBorders>
            <w:shd w:val="clear" w:color="000000" w:fill="FFFFFF"/>
            <w:noWrap/>
            <w:vAlign w:val="bottom"/>
            <w:hideMark/>
          </w:tcPr>
          <w:p w14:paraId="292E68E2" w14:textId="1DE9AC1D" w:rsidR="00ED17A4" w:rsidRPr="003A69B7" w:rsidRDefault="00996E77" w:rsidP="00ED17A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Information and Communication</w:t>
            </w:r>
          </w:p>
        </w:tc>
        <w:tc>
          <w:tcPr>
            <w:tcW w:w="1306" w:type="dxa"/>
            <w:tcBorders>
              <w:top w:val="nil"/>
              <w:left w:val="nil"/>
              <w:bottom w:val="nil"/>
              <w:right w:val="nil"/>
            </w:tcBorders>
            <w:shd w:val="clear" w:color="000000" w:fill="FFFFFF"/>
            <w:noWrap/>
            <w:vAlign w:val="bottom"/>
            <w:hideMark/>
          </w:tcPr>
          <w:p w14:paraId="747A7B5E"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13.0</w:t>
            </w:r>
          </w:p>
        </w:tc>
        <w:tc>
          <w:tcPr>
            <w:tcW w:w="1037" w:type="dxa"/>
            <w:tcBorders>
              <w:top w:val="nil"/>
              <w:left w:val="nil"/>
              <w:bottom w:val="nil"/>
              <w:right w:val="nil"/>
            </w:tcBorders>
            <w:shd w:val="clear" w:color="000000" w:fill="FFFFFF"/>
            <w:noWrap/>
            <w:vAlign w:val="bottom"/>
            <w:hideMark/>
          </w:tcPr>
          <w:p w14:paraId="19DBBA1D"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13.3</w:t>
            </w:r>
          </w:p>
        </w:tc>
        <w:tc>
          <w:tcPr>
            <w:tcW w:w="1306" w:type="dxa"/>
            <w:tcBorders>
              <w:top w:val="nil"/>
              <w:left w:val="nil"/>
              <w:bottom w:val="nil"/>
              <w:right w:val="nil"/>
            </w:tcBorders>
            <w:shd w:val="clear" w:color="000000" w:fill="FFFFFF"/>
            <w:noWrap/>
            <w:vAlign w:val="bottom"/>
            <w:hideMark/>
          </w:tcPr>
          <w:p w14:paraId="1D7FB2D8"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27.7</w:t>
            </w:r>
          </w:p>
        </w:tc>
        <w:tc>
          <w:tcPr>
            <w:tcW w:w="1037" w:type="dxa"/>
            <w:tcBorders>
              <w:top w:val="nil"/>
              <w:left w:val="nil"/>
              <w:bottom w:val="nil"/>
              <w:right w:val="nil"/>
            </w:tcBorders>
            <w:shd w:val="clear" w:color="000000" w:fill="FFFFFF"/>
            <w:noWrap/>
            <w:vAlign w:val="bottom"/>
            <w:hideMark/>
          </w:tcPr>
          <w:p w14:paraId="46FCC6CF"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13.0</w:t>
            </w:r>
          </w:p>
        </w:tc>
        <w:tc>
          <w:tcPr>
            <w:tcW w:w="1306" w:type="dxa"/>
            <w:tcBorders>
              <w:top w:val="nil"/>
              <w:left w:val="nil"/>
              <w:bottom w:val="nil"/>
              <w:right w:val="nil"/>
            </w:tcBorders>
            <w:shd w:val="clear" w:color="000000" w:fill="FFFFFF"/>
            <w:noWrap/>
            <w:vAlign w:val="bottom"/>
            <w:hideMark/>
          </w:tcPr>
          <w:p w14:paraId="6A63D1D5"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5.9</w:t>
            </w:r>
          </w:p>
        </w:tc>
        <w:tc>
          <w:tcPr>
            <w:tcW w:w="1037" w:type="dxa"/>
            <w:tcBorders>
              <w:top w:val="nil"/>
              <w:left w:val="nil"/>
              <w:bottom w:val="nil"/>
              <w:right w:val="nil"/>
            </w:tcBorders>
            <w:shd w:val="clear" w:color="000000" w:fill="FFFFFF"/>
            <w:noWrap/>
            <w:vAlign w:val="bottom"/>
            <w:hideMark/>
          </w:tcPr>
          <w:p w14:paraId="1275C208"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12.6</w:t>
            </w:r>
          </w:p>
        </w:tc>
      </w:tr>
      <w:tr w:rsidR="00C138D1" w:rsidRPr="003A69B7" w14:paraId="6BF92254" w14:textId="77777777" w:rsidTr="00C138D1">
        <w:trPr>
          <w:trHeight w:val="254"/>
        </w:trPr>
        <w:tc>
          <w:tcPr>
            <w:tcW w:w="2520" w:type="dxa"/>
            <w:tcBorders>
              <w:top w:val="nil"/>
              <w:left w:val="nil"/>
              <w:bottom w:val="nil"/>
              <w:right w:val="nil"/>
            </w:tcBorders>
            <w:shd w:val="clear" w:color="000000" w:fill="FFFFFF"/>
            <w:noWrap/>
            <w:vAlign w:val="bottom"/>
            <w:hideMark/>
          </w:tcPr>
          <w:p w14:paraId="2CA219C6" w14:textId="6DB74151" w:rsidR="00ED17A4" w:rsidRPr="003A69B7" w:rsidRDefault="00996E77" w:rsidP="00ED17A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Administrative and Support Services Activities</w:t>
            </w:r>
          </w:p>
        </w:tc>
        <w:tc>
          <w:tcPr>
            <w:tcW w:w="1306" w:type="dxa"/>
            <w:tcBorders>
              <w:top w:val="nil"/>
              <w:left w:val="nil"/>
              <w:bottom w:val="nil"/>
              <w:right w:val="nil"/>
            </w:tcBorders>
            <w:shd w:val="clear" w:color="000000" w:fill="FFFFFF"/>
            <w:noWrap/>
            <w:vAlign w:val="bottom"/>
            <w:hideMark/>
          </w:tcPr>
          <w:p w14:paraId="61C3917A"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36.7</w:t>
            </w:r>
          </w:p>
        </w:tc>
        <w:tc>
          <w:tcPr>
            <w:tcW w:w="1037" w:type="dxa"/>
            <w:tcBorders>
              <w:top w:val="nil"/>
              <w:left w:val="nil"/>
              <w:bottom w:val="nil"/>
              <w:right w:val="nil"/>
            </w:tcBorders>
            <w:shd w:val="clear" w:color="000000" w:fill="FFFFFF"/>
            <w:noWrap/>
            <w:vAlign w:val="bottom"/>
            <w:hideMark/>
          </w:tcPr>
          <w:p w14:paraId="26B0D947"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15.3</w:t>
            </w:r>
          </w:p>
        </w:tc>
        <w:tc>
          <w:tcPr>
            <w:tcW w:w="1306" w:type="dxa"/>
            <w:tcBorders>
              <w:top w:val="nil"/>
              <w:left w:val="nil"/>
              <w:bottom w:val="nil"/>
              <w:right w:val="nil"/>
            </w:tcBorders>
            <w:shd w:val="clear" w:color="000000" w:fill="FFFFFF"/>
            <w:noWrap/>
            <w:vAlign w:val="bottom"/>
            <w:hideMark/>
          </w:tcPr>
          <w:p w14:paraId="698C381B"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60.4</w:t>
            </w:r>
          </w:p>
        </w:tc>
        <w:tc>
          <w:tcPr>
            <w:tcW w:w="1037" w:type="dxa"/>
            <w:tcBorders>
              <w:top w:val="nil"/>
              <w:left w:val="nil"/>
              <w:bottom w:val="nil"/>
              <w:right w:val="nil"/>
            </w:tcBorders>
            <w:shd w:val="clear" w:color="000000" w:fill="FFFFFF"/>
            <w:noWrap/>
            <w:vAlign w:val="bottom"/>
            <w:hideMark/>
          </w:tcPr>
          <w:p w14:paraId="4351504E"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14.6</w:t>
            </w:r>
          </w:p>
        </w:tc>
        <w:tc>
          <w:tcPr>
            <w:tcW w:w="1306" w:type="dxa"/>
            <w:tcBorders>
              <w:top w:val="nil"/>
              <w:left w:val="nil"/>
              <w:bottom w:val="nil"/>
              <w:right w:val="nil"/>
            </w:tcBorders>
            <w:shd w:val="clear" w:color="000000" w:fill="FFFFFF"/>
            <w:noWrap/>
            <w:vAlign w:val="bottom"/>
            <w:hideMark/>
          </w:tcPr>
          <w:p w14:paraId="21829AC7"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6.4</w:t>
            </w:r>
          </w:p>
        </w:tc>
        <w:tc>
          <w:tcPr>
            <w:tcW w:w="1037" w:type="dxa"/>
            <w:tcBorders>
              <w:top w:val="nil"/>
              <w:left w:val="nil"/>
              <w:bottom w:val="nil"/>
              <w:right w:val="nil"/>
            </w:tcBorders>
            <w:shd w:val="clear" w:color="000000" w:fill="FFFFFF"/>
            <w:noWrap/>
            <w:vAlign w:val="bottom"/>
            <w:hideMark/>
          </w:tcPr>
          <w:p w14:paraId="2A7880FD"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13.1</w:t>
            </w:r>
          </w:p>
        </w:tc>
      </w:tr>
      <w:tr w:rsidR="00C138D1" w:rsidRPr="003A69B7" w14:paraId="02E00659" w14:textId="77777777" w:rsidTr="00C138D1">
        <w:trPr>
          <w:trHeight w:val="254"/>
        </w:trPr>
        <w:tc>
          <w:tcPr>
            <w:tcW w:w="2520" w:type="dxa"/>
            <w:tcBorders>
              <w:top w:val="nil"/>
              <w:left w:val="nil"/>
              <w:bottom w:val="nil"/>
              <w:right w:val="nil"/>
            </w:tcBorders>
            <w:shd w:val="clear" w:color="000000" w:fill="FFFFFF"/>
            <w:noWrap/>
            <w:vAlign w:val="bottom"/>
            <w:hideMark/>
          </w:tcPr>
          <w:p w14:paraId="4FA6E81A" w14:textId="6A7FAC7A" w:rsidR="00996E77" w:rsidRPr="003A69B7" w:rsidRDefault="00996E77" w:rsidP="00ED17A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Arts, entertainment and Recreation</w:t>
            </w:r>
          </w:p>
        </w:tc>
        <w:tc>
          <w:tcPr>
            <w:tcW w:w="1306" w:type="dxa"/>
            <w:tcBorders>
              <w:top w:val="nil"/>
              <w:left w:val="nil"/>
              <w:bottom w:val="nil"/>
              <w:right w:val="nil"/>
            </w:tcBorders>
            <w:shd w:val="clear" w:color="000000" w:fill="FFFFFF"/>
            <w:noWrap/>
            <w:vAlign w:val="bottom"/>
            <w:hideMark/>
          </w:tcPr>
          <w:p w14:paraId="51230363"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18.9</w:t>
            </w:r>
          </w:p>
        </w:tc>
        <w:tc>
          <w:tcPr>
            <w:tcW w:w="1037" w:type="dxa"/>
            <w:tcBorders>
              <w:top w:val="nil"/>
              <w:left w:val="nil"/>
              <w:bottom w:val="nil"/>
              <w:right w:val="nil"/>
            </w:tcBorders>
            <w:shd w:val="clear" w:color="000000" w:fill="FFFFFF"/>
            <w:noWrap/>
            <w:vAlign w:val="bottom"/>
            <w:hideMark/>
          </w:tcPr>
          <w:p w14:paraId="4745D3EB"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20.4</w:t>
            </w:r>
          </w:p>
        </w:tc>
        <w:tc>
          <w:tcPr>
            <w:tcW w:w="1306" w:type="dxa"/>
            <w:tcBorders>
              <w:top w:val="nil"/>
              <w:left w:val="nil"/>
              <w:bottom w:val="nil"/>
              <w:right w:val="nil"/>
            </w:tcBorders>
            <w:shd w:val="clear" w:color="000000" w:fill="FFFFFF"/>
            <w:noWrap/>
            <w:vAlign w:val="bottom"/>
            <w:hideMark/>
          </w:tcPr>
          <w:p w14:paraId="5CDFA7E0"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27.7</w:t>
            </w:r>
          </w:p>
        </w:tc>
        <w:tc>
          <w:tcPr>
            <w:tcW w:w="1037" w:type="dxa"/>
            <w:tcBorders>
              <w:top w:val="nil"/>
              <w:left w:val="nil"/>
              <w:bottom w:val="nil"/>
              <w:right w:val="nil"/>
            </w:tcBorders>
            <w:shd w:val="clear" w:color="000000" w:fill="FFFFFF"/>
            <w:noWrap/>
            <w:vAlign w:val="bottom"/>
            <w:hideMark/>
          </w:tcPr>
          <w:p w14:paraId="0B381D7C"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19.0</w:t>
            </w:r>
          </w:p>
        </w:tc>
        <w:tc>
          <w:tcPr>
            <w:tcW w:w="1306" w:type="dxa"/>
            <w:tcBorders>
              <w:top w:val="nil"/>
              <w:left w:val="nil"/>
              <w:bottom w:val="nil"/>
              <w:right w:val="nil"/>
            </w:tcBorders>
            <w:shd w:val="clear" w:color="000000" w:fill="FFFFFF"/>
            <w:noWrap/>
            <w:vAlign w:val="bottom"/>
            <w:hideMark/>
          </w:tcPr>
          <w:p w14:paraId="02CFE11D"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8.2</w:t>
            </w:r>
          </w:p>
        </w:tc>
        <w:tc>
          <w:tcPr>
            <w:tcW w:w="1037" w:type="dxa"/>
            <w:tcBorders>
              <w:top w:val="nil"/>
              <w:left w:val="nil"/>
              <w:bottom w:val="nil"/>
              <w:right w:val="nil"/>
            </w:tcBorders>
            <w:shd w:val="clear" w:color="000000" w:fill="FFFFFF"/>
            <w:noWrap/>
            <w:vAlign w:val="bottom"/>
            <w:hideMark/>
          </w:tcPr>
          <w:p w14:paraId="7BFBB873"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19.9</w:t>
            </w:r>
          </w:p>
        </w:tc>
      </w:tr>
      <w:tr w:rsidR="00C138D1" w:rsidRPr="003A69B7" w14:paraId="297959BF" w14:textId="77777777" w:rsidTr="00C138D1">
        <w:trPr>
          <w:trHeight w:val="254"/>
        </w:trPr>
        <w:tc>
          <w:tcPr>
            <w:tcW w:w="2520" w:type="dxa"/>
            <w:tcBorders>
              <w:top w:val="nil"/>
              <w:left w:val="nil"/>
              <w:bottom w:val="nil"/>
              <w:right w:val="nil"/>
            </w:tcBorders>
            <w:shd w:val="clear" w:color="000000" w:fill="FFFFFF"/>
            <w:noWrap/>
            <w:vAlign w:val="bottom"/>
            <w:hideMark/>
          </w:tcPr>
          <w:p w14:paraId="67604465" w14:textId="3B21E1A2" w:rsidR="00ED17A4" w:rsidRPr="003A69B7" w:rsidRDefault="00996E77" w:rsidP="00ED17A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Manufacturing</w:t>
            </w:r>
          </w:p>
        </w:tc>
        <w:tc>
          <w:tcPr>
            <w:tcW w:w="1306" w:type="dxa"/>
            <w:tcBorders>
              <w:top w:val="nil"/>
              <w:left w:val="nil"/>
              <w:bottom w:val="nil"/>
              <w:right w:val="nil"/>
            </w:tcBorders>
            <w:shd w:val="clear" w:color="000000" w:fill="FFFFFF"/>
            <w:noWrap/>
            <w:vAlign w:val="bottom"/>
            <w:hideMark/>
          </w:tcPr>
          <w:p w14:paraId="732CBC25"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34.8</w:t>
            </w:r>
          </w:p>
        </w:tc>
        <w:tc>
          <w:tcPr>
            <w:tcW w:w="1037" w:type="dxa"/>
            <w:tcBorders>
              <w:top w:val="nil"/>
              <w:left w:val="nil"/>
              <w:bottom w:val="nil"/>
              <w:right w:val="nil"/>
            </w:tcBorders>
            <w:shd w:val="clear" w:color="000000" w:fill="FFFFFF"/>
            <w:noWrap/>
            <w:vAlign w:val="bottom"/>
            <w:hideMark/>
          </w:tcPr>
          <w:p w14:paraId="163AC60A"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20.2</w:t>
            </w:r>
          </w:p>
        </w:tc>
        <w:tc>
          <w:tcPr>
            <w:tcW w:w="1306" w:type="dxa"/>
            <w:tcBorders>
              <w:top w:val="nil"/>
              <w:left w:val="nil"/>
              <w:bottom w:val="nil"/>
              <w:right w:val="nil"/>
            </w:tcBorders>
            <w:shd w:val="clear" w:color="000000" w:fill="FFFFFF"/>
            <w:noWrap/>
            <w:vAlign w:val="bottom"/>
            <w:hideMark/>
          </w:tcPr>
          <w:p w14:paraId="67CC2501"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55.6</w:t>
            </w:r>
          </w:p>
        </w:tc>
        <w:tc>
          <w:tcPr>
            <w:tcW w:w="1037" w:type="dxa"/>
            <w:tcBorders>
              <w:top w:val="nil"/>
              <w:left w:val="nil"/>
              <w:bottom w:val="nil"/>
              <w:right w:val="nil"/>
            </w:tcBorders>
            <w:shd w:val="clear" w:color="000000" w:fill="FFFFFF"/>
            <w:noWrap/>
            <w:vAlign w:val="bottom"/>
            <w:hideMark/>
          </w:tcPr>
          <w:p w14:paraId="1DB47A1F"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18.9</w:t>
            </w:r>
          </w:p>
        </w:tc>
        <w:tc>
          <w:tcPr>
            <w:tcW w:w="1306" w:type="dxa"/>
            <w:tcBorders>
              <w:top w:val="nil"/>
              <w:left w:val="nil"/>
              <w:bottom w:val="nil"/>
              <w:right w:val="nil"/>
            </w:tcBorders>
            <w:shd w:val="clear" w:color="000000" w:fill="FFFFFF"/>
            <w:noWrap/>
            <w:vAlign w:val="bottom"/>
            <w:hideMark/>
          </w:tcPr>
          <w:p w14:paraId="2FBDBA2D"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11.3</w:t>
            </w:r>
          </w:p>
        </w:tc>
        <w:tc>
          <w:tcPr>
            <w:tcW w:w="1037" w:type="dxa"/>
            <w:tcBorders>
              <w:top w:val="nil"/>
              <w:left w:val="nil"/>
              <w:bottom w:val="nil"/>
              <w:right w:val="nil"/>
            </w:tcBorders>
            <w:shd w:val="clear" w:color="000000" w:fill="FFFFFF"/>
            <w:noWrap/>
            <w:vAlign w:val="bottom"/>
            <w:hideMark/>
          </w:tcPr>
          <w:p w14:paraId="1C9C0BB1"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19.9</w:t>
            </w:r>
          </w:p>
        </w:tc>
      </w:tr>
      <w:tr w:rsidR="00C138D1" w:rsidRPr="003A69B7" w14:paraId="010958A0" w14:textId="77777777" w:rsidTr="00C138D1">
        <w:trPr>
          <w:trHeight w:val="254"/>
        </w:trPr>
        <w:tc>
          <w:tcPr>
            <w:tcW w:w="2520" w:type="dxa"/>
            <w:tcBorders>
              <w:top w:val="nil"/>
              <w:left w:val="nil"/>
              <w:bottom w:val="nil"/>
              <w:right w:val="nil"/>
            </w:tcBorders>
            <w:shd w:val="clear" w:color="000000" w:fill="FFFFFF"/>
            <w:noWrap/>
            <w:vAlign w:val="bottom"/>
            <w:hideMark/>
          </w:tcPr>
          <w:p w14:paraId="2F74C310" w14:textId="06DBC9DD" w:rsidR="00ED17A4" w:rsidRPr="003A69B7" w:rsidRDefault="00996E77" w:rsidP="00ED17A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Transport and Storage</w:t>
            </w:r>
          </w:p>
        </w:tc>
        <w:tc>
          <w:tcPr>
            <w:tcW w:w="1306" w:type="dxa"/>
            <w:tcBorders>
              <w:top w:val="nil"/>
              <w:left w:val="nil"/>
              <w:bottom w:val="nil"/>
              <w:right w:val="nil"/>
            </w:tcBorders>
            <w:shd w:val="clear" w:color="000000" w:fill="FFFFFF"/>
            <w:noWrap/>
            <w:vAlign w:val="bottom"/>
            <w:hideMark/>
          </w:tcPr>
          <w:p w14:paraId="2D6C0C03"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25.3</w:t>
            </w:r>
          </w:p>
        </w:tc>
        <w:tc>
          <w:tcPr>
            <w:tcW w:w="1037" w:type="dxa"/>
            <w:tcBorders>
              <w:top w:val="nil"/>
              <w:left w:val="nil"/>
              <w:bottom w:val="nil"/>
              <w:right w:val="nil"/>
            </w:tcBorders>
            <w:shd w:val="clear" w:color="000000" w:fill="FFFFFF"/>
            <w:noWrap/>
            <w:vAlign w:val="bottom"/>
            <w:hideMark/>
          </w:tcPr>
          <w:p w14:paraId="2515A8B5"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24.8</w:t>
            </w:r>
          </w:p>
        </w:tc>
        <w:tc>
          <w:tcPr>
            <w:tcW w:w="1306" w:type="dxa"/>
            <w:tcBorders>
              <w:top w:val="nil"/>
              <w:left w:val="nil"/>
              <w:bottom w:val="nil"/>
              <w:right w:val="nil"/>
            </w:tcBorders>
            <w:shd w:val="clear" w:color="000000" w:fill="FFFFFF"/>
            <w:noWrap/>
            <w:vAlign w:val="bottom"/>
            <w:hideMark/>
          </w:tcPr>
          <w:p w14:paraId="4AF5E485"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43.2</w:t>
            </w:r>
          </w:p>
        </w:tc>
        <w:tc>
          <w:tcPr>
            <w:tcW w:w="1037" w:type="dxa"/>
            <w:tcBorders>
              <w:top w:val="nil"/>
              <w:left w:val="nil"/>
              <w:bottom w:val="nil"/>
              <w:right w:val="nil"/>
            </w:tcBorders>
            <w:shd w:val="clear" w:color="000000" w:fill="FFFFFF"/>
            <w:noWrap/>
            <w:vAlign w:val="bottom"/>
            <w:hideMark/>
          </w:tcPr>
          <w:p w14:paraId="564CA811"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24.6</w:t>
            </w:r>
          </w:p>
        </w:tc>
        <w:tc>
          <w:tcPr>
            <w:tcW w:w="1306" w:type="dxa"/>
            <w:tcBorders>
              <w:top w:val="nil"/>
              <w:left w:val="nil"/>
              <w:bottom w:val="nil"/>
              <w:right w:val="nil"/>
            </w:tcBorders>
            <w:shd w:val="clear" w:color="000000" w:fill="FFFFFF"/>
            <w:noWrap/>
            <w:vAlign w:val="bottom"/>
            <w:hideMark/>
          </w:tcPr>
          <w:p w14:paraId="55D887A4"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10.1</w:t>
            </w:r>
          </w:p>
        </w:tc>
        <w:tc>
          <w:tcPr>
            <w:tcW w:w="1037" w:type="dxa"/>
            <w:tcBorders>
              <w:top w:val="nil"/>
              <w:left w:val="nil"/>
              <w:bottom w:val="nil"/>
              <w:right w:val="nil"/>
            </w:tcBorders>
            <w:shd w:val="clear" w:color="000000" w:fill="FFFFFF"/>
            <w:noWrap/>
            <w:vAlign w:val="bottom"/>
            <w:hideMark/>
          </w:tcPr>
          <w:p w14:paraId="6ED874E5"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23.2</w:t>
            </w:r>
          </w:p>
        </w:tc>
      </w:tr>
      <w:tr w:rsidR="00C138D1" w:rsidRPr="003A69B7" w14:paraId="1FFCC830" w14:textId="77777777" w:rsidTr="00C138D1">
        <w:trPr>
          <w:trHeight w:val="254"/>
        </w:trPr>
        <w:tc>
          <w:tcPr>
            <w:tcW w:w="2520" w:type="dxa"/>
            <w:tcBorders>
              <w:top w:val="nil"/>
              <w:left w:val="nil"/>
              <w:bottom w:val="nil"/>
              <w:right w:val="nil"/>
            </w:tcBorders>
            <w:shd w:val="clear" w:color="000000" w:fill="FFFFFF"/>
            <w:noWrap/>
            <w:vAlign w:val="bottom"/>
            <w:hideMark/>
          </w:tcPr>
          <w:p w14:paraId="5E99A719" w14:textId="5F409F2E" w:rsidR="00ED17A4" w:rsidRPr="003A69B7" w:rsidRDefault="00996E77" w:rsidP="00ED17A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Real Estate</w:t>
            </w:r>
          </w:p>
        </w:tc>
        <w:tc>
          <w:tcPr>
            <w:tcW w:w="1306" w:type="dxa"/>
            <w:tcBorders>
              <w:top w:val="nil"/>
              <w:left w:val="nil"/>
              <w:bottom w:val="nil"/>
              <w:right w:val="nil"/>
            </w:tcBorders>
            <w:shd w:val="clear" w:color="000000" w:fill="FFFFFF"/>
            <w:noWrap/>
            <w:vAlign w:val="bottom"/>
            <w:hideMark/>
          </w:tcPr>
          <w:p w14:paraId="47AC5408"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38.3</w:t>
            </w:r>
          </w:p>
        </w:tc>
        <w:tc>
          <w:tcPr>
            <w:tcW w:w="1037" w:type="dxa"/>
            <w:tcBorders>
              <w:top w:val="nil"/>
              <w:left w:val="nil"/>
              <w:bottom w:val="nil"/>
              <w:right w:val="nil"/>
            </w:tcBorders>
            <w:shd w:val="clear" w:color="000000" w:fill="FFFFFF"/>
            <w:noWrap/>
            <w:vAlign w:val="bottom"/>
            <w:hideMark/>
          </w:tcPr>
          <w:p w14:paraId="39209611"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26.3</w:t>
            </w:r>
          </w:p>
        </w:tc>
        <w:tc>
          <w:tcPr>
            <w:tcW w:w="1306" w:type="dxa"/>
            <w:tcBorders>
              <w:top w:val="nil"/>
              <w:left w:val="nil"/>
              <w:bottom w:val="nil"/>
              <w:right w:val="nil"/>
            </w:tcBorders>
            <w:shd w:val="clear" w:color="000000" w:fill="FFFFFF"/>
            <w:noWrap/>
            <w:vAlign w:val="bottom"/>
            <w:hideMark/>
          </w:tcPr>
          <w:p w14:paraId="3229D7E1"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65.6</w:t>
            </w:r>
          </w:p>
        </w:tc>
        <w:tc>
          <w:tcPr>
            <w:tcW w:w="1037" w:type="dxa"/>
            <w:tcBorders>
              <w:top w:val="nil"/>
              <w:left w:val="nil"/>
              <w:bottom w:val="nil"/>
              <w:right w:val="nil"/>
            </w:tcBorders>
            <w:shd w:val="clear" w:color="000000" w:fill="FFFFFF"/>
            <w:noWrap/>
            <w:vAlign w:val="bottom"/>
            <w:hideMark/>
          </w:tcPr>
          <w:p w14:paraId="0A4B9414"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20.9</w:t>
            </w:r>
          </w:p>
        </w:tc>
        <w:tc>
          <w:tcPr>
            <w:tcW w:w="1306" w:type="dxa"/>
            <w:tcBorders>
              <w:top w:val="nil"/>
              <w:left w:val="nil"/>
              <w:bottom w:val="nil"/>
              <w:right w:val="nil"/>
            </w:tcBorders>
            <w:shd w:val="clear" w:color="000000" w:fill="FFFFFF"/>
            <w:noWrap/>
            <w:vAlign w:val="bottom"/>
            <w:hideMark/>
          </w:tcPr>
          <w:p w14:paraId="107C85BB"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14.5</w:t>
            </w:r>
          </w:p>
        </w:tc>
        <w:tc>
          <w:tcPr>
            <w:tcW w:w="1037" w:type="dxa"/>
            <w:tcBorders>
              <w:top w:val="nil"/>
              <w:left w:val="nil"/>
              <w:bottom w:val="nil"/>
              <w:right w:val="nil"/>
            </w:tcBorders>
            <w:shd w:val="clear" w:color="000000" w:fill="FFFFFF"/>
            <w:noWrap/>
            <w:vAlign w:val="bottom"/>
            <w:hideMark/>
          </w:tcPr>
          <w:p w14:paraId="14230ED5"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23.7</w:t>
            </w:r>
          </w:p>
        </w:tc>
      </w:tr>
      <w:tr w:rsidR="00C138D1" w:rsidRPr="003A69B7" w14:paraId="3753E1FF" w14:textId="77777777" w:rsidTr="00C138D1">
        <w:trPr>
          <w:trHeight w:val="254"/>
        </w:trPr>
        <w:tc>
          <w:tcPr>
            <w:tcW w:w="2520" w:type="dxa"/>
            <w:tcBorders>
              <w:top w:val="nil"/>
              <w:left w:val="nil"/>
              <w:bottom w:val="nil"/>
              <w:right w:val="nil"/>
            </w:tcBorders>
            <w:shd w:val="clear" w:color="000000" w:fill="FFFFFF"/>
            <w:noWrap/>
            <w:vAlign w:val="bottom"/>
            <w:hideMark/>
          </w:tcPr>
          <w:p w14:paraId="3F98A5DD" w14:textId="07052E7D" w:rsidR="00ED17A4" w:rsidRPr="003A69B7" w:rsidRDefault="00996E77" w:rsidP="00ED17A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Wholesale and Retail Trade</w:t>
            </w:r>
          </w:p>
        </w:tc>
        <w:tc>
          <w:tcPr>
            <w:tcW w:w="1306" w:type="dxa"/>
            <w:tcBorders>
              <w:top w:val="nil"/>
              <w:left w:val="nil"/>
              <w:bottom w:val="nil"/>
              <w:right w:val="nil"/>
            </w:tcBorders>
            <w:shd w:val="clear" w:color="000000" w:fill="FFFFFF"/>
            <w:noWrap/>
            <w:vAlign w:val="bottom"/>
            <w:hideMark/>
          </w:tcPr>
          <w:p w14:paraId="5E1FF39D"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37.2</w:t>
            </w:r>
          </w:p>
        </w:tc>
        <w:tc>
          <w:tcPr>
            <w:tcW w:w="1037" w:type="dxa"/>
            <w:tcBorders>
              <w:top w:val="nil"/>
              <w:left w:val="nil"/>
              <w:bottom w:val="nil"/>
              <w:right w:val="nil"/>
            </w:tcBorders>
            <w:shd w:val="clear" w:color="000000" w:fill="FFFFFF"/>
            <w:noWrap/>
            <w:vAlign w:val="bottom"/>
            <w:hideMark/>
          </w:tcPr>
          <w:p w14:paraId="0AD1B032"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26.5</w:t>
            </w:r>
          </w:p>
        </w:tc>
        <w:tc>
          <w:tcPr>
            <w:tcW w:w="1306" w:type="dxa"/>
            <w:tcBorders>
              <w:top w:val="nil"/>
              <w:left w:val="nil"/>
              <w:bottom w:val="nil"/>
              <w:right w:val="nil"/>
            </w:tcBorders>
            <w:shd w:val="clear" w:color="000000" w:fill="FFFFFF"/>
            <w:noWrap/>
            <w:vAlign w:val="bottom"/>
            <w:hideMark/>
          </w:tcPr>
          <w:p w14:paraId="29611FB2"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58.7</w:t>
            </w:r>
          </w:p>
        </w:tc>
        <w:tc>
          <w:tcPr>
            <w:tcW w:w="1037" w:type="dxa"/>
            <w:tcBorders>
              <w:top w:val="nil"/>
              <w:left w:val="nil"/>
              <w:bottom w:val="nil"/>
              <w:right w:val="nil"/>
            </w:tcBorders>
            <w:shd w:val="clear" w:color="000000" w:fill="FFFFFF"/>
            <w:noWrap/>
            <w:vAlign w:val="bottom"/>
            <w:hideMark/>
          </w:tcPr>
          <w:p w14:paraId="0E09A59E"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25.9</w:t>
            </w:r>
          </w:p>
        </w:tc>
        <w:tc>
          <w:tcPr>
            <w:tcW w:w="1306" w:type="dxa"/>
            <w:tcBorders>
              <w:top w:val="nil"/>
              <w:left w:val="nil"/>
              <w:bottom w:val="nil"/>
              <w:right w:val="nil"/>
            </w:tcBorders>
            <w:shd w:val="clear" w:color="000000" w:fill="FFFFFF"/>
            <w:noWrap/>
            <w:vAlign w:val="bottom"/>
            <w:hideMark/>
          </w:tcPr>
          <w:p w14:paraId="2323497C"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14.5</w:t>
            </w:r>
          </w:p>
        </w:tc>
        <w:tc>
          <w:tcPr>
            <w:tcW w:w="1037" w:type="dxa"/>
            <w:tcBorders>
              <w:top w:val="nil"/>
              <w:left w:val="nil"/>
              <w:bottom w:val="nil"/>
              <w:right w:val="nil"/>
            </w:tcBorders>
            <w:shd w:val="clear" w:color="000000" w:fill="FFFFFF"/>
            <w:noWrap/>
            <w:vAlign w:val="bottom"/>
            <w:hideMark/>
          </w:tcPr>
          <w:p w14:paraId="1BC6DE89"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27.1</w:t>
            </w:r>
          </w:p>
        </w:tc>
      </w:tr>
      <w:tr w:rsidR="00C138D1" w:rsidRPr="003A69B7" w14:paraId="63608F06" w14:textId="77777777" w:rsidTr="00C138D1">
        <w:trPr>
          <w:trHeight w:val="254"/>
        </w:trPr>
        <w:tc>
          <w:tcPr>
            <w:tcW w:w="2520" w:type="dxa"/>
            <w:tcBorders>
              <w:top w:val="nil"/>
              <w:left w:val="nil"/>
              <w:bottom w:val="nil"/>
              <w:right w:val="nil"/>
            </w:tcBorders>
            <w:shd w:val="clear" w:color="000000" w:fill="FFFFFF"/>
            <w:noWrap/>
            <w:vAlign w:val="bottom"/>
            <w:hideMark/>
          </w:tcPr>
          <w:p w14:paraId="2811BE44" w14:textId="43ACC27C" w:rsidR="00ED17A4" w:rsidRPr="003A69B7" w:rsidRDefault="00996E77" w:rsidP="00ED17A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Human Health</w:t>
            </w:r>
          </w:p>
        </w:tc>
        <w:tc>
          <w:tcPr>
            <w:tcW w:w="1306" w:type="dxa"/>
            <w:tcBorders>
              <w:top w:val="nil"/>
              <w:left w:val="nil"/>
              <w:bottom w:val="nil"/>
              <w:right w:val="nil"/>
            </w:tcBorders>
            <w:shd w:val="clear" w:color="000000" w:fill="FFFFFF"/>
            <w:noWrap/>
            <w:vAlign w:val="bottom"/>
            <w:hideMark/>
          </w:tcPr>
          <w:p w14:paraId="4BBD0D3F"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33.9</w:t>
            </w:r>
          </w:p>
        </w:tc>
        <w:tc>
          <w:tcPr>
            <w:tcW w:w="1037" w:type="dxa"/>
            <w:tcBorders>
              <w:top w:val="nil"/>
              <w:left w:val="nil"/>
              <w:bottom w:val="nil"/>
              <w:right w:val="nil"/>
            </w:tcBorders>
            <w:shd w:val="clear" w:color="000000" w:fill="FFFFFF"/>
            <w:noWrap/>
            <w:vAlign w:val="bottom"/>
            <w:hideMark/>
          </w:tcPr>
          <w:p w14:paraId="2EB1FBDC"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24.7</w:t>
            </w:r>
          </w:p>
        </w:tc>
        <w:tc>
          <w:tcPr>
            <w:tcW w:w="1306" w:type="dxa"/>
            <w:tcBorders>
              <w:top w:val="nil"/>
              <w:left w:val="nil"/>
              <w:bottom w:val="nil"/>
              <w:right w:val="nil"/>
            </w:tcBorders>
            <w:shd w:val="clear" w:color="000000" w:fill="FFFFFF"/>
            <w:noWrap/>
            <w:vAlign w:val="bottom"/>
            <w:hideMark/>
          </w:tcPr>
          <w:p w14:paraId="7D17F5D1"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43.4</w:t>
            </w:r>
          </w:p>
        </w:tc>
        <w:tc>
          <w:tcPr>
            <w:tcW w:w="1037" w:type="dxa"/>
            <w:tcBorders>
              <w:top w:val="nil"/>
              <w:left w:val="nil"/>
              <w:bottom w:val="nil"/>
              <w:right w:val="nil"/>
            </w:tcBorders>
            <w:shd w:val="clear" w:color="000000" w:fill="FFFFFF"/>
            <w:noWrap/>
            <w:vAlign w:val="bottom"/>
            <w:hideMark/>
          </w:tcPr>
          <w:p w14:paraId="1B3E5D65"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27.2</w:t>
            </w:r>
          </w:p>
        </w:tc>
        <w:tc>
          <w:tcPr>
            <w:tcW w:w="1306" w:type="dxa"/>
            <w:tcBorders>
              <w:top w:val="nil"/>
              <w:left w:val="nil"/>
              <w:bottom w:val="nil"/>
              <w:right w:val="nil"/>
            </w:tcBorders>
            <w:shd w:val="clear" w:color="000000" w:fill="FFFFFF"/>
            <w:noWrap/>
            <w:vAlign w:val="bottom"/>
            <w:hideMark/>
          </w:tcPr>
          <w:p w14:paraId="4291B8F1"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28.9</w:t>
            </w:r>
          </w:p>
        </w:tc>
        <w:tc>
          <w:tcPr>
            <w:tcW w:w="1037" w:type="dxa"/>
            <w:tcBorders>
              <w:top w:val="nil"/>
              <w:left w:val="nil"/>
              <w:bottom w:val="nil"/>
              <w:right w:val="nil"/>
            </w:tcBorders>
            <w:shd w:val="clear" w:color="000000" w:fill="FFFFFF"/>
            <w:noWrap/>
            <w:vAlign w:val="bottom"/>
            <w:hideMark/>
          </w:tcPr>
          <w:p w14:paraId="6B70D9CD"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28.6</w:t>
            </w:r>
          </w:p>
        </w:tc>
      </w:tr>
      <w:tr w:rsidR="00C138D1" w:rsidRPr="003A69B7" w14:paraId="21AB82E1" w14:textId="77777777" w:rsidTr="00C138D1">
        <w:trPr>
          <w:trHeight w:val="254"/>
        </w:trPr>
        <w:tc>
          <w:tcPr>
            <w:tcW w:w="2520" w:type="dxa"/>
            <w:tcBorders>
              <w:top w:val="nil"/>
              <w:left w:val="nil"/>
              <w:bottom w:val="nil"/>
              <w:right w:val="nil"/>
            </w:tcBorders>
            <w:shd w:val="clear" w:color="000000" w:fill="FFFFFF"/>
            <w:noWrap/>
            <w:vAlign w:val="bottom"/>
            <w:hideMark/>
          </w:tcPr>
          <w:p w14:paraId="0A5BB545" w14:textId="51738FD6" w:rsidR="00996E77" w:rsidRPr="003A69B7" w:rsidRDefault="00996E77" w:rsidP="00ED17A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Accommodation</w:t>
            </w:r>
          </w:p>
        </w:tc>
        <w:tc>
          <w:tcPr>
            <w:tcW w:w="1306" w:type="dxa"/>
            <w:tcBorders>
              <w:top w:val="nil"/>
              <w:left w:val="nil"/>
              <w:bottom w:val="nil"/>
              <w:right w:val="nil"/>
            </w:tcBorders>
            <w:shd w:val="clear" w:color="000000" w:fill="FFFFFF"/>
            <w:noWrap/>
            <w:vAlign w:val="bottom"/>
            <w:hideMark/>
          </w:tcPr>
          <w:p w14:paraId="7B45D49B"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39.1</w:t>
            </w:r>
          </w:p>
        </w:tc>
        <w:tc>
          <w:tcPr>
            <w:tcW w:w="1037" w:type="dxa"/>
            <w:tcBorders>
              <w:top w:val="nil"/>
              <w:left w:val="nil"/>
              <w:bottom w:val="nil"/>
              <w:right w:val="nil"/>
            </w:tcBorders>
            <w:shd w:val="clear" w:color="000000" w:fill="FFFFFF"/>
            <w:noWrap/>
            <w:vAlign w:val="bottom"/>
            <w:hideMark/>
          </w:tcPr>
          <w:p w14:paraId="40FA3585"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33.0</w:t>
            </w:r>
          </w:p>
        </w:tc>
        <w:tc>
          <w:tcPr>
            <w:tcW w:w="1306" w:type="dxa"/>
            <w:tcBorders>
              <w:top w:val="nil"/>
              <w:left w:val="nil"/>
              <w:bottom w:val="nil"/>
              <w:right w:val="nil"/>
            </w:tcBorders>
            <w:shd w:val="clear" w:color="000000" w:fill="FFFFFF"/>
            <w:noWrap/>
            <w:vAlign w:val="bottom"/>
            <w:hideMark/>
          </w:tcPr>
          <w:p w14:paraId="59E408DB"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60.9</w:t>
            </w:r>
          </w:p>
        </w:tc>
        <w:tc>
          <w:tcPr>
            <w:tcW w:w="1037" w:type="dxa"/>
            <w:tcBorders>
              <w:top w:val="nil"/>
              <w:left w:val="nil"/>
              <w:bottom w:val="nil"/>
              <w:right w:val="nil"/>
            </w:tcBorders>
            <w:shd w:val="clear" w:color="000000" w:fill="FFFFFF"/>
            <w:noWrap/>
            <w:vAlign w:val="bottom"/>
            <w:hideMark/>
          </w:tcPr>
          <w:p w14:paraId="1C3495B9"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29.4</w:t>
            </w:r>
          </w:p>
        </w:tc>
        <w:tc>
          <w:tcPr>
            <w:tcW w:w="1306" w:type="dxa"/>
            <w:tcBorders>
              <w:top w:val="nil"/>
              <w:left w:val="nil"/>
              <w:bottom w:val="nil"/>
              <w:right w:val="nil"/>
            </w:tcBorders>
            <w:shd w:val="clear" w:color="000000" w:fill="FFFFFF"/>
            <w:noWrap/>
            <w:vAlign w:val="bottom"/>
            <w:hideMark/>
          </w:tcPr>
          <w:p w14:paraId="28609DB8"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18.2</w:t>
            </w:r>
          </w:p>
        </w:tc>
        <w:tc>
          <w:tcPr>
            <w:tcW w:w="1037" w:type="dxa"/>
            <w:tcBorders>
              <w:top w:val="nil"/>
              <w:left w:val="nil"/>
              <w:bottom w:val="nil"/>
              <w:right w:val="nil"/>
            </w:tcBorders>
            <w:shd w:val="clear" w:color="000000" w:fill="FFFFFF"/>
            <w:noWrap/>
            <w:vAlign w:val="bottom"/>
            <w:hideMark/>
          </w:tcPr>
          <w:p w14:paraId="1D8F6893"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31.6</w:t>
            </w:r>
          </w:p>
        </w:tc>
      </w:tr>
      <w:tr w:rsidR="00C138D1" w:rsidRPr="003A69B7" w14:paraId="108EEBEE" w14:textId="77777777" w:rsidTr="00C138D1">
        <w:trPr>
          <w:trHeight w:val="254"/>
        </w:trPr>
        <w:tc>
          <w:tcPr>
            <w:tcW w:w="2520" w:type="dxa"/>
            <w:tcBorders>
              <w:top w:val="nil"/>
              <w:left w:val="nil"/>
              <w:bottom w:val="nil"/>
              <w:right w:val="nil"/>
            </w:tcBorders>
            <w:shd w:val="clear" w:color="000000" w:fill="FFFFFF"/>
            <w:noWrap/>
            <w:vAlign w:val="bottom"/>
            <w:hideMark/>
          </w:tcPr>
          <w:p w14:paraId="4BC8C369" w14:textId="14656394" w:rsidR="00ED17A4" w:rsidRPr="003A69B7" w:rsidRDefault="00ED17A4" w:rsidP="00ED17A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Ele</w:t>
            </w:r>
            <w:r w:rsidR="00996E77" w:rsidRPr="003A69B7">
              <w:rPr>
                <w:rFonts w:cs="Times New Roman"/>
                <w:sz w:val="20"/>
                <w:szCs w:val="18"/>
                <w:lang w:val="en-GB" w:eastAsia="tr-TR"/>
              </w:rPr>
              <w:t xml:space="preserve">ctricity and Water </w:t>
            </w:r>
          </w:p>
        </w:tc>
        <w:tc>
          <w:tcPr>
            <w:tcW w:w="1306" w:type="dxa"/>
            <w:tcBorders>
              <w:top w:val="nil"/>
              <w:left w:val="nil"/>
              <w:bottom w:val="nil"/>
              <w:right w:val="nil"/>
            </w:tcBorders>
            <w:shd w:val="clear" w:color="000000" w:fill="FFFFFF"/>
            <w:noWrap/>
            <w:vAlign w:val="bottom"/>
            <w:hideMark/>
          </w:tcPr>
          <w:p w14:paraId="6FFD6C88"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16.3</w:t>
            </w:r>
          </w:p>
        </w:tc>
        <w:tc>
          <w:tcPr>
            <w:tcW w:w="1037" w:type="dxa"/>
            <w:tcBorders>
              <w:top w:val="nil"/>
              <w:left w:val="nil"/>
              <w:bottom w:val="nil"/>
              <w:right w:val="nil"/>
            </w:tcBorders>
            <w:shd w:val="clear" w:color="000000" w:fill="FFFFFF"/>
            <w:noWrap/>
            <w:vAlign w:val="bottom"/>
            <w:hideMark/>
          </w:tcPr>
          <w:p w14:paraId="683991FE"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29.9</w:t>
            </w:r>
          </w:p>
        </w:tc>
        <w:tc>
          <w:tcPr>
            <w:tcW w:w="1306" w:type="dxa"/>
            <w:tcBorders>
              <w:top w:val="nil"/>
              <w:left w:val="nil"/>
              <w:bottom w:val="nil"/>
              <w:right w:val="nil"/>
            </w:tcBorders>
            <w:shd w:val="clear" w:color="000000" w:fill="FFFFFF"/>
            <w:noWrap/>
            <w:vAlign w:val="bottom"/>
            <w:hideMark/>
          </w:tcPr>
          <w:p w14:paraId="03A2AF65"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29.5</w:t>
            </w:r>
          </w:p>
        </w:tc>
        <w:tc>
          <w:tcPr>
            <w:tcW w:w="1037" w:type="dxa"/>
            <w:tcBorders>
              <w:top w:val="nil"/>
              <w:left w:val="nil"/>
              <w:bottom w:val="nil"/>
              <w:right w:val="nil"/>
            </w:tcBorders>
            <w:shd w:val="clear" w:color="000000" w:fill="FFFFFF"/>
            <w:noWrap/>
            <w:vAlign w:val="bottom"/>
            <w:hideMark/>
          </w:tcPr>
          <w:p w14:paraId="132F5B4F"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30.5</w:t>
            </w:r>
          </w:p>
        </w:tc>
        <w:tc>
          <w:tcPr>
            <w:tcW w:w="1306" w:type="dxa"/>
            <w:tcBorders>
              <w:top w:val="nil"/>
              <w:left w:val="nil"/>
              <w:bottom w:val="nil"/>
              <w:right w:val="nil"/>
            </w:tcBorders>
            <w:shd w:val="clear" w:color="000000" w:fill="FFFFFF"/>
            <w:noWrap/>
            <w:vAlign w:val="bottom"/>
            <w:hideMark/>
          </w:tcPr>
          <w:p w14:paraId="1ACEA039"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7.2</w:t>
            </w:r>
          </w:p>
        </w:tc>
        <w:tc>
          <w:tcPr>
            <w:tcW w:w="1037" w:type="dxa"/>
            <w:tcBorders>
              <w:top w:val="nil"/>
              <w:left w:val="nil"/>
              <w:bottom w:val="nil"/>
              <w:right w:val="nil"/>
            </w:tcBorders>
            <w:shd w:val="clear" w:color="000000" w:fill="FFFFFF"/>
            <w:noWrap/>
            <w:vAlign w:val="bottom"/>
            <w:hideMark/>
          </w:tcPr>
          <w:p w14:paraId="03E558DE"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33.9</w:t>
            </w:r>
          </w:p>
        </w:tc>
      </w:tr>
      <w:tr w:rsidR="00C138D1" w:rsidRPr="003A69B7" w14:paraId="795883DE" w14:textId="77777777" w:rsidTr="00C138D1">
        <w:trPr>
          <w:trHeight w:val="254"/>
        </w:trPr>
        <w:tc>
          <w:tcPr>
            <w:tcW w:w="2520" w:type="dxa"/>
            <w:tcBorders>
              <w:top w:val="nil"/>
              <w:left w:val="nil"/>
              <w:bottom w:val="nil"/>
              <w:right w:val="nil"/>
            </w:tcBorders>
            <w:shd w:val="clear" w:color="000000" w:fill="FFFFFF"/>
            <w:noWrap/>
            <w:vAlign w:val="bottom"/>
            <w:hideMark/>
          </w:tcPr>
          <w:p w14:paraId="55FDD48A" w14:textId="3D34CB0A" w:rsidR="00ED17A4" w:rsidRPr="003A69B7" w:rsidRDefault="00996E77" w:rsidP="00ED17A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Construction</w:t>
            </w:r>
          </w:p>
        </w:tc>
        <w:tc>
          <w:tcPr>
            <w:tcW w:w="1306" w:type="dxa"/>
            <w:tcBorders>
              <w:top w:val="nil"/>
              <w:left w:val="nil"/>
              <w:bottom w:val="nil"/>
              <w:right w:val="nil"/>
            </w:tcBorders>
            <w:shd w:val="clear" w:color="000000" w:fill="FFFFFF"/>
            <w:noWrap/>
            <w:vAlign w:val="bottom"/>
            <w:hideMark/>
          </w:tcPr>
          <w:p w14:paraId="05CF8C20"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28.0</w:t>
            </w:r>
          </w:p>
        </w:tc>
        <w:tc>
          <w:tcPr>
            <w:tcW w:w="1037" w:type="dxa"/>
            <w:tcBorders>
              <w:top w:val="nil"/>
              <w:left w:val="nil"/>
              <w:bottom w:val="nil"/>
              <w:right w:val="nil"/>
            </w:tcBorders>
            <w:shd w:val="clear" w:color="000000" w:fill="FFFFFF"/>
            <w:noWrap/>
            <w:vAlign w:val="bottom"/>
            <w:hideMark/>
          </w:tcPr>
          <w:p w14:paraId="063F60E0"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36.6</w:t>
            </w:r>
          </w:p>
        </w:tc>
        <w:tc>
          <w:tcPr>
            <w:tcW w:w="1306" w:type="dxa"/>
            <w:tcBorders>
              <w:top w:val="nil"/>
              <w:left w:val="nil"/>
              <w:bottom w:val="nil"/>
              <w:right w:val="nil"/>
            </w:tcBorders>
            <w:shd w:val="clear" w:color="000000" w:fill="FFFFFF"/>
            <w:noWrap/>
            <w:vAlign w:val="bottom"/>
            <w:hideMark/>
          </w:tcPr>
          <w:p w14:paraId="48741C29"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49.0</w:t>
            </w:r>
          </w:p>
        </w:tc>
        <w:tc>
          <w:tcPr>
            <w:tcW w:w="1037" w:type="dxa"/>
            <w:tcBorders>
              <w:top w:val="nil"/>
              <w:left w:val="nil"/>
              <w:bottom w:val="nil"/>
              <w:right w:val="nil"/>
            </w:tcBorders>
            <w:shd w:val="clear" w:color="000000" w:fill="FFFFFF"/>
            <w:noWrap/>
            <w:vAlign w:val="bottom"/>
            <w:hideMark/>
          </w:tcPr>
          <w:p w14:paraId="29691FDF"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35.6</w:t>
            </w:r>
          </w:p>
        </w:tc>
        <w:tc>
          <w:tcPr>
            <w:tcW w:w="1306" w:type="dxa"/>
            <w:tcBorders>
              <w:top w:val="nil"/>
              <w:left w:val="nil"/>
              <w:bottom w:val="nil"/>
              <w:right w:val="nil"/>
            </w:tcBorders>
            <w:shd w:val="clear" w:color="000000" w:fill="FFFFFF"/>
            <w:noWrap/>
            <w:vAlign w:val="bottom"/>
            <w:hideMark/>
          </w:tcPr>
          <w:p w14:paraId="40F872B9"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18.4</w:t>
            </w:r>
          </w:p>
        </w:tc>
        <w:tc>
          <w:tcPr>
            <w:tcW w:w="1037" w:type="dxa"/>
            <w:tcBorders>
              <w:top w:val="nil"/>
              <w:left w:val="nil"/>
              <w:bottom w:val="nil"/>
              <w:right w:val="nil"/>
            </w:tcBorders>
            <w:shd w:val="clear" w:color="000000" w:fill="FFFFFF"/>
            <w:noWrap/>
            <w:vAlign w:val="bottom"/>
            <w:hideMark/>
          </w:tcPr>
          <w:p w14:paraId="1655EC57"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35.8</w:t>
            </w:r>
          </w:p>
        </w:tc>
      </w:tr>
      <w:tr w:rsidR="00C138D1" w:rsidRPr="003A69B7" w14:paraId="35DCB608" w14:textId="77777777" w:rsidTr="00C138D1">
        <w:trPr>
          <w:trHeight w:val="267"/>
        </w:trPr>
        <w:tc>
          <w:tcPr>
            <w:tcW w:w="2520" w:type="dxa"/>
            <w:tcBorders>
              <w:top w:val="nil"/>
              <w:left w:val="nil"/>
              <w:bottom w:val="double" w:sz="6" w:space="0" w:color="auto"/>
              <w:right w:val="nil"/>
            </w:tcBorders>
            <w:shd w:val="clear" w:color="000000" w:fill="FFFFFF"/>
            <w:noWrap/>
            <w:vAlign w:val="bottom"/>
            <w:hideMark/>
          </w:tcPr>
          <w:p w14:paraId="53C7D9AD" w14:textId="4192D6A8" w:rsidR="00ED17A4" w:rsidRPr="003A69B7" w:rsidRDefault="00996E77" w:rsidP="00ED17A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Other Services</w:t>
            </w:r>
          </w:p>
        </w:tc>
        <w:tc>
          <w:tcPr>
            <w:tcW w:w="1306" w:type="dxa"/>
            <w:tcBorders>
              <w:top w:val="nil"/>
              <w:left w:val="nil"/>
              <w:bottom w:val="double" w:sz="6" w:space="0" w:color="auto"/>
              <w:right w:val="nil"/>
            </w:tcBorders>
            <w:shd w:val="clear" w:color="000000" w:fill="FFFFFF"/>
            <w:noWrap/>
            <w:vAlign w:val="bottom"/>
            <w:hideMark/>
          </w:tcPr>
          <w:p w14:paraId="34F6AFC5"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57.7</w:t>
            </w:r>
          </w:p>
        </w:tc>
        <w:tc>
          <w:tcPr>
            <w:tcW w:w="1037" w:type="dxa"/>
            <w:tcBorders>
              <w:top w:val="nil"/>
              <w:left w:val="nil"/>
              <w:bottom w:val="double" w:sz="6" w:space="0" w:color="auto"/>
              <w:right w:val="nil"/>
            </w:tcBorders>
            <w:shd w:val="clear" w:color="000000" w:fill="FFFFFF"/>
            <w:noWrap/>
            <w:vAlign w:val="bottom"/>
            <w:hideMark/>
          </w:tcPr>
          <w:p w14:paraId="76C1DDF2"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56.4</w:t>
            </w:r>
          </w:p>
        </w:tc>
        <w:tc>
          <w:tcPr>
            <w:tcW w:w="1306" w:type="dxa"/>
            <w:tcBorders>
              <w:top w:val="nil"/>
              <w:left w:val="nil"/>
              <w:bottom w:val="double" w:sz="6" w:space="0" w:color="auto"/>
              <w:right w:val="nil"/>
            </w:tcBorders>
            <w:shd w:val="clear" w:color="000000" w:fill="FFFFFF"/>
            <w:noWrap/>
            <w:vAlign w:val="bottom"/>
            <w:hideMark/>
          </w:tcPr>
          <w:p w14:paraId="066C94C3"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74.4</w:t>
            </w:r>
          </w:p>
        </w:tc>
        <w:tc>
          <w:tcPr>
            <w:tcW w:w="1037" w:type="dxa"/>
            <w:tcBorders>
              <w:top w:val="nil"/>
              <w:left w:val="nil"/>
              <w:bottom w:val="double" w:sz="6" w:space="0" w:color="auto"/>
              <w:right w:val="nil"/>
            </w:tcBorders>
            <w:shd w:val="clear" w:color="000000" w:fill="FFFFFF"/>
            <w:noWrap/>
            <w:vAlign w:val="bottom"/>
            <w:hideMark/>
          </w:tcPr>
          <w:p w14:paraId="0E93BC75"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51.8</w:t>
            </w:r>
          </w:p>
        </w:tc>
        <w:tc>
          <w:tcPr>
            <w:tcW w:w="1306" w:type="dxa"/>
            <w:tcBorders>
              <w:top w:val="nil"/>
              <w:left w:val="nil"/>
              <w:bottom w:val="double" w:sz="6" w:space="0" w:color="auto"/>
              <w:right w:val="nil"/>
            </w:tcBorders>
            <w:shd w:val="clear" w:color="000000" w:fill="FFFFFF"/>
            <w:noWrap/>
            <w:vAlign w:val="bottom"/>
            <w:hideMark/>
          </w:tcPr>
          <w:p w14:paraId="54B19025"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45.0</w:t>
            </w:r>
          </w:p>
        </w:tc>
        <w:tc>
          <w:tcPr>
            <w:tcW w:w="1037" w:type="dxa"/>
            <w:tcBorders>
              <w:top w:val="nil"/>
              <w:left w:val="nil"/>
              <w:bottom w:val="double" w:sz="6" w:space="0" w:color="auto"/>
              <w:right w:val="nil"/>
            </w:tcBorders>
            <w:shd w:val="clear" w:color="000000" w:fill="FFFFFF"/>
            <w:noWrap/>
            <w:vAlign w:val="bottom"/>
            <w:hideMark/>
          </w:tcPr>
          <w:p w14:paraId="3AF3CBC2"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52.1</w:t>
            </w:r>
          </w:p>
        </w:tc>
      </w:tr>
      <w:tr w:rsidR="00C138D1" w:rsidRPr="003A69B7" w14:paraId="786C3774" w14:textId="77777777" w:rsidTr="00C138D1">
        <w:trPr>
          <w:trHeight w:val="267"/>
        </w:trPr>
        <w:tc>
          <w:tcPr>
            <w:tcW w:w="2520" w:type="dxa"/>
            <w:tcBorders>
              <w:top w:val="nil"/>
              <w:left w:val="nil"/>
              <w:bottom w:val="nil"/>
              <w:right w:val="nil"/>
            </w:tcBorders>
            <w:shd w:val="clear" w:color="auto" w:fill="auto"/>
            <w:noWrap/>
            <w:vAlign w:val="bottom"/>
            <w:hideMark/>
          </w:tcPr>
          <w:p w14:paraId="6F40219A" w14:textId="342F200B" w:rsidR="00ED17A4" w:rsidRPr="003A69B7" w:rsidRDefault="00ED17A4" w:rsidP="00ED17A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To</w:t>
            </w:r>
            <w:r w:rsidR="00996E77" w:rsidRPr="003A69B7">
              <w:rPr>
                <w:rFonts w:cs="Times New Roman"/>
                <w:sz w:val="20"/>
                <w:szCs w:val="18"/>
                <w:lang w:val="en-GB" w:eastAsia="tr-TR"/>
              </w:rPr>
              <w:t>tal</w:t>
            </w:r>
          </w:p>
        </w:tc>
        <w:tc>
          <w:tcPr>
            <w:tcW w:w="1306" w:type="dxa"/>
            <w:tcBorders>
              <w:top w:val="nil"/>
              <w:left w:val="nil"/>
              <w:bottom w:val="nil"/>
              <w:right w:val="nil"/>
            </w:tcBorders>
            <w:shd w:val="clear" w:color="auto" w:fill="auto"/>
            <w:noWrap/>
            <w:vAlign w:val="bottom"/>
            <w:hideMark/>
          </w:tcPr>
          <w:p w14:paraId="0A5602D7"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29.4</w:t>
            </w:r>
          </w:p>
        </w:tc>
        <w:tc>
          <w:tcPr>
            <w:tcW w:w="1037" w:type="dxa"/>
            <w:tcBorders>
              <w:top w:val="nil"/>
              <w:left w:val="nil"/>
              <w:bottom w:val="nil"/>
              <w:right w:val="nil"/>
            </w:tcBorders>
            <w:shd w:val="clear" w:color="auto" w:fill="auto"/>
            <w:noWrap/>
            <w:vAlign w:val="bottom"/>
            <w:hideMark/>
          </w:tcPr>
          <w:p w14:paraId="20B7A92E"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35.0</w:t>
            </w:r>
          </w:p>
        </w:tc>
        <w:tc>
          <w:tcPr>
            <w:tcW w:w="1306" w:type="dxa"/>
            <w:tcBorders>
              <w:top w:val="nil"/>
              <w:left w:val="nil"/>
              <w:bottom w:val="nil"/>
              <w:right w:val="nil"/>
            </w:tcBorders>
            <w:shd w:val="clear" w:color="auto" w:fill="auto"/>
            <w:noWrap/>
            <w:vAlign w:val="bottom"/>
            <w:hideMark/>
          </w:tcPr>
          <w:p w14:paraId="40E21098"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45.9</w:t>
            </w:r>
          </w:p>
        </w:tc>
        <w:tc>
          <w:tcPr>
            <w:tcW w:w="1037" w:type="dxa"/>
            <w:tcBorders>
              <w:top w:val="nil"/>
              <w:left w:val="nil"/>
              <w:bottom w:val="nil"/>
              <w:right w:val="nil"/>
            </w:tcBorders>
            <w:shd w:val="clear" w:color="auto" w:fill="auto"/>
            <w:noWrap/>
            <w:vAlign w:val="bottom"/>
            <w:hideMark/>
          </w:tcPr>
          <w:p w14:paraId="3BA36A9D"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33.6</w:t>
            </w:r>
          </w:p>
        </w:tc>
        <w:tc>
          <w:tcPr>
            <w:tcW w:w="1306" w:type="dxa"/>
            <w:tcBorders>
              <w:top w:val="nil"/>
              <w:left w:val="nil"/>
              <w:bottom w:val="nil"/>
              <w:right w:val="nil"/>
            </w:tcBorders>
            <w:shd w:val="clear" w:color="auto" w:fill="auto"/>
            <w:noWrap/>
            <w:vAlign w:val="bottom"/>
            <w:hideMark/>
          </w:tcPr>
          <w:p w14:paraId="073DE93F"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13.2</w:t>
            </w:r>
          </w:p>
        </w:tc>
        <w:tc>
          <w:tcPr>
            <w:tcW w:w="1037" w:type="dxa"/>
            <w:tcBorders>
              <w:top w:val="nil"/>
              <w:left w:val="nil"/>
              <w:bottom w:val="nil"/>
              <w:right w:val="nil"/>
            </w:tcBorders>
            <w:shd w:val="clear" w:color="auto" w:fill="auto"/>
            <w:noWrap/>
            <w:vAlign w:val="bottom"/>
            <w:hideMark/>
          </w:tcPr>
          <w:p w14:paraId="6D29D20D" w14:textId="77777777" w:rsidR="00ED17A4" w:rsidRPr="003A69B7" w:rsidRDefault="00ED17A4" w:rsidP="00ED17A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33.5</w:t>
            </w:r>
          </w:p>
        </w:tc>
      </w:tr>
    </w:tbl>
    <w:p w14:paraId="46C7EBB2" w14:textId="77777777" w:rsidR="00ED17A4" w:rsidRPr="00DA4693" w:rsidRDefault="00ED17A4" w:rsidP="00E94D2C">
      <w:pPr>
        <w:pStyle w:val="NoSpacing"/>
        <w:jc w:val="both"/>
        <w:rPr>
          <w:rFonts w:ascii="Palatino Linotype" w:hAnsi="Palatino Linotype"/>
          <w:b/>
          <w:color w:val="FF0000"/>
          <w:sz w:val="20"/>
          <w:szCs w:val="20"/>
          <w:lang w:eastAsia="tr-TR"/>
        </w:rPr>
      </w:pPr>
    </w:p>
    <w:p w14:paraId="22D71A7A" w14:textId="6E753132" w:rsidR="008342DA" w:rsidRDefault="00F21CD1" w:rsidP="007309E2">
      <w:pPr>
        <w:pStyle w:val="NoSpacing"/>
        <w:jc w:val="both"/>
        <w:rPr>
          <w:rFonts w:ascii="Palatino Linotype" w:hAnsi="Palatino Linotype"/>
          <w:sz w:val="20"/>
          <w:szCs w:val="20"/>
          <w:lang w:val="en-GB" w:eastAsia="tr-TR"/>
        </w:rPr>
      </w:pPr>
      <w:r w:rsidRPr="00A67B85">
        <w:rPr>
          <w:rFonts w:ascii="Palatino Linotype" w:hAnsi="Palatino Linotype"/>
          <w:b/>
          <w:sz w:val="20"/>
          <w:szCs w:val="20"/>
          <w:lang w:val="en-GB" w:eastAsia="tr-TR"/>
        </w:rPr>
        <w:t>Source</w:t>
      </w:r>
      <w:r w:rsidR="008342DA" w:rsidRPr="00A67B85">
        <w:rPr>
          <w:rFonts w:ascii="Palatino Linotype" w:hAnsi="Palatino Linotype"/>
          <w:sz w:val="20"/>
          <w:szCs w:val="20"/>
          <w:lang w:val="en-GB" w:eastAsia="tr-TR"/>
        </w:rPr>
        <w:t>:</w:t>
      </w:r>
      <w:r w:rsidR="006249C9" w:rsidRPr="00A67B85">
        <w:rPr>
          <w:rFonts w:ascii="Palatino Linotype" w:hAnsi="Palatino Linotype"/>
          <w:sz w:val="20"/>
          <w:szCs w:val="20"/>
          <w:lang w:val="en-GB" w:eastAsia="tr-TR"/>
        </w:rPr>
        <w:t xml:space="preserve"> TU</w:t>
      </w:r>
      <w:r w:rsidRPr="00A67B85">
        <w:rPr>
          <w:rFonts w:ascii="Palatino Linotype" w:hAnsi="Palatino Linotype"/>
          <w:sz w:val="20"/>
          <w:szCs w:val="20"/>
          <w:lang w:val="en-GB" w:eastAsia="tr-TR"/>
        </w:rPr>
        <w:t>RKSTAT</w:t>
      </w:r>
      <w:r w:rsidR="006249C9" w:rsidRPr="00A67B85">
        <w:rPr>
          <w:rFonts w:ascii="Palatino Linotype" w:hAnsi="Palatino Linotype"/>
          <w:sz w:val="20"/>
          <w:szCs w:val="20"/>
          <w:lang w:val="en-GB" w:eastAsia="tr-TR"/>
        </w:rPr>
        <w:t>, H</w:t>
      </w:r>
      <w:r w:rsidRPr="00A67B85">
        <w:rPr>
          <w:rFonts w:ascii="Palatino Linotype" w:hAnsi="Palatino Linotype"/>
          <w:sz w:val="20"/>
          <w:szCs w:val="20"/>
          <w:lang w:val="en-GB" w:eastAsia="tr-TR"/>
        </w:rPr>
        <w:t>LFS</w:t>
      </w:r>
      <w:r w:rsidR="006249C9" w:rsidRPr="00A67B85">
        <w:rPr>
          <w:rFonts w:ascii="Palatino Linotype" w:hAnsi="Palatino Linotype"/>
          <w:sz w:val="20"/>
          <w:szCs w:val="20"/>
          <w:lang w:val="en-GB" w:eastAsia="tr-TR"/>
        </w:rPr>
        <w:t xml:space="preserve"> 2014, 2015,2016 mi</w:t>
      </w:r>
      <w:r w:rsidR="00A67B85" w:rsidRPr="00A67B85">
        <w:rPr>
          <w:rFonts w:ascii="Palatino Linotype" w:hAnsi="Palatino Linotype"/>
          <w:sz w:val="20"/>
          <w:szCs w:val="20"/>
          <w:lang w:val="en-GB" w:eastAsia="tr-TR"/>
        </w:rPr>
        <w:t>cro data</w:t>
      </w:r>
      <w:r w:rsidR="006249C9" w:rsidRPr="00A67B85">
        <w:rPr>
          <w:rFonts w:ascii="Palatino Linotype" w:hAnsi="Palatino Linotype"/>
          <w:sz w:val="20"/>
          <w:szCs w:val="20"/>
          <w:lang w:val="en-GB" w:eastAsia="tr-TR"/>
        </w:rPr>
        <w:t xml:space="preserve"> </w:t>
      </w:r>
      <w:r w:rsidR="00A67B85" w:rsidRPr="00A67B85">
        <w:rPr>
          <w:rFonts w:ascii="Palatino Linotype" w:hAnsi="Palatino Linotype"/>
          <w:sz w:val="20"/>
          <w:szCs w:val="20"/>
          <w:lang w:val="en-GB" w:eastAsia="tr-TR"/>
        </w:rPr>
        <w:t>and Labor Force Statistics</w:t>
      </w:r>
      <w:r w:rsidR="006249C9" w:rsidRPr="00A67B85">
        <w:rPr>
          <w:rFonts w:ascii="Palatino Linotype" w:hAnsi="Palatino Linotype"/>
          <w:sz w:val="20"/>
          <w:szCs w:val="20"/>
          <w:lang w:val="en-GB" w:eastAsia="tr-TR"/>
        </w:rPr>
        <w:t xml:space="preserve"> (http://www.tuik.gov.tr, </w:t>
      </w:r>
      <w:r w:rsidR="00A67B85" w:rsidRPr="00A67B85">
        <w:rPr>
          <w:rFonts w:ascii="Palatino Linotype" w:hAnsi="Palatino Linotype"/>
          <w:sz w:val="20"/>
          <w:szCs w:val="20"/>
          <w:lang w:val="en-GB" w:eastAsia="tr-TR"/>
        </w:rPr>
        <w:t>Date of Access</w:t>
      </w:r>
      <w:r w:rsidR="006249C9" w:rsidRPr="00A67B85">
        <w:rPr>
          <w:rFonts w:ascii="Palatino Linotype" w:hAnsi="Palatino Linotype"/>
          <w:sz w:val="20"/>
          <w:szCs w:val="20"/>
          <w:lang w:val="en-GB" w:eastAsia="tr-TR"/>
        </w:rPr>
        <w:t xml:space="preserve"> 06.11.2017) </w:t>
      </w:r>
      <w:r w:rsidR="006249C9" w:rsidRPr="00A67B85">
        <w:rPr>
          <w:rFonts w:ascii="Palatino Linotype" w:hAnsi="Palatino Linotype"/>
          <w:b/>
          <w:sz w:val="20"/>
          <w:szCs w:val="20"/>
          <w:lang w:val="en-GB" w:eastAsia="tr-TR"/>
        </w:rPr>
        <w:t>Not</w:t>
      </w:r>
      <w:r w:rsidR="00A67B85" w:rsidRPr="00A67B85">
        <w:rPr>
          <w:rFonts w:ascii="Palatino Linotype" w:hAnsi="Palatino Linotype"/>
          <w:b/>
          <w:sz w:val="20"/>
          <w:szCs w:val="20"/>
          <w:lang w:val="en-GB" w:eastAsia="tr-TR"/>
        </w:rPr>
        <w:t>e</w:t>
      </w:r>
      <w:r w:rsidR="006249C9" w:rsidRPr="00A67B85">
        <w:rPr>
          <w:rFonts w:ascii="Palatino Linotype" w:hAnsi="Palatino Linotype"/>
          <w:b/>
          <w:sz w:val="20"/>
          <w:szCs w:val="20"/>
          <w:lang w:val="en-GB" w:eastAsia="tr-TR"/>
        </w:rPr>
        <w:t>:</w:t>
      </w:r>
      <w:r w:rsidR="00996A38">
        <w:rPr>
          <w:rFonts w:ascii="Palatino Linotype" w:hAnsi="Palatino Linotype"/>
          <w:b/>
          <w:sz w:val="20"/>
          <w:szCs w:val="20"/>
          <w:lang w:val="en-GB" w:eastAsia="tr-TR"/>
        </w:rPr>
        <w:t xml:space="preserve"> </w:t>
      </w:r>
      <w:r w:rsidR="00A67B85" w:rsidRPr="00A67B85">
        <w:rPr>
          <w:rFonts w:ascii="Palatino Linotype" w:hAnsi="Palatino Linotype"/>
          <w:sz w:val="20"/>
          <w:szCs w:val="20"/>
          <w:lang w:val="en-GB" w:eastAsia="tr-TR"/>
        </w:rPr>
        <w:t xml:space="preserve">The minimum wage level corrected by inflation for the following year is used as a limit value while the rate of low paid workers is calculated </w:t>
      </w:r>
      <w:r w:rsidR="00BF09EA" w:rsidRPr="00A67B85">
        <w:rPr>
          <w:rFonts w:ascii="Palatino Linotype" w:hAnsi="Palatino Linotype"/>
          <w:sz w:val="20"/>
          <w:szCs w:val="20"/>
          <w:lang w:val="en-GB" w:eastAsia="tr-TR"/>
        </w:rPr>
        <w:t>(</w:t>
      </w:r>
      <w:r w:rsidR="00A67B85" w:rsidRPr="00A67B85">
        <w:rPr>
          <w:rFonts w:ascii="Palatino Linotype" w:hAnsi="Palatino Linotype"/>
          <w:sz w:val="20"/>
          <w:szCs w:val="20"/>
          <w:lang w:val="en-GB" w:eastAsia="tr-TR"/>
        </w:rPr>
        <w:t>see</w:t>
      </w:r>
      <w:r w:rsidR="00261A0E" w:rsidRPr="00A67B85">
        <w:rPr>
          <w:rFonts w:ascii="Palatino Linotype" w:hAnsi="Palatino Linotype"/>
          <w:sz w:val="20"/>
          <w:szCs w:val="20"/>
          <w:lang w:val="en-GB" w:eastAsia="tr-TR"/>
        </w:rPr>
        <w:t>.</w:t>
      </w:r>
      <w:r w:rsidR="00A67B85" w:rsidRPr="00A67B85">
        <w:rPr>
          <w:rFonts w:ascii="Palatino Linotype" w:hAnsi="Palatino Linotype"/>
          <w:sz w:val="20"/>
          <w:szCs w:val="20"/>
          <w:lang w:val="en-GB" w:eastAsia="tr-TR"/>
        </w:rPr>
        <w:t xml:space="preserve"> The section of Data and Methodology and Footnote 2</w:t>
      </w:r>
      <w:r w:rsidR="00BF09EA" w:rsidRPr="00A67B85">
        <w:rPr>
          <w:rFonts w:ascii="Palatino Linotype" w:hAnsi="Palatino Linotype"/>
          <w:sz w:val="20"/>
          <w:szCs w:val="20"/>
          <w:lang w:val="en-GB" w:eastAsia="tr-TR"/>
        </w:rPr>
        <w:t>)</w:t>
      </w:r>
      <w:r w:rsidR="001E0F97" w:rsidRPr="00A67B85">
        <w:rPr>
          <w:rFonts w:ascii="Palatino Linotype" w:hAnsi="Palatino Linotype"/>
          <w:sz w:val="20"/>
          <w:szCs w:val="20"/>
          <w:lang w:val="en-GB" w:eastAsia="tr-TR"/>
        </w:rPr>
        <w:t xml:space="preserve">. </w:t>
      </w:r>
    </w:p>
    <w:p w14:paraId="20ED3AE2" w14:textId="77777777" w:rsidR="003A69B7" w:rsidRPr="007309E2" w:rsidRDefault="003A69B7" w:rsidP="007309E2">
      <w:pPr>
        <w:pStyle w:val="NoSpacing"/>
        <w:jc w:val="both"/>
        <w:rPr>
          <w:rFonts w:ascii="Palatino Linotype" w:hAnsi="Palatino Linotype"/>
          <w:sz w:val="20"/>
          <w:szCs w:val="20"/>
          <w:lang w:val="en-GB" w:eastAsia="tr-TR"/>
        </w:rPr>
      </w:pPr>
    </w:p>
    <w:p w14:paraId="2C0A2777" w14:textId="2B243C89" w:rsidR="007309E2" w:rsidRPr="001F7B45" w:rsidRDefault="001C06C5" w:rsidP="008342DA">
      <w:pPr>
        <w:rPr>
          <w:lang w:val="en-GB" w:eastAsia="tr-TR"/>
        </w:rPr>
      </w:pPr>
      <w:r>
        <w:rPr>
          <w:lang w:val="en-GB" w:eastAsia="tr-TR"/>
        </w:rPr>
        <w:lastRenderedPageBreak/>
        <w:t>We calculated the ratio</w:t>
      </w:r>
      <w:r w:rsidR="001F7B45">
        <w:rPr>
          <w:lang w:val="en-GB" w:eastAsia="tr-TR"/>
        </w:rPr>
        <w:t xml:space="preserve"> of low-</w:t>
      </w:r>
      <w:r>
        <w:rPr>
          <w:lang w:val="en-GB" w:eastAsia="tr-TR"/>
        </w:rPr>
        <w:t>wage</w:t>
      </w:r>
      <w:r w:rsidR="001F7B45">
        <w:rPr>
          <w:lang w:val="en-GB" w:eastAsia="tr-TR"/>
        </w:rPr>
        <w:t xml:space="preserve"> worker</w:t>
      </w:r>
      <w:r>
        <w:rPr>
          <w:lang w:val="en-GB" w:eastAsia="tr-TR"/>
        </w:rPr>
        <w:t>s</w:t>
      </w:r>
      <w:r w:rsidR="001F7B45">
        <w:rPr>
          <w:lang w:val="en-GB" w:eastAsia="tr-TR"/>
        </w:rPr>
        <w:t xml:space="preserve"> in each sector in the period of 2014, 2015 and 2016 </w:t>
      </w:r>
      <w:r>
        <w:rPr>
          <w:lang w:val="en-GB" w:eastAsia="tr-TR"/>
        </w:rPr>
        <w:t>to</w:t>
      </w:r>
      <w:r w:rsidR="001F7B45">
        <w:rPr>
          <w:lang w:val="en-GB" w:eastAsia="tr-TR"/>
        </w:rPr>
        <w:t xml:space="preserve"> examine our</w:t>
      </w:r>
      <w:r>
        <w:rPr>
          <w:lang w:val="en-GB" w:eastAsia="tr-TR"/>
        </w:rPr>
        <w:t xml:space="preserve"> claim explained</w:t>
      </w:r>
      <w:r w:rsidR="001F7B45">
        <w:rPr>
          <w:lang w:val="en-GB" w:eastAsia="tr-TR"/>
        </w:rPr>
        <w:t xml:space="preserve"> before. </w:t>
      </w:r>
      <w:r>
        <w:rPr>
          <w:lang w:val="en-GB" w:eastAsia="tr-TR"/>
        </w:rPr>
        <w:t>We interpret this ratio</w:t>
      </w:r>
      <w:r w:rsidR="00820C18">
        <w:rPr>
          <w:lang w:val="en-GB" w:eastAsia="tr-TR"/>
        </w:rPr>
        <w:t xml:space="preserve"> as the </w:t>
      </w:r>
      <w:r>
        <w:rPr>
          <w:lang w:val="en-GB" w:eastAsia="tr-TR"/>
        </w:rPr>
        <w:t xml:space="preserve">proxy for the effect of the </w:t>
      </w:r>
      <w:r w:rsidR="00820C18">
        <w:rPr>
          <w:lang w:val="en-GB" w:eastAsia="tr-TR"/>
        </w:rPr>
        <w:t>minimum wage increase</w:t>
      </w:r>
      <w:r>
        <w:rPr>
          <w:lang w:val="en-GB" w:eastAsia="tr-TR"/>
        </w:rPr>
        <w:t>.</w:t>
      </w:r>
      <w:r w:rsidR="0089127B">
        <w:rPr>
          <w:lang w:val="en-GB" w:eastAsia="tr-TR"/>
        </w:rPr>
        <w:t xml:space="preserve"> Then, we calculate the rate of informal employment for 17 sectors in the period of 2014-2017. Figure 1, Figure 2 and Figure 3 show the </w:t>
      </w:r>
      <w:r>
        <w:rPr>
          <w:lang w:val="en-GB" w:eastAsia="tr-TR"/>
        </w:rPr>
        <w:t xml:space="preserve">yearly </w:t>
      </w:r>
      <w:r w:rsidR="0089127B">
        <w:rPr>
          <w:lang w:val="en-GB" w:eastAsia="tr-TR"/>
        </w:rPr>
        <w:t xml:space="preserve">changes of informal employment rate from 2014 to 2015, from 2015 to 2016 and from 2016 to 2017 </w:t>
      </w:r>
      <w:r w:rsidR="004F3084">
        <w:rPr>
          <w:lang w:val="en-GB" w:eastAsia="tr-TR"/>
        </w:rPr>
        <w:t>respectively. They also show the relationship between the rate of i</w:t>
      </w:r>
      <w:r>
        <w:rPr>
          <w:lang w:val="en-GB" w:eastAsia="tr-TR"/>
        </w:rPr>
        <w:t>nformality and the rate low-wage</w:t>
      </w:r>
      <w:r w:rsidR="004F3084">
        <w:rPr>
          <w:lang w:val="en-GB" w:eastAsia="tr-TR"/>
        </w:rPr>
        <w:t xml:space="preserve"> workers</w:t>
      </w:r>
      <w:r w:rsidR="00FD0F82">
        <w:rPr>
          <w:lang w:val="en-GB" w:eastAsia="tr-TR"/>
        </w:rPr>
        <w:t xml:space="preserve"> for same periods. </w:t>
      </w:r>
      <w:r w:rsidR="004F3084">
        <w:rPr>
          <w:lang w:val="en-GB" w:eastAsia="tr-TR"/>
        </w:rPr>
        <w:t xml:space="preserve"> </w:t>
      </w:r>
    </w:p>
    <w:p w14:paraId="2735C145" w14:textId="5F096646" w:rsidR="00EE1D39" w:rsidRPr="00EE1D39" w:rsidRDefault="00EE1D39" w:rsidP="008342DA">
      <w:pPr>
        <w:rPr>
          <w:lang w:val="en-GB" w:eastAsia="tr-TR"/>
        </w:rPr>
      </w:pPr>
      <w:r w:rsidRPr="00EE1D39">
        <w:rPr>
          <w:lang w:val="en-GB" w:eastAsia="tr-TR"/>
        </w:rPr>
        <w:t xml:space="preserve">Figure 1 shows the relationship between the changes of the rate of informal employment and </w:t>
      </w:r>
      <w:r w:rsidR="001C06C5">
        <w:rPr>
          <w:lang w:val="en-GB" w:eastAsia="tr-TR"/>
        </w:rPr>
        <w:t xml:space="preserve">low-wage workers </w:t>
      </w:r>
      <w:r w:rsidRPr="00EE1D39">
        <w:rPr>
          <w:lang w:val="en-GB" w:eastAsia="tr-TR"/>
        </w:rPr>
        <w:t xml:space="preserve">from the period of 2014 to 2015 which is before minimum wage shock. </w:t>
      </w:r>
      <w:r>
        <w:rPr>
          <w:lang w:val="en-GB" w:eastAsia="tr-TR"/>
        </w:rPr>
        <w:t xml:space="preserve">It is obvious that there is negative correlation between these two variables. </w:t>
      </w:r>
      <w:r w:rsidR="001C06C5">
        <w:rPr>
          <w:lang w:val="en-GB" w:eastAsia="tr-TR"/>
        </w:rPr>
        <w:t xml:space="preserve">The </w:t>
      </w:r>
      <w:r>
        <w:rPr>
          <w:lang w:val="en-GB" w:eastAsia="tr-TR"/>
        </w:rPr>
        <w:t>informal</w:t>
      </w:r>
      <w:r w:rsidR="001C06C5">
        <w:rPr>
          <w:lang w:val="en-GB" w:eastAsia="tr-TR"/>
        </w:rPr>
        <w:t>ity rate decreases</w:t>
      </w:r>
      <w:r>
        <w:rPr>
          <w:lang w:val="en-GB" w:eastAsia="tr-TR"/>
        </w:rPr>
        <w:t xml:space="preserve"> in almost every sector</w:t>
      </w:r>
      <w:r w:rsidR="00E42737">
        <w:rPr>
          <w:lang w:val="en-GB" w:eastAsia="tr-TR"/>
        </w:rPr>
        <w:t xml:space="preserve"> compared to previous year</w:t>
      </w:r>
      <w:r>
        <w:rPr>
          <w:lang w:val="en-GB" w:eastAsia="tr-TR"/>
        </w:rPr>
        <w:t xml:space="preserve">. In addition, </w:t>
      </w:r>
      <w:r w:rsidR="00E42737">
        <w:rPr>
          <w:lang w:val="en-GB" w:eastAsia="tr-TR"/>
        </w:rPr>
        <w:t xml:space="preserve">decreases in informal employment are high in the sector which has high rate of low paid workers. </w:t>
      </w:r>
    </w:p>
    <w:p w14:paraId="7A9228A3" w14:textId="64A54ECE" w:rsidR="00005C84" w:rsidRPr="00BB7CBD" w:rsidRDefault="001C06C5" w:rsidP="008342DA">
      <w:pPr>
        <w:rPr>
          <w:lang w:val="en-GB" w:eastAsia="tr-TR"/>
        </w:rPr>
      </w:pPr>
      <w:r>
        <w:rPr>
          <w:lang w:val="en-GB" w:eastAsia="tr-TR"/>
        </w:rPr>
        <w:t>The</w:t>
      </w:r>
      <w:r w:rsidR="00E7664F">
        <w:rPr>
          <w:lang w:val="en-GB" w:eastAsia="tr-TR"/>
        </w:rPr>
        <w:t xml:space="preserve"> negative correlation between two variables </w:t>
      </w:r>
      <w:r>
        <w:rPr>
          <w:lang w:val="en-GB" w:eastAsia="tr-TR"/>
        </w:rPr>
        <w:t>gives place to a</w:t>
      </w:r>
      <w:r w:rsidR="00E7664F">
        <w:rPr>
          <w:lang w:val="en-GB" w:eastAsia="tr-TR"/>
        </w:rPr>
        <w:t xml:space="preserve"> positive correlation in the first two quarters of 2016</w:t>
      </w:r>
      <w:r>
        <w:rPr>
          <w:lang w:val="en-GB" w:eastAsia="tr-TR"/>
        </w:rPr>
        <w:t xml:space="preserve"> immediately after</w:t>
      </w:r>
      <w:r w:rsidR="00E7664F">
        <w:rPr>
          <w:lang w:val="en-GB" w:eastAsia="tr-TR"/>
        </w:rPr>
        <w:t xml:space="preserve"> </w:t>
      </w:r>
      <w:r>
        <w:rPr>
          <w:lang w:val="en-GB" w:eastAsia="tr-TR"/>
        </w:rPr>
        <w:t xml:space="preserve">the hike in </w:t>
      </w:r>
      <w:r w:rsidR="00E7664F">
        <w:rPr>
          <w:lang w:val="en-GB" w:eastAsia="tr-TR"/>
        </w:rPr>
        <w:t xml:space="preserve">minimum wage </w:t>
      </w:r>
      <w:r>
        <w:rPr>
          <w:lang w:val="en-GB" w:eastAsia="tr-TR"/>
        </w:rPr>
        <w:t xml:space="preserve">as it is clearly distinguishable from </w:t>
      </w:r>
      <w:r w:rsidR="00E7664F">
        <w:rPr>
          <w:lang w:val="en-GB" w:eastAsia="tr-TR"/>
        </w:rPr>
        <w:t>Figure 2. In the period of February and May, the increase of informality rate is relatively higher in the sectors which have high rate of low-paid workers. In the second part of the year</w:t>
      </w:r>
      <w:r w:rsidR="00366C86">
        <w:rPr>
          <w:lang w:val="en-GB" w:eastAsia="tr-TR"/>
        </w:rPr>
        <w:t xml:space="preserve"> (subfigures for</w:t>
      </w:r>
      <w:r w:rsidR="00E7664F">
        <w:rPr>
          <w:lang w:val="en-GB" w:eastAsia="tr-TR"/>
        </w:rPr>
        <w:t xml:space="preserve"> August and November</w:t>
      </w:r>
      <w:r w:rsidR="00366C86">
        <w:rPr>
          <w:lang w:val="en-GB" w:eastAsia="tr-TR"/>
        </w:rPr>
        <w:t>)</w:t>
      </w:r>
      <w:r w:rsidR="00E7664F">
        <w:rPr>
          <w:lang w:val="en-GB" w:eastAsia="tr-TR"/>
        </w:rPr>
        <w:t xml:space="preserve">, the rate of informal employment did not change with the rate of low-paid workers. </w:t>
      </w:r>
      <w:r w:rsidR="00462335">
        <w:rPr>
          <w:lang w:val="en-GB" w:eastAsia="tr-TR"/>
        </w:rPr>
        <w:t>I</w:t>
      </w:r>
      <w:r w:rsidR="006D2FD7">
        <w:rPr>
          <w:lang w:val="en-GB" w:eastAsia="tr-TR"/>
        </w:rPr>
        <w:t xml:space="preserve">t seems that the </w:t>
      </w:r>
      <w:r w:rsidR="008B1509">
        <w:rPr>
          <w:lang w:val="en-GB" w:eastAsia="tr-TR"/>
        </w:rPr>
        <w:t>low-</w:t>
      </w:r>
      <w:r w:rsidR="006D2FD7">
        <w:rPr>
          <w:lang w:val="en-GB" w:eastAsia="tr-TR"/>
        </w:rPr>
        <w:t>wage characteristic of</w:t>
      </w:r>
      <w:r w:rsidR="008B1509">
        <w:rPr>
          <w:lang w:val="en-GB" w:eastAsia="tr-TR"/>
        </w:rPr>
        <w:t xml:space="preserve"> sectors </w:t>
      </w:r>
      <w:r w:rsidR="006D2FD7">
        <w:rPr>
          <w:lang w:val="en-GB" w:eastAsia="tr-TR"/>
        </w:rPr>
        <w:t xml:space="preserve">is not </w:t>
      </w:r>
      <w:r w:rsidR="008B1509">
        <w:rPr>
          <w:lang w:val="en-GB" w:eastAsia="tr-TR"/>
        </w:rPr>
        <w:t xml:space="preserve">determinant </w:t>
      </w:r>
      <w:r w:rsidR="006D2FD7">
        <w:rPr>
          <w:lang w:val="en-GB" w:eastAsia="tr-TR"/>
        </w:rPr>
        <w:t xml:space="preserve">anymore starting from the third quarter in 2016. </w:t>
      </w:r>
      <w:r w:rsidR="008B1509">
        <w:rPr>
          <w:lang w:val="en-GB" w:eastAsia="tr-TR"/>
        </w:rPr>
        <w:t xml:space="preserve">The effect of minimum wage increase </w:t>
      </w:r>
      <w:r w:rsidR="006D2FD7">
        <w:rPr>
          <w:lang w:val="en-GB" w:eastAsia="tr-TR"/>
        </w:rPr>
        <w:t xml:space="preserve">on informality is similar across </w:t>
      </w:r>
      <w:r w:rsidR="008B1509">
        <w:rPr>
          <w:lang w:val="en-GB" w:eastAsia="tr-TR"/>
        </w:rPr>
        <w:t>all sectors</w:t>
      </w:r>
      <w:r w:rsidR="006D2FD7">
        <w:rPr>
          <w:lang w:val="en-GB" w:eastAsia="tr-TR"/>
        </w:rPr>
        <w:t xml:space="preserve"> thereafter.</w:t>
      </w:r>
      <w:r w:rsidR="008B1509">
        <w:rPr>
          <w:lang w:val="en-GB" w:eastAsia="tr-TR"/>
        </w:rPr>
        <w:t xml:space="preserve"> Nevertheless, there is an important difference between the third and fourth quarters. In the last </w:t>
      </w:r>
      <w:r w:rsidR="006D2FD7">
        <w:rPr>
          <w:lang w:val="en-GB" w:eastAsia="tr-TR"/>
        </w:rPr>
        <w:t>quarter</w:t>
      </w:r>
      <w:r w:rsidR="008B1509">
        <w:rPr>
          <w:lang w:val="en-GB" w:eastAsia="tr-TR"/>
        </w:rPr>
        <w:t xml:space="preserve"> (November), average</w:t>
      </w:r>
      <w:r w:rsidR="006D2FD7">
        <w:rPr>
          <w:lang w:val="en-GB" w:eastAsia="tr-TR"/>
        </w:rPr>
        <w:t xml:space="preserve"> yearly</w:t>
      </w:r>
      <w:r w:rsidR="008B1509">
        <w:rPr>
          <w:lang w:val="en-GB" w:eastAsia="tr-TR"/>
        </w:rPr>
        <w:t xml:space="preserve"> change </w:t>
      </w:r>
      <w:r w:rsidR="006D2FD7">
        <w:rPr>
          <w:lang w:val="en-GB" w:eastAsia="tr-TR"/>
        </w:rPr>
        <w:t xml:space="preserve">in informality </w:t>
      </w:r>
      <w:r w:rsidR="008B1509">
        <w:rPr>
          <w:lang w:val="en-GB" w:eastAsia="tr-TR"/>
        </w:rPr>
        <w:t xml:space="preserve">is positive while it is nearly zero in the third </w:t>
      </w:r>
      <w:r w:rsidR="006D2FD7">
        <w:rPr>
          <w:lang w:val="en-GB" w:eastAsia="tr-TR"/>
        </w:rPr>
        <w:t>quarter</w:t>
      </w:r>
      <w:r w:rsidR="008B1509">
        <w:rPr>
          <w:lang w:val="en-GB" w:eastAsia="tr-TR"/>
        </w:rPr>
        <w:t xml:space="preserve"> (August). </w:t>
      </w:r>
    </w:p>
    <w:p w14:paraId="701B5E83" w14:textId="27B8DDDF" w:rsidR="008F6893" w:rsidRPr="008F6893" w:rsidRDefault="008F6893" w:rsidP="008342DA">
      <w:pPr>
        <w:rPr>
          <w:lang w:val="en-GB" w:eastAsia="tr-TR"/>
        </w:rPr>
      </w:pPr>
      <w:r w:rsidRPr="008F6893">
        <w:rPr>
          <w:lang w:val="en-GB" w:eastAsia="tr-TR"/>
        </w:rPr>
        <w:t xml:space="preserve">Lastly, </w:t>
      </w:r>
      <w:r>
        <w:rPr>
          <w:lang w:val="en-GB" w:eastAsia="tr-TR"/>
        </w:rPr>
        <w:t>the change of the rate of informal employment in the period of 2016-2017 is examined in Figure 3.</w:t>
      </w:r>
      <w:r w:rsidR="00F72999">
        <w:rPr>
          <w:lang w:val="en-GB" w:eastAsia="tr-TR"/>
        </w:rPr>
        <w:t xml:space="preserve">  The similarity between each quarter in Figure 3 and the fourth quarter in Figure 2 is striking.  The rate of informal working increased on average in the period of 2017 compared to 2016.  In some sectors informality rate has increased, in other sectors, it has decreased; however, changes are not systematically associated with the rate of low-paid workers. </w:t>
      </w:r>
    </w:p>
    <w:p w14:paraId="1944883C" w14:textId="7F2D029C" w:rsidR="006306B6" w:rsidRPr="003A3B25" w:rsidRDefault="0078666C" w:rsidP="008342DA">
      <w:pPr>
        <w:rPr>
          <w:lang w:val="en-GB" w:eastAsia="tr-TR"/>
        </w:rPr>
      </w:pPr>
      <w:r>
        <w:rPr>
          <w:lang w:val="en-GB" w:eastAsia="tr-TR"/>
        </w:rPr>
        <w:t>Given these findings,</w:t>
      </w:r>
      <w:r w:rsidR="003A3B25">
        <w:rPr>
          <w:lang w:val="en-GB" w:eastAsia="tr-TR"/>
        </w:rPr>
        <w:t xml:space="preserve"> </w:t>
      </w:r>
      <w:r w:rsidR="008E779C">
        <w:rPr>
          <w:lang w:val="en-GB" w:eastAsia="tr-TR"/>
        </w:rPr>
        <w:t xml:space="preserve">to a large extent, </w:t>
      </w:r>
      <w:r w:rsidR="003A3B25">
        <w:rPr>
          <w:lang w:val="en-GB" w:eastAsia="tr-TR"/>
        </w:rPr>
        <w:t>our</w:t>
      </w:r>
      <w:r w:rsidR="008E779C">
        <w:rPr>
          <w:lang w:val="en-GB" w:eastAsia="tr-TR"/>
        </w:rPr>
        <w:t xml:space="preserve"> claim</w:t>
      </w:r>
      <w:r w:rsidR="003A3B25">
        <w:rPr>
          <w:lang w:val="en-GB" w:eastAsia="tr-TR"/>
        </w:rPr>
        <w:t xml:space="preserve"> seems to be </w:t>
      </w:r>
      <w:r w:rsidR="008E779C">
        <w:rPr>
          <w:lang w:val="en-GB" w:eastAsia="tr-TR"/>
        </w:rPr>
        <w:t>verified</w:t>
      </w:r>
      <w:r w:rsidR="003A3B25">
        <w:rPr>
          <w:lang w:val="en-GB" w:eastAsia="tr-TR"/>
        </w:rPr>
        <w:t xml:space="preserve">.  In the </w:t>
      </w:r>
      <w:r w:rsidR="008E779C">
        <w:rPr>
          <w:lang w:val="en-GB" w:eastAsia="tr-TR"/>
        </w:rPr>
        <w:t xml:space="preserve">low-wage </w:t>
      </w:r>
      <w:r w:rsidR="003A3B25">
        <w:rPr>
          <w:lang w:val="en-GB" w:eastAsia="tr-TR"/>
        </w:rPr>
        <w:t xml:space="preserve">sectors, the effect of minimum wage increase on informal employment is higher </w:t>
      </w:r>
      <w:r w:rsidR="008E779C">
        <w:rPr>
          <w:lang w:val="en-GB" w:eastAsia="tr-TR"/>
        </w:rPr>
        <w:t>initially</w:t>
      </w:r>
      <w:r w:rsidR="003A3B25">
        <w:rPr>
          <w:lang w:val="en-GB" w:eastAsia="tr-TR"/>
        </w:rPr>
        <w:t xml:space="preserve"> (immediately after the minimum wage shock). However, in the following periods, the increase in the rate of informal employment is </w:t>
      </w:r>
      <w:r w:rsidR="00B269BA">
        <w:rPr>
          <w:lang w:val="en-GB" w:eastAsia="tr-TR"/>
        </w:rPr>
        <w:t xml:space="preserve">positive but </w:t>
      </w:r>
      <w:r w:rsidR="003A3B25">
        <w:rPr>
          <w:lang w:val="en-GB" w:eastAsia="tr-TR"/>
        </w:rPr>
        <w:t xml:space="preserve">similar for all sector.  To sum up, </w:t>
      </w:r>
      <w:r w:rsidR="00B269BA">
        <w:rPr>
          <w:lang w:val="en-GB" w:eastAsia="tr-TR"/>
        </w:rPr>
        <w:t xml:space="preserve">between 2014 and 2015, </w:t>
      </w:r>
      <w:r w:rsidR="003A3B25">
        <w:rPr>
          <w:lang w:val="en-GB" w:eastAsia="tr-TR"/>
        </w:rPr>
        <w:t xml:space="preserve">we </w:t>
      </w:r>
      <w:r w:rsidR="00B269BA">
        <w:rPr>
          <w:lang w:val="en-GB" w:eastAsia="tr-TR"/>
        </w:rPr>
        <w:t>see</w:t>
      </w:r>
      <w:r w:rsidR="003A3B25">
        <w:rPr>
          <w:lang w:val="en-GB" w:eastAsia="tr-TR"/>
        </w:rPr>
        <w:t xml:space="preserve"> </w:t>
      </w:r>
      <w:r w:rsidR="00B269BA">
        <w:rPr>
          <w:lang w:val="en-GB" w:eastAsia="tr-TR"/>
        </w:rPr>
        <w:t>a general decline in informality rates across sectors while the decline in low-wage sectors is clearly more important.</w:t>
      </w:r>
      <w:r w:rsidR="003A3B25">
        <w:rPr>
          <w:lang w:val="en-GB" w:eastAsia="tr-TR"/>
        </w:rPr>
        <w:t xml:space="preserve"> We find that</w:t>
      </w:r>
      <w:r w:rsidR="006A355C">
        <w:rPr>
          <w:lang w:val="en-GB" w:eastAsia="tr-TR"/>
        </w:rPr>
        <w:t xml:space="preserve"> high</w:t>
      </w:r>
      <w:r w:rsidR="004C2BD1">
        <w:rPr>
          <w:lang w:val="en-GB" w:eastAsia="tr-TR"/>
        </w:rPr>
        <w:t xml:space="preserve"> increase of</w:t>
      </w:r>
      <w:r w:rsidR="003A3B25">
        <w:rPr>
          <w:lang w:val="en-GB" w:eastAsia="tr-TR"/>
        </w:rPr>
        <w:t xml:space="preserve"> </w:t>
      </w:r>
      <w:r w:rsidR="006A355C">
        <w:rPr>
          <w:lang w:val="en-GB" w:eastAsia="tr-TR"/>
        </w:rPr>
        <w:t xml:space="preserve">minimum wage in the beginning of 2016 </w:t>
      </w:r>
      <w:r w:rsidR="00B269BA">
        <w:rPr>
          <w:lang w:val="en-GB" w:eastAsia="tr-TR"/>
        </w:rPr>
        <w:t>increases initially the informality rate in low-wage sectors</w:t>
      </w:r>
      <w:r w:rsidR="00E86796">
        <w:rPr>
          <w:lang w:val="en-GB" w:eastAsia="tr-TR"/>
        </w:rPr>
        <w:t xml:space="preserve">. Then, in the following </w:t>
      </w:r>
      <w:r w:rsidR="008D1C8E">
        <w:rPr>
          <w:lang w:val="en-GB" w:eastAsia="tr-TR"/>
        </w:rPr>
        <w:t>period</w:t>
      </w:r>
      <w:r w:rsidR="00B269BA">
        <w:rPr>
          <w:lang w:val="en-GB" w:eastAsia="tr-TR"/>
        </w:rPr>
        <w:t>, this effect is generalised to all sectors independently of the ratio of low-wage earners in</w:t>
      </w:r>
      <w:r w:rsidR="006A355C">
        <w:rPr>
          <w:lang w:val="en-GB" w:eastAsia="tr-TR"/>
        </w:rPr>
        <w:t xml:space="preserve"> the sector. </w:t>
      </w:r>
    </w:p>
    <w:p w14:paraId="3446BC2F" w14:textId="0D480025" w:rsidR="00C47D49" w:rsidRPr="00C47D49" w:rsidRDefault="0096454B" w:rsidP="008342DA">
      <w:pPr>
        <w:rPr>
          <w:lang w:val="en-GB" w:eastAsia="tr-TR"/>
        </w:rPr>
      </w:pPr>
      <w:r>
        <w:rPr>
          <w:lang w:val="en-GB" w:eastAsia="tr-TR"/>
        </w:rPr>
        <w:lastRenderedPageBreak/>
        <w:t>Our</w:t>
      </w:r>
      <w:r w:rsidR="00C47D49" w:rsidRPr="00C47D49">
        <w:rPr>
          <w:lang w:val="en-GB" w:eastAsia="tr-TR"/>
        </w:rPr>
        <w:t xml:space="preserve"> findings </w:t>
      </w:r>
      <w:r>
        <w:rPr>
          <w:lang w:val="en-GB" w:eastAsia="tr-TR"/>
        </w:rPr>
        <w:t>in</w:t>
      </w:r>
      <w:r w:rsidR="00B95EAB">
        <w:rPr>
          <w:lang w:val="en-GB" w:eastAsia="tr-TR"/>
        </w:rPr>
        <w:t xml:space="preserve"> this research note </w:t>
      </w:r>
      <w:r w:rsidR="00381ED0">
        <w:rPr>
          <w:lang w:val="en-GB" w:eastAsia="tr-TR"/>
        </w:rPr>
        <w:t xml:space="preserve">have parallels with the trends of </w:t>
      </w:r>
      <w:r>
        <w:rPr>
          <w:lang w:val="en-GB" w:eastAsia="tr-TR"/>
        </w:rPr>
        <w:t xml:space="preserve">informality for </w:t>
      </w:r>
      <w:r w:rsidR="00381ED0">
        <w:rPr>
          <w:lang w:val="en-GB" w:eastAsia="tr-TR"/>
        </w:rPr>
        <w:t>wage earners examined in previous research note (Research Note 220/18).  In 2016</w:t>
      </w:r>
      <w:r>
        <w:rPr>
          <w:lang w:val="en-GB" w:eastAsia="tr-TR"/>
        </w:rPr>
        <w:t>,</w:t>
      </w:r>
      <w:r w:rsidR="001302CD">
        <w:rPr>
          <w:lang w:val="en-GB" w:eastAsia="tr-TR"/>
        </w:rPr>
        <w:t xml:space="preserve"> compared to 2015</w:t>
      </w:r>
      <w:r w:rsidR="00381ED0">
        <w:rPr>
          <w:lang w:val="en-GB" w:eastAsia="tr-TR"/>
        </w:rPr>
        <w:t xml:space="preserve">, the informal working rate of wage earners increased in the first two quarters, decreased in </w:t>
      </w:r>
      <w:r w:rsidR="00D74543">
        <w:rPr>
          <w:lang w:val="en-GB" w:eastAsia="tr-TR"/>
        </w:rPr>
        <w:t xml:space="preserve">the </w:t>
      </w:r>
      <w:r w:rsidR="00381ED0">
        <w:rPr>
          <w:lang w:val="en-GB" w:eastAsia="tr-TR"/>
        </w:rPr>
        <w:t>third quarter and incr</w:t>
      </w:r>
      <w:r w:rsidR="001302CD">
        <w:rPr>
          <w:lang w:val="en-GB" w:eastAsia="tr-TR"/>
        </w:rPr>
        <w:t>eased again in the last quarter.</w:t>
      </w:r>
      <w:r w:rsidR="00C92750">
        <w:rPr>
          <w:lang w:val="en-GB" w:eastAsia="tr-TR"/>
        </w:rPr>
        <w:t xml:space="preserve"> </w:t>
      </w:r>
      <w:r w:rsidR="00952857">
        <w:rPr>
          <w:lang w:val="en-GB" w:eastAsia="tr-TR"/>
        </w:rPr>
        <w:t xml:space="preserve">Thus, </w:t>
      </w:r>
      <w:r w:rsidR="00332204">
        <w:rPr>
          <w:lang w:val="en-GB" w:eastAsia="tr-TR"/>
        </w:rPr>
        <w:t xml:space="preserve">the main trends </w:t>
      </w:r>
      <w:r>
        <w:rPr>
          <w:lang w:val="en-GB" w:eastAsia="tr-TR"/>
        </w:rPr>
        <w:t xml:space="preserve">in the data </w:t>
      </w:r>
      <w:r w:rsidR="00332204">
        <w:rPr>
          <w:lang w:val="en-GB" w:eastAsia="tr-TR"/>
        </w:rPr>
        <w:t>are</w:t>
      </w:r>
      <w:r>
        <w:rPr>
          <w:lang w:val="en-GB" w:eastAsia="tr-TR"/>
        </w:rPr>
        <w:t xml:space="preserve">, expectedly, </w:t>
      </w:r>
      <w:r w:rsidR="00277A7B">
        <w:rPr>
          <w:lang w:val="en-GB" w:eastAsia="tr-TR"/>
        </w:rPr>
        <w:t>shaped by</w:t>
      </w:r>
      <w:r>
        <w:rPr>
          <w:lang w:val="en-GB" w:eastAsia="tr-TR"/>
        </w:rPr>
        <w:t xml:space="preserve"> trends of</w:t>
      </w:r>
      <w:r w:rsidR="00332204">
        <w:rPr>
          <w:lang w:val="en-GB" w:eastAsia="tr-TR"/>
        </w:rPr>
        <w:t xml:space="preserve"> wage earners since they</w:t>
      </w:r>
      <w:r w:rsidR="00952857">
        <w:rPr>
          <w:lang w:val="en-GB" w:eastAsia="tr-TR"/>
        </w:rPr>
        <w:t xml:space="preserve"> are mo</w:t>
      </w:r>
      <w:r w:rsidR="00332204">
        <w:rPr>
          <w:lang w:val="en-GB" w:eastAsia="tr-TR"/>
        </w:rPr>
        <w:t>re than half of total employment.</w:t>
      </w:r>
    </w:p>
    <w:p w14:paraId="0A252709" w14:textId="783DD6ED" w:rsidR="00332204" w:rsidRDefault="00332204" w:rsidP="008342DA">
      <w:pPr>
        <w:rPr>
          <w:lang w:val="en-GB" w:eastAsia="tr-TR"/>
        </w:rPr>
      </w:pPr>
      <w:r w:rsidRPr="00332204">
        <w:rPr>
          <w:lang w:val="en-GB" w:eastAsia="tr-TR"/>
        </w:rPr>
        <w:t>The effect of minimum wage shock on informal employment will</w:t>
      </w:r>
      <w:r w:rsidR="00042F69">
        <w:rPr>
          <w:lang w:val="en-GB" w:eastAsia="tr-TR"/>
        </w:rPr>
        <w:t xml:space="preserve"> also be</w:t>
      </w:r>
      <w:r w:rsidRPr="00332204">
        <w:rPr>
          <w:lang w:val="en-GB" w:eastAsia="tr-TR"/>
        </w:rPr>
        <w:t xml:space="preserve"> examine</w:t>
      </w:r>
      <w:r w:rsidR="003F2E68">
        <w:rPr>
          <w:lang w:val="en-GB" w:eastAsia="tr-TR"/>
        </w:rPr>
        <w:t>d in detail</w:t>
      </w:r>
      <w:r w:rsidRPr="00332204">
        <w:rPr>
          <w:lang w:val="en-GB" w:eastAsia="tr-TR"/>
        </w:rPr>
        <w:t xml:space="preserve"> in the next research note </w:t>
      </w:r>
      <w:r w:rsidR="00042F69">
        <w:rPr>
          <w:lang w:val="en-GB" w:eastAsia="tr-TR"/>
        </w:rPr>
        <w:t xml:space="preserve">at the </w:t>
      </w:r>
      <w:r w:rsidR="000A077E">
        <w:rPr>
          <w:lang w:val="en-GB" w:eastAsia="tr-TR"/>
        </w:rPr>
        <w:t xml:space="preserve">gender division. </w:t>
      </w:r>
      <w:r w:rsidR="00A65992">
        <w:rPr>
          <w:lang w:val="en-GB" w:eastAsia="tr-TR"/>
        </w:rPr>
        <w:t>Our next</w:t>
      </w:r>
      <w:r w:rsidR="00513938">
        <w:rPr>
          <w:lang w:val="en-GB" w:eastAsia="tr-TR"/>
        </w:rPr>
        <w:t xml:space="preserve"> </w:t>
      </w:r>
      <w:r w:rsidR="00A65992">
        <w:rPr>
          <w:lang w:val="en-GB" w:eastAsia="tr-TR"/>
        </w:rPr>
        <w:t>note indicate</w:t>
      </w:r>
      <w:r w:rsidR="00513938">
        <w:rPr>
          <w:lang w:val="en-GB" w:eastAsia="tr-TR"/>
        </w:rPr>
        <w:t xml:space="preserve">s that </w:t>
      </w:r>
      <w:r w:rsidR="00A65992">
        <w:rPr>
          <w:lang w:val="en-GB" w:eastAsia="tr-TR"/>
        </w:rPr>
        <w:t>to</w:t>
      </w:r>
      <w:r w:rsidR="00277A7B">
        <w:rPr>
          <w:lang w:val="en-GB" w:eastAsia="tr-TR"/>
        </w:rPr>
        <w:t xml:space="preserve">tal effect mentioned through this note is driven by </w:t>
      </w:r>
      <w:r w:rsidR="00776BE1">
        <w:rPr>
          <w:lang w:val="en-GB" w:eastAsia="tr-TR"/>
        </w:rPr>
        <w:t xml:space="preserve">men. It is known that number of </w:t>
      </w:r>
      <w:r w:rsidR="001C06C5">
        <w:rPr>
          <w:lang w:val="en-GB" w:eastAsia="tr-TR"/>
        </w:rPr>
        <w:t xml:space="preserve">low-wage workers </w:t>
      </w:r>
      <w:r w:rsidR="00277A7B">
        <w:rPr>
          <w:lang w:val="en-GB" w:eastAsia="tr-TR"/>
        </w:rPr>
        <w:t>among</w:t>
      </w:r>
      <w:r w:rsidR="00776BE1">
        <w:rPr>
          <w:lang w:val="en-GB" w:eastAsia="tr-TR"/>
        </w:rPr>
        <w:t xml:space="preserve"> women is much lower than men since education level is relatively higher </w:t>
      </w:r>
      <w:r w:rsidR="00945F2C">
        <w:rPr>
          <w:lang w:val="en-GB" w:eastAsia="tr-TR"/>
        </w:rPr>
        <w:t>for</w:t>
      </w:r>
      <w:r w:rsidR="00776BE1">
        <w:rPr>
          <w:lang w:val="en-GB" w:eastAsia="tr-TR"/>
        </w:rPr>
        <w:t xml:space="preserve"> women</w:t>
      </w:r>
      <w:r w:rsidR="00945F2C">
        <w:rPr>
          <w:lang w:val="en-GB" w:eastAsia="tr-TR"/>
        </w:rPr>
        <w:t xml:space="preserve"> compared to </w:t>
      </w:r>
      <w:r w:rsidR="00776BE1">
        <w:rPr>
          <w:lang w:val="en-GB" w:eastAsia="tr-TR"/>
        </w:rPr>
        <w:t xml:space="preserve">men. </w:t>
      </w:r>
      <w:r w:rsidR="00A87507">
        <w:rPr>
          <w:lang w:val="en-GB" w:eastAsia="tr-TR"/>
        </w:rPr>
        <w:t>Th</w:t>
      </w:r>
      <w:r w:rsidR="00945F2C">
        <w:rPr>
          <w:lang w:val="en-GB" w:eastAsia="tr-TR"/>
        </w:rPr>
        <w:t>us, the above result, comes from the</w:t>
      </w:r>
      <w:r w:rsidR="00A87507">
        <w:rPr>
          <w:lang w:val="en-GB" w:eastAsia="tr-TR"/>
        </w:rPr>
        <w:t xml:space="preserve"> fact that </w:t>
      </w:r>
      <w:r w:rsidR="00945F2C">
        <w:rPr>
          <w:lang w:val="en-GB" w:eastAsia="tr-TR"/>
        </w:rPr>
        <w:t xml:space="preserve">the </w:t>
      </w:r>
      <w:r w:rsidR="00792DA5">
        <w:rPr>
          <w:lang w:val="en-GB" w:eastAsia="tr-TR"/>
        </w:rPr>
        <w:t>number of</w:t>
      </w:r>
      <w:r w:rsidR="007D2795">
        <w:rPr>
          <w:lang w:val="en-GB" w:eastAsia="tr-TR"/>
        </w:rPr>
        <w:t xml:space="preserve"> female workers w</w:t>
      </w:r>
      <w:r w:rsidR="00945F2C">
        <w:rPr>
          <w:lang w:val="en-GB" w:eastAsia="tr-TR"/>
        </w:rPr>
        <w:t xml:space="preserve">ith low </w:t>
      </w:r>
      <w:r w:rsidR="00792DA5">
        <w:rPr>
          <w:lang w:val="en-GB" w:eastAsia="tr-TR"/>
        </w:rPr>
        <w:t>education</w:t>
      </w:r>
      <w:r w:rsidR="00CD62CA">
        <w:rPr>
          <w:lang w:val="en-GB" w:eastAsia="tr-TR"/>
        </w:rPr>
        <w:t xml:space="preserve"> </w:t>
      </w:r>
      <w:r w:rsidR="00945F2C">
        <w:rPr>
          <w:lang w:val="en-GB" w:eastAsia="tr-TR"/>
        </w:rPr>
        <w:t xml:space="preserve">levels that is characterized by high informality rates </w:t>
      </w:r>
      <w:r w:rsidR="007D2795">
        <w:rPr>
          <w:lang w:val="en-GB" w:eastAsia="tr-TR"/>
        </w:rPr>
        <w:t>is much low compared to male</w:t>
      </w:r>
      <w:r w:rsidR="00945F2C">
        <w:rPr>
          <w:lang w:val="en-GB" w:eastAsia="tr-TR"/>
        </w:rPr>
        <w:t xml:space="preserve"> workers</w:t>
      </w:r>
      <w:r w:rsidR="007D2795">
        <w:rPr>
          <w:lang w:val="en-GB" w:eastAsia="tr-TR"/>
        </w:rPr>
        <w:t xml:space="preserve">. </w:t>
      </w:r>
      <w:r w:rsidR="009E0CB8">
        <w:rPr>
          <w:lang w:val="en-GB" w:eastAsia="tr-TR"/>
        </w:rPr>
        <w:t xml:space="preserve">Taking all these </w:t>
      </w:r>
      <w:r w:rsidR="00273DCF">
        <w:rPr>
          <w:lang w:val="en-GB" w:eastAsia="tr-TR"/>
        </w:rPr>
        <w:t>factors into account</w:t>
      </w:r>
      <w:r w:rsidR="009E0CB8">
        <w:rPr>
          <w:lang w:val="en-GB" w:eastAsia="tr-TR"/>
        </w:rPr>
        <w:t xml:space="preserve">, </w:t>
      </w:r>
      <w:r w:rsidR="00273DCF">
        <w:rPr>
          <w:lang w:val="en-GB" w:eastAsia="tr-TR"/>
        </w:rPr>
        <w:t>it is not surprising that the</w:t>
      </w:r>
      <w:r w:rsidR="009E0CB8">
        <w:rPr>
          <w:lang w:val="en-GB" w:eastAsia="tr-TR"/>
        </w:rPr>
        <w:t xml:space="preserve"> minimum</w:t>
      </w:r>
      <w:r w:rsidR="00313628">
        <w:rPr>
          <w:lang w:val="en-GB" w:eastAsia="tr-TR"/>
        </w:rPr>
        <w:t xml:space="preserve"> wage increase does not </w:t>
      </w:r>
      <w:r w:rsidR="00273DCF">
        <w:rPr>
          <w:lang w:val="en-GB" w:eastAsia="tr-TR"/>
        </w:rPr>
        <w:t>affect</w:t>
      </w:r>
      <w:r w:rsidR="009E0CB8">
        <w:rPr>
          <w:lang w:val="en-GB" w:eastAsia="tr-TR"/>
        </w:rPr>
        <w:t xml:space="preserve"> the informal</w:t>
      </w:r>
      <w:r w:rsidR="00273DCF">
        <w:rPr>
          <w:lang w:val="en-GB" w:eastAsia="tr-TR"/>
        </w:rPr>
        <w:t xml:space="preserve">ity rate </w:t>
      </w:r>
      <w:r w:rsidR="009E0CB8">
        <w:rPr>
          <w:lang w:val="en-GB" w:eastAsia="tr-TR"/>
        </w:rPr>
        <w:t xml:space="preserve">for women. </w:t>
      </w:r>
    </w:p>
    <w:p w14:paraId="26751735" w14:textId="77777777" w:rsidR="00DA6A78" w:rsidRDefault="00E807EF" w:rsidP="00DA6A78">
      <w:pPr>
        <w:pStyle w:val="Heading2"/>
        <w:rPr>
          <w:rFonts w:eastAsiaTheme="minorHAnsi"/>
          <w:lang w:eastAsia="en-US"/>
        </w:rPr>
      </w:pPr>
      <w:r w:rsidRPr="00E807EF">
        <w:rPr>
          <w:rFonts w:eastAsiaTheme="minorHAnsi"/>
          <w:lang w:eastAsia="en-US"/>
        </w:rPr>
        <w:t xml:space="preserve">Conclusions and remarks </w:t>
      </w:r>
    </w:p>
    <w:p w14:paraId="25609CDB" w14:textId="7345A312" w:rsidR="00A62CA6" w:rsidRPr="00DA4693" w:rsidRDefault="00D216F7" w:rsidP="008342DA">
      <w:pPr>
        <w:rPr>
          <w:color w:val="FF0000"/>
          <w:szCs w:val="22"/>
          <w:lang w:eastAsia="tr-TR"/>
        </w:rPr>
      </w:pPr>
      <w:r>
        <w:rPr>
          <w:szCs w:val="22"/>
          <w:lang w:val="en-GB"/>
        </w:rPr>
        <w:t xml:space="preserve">Our results in this note </w:t>
      </w:r>
      <w:r w:rsidR="00A62CA6">
        <w:rPr>
          <w:szCs w:val="22"/>
          <w:lang w:val="en-GB"/>
        </w:rPr>
        <w:t xml:space="preserve">confirm the </w:t>
      </w:r>
      <w:r>
        <w:rPr>
          <w:szCs w:val="22"/>
          <w:lang w:val="en-GB"/>
        </w:rPr>
        <w:t>claim</w:t>
      </w:r>
      <w:r w:rsidR="00A62CA6">
        <w:rPr>
          <w:szCs w:val="22"/>
          <w:lang w:val="en-GB"/>
        </w:rPr>
        <w:t xml:space="preserve"> that </w:t>
      </w:r>
      <w:r w:rsidR="00954CE7">
        <w:rPr>
          <w:szCs w:val="22"/>
          <w:lang w:val="en-GB"/>
        </w:rPr>
        <w:t xml:space="preserve">the </w:t>
      </w:r>
      <w:r w:rsidR="00A62CA6">
        <w:rPr>
          <w:szCs w:val="22"/>
          <w:lang w:val="en-GB"/>
        </w:rPr>
        <w:t xml:space="preserve">minimum wage increase </w:t>
      </w:r>
      <w:r w:rsidR="00954CE7">
        <w:rPr>
          <w:szCs w:val="22"/>
          <w:lang w:val="en-GB"/>
        </w:rPr>
        <w:t>which was effective as of January 1,</w:t>
      </w:r>
      <w:r w:rsidR="00A62CA6">
        <w:rPr>
          <w:szCs w:val="22"/>
          <w:lang w:val="en-GB"/>
        </w:rPr>
        <w:t xml:space="preserve"> 2016 has </w:t>
      </w:r>
      <w:r w:rsidR="00954CE7">
        <w:rPr>
          <w:szCs w:val="22"/>
          <w:lang w:val="en-GB"/>
        </w:rPr>
        <w:t>affected the</w:t>
      </w:r>
      <w:r w:rsidR="00A62CA6">
        <w:rPr>
          <w:szCs w:val="22"/>
          <w:lang w:val="en-GB"/>
        </w:rPr>
        <w:t xml:space="preserve"> informal employment</w:t>
      </w:r>
      <w:r w:rsidR="00954CE7">
        <w:rPr>
          <w:szCs w:val="22"/>
          <w:lang w:val="en-GB"/>
        </w:rPr>
        <w:t xml:space="preserve"> rate. This</w:t>
      </w:r>
      <w:r w:rsidR="00A62CA6">
        <w:rPr>
          <w:szCs w:val="22"/>
          <w:lang w:val="en-GB"/>
        </w:rPr>
        <w:t xml:space="preserve"> effect </w:t>
      </w:r>
      <w:r w:rsidR="00D25423">
        <w:rPr>
          <w:szCs w:val="22"/>
          <w:lang w:val="en-GB"/>
        </w:rPr>
        <w:t>was</w:t>
      </w:r>
      <w:r w:rsidR="00954CE7">
        <w:rPr>
          <w:szCs w:val="22"/>
          <w:lang w:val="en-GB"/>
        </w:rPr>
        <w:t xml:space="preserve"> especially </w:t>
      </w:r>
      <w:r w:rsidR="009F0F32">
        <w:rPr>
          <w:szCs w:val="22"/>
          <w:lang w:val="en-GB"/>
        </w:rPr>
        <w:t>higher in low-</w:t>
      </w:r>
      <w:r w:rsidR="00954CE7">
        <w:rPr>
          <w:szCs w:val="22"/>
          <w:lang w:val="en-GB"/>
        </w:rPr>
        <w:t xml:space="preserve">wage </w:t>
      </w:r>
      <w:r w:rsidR="009F0F32">
        <w:rPr>
          <w:szCs w:val="22"/>
          <w:lang w:val="en-GB"/>
        </w:rPr>
        <w:t>sectors in the first two quarters</w:t>
      </w:r>
      <w:r w:rsidR="00954CE7">
        <w:rPr>
          <w:szCs w:val="22"/>
          <w:lang w:val="en-GB"/>
        </w:rPr>
        <w:t xml:space="preserve"> of 2016</w:t>
      </w:r>
      <w:r w:rsidR="00D25423">
        <w:rPr>
          <w:szCs w:val="22"/>
          <w:lang w:val="en-GB"/>
        </w:rPr>
        <w:t>. Then, this effec</w:t>
      </w:r>
      <w:r w:rsidR="00954CE7">
        <w:rPr>
          <w:szCs w:val="22"/>
          <w:lang w:val="en-GB"/>
        </w:rPr>
        <w:t>t became independent of the ratio</w:t>
      </w:r>
      <w:r w:rsidR="00D25423">
        <w:rPr>
          <w:szCs w:val="22"/>
          <w:lang w:val="en-GB"/>
        </w:rPr>
        <w:t xml:space="preserve"> of low</w:t>
      </w:r>
      <w:r w:rsidR="00954CE7">
        <w:rPr>
          <w:szCs w:val="22"/>
          <w:lang w:val="en-GB"/>
        </w:rPr>
        <w:t xml:space="preserve">-wage </w:t>
      </w:r>
      <w:r w:rsidR="00D25423">
        <w:rPr>
          <w:szCs w:val="22"/>
          <w:lang w:val="en-GB"/>
        </w:rPr>
        <w:t>workers</w:t>
      </w:r>
      <w:r w:rsidR="00954CE7">
        <w:rPr>
          <w:szCs w:val="22"/>
          <w:lang w:val="en-GB"/>
        </w:rPr>
        <w:t xml:space="preserve"> in the sector</w:t>
      </w:r>
      <w:r w:rsidR="00D25423">
        <w:rPr>
          <w:szCs w:val="22"/>
          <w:lang w:val="en-GB"/>
        </w:rPr>
        <w:t>.</w:t>
      </w:r>
      <w:r w:rsidR="003A5372">
        <w:rPr>
          <w:szCs w:val="22"/>
          <w:lang w:val="en-GB"/>
        </w:rPr>
        <w:t xml:space="preserve"> </w:t>
      </w:r>
      <w:r w:rsidR="00954CE7">
        <w:rPr>
          <w:szCs w:val="22"/>
          <w:lang w:val="en-GB"/>
        </w:rPr>
        <w:t>S</w:t>
      </w:r>
      <w:r w:rsidR="003A5372">
        <w:rPr>
          <w:szCs w:val="22"/>
          <w:lang w:val="en-GB"/>
        </w:rPr>
        <w:t>ince the last quarter of 2016</w:t>
      </w:r>
      <w:r w:rsidR="00954CE7">
        <w:rPr>
          <w:szCs w:val="22"/>
          <w:lang w:val="en-GB"/>
        </w:rPr>
        <w:t xml:space="preserve"> the generalized upward trend in informality seems to continue. One</w:t>
      </w:r>
      <w:r w:rsidR="00F71EE0">
        <w:rPr>
          <w:rFonts w:eastAsiaTheme="minorHAnsi"/>
          <w:lang w:val="en-GB" w:eastAsia="en-US"/>
        </w:rPr>
        <w:t xml:space="preserve"> need</w:t>
      </w:r>
      <w:r w:rsidR="00954CE7">
        <w:rPr>
          <w:rFonts w:eastAsiaTheme="minorHAnsi"/>
          <w:lang w:val="en-GB" w:eastAsia="en-US"/>
        </w:rPr>
        <w:t>s</w:t>
      </w:r>
      <w:r w:rsidR="00F71EE0">
        <w:rPr>
          <w:rFonts w:eastAsiaTheme="minorHAnsi"/>
          <w:lang w:val="en-GB" w:eastAsia="en-US"/>
        </w:rPr>
        <w:t xml:space="preserve"> to be cautious about findings of this </w:t>
      </w:r>
      <w:r w:rsidR="006260E3">
        <w:rPr>
          <w:rFonts w:eastAsiaTheme="minorHAnsi"/>
          <w:lang w:val="en-GB" w:eastAsia="en-US"/>
        </w:rPr>
        <w:t>and previous research note</w:t>
      </w:r>
      <w:r w:rsidR="00F71EE0">
        <w:rPr>
          <w:rFonts w:eastAsiaTheme="minorHAnsi"/>
          <w:lang w:val="en-GB" w:eastAsia="en-US"/>
        </w:rPr>
        <w:t xml:space="preserve"> </w:t>
      </w:r>
      <w:r w:rsidR="00954CE7">
        <w:rPr>
          <w:rFonts w:eastAsiaTheme="minorHAnsi"/>
          <w:lang w:val="en-GB" w:eastAsia="en-US"/>
        </w:rPr>
        <w:t>relies on aggregate sectoral level data</w:t>
      </w:r>
      <w:r w:rsidR="00F71EE0">
        <w:rPr>
          <w:rFonts w:eastAsiaTheme="minorHAnsi"/>
          <w:lang w:val="en-GB" w:eastAsia="en-US"/>
        </w:rPr>
        <w:t>.</w:t>
      </w:r>
      <w:r w:rsidR="00DA6A78">
        <w:rPr>
          <w:rFonts w:eastAsiaTheme="minorHAnsi"/>
          <w:lang w:val="en-GB" w:eastAsia="en-US"/>
        </w:rPr>
        <w:t xml:space="preserve"> In our next research note, we will examine the relationship between minimum wage and informality, in more detail using microdata </w:t>
      </w:r>
      <w:r w:rsidR="00954CE7">
        <w:rPr>
          <w:rFonts w:eastAsiaTheme="minorHAnsi"/>
          <w:lang w:val="en-GB" w:eastAsia="en-US"/>
        </w:rPr>
        <w:t xml:space="preserve">at the gender division and separating </w:t>
      </w:r>
      <w:r w:rsidR="006A4E3D">
        <w:rPr>
          <w:rFonts w:eastAsiaTheme="minorHAnsi"/>
          <w:lang w:val="en-GB" w:eastAsia="en-US"/>
        </w:rPr>
        <w:t>wage earners and non-wage earners.</w:t>
      </w:r>
      <w:r w:rsidR="001D06CE">
        <w:rPr>
          <w:rFonts w:eastAsiaTheme="minorHAnsi"/>
          <w:lang w:val="en-GB" w:eastAsia="en-US"/>
        </w:rPr>
        <w:t xml:space="preserve"> As we will see on next </w:t>
      </w:r>
      <w:r w:rsidR="00844165">
        <w:rPr>
          <w:rFonts w:eastAsiaTheme="minorHAnsi"/>
          <w:lang w:val="en-GB" w:eastAsia="en-US"/>
        </w:rPr>
        <w:t>resear</w:t>
      </w:r>
      <w:r w:rsidR="001D06CE">
        <w:rPr>
          <w:rFonts w:eastAsiaTheme="minorHAnsi"/>
          <w:lang w:val="en-GB" w:eastAsia="en-US"/>
        </w:rPr>
        <w:t xml:space="preserve">ch note, the effect of minimum wage </w:t>
      </w:r>
      <w:r w:rsidR="00844165">
        <w:rPr>
          <w:rFonts w:eastAsiaTheme="minorHAnsi"/>
          <w:lang w:val="en-GB" w:eastAsia="en-US"/>
        </w:rPr>
        <w:t xml:space="preserve">increase on informal working is observed especially </w:t>
      </w:r>
      <w:r w:rsidR="006A4E3D">
        <w:rPr>
          <w:rFonts w:eastAsiaTheme="minorHAnsi"/>
          <w:lang w:val="en-GB" w:eastAsia="en-US"/>
        </w:rPr>
        <w:t>for</w:t>
      </w:r>
      <w:r w:rsidR="00844165">
        <w:rPr>
          <w:rFonts w:eastAsiaTheme="minorHAnsi"/>
          <w:lang w:val="en-GB" w:eastAsia="en-US"/>
        </w:rPr>
        <w:t xml:space="preserve"> male employees.</w:t>
      </w:r>
    </w:p>
    <w:p w14:paraId="12029875" w14:textId="608E5500" w:rsidR="001D4632" w:rsidRPr="008A12AE" w:rsidRDefault="00340537" w:rsidP="001D4632">
      <w:pPr>
        <w:pStyle w:val="Heading2"/>
        <w:rPr>
          <w:rFonts w:eastAsiaTheme="minorHAnsi"/>
          <w:lang w:eastAsia="en-US"/>
        </w:rPr>
      </w:pPr>
      <w:r w:rsidRPr="008A12AE">
        <w:rPr>
          <w:rFonts w:eastAsiaTheme="minorHAnsi"/>
          <w:lang w:eastAsia="en-US"/>
        </w:rPr>
        <w:t>References</w:t>
      </w:r>
    </w:p>
    <w:p w14:paraId="52D620A8" w14:textId="3D206D6E" w:rsidR="003D1DD0" w:rsidRPr="008A12AE" w:rsidRDefault="001D4632" w:rsidP="001D4632">
      <w:pPr>
        <w:rPr>
          <w:szCs w:val="22"/>
          <w:lang w:val="en-GB" w:eastAsia="tr-TR"/>
        </w:rPr>
        <w:sectPr w:rsidR="003D1DD0" w:rsidRPr="008A12AE" w:rsidSect="00E70CEB">
          <w:pgSz w:w="11906" w:h="16838"/>
          <w:pgMar w:top="1418" w:right="1418" w:bottom="1418" w:left="1418" w:header="709" w:footer="709" w:gutter="0"/>
          <w:cols w:space="708"/>
          <w:docGrid w:linePitch="360"/>
        </w:sectPr>
      </w:pPr>
      <w:r w:rsidRPr="008A12AE">
        <w:rPr>
          <w:szCs w:val="22"/>
          <w:lang w:val="en-GB" w:eastAsia="tr-TR"/>
        </w:rPr>
        <w:t xml:space="preserve">[1] </w:t>
      </w:r>
      <w:r w:rsidR="003D1DD0" w:rsidRPr="008A12AE">
        <w:rPr>
          <w:szCs w:val="22"/>
          <w:lang w:val="en-GB" w:eastAsia="tr-TR"/>
        </w:rPr>
        <w:t>Card, David (1992). Using regional variation in wages to measure the effects of the federal minimum wage</w:t>
      </w:r>
      <w:r w:rsidRPr="008A12AE">
        <w:rPr>
          <w:szCs w:val="22"/>
          <w:lang w:val="en-GB" w:eastAsia="tr-TR"/>
        </w:rPr>
        <w:t xml:space="preserve">, </w:t>
      </w:r>
      <w:r w:rsidR="003D1DD0" w:rsidRPr="008A12AE">
        <w:rPr>
          <w:i/>
          <w:szCs w:val="22"/>
          <w:lang w:val="en-GB" w:eastAsia="tr-TR"/>
        </w:rPr>
        <w:t>Industrial and Labor Relations Review</w:t>
      </w:r>
      <w:r w:rsidR="003D1DD0" w:rsidRPr="008A12AE">
        <w:rPr>
          <w:szCs w:val="22"/>
          <w:lang w:val="en-GB" w:eastAsia="tr-TR"/>
        </w:rPr>
        <w:t xml:space="preserve"> 46</w:t>
      </w:r>
      <w:r w:rsidRPr="008A12AE">
        <w:rPr>
          <w:szCs w:val="22"/>
          <w:lang w:val="en-GB" w:eastAsia="tr-TR"/>
        </w:rPr>
        <w:t>,</w:t>
      </w:r>
      <w:r w:rsidR="003D1DD0" w:rsidRPr="008A12AE">
        <w:rPr>
          <w:szCs w:val="22"/>
          <w:lang w:val="en-GB" w:eastAsia="tr-TR"/>
        </w:rPr>
        <w:t xml:space="preserve"> 22-37.</w:t>
      </w:r>
    </w:p>
    <w:p w14:paraId="3FFB9169" w14:textId="4FA8A6C3" w:rsidR="008342DA" w:rsidRPr="00DA4693" w:rsidRDefault="0091154E" w:rsidP="00B830D0">
      <w:pPr>
        <w:suppressAutoHyphens w:val="0"/>
        <w:autoSpaceDE w:val="0"/>
        <w:autoSpaceDN w:val="0"/>
        <w:adjustRightInd w:val="0"/>
        <w:spacing w:after="120" w:line="240" w:lineRule="auto"/>
        <w:jc w:val="left"/>
        <w:rPr>
          <w:color w:val="FF0000"/>
          <w:szCs w:val="22"/>
          <w:lang w:eastAsia="tr-TR"/>
        </w:rPr>
      </w:pPr>
      <w:r>
        <w:rPr>
          <w:noProof/>
          <w:color w:val="FF0000"/>
          <w:szCs w:val="22"/>
          <w:lang w:eastAsia="tr-TR"/>
        </w:rPr>
        <w:lastRenderedPageBreak/>
        <w:drawing>
          <wp:anchor distT="0" distB="0" distL="114300" distR="114300" simplePos="0" relativeHeight="251653632" behindDoc="0" locked="0" layoutInCell="1" allowOverlap="1" wp14:anchorId="52C9428B" wp14:editId="141278F5">
            <wp:simplePos x="0" y="0"/>
            <wp:positionH relativeFrom="column">
              <wp:posOffset>-339090</wp:posOffset>
            </wp:positionH>
            <wp:positionV relativeFrom="paragraph">
              <wp:posOffset>594995</wp:posOffset>
            </wp:positionV>
            <wp:extent cx="6429375" cy="6188710"/>
            <wp:effectExtent l="0" t="0" r="9525" b="2540"/>
            <wp:wrapThrough wrapText="bothSides">
              <wp:wrapPolygon edited="0">
                <wp:start x="10624" y="0"/>
                <wp:lineTo x="0" y="0"/>
                <wp:lineTo x="0" y="21542"/>
                <wp:lineTo x="21568" y="21542"/>
                <wp:lineTo x="21568" y="0"/>
                <wp:lineTo x="10624" y="0"/>
              </wp:wrapPolygon>
            </wp:wrapThrough>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9375" cy="6188710"/>
                    </a:xfrm>
                    <a:prstGeom prst="rect">
                      <a:avLst/>
                    </a:prstGeom>
                    <a:noFill/>
                  </pic:spPr>
                </pic:pic>
              </a:graphicData>
            </a:graphic>
            <wp14:sizeRelH relativeFrom="margin">
              <wp14:pctWidth>0</wp14:pctWidth>
            </wp14:sizeRelH>
            <wp14:sizeRelV relativeFrom="margin">
              <wp14:pctHeight>0</wp14:pctHeight>
            </wp14:sizeRelV>
          </wp:anchor>
        </w:drawing>
      </w:r>
      <w:r w:rsidRPr="00DA4693">
        <w:rPr>
          <w:noProof/>
          <w:color w:val="FF0000"/>
          <w:lang w:eastAsia="tr-TR"/>
        </w:rPr>
        <mc:AlternateContent>
          <mc:Choice Requires="wps">
            <w:drawing>
              <wp:inline distT="0" distB="0" distL="0" distR="0" wp14:anchorId="6DB9D757" wp14:editId="1CA30148">
                <wp:extent cx="5759450" cy="464328"/>
                <wp:effectExtent l="0" t="0" r="0" b="0"/>
                <wp:docPr id="3" name="Metin Kutusu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9450" cy="464328"/>
                        </a:xfrm>
                        <a:prstGeom prst="rect">
                          <a:avLst/>
                        </a:prstGeom>
                        <a:solidFill>
                          <a:prstClr val="white"/>
                        </a:solidFill>
                        <a:ln>
                          <a:noFill/>
                        </a:ln>
                      </wps:spPr>
                      <wps:txbx>
                        <w:txbxContent>
                          <w:p w14:paraId="0EA9411D" w14:textId="77777777" w:rsidR="0091154E" w:rsidRPr="003E226E" w:rsidRDefault="0091154E" w:rsidP="0091154E">
                            <w:pPr>
                              <w:pStyle w:val="Caption"/>
                              <w:rPr>
                                <w:noProof/>
                                <w:sz w:val="22"/>
                                <w:lang w:val="en-GB"/>
                              </w:rPr>
                            </w:pPr>
                            <w:r w:rsidRPr="003E226E">
                              <w:rPr>
                                <w:sz w:val="22"/>
                                <w:lang w:val="en-GB"/>
                              </w:rPr>
                              <w:t>Figure 1: the relationship between</w:t>
                            </w:r>
                            <w:r>
                              <w:rPr>
                                <w:sz w:val="22"/>
                                <w:lang w:val="en-GB"/>
                              </w:rPr>
                              <w:t xml:space="preserve"> the</w:t>
                            </w:r>
                            <w:r w:rsidRPr="003E226E">
                              <w:rPr>
                                <w:sz w:val="22"/>
                                <w:lang w:val="en-GB"/>
                              </w:rPr>
                              <w:t xml:space="preserve"> changes of the rate of low paid workers and</w:t>
                            </w:r>
                            <w:r>
                              <w:rPr>
                                <w:sz w:val="22"/>
                                <w:lang w:val="en-GB"/>
                              </w:rPr>
                              <w:t xml:space="preserve"> </w:t>
                            </w:r>
                            <w:r w:rsidRPr="003E226E">
                              <w:rPr>
                                <w:sz w:val="22"/>
                                <w:lang w:val="en-GB"/>
                              </w:rPr>
                              <w:t>total informal employment 2014-2015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6DB9D757" id="Metin Kutusu 27" o:spid="_x0000_s1027" type="#_x0000_t202" style="width:453.5pt;height:3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LRQwIAAIUEAAAOAAAAZHJzL2Uyb0RvYy54bWysVE1v2zAMvQ/YfxB0X5yk6ceCOkWWosOw&#10;rC2QDj0rshwLk0VNomO3v36UHKddt9Owi0yJT6T4HunLq642bK980GBzPhmNOVNWQqHtLuffH24+&#10;XHAWUNhCGLAq508q8KvF+3eXrZurKVRgCuUZBbFh3rqcV4hunmVBVqoWYQROWXKW4GuBtPW7rPCi&#10;pei1yabj8VnWgi+cB6lCoNPr3skXKX5ZKol3ZRkUMpNzehum1ad1G9dscSnmOy9cpeXhGeIfXlEL&#10;bSnpMdS1QMEar/8IVWvpIUCJIwl1BmWppUo1UDWT8ZtqNpVwKtVC5AR3pCn8v7Dydn/vmS5yfsKZ&#10;FTVJ9E2htuxrg01o2PQ8UtS6MCfkxhEWu0/QkdSp3ODWIH8EgmSvMP2FQOhISVf6On6pWEYXSYWn&#10;I/OqQybp8PT89OPslFySfLOz2cn0IubNXm47H/CzgppFI+eelE0vEPt1wB46QGKyAEYXN9qYuImO&#10;lfFsL6gL2kqjOgT/DWVsxFqIt/qA8STV1ZcSK8Ru2yW6JgMvWyieiBYPfW8FJ2805VuLgPfCUzNR&#10;VTQgeEdLaaDNORwszirwz387j3jSmLyctdScOQ8/G+EVZ+aLJfVjJw+GH4ztYNimXgFVOqHRczKZ&#10;dMGjGczSQ/1Ic7OMWcglrKRcOcfBXGE/IjR3Ui2XCUT96gSu7cbJQf3I60P3KLw7qIKk5y0MbSvm&#10;b8TpsT3Lywah1Em5yGvP4oFu6vWk/WEu4zC93ifUy99j8QsAAP//AwBQSwMEFAAGAAgAAAAhAM/y&#10;FPjaAAAABAEAAA8AAABkcnMvZG93bnJldi54bWxMj8FqwzAQRO+F/oPYQG+N7KbUiWs5lEII9BLq&#10;5AMUa2uZWCtjybHz99320l4Ghllm3hbb2XXiikNoPSlIlwkIpNqblhoFp+PucQ0iRE1Gd55QwQ0D&#10;bMv7u0Lnxk/0idcqNoJLKORagY2xz6UMtUWnw9L3SJx9+cHpyHZopBn0xOWuk09J8iKdbokXrO7x&#10;3WJ9qUanoM0o/Rir51mm0+Z0PNj94TbulXpYzG+vICLO8e8YfvAZHUpmOvuRTBCdAn4k/ipnmyRj&#10;e1aQrVKQZSH/w5ffAAAA//8DAFBLAQItABQABgAIAAAAIQC2gziS/gAAAOEBAAATAAAAAAAAAAAA&#10;AAAAAAAAAABbQ29udGVudF9UeXBlc10ueG1sUEsBAi0AFAAGAAgAAAAhADj9If/WAAAAlAEAAAsA&#10;AAAAAAAAAAAAAAAALwEAAF9yZWxzLy5yZWxzUEsBAi0AFAAGAAgAAAAhADFC4tFDAgAAhQQAAA4A&#10;AAAAAAAAAAAAAAAALgIAAGRycy9lMm9Eb2MueG1sUEsBAi0AFAAGAAgAAAAhAM/yFPjaAAAABAEA&#10;AA8AAAAAAAAAAAAAAAAAnQQAAGRycy9kb3ducmV2LnhtbFBLBQYAAAAABAAEAPMAAACkBQAAAAA=&#10;" stroked="f">
                <v:path arrowok="t"/>
                <v:textbox inset="0,0,0,0">
                  <w:txbxContent>
                    <w:p w14:paraId="0EA9411D" w14:textId="77777777" w:rsidR="0091154E" w:rsidRPr="003E226E" w:rsidRDefault="0091154E" w:rsidP="0091154E">
                      <w:pPr>
                        <w:pStyle w:val="Caption"/>
                        <w:rPr>
                          <w:noProof/>
                          <w:sz w:val="22"/>
                          <w:lang w:val="en-GB"/>
                        </w:rPr>
                      </w:pPr>
                      <w:r w:rsidRPr="003E226E">
                        <w:rPr>
                          <w:sz w:val="22"/>
                          <w:lang w:val="en-GB"/>
                        </w:rPr>
                        <w:t>Figure 1: the relationship between</w:t>
                      </w:r>
                      <w:r>
                        <w:rPr>
                          <w:sz w:val="22"/>
                          <w:lang w:val="en-GB"/>
                        </w:rPr>
                        <w:t xml:space="preserve"> the</w:t>
                      </w:r>
                      <w:r w:rsidRPr="003E226E">
                        <w:rPr>
                          <w:sz w:val="22"/>
                          <w:lang w:val="en-GB"/>
                        </w:rPr>
                        <w:t xml:space="preserve"> changes of the rate of low paid workers and</w:t>
                      </w:r>
                      <w:r>
                        <w:rPr>
                          <w:sz w:val="22"/>
                          <w:lang w:val="en-GB"/>
                        </w:rPr>
                        <w:t xml:space="preserve"> </w:t>
                      </w:r>
                      <w:r w:rsidRPr="003E226E">
                        <w:rPr>
                          <w:sz w:val="22"/>
                          <w:lang w:val="en-GB"/>
                        </w:rPr>
                        <w:t>total informal employment 2014-2015</w:t>
                      </w:r>
                    </w:p>
                  </w:txbxContent>
                </v:textbox>
                <w10:anchorlock/>
              </v:shape>
            </w:pict>
          </mc:Fallback>
        </mc:AlternateContent>
      </w:r>
    </w:p>
    <w:p w14:paraId="4B2B53B8" w14:textId="77777777" w:rsidR="0091154E" w:rsidRPr="00996A38" w:rsidRDefault="0091154E" w:rsidP="0091154E">
      <w:pPr>
        <w:suppressAutoHyphens w:val="0"/>
        <w:autoSpaceDE w:val="0"/>
        <w:autoSpaceDN w:val="0"/>
        <w:adjustRightInd w:val="0"/>
        <w:spacing w:after="0" w:line="240" w:lineRule="auto"/>
        <w:rPr>
          <w:sz w:val="20"/>
          <w:szCs w:val="20"/>
          <w:lang w:val="en-GB" w:eastAsia="tr-TR"/>
        </w:rPr>
      </w:pPr>
      <w:r>
        <w:rPr>
          <w:b/>
          <w:sz w:val="20"/>
          <w:szCs w:val="20"/>
          <w:lang w:val="en-GB" w:eastAsia="tr-TR"/>
        </w:rPr>
        <w:t>Source</w:t>
      </w:r>
      <w:r w:rsidRPr="00996A38">
        <w:rPr>
          <w:sz w:val="20"/>
          <w:szCs w:val="20"/>
          <w:lang w:val="en-GB" w:eastAsia="tr-TR"/>
        </w:rPr>
        <w:t>:</w:t>
      </w:r>
      <w:r>
        <w:rPr>
          <w:sz w:val="20"/>
          <w:szCs w:val="20"/>
          <w:lang w:val="en-GB" w:eastAsia="tr-TR"/>
        </w:rPr>
        <w:t xml:space="preserve"> TURKSTAT</w:t>
      </w:r>
      <w:r w:rsidRPr="00996A38">
        <w:rPr>
          <w:sz w:val="20"/>
          <w:szCs w:val="20"/>
          <w:lang w:val="en-GB" w:eastAsia="tr-TR"/>
        </w:rPr>
        <w:t xml:space="preserve"> HLFS 201</w:t>
      </w:r>
      <w:r>
        <w:rPr>
          <w:sz w:val="20"/>
          <w:szCs w:val="20"/>
          <w:lang w:val="en-GB" w:eastAsia="tr-TR"/>
        </w:rPr>
        <w:t>6</w:t>
      </w:r>
      <w:r w:rsidRPr="00996A38">
        <w:rPr>
          <w:sz w:val="20"/>
          <w:szCs w:val="20"/>
          <w:lang w:val="en-GB" w:eastAsia="tr-TR"/>
        </w:rPr>
        <w:t xml:space="preserve"> micro data and Labor Force Statistics (http://www.tuik.gov.tr, Date of access 06.11.2017.) </w:t>
      </w:r>
      <w:r>
        <w:rPr>
          <w:sz w:val="20"/>
          <w:szCs w:val="20"/>
          <w:lang w:val="en-GB" w:eastAsia="tr-TR"/>
        </w:rPr>
        <w:t xml:space="preserve">See Table 2 in the </w:t>
      </w:r>
      <w:r w:rsidRPr="00996A38">
        <w:rPr>
          <w:sz w:val="20"/>
          <w:szCs w:val="20"/>
          <w:lang w:val="en-GB" w:eastAsia="tr-TR"/>
        </w:rPr>
        <w:t xml:space="preserve">Appendix for the sectors where the letters correspond). </w:t>
      </w:r>
      <w:r w:rsidRPr="00996A38">
        <w:rPr>
          <w:b/>
          <w:sz w:val="20"/>
          <w:szCs w:val="20"/>
          <w:lang w:val="en-GB" w:eastAsia="tr-TR"/>
        </w:rPr>
        <w:t xml:space="preserve">Note: </w:t>
      </w:r>
      <w:r w:rsidRPr="00996A38">
        <w:rPr>
          <w:sz w:val="20"/>
          <w:szCs w:val="20"/>
          <w:lang w:val="en-GB" w:eastAsia="tr-TR"/>
        </w:rPr>
        <w:t xml:space="preserve">The minimum wage level corrected by inflation for the following year is used as a limit value while the rate of low paid workers is calculated (see. The section of Data and Methodology and Footnote 2). The vertical axis represents the change in the rate of informal working for each quarter. </w:t>
      </w:r>
      <w:r w:rsidRPr="00996A38">
        <w:rPr>
          <w:b/>
          <w:sz w:val="20"/>
          <w:szCs w:val="20"/>
          <w:lang w:val="en-GB" w:eastAsia="tr-TR"/>
        </w:rPr>
        <w:t xml:space="preserve">Note 2: </w:t>
      </w:r>
      <w:r w:rsidRPr="00996A38">
        <w:rPr>
          <w:sz w:val="20"/>
          <w:szCs w:val="20"/>
          <w:lang w:val="en-GB" w:eastAsia="tr-TR"/>
        </w:rPr>
        <w:t xml:space="preserve">The rate of </w:t>
      </w:r>
      <w:r>
        <w:rPr>
          <w:sz w:val="20"/>
          <w:szCs w:val="20"/>
          <w:lang w:val="en-GB" w:eastAsia="tr-TR"/>
        </w:rPr>
        <w:t xml:space="preserve">low-paid workers </w:t>
      </w:r>
      <w:r w:rsidRPr="00996A38">
        <w:rPr>
          <w:sz w:val="20"/>
          <w:szCs w:val="20"/>
          <w:lang w:val="en-GB" w:eastAsia="tr-TR"/>
        </w:rPr>
        <w:t xml:space="preserve">calculated for wage earners; however, the rate of informal employment calculated for all employees. The reason of this case is that informal employment data of TURKSTAT does not include the wages of non-salaried workers for 18 sectors. </w:t>
      </w:r>
    </w:p>
    <w:p w14:paraId="62815950" w14:textId="77777777" w:rsidR="0091154E" w:rsidRPr="00996A38" w:rsidRDefault="0091154E" w:rsidP="00B830D0">
      <w:pPr>
        <w:suppressAutoHyphens w:val="0"/>
        <w:autoSpaceDE w:val="0"/>
        <w:autoSpaceDN w:val="0"/>
        <w:adjustRightInd w:val="0"/>
        <w:spacing w:after="0" w:line="240" w:lineRule="auto"/>
        <w:rPr>
          <w:sz w:val="20"/>
          <w:szCs w:val="20"/>
          <w:lang w:val="en-GB" w:eastAsia="tr-TR"/>
        </w:rPr>
      </w:pPr>
    </w:p>
    <w:p w14:paraId="64F11C3D" w14:textId="7F959AF2" w:rsidR="008342DA" w:rsidRPr="00DA4693" w:rsidRDefault="0091154E" w:rsidP="008342DA">
      <w:pPr>
        <w:rPr>
          <w:color w:val="FF0000"/>
          <w:sz w:val="18"/>
          <w:szCs w:val="18"/>
          <w:lang w:eastAsia="tr-TR"/>
        </w:rPr>
      </w:pPr>
      <w:r>
        <w:rPr>
          <w:b/>
          <w:noProof/>
          <w:color w:val="FF0000"/>
          <w:sz w:val="20"/>
          <w:szCs w:val="20"/>
          <w:lang w:eastAsia="tr-TR"/>
        </w:rPr>
        <w:lastRenderedPageBreak/>
        <w:drawing>
          <wp:anchor distT="0" distB="0" distL="114300" distR="114300" simplePos="0" relativeHeight="251656704" behindDoc="0" locked="0" layoutInCell="1" allowOverlap="1" wp14:anchorId="2EDB8026" wp14:editId="23816CD3">
            <wp:simplePos x="0" y="0"/>
            <wp:positionH relativeFrom="column">
              <wp:posOffset>-548005</wp:posOffset>
            </wp:positionH>
            <wp:positionV relativeFrom="paragraph">
              <wp:posOffset>614680</wp:posOffset>
            </wp:positionV>
            <wp:extent cx="7000875" cy="6433820"/>
            <wp:effectExtent l="0" t="0" r="9525" b="5080"/>
            <wp:wrapThrough wrapText="bothSides">
              <wp:wrapPolygon edited="0">
                <wp:start x="10344" y="0"/>
                <wp:lineTo x="0" y="0"/>
                <wp:lineTo x="0" y="10809"/>
                <wp:lineTo x="353" y="11256"/>
                <wp:lineTo x="353" y="21105"/>
                <wp:lineTo x="4408" y="21489"/>
                <wp:lineTo x="10403" y="21553"/>
                <wp:lineTo x="21571" y="21553"/>
                <wp:lineTo x="21571" y="10425"/>
                <wp:lineTo x="21394" y="0"/>
                <wp:lineTo x="10344" y="0"/>
              </wp:wrapPolygon>
            </wp:wrapThrough>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00875" cy="6433820"/>
                    </a:xfrm>
                    <a:prstGeom prst="rect">
                      <a:avLst/>
                    </a:prstGeom>
                    <a:noFill/>
                  </pic:spPr>
                </pic:pic>
              </a:graphicData>
            </a:graphic>
            <wp14:sizeRelH relativeFrom="margin">
              <wp14:pctWidth>0</wp14:pctWidth>
            </wp14:sizeRelH>
            <wp14:sizeRelV relativeFrom="margin">
              <wp14:pctHeight>0</wp14:pctHeight>
            </wp14:sizeRelV>
          </wp:anchor>
        </w:drawing>
      </w:r>
      <w:r w:rsidR="008342DA" w:rsidRPr="00DA4693">
        <w:rPr>
          <w:noProof/>
          <w:color w:val="FF0000"/>
          <w:lang w:eastAsia="tr-TR"/>
        </w:rPr>
        <mc:AlternateContent>
          <mc:Choice Requires="wps">
            <w:drawing>
              <wp:inline distT="0" distB="0" distL="0" distR="0" wp14:anchorId="04A36B33" wp14:editId="31A304D1">
                <wp:extent cx="6027089" cy="508884"/>
                <wp:effectExtent l="0" t="0" r="0" b="5715"/>
                <wp:docPr id="2" name="Metin Kutusu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27089" cy="508884"/>
                        </a:xfrm>
                        <a:prstGeom prst="rect">
                          <a:avLst/>
                        </a:prstGeom>
                        <a:solidFill>
                          <a:prstClr val="white"/>
                        </a:solidFill>
                        <a:ln>
                          <a:noFill/>
                        </a:ln>
                      </wps:spPr>
                      <wps:txbx>
                        <w:txbxContent>
                          <w:p w14:paraId="6AA20F9C" w14:textId="0249ACD0" w:rsidR="00333497" w:rsidRPr="003E226E" w:rsidRDefault="00333497" w:rsidP="003E226E">
                            <w:pPr>
                              <w:pStyle w:val="Caption"/>
                              <w:rPr>
                                <w:noProof/>
                                <w:sz w:val="22"/>
                                <w:lang w:val="en-GB"/>
                              </w:rPr>
                            </w:pPr>
                            <w:r w:rsidRPr="003E226E">
                              <w:rPr>
                                <w:sz w:val="22"/>
                                <w:lang w:val="en-GB"/>
                              </w:rPr>
                              <w:t xml:space="preserve">Figure </w:t>
                            </w:r>
                            <w:r>
                              <w:rPr>
                                <w:sz w:val="22"/>
                                <w:lang w:val="en-GB"/>
                              </w:rPr>
                              <w:t>2</w:t>
                            </w:r>
                            <w:r w:rsidRPr="003E226E">
                              <w:rPr>
                                <w:sz w:val="22"/>
                                <w:lang w:val="en-GB"/>
                              </w:rPr>
                              <w:t>: the relationship between</w:t>
                            </w:r>
                            <w:r>
                              <w:rPr>
                                <w:sz w:val="22"/>
                                <w:lang w:val="en-GB"/>
                              </w:rPr>
                              <w:t xml:space="preserve"> the</w:t>
                            </w:r>
                            <w:r w:rsidRPr="003E226E">
                              <w:rPr>
                                <w:sz w:val="22"/>
                                <w:lang w:val="en-GB"/>
                              </w:rPr>
                              <w:t xml:space="preserve"> changes of the rate of low paid workers and</w:t>
                            </w:r>
                            <w:r>
                              <w:rPr>
                                <w:sz w:val="22"/>
                                <w:lang w:val="en-GB"/>
                              </w:rPr>
                              <w:t xml:space="preserve"> </w:t>
                            </w:r>
                            <w:r w:rsidRPr="003E226E">
                              <w:rPr>
                                <w:sz w:val="22"/>
                                <w:lang w:val="en-GB"/>
                              </w:rPr>
                              <w:t>total informal employment 201</w:t>
                            </w:r>
                            <w:r>
                              <w:rPr>
                                <w:sz w:val="22"/>
                                <w:lang w:val="en-GB"/>
                              </w:rPr>
                              <w:t>5</w:t>
                            </w:r>
                            <w:r w:rsidRPr="003E226E">
                              <w:rPr>
                                <w:sz w:val="22"/>
                                <w:lang w:val="en-GB"/>
                              </w:rPr>
                              <w:t>-201</w:t>
                            </w:r>
                            <w:r>
                              <w:rPr>
                                <w:sz w:val="22"/>
                                <w:lang w:val="en-GB"/>
                              </w:rPr>
                              <w:t>6</w:t>
                            </w:r>
                          </w:p>
                          <w:p w14:paraId="7BB65351" w14:textId="525038DB" w:rsidR="00333497" w:rsidRPr="00AF35FE" w:rsidRDefault="00333497" w:rsidP="008342DA">
                            <w:pPr>
                              <w:pStyle w:val="Caption"/>
                              <w:rPr>
                                <w:noProof/>
                                <w:sz w:val="22"/>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04A36B33" id="Metin Kutusu 28" o:spid="_x0000_s1028" type="#_x0000_t202" style="width:474.55pt;height:4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3dWQQIAAIUEAAAOAAAAZHJzL2Uyb0RvYy54bWysVFFv0zAQfkfiP1h+p8kqGKVaOpVNRYiy&#10;TerQnl3HWSwcn7EvTcav5+wk7Rg8IV6cs+/znb/77nJx2TeGHZQPGmzBz2Y5Z8pKKLV9LPi3+82b&#10;BWcBhS2FAasK/qQCv1y9fnXRuaWaQw2mVJ5REBuWnSt4jeiWWRZkrRoRZuCUJWcFvhFIW/+YlV50&#10;FL0x2TzPz7MOfOk8SBUCnV4PTr5K8atKSbytqqCQmYLT2zCtPq37uGarC7F89MLVWo7PEP/wikZo&#10;S0mPoa4FCtZ6/UeoRksPASqcSWgyqCotVeJAbM7yF2x2tXAqcaHiBHcsU/h/YeXN4c4zXRZ8zpkV&#10;DUn0VaG27EuLbWjZfBFL1LmwJOTOERb7j9CT1IlucFuQ3wNBsmeY4UIgdCxJX/kmfokso4ukwtOx&#10;8qpHJunwPJ+/zxcfOJPke5cvFou3MW92uu18wE8KGhaNgntSNr1AHLYBB+gEickCGF1utDFxEx1X&#10;xrODoC7oao1qDP4bytiItRBvDQHjSeI1UIkMsd/3Y7kIE0/2UD5RWTwMvRWc3GjKtxUB74SnZiLC&#10;NCB4S0tloCs4jBZnNfiffzuPeNKYvJx11JwFDz9a4RVn5rMl9WMnT4afjP1k2La5AmJ6RqPnZDLp&#10;gkczmZWH5oHmZh2zkEtYSbkKjpN5hcOI0NxJtV4nEPWrE7i1Oycn9WNd7/sH4d2oCpKeNzC1rVi+&#10;EGfADlVetwiVTsqdqjiWm3o9aT/OZRym5/uEOv09Vr8AAAD//wMAUEsDBBQABgAIAAAAIQAdr1kq&#10;2gAAAAQBAAAPAAAAZHJzL2Rvd25yZXYueG1sTI/BasMwEETvhf6D2EJvjawS2ti1HEqhBHoJdfIB&#10;irWxTK2VseTY+ftue2kvC8MMM2/L7eJ7ccExdoE0qFUGAqkJtqNWw/Hw/rABEZMha/pAqOGKEbbV&#10;7U1pChtm+sRLnVrBJRQLo8GlNBRSxsahN3EVBiT2zmH0JrEcW2lHM3O57+Vjlj1JbzriBWcGfHPY&#10;fNWT19A9k/qY6vUi1ZwfD3u321+nndb3d8vrC4iES/oLww8+o0PFTKcwkY2i18CPpN/LXr7OFYiT&#10;hk2mQFal/A9ffQMAAP//AwBQSwECLQAUAAYACAAAACEAtoM4kv4AAADhAQAAEwAAAAAAAAAAAAAA&#10;AAAAAAAAW0NvbnRlbnRfVHlwZXNdLnhtbFBLAQItABQABgAIAAAAIQA4/SH/1gAAAJQBAAALAAAA&#10;AAAAAAAAAAAAAC8BAABfcmVscy8ucmVsc1BLAQItABQABgAIAAAAIQAqS3dWQQIAAIUEAAAOAAAA&#10;AAAAAAAAAAAAAC4CAABkcnMvZTJvRG9jLnhtbFBLAQItABQABgAIAAAAIQAdr1kq2gAAAAQBAAAP&#10;AAAAAAAAAAAAAAAAAJsEAABkcnMvZG93bnJldi54bWxQSwUGAAAAAAQABADzAAAAogUAAAAA&#10;" stroked="f">
                <v:path arrowok="t"/>
                <v:textbox inset="0,0,0,0">
                  <w:txbxContent>
                    <w:p w14:paraId="6AA20F9C" w14:textId="0249ACD0" w:rsidR="00333497" w:rsidRPr="003E226E" w:rsidRDefault="00333497" w:rsidP="003E226E">
                      <w:pPr>
                        <w:pStyle w:val="Caption"/>
                        <w:rPr>
                          <w:noProof/>
                          <w:sz w:val="22"/>
                          <w:lang w:val="en-GB"/>
                        </w:rPr>
                      </w:pPr>
                      <w:r w:rsidRPr="003E226E">
                        <w:rPr>
                          <w:sz w:val="22"/>
                          <w:lang w:val="en-GB"/>
                        </w:rPr>
                        <w:t xml:space="preserve">Figure </w:t>
                      </w:r>
                      <w:r>
                        <w:rPr>
                          <w:sz w:val="22"/>
                          <w:lang w:val="en-GB"/>
                        </w:rPr>
                        <w:t>2</w:t>
                      </w:r>
                      <w:r w:rsidRPr="003E226E">
                        <w:rPr>
                          <w:sz w:val="22"/>
                          <w:lang w:val="en-GB"/>
                        </w:rPr>
                        <w:t>: the relationship between</w:t>
                      </w:r>
                      <w:r>
                        <w:rPr>
                          <w:sz w:val="22"/>
                          <w:lang w:val="en-GB"/>
                        </w:rPr>
                        <w:t xml:space="preserve"> the</w:t>
                      </w:r>
                      <w:r w:rsidRPr="003E226E">
                        <w:rPr>
                          <w:sz w:val="22"/>
                          <w:lang w:val="en-GB"/>
                        </w:rPr>
                        <w:t xml:space="preserve"> changes of the rate of low paid workers and</w:t>
                      </w:r>
                      <w:r>
                        <w:rPr>
                          <w:sz w:val="22"/>
                          <w:lang w:val="en-GB"/>
                        </w:rPr>
                        <w:t xml:space="preserve"> </w:t>
                      </w:r>
                      <w:r w:rsidRPr="003E226E">
                        <w:rPr>
                          <w:sz w:val="22"/>
                          <w:lang w:val="en-GB"/>
                        </w:rPr>
                        <w:t>total informal employment 201</w:t>
                      </w:r>
                      <w:r>
                        <w:rPr>
                          <w:sz w:val="22"/>
                          <w:lang w:val="en-GB"/>
                        </w:rPr>
                        <w:t>5</w:t>
                      </w:r>
                      <w:r w:rsidRPr="003E226E">
                        <w:rPr>
                          <w:sz w:val="22"/>
                          <w:lang w:val="en-GB"/>
                        </w:rPr>
                        <w:t>-201</w:t>
                      </w:r>
                      <w:r>
                        <w:rPr>
                          <w:sz w:val="22"/>
                          <w:lang w:val="en-GB"/>
                        </w:rPr>
                        <w:t>6</w:t>
                      </w:r>
                    </w:p>
                    <w:p w14:paraId="7BB65351" w14:textId="525038DB" w:rsidR="00333497" w:rsidRPr="00AF35FE" w:rsidRDefault="00333497" w:rsidP="008342DA">
                      <w:pPr>
                        <w:pStyle w:val="Caption"/>
                        <w:rPr>
                          <w:noProof/>
                          <w:sz w:val="22"/>
                          <w:szCs w:val="18"/>
                        </w:rPr>
                      </w:pPr>
                    </w:p>
                  </w:txbxContent>
                </v:textbox>
                <w10:anchorlock/>
              </v:shape>
            </w:pict>
          </mc:Fallback>
        </mc:AlternateContent>
      </w:r>
    </w:p>
    <w:p w14:paraId="2B880A5C" w14:textId="2F4025DF" w:rsidR="00BA46D9" w:rsidRDefault="00BA46D9" w:rsidP="00BA46D9">
      <w:pPr>
        <w:suppressAutoHyphens w:val="0"/>
        <w:autoSpaceDE w:val="0"/>
        <w:autoSpaceDN w:val="0"/>
        <w:adjustRightInd w:val="0"/>
        <w:spacing w:after="0" w:line="240" w:lineRule="auto"/>
        <w:rPr>
          <w:b/>
          <w:color w:val="FF0000"/>
          <w:sz w:val="20"/>
          <w:szCs w:val="20"/>
          <w:lang w:eastAsia="tr-TR"/>
        </w:rPr>
      </w:pPr>
    </w:p>
    <w:p w14:paraId="67819488" w14:textId="77777777" w:rsidR="0091154E" w:rsidRPr="00996A38" w:rsidRDefault="0091154E" w:rsidP="0091154E">
      <w:pPr>
        <w:suppressAutoHyphens w:val="0"/>
        <w:autoSpaceDE w:val="0"/>
        <w:autoSpaceDN w:val="0"/>
        <w:adjustRightInd w:val="0"/>
        <w:spacing w:after="0" w:line="240" w:lineRule="auto"/>
        <w:rPr>
          <w:sz w:val="20"/>
          <w:szCs w:val="20"/>
          <w:lang w:val="en-GB" w:eastAsia="tr-TR"/>
        </w:rPr>
      </w:pPr>
      <w:r>
        <w:rPr>
          <w:b/>
          <w:sz w:val="20"/>
          <w:szCs w:val="20"/>
          <w:lang w:val="en-GB" w:eastAsia="tr-TR"/>
        </w:rPr>
        <w:t>Source</w:t>
      </w:r>
      <w:r w:rsidRPr="00996A38">
        <w:rPr>
          <w:sz w:val="20"/>
          <w:szCs w:val="20"/>
          <w:lang w:val="en-GB" w:eastAsia="tr-TR"/>
        </w:rPr>
        <w:t>:</w:t>
      </w:r>
      <w:r>
        <w:rPr>
          <w:sz w:val="20"/>
          <w:szCs w:val="20"/>
          <w:lang w:val="en-GB" w:eastAsia="tr-TR"/>
        </w:rPr>
        <w:t xml:space="preserve"> TURKSTAT</w:t>
      </w:r>
      <w:r w:rsidRPr="00996A38">
        <w:rPr>
          <w:sz w:val="20"/>
          <w:szCs w:val="20"/>
          <w:lang w:val="en-GB" w:eastAsia="tr-TR"/>
        </w:rPr>
        <w:t xml:space="preserve"> HLFS 201</w:t>
      </w:r>
      <w:r>
        <w:rPr>
          <w:sz w:val="20"/>
          <w:szCs w:val="20"/>
          <w:lang w:val="en-GB" w:eastAsia="tr-TR"/>
        </w:rPr>
        <w:t>6</w:t>
      </w:r>
      <w:r w:rsidRPr="00996A38">
        <w:rPr>
          <w:sz w:val="20"/>
          <w:szCs w:val="20"/>
          <w:lang w:val="en-GB" w:eastAsia="tr-TR"/>
        </w:rPr>
        <w:t xml:space="preserve"> micro data and Labor Force Statistics (http://www.tuik.gov.tr, Date of access 06.11.2017.) </w:t>
      </w:r>
      <w:r>
        <w:rPr>
          <w:sz w:val="20"/>
          <w:szCs w:val="20"/>
          <w:lang w:val="en-GB" w:eastAsia="tr-TR"/>
        </w:rPr>
        <w:t xml:space="preserve">See Table 2 in the </w:t>
      </w:r>
      <w:r w:rsidRPr="00996A38">
        <w:rPr>
          <w:sz w:val="20"/>
          <w:szCs w:val="20"/>
          <w:lang w:val="en-GB" w:eastAsia="tr-TR"/>
        </w:rPr>
        <w:t xml:space="preserve">Appendix for the sectors where the letters correspond). </w:t>
      </w:r>
      <w:r w:rsidRPr="00996A38">
        <w:rPr>
          <w:b/>
          <w:sz w:val="20"/>
          <w:szCs w:val="20"/>
          <w:lang w:val="en-GB" w:eastAsia="tr-TR"/>
        </w:rPr>
        <w:t xml:space="preserve">Note: </w:t>
      </w:r>
      <w:r w:rsidRPr="00996A38">
        <w:rPr>
          <w:sz w:val="20"/>
          <w:szCs w:val="20"/>
          <w:lang w:val="en-GB" w:eastAsia="tr-TR"/>
        </w:rPr>
        <w:t xml:space="preserve">The minimum wage level corrected by inflation for the following year is used as a limit value while the rate of low paid workers is calculated (see. The section of Data and Methodology and Footnote 2). The vertical axis represents the change in the rate of informal working for each quarter. </w:t>
      </w:r>
      <w:r w:rsidRPr="00996A38">
        <w:rPr>
          <w:b/>
          <w:sz w:val="20"/>
          <w:szCs w:val="20"/>
          <w:lang w:val="en-GB" w:eastAsia="tr-TR"/>
        </w:rPr>
        <w:t xml:space="preserve">Note 2: </w:t>
      </w:r>
      <w:r w:rsidRPr="00996A38">
        <w:rPr>
          <w:sz w:val="20"/>
          <w:szCs w:val="20"/>
          <w:lang w:val="en-GB" w:eastAsia="tr-TR"/>
        </w:rPr>
        <w:t xml:space="preserve">The rate of </w:t>
      </w:r>
      <w:r>
        <w:rPr>
          <w:sz w:val="20"/>
          <w:szCs w:val="20"/>
          <w:lang w:val="en-GB" w:eastAsia="tr-TR"/>
        </w:rPr>
        <w:t xml:space="preserve">low-paid workers </w:t>
      </w:r>
      <w:r w:rsidRPr="00996A38">
        <w:rPr>
          <w:sz w:val="20"/>
          <w:szCs w:val="20"/>
          <w:lang w:val="en-GB" w:eastAsia="tr-TR"/>
        </w:rPr>
        <w:t xml:space="preserve">calculated for wage earners; however, the rate of informal employment calculated for all employees. The reason of this case is that informal employment data of TURKSTAT does not include the wages of non-salaried workers for 18 sectors. </w:t>
      </w:r>
    </w:p>
    <w:p w14:paraId="7AB4F22E" w14:textId="4630123B" w:rsidR="008342DA" w:rsidRPr="00DA4693" w:rsidRDefault="008342DA" w:rsidP="007F69C8">
      <w:pPr>
        <w:suppressAutoHyphens w:val="0"/>
        <w:autoSpaceDE w:val="0"/>
        <w:autoSpaceDN w:val="0"/>
        <w:adjustRightInd w:val="0"/>
        <w:spacing w:after="0" w:line="240" w:lineRule="auto"/>
        <w:rPr>
          <w:color w:val="FF0000"/>
          <w:sz w:val="20"/>
          <w:szCs w:val="20"/>
          <w:lang w:eastAsia="tr-TR"/>
        </w:rPr>
        <w:sectPr w:rsidR="008342DA" w:rsidRPr="00DA4693" w:rsidSect="00E70CEB">
          <w:footerReference w:type="default" r:id="rId10"/>
          <w:pgSz w:w="11906" w:h="16838"/>
          <w:pgMar w:top="1418" w:right="1418" w:bottom="1418" w:left="1418" w:header="709" w:footer="709" w:gutter="0"/>
          <w:cols w:space="708"/>
          <w:docGrid w:linePitch="360"/>
        </w:sectPr>
      </w:pPr>
    </w:p>
    <w:p w14:paraId="0ABBD9DB" w14:textId="6B791E98" w:rsidR="008342DA" w:rsidRPr="00DA4693" w:rsidRDefault="0091154E" w:rsidP="008342DA">
      <w:pPr>
        <w:pStyle w:val="NoSpacing"/>
        <w:jc w:val="both"/>
        <w:rPr>
          <w:rFonts w:ascii="Palatino Linotype" w:eastAsiaTheme="minorHAnsi" w:hAnsi="Palatino Linotype"/>
          <w:b/>
          <w:color w:val="FF0000"/>
          <w:sz w:val="22"/>
          <w:szCs w:val="22"/>
          <w:lang w:eastAsia="en-US"/>
        </w:rPr>
      </w:pPr>
      <w:r>
        <w:rPr>
          <w:rFonts w:eastAsiaTheme="minorHAnsi"/>
          <w:noProof/>
          <w:color w:val="FF0000"/>
          <w:lang w:eastAsia="tr-TR"/>
        </w:rPr>
        <w:lastRenderedPageBreak/>
        <w:drawing>
          <wp:anchor distT="0" distB="0" distL="114300" distR="114300" simplePos="0" relativeHeight="251658752" behindDoc="0" locked="0" layoutInCell="1" allowOverlap="1" wp14:anchorId="7E20D782" wp14:editId="3A3595FE">
            <wp:simplePos x="0" y="0"/>
            <wp:positionH relativeFrom="column">
              <wp:posOffset>-786130</wp:posOffset>
            </wp:positionH>
            <wp:positionV relativeFrom="paragraph">
              <wp:posOffset>471170</wp:posOffset>
            </wp:positionV>
            <wp:extent cx="7338695" cy="5581650"/>
            <wp:effectExtent l="0" t="0" r="0" b="0"/>
            <wp:wrapThrough wrapText="bothSides">
              <wp:wrapPolygon edited="0">
                <wp:start x="0" y="0"/>
                <wp:lineTo x="0" y="10468"/>
                <wp:lineTo x="5215" y="10616"/>
                <wp:lineTo x="5215" y="21526"/>
                <wp:lineTo x="16709" y="21526"/>
                <wp:lineTo x="16709" y="10616"/>
                <wp:lineTo x="21531" y="10468"/>
                <wp:lineTo x="21531" y="0"/>
                <wp:lineTo x="0" y="0"/>
              </wp:wrapPolygon>
            </wp:wrapThrough>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38695" cy="5581650"/>
                    </a:xfrm>
                    <a:prstGeom prst="rect">
                      <a:avLst/>
                    </a:prstGeom>
                    <a:noFill/>
                  </pic:spPr>
                </pic:pic>
              </a:graphicData>
            </a:graphic>
            <wp14:sizeRelH relativeFrom="margin">
              <wp14:pctWidth>0</wp14:pctWidth>
            </wp14:sizeRelH>
            <wp14:sizeRelV relativeFrom="margin">
              <wp14:pctHeight>0</wp14:pctHeight>
            </wp14:sizeRelV>
          </wp:anchor>
        </w:drawing>
      </w:r>
      <w:r w:rsidR="008342DA" w:rsidRPr="00DA4693">
        <w:rPr>
          <w:noProof/>
          <w:color w:val="FF0000"/>
          <w:lang w:eastAsia="tr-TR"/>
        </w:rPr>
        <mc:AlternateContent>
          <mc:Choice Requires="wps">
            <w:drawing>
              <wp:inline distT="0" distB="0" distL="0" distR="0" wp14:anchorId="15227ACC" wp14:editId="365FD0DA">
                <wp:extent cx="5971430" cy="445273"/>
                <wp:effectExtent l="0" t="0" r="0" b="0"/>
                <wp:docPr id="1" name="Metin Kutusu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1430" cy="445273"/>
                        </a:xfrm>
                        <a:prstGeom prst="rect">
                          <a:avLst/>
                        </a:prstGeom>
                        <a:solidFill>
                          <a:prstClr val="white"/>
                        </a:solidFill>
                        <a:ln>
                          <a:noFill/>
                        </a:ln>
                      </wps:spPr>
                      <wps:txbx>
                        <w:txbxContent>
                          <w:p w14:paraId="1908B647" w14:textId="34DF207A" w:rsidR="00333497" w:rsidRPr="003E226E" w:rsidRDefault="00333497" w:rsidP="003E226E">
                            <w:pPr>
                              <w:pStyle w:val="Caption"/>
                              <w:rPr>
                                <w:noProof/>
                                <w:sz w:val="22"/>
                                <w:lang w:val="en-GB"/>
                              </w:rPr>
                            </w:pPr>
                            <w:r w:rsidRPr="003E226E">
                              <w:rPr>
                                <w:sz w:val="22"/>
                                <w:lang w:val="en-GB"/>
                              </w:rPr>
                              <w:t xml:space="preserve">Figure </w:t>
                            </w:r>
                            <w:r>
                              <w:rPr>
                                <w:sz w:val="22"/>
                                <w:lang w:val="en-GB"/>
                              </w:rPr>
                              <w:t>3</w:t>
                            </w:r>
                            <w:r w:rsidRPr="003E226E">
                              <w:rPr>
                                <w:sz w:val="22"/>
                                <w:lang w:val="en-GB"/>
                              </w:rPr>
                              <w:t>: the relationship between</w:t>
                            </w:r>
                            <w:r>
                              <w:rPr>
                                <w:sz w:val="22"/>
                                <w:lang w:val="en-GB"/>
                              </w:rPr>
                              <w:t xml:space="preserve"> the</w:t>
                            </w:r>
                            <w:r w:rsidRPr="003E226E">
                              <w:rPr>
                                <w:sz w:val="22"/>
                                <w:lang w:val="en-GB"/>
                              </w:rPr>
                              <w:t xml:space="preserve"> changes of the rate of low paid workers and</w:t>
                            </w:r>
                            <w:r>
                              <w:rPr>
                                <w:sz w:val="22"/>
                                <w:lang w:val="en-GB"/>
                              </w:rPr>
                              <w:t xml:space="preserve"> </w:t>
                            </w:r>
                            <w:r w:rsidRPr="003E226E">
                              <w:rPr>
                                <w:sz w:val="22"/>
                                <w:lang w:val="en-GB"/>
                              </w:rPr>
                              <w:t>total informal employment 201</w:t>
                            </w:r>
                            <w:r>
                              <w:rPr>
                                <w:sz w:val="22"/>
                                <w:lang w:val="en-GB"/>
                              </w:rPr>
                              <w:t>6</w:t>
                            </w:r>
                            <w:r w:rsidRPr="003E226E">
                              <w:rPr>
                                <w:sz w:val="22"/>
                                <w:lang w:val="en-GB"/>
                              </w:rPr>
                              <w:t>-201</w:t>
                            </w:r>
                            <w:r>
                              <w:rPr>
                                <w:sz w:val="22"/>
                                <w:lang w:val="en-GB"/>
                              </w:rPr>
                              <w:t>7</w:t>
                            </w:r>
                          </w:p>
                          <w:p w14:paraId="596DEE3B" w14:textId="3136A946" w:rsidR="00333497" w:rsidRPr="00AF35FE" w:rsidRDefault="00333497" w:rsidP="008342DA">
                            <w:pPr>
                              <w:pStyle w:val="Caption"/>
                              <w:rPr>
                                <w:rFonts w:eastAsiaTheme="minorHAnsi"/>
                                <w:noProof/>
                                <w:sz w:val="22"/>
                                <w:lang w:eastAsia="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 w14:anchorId="15227ACC" id="Metin Kutusu 29" o:spid="_x0000_s1029" type="#_x0000_t202" style="width:470.2pt;height:35.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T6iQAIAAIUEAAAOAAAAZHJzL2Uyb0RvYy54bWysVMFu2zAMvQ/YPwi6L07Sdl2DOEWWIsOw&#10;rC3QDj0rslwLk0VNomOnXz9KjpOi22nYRabEJ4qPj/T8uqsN2ykfNNicT0ZjzpSVUGj7nPMfj+sP&#10;nzgLKGwhDFiV870K/Hrx/t28dTM1hQpMoTyjIDbMWpfzCtHNsizIStUijMApS84SfC2Qtv45K7xo&#10;KXptsul4/DFrwRfOg1Qh0OlN7+SLFL8slcS7sgwKmck55YZp9WndxjVbzMXs2QtXaXlIQ/xDFrXQ&#10;lh49hroRKFjj9R+hai09BChxJKHOoCy1VIkDsZmM37B5qIRTiQsVJ7hjmcL/Cytvd/ee6YK048yK&#10;miT6rlBb9q3BJjRsehVL1LowI+SDIyx2n6GL8Eg3uA3In4Eg2StMfyEQOmK60tfxS2QZXSQV9sfK&#10;qw6ZpMOLq8vJ+Rm5JPnOzy+ml2fx3ex02/mAXxTULBo596RsykDsNgF76ABJiYHRxVobEzfRsTKe&#10;7QR1QVtpVIfg4TXK2Ii1EG/1AeNJ4tVTiQyx23apXCm/eLKFYk9l8dD3VnByrem9jQh4Lzw1E7Gi&#10;AcE7WkoDbc7hYHFWgX/523nEk8bk5ayl5sx5+NUIrzgzXy2pHzt5MPxgbAfDNvUKiCkpStkkky54&#10;NINZeqifaG6W8RVyCSvprZzjYK6wHxGaO6mWywSifnUCN/bByUH9WNfH7kl4d1AFSc9bGNpWzN6I&#10;02P7Ki8bhFIn5U5VPJSbej1pf5jLOEyv9wl1+nssfgMAAP//AwBQSwMEFAAGAAgAAAAhAMJFm2Xa&#10;AAAABAEAAA8AAABkcnMvZG93bnJldi54bWxMj8FqwzAQRO+F/oPYQm+N5GKaxLUcSqEEegl18gEb&#10;a2uZWitjybHz91V7aS8Lwwwzb8vd4npxoTF0njVkKwWCuPGm41bD6fj2sAERIrLB3jNpuFKAXXV7&#10;U2Jh/MwfdKljK1IJhwI12BiHQsrQWHIYVn4gTt6nHx3GJMdWmhHnVO56+ajUk3TYcVqwONCrpear&#10;npyGbs3Z+1Tni8zm7el4sPvDddprfX+3vDyDiLTEvzD84Cd0qBLT2U9sgug1pEfi703eNlc5iLOG&#10;tcpAVqX8D199AwAA//8DAFBLAQItABQABgAIAAAAIQC2gziS/gAAAOEBAAATAAAAAAAAAAAAAAAA&#10;AAAAAABbQ29udGVudF9UeXBlc10ueG1sUEsBAi0AFAAGAAgAAAAhADj9If/WAAAAlAEAAAsAAAAA&#10;AAAAAAAAAAAALwEAAF9yZWxzLy5yZWxzUEsBAi0AFAAGAAgAAAAhACOhPqJAAgAAhQQAAA4AAAAA&#10;AAAAAAAAAAAALgIAAGRycy9lMm9Eb2MueG1sUEsBAi0AFAAGAAgAAAAhAMJFm2XaAAAABAEAAA8A&#10;AAAAAAAAAAAAAAAAmgQAAGRycy9kb3ducmV2LnhtbFBLBQYAAAAABAAEAPMAAAChBQAAAAA=&#10;" stroked="f">
                <v:path arrowok="t"/>
                <v:textbox inset="0,0,0,0">
                  <w:txbxContent>
                    <w:p w14:paraId="1908B647" w14:textId="34DF207A" w:rsidR="00333497" w:rsidRPr="003E226E" w:rsidRDefault="00333497" w:rsidP="003E226E">
                      <w:pPr>
                        <w:pStyle w:val="Caption"/>
                        <w:rPr>
                          <w:noProof/>
                          <w:sz w:val="22"/>
                          <w:lang w:val="en-GB"/>
                        </w:rPr>
                      </w:pPr>
                      <w:r w:rsidRPr="003E226E">
                        <w:rPr>
                          <w:sz w:val="22"/>
                          <w:lang w:val="en-GB"/>
                        </w:rPr>
                        <w:t xml:space="preserve">Figure </w:t>
                      </w:r>
                      <w:r>
                        <w:rPr>
                          <w:sz w:val="22"/>
                          <w:lang w:val="en-GB"/>
                        </w:rPr>
                        <w:t>3</w:t>
                      </w:r>
                      <w:r w:rsidRPr="003E226E">
                        <w:rPr>
                          <w:sz w:val="22"/>
                          <w:lang w:val="en-GB"/>
                        </w:rPr>
                        <w:t>: the relationship between</w:t>
                      </w:r>
                      <w:r>
                        <w:rPr>
                          <w:sz w:val="22"/>
                          <w:lang w:val="en-GB"/>
                        </w:rPr>
                        <w:t xml:space="preserve"> the</w:t>
                      </w:r>
                      <w:r w:rsidRPr="003E226E">
                        <w:rPr>
                          <w:sz w:val="22"/>
                          <w:lang w:val="en-GB"/>
                        </w:rPr>
                        <w:t xml:space="preserve"> changes of the rate of low paid workers and</w:t>
                      </w:r>
                      <w:r>
                        <w:rPr>
                          <w:sz w:val="22"/>
                          <w:lang w:val="en-GB"/>
                        </w:rPr>
                        <w:t xml:space="preserve"> </w:t>
                      </w:r>
                      <w:r w:rsidRPr="003E226E">
                        <w:rPr>
                          <w:sz w:val="22"/>
                          <w:lang w:val="en-GB"/>
                        </w:rPr>
                        <w:t>total informal employment 201</w:t>
                      </w:r>
                      <w:r>
                        <w:rPr>
                          <w:sz w:val="22"/>
                          <w:lang w:val="en-GB"/>
                        </w:rPr>
                        <w:t>6</w:t>
                      </w:r>
                      <w:r w:rsidRPr="003E226E">
                        <w:rPr>
                          <w:sz w:val="22"/>
                          <w:lang w:val="en-GB"/>
                        </w:rPr>
                        <w:t>-201</w:t>
                      </w:r>
                      <w:r>
                        <w:rPr>
                          <w:sz w:val="22"/>
                          <w:lang w:val="en-GB"/>
                        </w:rPr>
                        <w:t>7</w:t>
                      </w:r>
                    </w:p>
                    <w:p w14:paraId="596DEE3B" w14:textId="3136A946" w:rsidR="00333497" w:rsidRPr="00AF35FE" w:rsidRDefault="00333497" w:rsidP="008342DA">
                      <w:pPr>
                        <w:pStyle w:val="Caption"/>
                        <w:rPr>
                          <w:rFonts w:eastAsiaTheme="minorHAnsi"/>
                          <w:noProof/>
                          <w:sz w:val="22"/>
                          <w:lang w:eastAsia="en-US"/>
                        </w:rPr>
                      </w:pPr>
                    </w:p>
                  </w:txbxContent>
                </v:textbox>
                <w10:anchorlock/>
              </v:shape>
            </w:pict>
          </mc:Fallback>
        </mc:AlternateContent>
      </w:r>
    </w:p>
    <w:p w14:paraId="63A165DF" w14:textId="4B983E06" w:rsidR="008342DA" w:rsidRPr="00DA4693" w:rsidRDefault="008342DA" w:rsidP="008342DA">
      <w:pPr>
        <w:pStyle w:val="NoSpacing"/>
        <w:jc w:val="both"/>
        <w:rPr>
          <w:rFonts w:ascii="Palatino Linotype" w:eastAsiaTheme="minorHAnsi" w:hAnsi="Palatino Linotype"/>
          <w:b/>
          <w:color w:val="FF0000"/>
          <w:sz w:val="22"/>
          <w:szCs w:val="22"/>
          <w:lang w:eastAsia="en-US"/>
        </w:rPr>
      </w:pPr>
    </w:p>
    <w:p w14:paraId="41CE0882" w14:textId="2BB575E8" w:rsidR="008342DA" w:rsidRPr="00DA4693" w:rsidRDefault="008342DA" w:rsidP="008342DA">
      <w:pPr>
        <w:rPr>
          <w:rFonts w:eastAsiaTheme="minorHAnsi"/>
          <w:color w:val="FF0000"/>
          <w:lang w:eastAsia="en-US"/>
        </w:rPr>
      </w:pPr>
    </w:p>
    <w:p w14:paraId="18293DAB" w14:textId="6D7E720F" w:rsidR="008342DA" w:rsidRPr="00DA4693" w:rsidRDefault="008342DA" w:rsidP="008342DA">
      <w:pPr>
        <w:rPr>
          <w:rFonts w:eastAsiaTheme="minorHAnsi"/>
          <w:color w:val="FF0000"/>
          <w:lang w:eastAsia="en-US"/>
        </w:rPr>
      </w:pPr>
    </w:p>
    <w:p w14:paraId="012F85D1" w14:textId="790721E4" w:rsidR="008342DA" w:rsidRPr="00DA4693" w:rsidRDefault="008342DA" w:rsidP="008342DA">
      <w:pPr>
        <w:jc w:val="center"/>
        <w:rPr>
          <w:rFonts w:eastAsiaTheme="minorHAnsi"/>
          <w:color w:val="FF0000"/>
          <w:lang w:eastAsia="en-US"/>
        </w:rPr>
      </w:pPr>
    </w:p>
    <w:p w14:paraId="172D5B59" w14:textId="77777777" w:rsidR="008342DA" w:rsidRPr="00DA4693" w:rsidRDefault="008342DA" w:rsidP="008342DA">
      <w:pPr>
        <w:rPr>
          <w:rFonts w:eastAsiaTheme="minorHAnsi"/>
          <w:color w:val="FF0000"/>
          <w:lang w:eastAsia="en-US"/>
        </w:rPr>
      </w:pPr>
    </w:p>
    <w:p w14:paraId="4216368E" w14:textId="77777777" w:rsidR="008342DA" w:rsidRPr="00DA4693" w:rsidRDefault="008342DA" w:rsidP="008342DA">
      <w:pPr>
        <w:rPr>
          <w:rFonts w:eastAsiaTheme="minorHAnsi"/>
          <w:color w:val="FF0000"/>
          <w:lang w:eastAsia="en-US"/>
        </w:rPr>
      </w:pPr>
    </w:p>
    <w:p w14:paraId="6937C707" w14:textId="77777777" w:rsidR="008342DA" w:rsidRPr="00DA4693" w:rsidRDefault="008342DA" w:rsidP="008342DA">
      <w:pPr>
        <w:rPr>
          <w:rFonts w:eastAsiaTheme="minorHAnsi"/>
          <w:color w:val="FF0000"/>
          <w:lang w:eastAsia="en-US"/>
        </w:rPr>
      </w:pPr>
    </w:p>
    <w:p w14:paraId="1BDB4D2F" w14:textId="77777777" w:rsidR="008342DA" w:rsidRPr="00DA4693" w:rsidRDefault="008342DA" w:rsidP="008342DA">
      <w:pPr>
        <w:rPr>
          <w:rFonts w:eastAsiaTheme="minorHAnsi"/>
          <w:color w:val="FF0000"/>
          <w:lang w:eastAsia="en-US"/>
        </w:rPr>
      </w:pPr>
    </w:p>
    <w:p w14:paraId="472CBE4B" w14:textId="77777777" w:rsidR="008342DA" w:rsidRPr="00DA4693" w:rsidRDefault="008342DA" w:rsidP="008342DA">
      <w:pPr>
        <w:suppressAutoHyphens w:val="0"/>
        <w:autoSpaceDE w:val="0"/>
        <w:autoSpaceDN w:val="0"/>
        <w:adjustRightInd w:val="0"/>
        <w:spacing w:after="0" w:line="240" w:lineRule="auto"/>
        <w:rPr>
          <w:b/>
          <w:color w:val="FF0000"/>
          <w:sz w:val="20"/>
          <w:szCs w:val="18"/>
          <w:lang w:eastAsia="tr-TR"/>
        </w:rPr>
      </w:pPr>
    </w:p>
    <w:p w14:paraId="79CA5912" w14:textId="1797A0EA" w:rsidR="003E226E" w:rsidRPr="00996A38" w:rsidRDefault="003E226E" w:rsidP="003E226E">
      <w:pPr>
        <w:suppressAutoHyphens w:val="0"/>
        <w:autoSpaceDE w:val="0"/>
        <w:autoSpaceDN w:val="0"/>
        <w:adjustRightInd w:val="0"/>
        <w:spacing w:after="0" w:line="240" w:lineRule="auto"/>
        <w:rPr>
          <w:sz w:val="20"/>
          <w:szCs w:val="20"/>
          <w:lang w:val="en-GB" w:eastAsia="tr-TR"/>
        </w:rPr>
      </w:pPr>
      <w:r>
        <w:rPr>
          <w:b/>
          <w:sz w:val="20"/>
          <w:szCs w:val="20"/>
          <w:lang w:val="en-GB" w:eastAsia="tr-TR"/>
        </w:rPr>
        <w:t>Source</w:t>
      </w:r>
      <w:r w:rsidRPr="00996A38">
        <w:rPr>
          <w:sz w:val="20"/>
          <w:szCs w:val="20"/>
          <w:lang w:val="en-GB" w:eastAsia="tr-TR"/>
        </w:rPr>
        <w:t>:</w:t>
      </w:r>
      <w:r w:rsidR="003F5D2D">
        <w:rPr>
          <w:sz w:val="20"/>
          <w:szCs w:val="20"/>
          <w:lang w:val="en-GB" w:eastAsia="tr-TR"/>
        </w:rPr>
        <w:t xml:space="preserve"> TURKSTAT</w:t>
      </w:r>
      <w:r w:rsidRPr="00996A38">
        <w:rPr>
          <w:sz w:val="20"/>
          <w:szCs w:val="20"/>
          <w:lang w:val="en-GB" w:eastAsia="tr-TR"/>
        </w:rPr>
        <w:t xml:space="preserve"> HLFS 201</w:t>
      </w:r>
      <w:r>
        <w:rPr>
          <w:sz w:val="20"/>
          <w:szCs w:val="20"/>
          <w:lang w:val="en-GB" w:eastAsia="tr-TR"/>
        </w:rPr>
        <w:t>6</w:t>
      </w:r>
      <w:r w:rsidRPr="00996A38">
        <w:rPr>
          <w:sz w:val="20"/>
          <w:szCs w:val="20"/>
          <w:lang w:val="en-GB" w:eastAsia="tr-TR"/>
        </w:rPr>
        <w:t xml:space="preserve"> micro data and Labor Force Statistics (http://www.tuik.gov.tr, Date of access 06.11.2017.) </w:t>
      </w:r>
      <w:r w:rsidR="0091154E">
        <w:rPr>
          <w:sz w:val="20"/>
          <w:szCs w:val="20"/>
          <w:lang w:val="en-GB" w:eastAsia="tr-TR"/>
        </w:rPr>
        <w:t xml:space="preserve">See Table 2 in the </w:t>
      </w:r>
      <w:r w:rsidRPr="00996A38">
        <w:rPr>
          <w:sz w:val="20"/>
          <w:szCs w:val="20"/>
          <w:lang w:val="en-GB" w:eastAsia="tr-TR"/>
        </w:rPr>
        <w:t xml:space="preserve">Appendix for the sectors where the letters correspond). </w:t>
      </w:r>
      <w:r w:rsidRPr="00996A38">
        <w:rPr>
          <w:b/>
          <w:sz w:val="20"/>
          <w:szCs w:val="20"/>
          <w:lang w:val="en-GB" w:eastAsia="tr-TR"/>
        </w:rPr>
        <w:t xml:space="preserve">Note: </w:t>
      </w:r>
      <w:r w:rsidRPr="00996A38">
        <w:rPr>
          <w:sz w:val="20"/>
          <w:szCs w:val="20"/>
          <w:lang w:val="en-GB" w:eastAsia="tr-TR"/>
        </w:rPr>
        <w:t xml:space="preserve">The minimum wage level corrected by inflation for the following year is used as a limit value while the rate of low paid workers is calculated (see. The section of Data and Methodology and Footnote 2). The vertical axis represents the change in the rate of informal working for each quarter. </w:t>
      </w:r>
      <w:r w:rsidRPr="00996A38">
        <w:rPr>
          <w:b/>
          <w:sz w:val="20"/>
          <w:szCs w:val="20"/>
          <w:lang w:val="en-GB" w:eastAsia="tr-TR"/>
        </w:rPr>
        <w:t xml:space="preserve">Note 2: </w:t>
      </w:r>
      <w:r w:rsidRPr="00996A38">
        <w:rPr>
          <w:sz w:val="20"/>
          <w:szCs w:val="20"/>
          <w:lang w:val="en-GB" w:eastAsia="tr-TR"/>
        </w:rPr>
        <w:t xml:space="preserve">The rate of </w:t>
      </w:r>
      <w:r w:rsidR="001C06C5">
        <w:rPr>
          <w:sz w:val="20"/>
          <w:szCs w:val="20"/>
          <w:lang w:val="en-GB" w:eastAsia="tr-TR"/>
        </w:rPr>
        <w:t>low-</w:t>
      </w:r>
      <w:r w:rsidR="0091154E">
        <w:rPr>
          <w:sz w:val="20"/>
          <w:szCs w:val="20"/>
          <w:lang w:val="en-GB" w:eastAsia="tr-TR"/>
        </w:rPr>
        <w:t>paid</w:t>
      </w:r>
      <w:r w:rsidR="001C06C5">
        <w:rPr>
          <w:sz w:val="20"/>
          <w:szCs w:val="20"/>
          <w:lang w:val="en-GB" w:eastAsia="tr-TR"/>
        </w:rPr>
        <w:t xml:space="preserve"> workers </w:t>
      </w:r>
      <w:r w:rsidRPr="00996A38">
        <w:rPr>
          <w:sz w:val="20"/>
          <w:szCs w:val="20"/>
          <w:lang w:val="en-GB" w:eastAsia="tr-TR"/>
        </w:rPr>
        <w:t xml:space="preserve">calculated for wage earners; however, the rate of informal employment calculated for all employees. The reason of this case is that informal employment data of TURKSTAT does not include the wages of non-salaried workers for 18 sectors. </w:t>
      </w:r>
    </w:p>
    <w:p w14:paraId="1A8D2242" w14:textId="50B02BA4" w:rsidR="008342DA" w:rsidRPr="00DA4693" w:rsidRDefault="008342DA" w:rsidP="007F69C8">
      <w:pPr>
        <w:suppressAutoHyphens w:val="0"/>
        <w:autoSpaceDE w:val="0"/>
        <w:autoSpaceDN w:val="0"/>
        <w:adjustRightInd w:val="0"/>
        <w:spacing w:after="0" w:line="240" w:lineRule="auto"/>
        <w:rPr>
          <w:rFonts w:eastAsiaTheme="minorHAnsi"/>
          <w:color w:val="FF0000"/>
          <w:lang w:eastAsia="en-US"/>
        </w:rPr>
        <w:sectPr w:rsidR="008342DA" w:rsidRPr="00DA4693" w:rsidSect="00E70CEB">
          <w:pgSz w:w="11906" w:h="16838"/>
          <w:pgMar w:top="1418" w:right="1418" w:bottom="1418" w:left="1418" w:header="709" w:footer="709" w:gutter="0"/>
          <w:cols w:space="708"/>
          <w:docGrid w:linePitch="360"/>
        </w:sectPr>
      </w:pPr>
    </w:p>
    <w:p w14:paraId="6187B3CF" w14:textId="4CA2F114" w:rsidR="00227EEA" w:rsidRPr="008A12AE" w:rsidRDefault="00227EEA" w:rsidP="00227EEA">
      <w:pPr>
        <w:pStyle w:val="Heading2"/>
        <w:rPr>
          <w:rFonts w:eastAsiaTheme="minorHAnsi"/>
          <w:lang w:eastAsia="en-US"/>
        </w:rPr>
      </w:pPr>
      <w:r>
        <w:rPr>
          <w:rFonts w:eastAsiaTheme="minorHAnsi"/>
          <w:lang w:eastAsia="en-US"/>
        </w:rPr>
        <w:lastRenderedPageBreak/>
        <w:t>Appendix</w:t>
      </w:r>
    </w:p>
    <w:p w14:paraId="30AD10BD" w14:textId="7AF636B5" w:rsidR="003A69B7" w:rsidRPr="003A69B7" w:rsidRDefault="00227EEA" w:rsidP="003A69B7">
      <w:pPr>
        <w:pStyle w:val="Caption"/>
        <w:keepNext/>
        <w:rPr>
          <w:sz w:val="22"/>
          <w:szCs w:val="22"/>
          <w:lang w:val="en-GB"/>
        </w:rPr>
      </w:pPr>
      <w:r>
        <w:rPr>
          <w:sz w:val="22"/>
          <w:szCs w:val="22"/>
          <w:lang w:val="en-GB"/>
        </w:rPr>
        <w:t>F</w:t>
      </w:r>
      <w:r w:rsidR="003A69B7" w:rsidRPr="003A69B7">
        <w:rPr>
          <w:sz w:val="22"/>
          <w:szCs w:val="22"/>
          <w:lang w:val="en-GB"/>
        </w:rPr>
        <w:t xml:space="preserve">igure </w:t>
      </w:r>
      <w:r w:rsidR="00C07E2B" w:rsidRPr="003A69B7">
        <w:rPr>
          <w:sz w:val="22"/>
          <w:szCs w:val="22"/>
          <w:lang w:val="en-GB"/>
        </w:rPr>
        <w:t>1:</w:t>
      </w:r>
      <w:r w:rsidR="00064354" w:rsidRPr="003A69B7">
        <w:rPr>
          <w:sz w:val="22"/>
          <w:szCs w:val="22"/>
          <w:lang w:val="en-GB"/>
        </w:rPr>
        <w:t xml:space="preserve"> </w:t>
      </w:r>
      <w:r w:rsidR="003A69B7" w:rsidRPr="003A69B7">
        <w:rPr>
          <w:sz w:val="22"/>
          <w:szCs w:val="22"/>
          <w:lang w:val="en-GB"/>
        </w:rPr>
        <w:t>The relationship be</w:t>
      </w:r>
      <w:r w:rsidR="003A69B7">
        <w:rPr>
          <w:sz w:val="22"/>
          <w:szCs w:val="22"/>
          <w:lang w:val="en-GB"/>
        </w:rPr>
        <w:t>t</w:t>
      </w:r>
      <w:r w:rsidR="003A69B7" w:rsidRPr="003A69B7">
        <w:rPr>
          <w:sz w:val="22"/>
          <w:szCs w:val="22"/>
          <w:lang w:val="en-GB"/>
        </w:rPr>
        <w:t>ween the rate of low paid employees and informal employment according to sectors (2014)</w:t>
      </w:r>
    </w:p>
    <w:p w14:paraId="5407B679" w14:textId="5619BAB3" w:rsidR="00064354" w:rsidRPr="00DA4693" w:rsidRDefault="00C97DA2" w:rsidP="00064354">
      <w:pPr>
        <w:rPr>
          <w:color w:val="FF0000"/>
        </w:rPr>
      </w:pPr>
      <w:r w:rsidRPr="00DA4693">
        <w:rPr>
          <w:noProof/>
          <w:color w:val="FF0000"/>
          <w:lang w:eastAsia="tr-TR"/>
        </w:rPr>
        <w:drawing>
          <wp:inline distT="0" distB="0" distL="0" distR="0" wp14:anchorId="341C36ED" wp14:editId="06A5E910">
            <wp:extent cx="5791200" cy="3314700"/>
            <wp:effectExtent l="0" t="0" r="0" b="0"/>
            <wp:docPr id="4" name="Grafik 4">
              <a:extLst xmlns:a="http://schemas.openxmlformats.org/drawingml/2006/main">
                <a:ext uri="{FF2B5EF4-FFF2-40B4-BE49-F238E27FC236}">
                  <a16:creationId xmlns:a16="http://schemas.microsoft.com/office/drawing/2014/main" id="{A3470FEF-36FD-46C1-9E93-C8409F1AC7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CDB56A3" w14:textId="594FB90C" w:rsidR="00064354" w:rsidRPr="003F5D2D" w:rsidRDefault="003F5D2D" w:rsidP="002F36AF">
      <w:pPr>
        <w:pStyle w:val="Caption"/>
        <w:keepNext/>
        <w:rPr>
          <w:b w:val="0"/>
          <w:sz w:val="20"/>
          <w:lang w:val="en-GB" w:eastAsia="tr-TR"/>
        </w:rPr>
      </w:pPr>
      <w:r w:rsidRPr="003F5D2D">
        <w:rPr>
          <w:sz w:val="20"/>
          <w:lang w:val="en-GB" w:eastAsia="tr-TR"/>
        </w:rPr>
        <w:t>Source:</w:t>
      </w:r>
      <w:r w:rsidR="002F36AF" w:rsidRPr="003F5D2D">
        <w:rPr>
          <w:b w:val="0"/>
          <w:sz w:val="20"/>
          <w:lang w:val="en-GB" w:eastAsia="tr-TR"/>
        </w:rPr>
        <w:t xml:space="preserve"> </w:t>
      </w:r>
      <w:r w:rsidRPr="003F5D2D">
        <w:rPr>
          <w:b w:val="0"/>
          <w:bCs w:val="0"/>
          <w:sz w:val="20"/>
          <w:lang w:val="en-GB" w:eastAsia="tr-TR"/>
        </w:rPr>
        <w:t>TURKSTAT HLFS 2014 micro data and Labor Force Statistics (http://www.tuik.gov.tr, Date of access 06.11.2017).</w:t>
      </w:r>
      <w:r w:rsidRPr="003F5D2D">
        <w:rPr>
          <w:sz w:val="20"/>
          <w:lang w:val="en-GB" w:eastAsia="tr-TR"/>
        </w:rPr>
        <w:t xml:space="preserve">  </w:t>
      </w:r>
      <w:r w:rsidRPr="003F5D2D">
        <w:rPr>
          <w:b w:val="0"/>
          <w:sz w:val="20"/>
          <w:lang w:val="en-GB" w:eastAsia="tr-TR"/>
        </w:rPr>
        <w:t xml:space="preserve">Note: </w:t>
      </w:r>
      <w:r w:rsidRPr="003F5D2D">
        <w:rPr>
          <w:b w:val="0"/>
          <w:bCs w:val="0"/>
          <w:sz w:val="20"/>
          <w:lang w:val="en-GB" w:eastAsia="tr-TR"/>
        </w:rPr>
        <w:t>The minimum wage level corrected by inflation for the following year is used as a limit value while the rate of low paid workers is calculated (see. The section of Data and Methodology and Footnote 2).</w:t>
      </w:r>
      <w:r w:rsidRPr="003F5D2D">
        <w:rPr>
          <w:sz w:val="20"/>
          <w:lang w:val="en-GB" w:eastAsia="tr-TR"/>
        </w:rPr>
        <w:t xml:space="preserve"> </w:t>
      </w:r>
      <w:r w:rsidR="00064354" w:rsidRPr="003F5D2D">
        <w:rPr>
          <w:sz w:val="20"/>
          <w:lang w:val="en-GB" w:eastAsia="tr-TR"/>
        </w:rPr>
        <w:t>Not</w:t>
      </w:r>
      <w:r w:rsidRPr="003F5D2D">
        <w:rPr>
          <w:sz w:val="20"/>
          <w:lang w:val="en-GB" w:eastAsia="tr-TR"/>
        </w:rPr>
        <w:t>e</w:t>
      </w:r>
      <w:r w:rsidR="002F36AF" w:rsidRPr="003F5D2D">
        <w:rPr>
          <w:sz w:val="20"/>
          <w:lang w:val="en-GB" w:eastAsia="tr-TR"/>
        </w:rPr>
        <w:t xml:space="preserve"> 2</w:t>
      </w:r>
      <w:r w:rsidR="00064354" w:rsidRPr="003F5D2D">
        <w:rPr>
          <w:sz w:val="20"/>
          <w:lang w:val="en-GB" w:eastAsia="tr-TR"/>
        </w:rPr>
        <w:t>:</w:t>
      </w:r>
      <w:r w:rsidR="00064354" w:rsidRPr="003F5D2D">
        <w:rPr>
          <w:b w:val="0"/>
          <w:sz w:val="20"/>
          <w:lang w:val="en-GB" w:eastAsia="tr-TR"/>
        </w:rPr>
        <w:t xml:space="preserve"> </w:t>
      </w:r>
      <w:r w:rsidRPr="003F5D2D">
        <w:rPr>
          <w:b w:val="0"/>
          <w:sz w:val="20"/>
          <w:lang w:val="en-GB" w:eastAsia="tr-TR"/>
        </w:rPr>
        <w:t xml:space="preserve">It created by using </w:t>
      </w:r>
      <w:r w:rsidR="004B5D77" w:rsidRPr="003F5D2D">
        <w:rPr>
          <w:b w:val="0"/>
          <w:sz w:val="20"/>
          <w:lang w:val="en-GB" w:eastAsia="tr-TR"/>
        </w:rPr>
        <w:t>Tabl</w:t>
      </w:r>
      <w:r w:rsidRPr="003F5D2D">
        <w:rPr>
          <w:b w:val="0"/>
          <w:sz w:val="20"/>
          <w:lang w:val="en-GB" w:eastAsia="tr-TR"/>
        </w:rPr>
        <w:t>e</w:t>
      </w:r>
      <w:r w:rsidR="004B5D77" w:rsidRPr="003F5D2D">
        <w:rPr>
          <w:b w:val="0"/>
          <w:sz w:val="20"/>
          <w:lang w:val="en-GB" w:eastAsia="tr-TR"/>
        </w:rPr>
        <w:t xml:space="preserve"> 1 </w:t>
      </w:r>
      <w:r w:rsidRPr="003F5D2D">
        <w:rPr>
          <w:b w:val="0"/>
          <w:sz w:val="20"/>
          <w:lang w:val="en-GB" w:eastAsia="tr-TR"/>
        </w:rPr>
        <w:t xml:space="preserve">and </w:t>
      </w:r>
      <w:r w:rsidR="0011304B">
        <w:rPr>
          <w:b w:val="0"/>
          <w:sz w:val="20"/>
          <w:lang w:val="en-GB" w:eastAsia="tr-TR"/>
        </w:rPr>
        <w:t xml:space="preserve">Table 1 in </w:t>
      </w:r>
      <w:r w:rsidRPr="003F5D2D">
        <w:rPr>
          <w:b w:val="0"/>
          <w:sz w:val="20"/>
          <w:lang w:val="en-GB" w:eastAsia="tr-TR"/>
        </w:rPr>
        <w:t xml:space="preserve">Appendix. </w:t>
      </w:r>
      <w:r w:rsidR="00644EB2" w:rsidRPr="003F5D2D">
        <w:rPr>
          <w:b w:val="0"/>
          <w:sz w:val="20"/>
          <w:lang w:val="en-GB" w:eastAsia="tr-TR"/>
        </w:rPr>
        <w:t xml:space="preserve"> </w:t>
      </w:r>
      <w:r w:rsidR="00644EB2" w:rsidRPr="003F5D2D">
        <w:rPr>
          <w:sz w:val="20"/>
          <w:lang w:val="en-GB" w:eastAsia="tr-TR"/>
        </w:rPr>
        <w:t>Not</w:t>
      </w:r>
      <w:r w:rsidRPr="003F5D2D">
        <w:rPr>
          <w:sz w:val="20"/>
          <w:lang w:val="en-GB" w:eastAsia="tr-TR"/>
        </w:rPr>
        <w:t>e</w:t>
      </w:r>
      <w:r w:rsidR="00644EB2" w:rsidRPr="003F5D2D">
        <w:rPr>
          <w:sz w:val="20"/>
          <w:lang w:val="en-GB" w:eastAsia="tr-TR"/>
        </w:rPr>
        <w:t xml:space="preserve"> </w:t>
      </w:r>
      <w:r w:rsidR="00644F46" w:rsidRPr="003F5D2D">
        <w:rPr>
          <w:sz w:val="20"/>
          <w:lang w:val="en-GB" w:eastAsia="tr-TR"/>
        </w:rPr>
        <w:t>3</w:t>
      </w:r>
      <w:r w:rsidR="00644EB2" w:rsidRPr="003F5D2D">
        <w:rPr>
          <w:sz w:val="20"/>
          <w:lang w:val="en-GB" w:eastAsia="tr-TR"/>
        </w:rPr>
        <w:t>:</w:t>
      </w:r>
      <w:r w:rsidR="00644EB2" w:rsidRPr="003F5D2D">
        <w:rPr>
          <w:b w:val="0"/>
          <w:sz w:val="20"/>
          <w:lang w:val="en-GB" w:eastAsia="tr-TR"/>
        </w:rPr>
        <w:t xml:space="preserve"> </w:t>
      </w:r>
      <w:r w:rsidRPr="003F5D2D">
        <w:rPr>
          <w:b w:val="0"/>
          <w:sz w:val="20"/>
          <w:lang w:val="en-GB" w:eastAsia="tr-TR"/>
        </w:rPr>
        <w:t xml:space="preserve">The data of </w:t>
      </w:r>
      <w:r w:rsidR="00644EB2" w:rsidRPr="003F5D2D">
        <w:rPr>
          <w:b w:val="0"/>
          <w:sz w:val="20"/>
          <w:lang w:val="en-GB" w:eastAsia="tr-TR"/>
        </w:rPr>
        <w:t xml:space="preserve">2015 </w:t>
      </w:r>
      <w:r w:rsidRPr="003F5D2D">
        <w:rPr>
          <w:b w:val="0"/>
          <w:sz w:val="20"/>
          <w:lang w:val="en-GB" w:eastAsia="tr-TR"/>
        </w:rPr>
        <w:t>and</w:t>
      </w:r>
      <w:r w:rsidR="00644EB2" w:rsidRPr="003F5D2D">
        <w:rPr>
          <w:b w:val="0"/>
          <w:sz w:val="20"/>
          <w:lang w:val="en-GB" w:eastAsia="tr-TR"/>
        </w:rPr>
        <w:t xml:space="preserve"> 2016 </w:t>
      </w:r>
      <w:r w:rsidRPr="003F5D2D">
        <w:rPr>
          <w:b w:val="0"/>
          <w:sz w:val="20"/>
          <w:lang w:val="en-GB" w:eastAsia="tr-TR"/>
        </w:rPr>
        <w:t xml:space="preserve">gives the very similar results. </w:t>
      </w:r>
    </w:p>
    <w:p w14:paraId="3FB47464" w14:textId="77777777" w:rsidR="00373358" w:rsidRPr="00DA4693" w:rsidRDefault="00373358" w:rsidP="008342DA">
      <w:pPr>
        <w:pStyle w:val="Caption"/>
        <w:keepNext/>
        <w:rPr>
          <w:color w:val="FF0000"/>
          <w:sz w:val="22"/>
          <w:szCs w:val="22"/>
        </w:rPr>
      </w:pPr>
    </w:p>
    <w:p w14:paraId="785840BF" w14:textId="77777777" w:rsidR="00373358" w:rsidRPr="00DA4693" w:rsidRDefault="00373358" w:rsidP="008342DA">
      <w:pPr>
        <w:pStyle w:val="Caption"/>
        <w:keepNext/>
        <w:rPr>
          <w:color w:val="FF0000"/>
          <w:sz w:val="22"/>
          <w:szCs w:val="22"/>
        </w:rPr>
      </w:pPr>
    </w:p>
    <w:p w14:paraId="7AC6A782" w14:textId="77777777" w:rsidR="00373358" w:rsidRPr="00DA4693" w:rsidRDefault="00373358" w:rsidP="008342DA">
      <w:pPr>
        <w:pStyle w:val="Caption"/>
        <w:keepNext/>
        <w:rPr>
          <w:color w:val="FF0000"/>
          <w:sz w:val="22"/>
          <w:szCs w:val="22"/>
        </w:rPr>
      </w:pPr>
    </w:p>
    <w:p w14:paraId="2DE74CF1" w14:textId="77777777" w:rsidR="00373358" w:rsidRPr="00DA4693" w:rsidRDefault="00373358" w:rsidP="008342DA">
      <w:pPr>
        <w:pStyle w:val="Caption"/>
        <w:keepNext/>
        <w:rPr>
          <w:color w:val="FF0000"/>
          <w:sz w:val="22"/>
          <w:szCs w:val="22"/>
        </w:rPr>
      </w:pPr>
    </w:p>
    <w:p w14:paraId="32FD5FE2" w14:textId="77777777" w:rsidR="00373358" w:rsidRPr="00DA4693" w:rsidRDefault="00373358" w:rsidP="008342DA">
      <w:pPr>
        <w:pStyle w:val="Caption"/>
        <w:keepNext/>
        <w:rPr>
          <w:color w:val="FF0000"/>
          <w:sz w:val="22"/>
          <w:szCs w:val="22"/>
        </w:rPr>
      </w:pPr>
    </w:p>
    <w:p w14:paraId="58EF1C06" w14:textId="77777777" w:rsidR="00373358" w:rsidRPr="00DA4693" w:rsidRDefault="00373358" w:rsidP="008342DA">
      <w:pPr>
        <w:pStyle w:val="Caption"/>
        <w:keepNext/>
        <w:rPr>
          <w:color w:val="FF0000"/>
          <w:sz w:val="22"/>
          <w:szCs w:val="22"/>
        </w:rPr>
      </w:pPr>
    </w:p>
    <w:p w14:paraId="6DC6C7AB" w14:textId="77777777" w:rsidR="00373358" w:rsidRPr="00DA4693" w:rsidRDefault="00373358" w:rsidP="008342DA">
      <w:pPr>
        <w:pStyle w:val="Caption"/>
        <w:keepNext/>
        <w:rPr>
          <w:color w:val="FF0000"/>
          <w:sz w:val="22"/>
          <w:szCs w:val="22"/>
        </w:rPr>
      </w:pPr>
    </w:p>
    <w:p w14:paraId="41B7D268" w14:textId="31146278" w:rsidR="00373358" w:rsidRPr="00DA4693" w:rsidRDefault="00373358" w:rsidP="008342DA">
      <w:pPr>
        <w:pStyle w:val="Caption"/>
        <w:keepNext/>
        <w:rPr>
          <w:color w:val="FF0000"/>
          <w:sz w:val="22"/>
          <w:szCs w:val="22"/>
        </w:rPr>
      </w:pPr>
    </w:p>
    <w:p w14:paraId="76126E3B" w14:textId="77777777" w:rsidR="00373358" w:rsidRPr="00DA4693" w:rsidRDefault="00373358" w:rsidP="00373358">
      <w:pPr>
        <w:rPr>
          <w:color w:val="FF0000"/>
        </w:rPr>
      </w:pPr>
    </w:p>
    <w:p w14:paraId="3367FDBE" w14:textId="60371C5A" w:rsidR="008342DA" w:rsidRPr="001518A1" w:rsidRDefault="00922C69" w:rsidP="008342DA">
      <w:pPr>
        <w:pStyle w:val="Caption"/>
        <w:keepNext/>
        <w:rPr>
          <w:sz w:val="22"/>
          <w:szCs w:val="22"/>
          <w:lang w:val="en-GB"/>
        </w:rPr>
      </w:pPr>
      <w:r w:rsidRPr="001518A1">
        <w:rPr>
          <w:sz w:val="22"/>
          <w:szCs w:val="22"/>
          <w:lang w:val="en-GB"/>
        </w:rPr>
        <w:lastRenderedPageBreak/>
        <w:t>Tabl</w:t>
      </w:r>
      <w:r w:rsidR="00C138D1" w:rsidRPr="001518A1">
        <w:rPr>
          <w:sz w:val="22"/>
          <w:szCs w:val="22"/>
          <w:lang w:val="en-GB"/>
        </w:rPr>
        <w:t>e</w:t>
      </w:r>
      <w:r w:rsidRPr="001518A1">
        <w:rPr>
          <w:sz w:val="22"/>
          <w:szCs w:val="22"/>
          <w:lang w:val="en-GB"/>
        </w:rPr>
        <w:t xml:space="preserve"> </w:t>
      </w:r>
      <w:r w:rsidR="008342DA" w:rsidRPr="001518A1">
        <w:rPr>
          <w:sz w:val="22"/>
          <w:szCs w:val="22"/>
          <w:lang w:val="en-GB"/>
        </w:rPr>
        <w:fldChar w:fldCharType="begin"/>
      </w:r>
      <w:r w:rsidR="008342DA" w:rsidRPr="001518A1">
        <w:rPr>
          <w:sz w:val="22"/>
          <w:szCs w:val="22"/>
          <w:lang w:val="en-GB"/>
        </w:rPr>
        <w:instrText xml:space="preserve"> SEQ Ek \* ARABIC </w:instrText>
      </w:r>
      <w:r w:rsidR="008342DA" w:rsidRPr="001518A1">
        <w:rPr>
          <w:sz w:val="22"/>
          <w:szCs w:val="22"/>
          <w:lang w:val="en-GB"/>
        </w:rPr>
        <w:fldChar w:fldCharType="separate"/>
      </w:r>
      <w:r w:rsidR="00D623E6">
        <w:rPr>
          <w:noProof/>
          <w:sz w:val="22"/>
          <w:szCs w:val="22"/>
          <w:lang w:val="en-GB"/>
        </w:rPr>
        <w:t>1</w:t>
      </w:r>
      <w:r w:rsidR="008342DA" w:rsidRPr="001518A1">
        <w:rPr>
          <w:sz w:val="22"/>
          <w:szCs w:val="22"/>
          <w:lang w:val="en-GB"/>
        </w:rPr>
        <w:fldChar w:fldCharType="end"/>
      </w:r>
      <w:r w:rsidR="008342DA" w:rsidRPr="001518A1">
        <w:rPr>
          <w:sz w:val="22"/>
          <w:szCs w:val="22"/>
          <w:lang w:val="en-GB"/>
        </w:rPr>
        <w:t xml:space="preserve">: </w:t>
      </w:r>
      <w:r w:rsidR="00C138D1" w:rsidRPr="001518A1">
        <w:rPr>
          <w:sz w:val="22"/>
          <w:szCs w:val="22"/>
          <w:lang w:val="en-GB"/>
        </w:rPr>
        <w:t>Informal and low paid wage earners according to sectors (percentage)</w:t>
      </w:r>
    </w:p>
    <w:tbl>
      <w:tblPr>
        <w:tblW w:w="9887" w:type="dxa"/>
        <w:tblInd w:w="70" w:type="dxa"/>
        <w:tblCellMar>
          <w:left w:w="70" w:type="dxa"/>
          <w:right w:w="70" w:type="dxa"/>
        </w:tblCellMar>
        <w:tblLook w:val="04A0" w:firstRow="1" w:lastRow="0" w:firstColumn="1" w:lastColumn="0" w:noHBand="0" w:noVBand="1"/>
      </w:tblPr>
      <w:tblGrid>
        <w:gridCol w:w="2609"/>
        <w:gridCol w:w="1352"/>
        <w:gridCol w:w="1074"/>
        <w:gridCol w:w="1352"/>
        <w:gridCol w:w="1074"/>
        <w:gridCol w:w="1352"/>
        <w:gridCol w:w="1074"/>
      </w:tblGrid>
      <w:tr w:rsidR="003A69B7" w:rsidRPr="003A69B7" w14:paraId="2483359F" w14:textId="77777777" w:rsidTr="003A69B7">
        <w:trPr>
          <w:trHeight w:val="336"/>
        </w:trPr>
        <w:tc>
          <w:tcPr>
            <w:tcW w:w="2609" w:type="dxa"/>
            <w:tcBorders>
              <w:top w:val="nil"/>
              <w:left w:val="nil"/>
              <w:bottom w:val="nil"/>
              <w:right w:val="nil"/>
            </w:tcBorders>
            <w:shd w:val="clear" w:color="000000" w:fill="FFFFFF"/>
            <w:noWrap/>
            <w:vAlign w:val="bottom"/>
            <w:hideMark/>
          </w:tcPr>
          <w:p w14:paraId="584E5D83" w14:textId="77777777" w:rsidR="00064E24" w:rsidRPr="003A69B7" w:rsidRDefault="00064E24" w:rsidP="00064E2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 </w:t>
            </w:r>
          </w:p>
        </w:tc>
        <w:tc>
          <w:tcPr>
            <w:tcW w:w="2426" w:type="dxa"/>
            <w:gridSpan w:val="2"/>
            <w:tcBorders>
              <w:top w:val="single" w:sz="4" w:space="0" w:color="auto"/>
              <w:left w:val="nil"/>
              <w:bottom w:val="nil"/>
              <w:right w:val="nil"/>
            </w:tcBorders>
            <w:shd w:val="clear" w:color="000000" w:fill="FFFFFF"/>
            <w:noWrap/>
            <w:vAlign w:val="bottom"/>
            <w:hideMark/>
          </w:tcPr>
          <w:p w14:paraId="51664BC5" w14:textId="77777777" w:rsidR="00064E24" w:rsidRPr="003A69B7" w:rsidRDefault="00064E24" w:rsidP="00064E2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2014</w:t>
            </w:r>
          </w:p>
        </w:tc>
        <w:tc>
          <w:tcPr>
            <w:tcW w:w="2426" w:type="dxa"/>
            <w:gridSpan w:val="2"/>
            <w:tcBorders>
              <w:top w:val="single" w:sz="4" w:space="0" w:color="auto"/>
              <w:left w:val="nil"/>
              <w:bottom w:val="nil"/>
              <w:right w:val="nil"/>
            </w:tcBorders>
            <w:shd w:val="clear" w:color="000000" w:fill="FFFFFF"/>
            <w:noWrap/>
            <w:vAlign w:val="bottom"/>
            <w:hideMark/>
          </w:tcPr>
          <w:p w14:paraId="5C75B4F5" w14:textId="77777777" w:rsidR="00064E24" w:rsidRPr="003A69B7" w:rsidRDefault="00064E24" w:rsidP="00064E2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2015</w:t>
            </w:r>
          </w:p>
        </w:tc>
        <w:tc>
          <w:tcPr>
            <w:tcW w:w="2426" w:type="dxa"/>
            <w:gridSpan w:val="2"/>
            <w:tcBorders>
              <w:top w:val="single" w:sz="4" w:space="0" w:color="auto"/>
              <w:left w:val="nil"/>
              <w:bottom w:val="nil"/>
              <w:right w:val="nil"/>
            </w:tcBorders>
            <w:shd w:val="clear" w:color="000000" w:fill="FFFFFF"/>
            <w:noWrap/>
            <w:vAlign w:val="bottom"/>
            <w:hideMark/>
          </w:tcPr>
          <w:p w14:paraId="2AAC0687" w14:textId="77777777" w:rsidR="00064E24" w:rsidRPr="003A69B7" w:rsidRDefault="00064E24" w:rsidP="00064E2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2016</w:t>
            </w:r>
          </w:p>
        </w:tc>
      </w:tr>
      <w:tr w:rsidR="003A69B7" w:rsidRPr="003A69B7" w14:paraId="71FE79B5" w14:textId="77777777" w:rsidTr="003A69B7">
        <w:trPr>
          <w:trHeight w:val="336"/>
        </w:trPr>
        <w:tc>
          <w:tcPr>
            <w:tcW w:w="2609" w:type="dxa"/>
            <w:tcBorders>
              <w:top w:val="single" w:sz="4" w:space="0" w:color="auto"/>
              <w:left w:val="nil"/>
              <w:bottom w:val="single" w:sz="4" w:space="0" w:color="auto"/>
              <w:right w:val="nil"/>
            </w:tcBorders>
            <w:shd w:val="clear" w:color="000000" w:fill="FFFFFF"/>
            <w:noWrap/>
            <w:vAlign w:val="bottom"/>
            <w:hideMark/>
          </w:tcPr>
          <w:p w14:paraId="58ACE0AA" w14:textId="2810A006" w:rsidR="00C138D1" w:rsidRPr="003A69B7" w:rsidRDefault="00C138D1" w:rsidP="00C138D1">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Sector</w:t>
            </w:r>
          </w:p>
        </w:tc>
        <w:tc>
          <w:tcPr>
            <w:tcW w:w="1352" w:type="dxa"/>
            <w:tcBorders>
              <w:top w:val="single" w:sz="4" w:space="0" w:color="auto"/>
              <w:left w:val="nil"/>
              <w:bottom w:val="single" w:sz="4" w:space="0" w:color="auto"/>
              <w:right w:val="nil"/>
            </w:tcBorders>
            <w:shd w:val="clear" w:color="000000" w:fill="FFFFFF"/>
            <w:noWrap/>
            <w:vAlign w:val="bottom"/>
            <w:hideMark/>
          </w:tcPr>
          <w:p w14:paraId="7B33B3AB" w14:textId="153797C2" w:rsidR="00C138D1" w:rsidRPr="003A69B7" w:rsidRDefault="00C138D1" w:rsidP="00C138D1">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 xml:space="preserve">Low wage </w:t>
            </w:r>
          </w:p>
        </w:tc>
        <w:tc>
          <w:tcPr>
            <w:tcW w:w="1073" w:type="dxa"/>
            <w:tcBorders>
              <w:top w:val="single" w:sz="4" w:space="0" w:color="auto"/>
              <w:left w:val="nil"/>
              <w:bottom w:val="single" w:sz="4" w:space="0" w:color="auto"/>
              <w:right w:val="nil"/>
            </w:tcBorders>
            <w:shd w:val="clear" w:color="000000" w:fill="FFFFFF"/>
            <w:noWrap/>
            <w:vAlign w:val="bottom"/>
            <w:hideMark/>
          </w:tcPr>
          <w:p w14:paraId="0980A621" w14:textId="766B9069" w:rsidR="00C138D1" w:rsidRPr="003A69B7" w:rsidRDefault="00C138D1" w:rsidP="00C138D1">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 xml:space="preserve">Informal  </w:t>
            </w:r>
          </w:p>
        </w:tc>
        <w:tc>
          <w:tcPr>
            <w:tcW w:w="1352" w:type="dxa"/>
            <w:tcBorders>
              <w:top w:val="single" w:sz="4" w:space="0" w:color="auto"/>
              <w:left w:val="nil"/>
              <w:bottom w:val="single" w:sz="4" w:space="0" w:color="auto"/>
              <w:right w:val="nil"/>
            </w:tcBorders>
            <w:shd w:val="clear" w:color="000000" w:fill="FFFFFF"/>
            <w:noWrap/>
            <w:vAlign w:val="bottom"/>
            <w:hideMark/>
          </w:tcPr>
          <w:p w14:paraId="2771EEF8" w14:textId="4FD7BAF2" w:rsidR="00C138D1" w:rsidRPr="003A69B7" w:rsidRDefault="00C138D1" w:rsidP="00C138D1">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 xml:space="preserve">Low wage </w:t>
            </w:r>
          </w:p>
        </w:tc>
        <w:tc>
          <w:tcPr>
            <w:tcW w:w="1073" w:type="dxa"/>
            <w:tcBorders>
              <w:top w:val="single" w:sz="4" w:space="0" w:color="auto"/>
              <w:left w:val="nil"/>
              <w:bottom w:val="single" w:sz="4" w:space="0" w:color="auto"/>
              <w:right w:val="nil"/>
            </w:tcBorders>
            <w:shd w:val="clear" w:color="000000" w:fill="FFFFFF"/>
            <w:noWrap/>
            <w:vAlign w:val="bottom"/>
            <w:hideMark/>
          </w:tcPr>
          <w:p w14:paraId="58E975A9" w14:textId="01C8A7DE" w:rsidR="00C138D1" w:rsidRPr="003A69B7" w:rsidRDefault="00C138D1" w:rsidP="00C138D1">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 xml:space="preserve">Informal  </w:t>
            </w:r>
          </w:p>
        </w:tc>
        <w:tc>
          <w:tcPr>
            <w:tcW w:w="1352" w:type="dxa"/>
            <w:tcBorders>
              <w:top w:val="single" w:sz="4" w:space="0" w:color="auto"/>
              <w:left w:val="nil"/>
              <w:bottom w:val="single" w:sz="4" w:space="0" w:color="auto"/>
              <w:right w:val="nil"/>
            </w:tcBorders>
            <w:shd w:val="clear" w:color="000000" w:fill="FFFFFF"/>
            <w:noWrap/>
            <w:vAlign w:val="bottom"/>
            <w:hideMark/>
          </w:tcPr>
          <w:p w14:paraId="0F53BEDF" w14:textId="7011F147" w:rsidR="00C138D1" w:rsidRPr="003A69B7" w:rsidRDefault="00C138D1" w:rsidP="00C138D1">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 xml:space="preserve">Low wage </w:t>
            </w:r>
          </w:p>
        </w:tc>
        <w:tc>
          <w:tcPr>
            <w:tcW w:w="1073" w:type="dxa"/>
            <w:tcBorders>
              <w:top w:val="single" w:sz="4" w:space="0" w:color="auto"/>
              <w:left w:val="nil"/>
              <w:bottom w:val="single" w:sz="4" w:space="0" w:color="auto"/>
              <w:right w:val="nil"/>
            </w:tcBorders>
            <w:shd w:val="clear" w:color="000000" w:fill="FFFFFF"/>
            <w:noWrap/>
            <w:vAlign w:val="bottom"/>
            <w:hideMark/>
          </w:tcPr>
          <w:p w14:paraId="1ACE28C3" w14:textId="7FF04489" w:rsidR="00C138D1" w:rsidRPr="003A69B7" w:rsidRDefault="00C138D1" w:rsidP="00C138D1">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 xml:space="preserve">Informal  </w:t>
            </w:r>
          </w:p>
        </w:tc>
      </w:tr>
      <w:tr w:rsidR="003A69B7" w:rsidRPr="003A69B7" w14:paraId="2F9E763B" w14:textId="77777777" w:rsidTr="003A69B7">
        <w:trPr>
          <w:trHeight w:val="336"/>
        </w:trPr>
        <w:tc>
          <w:tcPr>
            <w:tcW w:w="2609" w:type="dxa"/>
            <w:tcBorders>
              <w:top w:val="nil"/>
              <w:left w:val="nil"/>
              <w:bottom w:val="nil"/>
              <w:right w:val="nil"/>
            </w:tcBorders>
            <w:shd w:val="clear" w:color="000000" w:fill="FFFFFF"/>
            <w:noWrap/>
            <w:vAlign w:val="bottom"/>
            <w:hideMark/>
          </w:tcPr>
          <w:p w14:paraId="6439EBD2" w14:textId="48530E66" w:rsidR="003A69B7" w:rsidRPr="003A69B7" w:rsidRDefault="003A69B7" w:rsidP="003A69B7">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Mining and Quarrying</w:t>
            </w:r>
          </w:p>
        </w:tc>
        <w:tc>
          <w:tcPr>
            <w:tcW w:w="1352" w:type="dxa"/>
            <w:tcBorders>
              <w:top w:val="nil"/>
              <w:left w:val="nil"/>
              <w:bottom w:val="nil"/>
              <w:right w:val="nil"/>
            </w:tcBorders>
            <w:shd w:val="clear" w:color="000000" w:fill="FFFFFF"/>
            <w:noWrap/>
            <w:vAlign w:val="bottom"/>
            <w:hideMark/>
          </w:tcPr>
          <w:p w14:paraId="1D18B9BF"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19.0</w:t>
            </w:r>
          </w:p>
        </w:tc>
        <w:tc>
          <w:tcPr>
            <w:tcW w:w="1073" w:type="dxa"/>
            <w:tcBorders>
              <w:top w:val="nil"/>
              <w:left w:val="nil"/>
              <w:bottom w:val="nil"/>
              <w:right w:val="nil"/>
            </w:tcBorders>
            <w:shd w:val="clear" w:color="000000" w:fill="FFFFFF"/>
            <w:noWrap/>
            <w:vAlign w:val="bottom"/>
            <w:hideMark/>
          </w:tcPr>
          <w:p w14:paraId="589AA1C9"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6.7</w:t>
            </w:r>
          </w:p>
        </w:tc>
        <w:tc>
          <w:tcPr>
            <w:tcW w:w="1352" w:type="dxa"/>
            <w:tcBorders>
              <w:top w:val="nil"/>
              <w:left w:val="nil"/>
              <w:bottom w:val="nil"/>
              <w:right w:val="nil"/>
            </w:tcBorders>
            <w:shd w:val="clear" w:color="000000" w:fill="FFFFFF"/>
            <w:noWrap/>
            <w:vAlign w:val="bottom"/>
            <w:hideMark/>
          </w:tcPr>
          <w:p w14:paraId="3F3D8E36"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30.6</w:t>
            </w:r>
          </w:p>
        </w:tc>
        <w:tc>
          <w:tcPr>
            <w:tcW w:w="1073" w:type="dxa"/>
            <w:tcBorders>
              <w:top w:val="nil"/>
              <w:left w:val="nil"/>
              <w:bottom w:val="nil"/>
              <w:right w:val="nil"/>
            </w:tcBorders>
            <w:shd w:val="clear" w:color="000000" w:fill="FFFFFF"/>
            <w:noWrap/>
            <w:vAlign w:val="bottom"/>
            <w:hideMark/>
          </w:tcPr>
          <w:p w14:paraId="37858090"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5.3</w:t>
            </w:r>
          </w:p>
        </w:tc>
        <w:tc>
          <w:tcPr>
            <w:tcW w:w="1352" w:type="dxa"/>
            <w:tcBorders>
              <w:top w:val="nil"/>
              <w:left w:val="nil"/>
              <w:bottom w:val="nil"/>
              <w:right w:val="nil"/>
            </w:tcBorders>
            <w:shd w:val="clear" w:color="000000" w:fill="FFFFFF"/>
            <w:noWrap/>
            <w:vAlign w:val="bottom"/>
            <w:hideMark/>
          </w:tcPr>
          <w:p w14:paraId="17A1F114"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4.0</w:t>
            </w:r>
          </w:p>
        </w:tc>
        <w:tc>
          <w:tcPr>
            <w:tcW w:w="1073" w:type="dxa"/>
            <w:tcBorders>
              <w:top w:val="nil"/>
              <w:left w:val="nil"/>
              <w:bottom w:val="nil"/>
              <w:right w:val="nil"/>
            </w:tcBorders>
            <w:shd w:val="clear" w:color="000000" w:fill="FFFFFF"/>
            <w:noWrap/>
            <w:vAlign w:val="bottom"/>
            <w:hideMark/>
          </w:tcPr>
          <w:p w14:paraId="3AAA3ACC"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3.9</w:t>
            </w:r>
          </w:p>
        </w:tc>
      </w:tr>
      <w:tr w:rsidR="003A69B7" w:rsidRPr="003A69B7" w14:paraId="1B7CB34B" w14:textId="77777777" w:rsidTr="003A69B7">
        <w:trPr>
          <w:trHeight w:val="336"/>
        </w:trPr>
        <w:tc>
          <w:tcPr>
            <w:tcW w:w="2609" w:type="dxa"/>
            <w:tcBorders>
              <w:top w:val="nil"/>
              <w:left w:val="nil"/>
              <w:bottom w:val="nil"/>
              <w:right w:val="nil"/>
            </w:tcBorders>
            <w:shd w:val="clear" w:color="000000" w:fill="FFFFFF"/>
            <w:noWrap/>
            <w:vAlign w:val="bottom"/>
            <w:hideMark/>
          </w:tcPr>
          <w:p w14:paraId="6D2A9244" w14:textId="2D3C03A9" w:rsidR="003A69B7" w:rsidRPr="003A69B7" w:rsidRDefault="003A69B7" w:rsidP="003A69B7">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Manufacturing</w:t>
            </w:r>
          </w:p>
        </w:tc>
        <w:tc>
          <w:tcPr>
            <w:tcW w:w="1352" w:type="dxa"/>
            <w:tcBorders>
              <w:top w:val="nil"/>
              <w:left w:val="nil"/>
              <w:bottom w:val="nil"/>
              <w:right w:val="nil"/>
            </w:tcBorders>
            <w:shd w:val="clear" w:color="000000" w:fill="FFFFFF"/>
            <w:noWrap/>
            <w:vAlign w:val="bottom"/>
            <w:hideMark/>
          </w:tcPr>
          <w:p w14:paraId="153A3CEE"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34.8</w:t>
            </w:r>
          </w:p>
        </w:tc>
        <w:tc>
          <w:tcPr>
            <w:tcW w:w="1073" w:type="dxa"/>
            <w:tcBorders>
              <w:top w:val="nil"/>
              <w:left w:val="nil"/>
              <w:bottom w:val="nil"/>
              <w:right w:val="nil"/>
            </w:tcBorders>
            <w:shd w:val="clear" w:color="000000" w:fill="FFFFFF"/>
            <w:noWrap/>
            <w:vAlign w:val="bottom"/>
            <w:hideMark/>
          </w:tcPr>
          <w:p w14:paraId="7640449C"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15.8</w:t>
            </w:r>
          </w:p>
        </w:tc>
        <w:tc>
          <w:tcPr>
            <w:tcW w:w="1352" w:type="dxa"/>
            <w:tcBorders>
              <w:top w:val="nil"/>
              <w:left w:val="nil"/>
              <w:bottom w:val="nil"/>
              <w:right w:val="nil"/>
            </w:tcBorders>
            <w:shd w:val="clear" w:color="000000" w:fill="FFFFFF"/>
            <w:noWrap/>
            <w:vAlign w:val="bottom"/>
            <w:hideMark/>
          </w:tcPr>
          <w:p w14:paraId="1A94FFD2"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55.6</w:t>
            </w:r>
          </w:p>
        </w:tc>
        <w:tc>
          <w:tcPr>
            <w:tcW w:w="1073" w:type="dxa"/>
            <w:tcBorders>
              <w:top w:val="nil"/>
              <w:left w:val="nil"/>
              <w:bottom w:val="nil"/>
              <w:right w:val="nil"/>
            </w:tcBorders>
            <w:shd w:val="clear" w:color="000000" w:fill="FFFFFF"/>
            <w:noWrap/>
            <w:vAlign w:val="bottom"/>
            <w:hideMark/>
          </w:tcPr>
          <w:p w14:paraId="6126EB89"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14.6</w:t>
            </w:r>
          </w:p>
        </w:tc>
        <w:tc>
          <w:tcPr>
            <w:tcW w:w="1352" w:type="dxa"/>
            <w:tcBorders>
              <w:top w:val="nil"/>
              <w:left w:val="nil"/>
              <w:bottom w:val="nil"/>
              <w:right w:val="nil"/>
            </w:tcBorders>
            <w:shd w:val="clear" w:color="000000" w:fill="FFFFFF"/>
            <w:noWrap/>
            <w:vAlign w:val="bottom"/>
            <w:hideMark/>
          </w:tcPr>
          <w:p w14:paraId="2D26D537"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11.3</w:t>
            </w:r>
          </w:p>
        </w:tc>
        <w:tc>
          <w:tcPr>
            <w:tcW w:w="1073" w:type="dxa"/>
            <w:tcBorders>
              <w:top w:val="nil"/>
              <w:left w:val="nil"/>
              <w:bottom w:val="nil"/>
              <w:right w:val="nil"/>
            </w:tcBorders>
            <w:shd w:val="clear" w:color="000000" w:fill="FFFFFF"/>
            <w:noWrap/>
            <w:vAlign w:val="bottom"/>
            <w:hideMark/>
          </w:tcPr>
          <w:p w14:paraId="45CE6EC7"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15.3</w:t>
            </w:r>
          </w:p>
        </w:tc>
      </w:tr>
      <w:tr w:rsidR="003A69B7" w:rsidRPr="003A69B7" w14:paraId="272ABB41" w14:textId="77777777" w:rsidTr="003A69B7">
        <w:trPr>
          <w:trHeight w:val="336"/>
        </w:trPr>
        <w:tc>
          <w:tcPr>
            <w:tcW w:w="2609" w:type="dxa"/>
            <w:tcBorders>
              <w:top w:val="nil"/>
              <w:left w:val="nil"/>
              <w:bottom w:val="nil"/>
              <w:right w:val="nil"/>
            </w:tcBorders>
            <w:shd w:val="clear" w:color="000000" w:fill="FFFFFF"/>
            <w:noWrap/>
            <w:vAlign w:val="bottom"/>
            <w:hideMark/>
          </w:tcPr>
          <w:p w14:paraId="19F70669" w14:textId="2DE6F249" w:rsidR="003A69B7" w:rsidRPr="003A69B7" w:rsidRDefault="003A69B7" w:rsidP="003A69B7">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Electricity and Water</w:t>
            </w:r>
          </w:p>
        </w:tc>
        <w:tc>
          <w:tcPr>
            <w:tcW w:w="1352" w:type="dxa"/>
            <w:tcBorders>
              <w:top w:val="nil"/>
              <w:left w:val="nil"/>
              <w:bottom w:val="nil"/>
              <w:right w:val="nil"/>
            </w:tcBorders>
            <w:shd w:val="clear" w:color="000000" w:fill="FFFFFF"/>
            <w:noWrap/>
            <w:vAlign w:val="bottom"/>
            <w:hideMark/>
          </w:tcPr>
          <w:p w14:paraId="34BDAC88"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16.3</w:t>
            </w:r>
          </w:p>
        </w:tc>
        <w:tc>
          <w:tcPr>
            <w:tcW w:w="1073" w:type="dxa"/>
            <w:tcBorders>
              <w:top w:val="nil"/>
              <w:left w:val="nil"/>
              <w:bottom w:val="nil"/>
              <w:right w:val="nil"/>
            </w:tcBorders>
            <w:shd w:val="clear" w:color="000000" w:fill="FFFFFF"/>
            <w:noWrap/>
            <w:vAlign w:val="bottom"/>
            <w:hideMark/>
          </w:tcPr>
          <w:p w14:paraId="6B90B4B2"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6.0</w:t>
            </w:r>
          </w:p>
        </w:tc>
        <w:tc>
          <w:tcPr>
            <w:tcW w:w="1352" w:type="dxa"/>
            <w:tcBorders>
              <w:top w:val="nil"/>
              <w:left w:val="nil"/>
              <w:bottom w:val="nil"/>
              <w:right w:val="nil"/>
            </w:tcBorders>
            <w:shd w:val="clear" w:color="000000" w:fill="FFFFFF"/>
            <w:noWrap/>
            <w:vAlign w:val="bottom"/>
            <w:hideMark/>
          </w:tcPr>
          <w:p w14:paraId="297101F5"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29.5</w:t>
            </w:r>
          </w:p>
        </w:tc>
        <w:tc>
          <w:tcPr>
            <w:tcW w:w="1073" w:type="dxa"/>
            <w:tcBorders>
              <w:top w:val="nil"/>
              <w:left w:val="nil"/>
              <w:bottom w:val="nil"/>
              <w:right w:val="nil"/>
            </w:tcBorders>
            <w:shd w:val="clear" w:color="000000" w:fill="FFFFFF"/>
            <w:noWrap/>
            <w:vAlign w:val="bottom"/>
            <w:hideMark/>
          </w:tcPr>
          <w:p w14:paraId="6F64E00E"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5.6</w:t>
            </w:r>
          </w:p>
        </w:tc>
        <w:tc>
          <w:tcPr>
            <w:tcW w:w="1352" w:type="dxa"/>
            <w:tcBorders>
              <w:top w:val="nil"/>
              <w:left w:val="nil"/>
              <w:bottom w:val="nil"/>
              <w:right w:val="nil"/>
            </w:tcBorders>
            <w:shd w:val="clear" w:color="000000" w:fill="FFFFFF"/>
            <w:noWrap/>
            <w:vAlign w:val="bottom"/>
            <w:hideMark/>
          </w:tcPr>
          <w:p w14:paraId="0BF460F1"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7.2</w:t>
            </w:r>
          </w:p>
        </w:tc>
        <w:tc>
          <w:tcPr>
            <w:tcW w:w="1073" w:type="dxa"/>
            <w:tcBorders>
              <w:top w:val="nil"/>
              <w:left w:val="nil"/>
              <w:bottom w:val="nil"/>
              <w:right w:val="nil"/>
            </w:tcBorders>
            <w:shd w:val="clear" w:color="000000" w:fill="FFFFFF"/>
            <w:noWrap/>
            <w:vAlign w:val="bottom"/>
            <w:hideMark/>
          </w:tcPr>
          <w:p w14:paraId="3937A7BC"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7.8</w:t>
            </w:r>
          </w:p>
        </w:tc>
      </w:tr>
      <w:tr w:rsidR="003A69B7" w:rsidRPr="003A69B7" w14:paraId="4081E225" w14:textId="77777777" w:rsidTr="003A69B7">
        <w:trPr>
          <w:trHeight w:val="336"/>
        </w:trPr>
        <w:tc>
          <w:tcPr>
            <w:tcW w:w="2609" w:type="dxa"/>
            <w:tcBorders>
              <w:top w:val="nil"/>
              <w:left w:val="nil"/>
              <w:bottom w:val="nil"/>
              <w:right w:val="nil"/>
            </w:tcBorders>
            <w:shd w:val="clear" w:color="000000" w:fill="FFFFFF"/>
            <w:noWrap/>
            <w:vAlign w:val="bottom"/>
            <w:hideMark/>
          </w:tcPr>
          <w:p w14:paraId="2D5E6BEE" w14:textId="13010760" w:rsidR="003A69B7" w:rsidRPr="003A69B7" w:rsidRDefault="003A69B7" w:rsidP="003A69B7">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Construction</w:t>
            </w:r>
          </w:p>
        </w:tc>
        <w:tc>
          <w:tcPr>
            <w:tcW w:w="1352" w:type="dxa"/>
            <w:tcBorders>
              <w:top w:val="nil"/>
              <w:left w:val="nil"/>
              <w:bottom w:val="nil"/>
              <w:right w:val="nil"/>
            </w:tcBorders>
            <w:shd w:val="clear" w:color="000000" w:fill="FFFFFF"/>
            <w:noWrap/>
            <w:vAlign w:val="bottom"/>
            <w:hideMark/>
          </w:tcPr>
          <w:p w14:paraId="1A5F4F99"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28.0</w:t>
            </w:r>
          </w:p>
        </w:tc>
        <w:tc>
          <w:tcPr>
            <w:tcW w:w="1073" w:type="dxa"/>
            <w:tcBorders>
              <w:top w:val="nil"/>
              <w:left w:val="nil"/>
              <w:bottom w:val="nil"/>
              <w:right w:val="nil"/>
            </w:tcBorders>
            <w:shd w:val="clear" w:color="000000" w:fill="FFFFFF"/>
            <w:noWrap/>
            <w:vAlign w:val="bottom"/>
            <w:hideMark/>
          </w:tcPr>
          <w:p w14:paraId="557D54A8"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35.6</w:t>
            </w:r>
          </w:p>
        </w:tc>
        <w:tc>
          <w:tcPr>
            <w:tcW w:w="1352" w:type="dxa"/>
            <w:tcBorders>
              <w:top w:val="nil"/>
              <w:left w:val="nil"/>
              <w:bottom w:val="nil"/>
              <w:right w:val="nil"/>
            </w:tcBorders>
            <w:shd w:val="clear" w:color="000000" w:fill="FFFFFF"/>
            <w:noWrap/>
            <w:vAlign w:val="bottom"/>
            <w:hideMark/>
          </w:tcPr>
          <w:p w14:paraId="44259416"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49.0</w:t>
            </w:r>
          </w:p>
        </w:tc>
        <w:tc>
          <w:tcPr>
            <w:tcW w:w="1073" w:type="dxa"/>
            <w:tcBorders>
              <w:top w:val="nil"/>
              <w:left w:val="nil"/>
              <w:bottom w:val="nil"/>
              <w:right w:val="nil"/>
            </w:tcBorders>
            <w:shd w:val="clear" w:color="000000" w:fill="FFFFFF"/>
            <w:noWrap/>
            <w:vAlign w:val="bottom"/>
            <w:hideMark/>
          </w:tcPr>
          <w:p w14:paraId="70AEEEC6"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34.1</w:t>
            </w:r>
          </w:p>
        </w:tc>
        <w:tc>
          <w:tcPr>
            <w:tcW w:w="1352" w:type="dxa"/>
            <w:tcBorders>
              <w:top w:val="nil"/>
              <w:left w:val="nil"/>
              <w:bottom w:val="nil"/>
              <w:right w:val="nil"/>
            </w:tcBorders>
            <w:shd w:val="clear" w:color="000000" w:fill="FFFFFF"/>
            <w:noWrap/>
            <w:vAlign w:val="bottom"/>
            <w:hideMark/>
          </w:tcPr>
          <w:p w14:paraId="020B1985"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18.4</w:t>
            </w:r>
          </w:p>
        </w:tc>
        <w:tc>
          <w:tcPr>
            <w:tcW w:w="1073" w:type="dxa"/>
            <w:tcBorders>
              <w:top w:val="nil"/>
              <w:left w:val="nil"/>
              <w:bottom w:val="nil"/>
              <w:right w:val="nil"/>
            </w:tcBorders>
            <w:shd w:val="clear" w:color="000000" w:fill="FFFFFF"/>
            <w:noWrap/>
            <w:vAlign w:val="bottom"/>
            <w:hideMark/>
          </w:tcPr>
          <w:p w14:paraId="7EDEB2E4"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34.3</w:t>
            </w:r>
          </w:p>
        </w:tc>
      </w:tr>
      <w:tr w:rsidR="003A69B7" w:rsidRPr="003A69B7" w14:paraId="77DC0B47" w14:textId="77777777" w:rsidTr="003A69B7">
        <w:trPr>
          <w:trHeight w:val="336"/>
        </w:trPr>
        <w:tc>
          <w:tcPr>
            <w:tcW w:w="2609" w:type="dxa"/>
            <w:tcBorders>
              <w:top w:val="nil"/>
              <w:left w:val="nil"/>
              <w:bottom w:val="nil"/>
              <w:right w:val="nil"/>
            </w:tcBorders>
            <w:shd w:val="clear" w:color="000000" w:fill="FFFFFF"/>
            <w:noWrap/>
            <w:vAlign w:val="bottom"/>
            <w:hideMark/>
          </w:tcPr>
          <w:p w14:paraId="51CD8606" w14:textId="5F65946B" w:rsidR="003A69B7" w:rsidRPr="003A69B7" w:rsidRDefault="003A69B7" w:rsidP="003A69B7">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Wholesale and Retail Trade</w:t>
            </w:r>
          </w:p>
        </w:tc>
        <w:tc>
          <w:tcPr>
            <w:tcW w:w="1352" w:type="dxa"/>
            <w:tcBorders>
              <w:top w:val="nil"/>
              <w:left w:val="nil"/>
              <w:bottom w:val="nil"/>
              <w:right w:val="nil"/>
            </w:tcBorders>
            <w:shd w:val="clear" w:color="000000" w:fill="FFFFFF"/>
            <w:noWrap/>
            <w:vAlign w:val="bottom"/>
            <w:hideMark/>
          </w:tcPr>
          <w:p w14:paraId="549B7330"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37.2</w:t>
            </w:r>
          </w:p>
        </w:tc>
        <w:tc>
          <w:tcPr>
            <w:tcW w:w="1073" w:type="dxa"/>
            <w:tcBorders>
              <w:top w:val="nil"/>
              <w:left w:val="nil"/>
              <w:bottom w:val="nil"/>
              <w:right w:val="nil"/>
            </w:tcBorders>
            <w:shd w:val="clear" w:color="000000" w:fill="FFFFFF"/>
            <w:noWrap/>
            <w:vAlign w:val="bottom"/>
            <w:hideMark/>
          </w:tcPr>
          <w:p w14:paraId="6A9EDE90"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17.6</w:t>
            </w:r>
          </w:p>
        </w:tc>
        <w:tc>
          <w:tcPr>
            <w:tcW w:w="1352" w:type="dxa"/>
            <w:tcBorders>
              <w:top w:val="nil"/>
              <w:left w:val="nil"/>
              <w:bottom w:val="nil"/>
              <w:right w:val="nil"/>
            </w:tcBorders>
            <w:shd w:val="clear" w:color="000000" w:fill="FFFFFF"/>
            <w:noWrap/>
            <w:vAlign w:val="bottom"/>
            <w:hideMark/>
          </w:tcPr>
          <w:p w14:paraId="6BCD2A41"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58.7</w:t>
            </w:r>
          </w:p>
        </w:tc>
        <w:tc>
          <w:tcPr>
            <w:tcW w:w="1073" w:type="dxa"/>
            <w:tcBorders>
              <w:top w:val="nil"/>
              <w:left w:val="nil"/>
              <w:bottom w:val="nil"/>
              <w:right w:val="nil"/>
            </w:tcBorders>
            <w:shd w:val="clear" w:color="000000" w:fill="FFFFFF"/>
            <w:noWrap/>
            <w:vAlign w:val="bottom"/>
            <w:hideMark/>
          </w:tcPr>
          <w:p w14:paraId="38DAE7B0"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16.6</w:t>
            </w:r>
          </w:p>
        </w:tc>
        <w:tc>
          <w:tcPr>
            <w:tcW w:w="1352" w:type="dxa"/>
            <w:tcBorders>
              <w:top w:val="nil"/>
              <w:left w:val="nil"/>
              <w:bottom w:val="nil"/>
              <w:right w:val="nil"/>
            </w:tcBorders>
            <w:shd w:val="clear" w:color="000000" w:fill="FFFFFF"/>
            <w:noWrap/>
            <w:vAlign w:val="bottom"/>
            <w:hideMark/>
          </w:tcPr>
          <w:p w14:paraId="40F73051"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14.5</w:t>
            </w:r>
          </w:p>
        </w:tc>
        <w:tc>
          <w:tcPr>
            <w:tcW w:w="1073" w:type="dxa"/>
            <w:tcBorders>
              <w:top w:val="nil"/>
              <w:left w:val="nil"/>
              <w:bottom w:val="nil"/>
              <w:right w:val="nil"/>
            </w:tcBorders>
            <w:shd w:val="clear" w:color="000000" w:fill="FFFFFF"/>
            <w:noWrap/>
            <w:vAlign w:val="bottom"/>
            <w:hideMark/>
          </w:tcPr>
          <w:p w14:paraId="6605640C"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17.0</w:t>
            </w:r>
          </w:p>
        </w:tc>
      </w:tr>
      <w:tr w:rsidR="003A69B7" w:rsidRPr="003A69B7" w14:paraId="3C1F50B7" w14:textId="77777777" w:rsidTr="003A69B7">
        <w:trPr>
          <w:trHeight w:val="336"/>
        </w:trPr>
        <w:tc>
          <w:tcPr>
            <w:tcW w:w="2609" w:type="dxa"/>
            <w:tcBorders>
              <w:top w:val="nil"/>
              <w:left w:val="nil"/>
              <w:bottom w:val="nil"/>
              <w:right w:val="nil"/>
            </w:tcBorders>
            <w:shd w:val="clear" w:color="000000" w:fill="FFFFFF"/>
            <w:noWrap/>
            <w:vAlign w:val="bottom"/>
            <w:hideMark/>
          </w:tcPr>
          <w:p w14:paraId="4FA9AAB6" w14:textId="1222C42B" w:rsidR="003A69B7" w:rsidRPr="003A69B7" w:rsidRDefault="003A69B7" w:rsidP="003A69B7">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Transport and Storage</w:t>
            </w:r>
          </w:p>
        </w:tc>
        <w:tc>
          <w:tcPr>
            <w:tcW w:w="1352" w:type="dxa"/>
            <w:tcBorders>
              <w:top w:val="nil"/>
              <w:left w:val="nil"/>
              <w:bottom w:val="nil"/>
              <w:right w:val="nil"/>
            </w:tcBorders>
            <w:shd w:val="clear" w:color="000000" w:fill="FFFFFF"/>
            <w:noWrap/>
            <w:vAlign w:val="bottom"/>
            <w:hideMark/>
          </w:tcPr>
          <w:p w14:paraId="3B06F523"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25.3</w:t>
            </w:r>
          </w:p>
        </w:tc>
        <w:tc>
          <w:tcPr>
            <w:tcW w:w="1073" w:type="dxa"/>
            <w:tcBorders>
              <w:top w:val="nil"/>
              <w:left w:val="nil"/>
              <w:bottom w:val="nil"/>
              <w:right w:val="nil"/>
            </w:tcBorders>
            <w:shd w:val="clear" w:color="000000" w:fill="FFFFFF"/>
            <w:noWrap/>
            <w:vAlign w:val="bottom"/>
            <w:hideMark/>
          </w:tcPr>
          <w:p w14:paraId="14F72492"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19.9</w:t>
            </w:r>
          </w:p>
        </w:tc>
        <w:tc>
          <w:tcPr>
            <w:tcW w:w="1352" w:type="dxa"/>
            <w:tcBorders>
              <w:top w:val="nil"/>
              <w:left w:val="nil"/>
              <w:bottom w:val="nil"/>
              <w:right w:val="nil"/>
            </w:tcBorders>
            <w:shd w:val="clear" w:color="000000" w:fill="FFFFFF"/>
            <w:noWrap/>
            <w:vAlign w:val="bottom"/>
            <w:hideMark/>
          </w:tcPr>
          <w:p w14:paraId="6842BB3F"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43.2</w:t>
            </w:r>
          </w:p>
        </w:tc>
        <w:tc>
          <w:tcPr>
            <w:tcW w:w="1073" w:type="dxa"/>
            <w:tcBorders>
              <w:top w:val="nil"/>
              <w:left w:val="nil"/>
              <w:bottom w:val="nil"/>
              <w:right w:val="nil"/>
            </w:tcBorders>
            <w:shd w:val="clear" w:color="000000" w:fill="FFFFFF"/>
            <w:noWrap/>
            <w:vAlign w:val="bottom"/>
            <w:hideMark/>
          </w:tcPr>
          <w:p w14:paraId="6316414B"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20.4</w:t>
            </w:r>
          </w:p>
        </w:tc>
        <w:tc>
          <w:tcPr>
            <w:tcW w:w="1352" w:type="dxa"/>
            <w:tcBorders>
              <w:top w:val="nil"/>
              <w:left w:val="nil"/>
              <w:bottom w:val="nil"/>
              <w:right w:val="nil"/>
            </w:tcBorders>
            <w:shd w:val="clear" w:color="000000" w:fill="FFFFFF"/>
            <w:noWrap/>
            <w:vAlign w:val="bottom"/>
            <w:hideMark/>
          </w:tcPr>
          <w:p w14:paraId="67D3B92E"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10.1</w:t>
            </w:r>
          </w:p>
        </w:tc>
        <w:tc>
          <w:tcPr>
            <w:tcW w:w="1073" w:type="dxa"/>
            <w:tcBorders>
              <w:top w:val="nil"/>
              <w:left w:val="nil"/>
              <w:bottom w:val="nil"/>
              <w:right w:val="nil"/>
            </w:tcBorders>
            <w:shd w:val="clear" w:color="000000" w:fill="FFFFFF"/>
            <w:noWrap/>
            <w:vAlign w:val="bottom"/>
            <w:hideMark/>
          </w:tcPr>
          <w:p w14:paraId="4073F8DF"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18.5</w:t>
            </w:r>
          </w:p>
        </w:tc>
      </w:tr>
      <w:tr w:rsidR="003A69B7" w:rsidRPr="003A69B7" w14:paraId="045E5D05" w14:textId="77777777" w:rsidTr="003A69B7">
        <w:trPr>
          <w:trHeight w:val="336"/>
        </w:trPr>
        <w:tc>
          <w:tcPr>
            <w:tcW w:w="2609" w:type="dxa"/>
            <w:tcBorders>
              <w:top w:val="nil"/>
              <w:left w:val="nil"/>
              <w:bottom w:val="nil"/>
              <w:right w:val="nil"/>
            </w:tcBorders>
            <w:shd w:val="clear" w:color="000000" w:fill="FFFFFF"/>
            <w:noWrap/>
            <w:vAlign w:val="bottom"/>
            <w:hideMark/>
          </w:tcPr>
          <w:p w14:paraId="18683DD2" w14:textId="6CD921DF" w:rsidR="003A69B7" w:rsidRPr="003A69B7" w:rsidRDefault="003A69B7" w:rsidP="003A69B7">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Accommodation</w:t>
            </w:r>
          </w:p>
        </w:tc>
        <w:tc>
          <w:tcPr>
            <w:tcW w:w="1352" w:type="dxa"/>
            <w:tcBorders>
              <w:top w:val="nil"/>
              <w:left w:val="nil"/>
              <w:bottom w:val="nil"/>
              <w:right w:val="nil"/>
            </w:tcBorders>
            <w:shd w:val="clear" w:color="000000" w:fill="FFFFFF"/>
            <w:noWrap/>
            <w:vAlign w:val="bottom"/>
            <w:hideMark/>
          </w:tcPr>
          <w:p w14:paraId="721863BF"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39.1</w:t>
            </w:r>
          </w:p>
        </w:tc>
        <w:tc>
          <w:tcPr>
            <w:tcW w:w="1073" w:type="dxa"/>
            <w:tcBorders>
              <w:top w:val="nil"/>
              <w:left w:val="nil"/>
              <w:bottom w:val="nil"/>
              <w:right w:val="nil"/>
            </w:tcBorders>
            <w:shd w:val="clear" w:color="000000" w:fill="FFFFFF"/>
            <w:noWrap/>
            <w:vAlign w:val="bottom"/>
            <w:hideMark/>
          </w:tcPr>
          <w:p w14:paraId="2CB79B03"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29.5</w:t>
            </w:r>
          </w:p>
        </w:tc>
        <w:tc>
          <w:tcPr>
            <w:tcW w:w="1352" w:type="dxa"/>
            <w:tcBorders>
              <w:top w:val="nil"/>
              <w:left w:val="nil"/>
              <w:bottom w:val="nil"/>
              <w:right w:val="nil"/>
            </w:tcBorders>
            <w:shd w:val="clear" w:color="000000" w:fill="FFFFFF"/>
            <w:noWrap/>
            <w:vAlign w:val="bottom"/>
            <w:hideMark/>
          </w:tcPr>
          <w:p w14:paraId="1AC2890D"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60.9</w:t>
            </w:r>
          </w:p>
        </w:tc>
        <w:tc>
          <w:tcPr>
            <w:tcW w:w="1073" w:type="dxa"/>
            <w:tcBorders>
              <w:top w:val="nil"/>
              <w:left w:val="nil"/>
              <w:bottom w:val="nil"/>
              <w:right w:val="nil"/>
            </w:tcBorders>
            <w:shd w:val="clear" w:color="000000" w:fill="FFFFFF"/>
            <w:noWrap/>
            <w:vAlign w:val="bottom"/>
            <w:hideMark/>
          </w:tcPr>
          <w:p w14:paraId="34106BB9"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26.6</w:t>
            </w:r>
          </w:p>
        </w:tc>
        <w:tc>
          <w:tcPr>
            <w:tcW w:w="1352" w:type="dxa"/>
            <w:tcBorders>
              <w:top w:val="nil"/>
              <w:left w:val="nil"/>
              <w:bottom w:val="nil"/>
              <w:right w:val="nil"/>
            </w:tcBorders>
            <w:shd w:val="clear" w:color="000000" w:fill="FFFFFF"/>
            <w:noWrap/>
            <w:vAlign w:val="bottom"/>
            <w:hideMark/>
          </w:tcPr>
          <w:p w14:paraId="7501744A"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18.2</w:t>
            </w:r>
          </w:p>
        </w:tc>
        <w:tc>
          <w:tcPr>
            <w:tcW w:w="1073" w:type="dxa"/>
            <w:tcBorders>
              <w:top w:val="nil"/>
              <w:left w:val="nil"/>
              <w:bottom w:val="nil"/>
              <w:right w:val="nil"/>
            </w:tcBorders>
            <w:shd w:val="clear" w:color="000000" w:fill="FFFFFF"/>
            <w:noWrap/>
            <w:vAlign w:val="bottom"/>
            <w:hideMark/>
          </w:tcPr>
          <w:p w14:paraId="53D74427"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27.1</w:t>
            </w:r>
          </w:p>
        </w:tc>
      </w:tr>
      <w:tr w:rsidR="003A69B7" w:rsidRPr="003A69B7" w14:paraId="20135C3E" w14:textId="77777777" w:rsidTr="003A69B7">
        <w:trPr>
          <w:trHeight w:val="336"/>
        </w:trPr>
        <w:tc>
          <w:tcPr>
            <w:tcW w:w="2609" w:type="dxa"/>
            <w:tcBorders>
              <w:top w:val="nil"/>
              <w:left w:val="nil"/>
              <w:bottom w:val="nil"/>
              <w:right w:val="nil"/>
            </w:tcBorders>
            <w:shd w:val="clear" w:color="000000" w:fill="FFFFFF"/>
            <w:noWrap/>
            <w:vAlign w:val="bottom"/>
            <w:hideMark/>
          </w:tcPr>
          <w:p w14:paraId="33233BEB" w14:textId="4052E73F" w:rsidR="003A69B7" w:rsidRPr="003A69B7" w:rsidRDefault="003A69B7" w:rsidP="003A69B7">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Information and Communication</w:t>
            </w:r>
          </w:p>
        </w:tc>
        <w:tc>
          <w:tcPr>
            <w:tcW w:w="1352" w:type="dxa"/>
            <w:tcBorders>
              <w:top w:val="nil"/>
              <w:left w:val="nil"/>
              <w:bottom w:val="nil"/>
              <w:right w:val="nil"/>
            </w:tcBorders>
            <w:shd w:val="clear" w:color="000000" w:fill="FFFFFF"/>
            <w:noWrap/>
            <w:vAlign w:val="bottom"/>
            <w:hideMark/>
          </w:tcPr>
          <w:p w14:paraId="69BE7B90"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13.0</w:t>
            </w:r>
          </w:p>
        </w:tc>
        <w:tc>
          <w:tcPr>
            <w:tcW w:w="1073" w:type="dxa"/>
            <w:tcBorders>
              <w:top w:val="nil"/>
              <w:left w:val="nil"/>
              <w:bottom w:val="nil"/>
              <w:right w:val="nil"/>
            </w:tcBorders>
            <w:shd w:val="clear" w:color="000000" w:fill="FFFFFF"/>
            <w:noWrap/>
            <w:vAlign w:val="bottom"/>
            <w:hideMark/>
          </w:tcPr>
          <w:p w14:paraId="4B97314F"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8.6</w:t>
            </w:r>
          </w:p>
        </w:tc>
        <w:tc>
          <w:tcPr>
            <w:tcW w:w="1352" w:type="dxa"/>
            <w:tcBorders>
              <w:top w:val="nil"/>
              <w:left w:val="nil"/>
              <w:bottom w:val="nil"/>
              <w:right w:val="nil"/>
            </w:tcBorders>
            <w:shd w:val="clear" w:color="000000" w:fill="FFFFFF"/>
            <w:noWrap/>
            <w:vAlign w:val="bottom"/>
            <w:hideMark/>
          </w:tcPr>
          <w:p w14:paraId="024B700E"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27.7</w:t>
            </w:r>
          </w:p>
        </w:tc>
        <w:tc>
          <w:tcPr>
            <w:tcW w:w="1073" w:type="dxa"/>
            <w:tcBorders>
              <w:top w:val="nil"/>
              <w:left w:val="nil"/>
              <w:bottom w:val="nil"/>
              <w:right w:val="nil"/>
            </w:tcBorders>
            <w:shd w:val="clear" w:color="000000" w:fill="FFFFFF"/>
            <w:noWrap/>
            <w:vAlign w:val="bottom"/>
            <w:hideMark/>
          </w:tcPr>
          <w:p w14:paraId="23168016"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7.8</w:t>
            </w:r>
          </w:p>
        </w:tc>
        <w:tc>
          <w:tcPr>
            <w:tcW w:w="1352" w:type="dxa"/>
            <w:tcBorders>
              <w:top w:val="nil"/>
              <w:left w:val="nil"/>
              <w:bottom w:val="nil"/>
              <w:right w:val="nil"/>
            </w:tcBorders>
            <w:shd w:val="clear" w:color="000000" w:fill="FFFFFF"/>
            <w:noWrap/>
            <w:vAlign w:val="bottom"/>
            <w:hideMark/>
          </w:tcPr>
          <w:p w14:paraId="313C8BE9"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5.9</w:t>
            </w:r>
          </w:p>
        </w:tc>
        <w:tc>
          <w:tcPr>
            <w:tcW w:w="1073" w:type="dxa"/>
            <w:tcBorders>
              <w:top w:val="nil"/>
              <w:left w:val="nil"/>
              <w:bottom w:val="nil"/>
              <w:right w:val="nil"/>
            </w:tcBorders>
            <w:shd w:val="clear" w:color="000000" w:fill="FFFFFF"/>
            <w:noWrap/>
            <w:vAlign w:val="bottom"/>
            <w:hideMark/>
          </w:tcPr>
          <w:p w14:paraId="7AD031CC"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7.0</w:t>
            </w:r>
          </w:p>
        </w:tc>
      </w:tr>
      <w:tr w:rsidR="003A69B7" w:rsidRPr="003A69B7" w14:paraId="74B3C1DE" w14:textId="77777777" w:rsidTr="003A69B7">
        <w:trPr>
          <w:trHeight w:val="336"/>
        </w:trPr>
        <w:tc>
          <w:tcPr>
            <w:tcW w:w="2609" w:type="dxa"/>
            <w:tcBorders>
              <w:top w:val="nil"/>
              <w:left w:val="nil"/>
              <w:bottom w:val="nil"/>
              <w:right w:val="nil"/>
            </w:tcBorders>
            <w:shd w:val="clear" w:color="000000" w:fill="FFFFFF"/>
            <w:noWrap/>
            <w:vAlign w:val="bottom"/>
            <w:hideMark/>
          </w:tcPr>
          <w:p w14:paraId="21C67730" w14:textId="50390E3B" w:rsidR="003A69B7" w:rsidRPr="003A69B7" w:rsidRDefault="003A69B7" w:rsidP="003A69B7">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Financial and Insurance</w:t>
            </w:r>
          </w:p>
        </w:tc>
        <w:tc>
          <w:tcPr>
            <w:tcW w:w="1352" w:type="dxa"/>
            <w:tcBorders>
              <w:top w:val="nil"/>
              <w:left w:val="nil"/>
              <w:bottom w:val="nil"/>
              <w:right w:val="nil"/>
            </w:tcBorders>
            <w:shd w:val="clear" w:color="000000" w:fill="FFFFFF"/>
            <w:noWrap/>
            <w:vAlign w:val="bottom"/>
            <w:hideMark/>
          </w:tcPr>
          <w:p w14:paraId="55D73CE9"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7.6</w:t>
            </w:r>
          </w:p>
        </w:tc>
        <w:tc>
          <w:tcPr>
            <w:tcW w:w="1073" w:type="dxa"/>
            <w:tcBorders>
              <w:top w:val="nil"/>
              <w:left w:val="nil"/>
              <w:bottom w:val="nil"/>
              <w:right w:val="nil"/>
            </w:tcBorders>
            <w:shd w:val="clear" w:color="000000" w:fill="FFFFFF"/>
            <w:noWrap/>
            <w:vAlign w:val="bottom"/>
            <w:hideMark/>
          </w:tcPr>
          <w:p w14:paraId="3D4893A2"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2.2</w:t>
            </w:r>
          </w:p>
        </w:tc>
        <w:tc>
          <w:tcPr>
            <w:tcW w:w="1352" w:type="dxa"/>
            <w:tcBorders>
              <w:top w:val="nil"/>
              <w:left w:val="nil"/>
              <w:bottom w:val="nil"/>
              <w:right w:val="nil"/>
            </w:tcBorders>
            <w:shd w:val="clear" w:color="000000" w:fill="FFFFFF"/>
            <w:noWrap/>
            <w:vAlign w:val="bottom"/>
            <w:hideMark/>
          </w:tcPr>
          <w:p w14:paraId="2454714A"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17.3</w:t>
            </w:r>
          </w:p>
        </w:tc>
        <w:tc>
          <w:tcPr>
            <w:tcW w:w="1073" w:type="dxa"/>
            <w:tcBorders>
              <w:top w:val="nil"/>
              <w:left w:val="nil"/>
              <w:bottom w:val="nil"/>
              <w:right w:val="nil"/>
            </w:tcBorders>
            <w:shd w:val="clear" w:color="000000" w:fill="FFFFFF"/>
            <w:noWrap/>
            <w:vAlign w:val="bottom"/>
            <w:hideMark/>
          </w:tcPr>
          <w:p w14:paraId="568AE9A4"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2.6</w:t>
            </w:r>
          </w:p>
        </w:tc>
        <w:tc>
          <w:tcPr>
            <w:tcW w:w="1352" w:type="dxa"/>
            <w:tcBorders>
              <w:top w:val="nil"/>
              <w:left w:val="nil"/>
              <w:bottom w:val="nil"/>
              <w:right w:val="nil"/>
            </w:tcBorders>
            <w:shd w:val="clear" w:color="000000" w:fill="FFFFFF"/>
            <w:noWrap/>
            <w:vAlign w:val="bottom"/>
            <w:hideMark/>
          </w:tcPr>
          <w:p w14:paraId="2A32168A"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1.9</w:t>
            </w:r>
          </w:p>
        </w:tc>
        <w:tc>
          <w:tcPr>
            <w:tcW w:w="1073" w:type="dxa"/>
            <w:tcBorders>
              <w:top w:val="nil"/>
              <w:left w:val="nil"/>
              <w:bottom w:val="nil"/>
              <w:right w:val="nil"/>
            </w:tcBorders>
            <w:shd w:val="clear" w:color="000000" w:fill="FFFFFF"/>
            <w:noWrap/>
            <w:vAlign w:val="bottom"/>
            <w:hideMark/>
          </w:tcPr>
          <w:p w14:paraId="5E977D6E"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1.9</w:t>
            </w:r>
          </w:p>
        </w:tc>
      </w:tr>
      <w:tr w:rsidR="003A69B7" w:rsidRPr="003A69B7" w14:paraId="0999996C" w14:textId="77777777" w:rsidTr="003A69B7">
        <w:trPr>
          <w:trHeight w:val="336"/>
        </w:trPr>
        <w:tc>
          <w:tcPr>
            <w:tcW w:w="2609" w:type="dxa"/>
            <w:tcBorders>
              <w:top w:val="nil"/>
              <w:left w:val="nil"/>
              <w:bottom w:val="nil"/>
              <w:right w:val="nil"/>
            </w:tcBorders>
            <w:shd w:val="clear" w:color="000000" w:fill="FFFFFF"/>
            <w:noWrap/>
            <w:vAlign w:val="bottom"/>
            <w:hideMark/>
          </w:tcPr>
          <w:p w14:paraId="2F216AD8" w14:textId="3C294E85" w:rsidR="003A69B7" w:rsidRPr="003A69B7" w:rsidRDefault="003A69B7" w:rsidP="003A69B7">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Real Estate</w:t>
            </w:r>
          </w:p>
        </w:tc>
        <w:tc>
          <w:tcPr>
            <w:tcW w:w="1352" w:type="dxa"/>
            <w:tcBorders>
              <w:top w:val="nil"/>
              <w:left w:val="nil"/>
              <w:bottom w:val="nil"/>
              <w:right w:val="nil"/>
            </w:tcBorders>
            <w:shd w:val="clear" w:color="000000" w:fill="FFFFFF"/>
            <w:noWrap/>
            <w:vAlign w:val="bottom"/>
            <w:hideMark/>
          </w:tcPr>
          <w:p w14:paraId="300CAA6D"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38.3</w:t>
            </w:r>
          </w:p>
        </w:tc>
        <w:tc>
          <w:tcPr>
            <w:tcW w:w="1073" w:type="dxa"/>
            <w:tcBorders>
              <w:top w:val="nil"/>
              <w:left w:val="nil"/>
              <w:bottom w:val="nil"/>
              <w:right w:val="nil"/>
            </w:tcBorders>
            <w:shd w:val="clear" w:color="000000" w:fill="FFFFFF"/>
            <w:noWrap/>
            <w:vAlign w:val="bottom"/>
            <w:hideMark/>
          </w:tcPr>
          <w:p w14:paraId="70F2D5C9"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20.5</w:t>
            </w:r>
          </w:p>
        </w:tc>
        <w:tc>
          <w:tcPr>
            <w:tcW w:w="1352" w:type="dxa"/>
            <w:tcBorders>
              <w:top w:val="nil"/>
              <w:left w:val="nil"/>
              <w:bottom w:val="nil"/>
              <w:right w:val="nil"/>
            </w:tcBorders>
            <w:shd w:val="clear" w:color="000000" w:fill="FFFFFF"/>
            <w:noWrap/>
            <w:vAlign w:val="bottom"/>
            <w:hideMark/>
          </w:tcPr>
          <w:p w14:paraId="2F007715"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65.6</w:t>
            </w:r>
          </w:p>
        </w:tc>
        <w:tc>
          <w:tcPr>
            <w:tcW w:w="1073" w:type="dxa"/>
            <w:tcBorders>
              <w:top w:val="nil"/>
              <w:left w:val="nil"/>
              <w:bottom w:val="nil"/>
              <w:right w:val="nil"/>
            </w:tcBorders>
            <w:shd w:val="clear" w:color="000000" w:fill="FFFFFF"/>
            <w:noWrap/>
            <w:vAlign w:val="bottom"/>
            <w:hideMark/>
          </w:tcPr>
          <w:p w14:paraId="3FE52C3B"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16.6</w:t>
            </w:r>
          </w:p>
        </w:tc>
        <w:tc>
          <w:tcPr>
            <w:tcW w:w="1352" w:type="dxa"/>
            <w:tcBorders>
              <w:top w:val="nil"/>
              <w:left w:val="nil"/>
              <w:bottom w:val="nil"/>
              <w:right w:val="nil"/>
            </w:tcBorders>
            <w:shd w:val="clear" w:color="000000" w:fill="FFFFFF"/>
            <w:noWrap/>
            <w:vAlign w:val="bottom"/>
            <w:hideMark/>
          </w:tcPr>
          <w:p w14:paraId="55DEB7D6"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14.5</w:t>
            </w:r>
          </w:p>
        </w:tc>
        <w:tc>
          <w:tcPr>
            <w:tcW w:w="1073" w:type="dxa"/>
            <w:tcBorders>
              <w:top w:val="nil"/>
              <w:left w:val="nil"/>
              <w:bottom w:val="nil"/>
              <w:right w:val="nil"/>
            </w:tcBorders>
            <w:shd w:val="clear" w:color="000000" w:fill="FFFFFF"/>
            <w:noWrap/>
            <w:vAlign w:val="bottom"/>
            <w:hideMark/>
          </w:tcPr>
          <w:p w14:paraId="5C3F75DD"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18.0</w:t>
            </w:r>
          </w:p>
        </w:tc>
      </w:tr>
      <w:tr w:rsidR="003A69B7" w:rsidRPr="003A69B7" w14:paraId="7649D47C" w14:textId="77777777" w:rsidTr="003A69B7">
        <w:trPr>
          <w:trHeight w:val="336"/>
        </w:trPr>
        <w:tc>
          <w:tcPr>
            <w:tcW w:w="2609" w:type="dxa"/>
            <w:tcBorders>
              <w:top w:val="nil"/>
              <w:left w:val="nil"/>
              <w:bottom w:val="nil"/>
              <w:right w:val="nil"/>
            </w:tcBorders>
            <w:shd w:val="clear" w:color="000000" w:fill="FFFFFF"/>
            <w:noWrap/>
            <w:vAlign w:val="bottom"/>
            <w:hideMark/>
          </w:tcPr>
          <w:p w14:paraId="649F7A8E" w14:textId="3F76644D" w:rsidR="003A69B7" w:rsidRPr="003A69B7" w:rsidRDefault="003A69B7" w:rsidP="003A69B7">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Professional, Scientific and Technical</w:t>
            </w:r>
          </w:p>
        </w:tc>
        <w:tc>
          <w:tcPr>
            <w:tcW w:w="1352" w:type="dxa"/>
            <w:tcBorders>
              <w:top w:val="nil"/>
              <w:left w:val="nil"/>
              <w:bottom w:val="nil"/>
              <w:right w:val="nil"/>
            </w:tcBorders>
            <w:shd w:val="clear" w:color="000000" w:fill="FFFFFF"/>
            <w:noWrap/>
            <w:vAlign w:val="bottom"/>
            <w:hideMark/>
          </w:tcPr>
          <w:p w14:paraId="552D8DE0"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20.1</w:t>
            </w:r>
          </w:p>
        </w:tc>
        <w:tc>
          <w:tcPr>
            <w:tcW w:w="1073" w:type="dxa"/>
            <w:tcBorders>
              <w:top w:val="nil"/>
              <w:left w:val="nil"/>
              <w:bottom w:val="nil"/>
              <w:right w:val="nil"/>
            </w:tcBorders>
            <w:shd w:val="clear" w:color="000000" w:fill="FFFFFF"/>
            <w:noWrap/>
            <w:vAlign w:val="bottom"/>
            <w:hideMark/>
          </w:tcPr>
          <w:p w14:paraId="4FA8A09E"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9.4</w:t>
            </w:r>
          </w:p>
        </w:tc>
        <w:tc>
          <w:tcPr>
            <w:tcW w:w="1352" w:type="dxa"/>
            <w:tcBorders>
              <w:top w:val="nil"/>
              <w:left w:val="nil"/>
              <w:bottom w:val="nil"/>
              <w:right w:val="nil"/>
            </w:tcBorders>
            <w:shd w:val="clear" w:color="000000" w:fill="FFFFFF"/>
            <w:noWrap/>
            <w:vAlign w:val="bottom"/>
            <w:hideMark/>
          </w:tcPr>
          <w:p w14:paraId="1326A9DD"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30.9</w:t>
            </w:r>
          </w:p>
        </w:tc>
        <w:tc>
          <w:tcPr>
            <w:tcW w:w="1073" w:type="dxa"/>
            <w:tcBorders>
              <w:top w:val="nil"/>
              <w:left w:val="nil"/>
              <w:bottom w:val="nil"/>
              <w:right w:val="nil"/>
            </w:tcBorders>
            <w:shd w:val="clear" w:color="000000" w:fill="FFFFFF"/>
            <w:noWrap/>
            <w:vAlign w:val="bottom"/>
            <w:hideMark/>
          </w:tcPr>
          <w:p w14:paraId="4D4F3C4E"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7.6</w:t>
            </w:r>
          </w:p>
        </w:tc>
        <w:tc>
          <w:tcPr>
            <w:tcW w:w="1352" w:type="dxa"/>
            <w:tcBorders>
              <w:top w:val="nil"/>
              <w:left w:val="nil"/>
              <w:bottom w:val="nil"/>
              <w:right w:val="nil"/>
            </w:tcBorders>
            <w:shd w:val="clear" w:color="000000" w:fill="FFFFFF"/>
            <w:noWrap/>
            <w:vAlign w:val="bottom"/>
            <w:hideMark/>
          </w:tcPr>
          <w:p w14:paraId="73C95EF0"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6.3</w:t>
            </w:r>
          </w:p>
        </w:tc>
        <w:tc>
          <w:tcPr>
            <w:tcW w:w="1073" w:type="dxa"/>
            <w:tcBorders>
              <w:top w:val="nil"/>
              <w:left w:val="nil"/>
              <w:bottom w:val="nil"/>
              <w:right w:val="nil"/>
            </w:tcBorders>
            <w:shd w:val="clear" w:color="000000" w:fill="FFFFFF"/>
            <w:noWrap/>
            <w:vAlign w:val="bottom"/>
            <w:hideMark/>
          </w:tcPr>
          <w:p w14:paraId="0F4C1EE4"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6.5</w:t>
            </w:r>
          </w:p>
        </w:tc>
      </w:tr>
      <w:tr w:rsidR="003A69B7" w:rsidRPr="003A69B7" w14:paraId="45BA6E1E" w14:textId="77777777" w:rsidTr="003A69B7">
        <w:trPr>
          <w:trHeight w:val="336"/>
        </w:trPr>
        <w:tc>
          <w:tcPr>
            <w:tcW w:w="2609" w:type="dxa"/>
            <w:tcBorders>
              <w:top w:val="nil"/>
              <w:left w:val="nil"/>
              <w:bottom w:val="nil"/>
              <w:right w:val="nil"/>
            </w:tcBorders>
            <w:shd w:val="clear" w:color="000000" w:fill="FFFFFF"/>
            <w:noWrap/>
            <w:vAlign w:val="bottom"/>
            <w:hideMark/>
          </w:tcPr>
          <w:p w14:paraId="09699A14" w14:textId="67C4EC47" w:rsidR="003A69B7" w:rsidRPr="003A69B7" w:rsidRDefault="003A69B7" w:rsidP="003A69B7">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Administrative and Support Services Activities</w:t>
            </w:r>
          </w:p>
        </w:tc>
        <w:tc>
          <w:tcPr>
            <w:tcW w:w="1352" w:type="dxa"/>
            <w:tcBorders>
              <w:top w:val="nil"/>
              <w:left w:val="nil"/>
              <w:bottom w:val="nil"/>
              <w:right w:val="nil"/>
            </w:tcBorders>
            <w:shd w:val="clear" w:color="000000" w:fill="FFFFFF"/>
            <w:noWrap/>
            <w:vAlign w:val="bottom"/>
            <w:hideMark/>
          </w:tcPr>
          <w:p w14:paraId="33489CA6"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36.7</w:t>
            </w:r>
          </w:p>
        </w:tc>
        <w:tc>
          <w:tcPr>
            <w:tcW w:w="1073" w:type="dxa"/>
            <w:tcBorders>
              <w:top w:val="nil"/>
              <w:left w:val="nil"/>
              <w:bottom w:val="nil"/>
              <w:right w:val="nil"/>
            </w:tcBorders>
            <w:shd w:val="clear" w:color="000000" w:fill="FFFFFF"/>
            <w:noWrap/>
            <w:vAlign w:val="bottom"/>
            <w:hideMark/>
          </w:tcPr>
          <w:p w14:paraId="03AE6CAB"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7.0</w:t>
            </w:r>
          </w:p>
        </w:tc>
        <w:tc>
          <w:tcPr>
            <w:tcW w:w="1352" w:type="dxa"/>
            <w:tcBorders>
              <w:top w:val="nil"/>
              <w:left w:val="nil"/>
              <w:bottom w:val="nil"/>
              <w:right w:val="nil"/>
            </w:tcBorders>
            <w:shd w:val="clear" w:color="000000" w:fill="FFFFFF"/>
            <w:noWrap/>
            <w:vAlign w:val="bottom"/>
            <w:hideMark/>
          </w:tcPr>
          <w:p w14:paraId="558B7FDC"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60.4</w:t>
            </w:r>
          </w:p>
        </w:tc>
        <w:tc>
          <w:tcPr>
            <w:tcW w:w="1073" w:type="dxa"/>
            <w:tcBorders>
              <w:top w:val="nil"/>
              <w:left w:val="nil"/>
              <w:bottom w:val="nil"/>
              <w:right w:val="nil"/>
            </w:tcBorders>
            <w:shd w:val="clear" w:color="000000" w:fill="FFFFFF"/>
            <w:noWrap/>
            <w:vAlign w:val="bottom"/>
            <w:hideMark/>
          </w:tcPr>
          <w:p w14:paraId="63B50D69"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6.4</w:t>
            </w:r>
          </w:p>
        </w:tc>
        <w:tc>
          <w:tcPr>
            <w:tcW w:w="1352" w:type="dxa"/>
            <w:tcBorders>
              <w:top w:val="nil"/>
              <w:left w:val="nil"/>
              <w:bottom w:val="nil"/>
              <w:right w:val="nil"/>
            </w:tcBorders>
            <w:shd w:val="clear" w:color="000000" w:fill="FFFFFF"/>
            <w:noWrap/>
            <w:vAlign w:val="bottom"/>
            <w:hideMark/>
          </w:tcPr>
          <w:p w14:paraId="33D063F7"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6.4</w:t>
            </w:r>
          </w:p>
        </w:tc>
        <w:tc>
          <w:tcPr>
            <w:tcW w:w="1073" w:type="dxa"/>
            <w:tcBorders>
              <w:top w:val="nil"/>
              <w:left w:val="nil"/>
              <w:bottom w:val="nil"/>
              <w:right w:val="nil"/>
            </w:tcBorders>
            <w:shd w:val="clear" w:color="000000" w:fill="FFFFFF"/>
            <w:noWrap/>
            <w:vAlign w:val="bottom"/>
            <w:hideMark/>
          </w:tcPr>
          <w:p w14:paraId="5C97C702"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4.9</w:t>
            </w:r>
          </w:p>
        </w:tc>
      </w:tr>
      <w:tr w:rsidR="003A69B7" w:rsidRPr="003A69B7" w14:paraId="2BA4C070" w14:textId="77777777" w:rsidTr="003A69B7">
        <w:trPr>
          <w:trHeight w:val="336"/>
        </w:trPr>
        <w:tc>
          <w:tcPr>
            <w:tcW w:w="2609" w:type="dxa"/>
            <w:tcBorders>
              <w:top w:val="nil"/>
              <w:left w:val="nil"/>
              <w:bottom w:val="nil"/>
              <w:right w:val="nil"/>
            </w:tcBorders>
            <w:shd w:val="clear" w:color="000000" w:fill="FFFFFF"/>
            <w:noWrap/>
            <w:vAlign w:val="bottom"/>
            <w:hideMark/>
          </w:tcPr>
          <w:p w14:paraId="1C1F5F4D" w14:textId="62C0C33B" w:rsidR="003A69B7" w:rsidRPr="003A69B7" w:rsidRDefault="003A69B7" w:rsidP="003A69B7">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Public Administration and Defence</w:t>
            </w:r>
          </w:p>
        </w:tc>
        <w:tc>
          <w:tcPr>
            <w:tcW w:w="1352" w:type="dxa"/>
            <w:tcBorders>
              <w:top w:val="nil"/>
              <w:left w:val="nil"/>
              <w:bottom w:val="nil"/>
              <w:right w:val="nil"/>
            </w:tcBorders>
            <w:shd w:val="clear" w:color="000000" w:fill="FFFFFF"/>
            <w:noWrap/>
            <w:vAlign w:val="bottom"/>
            <w:hideMark/>
          </w:tcPr>
          <w:p w14:paraId="7A97BDBF"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6.5</w:t>
            </w:r>
          </w:p>
        </w:tc>
        <w:tc>
          <w:tcPr>
            <w:tcW w:w="1073" w:type="dxa"/>
            <w:tcBorders>
              <w:top w:val="nil"/>
              <w:left w:val="nil"/>
              <w:bottom w:val="nil"/>
              <w:right w:val="nil"/>
            </w:tcBorders>
            <w:shd w:val="clear" w:color="000000" w:fill="FFFFFF"/>
            <w:noWrap/>
            <w:vAlign w:val="bottom"/>
            <w:hideMark/>
          </w:tcPr>
          <w:p w14:paraId="2A57521B"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4.1</w:t>
            </w:r>
          </w:p>
        </w:tc>
        <w:tc>
          <w:tcPr>
            <w:tcW w:w="1352" w:type="dxa"/>
            <w:tcBorders>
              <w:top w:val="nil"/>
              <w:left w:val="nil"/>
              <w:bottom w:val="nil"/>
              <w:right w:val="nil"/>
            </w:tcBorders>
            <w:shd w:val="clear" w:color="000000" w:fill="FFFFFF"/>
            <w:noWrap/>
            <w:vAlign w:val="bottom"/>
            <w:hideMark/>
          </w:tcPr>
          <w:p w14:paraId="72F5AA40"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9.6</w:t>
            </w:r>
          </w:p>
        </w:tc>
        <w:tc>
          <w:tcPr>
            <w:tcW w:w="1073" w:type="dxa"/>
            <w:tcBorders>
              <w:top w:val="nil"/>
              <w:left w:val="nil"/>
              <w:bottom w:val="nil"/>
              <w:right w:val="nil"/>
            </w:tcBorders>
            <w:shd w:val="clear" w:color="000000" w:fill="FFFFFF"/>
            <w:noWrap/>
            <w:vAlign w:val="bottom"/>
            <w:hideMark/>
          </w:tcPr>
          <w:p w14:paraId="55914E49"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4.0</w:t>
            </w:r>
          </w:p>
        </w:tc>
        <w:tc>
          <w:tcPr>
            <w:tcW w:w="1352" w:type="dxa"/>
            <w:tcBorders>
              <w:top w:val="nil"/>
              <w:left w:val="nil"/>
              <w:bottom w:val="nil"/>
              <w:right w:val="nil"/>
            </w:tcBorders>
            <w:shd w:val="clear" w:color="000000" w:fill="FFFFFF"/>
            <w:noWrap/>
            <w:vAlign w:val="bottom"/>
            <w:hideMark/>
          </w:tcPr>
          <w:p w14:paraId="42753C3B"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2.2</w:t>
            </w:r>
          </w:p>
        </w:tc>
        <w:tc>
          <w:tcPr>
            <w:tcW w:w="1073" w:type="dxa"/>
            <w:tcBorders>
              <w:top w:val="nil"/>
              <w:left w:val="nil"/>
              <w:bottom w:val="nil"/>
              <w:right w:val="nil"/>
            </w:tcBorders>
            <w:shd w:val="clear" w:color="000000" w:fill="FFFFFF"/>
            <w:noWrap/>
            <w:vAlign w:val="bottom"/>
            <w:hideMark/>
          </w:tcPr>
          <w:p w14:paraId="26948AFD"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3.9</w:t>
            </w:r>
          </w:p>
        </w:tc>
      </w:tr>
      <w:tr w:rsidR="003A69B7" w:rsidRPr="003A69B7" w14:paraId="4E35F98A" w14:textId="77777777" w:rsidTr="003A69B7">
        <w:trPr>
          <w:trHeight w:val="336"/>
        </w:trPr>
        <w:tc>
          <w:tcPr>
            <w:tcW w:w="2609" w:type="dxa"/>
            <w:tcBorders>
              <w:top w:val="nil"/>
              <w:left w:val="nil"/>
              <w:bottom w:val="nil"/>
              <w:right w:val="nil"/>
            </w:tcBorders>
            <w:shd w:val="clear" w:color="000000" w:fill="FFFFFF"/>
            <w:noWrap/>
            <w:vAlign w:val="bottom"/>
            <w:hideMark/>
          </w:tcPr>
          <w:p w14:paraId="6A7748D3" w14:textId="05825E13" w:rsidR="003A69B7" w:rsidRPr="003A69B7" w:rsidRDefault="003A69B7" w:rsidP="003A69B7">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Education</w:t>
            </w:r>
          </w:p>
        </w:tc>
        <w:tc>
          <w:tcPr>
            <w:tcW w:w="1352" w:type="dxa"/>
            <w:tcBorders>
              <w:top w:val="nil"/>
              <w:left w:val="nil"/>
              <w:bottom w:val="nil"/>
              <w:right w:val="nil"/>
            </w:tcBorders>
            <w:shd w:val="clear" w:color="000000" w:fill="FFFFFF"/>
            <w:noWrap/>
            <w:vAlign w:val="bottom"/>
            <w:hideMark/>
          </w:tcPr>
          <w:p w14:paraId="7D31B312"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11.9</w:t>
            </w:r>
          </w:p>
        </w:tc>
        <w:tc>
          <w:tcPr>
            <w:tcW w:w="1073" w:type="dxa"/>
            <w:tcBorders>
              <w:top w:val="nil"/>
              <w:left w:val="nil"/>
              <w:bottom w:val="nil"/>
              <w:right w:val="nil"/>
            </w:tcBorders>
            <w:shd w:val="clear" w:color="000000" w:fill="FFFFFF"/>
            <w:noWrap/>
            <w:vAlign w:val="bottom"/>
            <w:hideMark/>
          </w:tcPr>
          <w:p w14:paraId="76AFB35F"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2.8</w:t>
            </w:r>
          </w:p>
        </w:tc>
        <w:tc>
          <w:tcPr>
            <w:tcW w:w="1352" w:type="dxa"/>
            <w:tcBorders>
              <w:top w:val="nil"/>
              <w:left w:val="nil"/>
              <w:bottom w:val="nil"/>
              <w:right w:val="nil"/>
            </w:tcBorders>
            <w:shd w:val="clear" w:color="000000" w:fill="FFFFFF"/>
            <w:noWrap/>
            <w:vAlign w:val="bottom"/>
            <w:hideMark/>
          </w:tcPr>
          <w:p w14:paraId="4D812AD6"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18.3</w:t>
            </w:r>
          </w:p>
        </w:tc>
        <w:tc>
          <w:tcPr>
            <w:tcW w:w="1073" w:type="dxa"/>
            <w:tcBorders>
              <w:top w:val="nil"/>
              <w:left w:val="nil"/>
              <w:bottom w:val="nil"/>
              <w:right w:val="nil"/>
            </w:tcBorders>
            <w:shd w:val="clear" w:color="000000" w:fill="FFFFFF"/>
            <w:noWrap/>
            <w:vAlign w:val="bottom"/>
            <w:hideMark/>
          </w:tcPr>
          <w:p w14:paraId="6F554029"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2.6</w:t>
            </w:r>
          </w:p>
        </w:tc>
        <w:tc>
          <w:tcPr>
            <w:tcW w:w="1352" w:type="dxa"/>
            <w:tcBorders>
              <w:top w:val="nil"/>
              <w:left w:val="nil"/>
              <w:bottom w:val="nil"/>
              <w:right w:val="nil"/>
            </w:tcBorders>
            <w:shd w:val="clear" w:color="000000" w:fill="FFFFFF"/>
            <w:noWrap/>
            <w:vAlign w:val="bottom"/>
            <w:hideMark/>
          </w:tcPr>
          <w:p w14:paraId="348B5EBB"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4.9</w:t>
            </w:r>
          </w:p>
        </w:tc>
        <w:tc>
          <w:tcPr>
            <w:tcW w:w="1073" w:type="dxa"/>
            <w:tcBorders>
              <w:top w:val="nil"/>
              <w:left w:val="nil"/>
              <w:bottom w:val="nil"/>
              <w:right w:val="nil"/>
            </w:tcBorders>
            <w:shd w:val="clear" w:color="000000" w:fill="FFFFFF"/>
            <w:noWrap/>
            <w:vAlign w:val="bottom"/>
            <w:hideMark/>
          </w:tcPr>
          <w:p w14:paraId="61BDECE5"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3.0</w:t>
            </w:r>
          </w:p>
        </w:tc>
      </w:tr>
      <w:tr w:rsidR="003A69B7" w:rsidRPr="003A69B7" w14:paraId="6E36B017" w14:textId="77777777" w:rsidTr="003A69B7">
        <w:trPr>
          <w:trHeight w:val="336"/>
        </w:trPr>
        <w:tc>
          <w:tcPr>
            <w:tcW w:w="2609" w:type="dxa"/>
            <w:tcBorders>
              <w:top w:val="nil"/>
              <w:left w:val="nil"/>
              <w:bottom w:val="nil"/>
              <w:right w:val="nil"/>
            </w:tcBorders>
            <w:shd w:val="clear" w:color="000000" w:fill="FFFFFF"/>
            <w:noWrap/>
            <w:vAlign w:val="bottom"/>
            <w:hideMark/>
          </w:tcPr>
          <w:p w14:paraId="07B2EFA3" w14:textId="7114BE62" w:rsidR="003A69B7" w:rsidRPr="003A69B7" w:rsidRDefault="003A69B7" w:rsidP="003A69B7">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Human Health</w:t>
            </w:r>
          </w:p>
        </w:tc>
        <w:tc>
          <w:tcPr>
            <w:tcW w:w="1352" w:type="dxa"/>
            <w:tcBorders>
              <w:top w:val="nil"/>
              <w:left w:val="nil"/>
              <w:bottom w:val="nil"/>
              <w:right w:val="nil"/>
            </w:tcBorders>
            <w:shd w:val="clear" w:color="000000" w:fill="FFFFFF"/>
            <w:noWrap/>
            <w:vAlign w:val="bottom"/>
            <w:hideMark/>
          </w:tcPr>
          <w:p w14:paraId="76A00525"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33.9</w:t>
            </w:r>
          </w:p>
        </w:tc>
        <w:tc>
          <w:tcPr>
            <w:tcW w:w="1073" w:type="dxa"/>
            <w:tcBorders>
              <w:top w:val="nil"/>
              <w:left w:val="nil"/>
              <w:bottom w:val="nil"/>
              <w:right w:val="nil"/>
            </w:tcBorders>
            <w:shd w:val="clear" w:color="000000" w:fill="FFFFFF"/>
            <w:noWrap/>
            <w:vAlign w:val="bottom"/>
            <w:hideMark/>
          </w:tcPr>
          <w:p w14:paraId="73F260D6"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24.9</w:t>
            </w:r>
          </w:p>
        </w:tc>
        <w:tc>
          <w:tcPr>
            <w:tcW w:w="1352" w:type="dxa"/>
            <w:tcBorders>
              <w:top w:val="nil"/>
              <w:left w:val="nil"/>
              <w:bottom w:val="nil"/>
              <w:right w:val="nil"/>
            </w:tcBorders>
            <w:shd w:val="clear" w:color="000000" w:fill="FFFFFF"/>
            <w:noWrap/>
            <w:vAlign w:val="bottom"/>
            <w:hideMark/>
          </w:tcPr>
          <w:p w14:paraId="3479F072"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43.4</w:t>
            </w:r>
          </w:p>
        </w:tc>
        <w:tc>
          <w:tcPr>
            <w:tcW w:w="1073" w:type="dxa"/>
            <w:tcBorders>
              <w:top w:val="nil"/>
              <w:left w:val="nil"/>
              <w:bottom w:val="nil"/>
              <w:right w:val="nil"/>
            </w:tcBorders>
            <w:shd w:val="clear" w:color="000000" w:fill="FFFFFF"/>
            <w:noWrap/>
            <w:vAlign w:val="bottom"/>
            <w:hideMark/>
          </w:tcPr>
          <w:p w14:paraId="450A253F"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27.2</w:t>
            </w:r>
          </w:p>
        </w:tc>
        <w:tc>
          <w:tcPr>
            <w:tcW w:w="1352" w:type="dxa"/>
            <w:tcBorders>
              <w:top w:val="nil"/>
              <w:left w:val="nil"/>
              <w:bottom w:val="nil"/>
              <w:right w:val="nil"/>
            </w:tcBorders>
            <w:shd w:val="clear" w:color="000000" w:fill="FFFFFF"/>
            <w:noWrap/>
            <w:vAlign w:val="bottom"/>
            <w:hideMark/>
          </w:tcPr>
          <w:p w14:paraId="3143C7F1"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28.9</w:t>
            </w:r>
          </w:p>
        </w:tc>
        <w:tc>
          <w:tcPr>
            <w:tcW w:w="1073" w:type="dxa"/>
            <w:tcBorders>
              <w:top w:val="nil"/>
              <w:left w:val="nil"/>
              <w:bottom w:val="nil"/>
              <w:right w:val="nil"/>
            </w:tcBorders>
            <w:shd w:val="clear" w:color="000000" w:fill="FFFFFF"/>
            <w:noWrap/>
            <w:vAlign w:val="bottom"/>
            <w:hideMark/>
          </w:tcPr>
          <w:p w14:paraId="105A2B2A"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28.4</w:t>
            </w:r>
          </w:p>
        </w:tc>
      </w:tr>
      <w:tr w:rsidR="003A69B7" w:rsidRPr="003A69B7" w14:paraId="39D34448" w14:textId="77777777" w:rsidTr="003A69B7">
        <w:trPr>
          <w:trHeight w:val="336"/>
        </w:trPr>
        <w:tc>
          <w:tcPr>
            <w:tcW w:w="2609" w:type="dxa"/>
            <w:tcBorders>
              <w:top w:val="nil"/>
              <w:left w:val="nil"/>
              <w:bottom w:val="nil"/>
              <w:right w:val="nil"/>
            </w:tcBorders>
            <w:shd w:val="clear" w:color="000000" w:fill="FFFFFF"/>
            <w:noWrap/>
            <w:vAlign w:val="bottom"/>
            <w:hideMark/>
          </w:tcPr>
          <w:p w14:paraId="430E4749" w14:textId="6CA3A77E" w:rsidR="003A69B7" w:rsidRPr="003A69B7" w:rsidRDefault="003A69B7" w:rsidP="003A69B7">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Arts, entertainment and Recreation</w:t>
            </w:r>
          </w:p>
        </w:tc>
        <w:tc>
          <w:tcPr>
            <w:tcW w:w="1352" w:type="dxa"/>
            <w:tcBorders>
              <w:top w:val="nil"/>
              <w:left w:val="nil"/>
              <w:bottom w:val="nil"/>
              <w:right w:val="nil"/>
            </w:tcBorders>
            <w:shd w:val="clear" w:color="000000" w:fill="FFFFFF"/>
            <w:noWrap/>
            <w:vAlign w:val="bottom"/>
            <w:hideMark/>
          </w:tcPr>
          <w:p w14:paraId="15D188C6"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18.9</w:t>
            </w:r>
          </w:p>
        </w:tc>
        <w:tc>
          <w:tcPr>
            <w:tcW w:w="1073" w:type="dxa"/>
            <w:tcBorders>
              <w:top w:val="nil"/>
              <w:left w:val="nil"/>
              <w:bottom w:val="nil"/>
              <w:right w:val="nil"/>
            </w:tcBorders>
            <w:shd w:val="clear" w:color="000000" w:fill="FFFFFF"/>
            <w:noWrap/>
            <w:vAlign w:val="bottom"/>
            <w:hideMark/>
          </w:tcPr>
          <w:p w14:paraId="2278D1D3"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15.6</w:t>
            </w:r>
          </w:p>
        </w:tc>
        <w:tc>
          <w:tcPr>
            <w:tcW w:w="1352" w:type="dxa"/>
            <w:tcBorders>
              <w:top w:val="nil"/>
              <w:left w:val="nil"/>
              <w:bottom w:val="nil"/>
              <w:right w:val="nil"/>
            </w:tcBorders>
            <w:shd w:val="clear" w:color="000000" w:fill="FFFFFF"/>
            <w:noWrap/>
            <w:vAlign w:val="bottom"/>
            <w:hideMark/>
          </w:tcPr>
          <w:p w14:paraId="1016407B"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27.7</w:t>
            </w:r>
          </w:p>
        </w:tc>
        <w:tc>
          <w:tcPr>
            <w:tcW w:w="1073" w:type="dxa"/>
            <w:tcBorders>
              <w:top w:val="nil"/>
              <w:left w:val="nil"/>
              <w:bottom w:val="nil"/>
              <w:right w:val="nil"/>
            </w:tcBorders>
            <w:shd w:val="clear" w:color="000000" w:fill="FFFFFF"/>
            <w:noWrap/>
            <w:vAlign w:val="bottom"/>
            <w:hideMark/>
          </w:tcPr>
          <w:p w14:paraId="40B46455"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13.8</w:t>
            </w:r>
          </w:p>
        </w:tc>
        <w:tc>
          <w:tcPr>
            <w:tcW w:w="1352" w:type="dxa"/>
            <w:tcBorders>
              <w:top w:val="nil"/>
              <w:left w:val="nil"/>
              <w:bottom w:val="nil"/>
              <w:right w:val="nil"/>
            </w:tcBorders>
            <w:shd w:val="clear" w:color="000000" w:fill="FFFFFF"/>
            <w:noWrap/>
            <w:vAlign w:val="bottom"/>
            <w:hideMark/>
          </w:tcPr>
          <w:p w14:paraId="6379ECD0"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8.2</w:t>
            </w:r>
          </w:p>
        </w:tc>
        <w:tc>
          <w:tcPr>
            <w:tcW w:w="1073" w:type="dxa"/>
            <w:tcBorders>
              <w:top w:val="nil"/>
              <w:left w:val="nil"/>
              <w:bottom w:val="nil"/>
              <w:right w:val="nil"/>
            </w:tcBorders>
            <w:shd w:val="clear" w:color="000000" w:fill="FFFFFF"/>
            <w:noWrap/>
            <w:vAlign w:val="bottom"/>
            <w:hideMark/>
          </w:tcPr>
          <w:p w14:paraId="577EE2E5"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13.2</w:t>
            </w:r>
          </w:p>
        </w:tc>
      </w:tr>
      <w:tr w:rsidR="003A69B7" w:rsidRPr="003A69B7" w14:paraId="48FBA146" w14:textId="77777777" w:rsidTr="003A69B7">
        <w:trPr>
          <w:trHeight w:val="336"/>
        </w:trPr>
        <w:tc>
          <w:tcPr>
            <w:tcW w:w="2609" w:type="dxa"/>
            <w:tcBorders>
              <w:top w:val="nil"/>
              <w:left w:val="nil"/>
              <w:bottom w:val="double" w:sz="6" w:space="0" w:color="auto"/>
              <w:right w:val="nil"/>
            </w:tcBorders>
            <w:shd w:val="clear" w:color="000000" w:fill="FFFFFF"/>
            <w:noWrap/>
            <w:vAlign w:val="bottom"/>
            <w:hideMark/>
          </w:tcPr>
          <w:p w14:paraId="78EF56DE" w14:textId="67C29254" w:rsidR="003A69B7" w:rsidRPr="003A69B7" w:rsidRDefault="003A69B7" w:rsidP="003A69B7">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Other Services</w:t>
            </w:r>
          </w:p>
        </w:tc>
        <w:tc>
          <w:tcPr>
            <w:tcW w:w="1352" w:type="dxa"/>
            <w:tcBorders>
              <w:top w:val="nil"/>
              <w:left w:val="nil"/>
              <w:bottom w:val="double" w:sz="6" w:space="0" w:color="auto"/>
              <w:right w:val="nil"/>
            </w:tcBorders>
            <w:shd w:val="clear" w:color="000000" w:fill="FFFFFF"/>
            <w:noWrap/>
            <w:vAlign w:val="bottom"/>
            <w:hideMark/>
          </w:tcPr>
          <w:p w14:paraId="10E48540"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57.7</w:t>
            </w:r>
          </w:p>
        </w:tc>
        <w:tc>
          <w:tcPr>
            <w:tcW w:w="1073" w:type="dxa"/>
            <w:tcBorders>
              <w:top w:val="nil"/>
              <w:left w:val="nil"/>
              <w:bottom w:val="double" w:sz="6" w:space="0" w:color="auto"/>
              <w:right w:val="nil"/>
            </w:tcBorders>
            <w:shd w:val="clear" w:color="000000" w:fill="FFFFFF"/>
            <w:noWrap/>
            <w:vAlign w:val="bottom"/>
            <w:hideMark/>
          </w:tcPr>
          <w:p w14:paraId="29D8B2CE"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62.0</w:t>
            </w:r>
          </w:p>
        </w:tc>
        <w:tc>
          <w:tcPr>
            <w:tcW w:w="1352" w:type="dxa"/>
            <w:tcBorders>
              <w:top w:val="nil"/>
              <w:left w:val="nil"/>
              <w:bottom w:val="double" w:sz="6" w:space="0" w:color="auto"/>
              <w:right w:val="nil"/>
            </w:tcBorders>
            <w:shd w:val="clear" w:color="000000" w:fill="FFFFFF"/>
            <w:noWrap/>
            <w:vAlign w:val="bottom"/>
            <w:hideMark/>
          </w:tcPr>
          <w:p w14:paraId="79505868"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74.4</w:t>
            </w:r>
          </w:p>
        </w:tc>
        <w:tc>
          <w:tcPr>
            <w:tcW w:w="1073" w:type="dxa"/>
            <w:tcBorders>
              <w:top w:val="nil"/>
              <w:left w:val="nil"/>
              <w:bottom w:val="double" w:sz="6" w:space="0" w:color="auto"/>
              <w:right w:val="nil"/>
            </w:tcBorders>
            <w:shd w:val="clear" w:color="000000" w:fill="FFFFFF"/>
            <w:noWrap/>
            <w:vAlign w:val="bottom"/>
            <w:hideMark/>
          </w:tcPr>
          <w:p w14:paraId="1A5C8A3D"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57.3</w:t>
            </w:r>
          </w:p>
        </w:tc>
        <w:tc>
          <w:tcPr>
            <w:tcW w:w="1352" w:type="dxa"/>
            <w:tcBorders>
              <w:top w:val="nil"/>
              <w:left w:val="nil"/>
              <w:bottom w:val="double" w:sz="6" w:space="0" w:color="auto"/>
              <w:right w:val="nil"/>
            </w:tcBorders>
            <w:shd w:val="clear" w:color="000000" w:fill="FFFFFF"/>
            <w:noWrap/>
            <w:vAlign w:val="bottom"/>
            <w:hideMark/>
          </w:tcPr>
          <w:p w14:paraId="6B3014C2"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45.0</w:t>
            </w:r>
          </w:p>
        </w:tc>
        <w:tc>
          <w:tcPr>
            <w:tcW w:w="1073" w:type="dxa"/>
            <w:tcBorders>
              <w:top w:val="nil"/>
              <w:left w:val="nil"/>
              <w:bottom w:val="double" w:sz="6" w:space="0" w:color="auto"/>
              <w:right w:val="nil"/>
            </w:tcBorders>
            <w:shd w:val="clear" w:color="000000" w:fill="FFFFFF"/>
            <w:noWrap/>
            <w:vAlign w:val="bottom"/>
            <w:hideMark/>
          </w:tcPr>
          <w:p w14:paraId="2E994512" w14:textId="77777777" w:rsidR="003A69B7" w:rsidRPr="003A69B7" w:rsidRDefault="003A69B7" w:rsidP="003A69B7">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55.9</w:t>
            </w:r>
          </w:p>
        </w:tc>
      </w:tr>
      <w:tr w:rsidR="003A69B7" w:rsidRPr="003A69B7" w14:paraId="52164690" w14:textId="77777777" w:rsidTr="003A69B7">
        <w:trPr>
          <w:trHeight w:val="336"/>
        </w:trPr>
        <w:tc>
          <w:tcPr>
            <w:tcW w:w="2609" w:type="dxa"/>
            <w:tcBorders>
              <w:top w:val="nil"/>
              <w:left w:val="nil"/>
              <w:bottom w:val="nil"/>
              <w:right w:val="nil"/>
            </w:tcBorders>
            <w:shd w:val="clear" w:color="auto" w:fill="auto"/>
            <w:noWrap/>
            <w:vAlign w:val="bottom"/>
            <w:hideMark/>
          </w:tcPr>
          <w:p w14:paraId="7866DD2F" w14:textId="1BAC946B" w:rsidR="00064E24" w:rsidRPr="003A69B7" w:rsidRDefault="00064E24" w:rsidP="00064E24">
            <w:pPr>
              <w:suppressAutoHyphens w:val="0"/>
              <w:spacing w:after="0" w:line="240" w:lineRule="auto"/>
              <w:jc w:val="left"/>
              <w:rPr>
                <w:rFonts w:cs="Times New Roman"/>
                <w:sz w:val="20"/>
                <w:szCs w:val="18"/>
                <w:lang w:val="en-GB" w:eastAsia="tr-TR"/>
              </w:rPr>
            </w:pPr>
            <w:r w:rsidRPr="003A69B7">
              <w:rPr>
                <w:rFonts w:cs="Times New Roman"/>
                <w:sz w:val="20"/>
                <w:szCs w:val="18"/>
                <w:lang w:val="en-GB" w:eastAsia="tr-TR"/>
              </w:rPr>
              <w:t>To</w:t>
            </w:r>
            <w:r w:rsidR="003A69B7" w:rsidRPr="003A69B7">
              <w:rPr>
                <w:rFonts w:cs="Times New Roman"/>
                <w:sz w:val="20"/>
                <w:szCs w:val="18"/>
                <w:lang w:val="en-GB" w:eastAsia="tr-TR"/>
              </w:rPr>
              <w:t>tal</w:t>
            </w:r>
          </w:p>
        </w:tc>
        <w:tc>
          <w:tcPr>
            <w:tcW w:w="1352" w:type="dxa"/>
            <w:tcBorders>
              <w:top w:val="nil"/>
              <w:left w:val="nil"/>
              <w:bottom w:val="nil"/>
              <w:right w:val="nil"/>
            </w:tcBorders>
            <w:shd w:val="clear" w:color="auto" w:fill="auto"/>
            <w:noWrap/>
            <w:vAlign w:val="bottom"/>
            <w:hideMark/>
          </w:tcPr>
          <w:p w14:paraId="1D403D5A" w14:textId="77777777" w:rsidR="00064E24" w:rsidRPr="003A69B7" w:rsidRDefault="00064E24" w:rsidP="00064E2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29.4</w:t>
            </w:r>
          </w:p>
        </w:tc>
        <w:tc>
          <w:tcPr>
            <w:tcW w:w="1073" w:type="dxa"/>
            <w:tcBorders>
              <w:top w:val="nil"/>
              <w:left w:val="nil"/>
              <w:bottom w:val="nil"/>
              <w:right w:val="nil"/>
            </w:tcBorders>
            <w:shd w:val="clear" w:color="auto" w:fill="auto"/>
            <w:noWrap/>
            <w:vAlign w:val="bottom"/>
            <w:hideMark/>
          </w:tcPr>
          <w:p w14:paraId="447E611D" w14:textId="77777777" w:rsidR="00064E24" w:rsidRPr="003A69B7" w:rsidRDefault="00064E24" w:rsidP="00064E2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19.6</w:t>
            </w:r>
          </w:p>
        </w:tc>
        <w:tc>
          <w:tcPr>
            <w:tcW w:w="1352" w:type="dxa"/>
            <w:tcBorders>
              <w:top w:val="nil"/>
              <w:left w:val="nil"/>
              <w:bottom w:val="nil"/>
              <w:right w:val="nil"/>
            </w:tcBorders>
            <w:shd w:val="clear" w:color="auto" w:fill="auto"/>
            <w:noWrap/>
            <w:vAlign w:val="bottom"/>
            <w:hideMark/>
          </w:tcPr>
          <w:p w14:paraId="3F6070F3" w14:textId="77777777" w:rsidR="00064E24" w:rsidRPr="003A69B7" w:rsidRDefault="00064E24" w:rsidP="00064E2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45.9</w:t>
            </w:r>
          </w:p>
        </w:tc>
        <w:tc>
          <w:tcPr>
            <w:tcW w:w="1073" w:type="dxa"/>
            <w:tcBorders>
              <w:top w:val="nil"/>
              <w:left w:val="nil"/>
              <w:bottom w:val="nil"/>
              <w:right w:val="nil"/>
            </w:tcBorders>
            <w:shd w:val="clear" w:color="auto" w:fill="auto"/>
            <w:noWrap/>
            <w:vAlign w:val="bottom"/>
            <w:hideMark/>
          </w:tcPr>
          <w:p w14:paraId="71D9E4D4" w14:textId="77777777" w:rsidR="00064E24" w:rsidRPr="003A69B7" w:rsidRDefault="00064E24" w:rsidP="00064E2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18.3</w:t>
            </w:r>
          </w:p>
        </w:tc>
        <w:tc>
          <w:tcPr>
            <w:tcW w:w="1352" w:type="dxa"/>
            <w:tcBorders>
              <w:top w:val="nil"/>
              <w:left w:val="nil"/>
              <w:bottom w:val="nil"/>
              <w:right w:val="nil"/>
            </w:tcBorders>
            <w:shd w:val="clear" w:color="auto" w:fill="auto"/>
            <w:noWrap/>
            <w:vAlign w:val="bottom"/>
            <w:hideMark/>
          </w:tcPr>
          <w:p w14:paraId="4F2C8EF4" w14:textId="77777777" w:rsidR="00064E24" w:rsidRPr="003A69B7" w:rsidRDefault="00064E24" w:rsidP="00064E2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13.2</w:t>
            </w:r>
          </w:p>
        </w:tc>
        <w:tc>
          <w:tcPr>
            <w:tcW w:w="1073" w:type="dxa"/>
            <w:tcBorders>
              <w:top w:val="nil"/>
              <w:left w:val="nil"/>
              <w:bottom w:val="nil"/>
              <w:right w:val="nil"/>
            </w:tcBorders>
            <w:shd w:val="clear" w:color="auto" w:fill="auto"/>
            <w:noWrap/>
            <w:vAlign w:val="bottom"/>
            <w:hideMark/>
          </w:tcPr>
          <w:p w14:paraId="7B74FCE1" w14:textId="77777777" w:rsidR="00064E24" w:rsidRPr="003A69B7" w:rsidRDefault="00064E24" w:rsidP="00064E24">
            <w:pPr>
              <w:suppressAutoHyphens w:val="0"/>
              <w:spacing w:after="0" w:line="240" w:lineRule="auto"/>
              <w:jc w:val="center"/>
              <w:rPr>
                <w:rFonts w:cs="Times New Roman"/>
                <w:sz w:val="20"/>
                <w:szCs w:val="18"/>
                <w:lang w:val="en-GB" w:eastAsia="tr-TR"/>
              </w:rPr>
            </w:pPr>
            <w:r w:rsidRPr="003A69B7">
              <w:rPr>
                <w:rFonts w:cs="Times New Roman"/>
                <w:sz w:val="20"/>
                <w:szCs w:val="18"/>
                <w:lang w:val="en-GB" w:eastAsia="tr-TR"/>
              </w:rPr>
              <w:t>18.2</w:t>
            </w:r>
          </w:p>
        </w:tc>
      </w:tr>
    </w:tbl>
    <w:p w14:paraId="7F9CC0FB" w14:textId="77777777" w:rsidR="00C138D1" w:rsidRPr="007309E2" w:rsidRDefault="00C138D1" w:rsidP="00C138D1">
      <w:pPr>
        <w:pStyle w:val="NoSpacing"/>
        <w:jc w:val="both"/>
        <w:rPr>
          <w:rFonts w:ascii="Palatino Linotype" w:hAnsi="Palatino Linotype"/>
          <w:sz w:val="20"/>
          <w:szCs w:val="20"/>
          <w:lang w:val="en-GB" w:eastAsia="tr-TR"/>
        </w:rPr>
      </w:pPr>
      <w:r w:rsidRPr="00A67B85">
        <w:rPr>
          <w:rFonts w:ascii="Palatino Linotype" w:hAnsi="Palatino Linotype"/>
          <w:b/>
          <w:sz w:val="20"/>
          <w:szCs w:val="20"/>
          <w:lang w:val="en-GB" w:eastAsia="tr-TR"/>
        </w:rPr>
        <w:t>Source</w:t>
      </w:r>
      <w:r w:rsidRPr="00A67B85">
        <w:rPr>
          <w:rFonts w:ascii="Palatino Linotype" w:hAnsi="Palatino Linotype"/>
          <w:sz w:val="20"/>
          <w:szCs w:val="20"/>
          <w:lang w:val="en-GB" w:eastAsia="tr-TR"/>
        </w:rPr>
        <w:t xml:space="preserve">: TURKSTAT, HLFS 2014, 2015,2016 micro data and Labor Force Statistics (http://www.tuik.gov.tr, Date of Access 06.11.2017) </w:t>
      </w:r>
      <w:r w:rsidRPr="00A67B85">
        <w:rPr>
          <w:rFonts w:ascii="Palatino Linotype" w:hAnsi="Palatino Linotype"/>
          <w:b/>
          <w:sz w:val="20"/>
          <w:szCs w:val="20"/>
          <w:lang w:val="en-GB" w:eastAsia="tr-TR"/>
        </w:rPr>
        <w:t xml:space="preserve">Note:  </w:t>
      </w:r>
      <w:r w:rsidRPr="00A67B85">
        <w:rPr>
          <w:rFonts w:ascii="Palatino Linotype" w:hAnsi="Palatino Linotype"/>
          <w:sz w:val="20"/>
          <w:szCs w:val="20"/>
          <w:lang w:val="en-GB" w:eastAsia="tr-TR"/>
        </w:rPr>
        <w:t xml:space="preserve"> The minimum wage level corrected by inflation for the following year is used as a limit value while the rate of low paid workers is calculated (see. The section of Data and Methodology and Footnote 2). </w:t>
      </w:r>
    </w:p>
    <w:p w14:paraId="05A8DB5A" w14:textId="77777777" w:rsidR="0071649C" w:rsidRPr="00DA4693" w:rsidRDefault="0071649C" w:rsidP="00B23113">
      <w:pPr>
        <w:pStyle w:val="Caption"/>
        <w:keepNext/>
        <w:rPr>
          <w:color w:val="FF0000"/>
          <w:sz w:val="22"/>
        </w:rPr>
      </w:pPr>
    </w:p>
    <w:p w14:paraId="39F3CA30" w14:textId="77777777" w:rsidR="0071649C" w:rsidRPr="00DA4693" w:rsidRDefault="0071649C" w:rsidP="00B23113">
      <w:pPr>
        <w:pStyle w:val="Caption"/>
        <w:keepNext/>
        <w:rPr>
          <w:color w:val="FF0000"/>
          <w:sz w:val="22"/>
        </w:rPr>
      </w:pPr>
    </w:p>
    <w:p w14:paraId="58A059A5" w14:textId="77777777" w:rsidR="0071649C" w:rsidRPr="00DA4693" w:rsidRDefault="0071649C" w:rsidP="0071649C">
      <w:pPr>
        <w:rPr>
          <w:color w:val="FF0000"/>
        </w:rPr>
      </w:pPr>
    </w:p>
    <w:p w14:paraId="1A9BF05A" w14:textId="77777777" w:rsidR="0071649C" w:rsidRPr="00DA4693" w:rsidRDefault="0071649C" w:rsidP="0071649C">
      <w:pPr>
        <w:rPr>
          <w:color w:val="FF0000"/>
        </w:rPr>
      </w:pPr>
    </w:p>
    <w:p w14:paraId="6B606544" w14:textId="77777777" w:rsidR="0071649C" w:rsidRPr="00DA4693" w:rsidRDefault="0071649C" w:rsidP="0071649C">
      <w:pPr>
        <w:rPr>
          <w:color w:val="FF0000"/>
        </w:rPr>
      </w:pPr>
    </w:p>
    <w:p w14:paraId="578B645A" w14:textId="40C45AF6" w:rsidR="003A69B7" w:rsidRDefault="003A69B7" w:rsidP="003A69B7">
      <w:pPr>
        <w:rPr>
          <w:color w:val="FF0000"/>
        </w:rPr>
      </w:pPr>
    </w:p>
    <w:p w14:paraId="47E25DAB" w14:textId="77777777" w:rsidR="001518A1" w:rsidRPr="003A69B7" w:rsidRDefault="001518A1" w:rsidP="003A69B7">
      <w:pPr>
        <w:rPr>
          <w:lang w:val="en-GB"/>
        </w:rPr>
      </w:pPr>
    </w:p>
    <w:p w14:paraId="460339D3" w14:textId="1AE03DAA" w:rsidR="008342DA" w:rsidRPr="003A69B7" w:rsidRDefault="00A66359" w:rsidP="008342DA">
      <w:pPr>
        <w:pStyle w:val="Caption"/>
        <w:keepNext/>
        <w:rPr>
          <w:sz w:val="22"/>
          <w:szCs w:val="22"/>
          <w:lang w:val="en-GB"/>
        </w:rPr>
      </w:pPr>
      <w:r w:rsidRPr="003A69B7">
        <w:rPr>
          <w:sz w:val="22"/>
          <w:szCs w:val="22"/>
          <w:lang w:val="en-GB"/>
        </w:rPr>
        <w:lastRenderedPageBreak/>
        <w:t>Tabl</w:t>
      </w:r>
      <w:r w:rsidR="003F5D2D" w:rsidRPr="003A69B7">
        <w:rPr>
          <w:sz w:val="22"/>
          <w:szCs w:val="22"/>
          <w:lang w:val="en-GB"/>
        </w:rPr>
        <w:t>e</w:t>
      </w:r>
      <w:r w:rsidRPr="003A69B7">
        <w:rPr>
          <w:sz w:val="22"/>
          <w:szCs w:val="22"/>
          <w:lang w:val="en-GB"/>
        </w:rPr>
        <w:t xml:space="preserve"> </w:t>
      </w:r>
      <w:r w:rsidR="00C22019" w:rsidRPr="003A69B7">
        <w:rPr>
          <w:sz w:val="22"/>
          <w:szCs w:val="22"/>
          <w:lang w:val="en-GB"/>
        </w:rPr>
        <w:t>2</w:t>
      </w:r>
      <w:r w:rsidR="008342DA" w:rsidRPr="003A69B7">
        <w:rPr>
          <w:sz w:val="22"/>
          <w:szCs w:val="22"/>
          <w:lang w:val="en-GB"/>
        </w:rPr>
        <w:t xml:space="preserve">: </w:t>
      </w:r>
      <w:r w:rsidR="003F5D2D" w:rsidRPr="003A69B7">
        <w:rPr>
          <w:sz w:val="22"/>
          <w:szCs w:val="22"/>
          <w:lang w:val="en-GB"/>
        </w:rPr>
        <w:t xml:space="preserve">Letters corresponded to the sectors </w:t>
      </w:r>
    </w:p>
    <w:tbl>
      <w:tblPr>
        <w:tblW w:w="4815" w:type="dxa"/>
        <w:tblCellMar>
          <w:left w:w="70" w:type="dxa"/>
          <w:right w:w="70" w:type="dxa"/>
        </w:tblCellMar>
        <w:tblLook w:val="04A0" w:firstRow="1" w:lastRow="0" w:firstColumn="1" w:lastColumn="0" w:noHBand="0" w:noVBand="1"/>
      </w:tblPr>
      <w:tblGrid>
        <w:gridCol w:w="990"/>
        <w:gridCol w:w="3825"/>
      </w:tblGrid>
      <w:tr w:rsidR="00DA4693" w:rsidRPr="003A69B7" w14:paraId="2469953F" w14:textId="77777777" w:rsidTr="00E70CEB">
        <w:trPr>
          <w:trHeight w:val="268"/>
        </w:trPr>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CE36C9" w14:textId="55658987" w:rsidR="008342DA" w:rsidRPr="003A69B7" w:rsidRDefault="003F5D2D" w:rsidP="00E70CEB">
            <w:pPr>
              <w:suppressAutoHyphens w:val="0"/>
              <w:spacing w:after="0" w:line="240" w:lineRule="auto"/>
              <w:jc w:val="center"/>
              <w:rPr>
                <w:rFonts w:cs="Times New Roman"/>
                <w:szCs w:val="22"/>
                <w:lang w:val="en-GB" w:eastAsia="tr-TR"/>
              </w:rPr>
            </w:pPr>
            <w:r w:rsidRPr="003A69B7">
              <w:rPr>
                <w:rFonts w:cs="Times New Roman"/>
                <w:szCs w:val="22"/>
                <w:lang w:val="en-GB" w:eastAsia="tr-TR"/>
              </w:rPr>
              <w:t>Code</w:t>
            </w:r>
          </w:p>
        </w:tc>
        <w:tc>
          <w:tcPr>
            <w:tcW w:w="38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87C68" w14:textId="6DA80928" w:rsidR="008342DA" w:rsidRPr="003A69B7" w:rsidRDefault="008342DA" w:rsidP="00E70CEB">
            <w:pPr>
              <w:suppressAutoHyphens w:val="0"/>
              <w:spacing w:after="0" w:line="240" w:lineRule="auto"/>
              <w:rPr>
                <w:rFonts w:cs="Times New Roman"/>
                <w:szCs w:val="22"/>
                <w:lang w:val="en-GB" w:eastAsia="tr-TR"/>
              </w:rPr>
            </w:pPr>
            <w:r w:rsidRPr="003A69B7">
              <w:rPr>
                <w:rFonts w:cs="Times New Roman"/>
                <w:szCs w:val="22"/>
                <w:lang w:val="en-GB" w:eastAsia="tr-TR"/>
              </w:rPr>
              <w:t>Se</w:t>
            </w:r>
            <w:r w:rsidR="003F5D2D" w:rsidRPr="003A69B7">
              <w:rPr>
                <w:rFonts w:cs="Times New Roman"/>
                <w:szCs w:val="22"/>
                <w:lang w:val="en-GB" w:eastAsia="tr-TR"/>
              </w:rPr>
              <w:t>ctor</w:t>
            </w:r>
          </w:p>
        </w:tc>
      </w:tr>
      <w:tr w:rsidR="00DA4693" w:rsidRPr="003A69B7" w14:paraId="56ED5F8E"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54BB4885" w14:textId="77777777" w:rsidR="008342DA" w:rsidRPr="003A69B7" w:rsidRDefault="008342DA" w:rsidP="00E70CEB">
            <w:pPr>
              <w:suppressAutoHyphens w:val="0"/>
              <w:spacing w:after="0" w:line="240" w:lineRule="auto"/>
              <w:jc w:val="center"/>
              <w:rPr>
                <w:rFonts w:cs="Times New Roman"/>
                <w:szCs w:val="22"/>
                <w:lang w:val="en-GB" w:eastAsia="tr-TR"/>
              </w:rPr>
            </w:pPr>
            <w:r w:rsidRPr="003A69B7">
              <w:rPr>
                <w:rFonts w:cs="Times New Roman"/>
                <w:szCs w:val="22"/>
                <w:lang w:val="en-GB" w:eastAsia="tr-TR"/>
              </w:rPr>
              <w:t>B</w:t>
            </w:r>
          </w:p>
        </w:tc>
        <w:tc>
          <w:tcPr>
            <w:tcW w:w="3825" w:type="dxa"/>
            <w:tcBorders>
              <w:top w:val="nil"/>
              <w:left w:val="single" w:sz="4" w:space="0" w:color="auto"/>
              <w:bottom w:val="nil"/>
              <w:right w:val="single" w:sz="4" w:space="0" w:color="auto"/>
            </w:tcBorders>
            <w:shd w:val="clear" w:color="auto" w:fill="auto"/>
            <w:noWrap/>
            <w:vAlign w:val="bottom"/>
            <w:hideMark/>
          </w:tcPr>
          <w:p w14:paraId="2FD9F088" w14:textId="6DA5B731" w:rsidR="008342DA" w:rsidRPr="003A69B7" w:rsidRDefault="003F5D2D" w:rsidP="003A69B7">
            <w:pPr>
              <w:suppressAutoHyphens w:val="0"/>
              <w:spacing w:after="0" w:line="240" w:lineRule="auto"/>
              <w:jc w:val="left"/>
              <w:rPr>
                <w:rFonts w:cs="Times New Roman"/>
                <w:szCs w:val="22"/>
                <w:lang w:val="en-GB" w:eastAsia="tr-TR"/>
              </w:rPr>
            </w:pPr>
            <w:r w:rsidRPr="003A69B7">
              <w:rPr>
                <w:rFonts w:cs="Times New Roman"/>
                <w:szCs w:val="22"/>
                <w:lang w:val="en-GB" w:eastAsia="tr-TR"/>
              </w:rPr>
              <w:t>Mining and Quarrying</w:t>
            </w:r>
          </w:p>
        </w:tc>
      </w:tr>
      <w:tr w:rsidR="00DA4693" w:rsidRPr="003A69B7" w14:paraId="5B05AC46"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6B77B5BB" w14:textId="77777777" w:rsidR="008342DA" w:rsidRPr="003A69B7" w:rsidRDefault="008342DA" w:rsidP="00E70CEB">
            <w:pPr>
              <w:suppressAutoHyphens w:val="0"/>
              <w:spacing w:after="0" w:line="240" w:lineRule="auto"/>
              <w:jc w:val="center"/>
              <w:rPr>
                <w:rFonts w:cs="Times New Roman"/>
                <w:szCs w:val="22"/>
                <w:lang w:val="en-GB" w:eastAsia="tr-TR"/>
              </w:rPr>
            </w:pPr>
            <w:r w:rsidRPr="003A69B7">
              <w:rPr>
                <w:rFonts w:cs="Times New Roman"/>
                <w:szCs w:val="22"/>
                <w:lang w:val="en-GB" w:eastAsia="tr-TR"/>
              </w:rPr>
              <w:t>C</w:t>
            </w:r>
          </w:p>
        </w:tc>
        <w:tc>
          <w:tcPr>
            <w:tcW w:w="3825" w:type="dxa"/>
            <w:tcBorders>
              <w:top w:val="nil"/>
              <w:left w:val="single" w:sz="4" w:space="0" w:color="auto"/>
              <w:bottom w:val="nil"/>
              <w:right w:val="single" w:sz="4" w:space="0" w:color="auto"/>
            </w:tcBorders>
            <w:shd w:val="clear" w:color="auto" w:fill="auto"/>
            <w:noWrap/>
            <w:vAlign w:val="bottom"/>
            <w:hideMark/>
          </w:tcPr>
          <w:p w14:paraId="6A83BD65" w14:textId="1C08D17F" w:rsidR="008342DA" w:rsidRPr="003A69B7" w:rsidRDefault="003F5D2D" w:rsidP="003A69B7">
            <w:pPr>
              <w:suppressAutoHyphens w:val="0"/>
              <w:spacing w:after="0" w:line="240" w:lineRule="auto"/>
              <w:jc w:val="left"/>
              <w:rPr>
                <w:rFonts w:cs="Times New Roman"/>
                <w:szCs w:val="22"/>
                <w:lang w:val="en-GB" w:eastAsia="tr-TR"/>
              </w:rPr>
            </w:pPr>
            <w:r w:rsidRPr="003A69B7">
              <w:rPr>
                <w:rFonts w:cs="Times New Roman"/>
                <w:szCs w:val="22"/>
                <w:lang w:val="en-GB" w:eastAsia="tr-TR"/>
              </w:rPr>
              <w:t>Manufacturing</w:t>
            </w:r>
          </w:p>
        </w:tc>
      </w:tr>
      <w:tr w:rsidR="00DA4693" w:rsidRPr="003A69B7" w14:paraId="7E87E980" w14:textId="77777777" w:rsidTr="00E70CEB">
        <w:trPr>
          <w:trHeight w:val="256"/>
        </w:trPr>
        <w:tc>
          <w:tcPr>
            <w:tcW w:w="990" w:type="dxa"/>
            <w:tcBorders>
              <w:top w:val="nil"/>
              <w:left w:val="single" w:sz="4" w:space="0" w:color="auto"/>
              <w:bottom w:val="nil"/>
              <w:right w:val="single" w:sz="4" w:space="0" w:color="auto"/>
            </w:tcBorders>
            <w:shd w:val="clear" w:color="auto" w:fill="auto"/>
            <w:noWrap/>
            <w:vAlign w:val="bottom"/>
            <w:hideMark/>
          </w:tcPr>
          <w:p w14:paraId="03AED871" w14:textId="77777777" w:rsidR="008342DA" w:rsidRPr="003A69B7" w:rsidRDefault="008342DA" w:rsidP="00E70CEB">
            <w:pPr>
              <w:suppressAutoHyphens w:val="0"/>
              <w:spacing w:after="0" w:line="240" w:lineRule="auto"/>
              <w:jc w:val="center"/>
              <w:rPr>
                <w:rFonts w:cs="Times New Roman"/>
                <w:szCs w:val="22"/>
                <w:lang w:val="en-GB" w:eastAsia="tr-TR"/>
              </w:rPr>
            </w:pPr>
            <w:r w:rsidRPr="003A69B7">
              <w:rPr>
                <w:rFonts w:cs="Times New Roman"/>
                <w:szCs w:val="22"/>
                <w:lang w:val="en-GB" w:eastAsia="tr-TR"/>
              </w:rPr>
              <w:t>DE</w:t>
            </w:r>
          </w:p>
        </w:tc>
        <w:tc>
          <w:tcPr>
            <w:tcW w:w="3825" w:type="dxa"/>
            <w:tcBorders>
              <w:top w:val="nil"/>
              <w:left w:val="single" w:sz="4" w:space="0" w:color="auto"/>
              <w:bottom w:val="nil"/>
              <w:right w:val="single" w:sz="4" w:space="0" w:color="auto"/>
            </w:tcBorders>
            <w:shd w:val="clear" w:color="auto" w:fill="auto"/>
            <w:noWrap/>
            <w:vAlign w:val="bottom"/>
            <w:hideMark/>
          </w:tcPr>
          <w:p w14:paraId="65B226D0" w14:textId="16A8CE1E" w:rsidR="008342DA" w:rsidRPr="003A69B7" w:rsidRDefault="003F5D2D" w:rsidP="003A69B7">
            <w:pPr>
              <w:suppressAutoHyphens w:val="0"/>
              <w:spacing w:after="0" w:line="240" w:lineRule="auto"/>
              <w:jc w:val="left"/>
              <w:rPr>
                <w:rFonts w:cs="Times New Roman"/>
                <w:szCs w:val="22"/>
                <w:lang w:val="en-GB" w:eastAsia="tr-TR"/>
              </w:rPr>
            </w:pPr>
            <w:r w:rsidRPr="003A69B7">
              <w:rPr>
                <w:rFonts w:cs="Times New Roman"/>
                <w:szCs w:val="22"/>
                <w:lang w:val="en-GB" w:eastAsia="tr-TR"/>
              </w:rPr>
              <w:t>Electricity and Water</w:t>
            </w:r>
          </w:p>
        </w:tc>
      </w:tr>
      <w:tr w:rsidR="00DA4693" w:rsidRPr="003A69B7" w14:paraId="4AD5204C" w14:textId="77777777" w:rsidTr="00E70CEB">
        <w:trPr>
          <w:trHeight w:val="256"/>
        </w:trPr>
        <w:tc>
          <w:tcPr>
            <w:tcW w:w="990" w:type="dxa"/>
            <w:tcBorders>
              <w:top w:val="nil"/>
              <w:left w:val="single" w:sz="4" w:space="0" w:color="auto"/>
              <w:bottom w:val="nil"/>
              <w:right w:val="single" w:sz="4" w:space="0" w:color="auto"/>
            </w:tcBorders>
            <w:shd w:val="clear" w:color="auto" w:fill="auto"/>
            <w:noWrap/>
            <w:vAlign w:val="bottom"/>
            <w:hideMark/>
          </w:tcPr>
          <w:p w14:paraId="3F15E1F0" w14:textId="77777777" w:rsidR="008342DA" w:rsidRPr="003A69B7" w:rsidRDefault="008342DA" w:rsidP="00E70CEB">
            <w:pPr>
              <w:suppressAutoHyphens w:val="0"/>
              <w:spacing w:after="0" w:line="240" w:lineRule="auto"/>
              <w:jc w:val="center"/>
              <w:rPr>
                <w:rFonts w:cs="Times New Roman"/>
                <w:szCs w:val="22"/>
                <w:lang w:val="en-GB" w:eastAsia="tr-TR"/>
              </w:rPr>
            </w:pPr>
            <w:r w:rsidRPr="003A69B7">
              <w:rPr>
                <w:rFonts w:cs="Times New Roman"/>
                <w:szCs w:val="22"/>
                <w:lang w:val="en-GB" w:eastAsia="tr-TR"/>
              </w:rPr>
              <w:t>F</w:t>
            </w:r>
          </w:p>
        </w:tc>
        <w:tc>
          <w:tcPr>
            <w:tcW w:w="3825" w:type="dxa"/>
            <w:tcBorders>
              <w:top w:val="nil"/>
              <w:left w:val="single" w:sz="4" w:space="0" w:color="auto"/>
              <w:bottom w:val="nil"/>
              <w:right w:val="single" w:sz="4" w:space="0" w:color="auto"/>
            </w:tcBorders>
            <w:shd w:val="clear" w:color="auto" w:fill="auto"/>
            <w:noWrap/>
            <w:vAlign w:val="bottom"/>
            <w:hideMark/>
          </w:tcPr>
          <w:p w14:paraId="45899991" w14:textId="5A5BF4CE" w:rsidR="008342DA" w:rsidRPr="003A69B7" w:rsidRDefault="003F5D2D" w:rsidP="003A69B7">
            <w:pPr>
              <w:suppressAutoHyphens w:val="0"/>
              <w:spacing w:after="0" w:line="240" w:lineRule="auto"/>
              <w:jc w:val="left"/>
              <w:rPr>
                <w:rFonts w:cs="Times New Roman"/>
                <w:szCs w:val="22"/>
                <w:lang w:val="en-GB" w:eastAsia="tr-TR"/>
              </w:rPr>
            </w:pPr>
            <w:r w:rsidRPr="003A69B7">
              <w:rPr>
                <w:rFonts w:cs="Times New Roman"/>
                <w:szCs w:val="22"/>
                <w:lang w:val="en-GB" w:eastAsia="tr-TR"/>
              </w:rPr>
              <w:t>Construction</w:t>
            </w:r>
          </w:p>
        </w:tc>
      </w:tr>
      <w:tr w:rsidR="00DA4693" w:rsidRPr="003A69B7" w14:paraId="26E7A264"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6D44EE88" w14:textId="77777777" w:rsidR="008342DA" w:rsidRPr="003A69B7" w:rsidRDefault="008342DA" w:rsidP="00E70CEB">
            <w:pPr>
              <w:suppressAutoHyphens w:val="0"/>
              <w:spacing w:after="0" w:line="240" w:lineRule="auto"/>
              <w:jc w:val="center"/>
              <w:rPr>
                <w:rFonts w:cs="Times New Roman"/>
                <w:szCs w:val="22"/>
                <w:lang w:val="en-GB" w:eastAsia="tr-TR"/>
              </w:rPr>
            </w:pPr>
            <w:r w:rsidRPr="003A69B7">
              <w:rPr>
                <w:rFonts w:cs="Times New Roman"/>
                <w:szCs w:val="22"/>
                <w:lang w:val="en-GB" w:eastAsia="tr-TR"/>
              </w:rPr>
              <w:t>G</w:t>
            </w:r>
          </w:p>
        </w:tc>
        <w:tc>
          <w:tcPr>
            <w:tcW w:w="3825" w:type="dxa"/>
            <w:tcBorders>
              <w:top w:val="nil"/>
              <w:left w:val="single" w:sz="4" w:space="0" w:color="auto"/>
              <w:bottom w:val="nil"/>
              <w:right w:val="single" w:sz="4" w:space="0" w:color="auto"/>
            </w:tcBorders>
            <w:shd w:val="clear" w:color="auto" w:fill="auto"/>
            <w:noWrap/>
            <w:vAlign w:val="bottom"/>
            <w:hideMark/>
          </w:tcPr>
          <w:p w14:paraId="087FB8F7" w14:textId="3E2B2F30" w:rsidR="008342DA" w:rsidRPr="003A69B7" w:rsidRDefault="003F5D2D" w:rsidP="003A69B7">
            <w:pPr>
              <w:suppressAutoHyphens w:val="0"/>
              <w:spacing w:after="0" w:line="240" w:lineRule="auto"/>
              <w:jc w:val="left"/>
              <w:rPr>
                <w:rFonts w:cs="Times New Roman"/>
                <w:szCs w:val="22"/>
                <w:lang w:val="en-GB" w:eastAsia="tr-TR"/>
              </w:rPr>
            </w:pPr>
            <w:r w:rsidRPr="003A69B7">
              <w:rPr>
                <w:rFonts w:cs="Times New Roman"/>
                <w:szCs w:val="22"/>
                <w:lang w:val="en-GB" w:eastAsia="tr-TR"/>
              </w:rPr>
              <w:t>Wholesale and Retail Trade</w:t>
            </w:r>
          </w:p>
        </w:tc>
      </w:tr>
      <w:tr w:rsidR="00DA4693" w:rsidRPr="003A69B7" w14:paraId="5193A38B"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1F4D94D2" w14:textId="77777777" w:rsidR="008342DA" w:rsidRPr="003A69B7" w:rsidRDefault="008342DA" w:rsidP="00E70CEB">
            <w:pPr>
              <w:suppressAutoHyphens w:val="0"/>
              <w:spacing w:after="0" w:line="240" w:lineRule="auto"/>
              <w:jc w:val="center"/>
              <w:rPr>
                <w:rFonts w:cs="Times New Roman"/>
                <w:szCs w:val="22"/>
                <w:lang w:val="en-GB" w:eastAsia="tr-TR"/>
              </w:rPr>
            </w:pPr>
            <w:r w:rsidRPr="003A69B7">
              <w:rPr>
                <w:rFonts w:cs="Times New Roman"/>
                <w:szCs w:val="22"/>
                <w:lang w:val="en-GB" w:eastAsia="tr-TR"/>
              </w:rPr>
              <w:t>H</w:t>
            </w:r>
          </w:p>
        </w:tc>
        <w:tc>
          <w:tcPr>
            <w:tcW w:w="3825" w:type="dxa"/>
            <w:tcBorders>
              <w:top w:val="nil"/>
              <w:left w:val="single" w:sz="4" w:space="0" w:color="auto"/>
              <w:bottom w:val="nil"/>
              <w:right w:val="single" w:sz="4" w:space="0" w:color="auto"/>
            </w:tcBorders>
            <w:shd w:val="clear" w:color="auto" w:fill="auto"/>
            <w:noWrap/>
            <w:vAlign w:val="bottom"/>
            <w:hideMark/>
          </w:tcPr>
          <w:p w14:paraId="7E53027E" w14:textId="450A641B" w:rsidR="008342DA" w:rsidRPr="003A69B7" w:rsidRDefault="00C17831" w:rsidP="003A69B7">
            <w:pPr>
              <w:suppressAutoHyphens w:val="0"/>
              <w:spacing w:after="0" w:line="240" w:lineRule="auto"/>
              <w:jc w:val="left"/>
              <w:rPr>
                <w:rFonts w:cs="Times New Roman"/>
                <w:szCs w:val="22"/>
                <w:lang w:val="en-GB" w:eastAsia="tr-TR"/>
              </w:rPr>
            </w:pPr>
            <w:r w:rsidRPr="003A69B7">
              <w:rPr>
                <w:rFonts w:cs="Times New Roman"/>
                <w:szCs w:val="22"/>
                <w:lang w:val="en-GB" w:eastAsia="tr-TR"/>
              </w:rPr>
              <w:t>Transport and Storage</w:t>
            </w:r>
          </w:p>
        </w:tc>
      </w:tr>
      <w:tr w:rsidR="00DA4693" w:rsidRPr="003A69B7" w14:paraId="54143BF6"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27F5EA6F" w14:textId="77777777" w:rsidR="008342DA" w:rsidRPr="003A69B7" w:rsidRDefault="008342DA" w:rsidP="00E70CEB">
            <w:pPr>
              <w:suppressAutoHyphens w:val="0"/>
              <w:spacing w:after="0" w:line="240" w:lineRule="auto"/>
              <w:jc w:val="center"/>
              <w:rPr>
                <w:rFonts w:cs="Times New Roman"/>
                <w:szCs w:val="22"/>
                <w:lang w:val="en-GB" w:eastAsia="tr-TR"/>
              </w:rPr>
            </w:pPr>
            <w:r w:rsidRPr="003A69B7">
              <w:rPr>
                <w:rFonts w:cs="Times New Roman"/>
                <w:szCs w:val="22"/>
                <w:lang w:val="en-GB" w:eastAsia="tr-TR"/>
              </w:rPr>
              <w:t>I</w:t>
            </w:r>
          </w:p>
        </w:tc>
        <w:tc>
          <w:tcPr>
            <w:tcW w:w="3825" w:type="dxa"/>
            <w:tcBorders>
              <w:top w:val="nil"/>
              <w:left w:val="single" w:sz="4" w:space="0" w:color="auto"/>
              <w:bottom w:val="nil"/>
              <w:right w:val="single" w:sz="4" w:space="0" w:color="auto"/>
            </w:tcBorders>
            <w:shd w:val="clear" w:color="auto" w:fill="auto"/>
            <w:noWrap/>
            <w:vAlign w:val="bottom"/>
            <w:hideMark/>
          </w:tcPr>
          <w:p w14:paraId="202F5D1F" w14:textId="64D643A4" w:rsidR="008342DA" w:rsidRPr="003A69B7" w:rsidRDefault="00C17831" w:rsidP="003A69B7">
            <w:pPr>
              <w:suppressAutoHyphens w:val="0"/>
              <w:spacing w:after="0" w:line="240" w:lineRule="auto"/>
              <w:jc w:val="left"/>
              <w:rPr>
                <w:rFonts w:cs="Times New Roman"/>
                <w:szCs w:val="22"/>
                <w:lang w:val="en-GB" w:eastAsia="tr-TR"/>
              </w:rPr>
            </w:pPr>
            <w:r w:rsidRPr="003A69B7">
              <w:rPr>
                <w:rFonts w:cs="Times New Roman"/>
                <w:szCs w:val="22"/>
                <w:lang w:val="en-GB" w:eastAsia="tr-TR"/>
              </w:rPr>
              <w:t>Accommodation</w:t>
            </w:r>
          </w:p>
        </w:tc>
      </w:tr>
      <w:tr w:rsidR="00DA4693" w:rsidRPr="003A69B7" w14:paraId="620A3342"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274D3412" w14:textId="77777777" w:rsidR="008342DA" w:rsidRPr="003A69B7" w:rsidRDefault="008342DA" w:rsidP="00E70CEB">
            <w:pPr>
              <w:suppressAutoHyphens w:val="0"/>
              <w:spacing w:after="0" w:line="240" w:lineRule="auto"/>
              <w:jc w:val="center"/>
              <w:rPr>
                <w:rFonts w:cs="Times New Roman"/>
                <w:szCs w:val="22"/>
                <w:lang w:val="en-GB" w:eastAsia="tr-TR"/>
              </w:rPr>
            </w:pPr>
            <w:r w:rsidRPr="003A69B7">
              <w:rPr>
                <w:rFonts w:cs="Times New Roman"/>
                <w:szCs w:val="22"/>
                <w:lang w:val="en-GB" w:eastAsia="tr-TR"/>
              </w:rPr>
              <w:t>J</w:t>
            </w:r>
          </w:p>
        </w:tc>
        <w:tc>
          <w:tcPr>
            <w:tcW w:w="3825" w:type="dxa"/>
            <w:tcBorders>
              <w:top w:val="nil"/>
              <w:left w:val="single" w:sz="4" w:space="0" w:color="auto"/>
              <w:bottom w:val="nil"/>
              <w:right w:val="single" w:sz="4" w:space="0" w:color="auto"/>
            </w:tcBorders>
            <w:shd w:val="clear" w:color="auto" w:fill="auto"/>
            <w:noWrap/>
            <w:vAlign w:val="bottom"/>
            <w:hideMark/>
          </w:tcPr>
          <w:p w14:paraId="57D35900" w14:textId="0BAFE5AC" w:rsidR="008342DA" w:rsidRPr="003A69B7" w:rsidRDefault="00C17831" w:rsidP="003A69B7">
            <w:pPr>
              <w:suppressAutoHyphens w:val="0"/>
              <w:spacing w:after="0" w:line="240" w:lineRule="auto"/>
              <w:jc w:val="left"/>
              <w:rPr>
                <w:rFonts w:cs="Times New Roman"/>
                <w:szCs w:val="22"/>
                <w:lang w:val="en-GB" w:eastAsia="tr-TR"/>
              </w:rPr>
            </w:pPr>
            <w:r w:rsidRPr="003A69B7">
              <w:rPr>
                <w:rFonts w:cs="Times New Roman"/>
                <w:szCs w:val="22"/>
                <w:lang w:val="en-GB" w:eastAsia="tr-TR"/>
              </w:rPr>
              <w:t>Information and Communication</w:t>
            </w:r>
          </w:p>
        </w:tc>
      </w:tr>
      <w:tr w:rsidR="00DA4693" w:rsidRPr="003A69B7" w14:paraId="26C399C4"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3C5D5826" w14:textId="77777777" w:rsidR="008342DA" w:rsidRPr="003A69B7" w:rsidRDefault="008342DA" w:rsidP="00E70CEB">
            <w:pPr>
              <w:suppressAutoHyphens w:val="0"/>
              <w:spacing w:after="0" w:line="240" w:lineRule="auto"/>
              <w:jc w:val="center"/>
              <w:rPr>
                <w:rFonts w:cs="Times New Roman"/>
                <w:szCs w:val="22"/>
                <w:lang w:val="en-GB" w:eastAsia="tr-TR"/>
              </w:rPr>
            </w:pPr>
            <w:r w:rsidRPr="003A69B7">
              <w:rPr>
                <w:rFonts w:cs="Times New Roman"/>
                <w:szCs w:val="22"/>
                <w:lang w:val="en-GB" w:eastAsia="tr-TR"/>
              </w:rPr>
              <w:t>K</w:t>
            </w:r>
          </w:p>
        </w:tc>
        <w:tc>
          <w:tcPr>
            <w:tcW w:w="3825" w:type="dxa"/>
            <w:tcBorders>
              <w:top w:val="nil"/>
              <w:left w:val="single" w:sz="4" w:space="0" w:color="auto"/>
              <w:bottom w:val="nil"/>
              <w:right w:val="single" w:sz="4" w:space="0" w:color="auto"/>
            </w:tcBorders>
            <w:shd w:val="clear" w:color="auto" w:fill="auto"/>
            <w:noWrap/>
            <w:vAlign w:val="bottom"/>
            <w:hideMark/>
          </w:tcPr>
          <w:p w14:paraId="640B763B" w14:textId="50824D72" w:rsidR="008342DA" w:rsidRPr="003A69B7" w:rsidRDefault="00C17831" w:rsidP="003A69B7">
            <w:pPr>
              <w:suppressAutoHyphens w:val="0"/>
              <w:spacing w:after="0" w:line="240" w:lineRule="auto"/>
              <w:jc w:val="left"/>
              <w:rPr>
                <w:rFonts w:cs="Times New Roman"/>
                <w:szCs w:val="22"/>
                <w:lang w:val="en-GB" w:eastAsia="tr-TR"/>
              </w:rPr>
            </w:pPr>
            <w:r w:rsidRPr="003A69B7">
              <w:rPr>
                <w:rFonts w:cs="Times New Roman"/>
                <w:szCs w:val="22"/>
                <w:lang w:val="en-GB" w:eastAsia="tr-TR"/>
              </w:rPr>
              <w:t>Financial and Insurance</w:t>
            </w:r>
          </w:p>
        </w:tc>
      </w:tr>
      <w:tr w:rsidR="00DA4693" w:rsidRPr="003A69B7" w14:paraId="0C5B945C"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38EEAFFF" w14:textId="77777777" w:rsidR="008342DA" w:rsidRPr="003A69B7" w:rsidRDefault="008342DA" w:rsidP="00E70CEB">
            <w:pPr>
              <w:suppressAutoHyphens w:val="0"/>
              <w:spacing w:after="0" w:line="240" w:lineRule="auto"/>
              <w:jc w:val="center"/>
              <w:rPr>
                <w:rFonts w:cs="Times New Roman"/>
                <w:szCs w:val="22"/>
                <w:lang w:val="en-GB" w:eastAsia="tr-TR"/>
              </w:rPr>
            </w:pPr>
            <w:r w:rsidRPr="003A69B7">
              <w:rPr>
                <w:rFonts w:cs="Times New Roman"/>
                <w:szCs w:val="22"/>
                <w:lang w:val="en-GB" w:eastAsia="tr-TR"/>
              </w:rPr>
              <w:t>L</w:t>
            </w:r>
          </w:p>
        </w:tc>
        <w:tc>
          <w:tcPr>
            <w:tcW w:w="3825" w:type="dxa"/>
            <w:tcBorders>
              <w:top w:val="nil"/>
              <w:left w:val="single" w:sz="4" w:space="0" w:color="auto"/>
              <w:bottom w:val="nil"/>
              <w:right w:val="single" w:sz="4" w:space="0" w:color="auto"/>
            </w:tcBorders>
            <w:shd w:val="clear" w:color="auto" w:fill="auto"/>
            <w:noWrap/>
            <w:vAlign w:val="bottom"/>
            <w:hideMark/>
          </w:tcPr>
          <w:p w14:paraId="37E2A187" w14:textId="3E7D1B9A" w:rsidR="008342DA" w:rsidRPr="003A69B7" w:rsidRDefault="00C17831" w:rsidP="003A69B7">
            <w:pPr>
              <w:suppressAutoHyphens w:val="0"/>
              <w:spacing w:after="0" w:line="240" w:lineRule="auto"/>
              <w:jc w:val="left"/>
              <w:rPr>
                <w:rFonts w:cs="Times New Roman"/>
                <w:szCs w:val="22"/>
                <w:lang w:val="en-GB" w:eastAsia="tr-TR"/>
              </w:rPr>
            </w:pPr>
            <w:r w:rsidRPr="003A69B7">
              <w:rPr>
                <w:rFonts w:cs="Times New Roman"/>
                <w:szCs w:val="22"/>
                <w:lang w:val="en-GB" w:eastAsia="tr-TR"/>
              </w:rPr>
              <w:t>Real Estate</w:t>
            </w:r>
          </w:p>
        </w:tc>
      </w:tr>
      <w:tr w:rsidR="00DA4693" w:rsidRPr="003A69B7" w14:paraId="600BFBB4"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30573882" w14:textId="77777777" w:rsidR="008342DA" w:rsidRPr="003A69B7" w:rsidRDefault="008342DA" w:rsidP="00E70CEB">
            <w:pPr>
              <w:suppressAutoHyphens w:val="0"/>
              <w:spacing w:after="0" w:line="240" w:lineRule="auto"/>
              <w:jc w:val="center"/>
              <w:rPr>
                <w:rFonts w:cs="Times New Roman"/>
                <w:szCs w:val="22"/>
                <w:lang w:val="en-GB" w:eastAsia="tr-TR"/>
              </w:rPr>
            </w:pPr>
            <w:r w:rsidRPr="003A69B7">
              <w:rPr>
                <w:rFonts w:cs="Times New Roman"/>
                <w:szCs w:val="22"/>
                <w:lang w:val="en-GB" w:eastAsia="tr-TR"/>
              </w:rPr>
              <w:t>M</w:t>
            </w:r>
          </w:p>
        </w:tc>
        <w:tc>
          <w:tcPr>
            <w:tcW w:w="3825" w:type="dxa"/>
            <w:tcBorders>
              <w:top w:val="nil"/>
              <w:left w:val="single" w:sz="4" w:space="0" w:color="auto"/>
              <w:bottom w:val="nil"/>
              <w:right w:val="single" w:sz="4" w:space="0" w:color="auto"/>
            </w:tcBorders>
            <w:shd w:val="clear" w:color="auto" w:fill="auto"/>
            <w:noWrap/>
            <w:vAlign w:val="bottom"/>
            <w:hideMark/>
          </w:tcPr>
          <w:p w14:paraId="1D1F97B7" w14:textId="05797F1C" w:rsidR="008342DA" w:rsidRPr="003A69B7" w:rsidRDefault="00C17831" w:rsidP="003A69B7">
            <w:pPr>
              <w:suppressAutoHyphens w:val="0"/>
              <w:spacing w:after="0" w:line="240" w:lineRule="auto"/>
              <w:jc w:val="left"/>
              <w:rPr>
                <w:rFonts w:cs="Times New Roman"/>
                <w:szCs w:val="22"/>
                <w:lang w:val="en-GB" w:eastAsia="tr-TR"/>
              </w:rPr>
            </w:pPr>
            <w:r w:rsidRPr="003A69B7">
              <w:rPr>
                <w:rFonts w:cs="Times New Roman"/>
                <w:szCs w:val="22"/>
                <w:lang w:val="en-GB" w:eastAsia="tr-TR"/>
              </w:rPr>
              <w:t>Professional, Scientific and Technical</w:t>
            </w:r>
          </w:p>
        </w:tc>
      </w:tr>
      <w:tr w:rsidR="00DA4693" w:rsidRPr="003A69B7" w14:paraId="0762AC6B" w14:textId="77777777" w:rsidTr="00E70CEB">
        <w:trPr>
          <w:trHeight w:val="256"/>
        </w:trPr>
        <w:tc>
          <w:tcPr>
            <w:tcW w:w="990" w:type="dxa"/>
            <w:tcBorders>
              <w:top w:val="nil"/>
              <w:left w:val="single" w:sz="4" w:space="0" w:color="auto"/>
              <w:bottom w:val="nil"/>
              <w:right w:val="single" w:sz="4" w:space="0" w:color="auto"/>
            </w:tcBorders>
            <w:shd w:val="clear" w:color="auto" w:fill="auto"/>
            <w:noWrap/>
            <w:vAlign w:val="bottom"/>
            <w:hideMark/>
          </w:tcPr>
          <w:p w14:paraId="46C41962" w14:textId="77777777" w:rsidR="008342DA" w:rsidRPr="003A69B7" w:rsidRDefault="008342DA" w:rsidP="00E70CEB">
            <w:pPr>
              <w:suppressAutoHyphens w:val="0"/>
              <w:spacing w:after="0" w:line="240" w:lineRule="auto"/>
              <w:jc w:val="center"/>
              <w:rPr>
                <w:rFonts w:cs="Times New Roman"/>
                <w:szCs w:val="22"/>
                <w:lang w:val="en-GB" w:eastAsia="tr-TR"/>
              </w:rPr>
            </w:pPr>
            <w:r w:rsidRPr="003A69B7">
              <w:rPr>
                <w:rFonts w:cs="Times New Roman"/>
                <w:szCs w:val="22"/>
                <w:lang w:val="en-GB" w:eastAsia="tr-TR"/>
              </w:rPr>
              <w:t>N</w:t>
            </w:r>
          </w:p>
        </w:tc>
        <w:tc>
          <w:tcPr>
            <w:tcW w:w="3825" w:type="dxa"/>
            <w:tcBorders>
              <w:top w:val="nil"/>
              <w:left w:val="single" w:sz="4" w:space="0" w:color="auto"/>
              <w:bottom w:val="nil"/>
              <w:right w:val="single" w:sz="4" w:space="0" w:color="auto"/>
            </w:tcBorders>
            <w:shd w:val="clear" w:color="auto" w:fill="auto"/>
            <w:noWrap/>
            <w:vAlign w:val="bottom"/>
            <w:hideMark/>
          </w:tcPr>
          <w:p w14:paraId="6C0E9B24" w14:textId="5F686A1B" w:rsidR="008342DA" w:rsidRPr="003A69B7" w:rsidRDefault="00C17831" w:rsidP="003A69B7">
            <w:pPr>
              <w:suppressAutoHyphens w:val="0"/>
              <w:spacing w:after="0" w:line="240" w:lineRule="auto"/>
              <w:jc w:val="left"/>
              <w:rPr>
                <w:rFonts w:cs="Times New Roman"/>
                <w:szCs w:val="22"/>
                <w:lang w:val="en-GB" w:eastAsia="tr-TR"/>
              </w:rPr>
            </w:pPr>
            <w:r w:rsidRPr="003A69B7">
              <w:rPr>
                <w:rFonts w:cs="Times New Roman"/>
                <w:szCs w:val="22"/>
                <w:lang w:val="en-GB" w:eastAsia="tr-TR"/>
              </w:rPr>
              <w:t>Administrative and Support Services Activities</w:t>
            </w:r>
          </w:p>
        </w:tc>
      </w:tr>
      <w:tr w:rsidR="00DA4693" w:rsidRPr="003A69B7" w14:paraId="118AEFA6" w14:textId="77777777" w:rsidTr="00E70CEB">
        <w:trPr>
          <w:trHeight w:val="256"/>
        </w:trPr>
        <w:tc>
          <w:tcPr>
            <w:tcW w:w="990" w:type="dxa"/>
            <w:tcBorders>
              <w:top w:val="nil"/>
              <w:left w:val="single" w:sz="4" w:space="0" w:color="auto"/>
              <w:bottom w:val="nil"/>
              <w:right w:val="single" w:sz="4" w:space="0" w:color="auto"/>
            </w:tcBorders>
            <w:shd w:val="clear" w:color="auto" w:fill="auto"/>
            <w:noWrap/>
            <w:vAlign w:val="bottom"/>
            <w:hideMark/>
          </w:tcPr>
          <w:p w14:paraId="6F7D2D8E" w14:textId="77777777" w:rsidR="008342DA" w:rsidRPr="003A69B7" w:rsidRDefault="008342DA" w:rsidP="00E70CEB">
            <w:pPr>
              <w:suppressAutoHyphens w:val="0"/>
              <w:spacing w:after="0" w:line="240" w:lineRule="auto"/>
              <w:jc w:val="center"/>
              <w:rPr>
                <w:rFonts w:cs="Times New Roman"/>
                <w:szCs w:val="22"/>
                <w:lang w:val="en-GB" w:eastAsia="tr-TR"/>
              </w:rPr>
            </w:pPr>
            <w:r w:rsidRPr="003A69B7">
              <w:rPr>
                <w:rFonts w:cs="Times New Roman"/>
                <w:szCs w:val="22"/>
                <w:lang w:val="en-GB" w:eastAsia="tr-TR"/>
              </w:rPr>
              <w:t>O</w:t>
            </w:r>
          </w:p>
        </w:tc>
        <w:tc>
          <w:tcPr>
            <w:tcW w:w="3825" w:type="dxa"/>
            <w:tcBorders>
              <w:top w:val="nil"/>
              <w:left w:val="single" w:sz="4" w:space="0" w:color="auto"/>
              <w:bottom w:val="nil"/>
              <w:right w:val="single" w:sz="4" w:space="0" w:color="auto"/>
            </w:tcBorders>
            <w:shd w:val="clear" w:color="auto" w:fill="auto"/>
            <w:noWrap/>
            <w:vAlign w:val="bottom"/>
            <w:hideMark/>
          </w:tcPr>
          <w:p w14:paraId="304992A1" w14:textId="208D6CB3" w:rsidR="008342DA" w:rsidRPr="003A69B7" w:rsidRDefault="00C17831" w:rsidP="003A69B7">
            <w:pPr>
              <w:suppressAutoHyphens w:val="0"/>
              <w:spacing w:after="0" w:line="240" w:lineRule="auto"/>
              <w:jc w:val="left"/>
              <w:rPr>
                <w:rFonts w:cs="Times New Roman"/>
                <w:szCs w:val="22"/>
                <w:lang w:val="en-GB" w:eastAsia="tr-TR"/>
              </w:rPr>
            </w:pPr>
            <w:r w:rsidRPr="003A69B7">
              <w:rPr>
                <w:rFonts w:cs="Times New Roman"/>
                <w:szCs w:val="22"/>
                <w:lang w:val="en-GB" w:eastAsia="tr-TR"/>
              </w:rPr>
              <w:t>Public Administration and Defence</w:t>
            </w:r>
          </w:p>
        </w:tc>
      </w:tr>
      <w:tr w:rsidR="00DA4693" w:rsidRPr="003A69B7" w14:paraId="3C3B7947" w14:textId="77777777" w:rsidTr="00E70CEB">
        <w:trPr>
          <w:trHeight w:val="256"/>
        </w:trPr>
        <w:tc>
          <w:tcPr>
            <w:tcW w:w="990" w:type="dxa"/>
            <w:tcBorders>
              <w:top w:val="nil"/>
              <w:left w:val="single" w:sz="4" w:space="0" w:color="auto"/>
              <w:bottom w:val="nil"/>
              <w:right w:val="single" w:sz="4" w:space="0" w:color="auto"/>
            </w:tcBorders>
            <w:shd w:val="clear" w:color="auto" w:fill="auto"/>
            <w:noWrap/>
            <w:vAlign w:val="bottom"/>
            <w:hideMark/>
          </w:tcPr>
          <w:p w14:paraId="1A187FE2" w14:textId="77777777" w:rsidR="008342DA" w:rsidRPr="003A69B7" w:rsidRDefault="008342DA" w:rsidP="00E70CEB">
            <w:pPr>
              <w:suppressAutoHyphens w:val="0"/>
              <w:spacing w:after="0" w:line="240" w:lineRule="auto"/>
              <w:jc w:val="center"/>
              <w:rPr>
                <w:rFonts w:cs="Times New Roman"/>
                <w:szCs w:val="22"/>
                <w:lang w:val="en-GB" w:eastAsia="tr-TR"/>
              </w:rPr>
            </w:pPr>
            <w:r w:rsidRPr="003A69B7">
              <w:rPr>
                <w:rFonts w:cs="Times New Roman"/>
                <w:szCs w:val="22"/>
                <w:lang w:val="en-GB" w:eastAsia="tr-TR"/>
              </w:rPr>
              <w:t>P</w:t>
            </w:r>
          </w:p>
        </w:tc>
        <w:tc>
          <w:tcPr>
            <w:tcW w:w="3825" w:type="dxa"/>
            <w:tcBorders>
              <w:top w:val="nil"/>
              <w:left w:val="single" w:sz="4" w:space="0" w:color="auto"/>
              <w:bottom w:val="nil"/>
              <w:right w:val="single" w:sz="4" w:space="0" w:color="auto"/>
            </w:tcBorders>
            <w:shd w:val="clear" w:color="auto" w:fill="auto"/>
            <w:noWrap/>
            <w:vAlign w:val="bottom"/>
            <w:hideMark/>
          </w:tcPr>
          <w:p w14:paraId="38EECD01" w14:textId="4F312B13" w:rsidR="008342DA" w:rsidRPr="003A69B7" w:rsidRDefault="00C17831" w:rsidP="003A69B7">
            <w:pPr>
              <w:suppressAutoHyphens w:val="0"/>
              <w:spacing w:after="0" w:line="240" w:lineRule="auto"/>
              <w:jc w:val="left"/>
              <w:rPr>
                <w:rFonts w:cs="Times New Roman"/>
                <w:szCs w:val="22"/>
                <w:lang w:val="en-GB" w:eastAsia="tr-TR"/>
              </w:rPr>
            </w:pPr>
            <w:r w:rsidRPr="003A69B7">
              <w:rPr>
                <w:rFonts w:cs="Times New Roman"/>
                <w:szCs w:val="22"/>
                <w:lang w:val="en-GB" w:eastAsia="tr-TR"/>
              </w:rPr>
              <w:t>Education</w:t>
            </w:r>
          </w:p>
        </w:tc>
      </w:tr>
      <w:tr w:rsidR="00DA4693" w:rsidRPr="003A69B7" w14:paraId="532F89D1" w14:textId="77777777" w:rsidTr="00E70CEB">
        <w:trPr>
          <w:trHeight w:val="256"/>
        </w:trPr>
        <w:tc>
          <w:tcPr>
            <w:tcW w:w="990" w:type="dxa"/>
            <w:tcBorders>
              <w:top w:val="nil"/>
              <w:left w:val="single" w:sz="4" w:space="0" w:color="auto"/>
              <w:bottom w:val="nil"/>
              <w:right w:val="single" w:sz="4" w:space="0" w:color="auto"/>
            </w:tcBorders>
            <w:shd w:val="clear" w:color="auto" w:fill="auto"/>
            <w:noWrap/>
            <w:vAlign w:val="bottom"/>
            <w:hideMark/>
          </w:tcPr>
          <w:p w14:paraId="50A8716F" w14:textId="77777777" w:rsidR="008342DA" w:rsidRPr="003A69B7" w:rsidRDefault="008342DA" w:rsidP="00E70CEB">
            <w:pPr>
              <w:suppressAutoHyphens w:val="0"/>
              <w:spacing w:after="0" w:line="240" w:lineRule="auto"/>
              <w:jc w:val="center"/>
              <w:rPr>
                <w:rFonts w:cs="Times New Roman"/>
                <w:szCs w:val="22"/>
                <w:lang w:val="en-GB" w:eastAsia="tr-TR"/>
              </w:rPr>
            </w:pPr>
            <w:r w:rsidRPr="003A69B7">
              <w:rPr>
                <w:rFonts w:cs="Times New Roman"/>
                <w:szCs w:val="22"/>
                <w:lang w:val="en-GB" w:eastAsia="tr-TR"/>
              </w:rPr>
              <w:t>Q</w:t>
            </w:r>
          </w:p>
        </w:tc>
        <w:tc>
          <w:tcPr>
            <w:tcW w:w="3825" w:type="dxa"/>
            <w:tcBorders>
              <w:top w:val="nil"/>
              <w:left w:val="single" w:sz="4" w:space="0" w:color="auto"/>
              <w:bottom w:val="nil"/>
              <w:right w:val="single" w:sz="4" w:space="0" w:color="auto"/>
            </w:tcBorders>
            <w:shd w:val="clear" w:color="auto" w:fill="auto"/>
            <w:noWrap/>
            <w:vAlign w:val="bottom"/>
            <w:hideMark/>
          </w:tcPr>
          <w:p w14:paraId="69148497" w14:textId="7BADF446" w:rsidR="008342DA" w:rsidRPr="003A69B7" w:rsidRDefault="00C17831" w:rsidP="003A69B7">
            <w:pPr>
              <w:suppressAutoHyphens w:val="0"/>
              <w:spacing w:after="0" w:line="240" w:lineRule="auto"/>
              <w:jc w:val="left"/>
              <w:rPr>
                <w:rFonts w:cs="Times New Roman"/>
                <w:szCs w:val="22"/>
                <w:lang w:val="en-GB" w:eastAsia="tr-TR"/>
              </w:rPr>
            </w:pPr>
            <w:r w:rsidRPr="003A69B7">
              <w:rPr>
                <w:rFonts w:cs="Times New Roman"/>
                <w:szCs w:val="22"/>
                <w:lang w:val="en-GB" w:eastAsia="tr-TR"/>
              </w:rPr>
              <w:t>Human Health</w:t>
            </w:r>
          </w:p>
        </w:tc>
      </w:tr>
      <w:tr w:rsidR="00DA4693" w:rsidRPr="003A69B7" w14:paraId="4334DE7A" w14:textId="77777777" w:rsidTr="00E70CEB">
        <w:trPr>
          <w:trHeight w:val="268"/>
        </w:trPr>
        <w:tc>
          <w:tcPr>
            <w:tcW w:w="990" w:type="dxa"/>
            <w:tcBorders>
              <w:top w:val="nil"/>
              <w:left w:val="single" w:sz="4" w:space="0" w:color="auto"/>
              <w:bottom w:val="nil"/>
              <w:right w:val="single" w:sz="4" w:space="0" w:color="auto"/>
            </w:tcBorders>
            <w:shd w:val="clear" w:color="auto" w:fill="auto"/>
            <w:noWrap/>
            <w:vAlign w:val="bottom"/>
            <w:hideMark/>
          </w:tcPr>
          <w:p w14:paraId="61C70585" w14:textId="77777777" w:rsidR="008342DA" w:rsidRPr="003A69B7" w:rsidRDefault="008342DA" w:rsidP="00E70CEB">
            <w:pPr>
              <w:suppressAutoHyphens w:val="0"/>
              <w:spacing w:after="0" w:line="240" w:lineRule="auto"/>
              <w:jc w:val="center"/>
              <w:rPr>
                <w:rFonts w:cs="Times New Roman"/>
                <w:szCs w:val="22"/>
                <w:lang w:val="en-GB" w:eastAsia="tr-TR"/>
              </w:rPr>
            </w:pPr>
            <w:r w:rsidRPr="003A69B7">
              <w:rPr>
                <w:rFonts w:cs="Times New Roman"/>
                <w:szCs w:val="22"/>
                <w:lang w:val="en-GB" w:eastAsia="tr-TR"/>
              </w:rPr>
              <w:t>R</w:t>
            </w:r>
          </w:p>
        </w:tc>
        <w:tc>
          <w:tcPr>
            <w:tcW w:w="3825" w:type="dxa"/>
            <w:tcBorders>
              <w:top w:val="nil"/>
              <w:left w:val="single" w:sz="4" w:space="0" w:color="auto"/>
              <w:bottom w:val="nil"/>
              <w:right w:val="single" w:sz="4" w:space="0" w:color="auto"/>
            </w:tcBorders>
            <w:shd w:val="clear" w:color="auto" w:fill="auto"/>
            <w:noWrap/>
            <w:vAlign w:val="bottom"/>
            <w:hideMark/>
          </w:tcPr>
          <w:p w14:paraId="2B2B9D0E" w14:textId="079BCFF9" w:rsidR="008342DA" w:rsidRPr="003A69B7" w:rsidRDefault="00C17831" w:rsidP="003A69B7">
            <w:pPr>
              <w:suppressAutoHyphens w:val="0"/>
              <w:spacing w:after="0" w:line="240" w:lineRule="auto"/>
              <w:jc w:val="left"/>
              <w:rPr>
                <w:rFonts w:cs="Times New Roman"/>
                <w:szCs w:val="22"/>
                <w:lang w:val="en-GB" w:eastAsia="tr-TR"/>
              </w:rPr>
            </w:pPr>
            <w:r w:rsidRPr="003A69B7">
              <w:rPr>
                <w:rFonts w:cs="Times New Roman"/>
                <w:szCs w:val="22"/>
                <w:lang w:val="en-GB" w:eastAsia="tr-TR"/>
              </w:rPr>
              <w:t>Arts, entertainment and Recreation</w:t>
            </w:r>
          </w:p>
        </w:tc>
      </w:tr>
      <w:tr w:rsidR="003A69B7" w:rsidRPr="003A69B7" w14:paraId="3B372F8B" w14:textId="77777777" w:rsidTr="00E70CEB">
        <w:trPr>
          <w:trHeight w:val="268"/>
        </w:trPr>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E47D798" w14:textId="77777777" w:rsidR="008342DA" w:rsidRPr="003A69B7" w:rsidRDefault="008342DA" w:rsidP="00E70CEB">
            <w:pPr>
              <w:suppressAutoHyphens w:val="0"/>
              <w:spacing w:after="0" w:line="240" w:lineRule="auto"/>
              <w:jc w:val="center"/>
              <w:rPr>
                <w:rFonts w:cs="Times New Roman"/>
                <w:szCs w:val="22"/>
                <w:lang w:val="en-GB" w:eastAsia="tr-TR"/>
              </w:rPr>
            </w:pPr>
            <w:r w:rsidRPr="003A69B7">
              <w:rPr>
                <w:rFonts w:cs="Times New Roman"/>
                <w:szCs w:val="22"/>
                <w:lang w:val="en-GB" w:eastAsia="tr-TR"/>
              </w:rPr>
              <w:t>STU</w:t>
            </w:r>
          </w:p>
        </w:tc>
        <w:tc>
          <w:tcPr>
            <w:tcW w:w="3825" w:type="dxa"/>
            <w:tcBorders>
              <w:top w:val="nil"/>
              <w:left w:val="single" w:sz="4" w:space="0" w:color="auto"/>
              <w:bottom w:val="single" w:sz="4" w:space="0" w:color="auto"/>
              <w:right w:val="single" w:sz="4" w:space="0" w:color="auto"/>
            </w:tcBorders>
            <w:shd w:val="clear" w:color="auto" w:fill="auto"/>
            <w:noWrap/>
            <w:vAlign w:val="bottom"/>
            <w:hideMark/>
          </w:tcPr>
          <w:p w14:paraId="0526C3EE" w14:textId="7B7CB441" w:rsidR="008342DA" w:rsidRPr="003A69B7" w:rsidRDefault="00C17831" w:rsidP="003A69B7">
            <w:pPr>
              <w:suppressAutoHyphens w:val="0"/>
              <w:spacing w:after="0" w:line="240" w:lineRule="auto"/>
              <w:jc w:val="left"/>
              <w:rPr>
                <w:rFonts w:cs="Times New Roman"/>
                <w:szCs w:val="22"/>
                <w:lang w:val="en-GB" w:eastAsia="tr-TR"/>
              </w:rPr>
            </w:pPr>
            <w:r w:rsidRPr="003A69B7">
              <w:rPr>
                <w:rFonts w:cs="Times New Roman"/>
                <w:szCs w:val="22"/>
                <w:lang w:val="en-GB" w:eastAsia="tr-TR"/>
              </w:rPr>
              <w:t>Other Services</w:t>
            </w:r>
          </w:p>
        </w:tc>
      </w:tr>
    </w:tbl>
    <w:p w14:paraId="15D9CD96" w14:textId="7EB079D7" w:rsidR="003F5D2D" w:rsidRPr="003F5D2D" w:rsidRDefault="003F5D2D" w:rsidP="003F5D2D">
      <w:pPr>
        <w:rPr>
          <w:lang w:val="en-GB"/>
        </w:rPr>
      </w:pPr>
      <w:r w:rsidRPr="003F5D2D">
        <w:rPr>
          <w:b/>
          <w:sz w:val="20"/>
          <w:szCs w:val="22"/>
          <w:lang w:val="en-GB" w:eastAsia="tr-TR"/>
        </w:rPr>
        <w:t>Source</w:t>
      </w:r>
      <w:r w:rsidR="008342DA" w:rsidRPr="003F5D2D">
        <w:rPr>
          <w:b/>
          <w:sz w:val="20"/>
          <w:szCs w:val="22"/>
          <w:lang w:val="en-GB" w:eastAsia="tr-TR"/>
        </w:rPr>
        <w:t>:</w:t>
      </w:r>
      <w:r w:rsidR="008342DA" w:rsidRPr="003F5D2D">
        <w:rPr>
          <w:sz w:val="20"/>
          <w:szCs w:val="22"/>
          <w:lang w:val="en-GB" w:eastAsia="tr-TR"/>
        </w:rPr>
        <w:t xml:space="preserve"> </w:t>
      </w:r>
      <w:r w:rsidRPr="003F5D2D">
        <w:rPr>
          <w:sz w:val="20"/>
          <w:szCs w:val="20"/>
          <w:lang w:val="en-GB" w:eastAsia="tr-TR"/>
        </w:rPr>
        <w:t>TURKSTAT</w:t>
      </w:r>
      <w:r w:rsidRPr="003F5D2D">
        <w:rPr>
          <w:sz w:val="20"/>
          <w:lang w:val="en-GB"/>
        </w:rPr>
        <w:t xml:space="preserve"> </w:t>
      </w:r>
      <w:r w:rsidRPr="003F5D2D">
        <w:rPr>
          <w:sz w:val="20"/>
          <w:szCs w:val="20"/>
          <w:lang w:val="en-GB" w:eastAsia="tr-TR"/>
        </w:rPr>
        <w:t xml:space="preserve">Labor Force Statistics (http://www.tuik.gov.tr, Date of Access 30.11.2017) </w:t>
      </w:r>
    </w:p>
    <w:p w14:paraId="4184852F" w14:textId="77777777" w:rsidR="00F95EAD" w:rsidRPr="00DA4693" w:rsidRDefault="00F95EAD">
      <w:pPr>
        <w:rPr>
          <w:color w:val="FF0000"/>
        </w:rPr>
      </w:pPr>
    </w:p>
    <w:sectPr w:rsidR="00F95EAD" w:rsidRPr="00DA46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5DB63" w14:textId="77777777" w:rsidR="00A65E29" w:rsidRDefault="00A65E29" w:rsidP="008342DA">
      <w:pPr>
        <w:spacing w:after="0" w:line="240" w:lineRule="auto"/>
      </w:pPr>
      <w:r>
        <w:separator/>
      </w:r>
    </w:p>
  </w:endnote>
  <w:endnote w:type="continuationSeparator" w:id="0">
    <w:p w14:paraId="3AEBAFBA" w14:textId="77777777" w:rsidR="00A65E29" w:rsidRDefault="00A65E29" w:rsidP="0083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6269765"/>
      <w:docPartObj>
        <w:docPartGallery w:val="Page Numbers (Bottom of Page)"/>
        <w:docPartUnique/>
      </w:docPartObj>
    </w:sdtPr>
    <w:sdtEndPr/>
    <w:sdtContent>
      <w:p w14:paraId="4D3018CF" w14:textId="2348CCC4" w:rsidR="00333497" w:rsidRDefault="00333497" w:rsidP="00373358">
        <w:pPr>
          <w:pStyle w:val="Footer"/>
          <w:jc w:val="right"/>
        </w:pPr>
        <w:r>
          <w:fldChar w:fldCharType="begin"/>
        </w:r>
        <w:r>
          <w:instrText>PAGE   \* MERGEFORMAT</w:instrText>
        </w:r>
        <w:r>
          <w:fldChar w:fldCharType="separate"/>
        </w:r>
        <w:r w:rsidR="005B14CF">
          <w:rPr>
            <w:noProof/>
          </w:rPr>
          <w:t>13</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3C6C38" w14:textId="77777777" w:rsidR="00A65E29" w:rsidRDefault="00A65E29" w:rsidP="008342DA">
      <w:pPr>
        <w:spacing w:after="0" w:line="240" w:lineRule="auto"/>
      </w:pPr>
      <w:r>
        <w:separator/>
      </w:r>
    </w:p>
  </w:footnote>
  <w:footnote w:type="continuationSeparator" w:id="0">
    <w:p w14:paraId="6FE4D482" w14:textId="77777777" w:rsidR="00A65E29" w:rsidRDefault="00A65E29" w:rsidP="008342DA">
      <w:pPr>
        <w:spacing w:after="0" w:line="240" w:lineRule="auto"/>
      </w:pPr>
      <w:r>
        <w:continuationSeparator/>
      </w:r>
    </w:p>
  </w:footnote>
  <w:footnote w:id="1">
    <w:p w14:paraId="0D70224B" w14:textId="77777777" w:rsidR="00333497" w:rsidRPr="000E746F" w:rsidRDefault="00333497" w:rsidP="00DA4693">
      <w:pPr>
        <w:pStyle w:val="FootnoteText"/>
        <w:spacing w:after="0" w:line="240" w:lineRule="auto"/>
        <w:rPr>
          <w:lang w:val="en-GB"/>
        </w:rPr>
      </w:pPr>
      <w:r w:rsidRPr="000E746F">
        <w:rPr>
          <w:rStyle w:val="FootnoteReference"/>
          <w:rFonts w:ascii="Arial" w:hAnsi="Arial"/>
          <w:b/>
          <w:bCs/>
          <w:sz w:val="16"/>
          <w:lang w:val="en-GB"/>
        </w:rPr>
        <w:t>*</w:t>
      </w:r>
      <w:r w:rsidRPr="000E746F">
        <w:rPr>
          <w:rFonts w:ascii="Arial" w:hAnsi="Arial" w:cs="Arial"/>
          <w:sz w:val="16"/>
          <w:szCs w:val="16"/>
          <w:lang w:val="en-GB"/>
        </w:rPr>
        <w:t xml:space="preserve">Prof. Dr. Seyfettin Gürsel, Betam, Director, </w:t>
      </w:r>
      <w:hyperlink r:id="rId1" w:history="1">
        <w:r w:rsidRPr="000E746F">
          <w:rPr>
            <w:rStyle w:val="Hyperlink"/>
            <w:lang w:val="en-GB"/>
          </w:rPr>
          <w:t>seyfettin.gursel@eas.bau.edu.tr</w:t>
        </w:r>
      </w:hyperlink>
    </w:p>
  </w:footnote>
  <w:footnote w:id="2">
    <w:p w14:paraId="21E05A16" w14:textId="77777777" w:rsidR="00333497" w:rsidRPr="000E746F" w:rsidRDefault="00333497" w:rsidP="00DA4693">
      <w:pPr>
        <w:pStyle w:val="FootnoteText"/>
        <w:spacing w:after="0" w:line="240" w:lineRule="auto"/>
        <w:rPr>
          <w:rFonts w:ascii="Arial" w:hAnsi="Arial" w:cs="Arial"/>
          <w:sz w:val="16"/>
          <w:szCs w:val="16"/>
          <w:lang w:val="en-GB"/>
        </w:rPr>
      </w:pPr>
      <w:r w:rsidRPr="000E746F">
        <w:rPr>
          <w:rStyle w:val="FootnoteReference"/>
          <w:rFonts w:ascii="Arial" w:hAnsi="Arial"/>
          <w:sz w:val="16"/>
          <w:lang w:val="en-GB"/>
        </w:rPr>
        <w:sym w:font="Symbol" w:char="F02A"/>
      </w:r>
      <w:r w:rsidRPr="000E746F">
        <w:rPr>
          <w:rStyle w:val="FootnoteReference"/>
          <w:rFonts w:ascii="Arial" w:hAnsi="Arial"/>
          <w:sz w:val="16"/>
          <w:lang w:val="en-GB"/>
        </w:rPr>
        <w:sym w:font="Symbol" w:char="F02A"/>
      </w:r>
      <w:r w:rsidRPr="000E746F">
        <w:rPr>
          <w:rFonts w:ascii="Arial" w:hAnsi="Arial" w:cs="Arial"/>
          <w:sz w:val="16"/>
          <w:szCs w:val="16"/>
          <w:lang w:val="en-GB"/>
        </w:rPr>
        <w:t xml:space="preserve"> Ozan Bakış, Betam, </w:t>
      </w:r>
      <w:r>
        <w:rPr>
          <w:rFonts w:ascii="Arial" w:hAnsi="Arial" w:cs="Arial"/>
          <w:sz w:val="16"/>
          <w:szCs w:val="16"/>
          <w:lang w:val="en-GB"/>
        </w:rPr>
        <w:t>Senior Researcher</w:t>
      </w:r>
      <w:r w:rsidRPr="000E746F">
        <w:rPr>
          <w:rFonts w:ascii="Arial" w:hAnsi="Arial" w:cs="Arial"/>
          <w:sz w:val="16"/>
          <w:szCs w:val="16"/>
          <w:lang w:val="en-GB"/>
        </w:rPr>
        <w:t xml:space="preserve">, </w:t>
      </w:r>
      <w:hyperlink r:id="rId2" w:history="1">
        <w:r w:rsidRPr="000E746F">
          <w:rPr>
            <w:rStyle w:val="Hyperlink"/>
            <w:lang w:val="en-GB"/>
          </w:rPr>
          <w:t>ozan.bakis@eas.bau.edu.tr</w:t>
        </w:r>
      </w:hyperlink>
    </w:p>
    <w:p w14:paraId="36ECB25E" w14:textId="77777777" w:rsidR="00333497" w:rsidRPr="006C00C6" w:rsidRDefault="00333497" w:rsidP="00DA4693">
      <w:pPr>
        <w:pStyle w:val="FootnoteText"/>
        <w:spacing w:after="0" w:line="240" w:lineRule="auto"/>
        <w:rPr>
          <w:rFonts w:ascii="Arial" w:hAnsi="Arial" w:cs="Arial"/>
          <w:sz w:val="16"/>
          <w:szCs w:val="16"/>
        </w:rPr>
      </w:pPr>
      <w:r w:rsidRPr="000E746F">
        <w:rPr>
          <w:rFonts w:ascii="Arial" w:hAnsi="Arial" w:cs="Arial"/>
          <w:sz w:val="16"/>
          <w:szCs w:val="16"/>
          <w:lang w:val="en-GB"/>
        </w:rPr>
        <w:t xml:space="preserve">*** Yazgı Genç, Betam, Research Assistant, </w:t>
      </w:r>
      <w:hyperlink r:id="rId3" w:history="1">
        <w:r w:rsidRPr="000E746F">
          <w:rPr>
            <w:rStyle w:val="Hyperlink"/>
            <w:lang w:val="en-GB"/>
          </w:rPr>
          <w:t>yazgi.genc@eas.bau.edu.tr</w:t>
        </w:r>
      </w:hyperlink>
      <w:r>
        <w:rPr>
          <w:rFonts w:ascii="Arial" w:hAnsi="Arial" w:cs="Arial"/>
          <w:sz w:val="16"/>
          <w:szCs w:val="16"/>
        </w:rPr>
        <w:t xml:space="preserve"> </w:t>
      </w:r>
    </w:p>
  </w:footnote>
  <w:footnote w:id="3">
    <w:p w14:paraId="7C152E0B" w14:textId="08BBBC71" w:rsidR="00333497" w:rsidRPr="00005D99" w:rsidRDefault="00333497" w:rsidP="00DA4693">
      <w:pPr>
        <w:pStyle w:val="FootnoteText"/>
        <w:rPr>
          <w:rFonts w:ascii="Palatino Linotype" w:hAnsi="Palatino Linotype"/>
          <w:color w:val="FF0000"/>
          <w:sz w:val="16"/>
          <w:szCs w:val="16"/>
        </w:rPr>
      </w:pPr>
      <w:r w:rsidRPr="005F481A">
        <w:rPr>
          <w:rStyle w:val="FootnoteReference"/>
          <w:rFonts w:ascii="Palatino Linotype" w:hAnsi="Palatino Linotype"/>
          <w:sz w:val="16"/>
          <w:szCs w:val="16"/>
        </w:rPr>
        <w:footnoteRef/>
      </w:r>
      <w:r w:rsidRPr="005F481A">
        <w:rPr>
          <w:rFonts w:ascii="Palatino Linotype" w:hAnsi="Palatino Linotype"/>
          <w:sz w:val="16"/>
          <w:szCs w:val="16"/>
        </w:rPr>
        <w:t xml:space="preserve"> </w:t>
      </w:r>
      <w:r w:rsidR="005F481A" w:rsidRPr="005F481A">
        <w:rPr>
          <w:rFonts w:ascii="Palatino Linotype" w:hAnsi="Palatino Linotype"/>
          <w:sz w:val="16"/>
          <w:szCs w:val="16"/>
        </w:rPr>
        <w:t>See</w:t>
      </w:r>
      <w:r w:rsidRPr="005F481A">
        <w:rPr>
          <w:rFonts w:ascii="Palatino Linotype" w:hAnsi="Palatino Linotype"/>
          <w:sz w:val="16"/>
          <w:szCs w:val="16"/>
        </w:rPr>
        <w:t xml:space="preserve">. </w:t>
      </w:r>
      <w:hyperlink r:id="rId4" w:history="1">
        <w:r w:rsidR="005F481A" w:rsidRPr="00E04190">
          <w:rPr>
            <w:rStyle w:val="Hyperlink"/>
            <w:rFonts w:ascii="Palatino Linotype" w:hAnsi="Palatino Linotype"/>
            <w:sz w:val="16"/>
            <w:szCs w:val="16"/>
          </w:rPr>
          <w:t>http://betam.bahcesehir.edu.tr/en/2018/01/minimum-wage-affects-formal-employment-negatively/</w:t>
        </w:r>
      </w:hyperlink>
    </w:p>
  </w:footnote>
  <w:footnote w:id="4">
    <w:p w14:paraId="5C2F86F8" w14:textId="6719C754" w:rsidR="00333497" w:rsidRPr="005E340A" w:rsidRDefault="00333497" w:rsidP="000C7686">
      <w:pPr>
        <w:pStyle w:val="FootnoteText"/>
        <w:rPr>
          <w:rFonts w:ascii="Palatino Linotype" w:hAnsi="Palatino Linotype"/>
        </w:rPr>
      </w:pPr>
      <w:r w:rsidRPr="005E340A">
        <w:rPr>
          <w:rStyle w:val="FootnoteReference"/>
          <w:rFonts w:ascii="Palatino Linotype" w:hAnsi="Palatino Linotype"/>
        </w:rPr>
        <w:footnoteRef/>
      </w:r>
      <w:r>
        <w:rPr>
          <w:rFonts w:ascii="Palatino Linotype" w:hAnsi="Palatino Linotype"/>
        </w:rPr>
        <w:t xml:space="preserve"> </w:t>
      </w:r>
      <w:r w:rsidRPr="000E6DDA">
        <w:rPr>
          <w:rFonts w:ascii="Palatino Linotype" w:hAnsi="Palatino Linotype"/>
          <w:lang w:val="en-GB"/>
        </w:rPr>
        <w:t>In the period of January and July 2014, net monthly minimum wages were 849 TL and 891 TL respectively. In the period of 2015 these wages were 849 and 1000 TL respectively. We calculated the minimum wages of these years by considering the average minimum wage of January and July (865,5 TL for 2014 and 975 TL for 2015) since there is no periodical information in yearly data. In the period of 2016 and 2017 there is only one minimum wage (1301 TL and 1404 TL respectively).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DA"/>
    <w:rsid w:val="00004599"/>
    <w:rsid w:val="000054F3"/>
    <w:rsid w:val="00005C84"/>
    <w:rsid w:val="000155D8"/>
    <w:rsid w:val="0001689A"/>
    <w:rsid w:val="0002354A"/>
    <w:rsid w:val="00033403"/>
    <w:rsid w:val="00033DA7"/>
    <w:rsid w:val="00041514"/>
    <w:rsid w:val="00042F69"/>
    <w:rsid w:val="0004598A"/>
    <w:rsid w:val="000513AE"/>
    <w:rsid w:val="00063376"/>
    <w:rsid w:val="00063C78"/>
    <w:rsid w:val="00064354"/>
    <w:rsid w:val="00064E24"/>
    <w:rsid w:val="00072E4C"/>
    <w:rsid w:val="00076B58"/>
    <w:rsid w:val="0008418D"/>
    <w:rsid w:val="00091EA4"/>
    <w:rsid w:val="000A077E"/>
    <w:rsid w:val="000A4387"/>
    <w:rsid w:val="000B172D"/>
    <w:rsid w:val="000B3714"/>
    <w:rsid w:val="000C47B4"/>
    <w:rsid w:val="000C7686"/>
    <w:rsid w:val="000D1B8C"/>
    <w:rsid w:val="000D3AAF"/>
    <w:rsid w:val="000D534F"/>
    <w:rsid w:val="000E3E04"/>
    <w:rsid w:val="000E4445"/>
    <w:rsid w:val="000E576A"/>
    <w:rsid w:val="000E5BBB"/>
    <w:rsid w:val="000E6DDA"/>
    <w:rsid w:val="000F39E2"/>
    <w:rsid w:val="000F42D5"/>
    <w:rsid w:val="000F735B"/>
    <w:rsid w:val="0011304B"/>
    <w:rsid w:val="00113ADA"/>
    <w:rsid w:val="00124E8F"/>
    <w:rsid w:val="0012553D"/>
    <w:rsid w:val="00126086"/>
    <w:rsid w:val="00127F70"/>
    <w:rsid w:val="001302CD"/>
    <w:rsid w:val="00141C63"/>
    <w:rsid w:val="00145AA4"/>
    <w:rsid w:val="001518A1"/>
    <w:rsid w:val="00163019"/>
    <w:rsid w:val="00164FF8"/>
    <w:rsid w:val="00170577"/>
    <w:rsid w:val="001744F2"/>
    <w:rsid w:val="001772C7"/>
    <w:rsid w:val="001816CA"/>
    <w:rsid w:val="0018367E"/>
    <w:rsid w:val="001A0C4D"/>
    <w:rsid w:val="001A13CB"/>
    <w:rsid w:val="001A4683"/>
    <w:rsid w:val="001B779A"/>
    <w:rsid w:val="001C06C5"/>
    <w:rsid w:val="001D06CE"/>
    <w:rsid w:val="001D102F"/>
    <w:rsid w:val="001D2B3E"/>
    <w:rsid w:val="001D4632"/>
    <w:rsid w:val="001D47A1"/>
    <w:rsid w:val="001E0F97"/>
    <w:rsid w:val="001F2847"/>
    <w:rsid w:val="001F7B45"/>
    <w:rsid w:val="00202311"/>
    <w:rsid w:val="00204BCE"/>
    <w:rsid w:val="00210F8F"/>
    <w:rsid w:val="00223E97"/>
    <w:rsid w:val="00226815"/>
    <w:rsid w:val="00227C7F"/>
    <w:rsid w:val="00227EEA"/>
    <w:rsid w:val="002303B9"/>
    <w:rsid w:val="00234845"/>
    <w:rsid w:val="0023667F"/>
    <w:rsid w:val="00242E05"/>
    <w:rsid w:val="00243BDF"/>
    <w:rsid w:val="00246C2F"/>
    <w:rsid w:val="00252156"/>
    <w:rsid w:val="00253C7B"/>
    <w:rsid w:val="00261A0E"/>
    <w:rsid w:val="00262014"/>
    <w:rsid w:val="00267B82"/>
    <w:rsid w:val="0027123C"/>
    <w:rsid w:val="00273DCF"/>
    <w:rsid w:val="00274586"/>
    <w:rsid w:val="002763D8"/>
    <w:rsid w:val="00277A7B"/>
    <w:rsid w:val="00277B45"/>
    <w:rsid w:val="00280C71"/>
    <w:rsid w:val="00284E5C"/>
    <w:rsid w:val="0029754F"/>
    <w:rsid w:val="002A2A9C"/>
    <w:rsid w:val="002B61E5"/>
    <w:rsid w:val="002B6667"/>
    <w:rsid w:val="002D1CE2"/>
    <w:rsid w:val="002D6B80"/>
    <w:rsid w:val="002E0ACA"/>
    <w:rsid w:val="002E364A"/>
    <w:rsid w:val="002E4DE1"/>
    <w:rsid w:val="002F0E3B"/>
    <w:rsid w:val="002F2F2B"/>
    <w:rsid w:val="002F36AF"/>
    <w:rsid w:val="002F636A"/>
    <w:rsid w:val="00302E1B"/>
    <w:rsid w:val="00306296"/>
    <w:rsid w:val="00313597"/>
    <w:rsid w:val="00313628"/>
    <w:rsid w:val="00313C5E"/>
    <w:rsid w:val="00320E5C"/>
    <w:rsid w:val="00321547"/>
    <w:rsid w:val="003249CA"/>
    <w:rsid w:val="00326636"/>
    <w:rsid w:val="00332204"/>
    <w:rsid w:val="00333108"/>
    <w:rsid w:val="00333497"/>
    <w:rsid w:val="00333CC3"/>
    <w:rsid w:val="00340537"/>
    <w:rsid w:val="0034220A"/>
    <w:rsid w:val="0034326A"/>
    <w:rsid w:val="00350C84"/>
    <w:rsid w:val="00354F13"/>
    <w:rsid w:val="0036245D"/>
    <w:rsid w:val="0036531D"/>
    <w:rsid w:val="00366A97"/>
    <w:rsid w:val="00366C86"/>
    <w:rsid w:val="00366E29"/>
    <w:rsid w:val="00373358"/>
    <w:rsid w:val="003747A5"/>
    <w:rsid w:val="0037668E"/>
    <w:rsid w:val="00377122"/>
    <w:rsid w:val="00381ED0"/>
    <w:rsid w:val="00385AC2"/>
    <w:rsid w:val="003860A1"/>
    <w:rsid w:val="00392975"/>
    <w:rsid w:val="003A0F26"/>
    <w:rsid w:val="003A3623"/>
    <w:rsid w:val="003A3B25"/>
    <w:rsid w:val="003A4F82"/>
    <w:rsid w:val="003A5372"/>
    <w:rsid w:val="003A69B7"/>
    <w:rsid w:val="003A77F9"/>
    <w:rsid w:val="003B0B28"/>
    <w:rsid w:val="003B1D45"/>
    <w:rsid w:val="003C4FB4"/>
    <w:rsid w:val="003C783B"/>
    <w:rsid w:val="003D1038"/>
    <w:rsid w:val="003D1DD0"/>
    <w:rsid w:val="003D5469"/>
    <w:rsid w:val="003D5470"/>
    <w:rsid w:val="003D67DA"/>
    <w:rsid w:val="003E226E"/>
    <w:rsid w:val="003E2A4B"/>
    <w:rsid w:val="003E7957"/>
    <w:rsid w:val="003F0D69"/>
    <w:rsid w:val="003F2E68"/>
    <w:rsid w:val="003F5D2D"/>
    <w:rsid w:val="003F7379"/>
    <w:rsid w:val="00410752"/>
    <w:rsid w:val="00411EB1"/>
    <w:rsid w:val="0041348B"/>
    <w:rsid w:val="00413EEB"/>
    <w:rsid w:val="00414469"/>
    <w:rsid w:val="00414F5A"/>
    <w:rsid w:val="00427FB2"/>
    <w:rsid w:val="00430144"/>
    <w:rsid w:val="00430421"/>
    <w:rsid w:val="00451B4B"/>
    <w:rsid w:val="00462319"/>
    <w:rsid w:val="00462335"/>
    <w:rsid w:val="0046528A"/>
    <w:rsid w:val="00465AAC"/>
    <w:rsid w:val="0047488E"/>
    <w:rsid w:val="00486E2E"/>
    <w:rsid w:val="0049752F"/>
    <w:rsid w:val="004B5D77"/>
    <w:rsid w:val="004C2BD1"/>
    <w:rsid w:val="004C4497"/>
    <w:rsid w:val="004C55C1"/>
    <w:rsid w:val="004F3084"/>
    <w:rsid w:val="004F4B6E"/>
    <w:rsid w:val="004F5645"/>
    <w:rsid w:val="004F64BF"/>
    <w:rsid w:val="00503E90"/>
    <w:rsid w:val="00505214"/>
    <w:rsid w:val="00506C24"/>
    <w:rsid w:val="0051071F"/>
    <w:rsid w:val="00512D59"/>
    <w:rsid w:val="00513938"/>
    <w:rsid w:val="0052543B"/>
    <w:rsid w:val="00536B71"/>
    <w:rsid w:val="00542E5F"/>
    <w:rsid w:val="00544A22"/>
    <w:rsid w:val="005465D2"/>
    <w:rsid w:val="00560348"/>
    <w:rsid w:val="005656BB"/>
    <w:rsid w:val="005675A5"/>
    <w:rsid w:val="005732CD"/>
    <w:rsid w:val="0057413E"/>
    <w:rsid w:val="00576244"/>
    <w:rsid w:val="00576BDD"/>
    <w:rsid w:val="00577114"/>
    <w:rsid w:val="0059696D"/>
    <w:rsid w:val="005A14DF"/>
    <w:rsid w:val="005A3548"/>
    <w:rsid w:val="005A499F"/>
    <w:rsid w:val="005B1259"/>
    <w:rsid w:val="005B14CF"/>
    <w:rsid w:val="005B1CAC"/>
    <w:rsid w:val="005D429F"/>
    <w:rsid w:val="005E340A"/>
    <w:rsid w:val="005F1303"/>
    <w:rsid w:val="005F481A"/>
    <w:rsid w:val="00600C19"/>
    <w:rsid w:val="00602ED8"/>
    <w:rsid w:val="00603512"/>
    <w:rsid w:val="00604749"/>
    <w:rsid w:val="00613596"/>
    <w:rsid w:val="0061362C"/>
    <w:rsid w:val="0061699D"/>
    <w:rsid w:val="00617F88"/>
    <w:rsid w:val="006249C9"/>
    <w:rsid w:val="006260E3"/>
    <w:rsid w:val="006306B6"/>
    <w:rsid w:val="00630C57"/>
    <w:rsid w:val="00641935"/>
    <w:rsid w:val="00641974"/>
    <w:rsid w:val="00644EB2"/>
    <w:rsid w:val="00644F46"/>
    <w:rsid w:val="00646875"/>
    <w:rsid w:val="00646D4F"/>
    <w:rsid w:val="0065361A"/>
    <w:rsid w:val="0066549B"/>
    <w:rsid w:val="00667188"/>
    <w:rsid w:val="0066776A"/>
    <w:rsid w:val="00692B2F"/>
    <w:rsid w:val="006A355C"/>
    <w:rsid w:val="006A4E3D"/>
    <w:rsid w:val="006B0FB2"/>
    <w:rsid w:val="006D2FD7"/>
    <w:rsid w:val="006D52E7"/>
    <w:rsid w:val="006E0206"/>
    <w:rsid w:val="006F40A7"/>
    <w:rsid w:val="006F62A7"/>
    <w:rsid w:val="00702BA5"/>
    <w:rsid w:val="00702DFC"/>
    <w:rsid w:val="0070331F"/>
    <w:rsid w:val="00705572"/>
    <w:rsid w:val="0071649C"/>
    <w:rsid w:val="00721147"/>
    <w:rsid w:val="007212FD"/>
    <w:rsid w:val="00722FFE"/>
    <w:rsid w:val="007309E2"/>
    <w:rsid w:val="007437D1"/>
    <w:rsid w:val="007457FE"/>
    <w:rsid w:val="0077456C"/>
    <w:rsid w:val="00774E20"/>
    <w:rsid w:val="00776BE1"/>
    <w:rsid w:val="0078666C"/>
    <w:rsid w:val="00790B12"/>
    <w:rsid w:val="00792B23"/>
    <w:rsid w:val="00792DA5"/>
    <w:rsid w:val="007A00AC"/>
    <w:rsid w:val="007A5DBB"/>
    <w:rsid w:val="007B0077"/>
    <w:rsid w:val="007B02BB"/>
    <w:rsid w:val="007B304C"/>
    <w:rsid w:val="007C3930"/>
    <w:rsid w:val="007D2795"/>
    <w:rsid w:val="007D6D32"/>
    <w:rsid w:val="007E551B"/>
    <w:rsid w:val="007F101F"/>
    <w:rsid w:val="007F69C8"/>
    <w:rsid w:val="00813B4F"/>
    <w:rsid w:val="00814238"/>
    <w:rsid w:val="00820C18"/>
    <w:rsid w:val="008342DA"/>
    <w:rsid w:val="008350DC"/>
    <w:rsid w:val="008378BE"/>
    <w:rsid w:val="00844165"/>
    <w:rsid w:val="008518E4"/>
    <w:rsid w:val="0086173D"/>
    <w:rsid w:val="0086508E"/>
    <w:rsid w:val="00871327"/>
    <w:rsid w:val="00872E3C"/>
    <w:rsid w:val="00876F23"/>
    <w:rsid w:val="00890782"/>
    <w:rsid w:val="0089127B"/>
    <w:rsid w:val="00897164"/>
    <w:rsid w:val="008A0C5D"/>
    <w:rsid w:val="008A12AE"/>
    <w:rsid w:val="008A190E"/>
    <w:rsid w:val="008B1509"/>
    <w:rsid w:val="008B1620"/>
    <w:rsid w:val="008B22F2"/>
    <w:rsid w:val="008B3E30"/>
    <w:rsid w:val="008B61C1"/>
    <w:rsid w:val="008C206A"/>
    <w:rsid w:val="008D0871"/>
    <w:rsid w:val="008D1C8E"/>
    <w:rsid w:val="008D74E8"/>
    <w:rsid w:val="008E4534"/>
    <w:rsid w:val="008E779C"/>
    <w:rsid w:val="008F4BA5"/>
    <w:rsid w:val="008F6893"/>
    <w:rsid w:val="009001CB"/>
    <w:rsid w:val="00907CE5"/>
    <w:rsid w:val="00910915"/>
    <w:rsid w:val="0091154E"/>
    <w:rsid w:val="0092012D"/>
    <w:rsid w:val="00922C69"/>
    <w:rsid w:val="00924F54"/>
    <w:rsid w:val="00930009"/>
    <w:rsid w:val="00931604"/>
    <w:rsid w:val="00931F27"/>
    <w:rsid w:val="0094231D"/>
    <w:rsid w:val="00945F2C"/>
    <w:rsid w:val="0095092C"/>
    <w:rsid w:val="00952857"/>
    <w:rsid w:val="00954CE7"/>
    <w:rsid w:val="00957763"/>
    <w:rsid w:val="00962B47"/>
    <w:rsid w:val="0096454B"/>
    <w:rsid w:val="00970DC4"/>
    <w:rsid w:val="00974D20"/>
    <w:rsid w:val="00975927"/>
    <w:rsid w:val="0097658A"/>
    <w:rsid w:val="009824C1"/>
    <w:rsid w:val="009842CC"/>
    <w:rsid w:val="00986DC0"/>
    <w:rsid w:val="00990BD7"/>
    <w:rsid w:val="00993190"/>
    <w:rsid w:val="00995A03"/>
    <w:rsid w:val="00996A38"/>
    <w:rsid w:val="00996E77"/>
    <w:rsid w:val="009A3332"/>
    <w:rsid w:val="009B7984"/>
    <w:rsid w:val="009E0CB8"/>
    <w:rsid w:val="009E12F9"/>
    <w:rsid w:val="009E43AB"/>
    <w:rsid w:val="009E56EF"/>
    <w:rsid w:val="009E708E"/>
    <w:rsid w:val="009F015C"/>
    <w:rsid w:val="009F0F32"/>
    <w:rsid w:val="009F2ABF"/>
    <w:rsid w:val="009F7268"/>
    <w:rsid w:val="00A04559"/>
    <w:rsid w:val="00A060FF"/>
    <w:rsid w:val="00A22C64"/>
    <w:rsid w:val="00A25191"/>
    <w:rsid w:val="00A51062"/>
    <w:rsid w:val="00A51C3E"/>
    <w:rsid w:val="00A524A9"/>
    <w:rsid w:val="00A550AF"/>
    <w:rsid w:val="00A5648A"/>
    <w:rsid w:val="00A62CA6"/>
    <w:rsid w:val="00A65992"/>
    <w:rsid w:val="00A65E29"/>
    <w:rsid w:val="00A66359"/>
    <w:rsid w:val="00A67B85"/>
    <w:rsid w:val="00A704FD"/>
    <w:rsid w:val="00A71734"/>
    <w:rsid w:val="00A87507"/>
    <w:rsid w:val="00A87DCB"/>
    <w:rsid w:val="00A92D72"/>
    <w:rsid w:val="00AA0719"/>
    <w:rsid w:val="00AA0CDF"/>
    <w:rsid w:val="00AA1D5C"/>
    <w:rsid w:val="00AA4414"/>
    <w:rsid w:val="00AB1DDB"/>
    <w:rsid w:val="00AB397B"/>
    <w:rsid w:val="00AD086E"/>
    <w:rsid w:val="00AE5C02"/>
    <w:rsid w:val="00AF0A23"/>
    <w:rsid w:val="00AF67B7"/>
    <w:rsid w:val="00B0189E"/>
    <w:rsid w:val="00B23113"/>
    <w:rsid w:val="00B269BA"/>
    <w:rsid w:val="00B27556"/>
    <w:rsid w:val="00B32C6A"/>
    <w:rsid w:val="00B37EA5"/>
    <w:rsid w:val="00B4482E"/>
    <w:rsid w:val="00B52BE2"/>
    <w:rsid w:val="00B54D20"/>
    <w:rsid w:val="00B55C31"/>
    <w:rsid w:val="00B75E9D"/>
    <w:rsid w:val="00B830D0"/>
    <w:rsid w:val="00B903EE"/>
    <w:rsid w:val="00B95EAB"/>
    <w:rsid w:val="00BA1232"/>
    <w:rsid w:val="00BA46D9"/>
    <w:rsid w:val="00BA7E34"/>
    <w:rsid w:val="00BB3A54"/>
    <w:rsid w:val="00BB5287"/>
    <w:rsid w:val="00BB7CBD"/>
    <w:rsid w:val="00BC2628"/>
    <w:rsid w:val="00BC2EC7"/>
    <w:rsid w:val="00BC63A5"/>
    <w:rsid w:val="00BE14B7"/>
    <w:rsid w:val="00BE78BE"/>
    <w:rsid w:val="00BF09EA"/>
    <w:rsid w:val="00BF18AC"/>
    <w:rsid w:val="00C07E2B"/>
    <w:rsid w:val="00C10B47"/>
    <w:rsid w:val="00C138D1"/>
    <w:rsid w:val="00C17831"/>
    <w:rsid w:val="00C22019"/>
    <w:rsid w:val="00C275C3"/>
    <w:rsid w:val="00C3319D"/>
    <w:rsid w:val="00C44E5A"/>
    <w:rsid w:val="00C47D49"/>
    <w:rsid w:val="00C50739"/>
    <w:rsid w:val="00C53D35"/>
    <w:rsid w:val="00C747FB"/>
    <w:rsid w:val="00C7662C"/>
    <w:rsid w:val="00C84CBE"/>
    <w:rsid w:val="00C90B4A"/>
    <w:rsid w:val="00C90F0B"/>
    <w:rsid w:val="00C92750"/>
    <w:rsid w:val="00C978D2"/>
    <w:rsid w:val="00C97DA2"/>
    <w:rsid w:val="00CB45B3"/>
    <w:rsid w:val="00CB5C5D"/>
    <w:rsid w:val="00CB6D3C"/>
    <w:rsid w:val="00CC28BE"/>
    <w:rsid w:val="00CD62CA"/>
    <w:rsid w:val="00CE0BB7"/>
    <w:rsid w:val="00CF6B02"/>
    <w:rsid w:val="00D032AC"/>
    <w:rsid w:val="00D039D6"/>
    <w:rsid w:val="00D214B9"/>
    <w:rsid w:val="00D216F7"/>
    <w:rsid w:val="00D222ED"/>
    <w:rsid w:val="00D25423"/>
    <w:rsid w:val="00D34E16"/>
    <w:rsid w:val="00D34F84"/>
    <w:rsid w:val="00D37932"/>
    <w:rsid w:val="00D623E6"/>
    <w:rsid w:val="00D63E7F"/>
    <w:rsid w:val="00D727A3"/>
    <w:rsid w:val="00D72F1A"/>
    <w:rsid w:val="00D74543"/>
    <w:rsid w:val="00D80576"/>
    <w:rsid w:val="00D87404"/>
    <w:rsid w:val="00D91D4D"/>
    <w:rsid w:val="00DA4693"/>
    <w:rsid w:val="00DA6A78"/>
    <w:rsid w:val="00DB2298"/>
    <w:rsid w:val="00DC0DBF"/>
    <w:rsid w:val="00DC3A86"/>
    <w:rsid w:val="00DE4EA2"/>
    <w:rsid w:val="00DE5CA4"/>
    <w:rsid w:val="00E00E7D"/>
    <w:rsid w:val="00E137F5"/>
    <w:rsid w:val="00E162EE"/>
    <w:rsid w:val="00E16552"/>
    <w:rsid w:val="00E2008C"/>
    <w:rsid w:val="00E42737"/>
    <w:rsid w:val="00E471B8"/>
    <w:rsid w:val="00E53923"/>
    <w:rsid w:val="00E56500"/>
    <w:rsid w:val="00E62394"/>
    <w:rsid w:val="00E70CEB"/>
    <w:rsid w:val="00E763B0"/>
    <w:rsid w:val="00E7664F"/>
    <w:rsid w:val="00E77166"/>
    <w:rsid w:val="00E807EF"/>
    <w:rsid w:val="00E80AEF"/>
    <w:rsid w:val="00E86796"/>
    <w:rsid w:val="00E91548"/>
    <w:rsid w:val="00E94D2C"/>
    <w:rsid w:val="00EA036F"/>
    <w:rsid w:val="00EA13DA"/>
    <w:rsid w:val="00EA46F7"/>
    <w:rsid w:val="00EA5812"/>
    <w:rsid w:val="00EA7787"/>
    <w:rsid w:val="00EB5237"/>
    <w:rsid w:val="00EB6C16"/>
    <w:rsid w:val="00EB7692"/>
    <w:rsid w:val="00ED17A4"/>
    <w:rsid w:val="00ED6477"/>
    <w:rsid w:val="00EE1D39"/>
    <w:rsid w:val="00F20504"/>
    <w:rsid w:val="00F21CD1"/>
    <w:rsid w:val="00F3228F"/>
    <w:rsid w:val="00F33BED"/>
    <w:rsid w:val="00F35452"/>
    <w:rsid w:val="00F4716A"/>
    <w:rsid w:val="00F47553"/>
    <w:rsid w:val="00F55140"/>
    <w:rsid w:val="00F611EB"/>
    <w:rsid w:val="00F71EE0"/>
    <w:rsid w:val="00F72999"/>
    <w:rsid w:val="00F77A00"/>
    <w:rsid w:val="00F817CD"/>
    <w:rsid w:val="00F819E1"/>
    <w:rsid w:val="00F95623"/>
    <w:rsid w:val="00F95EAD"/>
    <w:rsid w:val="00F96E99"/>
    <w:rsid w:val="00FA25BD"/>
    <w:rsid w:val="00FA7C7B"/>
    <w:rsid w:val="00FB1CDE"/>
    <w:rsid w:val="00FB717B"/>
    <w:rsid w:val="00FC391F"/>
    <w:rsid w:val="00FC47BB"/>
    <w:rsid w:val="00FD0F82"/>
    <w:rsid w:val="00FD5037"/>
    <w:rsid w:val="00FE1593"/>
    <w:rsid w:val="00FE1DC1"/>
    <w:rsid w:val="00FE211E"/>
    <w:rsid w:val="00FE34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03F66"/>
  <w15:docId w15:val="{9E5A2113-51B6-4F66-B262-1D37F36B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DA"/>
    <w:pPr>
      <w:suppressAutoHyphens/>
      <w:spacing w:after="240"/>
      <w:jc w:val="both"/>
    </w:pPr>
    <w:rPr>
      <w:rFonts w:ascii="Palatino Linotype" w:eastAsia="Times New Roman" w:hAnsi="Palatino Linotype" w:cs="Arial"/>
      <w:szCs w:val="16"/>
      <w:lang w:eastAsia="ar-SA"/>
    </w:rPr>
  </w:style>
  <w:style w:type="paragraph" w:styleId="Heading1">
    <w:name w:val="heading 1"/>
    <w:basedOn w:val="Normal"/>
    <w:next w:val="Normal"/>
    <w:link w:val="Heading1Char"/>
    <w:uiPriority w:val="9"/>
    <w:qFormat/>
    <w:rsid w:val="004144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8342DA"/>
    <w:pPr>
      <w:keepNext/>
      <w:spacing w:before="240" w:after="60"/>
      <w:outlineLvl w:val="1"/>
    </w:pPr>
    <w:rPr>
      <w:b/>
      <w:bCs/>
      <w:iCs/>
      <w:sz w:val="2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342DA"/>
    <w:rPr>
      <w:rFonts w:ascii="Palatino Linotype" w:eastAsia="Times New Roman" w:hAnsi="Palatino Linotype" w:cs="Arial"/>
      <w:b/>
      <w:bCs/>
      <w:iCs/>
      <w:sz w:val="26"/>
      <w:szCs w:val="28"/>
      <w:lang w:val="en-GB" w:eastAsia="ar-SA"/>
    </w:rPr>
  </w:style>
  <w:style w:type="paragraph" w:styleId="Caption">
    <w:name w:val="caption"/>
    <w:basedOn w:val="Normal"/>
    <w:next w:val="Normal"/>
    <w:uiPriority w:val="35"/>
    <w:qFormat/>
    <w:rsid w:val="008342DA"/>
    <w:rPr>
      <w:b/>
      <w:bCs/>
      <w:sz w:val="18"/>
      <w:szCs w:val="20"/>
    </w:rPr>
  </w:style>
  <w:style w:type="character" w:styleId="FootnoteReference">
    <w:name w:val="footnote reference"/>
    <w:basedOn w:val="DefaultParagraphFont"/>
    <w:uiPriority w:val="99"/>
    <w:semiHidden/>
    <w:rsid w:val="008342DA"/>
    <w:rPr>
      <w:vertAlign w:val="superscript"/>
    </w:rPr>
  </w:style>
  <w:style w:type="paragraph" w:styleId="FootnoteText">
    <w:name w:val="footnote text"/>
    <w:basedOn w:val="Normal"/>
    <w:link w:val="FootnoteTextChar"/>
    <w:uiPriority w:val="99"/>
    <w:semiHidden/>
    <w:rsid w:val="008342DA"/>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342DA"/>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8342DA"/>
    <w:pPr>
      <w:tabs>
        <w:tab w:val="center" w:pos="4703"/>
        <w:tab w:val="right" w:pos="9406"/>
      </w:tabs>
    </w:pPr>
  </w:style>
  <w:style w:type="character" w:customStyle="1" w:styleId="FooterChar">
    <w:name w:val="Footer Char"/>
    <w:basedOn w:val="DefaultParagraphFont"/>
    <w:link w:val="Footer"/>
    <w:uiPriority w:val="99"/>
    <w:rsid w:val="008342DA"/>
    <w:rPr>
      <w:rFonts w:ascii="Palatino Linotype" w:eastAsia="Times New Roman" w:hAnsi="Palatino Linotype" w:cs="Arial"/>
      <w:szCs w:val="16"/>
      <w:lang w:eastAsia="ar-SA"/>
    </w:rPr>
  </w:style>
  <w:style w:type="paragraph" w:styleId="NoSpacing">
    <w:name w:val="No Spacing"/>
    <w:uiPriority w:val="1"/>
    <w:qFormat/>
    <w:rsid w:val="008342DA"/>
    <w:pPr>
      <w:suppressAutoHyphens/>
      <w:spacing w:after="0" w:line="240" w:lineRule="auto"/>
    </w:pPr>
    <w:rPr>
      <w:rFonts w:ascii="Arial" w:eastAsia="Times New Roman" w:hAnsi="Arial" w:cs="Arial"/>
      <w:sz w:val="16"/>
      <w:szCs w:val="16"/>
      <w:lang w:eastAsia="ar-SA"/>
    </w:rPr>
  </w:style>
  <w:style w:type="character" w:styleId="Hyperlink">
    <w:name w:val="Hyperlink"/>
    <w:basedOn w:val="DefaultParagraphFont"/>
    <w:uiPriority w:val="99"/>
    <w:unhideWhenUsed/>
    <w:rsid w:val="008A0C5D"/>
    <w:rPr>
      <w:color w:val="0000FF"/>
      <w:u w:val="single"/>
    </w:rPr>
  </w:style>
  <w:style w:type="character" w:styleId="Emphasis">
    <w:name w:val="Emphasis"/>
    <w:basedOn w:val="DefaultParagraphFont"/>
    <w:uiPriority w:val="20"/>
    <w:qFormat/>
    <w:rsid w:val="00354F13"/>
    <w:rPr>
      <w:i/>
      <w:iCs/>
    </w:rPr>
  </w:style>
  <w:style w:type="character" w:customStyle="1" w:styleId="zmlenmeyenBahsetme1">
    <w:name w:val="Çözümlenmeyen Bahsetme1"/>
    <w:basedOn w:val="DefaultParagraphFont"/>
    <w:uiPriority w:val="99"/>
    <w:semiHidden/>
    <w:unhideWhenUsed/>
    <w:rsid w:val="007B0077"/>
    <w:rPr>
      <w:color w:val="808080"/>
      <w:shd w:val="clear" w:color="auto" w:fill="E6E6E6"/>
    </w:rPr>
  </w:style>
  <w:style w:type="character" w:styleId="FollowedHyperlink">
    <w:name w:val="FollowedHyperlink"/>
    <w:basedOn w:val="DefaultParagraphFont"/>
    <w:uiPriority w:val="99"/>
    <w:semiHidden/>
    <w:unhideWhenUsed/>
    <w:rsid w:val="007B0077"/>
    <w:rPr>
      <w:color w:val="800080" w:themeColor="followedHyperlink"/>
      <w:u w:val="single"/>
    </w:rPr>
  </w:style>
  <w:style w:type="paragraph" w:styleId="Header">
    <w:name w:val="header"/>
    <w:basedOn w:val="Normal"/>
    <w:link w:val="HeaderChar"/>
    <w:uiPriority w:val="99"/>
    <w:unhideWhenUsed/>
    <w:rsid w:val="00BA46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46D9"/>
    <w:rPr>
      <w:rFonts w:ascii="Palatino Linotype" w:eastAsia="Times New Roman" w:hAnsi="Palatino Linotype" w:cs="Arial"/>
      <w:szCs w:val="16"/>
      <w:lang w:eastAsia="ar-SA"/>
    </w:rPr>
  </w:style>
  <w:style w:type="character" w:styleId="CommentReference">
    <w:name w:val="annotation reference"/>
    <w:basedOn w:val="DefaultParagraphFont"/>
    <w:uiPriority w:val="99"/>
    <w:semiHidden/>
    <w:unhideWhenUsed/>
    <w:rsid w:val="00EB5237"/>
    <w:rPr>
      <w:sz w:val="16"/>
      <w:szCs w:val="16"/>
    </w:rPr>
  </w:style>
  <w:style w:type="paragraph" w:styleId="CommentText">
    <w:name w:val="annotation text"/>
    <w:basedOn w:val="Normal"/>
    <w:link w:val="CommentTextChar"/>
    <w:uiPriority w:val="99"/>
    <w:semiHidden/>
    <w:unhideWhenUsed/>
    <w:rsid w:val="00EB5237"/>
    <w:pPr>
      <w:spacing w:line="240" w:lineRule="auto"/>
    </w:pPr>
    <w:rPr>
      <w:sz w:val="20"/>
      <w:szCs w:val="20"/>
    </w:rPr>
  </w:style>
  <w:style w:type="character" w:customStyle="1" w:styleId="CommentTextChar">
    <w:name w:val="Comment Text Char"/>
    <w:basedOn w:val="DefaultParagraphFont"/>
    <w:link w:val="CommentText"/>
    <w:uiPriority w:val="99"/>
    <w:semiHidden/>
    <w:rsid w:val="00EB5237"/>
    <w:rPr>
      <w:rFonts w:ascii="Palatino Linotype" w:eastAsia="Times New Roman" w:hAnsi="Palatino Linotype" w:cs="Arial"/>
      <w:sz w:val="20"/>
      <w:szCs w:val="20"/>
      <w:lang w:eastAsia="ar-SA"/>
    </w:rPr>
  </w:style>
  <w:style w:type="paragraph" w:styleId="CommentSubject">
    <w:name w:val="annotation subject"/>
    <w:basedOn w:val="CommentText"/>
    <w:next w:val="CommentText"/>
    <w:link w:val="CommentSubjectChar"/>
    <w:uiPriority w:val="99"/>
    <w:semiHidden/>
    <w:unhideWhenUsed/>
    <w:rsid w:val="00EB5237"/>
    <w:rPr>
      <w:b/>
      <w:bCs/>
    </w:rPr>
  </w:style>
  <w:style w:type="character" w:customStyle="1" w:styleId="CommentSubjectChar">
    <w:name w:val="Comment Subject Char"/>
    <w:basedOn w:val="CommentTextChar"/>
    <w:link w:val="CommentSubject"/>
    <w:uiPriority w:val="99"/>
    <w:semiHidden/>
    <w:rsid w:val="00EB5237"/>
    <w:rPr>
      <w:rFonts w:ascii="Palatino Linotype" w:eastAsia="Times New Roman" w:hAnsi="Palatino Linotype" w:cs="Arial"/>
      <w:b/>
      <w:bCs/>
      <w:sz w:val="20"/>
      <w:szCs w:val="20"/>
      <w:lang w:eastAsia="ar-SA"/>
    </w:rPr>
  </w:style>
  <w:style w:type="paragraph" w:styleId="BalloonText">
    <w:name w:val="Balloon Text"/>
    <w:basedOn w:val="Normal"/>
    <w:link w:val="BalloonTextChar"/>
    <w:uiPriority w:val="99"/>
    <w:semiHidden/>
    <w:unhideWhenUsed/>
    <w:rsid w:val="00EB5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237"/>
    <w:rPr>
      <w:rFonts w:ascii="Segoe UI" w:eastAsia="Times New Roman" w:hAnsi="Segoe UI" w:cs="Segoe UI"/>
      <w:sz w:val="18"/>
      <w:szCs w:val="18"/>
      <w:lang w:eastAsia="ar-SA"/>
    </w:rPr>
  </w:style>
  <w:style w:type="character" w:customStyle="1" w:styleId="shorttext">
    <w:name w:val="short_text"/>
    <w:basedOn w:val="DefaultParagraphFont"/>
    <w:rsid w:val="00D039D6"/>
  </w:style>
  <w:style w:type="character" w:customStyle="1" w:styleId="UnresolvedMention">
    <w:name w:val="Unresolved Mention"/>
    <w:basedOn w:val="DefaultParagraphFont"/>
    <w:uiPriority w:val="99"/>
    <w:rsid w:val="00124E8F"/>
    <w:rPr>
      <w:color w:val="808080"/>
      <w:shd w:val="clear" w:color="auto" w:fill="E6E6E6"/>
    </w:rPr>
  </w:style>
  <w:style w:type="character" w:customStyle="1" w:styleId="Heading1Char">
    <w:name w:val="Heading 1 Char"/>
    <w:basedOn w:val="DefaultParagraphFont"/>
    <w:link w:val="Heading1"/>
    <w:uiPriority w:val="9"/>
    <w:rsid w:val="00414469"/>
    <w:rPr>
      <w:rFonts w:asciiTheme="majorHAnsi" w:eastAsiaTheme="majorEastAsia" w:hAnsiTheme="majorHAnsi" w:cstheme="majorBidi"/>
      <w:color w:val="365F91" w:themeColor="accent1" w:themeShade="BF"/>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2307">
      <w:bodyDiv w:val="1"/>
      <w:marLeft w:val="0"/>
      <w:marRight w:val="0"/>
      <w:marTop w:val="0"/>
      <w:marBottom w:val="0"/>
      <w:divBdr>
        <w:top w:val="none" w:sz="0" w:space="0" w:color="auto"/>
        <w:left w:val="none" w:sz="0" w:space="0" w:color="auto"/>
        <w:bottom w:val="none" w:sz="0" w:space="0" w:color="auto"/>
        <w:right w:val="none" w:sz="0" w:space="0" w:color="auto"/>
      </w:divBdr>
    </w:div>
    <w:div w:id="212426493">
      <w:bodyDiv w:val="1"/>
      <w:marLeft w:val="0"/>
      <w:marRight w:val="0"/>
      <w:marTop w:val="0"/>
      <w:marBottom w:val="0"/>
      <w:divBdr>
        <w:top w:val="none" w:sz="0" w:space="0" w:color="auto"/>
        <w:left w:val="none" w:sz="0" w:space="0" w:color="auto"/>
        <w:bottom w:val="none" w:sz="0" w:space="0" w:color="auto"/>
        <w:right w:val="none" w:sz="0" w:space="0" w:color="auto"/>
      </w:divBdr>
    </w:div>
    <w:div w:id="538593965">
      <w:bodyDiv w:val="1"/>
      <w:marLeft w:val="0"/>
      <w:marRight w:val="0"/>
      <w:marTop w:val="0"/>
      <w:marBottom w:val="0"/>
      <w:divBdr>
        <w:top w:val="none" w:sz="0" w:space="0" w:color="auto"/>
        <w:left w:val="none" w:sz="0" w:space="0" w:color="auto"/>
        <w:bottom w:val="none" w:sz="0" w:space="0" w:color="auto"/>
        <w:right w:val="none" w:sz="0" w:space="0" w:color="auto"/>
      </w:divBdr>
    </w:div>
    <w:div w:id="589631045">
      <w:bodyDiv w:val="1"/>
      <w:marLeft w:val="0"/>
      <w:marRight w:val="0"/>
      <w:marTop w:val="0"/>
      <w:marBottom w:val="0"/>
      <w:divBdr>
        <w:top w:val="none" w:sz="0" w:space="0" w:color="auto"/>
        <w:left w:val="none" w:sz="0" w:space="0" w:color="auto"/>
        <w:bottom w:val="none" w:sz="0" w:space="0" w:color="auto"/>
        <w:right w:val="none" w:sz="0" w:space="0" w:color="auto"/>
      </w:divBdr>
    </w:div>
    <w:div w:id="829711537">
      <w:bodyDiv w:val="1"/>
      <w:marLeft w:val="0"/>
      <w:marRight w:val="0"/>
      <w:marTop w:val="0"/>
      <w:marBottom w:val="0"/>
      <w:divBdr>
        <w:top w:val="none" w:sz="0" w:space="0" w:color="auto"/>
        <w:left w:val="none" w:sz="0" w:space="0" w:color="auto"/>
        <w:bottom w:val="none" w:sz="0" w:space="0" w:color="auto"/>
        <w:right w:val="none" w:sz="0" w:space="0" w:color="auto"/>
      </w:divBdr>
    </w:div>
    <w:div w:id="862204129">
      <w:bodyDiv w:val="1"/>
      <w:marLeft w:val="0"/>
      <w:marRight w:val="0"/>
      <w:marTop w:val="0"/>
      <w:marBottom w:val="0"/>
      <w:divBdr>
        <w:top w:val="none" w:sz="0" w:space="0" w:color="auto"/>
        <w:left w:val="none" w:sz="0" w:space="0" w:color="auto"/>
        <w:bottom w:val="none" w:sz="0" w:space="0" w:color="auto"/>
        <w:right w:val="none" w:sz="0" w:space="0" w:color="auto"/>
      </w:divBdr>
    </w:div>
    <w:div w:id="906888376">
      <w:bodyDiv w:val="1"/>
      <w:marLeft w:val="0"/>
      <w:marRight w:val="0"/>
      <w:marTop w:val="0"/>
      <w:marBottom w:val="0"/>
      <w:divBdr>
        <w:top w:val="none" w:sz="0" w:space="0" w:color="auto"/>
        <w:left w:val="none" w:sz="0" w:space="0" w:color="auto"/>
        <w:bottom w:val="none" w:sz="0" w:space="0" w:color="auto"/>
        <w:right w:val="none" w:sz="0" w:space="0" w:color="auto"/>
      </w:divBdr>
    </w:div>
    <w:div w:id="1113750282">
      <w:bodyDiv w:val="1"/>
      <w:marLeft w:val="0"/>
      <w:marRight w:val="0"/>
      <w:marTop w:val="0"/>
      <w:marBottom w:val="0"/>
      <w:divBdr>
        <w:top w:val="none" w:sz="0" w:space="0" w:color="auto"/>
        <w:left w:val="none" w:sz="0" w:space="0" w:color="auto"/>
        <w:bottom w:val="none" w:sz="0" w:space="0" w:color="auto"/>
        <w:right w:val="none" w:sz="0" w:space="0" w:color="auto"/>
      </w:divBdr>
    </w:div>
    <w:div w:id="1320500215">
      <w:bodyDiv w:val="1"/>
      <w:marLeft w:val="0"/>
      <w:marRight w:val="0"/>
      <w:marTop w:val="0"/>
      <w:marBottom w:val="0"/>
      <w:divBdr>
        <w:top w:val="none" w:sz="0" w:space="0" w:color="auto"/>
        <w:left w:val="none" w:sz="0" w:space="0" w:color="auto"/>
        <w:bottom w:val="none" w:sz="0" w:space="0" w:color="auto"/>
        <w:right w:val="none" w:sz="0" w:space="0" w:color="auto"/>
      </w:divBdr>
    </w:div>
    <w:div w:id="1404139559">
      <w:bodyDiv w:val="1"/>
      <w:marLeft w:val="0"/>
      <w:marRight w:val="0"/>
      <w:marTop w:val="0"/>
      <w:marBottom w:val="0"/>
      <w:divBdr>
        <w:top w:val="none" w:sz="0" w:space="0" w:color="auto"/>
        <w:left w:val="none" w:sz="0" w:space="0" w:color="auto"/>
        <w:bottom w:val="none" w:sz="0" w:space="0" w:color="auto"/>
        <w:right w:val="none" w:sz="0" w:space="0" w:color="auto"/>
      </w:divBdr>
    </w:div>
    <w:div w:id="1406806617">
      <w:bodyDiv w:val="1"/>
      <w:marLeft w:val="0"/>
      <w:marRight w:val="0"/>
      <w:marTop w:val="0"/>
      <w:marBottom w:val="0"/>
      <w:divBdr>
        <w:top w:val="none" w:sz="0" w:space="0" w:color="auto"/>
        <w:left w:val="none" w:sz="0" w:space="0" w:color="auto"/>
        <w:bottom w:val="none" w:sz="0" w:space="0" w:color="auto"/>
        <w:right w:val="none" w:sz="0" w:space="0" w:color="auto"/>
      </w:divBdr>
    </w:div>
    <w:div w:id="1603564602">
      <w:bodyDiv w:val="1"/>
      <w:marLeft w:val="0"/>
      <w:marRight w:val="0"/>
      <w:marTop w:val="0"/>
      <w:marBottom w:val="0"/>
      <w:divBdr>
        <w:top w:val="none" w:sz="0" w:space="0" w:color="auto"/>
        <w:left w:val="none" w:sz="0" w:space="0" w:color="auto"/>
        <w:bottom w:val="none" w:sz="0" w:space="0" w:color="auto"/>
        <w:right w:val="none" w:sz="0" w:space="0" w:color="auto"/>
      </w:divBdr>
    </w:div>
    <w:div w:id="1610547485">
      <w:bodyDiv w:val="1"/>
      <w:marLeft w:val="0"/>
      <w:marRight w:val="0"/>
      <w:marTop w:val="0"/>
      <w:marBottom w:val="0"/>
      <w:divBdr>
        <w:top w:val="none" w:sz="0" w:space="0" w:color="auto"/>
        <w:left w:val="none" w:sz="0" w:space="0" w:color="auto"/>
        <w:bottom w:val="none" w:sz="0" w:space="0" w:color="auto"/>
        <w:right w:val="none" w:sz="0" w:space="0" w:color="auto"/>
      </w:divBdr>
    </w:div>
    <w:div w:id="1843809727">
      <w:bodyDiv w:val="1"/>
      <w:marLeft w:val="0"/>
      <w:marRight w:val="0"/>
      <w:marTop w:val="0"/>
      <w:marBottom w:val="0"/>
      <w:divBdr>
        <w:top w:val="none" w:sz="0" w:space="0" w:color="auto"/>
        <w:left w:val="none" w:sz="0" w:space="0" w:color="auto"/>
        <w:bottom w:val="none" w:sz="0" w:space="0" w:color="auto"/>
        <w:right w:val="none" w:sz="0" w:space="0" w:color="auto"/>
      </w:divBdr>
    </w:div>
    <w:div w:id="1852985096">
      <w:bodyDiv w:val="1"/>
      <w:marLeft w:val="0"/>
      <w:marRight w:val="0"/>
      <w:marTop w:val="0"/>
      <w:marBottom w:val="0"/>
      <w:divBdr>
        <w:top w:val="none" w:sz="0" w:space="0" w:color="auto"/>
        <w:left w:val="none" w:sz="0" w:space="0" w:color="auto"/>
        <w:bottom w:val="none" w:sz="0" w:space="0" w:color="auto"/>
        <w:right w:val="none" w:sz="0" w:space="0" w:color="auto"/>
      </w:divBdr>
    </w:div>
    <w:div w:id="1892496933">
      <w:bodyDiv w:val="1"/>
      <w:marLeft w:val="0"/>
      <w:marRight w:val="0"/>
      <w:marTop w:val="0"/>
      <w:marBottom w:val="0"/>
      <w:divBdr>
        <w:top w:val="none" w:sz="0" w:space="0" w:color="auto"/>
        <w:left w:val="none" w:sz="0" w:space="0" w:color="auto"/>
        <w:bottom w:val="none" w:sz="0" w:space="0" w:color="auto"/>
        <w:right w:val="none" w:sz="0" w:space="0" w:color="auto"/>
      </w:divBdr>
      <w:divsChild>
        <w:div w:id="368729304">
          <w:marLeft w:val="0"/>
          <w:marRight w:val="0"/>
          <w:marTop w:val="0"/>
          <w:marBottom w:val="0"/>
          <w:divBdr>
            <w:top w:val="none" w:sz="0" w:space="0" w:color="auto"/>
            <w:left w:val="none" w:sz="0" w:space="0" w:color="auto"/>
            <w:bottom w:val="none" w:sz="0" w:space="0" w:color="auto"/>
            <w:right w:val="none" w:sz="0" w:space="0" w:color="auto"/>
          </w:divBdr>
          <w:divsChild>
            <w:div w:id="483275433">
              <w:marLeft w:val="0"/>
              <w:marRight w:val="60"/>
              <w:marTop w:val="0"/>
              <w:marBottom w:val="0"/>
              <w:divBdr>
                <w:top w:val="none" w:sz="0" w:space="0" w:color="auto"/>
                <w:left w:val="none" w:sz="0" w:space="0" w:color="auto"/>
                <w:bottom w:val="none" w:sz="0" w:space="0" w:color="auto"/>
                <w:right w:val="none" w:sz="0" w:space="0" w:color="auto"/>
              </w:divBdr>
              <w:divsChild>
                <w:div w:id="1198395497">
                  <w:marLeft w:val="0"/>
                  <w:marRight w:val="0"/>
                  <w:marTop w:val="0"/>
                  <w:marBottom w:val="120"/>
                  <w:divBdr>
                    <w:top w:val="single" w:sz="6" w:space="0" w:color="C0C0C0"/>
                    <w:left w:val="single" w:sz="6" w:space="0" w:color="D9D9D9"/>
                    <w:bottom w:val="single" w:sz="6" w:space="0" w:color="D9D9D9"/>
                    <w:right w:val="single" w:sz="6" w:space="0" w:color="D9D9D9"/>
                  </w:divBdr>
                  <w:divsChild>
                    <w:div w:id="1358434760">
                      <w:marLeft w:val="0"/>
                      <w:marRight w:val="0"/>
                      <w:marTop w:val="0"/>
                      <w:marBottom w:val="0"/>
                      <w:divBdr>
                        <w:top w:val="none" w:sz="0" w:space="0" w:color="auto"/>
                        <w:left w:val="none" w:sz="0" w:space="0" w:color="auto"/>
                        <w:bottom w:val="none" w:sz="0" w:space="0" w:color="auto"/>
                        <w:right w:val="none" w:sz="0" w:space="0" w:color="auto"/>
                      </w:divBdr>
                      <w:divsChild>
                        <w:div w:id="435175150">
                          <w:marLeft w:val="0"/>
                          <w:marRight w:val="0"/>
                          <w:marTop w:val="0"/>
                          <w:marBottom w:val="0"/>
                          <w:divBdr>
                            <w:top w:val="none" w:sz="0" w:space="0" w:color="auto"/>
                            <w:left w:val="none" w:sz="0" w:space="0" w:color="auto"/>
                            <w:bottom w:val="none" w:sz="0" w:space="0" w:color="auto"/>
                            <w:right w:val="none" w:sz="0" w:space="0" w:color="auto"/>
                          </w:divBdr>
                          <w:divsChild>
                            <w:div w:id="2078162522">
                              <w:marLeft w:val="0"/>
                              <w:marRight w:val="0"/>
                              <w:marTop w:val="0"/>
                              <w:marBottom w:val="0"/>
                              <w:divBdr>
                                <w:top w:val="none" w:sz="0" w:space="0" w:color="auto"/>
                                <w:left w:val="none" w:sz="0" w:space="0" w:color="auto"/>
                                <w:bottom w:val="none" w:sz="0" w:space="0" w:color="auto"/>
                                <w:right w:val="none" w:sz="0" w:space="0" w:color="auto"/>
                              </w:divBdr>
                              <w:divsChild>
                                <w:div w:id="138682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03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15918">
          <w:marLeft w:val="0"/>
          <w:marRight w:val="0"/>
          <w:marTop w:val="0"/>
          <w:marBottom w:val="0"/>
          <w:divBdr>
            <w:top w:val="none" w:sz="0" w:space="0" w:color="auto"/>
            <w:left w:val="none" w:sz="0" w:space="0" w:color="auto"/>
            <w:bottom w:val="none" w:sz="0" w:space="0" w:color="auto"/>
            <w:right w:val="none" w:sz="0" w:space="0" w:color="auto"/>
          </w:divBdr>
          <w:divsChild>
            <w:div w:id="2002269519">
              <w:marLeft w:val="60"/>
              <w:marRight w:val="0"/>
              <w:marTop w:val="0"/>
              <w:marBottom w:val="0"/>
              <w:divBdr>
                <w:top w:val="none" w:sz="0" w:space="0" w:color="auto"/>
                <w:left w:val="none" w:sz="0" w:space="0" w:color="auto"/>
                <w:bottom w:val="none" w:sz="0" w:space="0" w:color="auto"/>
                <w:right w:val="none" w:sz="0" w:space="0" w:color="auto"/>
              </w:divBdr>
              <w:divsChild>
                <w:div w:id="2025594161">
                  <w:marLeft w:val="0"/>
                  <w:marRight w:val="0"/>
                  <w:marTop w:val="0"/>
                  <w:marBottom w:val="0"/>
                  <w:divBdr>
                    <w:top w:val="none" w:sz="0" w:space="0" w:color="auto"/>
                    <w:left w:val="none" w:sz="0" w:space="0" w:color="auto"/>
                    <w:bottom w:val="none" w:sz="0" w:space="0" w:color="auto"/>
                    <w:right w:val="none" w:sz="0" w:space="0" w:color="auto"/>
                  </w:divBdr>
                  <w:divsChild>
                    <w:div w:id="1797412249">
                      <w:marLeft w:val="0"/>
                      <w:marRight w:val="0"/>
                      <w:marTop w:val="0"/>
                      <w:marBottom w:val="120"/>
                      <w:divBdr>
                        <w:top w:val="single" w:sz="6" w:space="0" w:color="F5F5F5"/>
                        <w:left w:val="single" w:sz="6" w:space="0" w:color="F5F5F5"/>
                        <w:bottom w:val="single" w:sz="6" w:space="0" w:color="F5F5F5"/>
                        <w:right w:val="single" w:sz="6" w:space="0" w:color="F5F5F5"/>
                      </w:divBdr>
                      <w:divsChild>
                        <w:div w:id="1505587050">
                          <w:marLeft w:val="0"/>
                          <w:marRight w:val="0"/>
                          <w:marTop w:val="0"/>
                          <w:marBottom w:val="0"/>
                          <w:divBdr>
                            <w:top w:val="none" w:sz="0" w:space="0" w:color="auto"/>
                            <w:left w:val="none" w:sz="0" w:space="0" w:color="auto"/>
                            <w:bottom w:val="none" w:sz="0" w:space="0" w:color="auto"/>
                            <w:right w:val="none" w:sz="0" w:space="0" w:color="auto"/>
                          </w:divBdr>
                          <w:divsChild>
                            <w:div w:id="173762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92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ozan.bakis@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 Id="rId4" Type="http://schemas.openxmlformats.org/officeDocument/2006/relationships/hyperlink" Target="http://betam.bahcesehir.edu.tr/en/2018/01/minimum-wage-affects-formal-employment-negativel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yazgi.genc\Dropbox\informality%20and%20mw_yazgi\Arastima_notu\AN_descriptiv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'an_2_TAB1-EK_TAB1_NEW'!$K$28</c:f>
              <c:strCache>
                <c:ptCount val="1"/>
                <c:pt idx="0">
                  <c:v>KD (ücretli)</c:v>
                </c:pt>
              </c:strCache>
            </c:strRef>
          </c:tx>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inear"/>
            <c:dispRSqr val="0"/>
            <c:dispEq val="0"/>
          </c:trendline>
          <c:xVal>
            <c:numRef>
              <c:f>'an_2_TAB1-EK_TAB1_NEW'!$J$30:$J$46</c:f>
              <c:numCache>
                <c:formatCode>#,#00</c:formatCode>
                <c:ptCount val="17"/>
                <c:pt idx="0">
                  <c:v>18.982217788696289</c:v>
                </c:pt>
                <c:pt idx="1">
                  <c:v>34.778427124023438</c:v>
                </c:pt>
                <c:pt idx="2">
                  <c:v>16.324222564697269</c:v>
                </c:pt>
                <c:pt idx="3">
                  <c:v>27.98135948181152</c:v>
                </c:pt>
                <c:pt idx="4">
                  <c:v>37.212730407714851</c:v>
                </c:pt>
                <c:pt idx="5">
                  <c:v>25.2794075012207</c:v>
                </c:pt>
                <c:pt idx="6">
                  <c:v>39.140155792236328</c:v>
                </c:pt>
                <c:pt idx="7">
                  <c:v>12.96450805664063</c:v>
                </c:pt>
                <c:pt idx="8">
                  <c:v>7.6356449127197266</c:v>
                </c:pt>
                <c:pt idx="9">
                  <c:v>38.267131805419922</c:v>
                </c:pt>
                <c:pt idx="10">
                  <c:v>20.065584182739219</c:v>
                </c:pt>
                <c:pt idx="11">
                  <c:v>36.719402313232393</c:v>
                </c:pt>
                <c:pt idx="12">
                  <c:v>6.4503722190856916</c:v>
                </c:pt>
                <c:pt idx="13">
                  <c:v>11.881791114807131</c:v>
                </c:pt>
                <c:pt idx="14">
                  <c:v>33.918594360351563</c:v>
                </c:pt>
                <c:pt idx="15">
                  <c:v>18.91628456115723</c:v>
                </c:pt>
                <c:pt idx="16">
                  <c:v>57.730476379394503</c:v>
                </c:pt>
              </c:numCache>
            </c:numRef>
          </c:xVal>
          <c:yVal>
            <c:numRef>
              <c:f>'an_2_TAB1-EK_TAB1_NEW'!$K$30:$K$46</c:f>
              <c:numCache>
                <c:formatCode>#,#00</c:formatCode>
                <c:ptCount val="17"/>
                <c:pt idx="0">
                  <c:v>6.6599999999999957</c:v>
                </c:pt>
                <c:pt idx="1">
                  <c:v>15.8</c:v>
                </c:pt>
                <c:pt idx="2">
                  <c:v>6.04</c:v>
                </c:pt>
                <c:pt idx="3">
                  <c:v>35.57</c:v>
                </c:pt>
                <c:pt idx="4">
                  <c:v>17.61</c:v>
                </c:pt>
                <c:pt idx="5">
                  <c:v>19.91</c:v>
                </c:pt>
                <c:pt idx="6">
                  <c:v>29.48</c:v>
                </c:pt>
                <c:pt idx="7">
                  <c:v>8.59</c:v>
                </c:pt>
                <c:pt idx="8">
                  <c:v>2.19</c:v>
                </c:pt>
                <c:pt idx="9">
                  <c:v>20.45</c:v>
                </c:pt>
                <c:pt idx="10">
                  <c:v>9.3700000000000028</c:v>
                </c:pt>
                <c:pt idx="11">
                  <c:v>7.02</c:v>
                </c:pt>
                <c:pt idx="12">
                  <c:v>4.13</c:v>
                </c:pt>
                <c:pt idx="13">
                  <c:v>2.78</c:v>
                </c:pt>
                <c:pt idx="14">
                  <c:v>24.89</c:v>
                </c:pt>
                <c:pt idx="15">
                  <c:v>15.59</c:v>
                </c:pt>
                <c:pt idx="16">
                  <c:v>61.95</c:v>
                </c:pt>
              </c:numCache>
            </c:numRef>
          </c:yVal>
          <c:smooth val="0"/>
          <c:extLst>
            <c:ext xmlns:c16="http://schemas.microsoft.com/office/drawing/2014/chart" uri="{C3380CC4-5D6E-409C-BE32-E72D297353CC}">
              <c16:uniqueId val="{00000001-5EB1-4EC6-B9C0-0F3A91B3E513}"/>
            </c:ext>
          </c:extLst>
        </c:ser>
        <c:ser>
          <c:idx val="1"/>
          <c:order val="1"/>
          <c:tx>
            <c:strRef>
              <c:f>'an_2_TAB1-EK_TAB1_NEW'!$L$28</c:f>
              <c:strCache>
                <c:ptCount val="1"/>
                <c:pt idx="0">
                  <c:v>KD (toplam)</c:v>
                </c:pt>
              </c:strCache>
            </c:strRef>
          </c:tx>
          <c:spPr>
            <a:ln w="19050" cap="rnd">
              <a:noFill/>
              <a:round/>
            </a:ln>
            <a:effectLst/>
          </c:spPr>
          <c:marker>
            <c:symbol val="x"/>
            <c:size val="7"/>
            <c:spPr>
              <a:noFill/>
              <a:ln w="9525">
                <a:solidFill>
                  <a:schemeClr val="accent2"/>
                </a:solidFill>
              </a:ln>
              <a:effectLst/>
            </c:spPr>
          </c:marker>
          <c:trendline>
            <c:spPr>
              <a:ln w="19050" cap="rnd">
                <a:solidFill>
                  <a:schemeClr val="accent2"/>
                </a:solidFill>
                <a:prstDash val="sysDot"/>
              </a:ln>
              <a:effectLst/>
            </c:spPr>
            <c:trendlineType val="linear"/>
            <c:dispRSqr val="0"/>
            <c:dispEq val="0"/>
          </c:trendline>
          <c:xVal>
            <c:numRef>
              <c:f>'an_2_TAB1-EK_TAB1_NEW'!$J$30:$J$46</c:f>
              <c:numCache>
                <c:formatCode>#,#00</c:formatCode>
                <c:ptCount val="17"/>
                <c:pt idx="0">
                  <c:v>18.982217788696289</c:v>
                </c:pt>
                <c:pt idx="1">
                  <c:v>34.778427124023438</c:v>
                </c:pt>
                <c:pt idx="2">
                  <c:v>16.324222564697269</c:v>
                </c:pt>
                <c:pt idx="3">
                  <c:v>27.98135948181152</c:v>
                </c:pt>
                <c:pt idx="4">
                  <c:v>37.212730407714851</c:v>
                </c:pt>
                <c:pt idx="5">
                  <c:v>25.2794075012207</c:v>
                </c:pt>
                <c:pt idx="6">
                  <c:v>39.140155792236328</c:v>
                </c:pt>
                <c:pt idx="7">
                  <c:v>12.96450805664063</c:v>
                </c:pt>
                <c:pt idx="8">
                  <c:v>7.6356449127197266</c:v>
                </c:pt>
                <c:pt idx="9">
                  <c:v>38.267131805419922</c:v>
                </c:pt>
                <c:pt idx="10">
                  <c:v>20.065584182739219</c:v>
                </c:pt>
                <c:pt idx="11">
                  <c:v>36.719402313232393</c:v>
                </c:pt>
                <c:pt idx="12">
                  <c:v>6.4503722190856916</c:v>
                </c:pt>
                <c:pt idx="13">
                  <c:v>11.881791114807131</c:v>
                </c:pt>
                <c:pt idx="14">
                  <c:v>33.918594360351563</c:v>
                </c:pt>
                <c:pt idx="15">
                  <c:v>18.91628456115723</c:v>
                </c:pt>
                <c:pt idx="16">
                  <c:v>57.730476379394503</c:v>
                </c:pt>
              </c:numCache>
            </c:numRef>
          </c:xVal>
          <c:yVal>
            <c:numRef>
              <c:f>'an_2_TAB1-EK_TAB1_NEW'!$L$30:$L$46</c:f>
              <c:numCache>
                <c:formatCode>#,#00</c:formatCode>
                <c:ptCount val="17"/>
                <c:pt idx="0">
                  <c:v>6.7</c:v>
                </c:pt>
                <c:pt idx="1">
                  <c:v>20.149999999999999</c:v>
                </c:pt>
                <c:pt idx="2">
                  <c:v>29.94</c:v>
                </c:pt>
                <c:pt idx="3">
                  <c:v>36.6</c:v>
                </c:pt>
                <c:pt idx="4">
                  <c:v>26.54</c:v>
                </c:pt>
                <c:pt idx="5">
                  <c:v>24.79</c:v>
                </c:pt>
                <c:pt idx="6">
                  <c:v>32.99</c:v>
                </c:pt>
                <c:pt idx="7">
                  <c:v>13.28</c:v>
                </c:pt>
                <c:pt idx="8">
                  <c:v>3.44</c:v>
                </c:pt>
                <c:pt idx="9">
                  <c:v>26.32</c:v>
                </c:pt>
                <c:pt idx="10">
                  <c:v>11.11</c:v>
                </c:pt>
                <c:pt idx="11">
                  <c:v>15.25</c:v>
                </c:pt>
                <c:pt idx="12">
                  <c:v>4.13</c:v>
                </c:pt>
                <c:pt idx="13">
                  <c:v>3.47</c:v>
                </c:pt>
                <c:pt idx="14">
                  <c:v>24.74</c:v>
                </c:pt>
                <c:pt idx="15">
                  <c:v>20.39</c:v>
                </c:pt>
                <c:pt idx="16">
                  <c:v>56.44</c:v>
                </c:pt>
              </c:numCache>
            </c:numRef>
          </c:yVal>
          <c:smooth val="0"/>
          <c:extLst>
            <c:ext xmlns:c16="http://schemas.microsoft.com/office/drawing/2014/chart" uri="{C3380CC4-5D6E-409C-BE32-E72D297353CC}">
              <c16:uniqueId val="{00000003-5EB1-4EC6-B9C0-0F3A91B3E513}"/>
            </c:ext>
          </c:extLst>
        </c:ser>
        <c:dLbls>
          <c:showLegendKey val="0"/>
          <c:showVal val="0"/>
          <c:showCatName val="0"/>
          <c:showSerName val="0"/>
          <c:showPercent val="0"/>
          <c:showBubbleSize val="0"/>
        </c:dLbls>
        <c:axId val="1667593248"/>
        <c:axId val="1667334480"/>
      </c:scatterChart>
      <c:valAx>
        <c:axId val="166759324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r>
                  <a:rPr lang="tr-TR" b="1"/>
                  <a:t>Düşük ücretli çalışanların oranı, 2014 (%)</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tr-TR"/>
            </a:p>
          </c:txPr>
        </c:title>
        <c:numFmt formatCode="#,#00" sourceLinked="1"/>
        <c:majorTickMark val="none"/>
        <c:minorTickMark val="none"/>
        <c:tickLblPos val="low"/>
        <c:spPr>
          <a:noFill/>
          <a:ln w="9525" cap="flat" cmpd="sng" algn="ctr">
            <a:solidFill>
              <a:schemeClr val="tx1">
                <a:lumMod val="50000"/>
                <a:lumOff val="50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tr-TR"/>
          </a:p>
        </c:txPr>
        <c:crossAx val="1667334480"/>
        <c:crosses val="autoZero"/>
        <c:crossBetween val="midCat"/>
      </c:valAx>
      <c:valAx>
        <c:axId val="16673344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r>
                  <a:rPr lang="tr-TR" b="1"/>
                  <a:t>Kayıt dışı istihdam oranı, 2014 (%) </a:t>
                </a:r>
              </a:p>
            </c:rich>
          </c:tx>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Palatino Linotype" panose="02040502050505030304" pitchFamily="18" charset="0"/>
                  <a:ea typeface="+mn-ea"/>
                  <a:cs typeface="+mn-cs"/>
                </a:defRPr>
              </a:pPr>
              <a:endParaRPr lang="tr-TR"/>
            </a:p>
          </c:txPr>
        </c:title>
        <c:numFmt formatCode="#,##0.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tr-TR"/>
          </a:p>
        </c:txPr>
        <c:crossAx val="1667593248"/>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Palatino Linotype" panose="02040502050505030304" pitchFamily="18" charset="0"/>
              <a:ea typeface="+mn-ea"/>
              <a:cs typeface="+mn-cs"/>
            </a:defRPr>
          </a:pPr>
          <a:endParaRPr lang="tr-TR"/>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latin typeface="Palatino Linotype" panose="02040502050505030304" pitchFamily="18" charset="0"/>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8F778-569A-43C4-ADA8-CA35608F2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13</Pages>
  <Words>3542</Words>
  <Characters>20190</Characters>
  <Application>Microsoft Office Word</Application>
  <DocSecurity>0</DocSecurity>
  <Lines>168</Lines>
  <Paragraphs>47</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23685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Yazgi GENC</dc:creator>
  <cp:keywords/>
  <dc:description/>
  <cp:lastModifiedBy>merve.akgul</cp:lastModifiedBy>
  <cp:revision>132</cp:revision>
  <cp:lastPrinted>2018-02-09T09:02:00Z</cp:lastPrinted>
  <dcterms:created xsi:type="dcterms:W3CDTF">2018-02-01T11:15:00Z</dcterms:created>
  <dcterms:modified xsi:type="dcterms:W3CDTF">2018-02-09T09:12:00Z</dcterms:modified>
</cp:coreProperties>
</file>