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13" w:rsidRPr="002807AE" w:rsidRDefault="006C1111" w:rsidP="00A26107">
      <w:pPr>
        <w:jc w:val="both"/>
        <w:rPr>
          <w:rFonts w:ascii="Palatino Linotype" w:hAnsi="Palatino Linotype" w:cs="Arial"/>
          <w:sz w:val="22"/>
          <w:szCs w:val="22"/>
          <w:lang w:val="en-US"/>
        </w:rPr>
      </w:pPr>
      <w:r w:rsidRPr="002807AE">
        <w:rPr>
          <w:rFonts w:ascii="Palatino Linotype" w:hAnsi="Palatino Linotype" w:cs="Arial"/>
          <w:noProof/>
          <w:sz w:val="22"/>
          <w:szCs w:val="22"/>
        </w:rPr>
        <mc:AlternateContent>
          <mc:Choice Requires="wps">
            <w:drawing>
              <wp:anchor distT="0" distB="0" distL="114935" distR="114935" simplePos="0" relativeHeight="251661824" behindDoc="0" locked="0" layoutInCell="1" allowOverlap="1">
                <wp:simplePos x="0" y="0"/>
                <wp:positionH relativeFrom="column">
                  <wp:posOffset>5254625</wp:posOffset>
                </wp:positionH>
                <wp:positionV relativeFrom="paragraph">
                  <wp:posOffset>6350</wp:posOffset>
                </wp:positionV>
                <wp:extent cx="1203325"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BE6" w:rsidRPr="002807AE" w:rsidRDefault="00FF1BE6" w:rsidP="00D07713">
                            <w:pPr>
                              <w:tabs>
                                <w:tab w:val="num" w:pos="720"/>
                              </w:tabs>
                              <w:suppressAutoHyphens/>
                              <w:spacing w:before="240" w:after="60"/>
                              <w:ind w:left="720" w:hanging="720"/>
                              <w:rPr>
                                <w:b/>
                                <w:bCs/>
                                <w:color w:val="FFFFFF"/>
                                <w:sz w:val="22"/>
                                <w:szCs w:val="22"/>
                                <w:lang w:val="en-US" w:eastAsia="ar-SA"/>
                              </w:rPr>
                            </w:pPr>
                            <w:r w:rsidRPr="002807AE">
                              <w:rPr>
                                <w:b/>
                                <w:color w:val="FFFFFF"/>
                                <w:sz w:val="22"/>
                                <w:szCs w:val="22"/>
                                <w:lang w:val="en-US"/>
                              </w:rPr>
                              <w:t>30 January 2018</w:t>
                            </w:r>
                          </w:p>
                          <w:p w:rsidR="00FF1BE6" w:rsidRPr="00187FA0" w:rsidRDefault="00FF1BE6"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3.75pt;margin-top:.5pt;width:94.75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" stroked="f">
                <v:fill opacity="0"/>
                <v:textbox inset="0,0,0,0">
                  <w:txbxContent>
                    <w:p w:rsidR="00FF1BE6" w:rsidRPr="002807AE" w:rsidRDefault="00FF1BE6" w:rsidP="00D07713">
                      <w:pPr>
                        <w:tabs>
                          <w:tab w:val="num" w:pos="720"/>
                        </w:tabs>
                        <w:suppressAutoHyphens/>
                        <w:spacing w:before="240" w:after="60"/>
                        <w:ind w:left="720" w:hanging="720"/>
                        <w:rPr>
                          <w:b/>
                          <w:bCs/>
                          <w:color w:val="FFFFFF"/>
                          <w:sz w:val="22"/>
                          <w:szCs w:val="22"/>
                          <w:lang w:val="en-US" w:eastAsia="ar-SA"/>
                        </w:rPr>
                      </w:pPr>
                      <w:r w:rsidRPr="002807AE">
                        <w:rPr>
                          <w:b/>
                          <w:color w:val="FFFFFF"/>
                          <w:sz w:val="22"/>
                          <w:szCs w:val="22"/>
                          <w:lang w:val="en-US"/>
                        </w:rPr>
                        <w:t>30 January 2018</w:t>
                      </w:r>
                    </w:p>
                    <w:p w:rsidR="00FF1BE6" w:rsidRPr="00187FA0" w:rsidRDefault="00FF1BE6" w:rsidP="00D07713"/>
                  </w:txbxContent>
                </v:textbox>
              </v:shape>
            </w:pict>
          </mc:Fallback>
        </mc:AlternateContent>
      </w:r>
      <w:r w:rsidRPr="002807AE">
        <w:rPr>
          <w:rFonts w:ascii="Palatino Linotype" w:hAnsi="Palatino Linotype" w:cs="Arial"/>
          <w:noProof/>
          <w:sz w:val="22"/>
          <w:szCs w:val="22"/>
        </w:rPr>
        <mc:AlternateContent>
          <mc:Choice Requires="wps">
            <w:drawing>
              <wp:anchor distT="0" distB="0" distL="114935" distR="114935" simplePos="0" relativeHeight="251658752" behindDoc="0" locked="0" layoutInCell="1" allowOverlap="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BE6" w:rsidRPr="002807AE" w:rsidRDefault="00FF1BE6" w:rsidP="00726D0B">
                            <w:pPr>
                              <w:rPr>
                                <w:rFonts w:ascii="Palatino Linotype" w:hAnsi="Palatino Linotype"/>
                                <w:color w:val="FF0000"/>
                                <w:sz w:val="52"/>
                                <w:szCs w:val="52"/>
                                <w:lang w:val="en-US"/>
                              </w:rPr>
                            </w:pPr>
                            <w:r>
                              <w:rPr>
                                <w:rFonts w:ascii="Palatino Linotype" w:hAnsi="Palatino Linotype"/>
                                <w:sz w:val="52"/>
                                <w:szCs w:val="52"/>
                              </w:rPr>
                              <w:t xml:space="preserve">    </w:t>
                            </w:r>
                            <w:r w:rsidRPr="002807AE">
                              <w:rPr>
                                <w:rFonts w:ascii="Palatino Linotype" w:hAnsi="Palatino Linotype"/>
                                <w:sz w:val="52"/>
                                <w:szCs w:val="52"/>
                                <w:lang w:val="en-US"/>
                              </w:rPr>
                              <w:t>Research Brief 18/221</w:t>
                            </w:r>
                          </w:p>
                          <w:p w:rsidR="00FF1BE6" w:rsidRPr="002807AE" w:rsidRDefault="00FF1BE6" w:rsidP="00D07713">
                            <w:pPr>
                              <w:rPr>
                                <w:i/>
                                <w:iCs/>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rsidR="00FF1BE6" w:rsidRPr="002807AE" w:rsidRDefault="00FF1BE6" w:rsidP="00726D0B">
                      <w:pPr>
                        <w:rPr>
                          <w:rFonts w:ascii="Palatino Linotype" w:hAnsi="Palatino Linotype"/>
                          <w:color w:val="FF0000"/>
                          <w:sz w:val="52"/>
                          <w:szCs w:val="52"/>
                          <w:lang w:val="en-US"/>
                        </w:rPr>
                      </w:pPr>
                      <w:r>
                        <w:rPr>
                          <w:rFonts w:ascii="Palatino Linotype" w:hAnsi="Palatino Linotype"/>
                          <w:sz w:val="52"/>
                          <w:szCs w:val="52"/>
                        </w:rPr>
                        <w:t xml:space="preserve">    </w:t>
                      </w:r>
                      <w:r w:rsidRPr="002807AE">
                        <w:rPr>
                          <w:rFonts w:ascii="Palatino Linotype" w:hAnsi="Palatino Linotype"/>
                          <w:sz w:val="52"/>
                          <w:szCs w:val="52"/>
                          <w:lang w:val="en-US"/>
                        </w:rPr>
                        <w:t>Research Brief 18/221</w:t>
                      </w:r>
                    </w:p>
                    <w:p w:rsidR="00FF1BE6" w:rsidRPr="002807AE" w:rsidRDefault="00FF1BE6" w:rsidP="00D07713">
                      <w:pPr>
                        <w:rPr>
                          <w:i/>
                          <w:iCs/>
                          <w:sz w:val="20"/>
                          <w:lang w:val="en-US"/>
                        </w:rPr>
                      </w:pPr>
                    </w:p>
                  </w:txbxContent>
                </v:textbox>
              </v:shape>
            </w:pict>
          </mc:Fallback>
        </mc:AlternateContent>
      </w:r>
      <w:r w:rsidR="00D07713" w:rsidRPr="002807AE">
        <w:rPr>
          <w:rFonts w:ascii="Palatino Linotype" w:hAnsi="Palatino Linotype" w:cs="Arial"/>
          <w:noProof/>
          <w:sz w:val="22"/>
          <w:szCs w:val="22"/>
        </w:rPr>
        <w:drawing>
          <wp:anchor distT="0" distB="0" distL="114300" distR="114300" simplePos="0" relativeHeight="251655680" behindDoc="1" locked="0" layoutInCell="1" allowOverlap="1">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2807AE" w:rsidRDefault="00D07713" w:rsidP="00A26107">
      <w:pPr>
        <w:jc w:val="both"/>
        <w:rPr>
          <w:rFonts w:ascii="Palatino Linotype" w:hAnsi="Palatino Linotype" w:cs="Arial"/>
          <w:sz w:val="22"/>
          <w:szCs w:val="22"/>
          <w:lang w:val="en-US"/>
        </w:rPr>
      </w:pPr>
    </w:p>
    <w:p w:rsidR="00D07713" w:rsidRPr="002807AE" w:rsidRDefault="00D07713" w:rsidP="00A26107">
      <w:pPr>
        <w:jc w:val="both"/>
        <w:rPr>
          <w:rFonts w:ascii="Palatino Linotype" w:hAnsi="Palatino Linotype" w:cs="Arial"/>
          <w:sz w:val="22"/>
          <w:szCs w:val="22"/>
          <w:lang w:val="en-US"/>
        </w:rPr>
      </w:pPr>
    </w:p>
    <w:p w:rsidR="00D07713" w:rsidRPr="002807AE" w:rsidRDefault="00D07713" w:rsidP="00A26107">
      <w:pPr>
        <w:spacing w:line="288" w:lineRule="auto"/>
        <w:ind w:right="-319"/>
        <w:jc w:val="both"/>
        <w:outlineLvl w:val="0"/>
        <w:rPr>
          <w:rFonts w:ascii="Palatino Linotype" w:hAnsi="Palatino Linotype" w:cs="Arial"/>
          <w:b/>
          <w:bCs/>
          <w:sz w:val="22"/>
          <w:szCs w:val="22"/>
          <w:lang w:val="en-US"/>
        </w:rPr>
      </w:pPr>
    </w:p>
    <w:p w:rsidR="00A92D25" w:rsidRPr="009A059F" w:rsidRDefault="00A92D25" w:rsidP="000D656C">
      <w:pPr>
        <w:tabs>
          <w:tab w:val="center" w:pos="5102"/>
          <w:tab w:val="right" w:pos="10204"/>
        </w:tabs>
        <w:spacing w:before="120"/>
        <w:jc w:val="center"/>
        <w:rPr>
          <w:rFonts w:ascii="Palatino Linotype" w:hAnsi="Palatino Linotype" w:cs="Arial"/>
          <w:b/>
          <w:bCs/>
          <w:sz w:val="22"/>
          <w:szCs w:val="22"/>
          <w:lang w:val="en-US"/>
        </w:rPr>
      </w:pPr>
      <w:r w:rsidRPr="009A059F">
        <w:rPr>
          <w:rFonts w:ascii="Palatino Linotype" w:hAnsi="Palatino Linotype" w:cs="Arial"/>
          <w:b/>
          <w:bCs/>
          <w:sz w:val="22"/>
          <w:szCs w:val="22"/>
          <w:lang w:val="en-US"/>
        </w:rPr>
        <w:t>AMAZING REVIZIONS IN GROWTH RATES</w:t>
      </w:r>
    </w:p>
    <w:p w:rsidR="00F5328A" w:rsidRPr="009A059F" w:rsidRDefault="00F5328A" w:rsidP="00F5328A">
      <w:pPr>
        <w:jc w:val="center"/>
        <w:rPr>
          <w:rFonts w:ascii="Palatino Linotype" w:hAnsi="Palatino Linotype"/>
          <w:sz w:val="22"/>
          <w:szCs w:val="22"/>
          <w:lang w:val="en-US"/>
        </w:rPr>
      </w:pPr>
      <w:r w:rsidRPr="009A059F">
        <w:rPr>
          <w:rFonts w:ascii="Palatino Linotype" w:hAnsi="Palatino Linotype" w:cs="Arial"/>
          <w:b/>
          <w:bCs/>
          <w:sz w:val="22"/>
          <w:szCs w:val="22"/>
          <w:lang w:val="en-US"/>
        </w:rPr>
        <w:br/>
        <w:t>Seyfettin Gürsel</w:t>
      </w:r>
      <w:r w:rsidRPr="009A059F">
        <w:rPr>
          <w:rStyle w:val="DipnotBavurusu"/>
          <w:rFonts w:ascii="Palatino Linotype" w:hAnsi="Palatino Linotype" w:cs="Arial"/>
          <w:b/>
          <w:bCs/>
          <w:sz w:val="22"/>
          <w:szCs w:val="22"/>
          <w:lang w:val="en-US"/>
        </w:rPr>
        <w:footnoteReference w:customMarkFollows="1" w:id="1"/>
        <w:t>*</w:t>
      </w:r>
      <w:r w:rsidRPr="009A059F">
        <w:rPr>
          <w:rFonts w:ascii="Palatino Linotype" w:hAnsi="Palatino Linotype" w:cs="Arial"/>
          <w:b/>
          <w:bCs/>
          <w:sz w:val="22"/>
          <w:szCs w:val="22"/>
          <w:lang w:val="en-US"/>
        </w:rPr>
        <w:t>, Ozan Bakış</w:t>
      </w:r>
      <w:r w:rsidRPr="009A059F">
        <w:rPr>
          <w:rStyle w:val="DipnotBavurusu"/>
          <w:rFonts w:ascii="Palatino Linotype" w:hAnsi="Palatino Linotype" w:cs="Arial"/>
          <w:b/>
          <w:bCs/>
          <w:sz w:val="22"/>
          <w:szCs w:val="22"/>
          <w:lang w:val="en-US"/>
        </w:rPr>
        <w:footnoteReference w:customMarkFollows="1" w:id="2"/>
        <w:sym w:font="Symbol" w:char="F02A"/>
      </w:r>
      <w:r w:rsidRPr="009A059F">
        <w:rPr>
          <w:rStyle w:val="DipnotBavurusu"/>
          <w:rFonts w:ascii="Palatino Linotype" w:hAnsi="Palatino Linotype" w:cs="Arial"/>
          <w:b/>
          <w:bCs/>
          <w:sz w:val="22"/>
          <w:szCs w:val="22"/>
          <w:lang w:val="en-US"/>
        </w:rPr>
        <w:sym w:font="Symbol" w:char="F02A"/>
      </w:r>
      <w:r w:rsidR="009C339B" w:rsidRPr="009A059F">
        <w:rPr>
          <w:rFonts w:ascii="Palatino Linotype" w:hAnsi="Palatino Linotype" w:cs="Arial"/>
          <w:b/>
          <w:bCs/>
          <w:sz w:val="22"/>
          <w:szCs w:val="22"/>
          <w:lang w:val="en-US"/>
        </w:rPr>
        <w:t xml:space="preserve"> </w:t>
      </w:r>
      <w:r w:rsidR="002807AE" w:rsidRPr="009A059F">
        <w:rPr>
          <w:rFonts w:ascii="Palatino Linotype" w:hAnsi="Palatino Linotype" w:cs="Arial"/>
          <w:b/>
          <w:bCs/>
          <w:sz w:val="22"/>
          <w:szCs w:val="22"/>
          <w:lang w:val="en-US"/>
        </w:rPr>
        <w:t>and</w:t>
      </w:r>
      <w:r w:rsidRPr="009A059F">
        <w:rPr>
          <w:rFonts w:ascii="Palatino Linotype" w:hAnsi="Palatino Linotype" w:cs="Arial"/>
          <w:b/>
          <w:bCs/>
          <w:sz w:val="22"/>
          <w:szCs w:val="22"/>
          <w:lang w:val="en-US"/>
        </w:rPr>
        <w:t xml:space="preserve"> Uğurcan Acar***</w:t>
      </w:r>
    </w:p>
    <w:p w:rsidR="00D07713" w:rsidRPr="009A059F" w:rsidRDefault="00D07713" w:rsidP="00A26107">
      <w:pPr>
        <w:jc w:val="center"/>
        <w:rPr>
          <w:rFonts w:ascii="Palatino Linotype" w:hAnsi="Palatino Linotype" w:cs="Arial"/>
          <w:sz w:val="22"/>
          <w:szCs w:val="22"/>
          <w:lang w:val="en-US"/>
        </w:rPr>
      </w:pPr>
    </w:p>
    <w:p w:rsidR="00D257C1" w:rsidRPr="009A059F" w:rsidRDefault="002807AE" w:rsidP="00A26107">
      <w:pPr>
        <w:jc w:val="center"/>
        <w:rPr>
          <w:rFonts w:ascii="Palatino Linotype" w:hAnsi="Palatino Linotype" w:cs="Arial"/>
          <w:b/>
          <w:sz w:val="22"/>
          <w:szCs w:val="22"/>
          <w:lang w:val="en-US"/>
        </w:rPr>
      </w:pPr>
      <w:r w:rsidRPr="009A059F">
        <w:rPr>
          <w:rFonts w:ascii="Palatino Linotype" w:hAnsi="Palatino Linotype" w:cs="Arial"/>
          <w:b/>
          <w:sz w:val="22"/>
          <w:szCs w:val="22"/>
          <w:lang w:val="en-US"/>
        </w:rPr>
        <w:t>Executive Summary</w:t>
      </w:r>
    </w:p>
    <w:p w:rsidR="001C08E0" w:rsidRPr="009A059F" w:rsidRDefault="001C08E0" w:rsidP="00A26107">
      <w:pPr>
        <w:jc w:val="both"/>
        <w:rPr>
          <w:rFonts w:ascii="Palatino Linotype" w:hAnsi="Palatino Linotype" w:cs="Arial"/>
          <w:sz w:val="22"/>
          <w:szCs w:val="22"/>
          <w:lang w:val="en-US"/>
        </w:rPr>
      </w:pPr>
    </w:p>
    <w:p w:rsidR="00713542" w:rsidRPr="009A059F" w:rsidRDefault="00FF3081" w:rsidP="00052946">
      <w:pPr>
        <w:spacing w:line="276" w:lineRule="auto"/>
        <w:ind w:left="567"/>
        <w:jc w:val="both"/>
        <w:rPr>
          <w:rFonts w:ascii="Palatino Linotype" w:hAnsi="Palatino Linotype" w:cs="Arial"/>
          <w:sz w:val="22"/>
          <w:szCs w:val="22"/>
          <w:lang w:val="en-US"/>
        </w:rPr>
      </w:pPr>
      <w:r w:rsidRPr="009A059F">
        <w:rPr>
          <w:rFonts w:ascii="Palatino Linotype" w:hAnsi="Palatino Linotype" w:cs="Arial"/>
          <w:sz w:val="22"/>
          <w:szCs w:val="22"/>
          <w:lang w:val="en-US"/>
        </w:rPr>
        <w:t>TurkStat s</w:t>
      </w:r>
      <w:r w:rsidR="001F6EE5" w:rsidRPr="009A059F">
        <w:rPr>
          <w:rFonts w:ascii="Palatino Linotype" w:hAnsi="Palatino Linotype" w:cs="Arial"/>
          <w:sz w:val="22"/>
          <w:szCs w:val="22"/>
          <w:lang w:val="en-US"/>
        </w:rPr>
        <w:t xml:space="preserve">tarted to estimate national accounts using a new method (chained volume index) and new data sets (especially firm tax records) from third quarter of 2016 </w:t>
      </w:r>
      <w:r w:rsidR="00A92D25" w:rsidRPr="009A059F">
        <w:rPr>
          <w:rFonts w:ascii="Palatino Linotype" w:hAnsi="Palatino Linotype" w:cs="Arial"/>
          <w:sz w:val="22"/>
          <w:szCs w:val="22"/>
          <w:lang w:val="en-US"/>
        </w:rPr>
        <w:t xml:space="preserve">that </w:t>
      </w:r>
      <w:r w:rsidR="001F6EE5" w:rsidRPr="009A059F">
        <w:rPr>
          <w:rFonts w:ascii="Palatino Linotype" w:hAnsi="Palatino Linotype" w:cs="Arial"/>
          <w:sz w:val="22"/>
          <w:szCs w:val="22"/>
          <w:lang w:val="en-US"/>
        </w:rPr>
        <w:t xml:space="preserve">caused some controversies. Aside from </w:t>
      </w:r>
      <w:r w:rsidR="00A92D25" w:rsidRPr="009A059F">
        <w:rPr>
          <w:rFonts w:ascii="Palatino Linotype" w:hAnsi="Palatino Linotype" w:cs="Arial"/>
          <w:sz w:val="22"/>
          <w:szCs w:val="22"/>
          <w:lang w:val="en-US"/>
        </w:rPr>
        <w:t>the problems revealed by these controversies</w:t>
      </w:r>
      <w:r w:rsidR="001F6EE5" w:rsidRPr="009A059F">
        <w:rPr>
          <w:rFonts w:ascii="Palatino Linotype" w:hAnsi="Palatino Linotype" w:cs="Arial"/>
          <w:sz w:val="22"/>
          <w:szCs w:val="22"/>
          <w:lang w:val="en-US"/>
        </w:rPr>
        <w:t xml:space="preserve"> it seems that a</w:t>
      </w:r>
      <w:r w:rsidR="00A92D25" w:rsidRPr="009A059F">
        <w:rPr>
          <w:rFonts w:ascii="Palatino Linotype" w:hAnsi="Palatino Linotype" w:cs="Arial"/>
          <w:sz w:val="22"/>
          <w:szCs w:val="22"/>
          <w:lang w:val="en-US"/>
        </w:rPr>
        <w:t xml:space="preserve">n additional </w:t>
      </w:r>
      <w:r w:rsidR="001F6EE5" w:rsidRPr="009A059F">
        <w:rPr>
          <w:rFonts w:ascii="Palatino Linotype" w:hAnsi="Palatino Linotype" w:cs="Arial"/>
          <w:sz w:val="22"/>
          <w:szCs w:val="22"/>
          <w:lang w:val="en-US"/>
        </w:rPr>
        <w:t xml:space="preserve">problem </w:t>
      </w:r>
      <w:r w:rsidR="00A92D25" w:rsidRPr="009A059F">
        <w:rPr>
          <w:rFonts w:ascii="Palatino Linotype" w:hAnsi="Palatino Linotype" w:cs="Arial"/>
          <w:sz w:val="22"/>
          <w:szCs w:val="22"/>
          <w:lang w:val="en-US"/>
        </w:rPr>
        <w:t xml:space="preserve">emerged nowadays. </w:t>
      </w:r>
      <w:r w:rsidR="001F6EE5" w:rsidRPr="009A059F">
        <w:rPr>
          <w:rFonts w:ascii="Palatino Linotype" w:hAnsi="Palatino Linotype" w:cs="Arial"/>
          <w:sz w:val="22"/>
          <w:szCs w:val="22"/>
          <w:lang w:val="en-US"/>
        </w:rPr>
        <w:t>We are witnessing large and sometimes opposite revisions in the annually and quarterly growth estimates released by the Turk</w:t>
      </w:r>
      <w:r w:rsidR="00FF1BE6">
        <w:rPr>
          <w:rFonts w:ascii="Palatino Linotype" w:hAnsi="Palatino Linotype" w:cs="Arial"/>
          <w:sz w:val="22"/>
          <w:szCs w:val="22"/>
          <w:lang w:val="en-US"/>
        </w:rPr>
        <w:t>S</w:t>
      </w:r>
      <w:r w:rsidR="001F6EE5" w:rsidRPr="009A059F">
        <w:rPr>
          <w:rFonts w:ascii="Palatino Linotype" w:hAnsi="Palatino Linotype" w:cs="Arial"/>
          <w:sz w:val="22"/>
          <w:szCs w:val="22"/>
          <w:lang w:val="en-US"/>
        </w:rPr>
        <w:t xml:space="preserve">tat. It is a common practice to make some revisions in each new statement after the </w:t>
      </w:r>
      <w:r w:rsidR="00E70294" w:rsidRPr="009A059F">
        <w:rPr>
          <w:rFonts w:ascii="Palatino Linotype" w:hAnsi="Palatino Linotype" w:cs="Arial"/>
          <w:sz w:val="22"/>
          <w:szCs w:val="22"/>
          <w:lang w:val="en-US"/>
        </w:rPr>
        <w:t xml:space="preserve">first estimate of </w:t>
      </w:r>
      <w:r w:rsidR="001F6EE5" w:rsidRPr="009A059F">
        <w:rPr>
          <w:rFonts w:ascii="Palatino Linotype" w:hAnsi="Palatino Linotype" w:cs="Arial"/>
          <w:sz w:val="22"/>
          <w:szCs w:val="22"/>
          <w:lang w:val="en-US"/>
        </w:rPr>
        <w:t>GDP</w:t>
      </w:r>
      <w:r w:rsidR="00E70294" w:rsidRPr="009A059F">
        <w:rPr>
          <w:rFonts w:ascii="Palatino Linotype" w:hAnsi="Palatino Linotype" w:cs="Arial"/>
          <w:sz w:val="22"/>
          <w:szCs w:val="22"/>
          <w:lang w:val="en-US"/>
        </w:rPr>
        <w:t xml:space="preserve">. </w:t>
      </w:r>
      <w:r w:rsidR="00A92D25" w:rsidRPr="009A059F">
        <w:rPr>
          <w:rFonts w:ascii="Palatino Linotype" w:hAnsi="Palatino Linotype" w:cs="Arial"/>
          <w:sz w:val="22"/>
          <w:szCs w:val="22"/>
          <w:lang w:val="en-US"/>
        </w:rPr>
        <w:t>In order to release growth estimates as early as possible the whole collection of the related data</w:t>
      </w:r>
      <w:r w:rsidR="001735BE" w:rsidRPr="009A059F">
        <w:rPr>
          <w:rFonts w:ascii="Palatino Linotype" w:hAnsi="Palatino Linotype" w:cs="Arial"/>
          <w:sz w:val="22"/>
          <w:szCs w:val="22"/>
          <w:lang w:val="en-US"/>
        </w:rPr>
        <w:t xml:space="preserve"> is not considered as a necessity.</w:t>
      </w:r>
      <w:r w:rsidR="00A92D25" w:rsidRPr="009A059F">
        <w:rPr>
          <w:rFonts w:ascii="Palatino Linotype" w:hAnsi="Palatino Linotype" w:cs="Arial"/>
          <w:sz w:val="22"/>
          <w:szCs w:val="22"/>
          <w:lang w:val="en-US"/>
        </w:rPr>
        <w:t xml:space="preserve">  </w:t>
      </w:r>
      <w:r w:rsidR="001735BE" w:rsidRPr="009A059F">
        <w:rPr>
          <w:rFonts w:ascii="Palatino Linotype" w:hAnsi="Palatino Linotype" w:cs="Arial"/>
          <w:sz w:val="22"/>
          <w:szCs w:val="22"/>
          <w:lang w:val="en-US"/>
        </w:rPr>
        <w:t xml:space="preserve">Once the whole </w:t>
      </w:r>
      <w:r w:rsidR="00E70294" w:rsidRPr="009A059F">
        <w:rPr>
          <w:rFonts w:ascii="Palatino Linotype" w:hAnsi="Palatino Linotype" w:cs="Arial"/>
          <w:sz w:val="22"/>
          <w:szCs w:val="22"/>
          <w:lang w:val="en-US"/>
        </w:rPr>
        <w:t xml:space="preserve">data </w:t>
      </w:r>
      <w:r w:rsidR="001735BE" w:rsidRPr="009A059F">
        <w:rPr>
          <w:rFonts w:ascii="Palatino Linotype" w:hAnsi="Palatino Linotype" w:cs="Arial"/>
          <w:sz w:val="22"/>
          <w:szCs w:val="22"/>
          <w:lang w:val="en-US"/>
        </w:rPr>
        <w:t xml:space="preserve">is </w:t>
      </w:r>
      <w:r w:rsidR="00E70294" w:rsidRPr="009A059F">
        <w:rPr>
          <w:rFonts w:ascii="Palatino Linotype" w:hAnsi="Palatino Linotype" w:cs="Arial"/>
          <w:sz w:val="22"/>
          <w:szCs w:val="22"/>
          <w:lang w:val="en-US"/>
        </w:rPr>
        <w:t xml:space="preserve">completed, the estimates announced </w:t>
      </w:r>
      <w:r w:rsidR="001735BE" w:rsidRPr="009A059F">
        <w:rPr>
          <w:rFonts w:ascii="Palatino Linotype" w:hAnsi="Palatino Linotype" w:cs="Arial"/>
          <w:sz w:val="22"/>
          <w:szCs w:val="22"/>
          <w:lang w:val="en-US"/>
        </w:rPr>
        <w:t xml:space="preserve">previously </w:t>
      </w:r>
      <w:r w:rsidR="00E70294" w:rsidRPr="009A059F">
        <w:rPr>
          <w:rFonts w:ascii="Palatino Linotype" w:hAnsi="Palatino Linotype" w:cs="Arial"/>
          <w:sz w:val="22"/>
          <w:szCs w:val="22"/>
          <w:lang w:val="en-US"/>
        </w:rPr>
        <w:t xml:space="preserve">are revised by national statistical institutes. However, these revisions remain </w:t>
      </w:r>
      <w:r w:rsidR="00D63BC4" w:rsidRPr="009A059F">
        <w:rPr>
          <w:rFonts w:ascii="Palatino Linotype" w:hAnsi="Palatino Linotype" w:cs="Arial"/>
          <w:sz w:val="22"/>
          <w:szCs w:val="22"/>
          <w:lang w:val="en-US"/>
        </w:rPr>
        <w:t>within reasonable</w:t>
      </w:r>
      <w:r w:rsidR="00E70294" w:rsidRPr="009A059F">
        <w:rPr>
          <w:rFonts w:ascii="Palatino Linotype" w:hAnsi="Palatino Linotype" w:cs="Arial"/>
          <w:sz w:val="22"/>
          <w:szCs w:val="22"/>
          <w:lang w:val="en-US"/>
        </w:rPr>
        <w:t xml:space="preserve"> limits and are damped after a certain period of time.</w:t>
      </w:r>
      <w:r w:rsidR="00713542" w:rsidRPr="009A059F">
        <w:rPr>
          <w:rFonts w:ascii="Palatino Linotype" w:hAnsi="Palatino Linotype" w:cs="Arial"/>
          <w:sz w:val="22"/>
          <w:szCs w:val="22"/>
          <w:lang w:val="en-US"/>
        </w:rPr>
        <w:t xml:space="preserve"> </w:t>
      </w:r>
    </w:p>
    <w:p w:rsidR="00713542" w:rsidRPr="009A059F" w:rsidRDefault="00713542" w:rsidP="00052946">
      <w:pPr>
        <w:spacing w:line="276" w:lineRule="auto"/>
        <w:ind w:left="567"/>
        <w:jc w:val="both"/>
        <w:rPr>
          <w:rFonts w:ascii="Palatino Linotype" w:hAnsi="Palatino Linotype" w:cs="Arial"/>
          <w:sz w:val="22"/>
          <w:szCs w:val="22"/>
          <w:lang w:val="en-US"/>
        </w:rPr>
      </w:pPr>
    </w:p>
    <w:p w:rsidR="001C08E0" w:rsidRPr="009A059F" w:rsidRDefault="00E70294" w:rsidP="00052946">
      <w:pPr>
        <w:spacing w:line="276" w:lineRule="auto"/>
        <w:ind w:left="567"/>
        <w:jc w:val="both"/>
        <w:rPr>
          <w:rFonts w:ascii="Palatino Linotype" w:hAnsi="Palatino Linotype" w:cs="Arial"/>
          <w:sz w:val="22"/>
          <w:szCs w:val="22"/>
          <w:lang w:val="en-US"/>
        </w:rPr>
      </w:pPr>
      <w:r w:rsidRPr="009A059F">
        <w:rPr>
          <w:rFonts w:ascii="Palatino Linotype" w:hAnsi="Palatino Linotype" w:cs="Arial"/>
          <w:sz w:val="22"/>
          <w:szCs w:val="22"/>
          <w:lang w:val="en-US"/>
        </w:rPr>
        <w:t>However, when press releases by Turk</w:t>
      </w:r>
      <w:r w:rsidR="00FF1BE6">
        <w:rPr>
          <w:rFonts w:ascii="Palatino Linotype" w:hAnsi="Palatino Linotype" w:cs="Arial"/>
          <w:sz w:val="22"/>
          <w:szCs w:val="22"/>
          <w:lang w:val="en-US"/>
        </w:rPr>
        <w:t>S</w:t>
      </w:r>
      <w:r w:rsidRPr="009A059F">
        <w:rPr>
          <w:rFonts w:ascii="Palatino Linotype" w:hAnsi="Palatino Linotype" w:cs="Arial"/>
          <w:sz w:val="22"/>
          <w:szCs w:val="22"/>
          <w:lang w:val="en-US"/>
        </w:rPr>
        <w:t xml:space="preserve">tat on five quarters between </w:t>
      </w:r>
      <w:r w:rsidR="00863CF4" w:rsidRPr="009A059F">
        <w:rPr>
          <w:rFonts w:ascii="Palatino Linotype" w:hAnsi="Palatino Linotype" w:cs="Arial"/>
          <w:sz w:val="22"/>
          <w:szCs w:val="22"/>
          <w:lang w:val="en-US"/>
        </w:rPr>
        <w:t xml:space="preserve">third quarter of 2016 and third quarter of 2017 are examined, it is observed that the revisions made by TurkStat in the national accounts </w:t>
      </w:r>
      <w:r w:rsidR="0088647B" w:rsidRPr="009A059F">
        <w:rPr>
          <w:rFonts w:ascii="Palatino Linotype" w:hAnsi="Palatino Linotype" w:cs="Arial"/>
          <w:sz w:val="22"/>
          <w:szCs w:val="22"/>
          <w:lang w:val="en-US"/>
        </w:rPr>
        <w:t>might hardly be considered as reasonable since</w:t>
      </w:r>
      <w:r w:rsidR="00863CF4" w:rsidRPr="009A059F">
        <w:rPr>
          <w:rFonts w:ascii="Palatino Linotype" w:hAnsi="Palatino Linotype" w:cs="Arial"/>
          <w:sz w:val="22"/>
          <w:szCs w:val="22"/>
          <w:lang w:val="en-US"/>
        </w:rPr>
        <w:t xml:space="preserve"> </w:t>
      </w:r>
      <w:r w:rsidR="0066413C" w:rsidRPr="009A059F">
        <w:rPr>
          <w:rFonts w:ascii="Palatino Linotype" w:hAnsi="Palatino Linotype" w:cs="Arial"/>
          <w:sz w:val="22"/>
          <w:szCs w:val="22"/>
          <w:lang w:val="en-US"/>
        </w:rPr>
        <w:t xml:space="preserve">revisions, </w:t>
      </w:r>
      <w:r w:rsidR="0088647B" w:rsidRPr="009A059F">
        <w:rPr>
          <w:rFonts w:ascii="Palatino Linotype" w:hAnsi="Palatino Linotype" w:cs="Arial"/>
          <w:sz w:val="22"/>
          <w:szCs w:val="22"/>
          <w:lang w:val="en-US"/>
        </w:rPr>
        <w:t xml:space="preserve">often large and even </w:t>
      </w:r>
      <w:r w:rsidR="0066413C" w:rsidRPr="009A059F">
        <w:rPr>
          <w:rFonts w:ascii="Palatino Linotype" w:hAnsi="Palatino Linotype" w:cs="Arial"/>
          <w:sz w:val="22"/>
          <w:szCs w:val="22"/>
          <w:lang w:val="en-US"/>
        </w:rPr>
        <w:t xml:space="preserve">in </w:t>
      </w:r>
      <w:r w:rsidR="00863CF4" w:rsidRPr="009A059F">
        <w:rPr>
          <w:rFonts w:ascii="Palatino Linotype" w:hAnsi="Palatino Linotype" w:cs="Arial"/>
          <w:sz w:val="22"/>
          <w:szCs w:val="22"/>
          <w:lang w:val="en-US"/>
        </w:rPr>
        <w:t>opposite</w:t>
      </w:r>
      <w:r w:rsidR="0066413C" w:rsidRPr="009A059F">
        <w:rPr>
          <w:rFonts w:ascii="Palatino Linotype" w:hAnsi="Palatino Linotype" w:cs="Arial"/>
          <w:sz w:val="22"/>
          <w:szCs w:val="22"/>
          <w:lang w:val="en-US"/>
        </w:rPr>
        <w:t xml:space="preserve"> directions,</w:t>
      </w:r>
      <w:r w:rsidR="00863CF4" w:rsidRPr="009A059F">
        <w:rPr>
          <w:rFonts w:ascii="Palatino Linotype" w:hAnsi="Palatino Linotype" w:cs="Arial"/>
          <w:sz w:val="22"/>
          <w:szCs w:val="22"/>
          <w:lang w:val="en-US"/>
        </w:rPr>
        <w:t xml:space="preserve"> follow each other, and the expected damping does not occur in the repeated revisions. It is easy to </w:t>
      </w:r>
      <w:r w:rsidR="0066413C" w:rsidRPr="009A059F">
        <w:rPr>
          <w:rFonts w:ascii="Palatino Linotype" w:hAnsi="Palatino Linotype" w:cs="Arial"/>
          <w:sz w:val="22"/>
          <w:szCs w:val="22"/>
          <w:lang w:val="en-US"/>
        </w:rPr>
        <w:t>admit</w:t>
      </w:r>
      <w:r w:rsidR="00863CF4" w:rsidRPr="009A059F">
        <w:rPr>
          <w:rFonts w:ascii="Palatino Linotype" w:hAnsi="Palatino Linotype" w:cs="Arial"/>
          <w:sz w:val="22"/>
          <w:szCs w:val="22"/>
          <w:lang w:val="en-US"/>
        </w:rPr>
        <w:t xml:space="preserve"> that these revisions point to an exceptional </w:t>
      </w:r>
      <w:r w:rsidR="0066413C" w:rsidRPr="009A059F">
        <w:rPr>
          <w:rFonts w:ascii="Palatino Linotype" w:hAnsi="Palatino Linotype" w:cs="Arial"/>
          <w:sz w:val="22"/>
          <w:szCs w:val="22"/>
          <w:lang w:val="en-US"/>
        </w:rPr>
        <w:t xml:space="preserve">case </w:t>
      </w:r>
      <w:r w:rsidR="00863CF4" w:rsidRPr="009A059F">
        <w:rPr>
          <w:rFonts w:ascii="Palatino Linotype" w:hAnsi="Palatino Linotype" w:cs="Arial"/>
          <w:sz w:val="22"/>
          <w:szCs w:val="22"/>
          <w:lang w:val="en-US"/>
        </w:rPr>
        <w:t>when the</w:t>
      </w:r>
      <w:r w:rsidR="0066413C" w:rsidRPr="009A059F">
        <w:rPr>
          <w:rFonts w:ascii="Palatino Linotype" w:hAnsi="Palatino Linotype" w:cs="Arial"/>
          <w:sz w:val="22"/>
          <w:szCs w:val="22"/>
          <w:lang w:val="en-US"/>
        </w:rPr>
        <w:t>se</w:t>
      </w:r>
      <w:r w:rsidR="00863CF4" w:rsidRPr="009A059F">
        <w:rPr>
          <w:rFonts w:ascii="Palatino Linotype" w:hAnsi="Palatino Linotype" w:cs="Arial"/>
          <w:sz w:val="22"/>
          <w:szCs w:val="22"/>
          <w:lang w:val="en-US"/>
        </w:rPr>
        <w:t xml:space="preserve"> revisions</w:t>
      </w:r>
      <w:r w:rsidR="0066413C" w:rsidRPr="009A059F">
        <w:rPr>
          <w:rFonts w:ascii="Palatino Linotype" w:hAnsi="Palatino Linotype" w:cs="Arial"/>
          <w:sz w:val="22"/>
          <w:szCs w:val="22"/>
          <w:lang w:val="en-US"/>
        </w:rPr>
        <w:t xml:space="preserve"> are compared with the revisions</w:t>
      </w:r>
      <w:r w:rsidR="00863CF4" w:rsidRPr="009A059F">
        <w:rPr>
          <w:rFonts w:ascii="Palatino Linotype" w:hAnsi="Palatino Linotype" w:cs="Arial"/>
          <w:sz w:val="22"/>
          <w:szCs w:val="22"/>
          <w:lang w:val="en-US"/>
        </w:rPr>
        <w:t xml:space="preserve"> made by TurkStat in old series and </w:t>
      </w:r>
      <w:r w:rsidR="0066413C" w:rsidRPr="009A059F">
        <w:rPr>
          <w:rFonts w:ascii="Palatino Linotype" w:hAnsi="Palatino Linotype" w:cs="Arial"/>
          <w:sz w:val="22"/>
          <w:szCs w:val="22"/>
          <w:lang w:val="en-US"/>
        </w:rPr>
        <w:t xml:space="preserve">with the practices of the statistical institutes of </w:t>
      </w:r>
      <w:r w:rsidR="00863CF4" w:rsidRPr="009A059F">
        <w:rPr>
          <w:rFonts w:ascii="Palatino Linotype" w:hAnsi="Palatino Linotype" w:cs="Arial"/>
          <w:sz w:val="22"/>
          <w:szCs w:val="22"/>
          <w:lang w:val="en-US"/>
        </w:rPr>
        <w:t>Germany and France</w:t>
      </w:r>
      <w:r w:rsidR="0066413C" w:rsidRPr="009A059F">
        <w:rPr>
          <w:rFonts w:ascii="Palatino Linotype" w:hAnsi="Palatino Linotype" w:cs="Arial"/>
          <w:sz w:val="22"/>
          <w:szCs w:val="22"/>
          <w:lang w:val="en-US"/>
        </w:rPr>
        <w:t xml:space="preserve">. </w:t>
      </w:r>
      <w:r w:rsidR="00863CF4" w:rsidRPr="009A059F">
        <w:rPr>
          <w:rFonts w:ascii="Palatino Linotype" w:hAnsi="Palatino Linotype" w:cs="Arial"/>
          <w:sz w:val="22"/>
          <w:szCs w:val="22"/>
          <w:lang w:val="en-US"/>
        </w:rPr>
        <w:t xml:space="preserve">We think that </w:t>
      </w:r>
      <w:r w:rsidR="0066413C" w:rsidRPr="009A059F">
        <w:rPr>
          <w:rFonts w:ascii="Palatino Linotype" w:hAnsi="Palatino Linotype" w:cs="Arial"/>
          <w:sz w:val="22"/>
          <w:szCs w:val="22"/>
          <w:lang w:val="en-US"/>
        </w:rPr>
        <w:t>large a</w:t>
      </w:r>
      <w:r w:rsidR="00CE1CD1" w:rsidRPr="009A059F">
        <w:rPr>
          <w:rFonts w:ascii="Palatino Linotype" w:hAnsi="Palatino Linotype" w:cs="Arial"/>
          <w:sz w:val="22"/>
          <w:szCs w:val="22"/>
          <w:lang w:val="en-US"/>
        </w:rPr>
        <w:t xml:space="preserve">nd opposite revisions in past growth estimates create problems in understanding the dynamics of Turkish economy and make difficult to forecast future </w:t>
      </w:r>
      <w:r w:rsidR="0066413C" w:rsidRPr="009A059F">
        <w:rPr>
          <w:rFonts w:ascii="Palatino Linotype" w:hAnsi="Palatino Linotype" w:cs="Arial"/>
          <w:sz w:val="22"/>
          <w:szCs w:val="22"/>
          <w:lang w:val="en-US"/>
        </w:rPr>
        <w:t>growth rates</w:t>
      </w:r>
      <w:r w:rsidR="00CE1CD1" w:rsidRPr="009A059F">
        <w:rPr>
          <w:rFonts w:ascii="Palatino Linotype" w:hAnsi="Palatino Linotype" w:cs="Arial"/>
          <w:sz w:val="22"/>
          <w:szCs w:val="22"/>
          <w:lang w:val="en-US"/>
        </w:rPr>
        <w:t xml:space="preserve">. </w:t>
      </w:r>
    </w:p>
    <w:p w:rsidR="00091CF5" w:rsidRPr="009A059F" w:rsidRDefault="00091CF5" w:rsidP="00A26107">
      <w:pPr>
        <w:jc w:val="both"/>
        <w:rPr>
          <w:rFonts w:ascii="Palatino Linotype" w:hAnsi="Palatino Linotype" w:cs="Arial"/>
          <w:b/>
          <w:sz w:val="22"/>
          <w:szCs w:val="22"/>
          <w:lang w:val="en-US"/>
        </w:rPr>
      </w:pPr>
    </w:p>
    <w:p w:rsidR="00B564C0" w:rsidRPr="009A059F" w:rsidRDefault="00B564C0" w:rsidP="00B564C0">
      <w:pPr>
        <w:jc w:val="both"/>
        <w:rPr>
          <w:rFonts w:ascii="Palatino Linotype" w:hAnsi="Palatino Linotype" w:cs="Arial"/>
          <w:b/>
          <w:sz w:val="22"/>
          <w:szCs w:val="22"/>
          <w:lang w:val="en-US"/>
        </w:rPr>
      </w:pPr>
      <w:r w:rsidRPr="009A059F">
        <w:rPr>
          <w:rFonts w:ascii="Palatino Linotype" w:hAnsi="Palatino Linotype" w:cs="Arial"/>
          <w:b/>
          <w:sz w:val="22"/>
          <w:szCs w:val="22"/>
          <w:lang w:val="en-US"/>
        </w:rPr>
        <w:t>Introduction</w:t>
      </w:r>
    </w:p>
    <w:p w:rsidR="00B564C0" w:rsidRPr="009A059F" w:rsidRDefault="00B564C0" w:rsidP="00B564C0">
      <w:pPr>
        <w:jc w:val="both"/>
        <w:rPr>
          <w:rFonts w:ascii="Palatino Linotype" w:hAnsi="Palatino Linotype" w:cs="Arial"/>
          <w:b/>
          <w:sz w:val="22"/>
          <w:szCs w:val="22"/>
          <w:lang w:val="en-US"/>
        </w:rPr>
      </w:pPr>
    </w:p>
    <w:p w:rsidR="00B564C0" w:rsidRPr="009A059F" w:rsidRDefault="00B564C0" w:rsidP="00B564C0">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 xml:space="preserve">Turkish Statistical Institute (TurkStat) </w:t>
      </w:r>
      <w:r w:rsidR="00636AE9" w:rsidRPr="009A059F">
        <w:rPr>
          <w:rFonts w:ascii="Palatino Linotype" w:hAnsi="Palatino Linotype" w:cs="Arial"/>
          <w:sz w:val="22"/>
          <w:szCs w:val="22"/>
          <w:lang w:val="en-US"/>
        </w:rPr>
        <w:t xml:space="preserve">started to use </w:t>
      </w:r>
      <w:r w:rsidRPr="009A059F">
        <w:rPr>
          <w:rFonts w:ascii="Palatino Linotype" w:hAnsi="Palatino Linotype" w:cs="Arial"/>
          <w:sz w:val="22"/>
          <w:szCs w:val="22"/>
          <w:lang w:val="en-US"/>
        </w:rPr>
        <w:t>a new method</w:t>
      </w:r>
      <w:r w:rsidR="0066413C" w:rsidRPr="009A059F">
        <w:rPr>
          <w:rFonts w:ascii="Palatino Linotype" w:hAnsi="Palatino Linotype" w:cs="Arial"/>
          <w:sz w:val="22"/>
          <w:szCs w:val="22"/>
          <w:lang w:val="en-US"/>
        </w:rPr>
        <w:t>ology</w:t>
      </w:r>
      <w:r w:rsidRPr="009A059F">
        <w:rPr>
          <w:rFonts w:ascii="Palatino Linotype" w:hAnsi="Palatino Linotype" w:cs="Arial"/>
          <w:sz w:val="22"/>
          <w:szCs w:val="22"/>
          <w:lang w:val="en-US"/>
        </w:rPr>
        <w:t xml:space="preserve"> to calculate GDP growth since third quarter of 201</w:t>
      </w:r>
      <w:r w:rsidR="0066413C" w:rsidRPr="009A059F">
        <w:rPr>
          <w:rFonts w:ascii="Palatino Linotype" w:hAnsi="Palatino Linotype" w:cs="Arial"/>
          <w:sz w:val="22"/>
          <w:szCs w:val="22"/>
          <w:lang w:val="en-US"/>
        </w:rPr>
        <w:t>6</w:t>
      </w:r>
      <w:r w:rsidR="00636AE9" w:rsidRPr="009A059F">
        <w:rPr>
          <w:rFonts w:ascii="Palatino Linotype" w:hAnsi="Palatino Linotype" w:cs="Arial"/>
          <w:sz w:val="22"/>
          <w:szCs w:val="22"/>
          <w:lang w:val="en-US"/>
        </w:rPr>
        <w:t xml:space="preserve"> in order to comply with the standards of </w:t>
      </w:r>
      <w:r w:rsidRPr="009A059F">
        <w:rPr>
          <w:rFonts w:ascii="Palatino Linotype" w:hAnsi="Palatino Linotype" w:cs="Arial"/>
          <w:sz w:val="22"/>
          <w:szCs w:val="22"/>
          <w:lang w:val="en-US"/>
        </w:rPr>
        <w:t>the System of National Accounts (SNA-2008) and European System of Accounts (ESA-2010)</w:t>
      </w:r>
      <w:r w:rsidR="00636AE9" w:rsidRPr="009A059F">
        <w:rPr>
          <w:rFonts w:ascii="Palatino Linotype" w:hAnsi="Palatino Linotype" w:cs="Arial"/>
          <w:sz w:val="22"/>
          <w:szCs w:val="22"/>
          <w:lang w:val="en-US"/>
        </w:rPr>
        <w:t xml:space="preserve">. The first </w:t>
      </w:r>
      <w:r w:rsidR="00636AE9" w:rsidRPr="009A059F">
        <w:rPr>
          <w:rFonts w:ascii="Palatino Linotype" w:hAnsi="Palatino Linotype" w:cs="Arial"/>
          <w:sz w:val="22"/>
          <w:szCs w:val="22"/>
          <w:lang w:val="en-US"/>
        </w:rPr>
        <w:lastRenderedPageBreak/>
        <w:t xml:space="preserve">figures of the new national accounts serial </w:t>
      </w:r>
      <w:r w:rsidRPr="009A059F">
        <w:rPr>
          <w:rFonts w:ascii="Palatino Linotype" w:hAnsi="Palatino Linotype" w:cs="Arial"/>
          <w:sz w:val="22"/>
          <w:szCs w:val="22"/>
          <w:lang w:val="en-US"/>
        </w:rPr>
        <w:t xml:space="preserve">was publicly announced by TurkStat on December 12, 2016. </w:t>
      </w:r>
      <w:r w:rsidR="00636AE9" w:rsidRPr="009A059F">
        <w:rPr>
          <w:rFonts w:ascii="Palatino Linotype" w:hAnsi="Palatino Linotype" w:cs="Arial"/>
          <w:sz w:val="22"/>
          <w:szCs w:val="22"/>
          <w:lang w:val="en-US"/>
        </w:rPr>
        <w:t>Quite large differences regarding definitions, level</w:t>
      </w:r>
      <w:r w:rsidR="00167F80" w:rsidRPr="009A059F">
        <w:rPr>
          <w:rFonts w:ascii="Palatino Linotype" w:hAnsi="Palatino Linotype" w:cs="Arial"/>
          <w:sz w:val="22"/>
          <w:szCs w:val="22"/>
          <w:lang w:val="en-US"/>
        </w:rPr>
        <w:t>s</w:t>
      </w:r>
      <w:r w:rsidR="00636AE9" w:rsidRPr="009A059F">
        <w:rPr>
          <w:rFonts w:ascii="Palatino Linotype" w:hAnsi="Palatino Linotype" w:cs="Arial"/>
          <w:sz w:val="22"/>
          <w:szCs w:val="22"/>
          <w:lang w:val="en-US"/>
        </w:rPr>
        <w:t xml:space="preserve"> and ratio</w:t>
      </w:r>
      <w:r w:rsidR="00167F80" w:rsidRPr="009A059F">
        <w:rPr>
          <w:rFonts w:ascii="Palatino Linotype" w:hAnsi="Palatino Linotype" w:cs="Arial"/>
          <w:sz w:val="22"/>
          <w:szCs w:val="22"/>
          <w:lang w:val="en-US"/>
        </w:rPr>
        <w:t>s</w:t>
      </w:r>
      <w:r w:rsidR="00636AE9" w:rsidRPr="009A059F">
        <w:rPr>
          <w:rFonts w:ascii="Palatino Linotype" w:hAnsi="Palatino Linotype" w:cs="Arial"/>
          <w:sz w:val="22"/>
          <w:szCs w:val="22"/>
          <w:lang w:val="en-US"/>
        </w:rPr>
        <w:t xml:space="preserve"> between old and new series</w:t>
      </w:r>
      <w:r w:rsidR="00167F80" w:rsidRPr="009A059F">
        <w:rPr>
          <w:rFonts w:ascii="Palatino Linotype" w:hAnsi="Palatino Linotype" w:cs="Arial"/>
          <w:sz w:val="22"/>
          <w:szCs w:val="22"/>
          <w:lang w:val="en-US"/>
        </w:rPr>
        <w:t xml:space="preserve"> have been noted</w:t>
      </w:r>
      <w:r w:rsidR="00636AE9" w:rsidRPr="009A059F">
        <w:rPr>
          <w:rFonts w:ascii="Palatino Linotype" w:hAnsi="Palatino Linotype" w:cs="Arial"/>
          <w:sz w:val="22"/>
          <w:szCs w:val="22"/>
          <w:lang w:val="en-US"/>
        </w:rPr>
        <w:t xml:space="preserve">. </w:t>
      </w:r>
      <w:r w:rsidRPr="009A059F">
        <w:rPr>
          <w:rFonts w:ascii="Palatino Linotype" w:hAnsi="Palatino Linotype" w:cs="Arial"/>
          <w:sz w:val="22"/>
          <w:szCs w:val="22"/>
          <w:lang w:val="en-US"/>
        </w:rPr>
        <w:t>Betam ha</w:t>
      </w:r>
      <w:r w:rsidR="00167F80" w:rsidRPr="009A059F">
        <w:rPr>
          <w:rFonts w:ascii="Palatino Linotype" w:hAnsi="Palatino Linotype" w:cs="Arial"/>
          <w:sz w:val="22"/>
          <w:szCs w:val="22"/>
          <w:lang w:val="en-US"/>
        </w:rPr>
        <w:t>s</w:t>
      </w:r>
      <w:r w:rsidRPr="009A059F">
        <w:rPr>
          <w:rFonts w:ascii="Palatino Linotype" w:hAnsi="Palatino Linotype" w:cs="Arial"/>
          <w:sz w:val="22"/>
          <w:szCs w:val="22"/>
          <w:lang w:val="en-US"/>
        </w:rPr>
        <w:t xml:space="preserve"> published a research brief about these differences.</w:t>
      </w:r>
      <w:r w:rsidRPr="009A059F">
        <w:rPr>
          <w:rStyle w:val="DipnotBavurusu"/>
          <w:rFonts w:ascii="Palatino Linotype" w:eastAsiaTheme="majorEastAsia" w:hAnsi="Palatino Linotype" w:cs="Arial"/>
          <w:sz w:val="22"/>
          <w:szCs w:val="22"/>
          <w:lang w:val="en-US"/>
        </w:rPr>
        <w:footnoteReference w:id="3"/>
      </w:r>
    </w:p>
    <w:p w:rsidR="00B564C0" w:rsidRPr="009A059F" w:rsidRDefault="00B564C0" w:rsidP="00B564C0">
      <w:pPr>
        <w:spacing w:line="276" w:lineRule="auto"/>
        <w:jc w:val="both"/>
        <w:rPr>
          <w:rFonts w:ascii="Palatino Linotype" w:hAnsi="Palatino Linotype" w:cs="Arial"/>
          <w:sz w:val="22"/>
          <w:szCs w:val="22"/>
          <w:lang w:val="en-US"/>
        </w:rPr>
      </w:pPr>
    </w:p>
    <w:p w:rsidR="00022AF4" w:rsidRPr="009A059F" w:rsidRDefault="00167F80" w:rsidP="00B564C0">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 xml:space="preserve">Launching the new national accounts serial </w:t>
      </w:r>
      <w:r w:rsidR="00B564C0" w:rsidRPr="009A059F">
        <w:rPr>
          <w:rFonts w:ascii="Palatino Linotype" w:hAnsi="Palatino Linotype" w:cs="Arial"/>
          <w:sz w:val="22"/>
          <w:szCs w:val="22"/>
          <w:lang w:val="en-US"/>
        </w:rPr>
        <w:t>Turk</w:t>
      </w:r>
      <w:r w:rsidR="00FF1BE6">
        <w:rPr>
          <w:rFonts w:ascii="Palatino Linotype" w:hAnsi="Palatino Linotype" w:cs="Arial"/>
          <w:sz w:val="22"/>
          <w:szCs w:val="22"/>
          <w:lang w:val="en-US"/>
        </w:rPr>
        <w:t>S</w:t>
      </w:r>
      <w:r w:rsidR="00B564C0" w:rsidRPr="009A059F">
        <w:rPr>
          <w:rFonts w:ascii="Palatino Linotype" w:hAnsi="Palatino Linotype" w:cs="Arial"/>
          <w:sz w:val="22"/>
          <w:szCs w:val="22"/>
          <w:lang w:val="en-US"/>
        </w:rPr>
        <w:t xml:space="preserve">tat </w:t>
      </w:r>
      <w:r w:rsidRPr="009A059F">
        <w:rPr>
          <w:rFonts w:ascii="Palatino Linotype" w:hAnsi="Palatino Linotype" w:cs="Arial"/>
          <w:sz w:val="22"/>
          <w:szCs w:val="22"/>
          <w:lang w:val="en-US"/>
        </w:rPr>
        <w:t>had warned</w:t>
      </w:r>
      <w:r w:rsidR="00B564C0" w:rsidRPr="009A059F">
        <w:rPr>
          <w:rFonts w:ascii="Palatino Linotype" w:hAnsi="Palatino Linotype" w:cs="Arial"/>
          <w:sz w:val="22"/>
          <w:szCs w:val="22"/>
          <w:lang w:val="en-US"/>
        </w:rPr>
        <w:t xml:space="preserve"> that </w:t>
      </w:r>
      <w:r w:rsidRPr="009A059F">
        <w:rPr>
          <w:rFonts w:ascii="Palatino Linotype" w:hAnsi="Palatino Linotype" w:cs="Arial"/>
          <w:sz w:val="22"/>
          <w:szCs w:val="22"/>
          <w:lang w:val="en-US"/>
        </w:rPr>
        <w:t xml:space="preserve">from now on </w:t>
      </w:r>
      <w:r w:rsidR="006467E6">
        <w:rPr>
          <w:rFonts w:ascii="Palatino Linotype" w:hAnsi="Palatino Linotype" w:cs="Arial"/>
          <w:sz w:val="22"/>
          <w:szCs w:val="22"/>
          <w:lang w:val="en-US"/>
        </w:rPr>
        <w:t>r</w:t>
      </w:r>
      <w:r w:rsidRPr="009A059F">
        <w:rPr>
          <w:rFonts w:ascii="Palatino Linotype" w:hAnsi="Palatino Linotype" w:cs="Arial"/>
          <w:sz w:val="22"/>
          <w:szCs w:val="22"/>
          <w:lang w:val="en-US"/>
        </w:rPr>
        <w:t xml:space="preserve">evisions in growth rates would be larger </w:t>
      </w:r>
      <w:r w:rsidR="00B564C0" w:rsidRPr="009A059F">
        <w:rPr>
          <w:rFonts w:ascii="Palatino Linotype" w:hAnsi="Palatino Linotype" w:cs="Arial"/>
          <w:sz w:val="22"/>
          <w:szCs w:val="22"/>
          <w:lang w:val="en-US"/>
        </w:rPr>
        <w:t xml:space="preserve">and more frequently. </w:t>
      </w:r>
      <w:r w:rsidRPr="009A059F">
        <w:rPr>
          <w:rFonts w:ascii="Palatino Linotype" w:hAnsi="Palatino Linotype" w:cs="Arial"/>
          <w:sz w:val="22"/>
          <w:szCs w:val="22"/>
          <w:lang w:val="en-US"/>
        </w:rPr>
        <w:t>To be frank</w:t>
      </w:r>
      <w:r w:rsidR="005325DC" w:rsidRPr="009A059F">
        <w:rPr>
          <w:rFonts w:ascii="Palatino Linotype" w:hAnsi="Palatino Linotype" w:cs="Arial"/>
          <w:sz w:val="22"/>
          <w:szCs w:val="22"/>
          <w:lang w:val="en-US"/>
        </w:rPr>
        <w:t>,</w:t>
      </w:r>
      <w:r w:rsidR="00B564C0" w:rsidRPr="009A059F">
        <w:rPr>
          <w:rFonts w:ascii="Palatino Linotype" w:hAnsi="Palatino Linotype" w:cs="Arial"/>
          <w:sz w:val="22"/>
          <w:szCs w:val="22"/>
          <w:lang w:val="en-US"/>
        </w:rPr>
        <w:t xml:space="preserve"> we could not understand what that meant at that time. </w:t>
      </w:r>
      <w:bookmarkStart w:id="0" w:name="_GoBack"/>
      <w:bookmarkEnd w:id="0"/>
    </w:p>
    <w:p w:rsidR="00744CC0" w:rsidRPr="009A059F" w:rsidRDefault="00744CC0" w:rsidP="00B564C0">
      <w:pPr>
        <w:spacing w:line="276" w:lineRule="auto"/>
        <w:jc w:val="both"/>
        <w:rPr>
          <w:rFonts w:ascii="Palatino Linotype" w:hAnsi="Palatino Linotype" w:cs="Arial"/>
          <w:sz w:val="22"/>
          <w:szCs w:val="22"/>
          <w:lang w:val="en-US"/>
        </w:rPr>
      </w:pPr>
    </w:p>
    <w:p w:rsidR="00B564C0" w:rsidRPr="009A059F" w:rsidRDefault="00022AF4" w:rsidP="00B564C0">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With</w:t>
      </w:r>
      <w:r w:rsidR="00B564C0" w:rsidRPr="009A059F">
        <w:rPr>
          <w:rFonts w:ascii="Palatino Linotype" w:hAnsi="Palatino Linotype" w:cs="Arial"/>
          <w:sz w:val="22"/>
          <w:szCs w:val="22"/>
          <w:lang w:val="en-US"/>
        </w:rPr>
        <w:t xml:space="preserve"> the new method</w:t>
      </w:r>
      <w:r w:rsidRPr="009A059F">
        <w:rPr>
          <w:rFonts w:ascii="Palatino Linotype" w:hAnsi="Palatino Linotype" w:cs="Arial"/>
          <w:sz w:val="22"/>
          <w:szCs w:val="22"/>
          <w:lang w:val="en-US"/>
        </w:rPr>
        <w:t>ology</w:t>
      </w:r>
      <w:r w:rsidR="00B564C0" w:rsidRPr="009A059F">
        <w:rPr>
          <w:rFonts w:ascii="Palatino Linotype" w:hAnsi="Palatino Linotype" w:cs="Arial"/>
          <w:sz w:val="22"/>
          <w:szCs w:val="22"/>
          <w:lang w:val="en-US"/>
        </w:rPr>
        <w:t xml:space="preserve">, GDP </w:t>
      </w:r>
      <w:r w:rsidRPr="009A059F">
        <w:rPr>
          <w:rFonts w:ascii="Palatino Linotype" w:hAnsi="Palatino Linotype" w:cs="Arial"/>
          <w:sz w:val="22"/>
          <w:szCs w:val="22"/>
          <w:lang w:val="en-US"/>
        </w:rPr>
        <w:t xml:space="preserve">estimates </w:t>
      </w:r>
      <w:r w:rsidR="00B564C0" w:rsidRPr="009A059F">
        <w:rPr>
          <w:rFonts w:ascii="Palatino Linotype" w:hAnsi="Palatino Linotype" w:cs="Arial"/>
          <w:sz w:val="22"/>
          <w:szCs w:val="22"/>
          <w:lang w:val="en-US"/>
        </w:rPr>
        <w:t>would be made using directly annual data. In the old series, Turk</w:t>
      </w:r>
      <w:r w:rsidR="00FF1BE6">
        <w:rPr>
          <w:rFonts w:ascii="Palatino Linotype" w:hAnsi="Palatino Linotype" w:cs="Arial"/>
          <w:sz w:val="22"/>
          <w:szCs w:val="22"/>
          <w:lang w:val="en-US"/>
        </w:rPr>
        <w:t>S</w:t>
      </w:r>
      <w:r w:rsidR="00B564C0" w:rsidRPr="009A059F">
        <w:rPr>
          <w:rFonts w:ascii="Palatino Linotype" w:hAnsi="Palatino Linotype" w:cs="Arial"/>
          <w:sz w:val="22"/>
          <w:szCs w:val="22"/>
          <w:lang w:val="en-US"/>
        </w:rPr>
        <w:t>tat w</w:t>
      </w:r>
      <w:r w:rsidRPr="009A059F">
        <w:rPr>
          <w:rFonts w:ascii="Palatino Linotype" w:hAnsi="Palatino Linotype" w:cs="Arial"/>
          <w:sz w:val="22"/>
          <w:szCs w:val="22"/>
          <w:lang w:val="en-US"/>
        </w:rPr>
        <w:t>as</w:t>
      </w:r>
      <w:r w:rsidR="00B564C0" w:rsidRPr="009A059F">
        <w:rPr>
          <w:rFonts w:ascii="Palatino Linotype" w:hAnsi="Palatino Linotype" w:cs="Arial"/>
          <w:sz w:val="22"/>
          <w:szCs w:val="22"/>
          <w:lang w:val="en-US"/>
        </w:rPr>
        <w:t xml:space="preserve"> making </w:t>
      </w:r>
      <w:r w:rsidRPr="009A059F">
        <w:rPr>
          <w:rFonts w:ascii="Palatino Linotype" w:hAnsi="Palatino Linotype" w:cs="Arial"/>
          <w:sz w:val="22"/>
          <w:szCs w:val="22"/>
          <w:lang w:val="en-US"/>
        </w:rPr>
        <w:t xml:space="preserve">quarterly </w:t>
      </w:r>
      <w:r w:rsidR="00B564C0" w:rsidRPr="009A059F">
        <w:rPr>
          <w:rFonts w:ascii="Palatino Linotype" w:hAnsi="Palatino Linotype" w:cs="Arial"/>
          <w:sz w:val="22"/>
          <w:szCs w:val="22"/>
          <w:lang w:val="en-US"/>
        </w:rPr>
        <w:t xml:space="preserve">GDP estimates and </w:t>
      </w:r>
      <w:r w:rsidRPr="009A059F">
        <w:rPr>
          <w:rFonts w:ascii="Palatino Linotype" w:hAnsi="Palatino Linotype" w:cs="Arial"/>
          <w:sz w:val="22"/>
          <w:szCs w:val="22"/>
          <w:lang w:val="en-US"/>
        </w:rPr>
        <w:t xml:space="preserve">was </w:t>
      </w:r>
      <w:r w:rsidR="00B564C0" w:rsidRPr="009A059F">
        <w:rPr>
          <w:rFonts w:ascii="Palatino Linotype" w:hAnsi="Palatino Linotype" w:cs="Arial"/>
          <w:sz w:val="22"/>
          <w:szCs w:val="22"/>
          <w:lang w:val="en-US"/>
        </w:rPr>
        <w:t>summing the</w:t>
      </w:r>
      <w:r w:rsidRPr="009A059F">
        <w:rPr>
          <w:rFonts w:ascii="Palatino Linotype" w:hAnsi="Palatino Linotype" w:cs="Arial"/>
          <w:sz w:val="22"/>
          <w:szCs w:val="22"/>
          <w:lang w:val="en-US"/>
        </w:rPr>
        <w:t xml:space="preserve">m in order to have </w:t>
      </w:r>
      <w:r w:rsidR="00B564C0" w:rsidRPr="009A059F">
        <w:rPr>
          <w:rFonts w:ascii="Palatino Linotype" w:hAnsi="Palatino Linotype" w:cs="Arial"/>
          <w:sz w:val="22"/>
          <w:szCs w:val="22"/>
          <w:lang w:val="en-US"/>
        </w:rPr>
        <w:t xml:space="preserve">annual GDP. </w:t>
      </w:r>
      <w:r w:rsidRPr="009A059F">
        <w:rPr>
          <w:rFonts w:ascii="Palatino Linotype" w:hAnsi="Palatino Linotype" w:cs="Arial"/>
          <w:sz w:val="22"/>
          <w:szCs w:val="22"/>
          <w:lang w:val="en-US"/>
        </w:rPr>
        <w:t xml:space="preserve">Given this practice </w:t>
      </w:r>
      <w:r w:rsidR="00B564C0" w:rsidRPr="009A059F">
        <w:rPr>
          <w:rFonts w:ascii="Palatino Linotype" w:hAnsi="Palatino Linotype" w:cs="Arial"/>
          <w:sz w:val="22"/>
          <w:szCs w:val="22"/>
          <w:lang w:val="en-US"/>
        </w:rPr>
        <w:t xml:space="preserve">we thought that quarterly estimates would be revised after </w:t>
      </w:r>
      <w:r w:rsidRPr="009A059F">
        <w:rPr>
          <w:rFonts w:ascii="Palatino Linotype" w:hAnsi="Palatino Linotype" w:cs="Arial"/>
          <w:sz w:val="22"/>
          <w:szCs w:val="22"/>
          <w:lang w:val="en-US"/>
        </w:rPr>
        <w:t xml:space="preserve">the </w:t>
      </w:r>
      <w:r w:rsidR="00B564C0" w:rsidRPr="009A059F">
        <w:rPr>
          <w:rFonts w:ascii="Palatino Linotype" w:hAnsi="Palatino Linotype" w:cs="Arial"/>
          <w:sz w:val="22"/>
          <w:szCs w:val="22"/>
          <w:lang w:val="en-US"/>
        </w:rPr>
        <w:t xml:space="preserve">annual </w:t>
      </w:r>
      <w:r w:rsidRPr="009A059F">
        <w:rPr>
          <w:rFonts w:ascii="Palatino Linotype" w:hAnsi="Palatino Linotype" w:cs="Arial"/>
          <w:sz w:val="22"/>
          <w:szCs w:val="22"/>
          <w:lang w:val="en-US"/>
        </w:rPr>
        <w:t>GDP growth rate is announced.</w:t>
      </w:r>
      <w:r w:rsidR="00B564C0" w:rsidRPr="009A059F">
        <w:rPr>
          <w:rFonts w:ascii="Palatino Linotype" w:hAnsi="Palatino Linotype" w:cs="Arial"/>
          <w:sz w:val="22"/>
          <w:szCs w:val="22"/>
          <w:lang w:val="en-US"/>
        </w:rPr>
        <w:t xml:space="preserve"> Annual data and quarterly data were expected to be harmonized at the end of the </w:t>
      </w:r>
      <w:r w:rsidR="000F0549" w:rsidRPr="009A059F">
        <w:rPr>
          <w:rFonts w:ascii="Palatino Linotype" w:hAnsi="Palatino Linotype" w:cs="Arial"/>
          <w:sz w:val="22"/>
          <w:szCs w:val="22"/>
          <w:lang w:val="en-US"/>
        </w:rPr>
        <w:t>year</w:t>
      </w:r>
      <w:r w:rsidR="00B564C0" w:rsidRPr="009A059F">
        <w:rPr>
          <w:rFonts w:ascii="Palatino Linotype" w:hAnsi="Palatino Linotype" w:cs="Arial"/>
          <w:sz w:val="22"/>
          <w:szCs w:val="22"/>
          <w:lang w:val="en-US"/>
        </w:rPr>
        <w:t xml:space="preserve">. What </w:t>
      </w:r>
      <w:r w:rsidR="000F0549" w:rsidRPr="009A059F">
        <w:rPr>
          <w:rFonts w:ascii="Palatino Linotype" w:hAnsi="Palatino Linotype" w:cs="Arial"/>
          <w:sz w:val="22"/>
          <w:szCs w:val="22"/>
          <w:lang w:val="en-US"/>
        </w:rPr>
        <w:t>was</w:t>
      </w:r>
      <w:r w:rsidR="00B564C0" w:rsidRPr="009A059F">
        <w:rPr>
          <w:rFonts w:ascii="Palatino Linotype" w:hAnsi="Palatino Linotype" w:cs="Arial"/>
          <w:sz w:val="22"/>
          <w:szCs w:val="22"/>
          <w:lang w:val="en-US"/>
        </w:rPr>
        <w:t xml:space="preserve"> unexpected and surprising, however, is that </w:t>
      </w:r>
      <w:r w:rsidR="000F0549" w:rsidRPr="009A059F">
        <w:rPr>
          <w:rFonts w:ascii="Palatino Linotype" w:hAnsi="Palatino Linotype" w:cs="Arial"/>
          <w:sz w:val="22"/>
          <w:szCs w:val="22"/>
          <w:lang w:val="en-US"/>
        </w:rPr>
        <w:t>large revisions and even in opposite directions</w:t>
      </w:r>
      <w:r w:rsidR="00B564C0" w:rsidRPr="009A059F">
        <w:rPr>
          <w:rFonts w:ascii="Palatino Linotype" w:hAnsi="Palatino Linotype" w:cs="Arial"/>
          <w:sz w:val="22"/>
          <w:szCs w:val="22"/>
          <w:lang w:val="en-US"/>
        </w:rPr>
        <w:t xml:space="preserve"> would be done over and over again</w:t>
      </w:r>
      <w:r w:rsidR="000F0549" w:rsidRPr="009A059F">
        <w:rPr>
          <w:rFonts w:ascii="Palatino Linotype" w:hAnsi="Palatino Linotype" w:cs="Arial"/>
          <w:sz w:val="22"/>
          <w:szCs w:val="22"/>
          <w:lang w:val="en-US"/>
        </w:rPr>
        <w:t xml:space="preserve">. </w:t>
      </w:r>
      <w:r w:rsidR="00B564C0" w:rsidRPr="009A059F">
        <w:rPr>
          <w:rFonts w:ascii="Palatino Linotype" w:hAnsi="Palatino Linotype" w:cs="Arial"/>
          <w:sz w:val="22"/>
          <w:szCs w:val="22"/>
          <w:lang w:val="en-US"/>
        </w:rPr>
        <w:t xml:space="preserve">We do not know how much of these revisions result from information update and </w:t>
      </w:r>
      <w:r w:rsidR="000F0549" w:rsidRPr="009A059F">
        <w:rPr>
          <w:rFonts w:ascii="Palatino Linotype" w:hAnsi="Palatino Linotype" w:cs="Arial"/>
          <w:sz w:val="22"/>
          <w:szCs w:val="22"/>
          <w:lang w:val="en-US"/>
        </w:rPr>
        <w:t xml:space="preserve">from </w:t>
      </w:r>
      <w:r w:rsidR="00B564C0" w:rsidRPr="009A059F">
        <w:rPr>
          <w:rFonts w:ascii="Palatino Linotype" w:hAnsi="Palatino Linotype" w:cs="Arial"/>
          <w:sz w:val="22"/>
          <w:szCs w:val="22"/>
          <w:lang w:val="en-US"/>
        </w:rPr>
        <w:t xml:space="preserve">methodological framework. We think that TurkStat did not inform the public sufficiently. </w:t>
      </w:r>
    </w:p>
    <w:p w:rsidR="00B564C0" w:rsidRPr="009A059F" w:rsidRDefault="00B564C0" w:rsidP="00B564C0">
      <w:pPr>
        <w:spacing w:line="276" w:lineRule="auto"/>
        <w:jc w:val="both"/>
        <w:rPr>
          <w:rFonts w:ascii="Palatino Linotype" w:hAnsi="Palatino Linotype" w:cs="Arial"/>
          <w:sz w:val="22"/>
          <w:szCs w:val="22"/>
          <w:lang w:val="en-US"/>
        </w:rPr>
      </w:pPr>
    </w:p>
    <w:p w:rsidR="00B564C0" w:rsidRPr="009A059F" w:rsidRDefault="00B564C0" w:rsidP="00B564C0">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It is also worth noting that, since GDP forecasting models use recent</w:t>
      </w:r>
      <w:r w:rsidR="000F0549" w:rsidRPr="009A059F">
        <w:rPr>
          <w:rFonts w:ascii="Palatino Linotype" w:hAnsi="Palatino Linotype" w:cs="Arial"/>
          <w:sz w:val="22"/>
          <w:szCs w:val="22"/>
          <w:lang w:val="en-US"/>
        </w:rPr>
        <w:t xml:space="preserve"> past</w:t>
      </w:r>
      <w:r w:rsidRPr="009A059F">
        <w:rPr>
          <w:rFonts w:ascii="Palatino Linotype" w:hAnsi="Palatino Linotype" w:cs="Arial"/>
          <w:sz w:val="22"/>
          <w:szCs w:val="22"/>
          <w:lang w:val="en-US"/>
        </w:rPr>
        <w:t xml:space="preserve"> data </w:t>
      </w:r>
      <w:r w:rsidR="000F0549" w:rsidRPr="009A059F">
        <w:rPr>
          <w:rFonts w:ascii="Palatino Linotype" w:hAnsi="Palatino Linotype" w:cs="Arial"/>
          <w:sz w:val="22"/>
          <w:szCs w:val="22"/>
          <w:lang w:val="en-US"/>
        </w:rPr>
        <w:t>at some extent</w:t>
      </w:r>
      <w:r w:rsidRPr="009A059F">
        <w:rPr>
          <w:rFonts w:ascii="Palatino Linotype" w:hAnsi="Palatino Linotype" w:cs="Arial"/>
          <w:sz w:val="22"/>
          <w:szCs w:val="22"/>
          <w:lang w:val="en-US"/>
        </w:rPr>
        <w:t xml:space="preserve">, revisions of past growth rates which have been spreading over time and showing major changes, have added additional difficulties to forecasting </w:t>
      </w:r>
      <w:r w:rsidR="000F0549" w:rsidRPr="009A059F">
        <w:rPr>
          <w:rFonts w:ascii="Palatino Linotype" w:hAnsi="Palatino Linotype" w:cs="Arial"/>
          <w:sz w:val="22"/>
          <w:szCs w:val="22"/>
          <w:lang w:val="en-US"/>
        </w:rPr>
        <w:t>efforts</w:t>
      </w:r>
      <w:r w:rsidRPr="009A059F">
        <w:rPr>
          <w:rFonts w:ascii="Palatino Linotype" w:hAnsi="Palatino Linotype" w:cs="Arial"/>
          <w:sz w:val="22"/>
          <w:szCs w:val="22"/>
          <w:lang w:val="en-US"/>
        </w:rPr>
        <w:t xml:space="preserve">. </w:t>
      </w:r>
    </w:p>
    <w:p w:rsidR="00B564C0" w:rsidRPr="009A059F" w:rsidRDefault="00B564C0" w:rsidP="00B564C0">
      <w:pPr>
        <w:spacing w:line="276" w:lineRule="auto"/>
        <w:jc w:val="both"/>
        <w:rPr>
          <w:rFonts w:ascii="Palatino Linotype" w:hAnsi="Palatino Linotype" w:cs="Arial"/>
          <w:b/>
          <w:sz w:val="22"/>
          <w:szCs w:val="22"/>
          <w:lang w:val="en-US"/>
        </w:rPr>
      </w:pPr>
    </w:p>
    <w:p w:rsidR="00B564C0" w:rsidRPr="009A059F" w:rsidRDefault="00B564C0" w:rsidP="00B564C0">
      <w:pPr>
        <w:spacing w:line="276" w:lineRule="auto"/>
        <w:jc w:val="both"/>
        <w:rPr>
          <w:rFonts w:ascii="Palatino Linotype" w:hAnsi="Palatino Linotype" w:cs="Arial"/>
          <w:sz w:val="22"/>
          <w:szCs w:val="22"/>
          <w:lang w:val="en-US"/>
        </w:rPr>
      </w:pPr>
      <w:r w:rsidRPr="009A059F">
        <w:rPr>
          <w:rFonts w:ascii="Palatino Linotype" w:hAnsi="Palatino Linotype" w:cs="Arial"/>
          <w:b/>
          <w:sz w:val="22"/>
          <w:szCs w:val="22"/>
          <w:lang w:val="en-US"/>
        </w:rPr>
        <w:t>Revisions in the new series</w:t>
      </w:r>
    </w:p>
    <w:p w:rsidR="00B564C0" w:rsidRPr="009A059F" w:rsidRDefault="00B564C0" w:rsidP="00B564C0">
      <w:pPr>
        <w:jc w:val="both"/>
        <w:rPr>
          <w:rFonts w:ascii="Palatino Linotype" w:hAnsi="Palatino Linotype" w:cs="Arial"/>
          <w:b/>
          <w:sz w:val="22"/>
          <w:szCs w:val="22"/>
          <w:lang w:val="en-US"/>
        </w:rPr>
      </w:pPr>
    </w:p>
    <w:p w:rsidR="00B564C0" w:rsidRPr="009A059F" w:rsidRDefault="00B564C0" w:rsidP="00B564C0">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 xml:space="preserve">We have examined revisions </w:t>
      </w:r>
      <w:r w:rsidR="00C55946" w:rsidRPr="009A059F">
        <w:rPr>
          <w:rFonts w:ascii="Palatino Linotype" w:hAnsi="Palatino Linotype" w:cs="Arial"/>
          <w:sz w:val="22"/>
          <w:szCs w:val="22"/>
          <w:lang w:val="en-US"/>
        </w:rPr>
        <w:t xml:space="preserve">made </w:t>
      </w:r>
      <w:r w:rsidRPr="009A059F">
        <w:rPr>
          <w:rFonts w:ascii="Palatino Linotype" w:hAnsi="Palatino Linotype" w:cs="Arial"/>
          <w:sz w:val="22"/>
          <w:szCs w:val="22"/>
          <w:lang w:val="en-US"/>
        </w:rPr>
        <w:t xml:space="preserve">in the last five press releases of TurkStat from 2016Q3 to 2017Q3. Growth estimates from 2015Q1 can be seen in these press releases. These estimates may be revised by TurkStat in </w:t>
      </w:r>
      <w:r w:rsidR="00C55946" w:rsidRPr="009A059F">
        <w:rPr>
          <w:rFonts w:ascii="Palatino Linotype" w:hAnsi="Palatino Linotype" w:cs="Arial"/>
          <w:sz w:val="22"/>
          <w:szCs w:val="22"/>
          <w:lang w:val="en-US"/>
        </w:rPr>
        <w:t>successive</w:t>
      </w:r>
      <w:r w:rsidRPr="009A059F">
        <w:rPr>
          <w:rFonts w:ascii="Palatino Linotype" w:hAnsi="Palatino Linotype" w:cs="Arial"/>
          <w:sz w:val="22"/>
          <w:szCs w:val="22"/>
          <w:lang w:val="en-US"/>
        </w:rPr>
        <w:t xml:space="preserve"> press releases. The </w:t>
      </w:r>
      <w:r w:rsidR="00C55946" w:rsidRPr="009A059F">
        <w:rPr>
          <w:rFonts w:ascii="Palatino Linotype" w:hAnsi="Palatino Linotype" w:cs="Arial"/>
          <w:sz w:val="22"/>
          <w:szCs w:val="22"/>
          <w:lang w:val="en-US"/>
        </w:rPr>
        <w:t xml:space="preserve">fact </w:t>
      </w:r>
      <w:r w:rsidRPr="009A059F">
        <w:rPr>
          <w:rFonts w:ascii="Palatino Linotype" w:hAnsi="Palatino Linotype" w:cs="Arial"/>
          <w:sz w:val="22"/>
          <w:szCs w:val="22"/>
          <w:lang w:val="en-US"/>
        </w:rPr>
        <w:t xml:space="preserve">is that </w:t>
      </w:r>
      <w:r w:rsidR="00C55946" w:rsidRPr="009A059F">
        <w:rPr>
          <w:rFonts w:ascii="Palatino Linotype" w:hAnsi="Palatino Linotype" w:cs="Arial"/>
          <w:sz w:val="22"/>
          <w:szCs w:val="22"/>
          <w:lang w:val="en-US"/>
        </w:rPr>
        <w:t xml:space="preserve">number of </w:t>
      </w:r>
      <w:r w:rsidRPr="009A059F">
        <w:rPr>
          <w:rFonts w:ascii="Palatino Linotype" w:hAnsi="Palatino Linotype" w:cs="Arial"/>
          <w:sz w:val="22"/>
          <w:szCs w:val="22"/>
          <w:lang w:val="en-US"/>
        </w:rPr>
        <w:t xml:space="preserve">growth estimates which are not revised or revised </w:t>
      </w:r>
      <w:r w:rsidR="00C55946" w:rsidRPr="009A059F">
        <w:rPr>
          <w:rFonts w:ascii="Palatino Linotype" w:hAnsi="Palatino Linotype" w:cs="Arial"/>
          <w:sz w:val="22"/>
          <w:szCs w:val="22"/>
          <w:lang w:val="en-US"/>
        </w:rPr>
        <w:t>marginally is</w:t>
      </w:r>
      <w:r w:rsidRPr="009A059F">
        <w:rPr>
          <w:rFonts w:ascii="Palatino Linotype" w:hAnsi="Palatino Linotype" w:cs="Arial"/>
          <w:sz w:val="22"/>
          <w:szCs w:val="22"/>
          <w:lang w:val="en-US"/>
        </w:rPr>
        <w:t xml:space="preserve"> very rare. Moreover, there is no </w:t>
      </w:r>
      <w:r w:rsidR="00C55946" w:rsidRPr="009A059F">
        <w:rPr>
          <w:rFonts w:ascii="Palatino Linotype" w:hAnsi="Palatino Linotype" w:cs="Arial"/>
          <w:sz w:val="22"/>
          <w:szCs w:val="22"/>
          <w:lang w:val="en-US"/>
        </w:rPr>
        <w:t xml:space="preserve">quarterly </w:t>
      </w:r>
      <w:r w:rsidRPr="009A059F">
        <w:rPr>
          <w:rFonts w:ascii="Palatino Linotype" w:hAnsi="Palatino Linotype" w:cs="Arial"/>
          <w:sz w:val="22"/>
          <w:szCs w:val="22"/>
          <w:lang w:val="en-US"/>
        </w:rPr>
        <w:t xml:space="preserve">growth </w:t>
      </w:r>
      <w:r w:rsidR="00C55946" w:rsidRPr="009A059F">
        <w:rPr>
          <w:rFonts w:ascii="Palatino Linotype" w:hAnsi="Palatino Linotype" w:cs="Arial"/>
          <w:sz w:val="22"/>
          <w:szCs w:val="22"/>
          <w:lang w:val="en-US"/>
        </w:rPr>
        <w:t>estimate which is</w:t>
      </w:r>
      <w:r w:rsidRPr="009A059F">
        <w:rPr>
          <w:rFonts w:ascii="Palatino Linotype" w:hAnsi="Palatino Linotype" w:cs="Arial"/>
          <w:sz w:val="22"/>
          <w:szCs w:val="22"/>
          <w:lang w:val="en-US"/>
        </w:rPr>
        <w:t xml:space="preserve"> not revised. </w:t>
      </w:r>
    </w:p>
    <w:p w:rsidR="00B564C0" w:rsidRPr="009A059F" w:rsidRDefault="00B564C0" w:rsidP="00B564C0">
      <w:pPr>
        <w:spacing w:line="276" w:lineRule="auto"/>
        <w:jc w:val="both"/>
        <w:rPr>
          <w:rFonts w:ascii="Palatino Linotype" w:hAnsi="Palatino Linotype" w:cs="Arial"/>
          <w:sz w:val="22"/>
          <w:szCs w:val="22"/>
          <w:lang w:val="en-US"/>
        </w:rPr>
      </w:pPr>
    </w:p>
    <w:p w:rsidR="004F1822" w:rsidRPr="00D63BC4" w:rsidRDefault="00B564C0" w:rsidP="00A26107">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 xml:space="preserve">The revisions of growth estimates are not </w:t>
      </w:r>
      <w:r w:rsidR="00C55946" w:rsidRPr="009A059F">
        <w:rPr>
          <w:rFonts w:ascii="Palatino Linotype" w:hAnsi="Palatino Linotype" w:cs="Arial"/>
          <w:sz w:val="22"/>
          <w:szCs w:val="22"/>
          <w:lang w:val="en-US"/>
        </w:rPr>
        <w:t>unexpected</w:t>
      </w:r>
      <w:r w:rsidRPr="009A059F">
        <w:rPr>
          <w:rFonts w:ascii="Palatino Linotype" w:hAnsi="Palatino Linotype" w:cs="Arial"/>
          <w:sz w:val="22"/>
          <w:szCs w:val="22"/>
          <w:lang w:val="en-US"/>
        </w:rPr>
        <w:t xml:space="preserve"> although Turk</w:t>
      </w:r>
      <w:r w:rsidR="00FF1BE6">
        <w:rPr>
          <w:rFonts w:ascii="Palatino Linotype" w:hAnsi="Palatino Linotype" w:cs="Arial"/>
          <w:sz w:val="22"/>
          <w:szCs w:val="22"/>
          <w:lang w:val="en-US"/>
        </w:rPr>
        <w:t>S</w:t>
      </w:r>
      <w:r w:rsidRPr="009A059F">
        <w:rPr>
          <w:rFonts w:ascii="Palatino Linotype" w:hAnsi="Palatino Linotype" w:cs="Arial"/>
          <w:sz w:val="22"/>
          <w:szCs w:val="22"/>
          <w:lang w:val="en-US"/>
        </w:rPr>
        <w:t xml:space="preserve">tat announces </w:t>
      </w:r>
      <w:r w:rsidR="00C55946" w:rsidRPr="009A059F">
        <w:rPr>
          <w:rFonts w:ascii="Palatino Linotype" w:hAnsi="Palatino Linotype" w:cs="Arial"/>
          <w:sz w:val="22"/>
          <w:szCs w:val="22"/>
          <w:lang w:val="en-US"/>
        </w:rPr>
        <w:t xml:space="preserve">quarterly </w:t>
      </w:r>
      <w:r w:rsidRPr="009A059F">
        <w:rPr>
          <w:rFonts w:ascii="Palatino Linotype" w:hAnsi="Palatino Linotype" w:cs="Arial"/>
          <w:sz w:val="22"/>
          <w:szCs w:val="22"/>
          <w:lang w:val="en-US"/>
        </w:rPr>
        <w:t xml:space="preserve">growth estimates </w:t>
      </w:r>
      <w:r w:rsidR="00C55946" w:rsidRPr="009A059F">
        <w:rPr>
          <w:rFonts w:ascii="Palatino Linotype" w:hAnsi="Palatino Linotype" w:cs="Arial"/>
          <w:sz w:val="22"/>
          <w:szCs w:val="22"/>
          <w:lang w:val="en-US"/>
        </w:rPr>
        <w:t xml:space="preserve">with a delay of </w:t>
      </w:r>
      <w:r w:rsidRPr="009A059F">
        <w:rPr>
          <w:rFonts w:ascii="Palatino Linotype" w:hAnsi="Palatino Linotype" w:cs="Arial"/>
          <w:sz w:val="22"/>
          <w:szCs w:val="22"/>
          <w:lang w:val="en-US"/>
        </w:rPr>
        <w:t xml:space="preserve">70 days. All national statistical institutes make revisions but </w:t>
      </w:r>
      <w:r w:rsidR="00C55946" w:rsidRPr="009A059F">
        <w:rPr>
          <w:rFonts w:ascii="Palatino Linotype" w:hAnsi="Palatino Linotype" w:cs="Arial"/>
          <w:sz w:val="22"/>
          <w:szCs w:val="22"/>
          <w:lang w:val="en-US"/>
        </w:rPr>
        <w:t xml:space="preserve">those revisions </w:t>
      </w:r>
      <w:r w:rsidRPr="009A059F">
        <w:rPr>
          <w:rFonts w:ascii="Palatino Linotype" w:hAnsi="Palatino Linotype" w:cs="Arial"/>
          <w:sz w:val="22"/>
          <w:szCs w:val="22"/>
          <w:lang w:val="en-US"/>
        </w:rPr>
        <w:t xml:space="preserve">are </w:t>
      </w:r>
      <w:r w:rsidR="00C55946" w:rsidRPr="009A059F">
        <w:rPr>
          <w:rFonts w:ascii="Palatino Linotype" w:hAnsi="Palatino Linotype" w:cs="Arial"/>
          <w:sz w:val="22"/>
          <w:szCs w:val="22"/>
          <w:lang w:val="en-US"/>
        </w:rPr>
        <w:t xml:space="preserve">quite </w:t>
      </w:r>
      <w:r w:rsidRPr="009A059F">
        <w:rPr>
          <w:rFonts w:ascii="Palatino Linotype" w:hAnsi="Palatino Linotype" w:cs="Arial"/>
          <w:sz w:val="22"/>
          <w:szCs w:val="22"/>
          <w:lang w:val="en-US"/>
        </w:rPr>
        <w:t xml:space="preserve">limited. </w:t>
      </w:r>
      <w:r w:rsidR="00A72950" w:rsidRPr="009A059F">
        <w:rPr>
          <w:rFonts w:ascii="Palatino Linotype" w:hAnsi="Palatino Linotype" w:cs="Arial"/>
          <w:sz w:val="22"/>
          <w:szCs w:val="22"/>
          <w:lang w:val="en-US"/>
        </w:rPr>
        <w:t xml:space="preserve">The examples for Germany and France can be </w:t>
      </w:r>
      <w:r w:rsidR="00C55946" w:rsidRPr="009A059F">
        <w:rPr>
          <w:rFonts w:ascii="Palatino Linotype" w:hAnsi="Palatino Linotype" w:cs="Arial"/>
          <w:sz w:val="22"/>
          <w:szCs w:val="22"/>
          <w:lang w:val="en-US"/>
        </w:rPr>
        <w:t xml:space="preserve">examined </w:t>
      </w:r>
      <w:r w:rsidR="00A72950" w:rsidRPr="009A059F">
        <w:rPr>
          <w:rFonts w:ascii="Palatino Linotype" w:hAnsi="Palatino Linotype" w:cs="Arial"/>
          <w:sz w:val="22"/>
          <w:szCs w:val="22"/>
          <w:lang w:val="en-US"/>
        </w:rPr>
        <w:t xml:space="preserve">below. </w:t>
      </w:r>
      <w:r w:rsidR="00C55946" w:rsidRPr="009A059F">
        <w:rPr>
          <w:rFonts w:ascii="Palatino Linotype" w:hAnsi="Palatino Linotype" w:cs="Arial"/>
          <w:sz w:val="22"/>
          <w:szCs w:val="22"/>
          <w:lang w:val="en-US"/>
        </w:rPr>
        <w:t xml:space="preserve">However, </w:t>
      </w:r>
      <w:r w:rsidR="00A72950" w:rsidRPr="009A059F">
        <w:rPr>
          <w:rFonts w:ascii="Palatino Linotype" w:hAnsi="Palatino Linotype" w:cs="Arial"/>
          <w:sz w:val="22"/>
          <w:szCs w:val="22"/>
          <w:lang w:val="en-US"/>
        </w:rPr>
        <w:t xml:space="preserve">TurkStat </w:t>
      </w:r>
      <w:r w:rsidR="00C55946" w:rsidRPr="009A059F">
        <w:rPr>
          <w:rFonts w:ascii="Palatino Linotype" w:hAnsi="Palatino Linotype" w:cs="Arial"/>
          <w:sz w:val="22"/>
          <w:szCs w:val="22"/>
          <w:lang w:val="en-US"/>
        </w:rPr>
        <w:t xml:space="preserve">makes </w:t>
      </w:r>
      <w:r w:rsidR="00A72950" w:rsidRPr="009A059F">
        <w:rPr>
          <w:rFonts w:ascii="Palatino Linotype" w:hAnsi="Palatino Linotype" w:cs="Arial"/>
          <w:sz w:val="22"/>
          <w:szCs w:val="22"/>
          <w:lang w:val="en-US"/>
        </w:rPr>
        <w:t>frequent</w:t>
      </w:r>
      <w:r w:rsidR="00C55946" w:rsidRPr="009A059F">
        <w:rPr>
          <w:rFonts w:ascii="Palatino Linotype" w:hAnsi="Palatino Linotype" w:cs="Arial"/>
          <w:sz w:val="22"/>
          <w:szCs w:val="22"/>
          <w:lang w:val="en-US"/>
        </w:rPr>
        <w:t xml:space="preserve"> and large</w:t>
      </w:r>
      <w:r w:rsidR="00E7074E" w:rsidRPr="009A059F">
        <w:rPr>
          <w:rFonts w:ascii="Palatino Linotype" w:hAnsi="Palatino Linotype" w:cs="Arial"/>
          <w:sz w:val="22"/>
          <w:szCs w:val="22"/>
          <w:lang w:val="en-US"/>
        </w:rPr>
        <w:t xml:space="preserve"> revisions,</w:t>
      </w:r>
      <w:r w:rsidR="00A72950" w:rsidRPr="009A059F">
        <w:rPr>
          <w:rFonts w:ascii="Palatino Linotype" w:hAnsi="Palatino Linotype" w:cs="Arial"/>
          <w:sz w:val="22"/>
          <w:szCs w:val="22"/>
          <w:lang w:val="en-US"/>
        </w:rPr>
        <w:t xml:space="preserve"> even </w:t>
      </w:r>
      <w:r w:rsidR="00E7074E" w:rsidRPr="009A059F">
        <w:rPr>
          <w:rFonts w:ascii="Palatino Linotype" w:hAnsi="Palatino Linotype" w:cs="Arial"/>
          <w:sz w:val="22"/>
          <w:szCs w:val="22"/>
          <w:lang w:val="en-US"/>
        </w:rPr>
        <w:t xml:space="preserve">in </w:t>
      </w:r>
      <w:r w:rsidR="00A72950" w:rsidRPr="009A059F">
        <w:rPr>
          <w:rFonts w:ascii="Palatino Linotype" w:hAnsi="Palatino Linotype" w:cs="Arial"/>
          <w:sz w:val="22"/>
          <w:szCs w:val="22"/>
          <w:lang w:val="en-US"/>
        </w:rPr>
        <w:t xml:space="preserve">opposite </w:t>
      </w:r>
      <w:r w:rsidR="00E7074E" w:rsidRPr="009A059F">
        <w:rPr>
          <w:rFonts w:ascii="Palatino Linotype" w:hAnsi="Palatino Linotype" w:cs="Arial"/>
          <w:sz w:val="22"/>
          <w:szCs w:val="22"/>
          <w:lang w:val="en-US"/>
        </w:rPr>
        <w:t>directions</w:t>
      </w:r>
      <w:r w:rsidR="00A72950" w:rsidRPr="009A059F">
        <w:rPr>
          <w:rFonts w:ascii="Palatino Linotype" w:hAnsi="Palatino Linotype" w:cs="Arial"/>
          <w:sz w:val="22"/>
          <w:szCs w:val="22"/>
          <w:lang w:val="en-US"/>
        </w:rPr>
        <w:t xml:space="preserve">. It is normal to </w:t>
      </w:r>
      <w:r w:rsidR="00E7074E" w:rsidRPr="009A059F">
        <w:rPr>
          <w:rFonts w:ascii="Palatino Linotype" w:hAnsi="Palatino Linotype" w:cs="Arial"/>
          <w:sz w:val="22"/>
          <w:szCs w:val="22"/>
          <w:lang w:val="en-US"/>
        </w:rPr>
        <w:t>make revisions</w:t>
      </w:r>
      <w:r w:rsidR="00A72950" w:rsidRPr="009A059F">
        <w:rPr>
          <w:rFonts w:ascii="Palatino Linotype" w:hAnsi="Palatino Linotype" w:cs="Arial"/>
          <w:sz w:val="22"/>
          <w:szCs w:val="22"/>
          <w:lang w:val="en-US"/>
        </w:rPr>
        <w:t xml:space="preserve"> with </w:t>
      </w:r>
      <w:r w:rsidR="00E7074E" w:rsidRPr="009A059F">
        <w:rPr>
          <w:rFonts w:ascii="Palatino Linotype" w:hAnsi="Palatino Linotype" w:cs="Arial"/>
          <w:sz w:val="22"/>
          <w:szCs w:val="22"/>
          <w:lang w:val="en-US"/>
        </w:rPr>
        <w:t xml:space="preserve">additional </w:t>
      </w:r>
      <w:r w:rsidR="00A72950" w:rsidRPr="009A059F">
        <w:rPr>
          <w:rFonts w:ascii="Palatino Linotype" w:hAnsi="Palatino Linotype" w:cs="Arial"/>
          <w:sz w:val="22"/>
          <w:szCs w:val="22"/>
          <w:lang w:val="en-US"/>
        </w:rPr>
        <w:t xml:space="preserve">information </w:t>
      </w:r>
      <w:r w:rsidR="00E7074E" w:rsidRPr="009A059F">
        <w:rPr>
          <w:rFonts w:ascii="Palatino Linotype" w:hAnsi="Palatino Linotype" w:cs="Arial"/>
          <w:sz w:val="22"/>
          <w:szCs w:val="22"/>
          <w:lang w:val="en-US"/>
        </w:rPr>
        <w:t>if it reveals over or under estimations</w:t>
      </w:r>
      <w:r w:rsidR="00A72950" w:rsidRPr="009A059F">
        <w:rPr>
          <w:rFonts w:ascii="Palatino Linotype" w:hAnsi="Palatino Linotype" w:cs="Arial"/>
          <w:sz w:val="22"/>
          <w:szCs w:val="22"/>
          <w:lang w:val="en-US"/>
        </w:rPr>
        <w:t xml:space="preserve">. However, </w:t>
      </w:r>
      <w:r w:rsidR="00E7074E" w:rsidRPr="009A059F">
        <w:rPr>
          <w:rFonts w:ascii="Palatino Linotype" w:hAnsi="Palatino Linotype" w:cs="Arial"/>
          <w:sz w:val="22"/>
          <w:szCs w:val="22"/>
          <w:lang w:val="en-US"/>
        </w:rPr>
        <w:t>when revisions are</w:t>
      </w:r>
      <w:r w:rsidR="00A72950" w:rsidRPr="009A059F">
        <w:rPr>
          <w:rFonts w:ascii="Palatino Linotype" w:hAnsi="Palatino Linotype" w:cs="Arial"/>
          <w:sz w:val="22"/>
          <w:szCs w:val="22"/>
          <w:lang w:val="en-US"/>
        </w:rPr>
        <w:t xml:space="preserve"> repeated every quarter and </w:t>
      </w:r>
      <w:r w:rsidR="00E7074E" w:rsidRPr="009A059F">
        <w:rPr>
          <w:rFonts w:ascii="Palatino Linotype" w:hAnsi="Palatino Linotype" w:cs="Arial"/>
          <w:sz w:val="22"/>
          <w:szCs w:val="22"/>
          <w:lang w:val="en-US"/>
        </w:rPr>
        <w:t>deviates largely from the previous ones</w:t>
      </w:r>
      <w:r w:rsidR="00A72950" w:rsidRPr="009A059F">
        <w:rPr>
          <w:rFonts w:ascii="Palatino Linotype" w:hAnsi="Palatino Linotype" w:cs="Arial"/>
          <w:sz w:val="22"/>
          <w:szCs w:val="22"/>
          <w:lang w:val="en-US"/>
        </w:rPr>
        <w:t>, th</w:t>
      </w:r>
      <w:r w:rsidR="00E7074E" w:rsidRPr="009A059F">
        <w:rPr>
          <w:rFonts w:ascii="Palatino Linotype" w:hAnsi="Palatino Linotype" w:cs="Arial"/>
          <w:sz w:val="22"/>
          <w:szCs w:val="22"/>
          <w:lang w:val="en-US"/>
        </w:rPr>
        <w:t xml:space="preserve">is indicates that there is rather a serious </w:t>
      </w:r>
      <w:r w:rsidR="00A72950" w:rsidRPr="009A059F">
        <w:rPr>
          <w:rFonts w:ascii="Palatino Linotype" w:hAnsi="Palatino Linotype" w:cs="Arial"/>
          <w:sz w:val="22"/>
          <w:szCs w:val="22"/>
          <w:lang w:val="en-US"/>
        </w:rPr>
        <w:t xml:space="preserve">problem. In this case, </w:t>
      </w:r>
      <w:r w:rsidR="00650115" w:rsidRPr="009A059F">
        <w:rPr>
          <w:rFonts w:ascii="Palatino Linotype" w:hAnsi="Palatino Linotype" w:cs="Arial"/>
          <w:sz w:val="22"/>
          <w:szCs w:val="22"/>
          <w:lang w:val="en-US"/>
        </w:rPr>
        <w:t>it can be c</w:t>
      </w:r>
      <w:r w:rsidR="00E7074E" w:rsidRPr="009A059F">
        <w:rPr>
          <w:rFonts w:ascii="Palatino Linotype" w:hAnsi="Palatino Linotype" w:cs="Arial"/>
          <w:sz w:val="22"/>
          <w:szCs w:val="22"/>
          <w:lang w:val="en-US"/>
        </w:rPr>
        <w:t xml:space="preserve">laimed </w:t>
      </w:r>
      <w:r w:rsidR="00650115" w:rsidRPr="009A059F">
        <w:rPr>
          <w:rFonts w:ascii="Palatino Linotype" w:hAnsi="Palatino Linotype" w:cs="Arial"/>
          <w:sz w:val="22"/>
          <w:szCs w:val="22"/>
          <w:lang w:val="en-US"/>
        </w:rPr>
        <w:t xml:space="preserve">that there are </w:t>
      </w:r>
      <w:r w:rsidR="00E7074E" w:rsidRPr="009A059F">
        <w:rPr>
          <w:rFonts w:ascii="Palatino Linotype" w:hAnsi="Palatino Linotype" w:cs="Arial"/>
          <w:sz w:val="22"/>
          <w:szCs w:val="22"/>
          <w:lang w:val="en-US"/>
        </w:rPr>
        <w:t xml:space="preserve">either </w:t>
      </w:r>
      <w:r w:rsidR="00650115" w:rsidRPr="009A059F">
        <w:rPr>
          <w:rFonts w:ascii="Palatino Linotype" w:hAnsi="Palatino Linotype" w:cs="Arial"/>
          <w:sz w:val="22"/>
          <w:szCs w:val="22"/>
          <w:lang w:val="en-US"/>
        </w:rPr>
        <w:t xml:space="preserve">difficulties in accessing </w:t>
      </w:r>
      <w:r w:rsidR="009E1416" w:rsidRPr="009A059F">
        <w:rPr>
          <w:rFonts w:ascii="Palatino Linotype" w:hAnsi="Palatino Linotype" w:cs="Arial"/>
          <w:sz w:val="22"/>
          <w:szCs w:val="22"/>
          <w:lang w:val="en-US"/>
        </w:rPr>
        <w:t xml:space="preserve">to additional </w:t>
      </w:r>
      <w:r w:rsidR="00650115" w:rsidRPr="009A059F">
        <w:rPr>
          <w:rFonts w:ascii="Palatino Linotype" w:hAnsi="Palatino Linotype" w:cs="Arial"/>
          <w:sz w:val="22"/>
          <w:szCs w:val="22"/>
          <w:lang w:val="en-US"/>
        </w:rPr>
        <w:t xml:space="preserve">information or </w:t>
      </w:r>
      <w:r w:rsidR="00650115" w:rsidRPr="009A059F">
        <w:rPr>
          <w:rFonts w:ascii="Palatino Linotype" w:hAnsi="Palatino Linotype" w:cs="Arial"/>
          <w:sz w:val="22"/>
          <w:szCs w:val="22"/>
          <w:lang w:val="en-US"/>
        </w:rPr>
        <w:lastRenderedPageBreak/>
        <w:t xml:space="preserve">measurement techniques are problematic. While these </w:t>
      </w:r>
      <w:r w:rsidR="009E1416" w:rsidRPr="009A059F">
        <w:rPr>
          <w:rFonts w:ascii="Palatino Linotype" w:hAnsi="Palatino Linotype" w:cs="Arial"/>
          <w:sz w:val="22"/>
          <w:szCs w:val="22"/>
          <w:lang w:val="en-US"/>
        </w:rPr>
        <w:t xml:space="preserve">frequent </w:t>
      </w:r>
      <w:r w:rsidR="00650115" w:rsidRPr="009A059F">
        <w:rPr>
          <w:rFonts w:ascii="Palatino Linotype" w:hAnsi="Palatino Linotype" w:cs="Arial"/>
          <w:sz w:val="22"/>
          <w:szCs w:val="22"/>
          <w:lang w:val="en-US"/>
        </w:rPr>
        <w:t xml:space="preserve">and conflicting revisions question the TurkStat’s </w:t>
      </w:r>
      <w:r w:rsidR="009E1416" w:rsidRPr="009A059F">
        <w:rPr>
          <w:rFonts w:ascii="Palatino Linotype" w:hAnsi="Palatino Linotype" w:cs="Arial"/>
          <w:sz w:val="22"/>
          <w:szCs w:val="22"/>
          <w:lang w:val="en-US"/>
        </w:rPr>
        <w:t>dominance on</w:t>
      </w:r>
      <w:r w:rsidR="00650115" w:rsidRPr="009A059F">
        <w:rPr>
          <w:rFonts w:ascii="Palatino Linotype" w:hAnsi="Palatino Linotype" w:cs="Arial"/>
          <w:sz w:val="22"/>
          <w:szCs w:val="22"/>
          <w:lang w:val="en-US"/>
        </w:rPr>
        <w:t xml:space="preserve"> </w:t>
      </w:r>
      <w:r w:rsidR="009E1416" w:rsidRPr="009A059F">
        <w:rPr>
          <w:rFonts w:ascii="Palatino Linotype" w:hAnsi="Palatino Linotype" w:cs="Arial"/>
          <w:sz w:val="22"/>
          <w:szCs w:val="22"/>
          <w:lang w:val="en-US"/>
        </w:rPr>
        <w:t>the</w:t>
      </w:r>
      <w:r w:rsidR="00650115" w:rsidRPr="009A059F">
        <w:rPr>
          <w:rFonts w:ascii="Palatino Linotype" w:hAnsi="Palatino Linotype" w:cs="Arial"/>
          <w:sz w:val="22"/>
          <w:szCs w:val="22"/>
          <w:lang w:val="en-US"/>
        </w:rPr>
        <w:t xml:space="preserve"> new method</w:t>
      </w:r>
      <w:r w:rsidR="009E1416" w:rsidRPr="009A059F">
        <w:rPr>
          <w:rFonts w:ascii="Palatino Linotype" w:hAnsi="Palatino Linotype" w:cs="Arial"/>
          <w:sz w:val="22"/>
          <w:szCs w:val="22"/>
          <w:lang w:val="en-US"/>
        </w:rPr>
        <w:t>ology</w:t>
      </w:r>
      <w:r w:rsidR="00650115" w:rsidRPr="009A059F">
        <w:rPr>
          <w:rFonts w:ascii="Palatino Linotype" w:hAnsi="Palatino Linotype" w:cs="Arial"/>
          <w:sz w:val="22"/>
          <w:szCs w:val="22"/>
          <w:lang w:val="en-US"/>
        </w:rPr>
        <w:t xml:space="preserve">, it also challenges </w:t>
      </w:r>
      <w:r w:rsidR="008B4B23" w:rsidRPr="009A059F">
        <w:rPr>
          <w:rFonts w:ascii="Palatino Linotype" w:hAnsi="Palatino Linotype" w:cs="Arial"/>
          <w:sz w:val="22"/>
          <w:szCs w:val="22"/>
          <w:lang w:val="en-US"/>
        </w:rPr>
        <w:t>economists who make</w:t>
      </w:r>
      <w:r w:rsidR="00650115" w:rsidRPr="009A059F">
        <w:rPr>
          <w:rFonts w:ascii="Palatino Linotype" w:hAnsi="Palatino Linotype" w:cs="Arial"/>
          <w:sz w:val="22"/>
          <w:szCs w:val="22"/>
          <w:lang w:val="en-US"/>
        </w:rPr>
        <w:t xml:space="preserve"> growth forecast</w:t>
      </w:r>
      <w:r w:rsidR="009E1416" w:rsidRPr="009A059F">
        <w:rPr>
          <w:rFonts w:ascii="Palatino Linotype" w:hAnsi="Palatino Linotype" w:cs="Arial"/>
          <w:sz w:val="22"/>
          <w:szCs w:val="22"/>
          <w:lang w:val="en-US"/>
        </w:rPr>
        <w:t>s</w:t>
      </w:r>
      <w:r w:rsidR="00650115" w:rsidRPr="009A059F">
        <w:rPr>
          <w:rFonts w:ascii="Palatino Linotype" w:hAnsi="Palatino Linotype" w:cs="Arial"/>
          <w:sz w:val="22"/>
          <w:szCs w:val="22"/>
          <w:lang w:val="en-US"/>
        </w:rPr>
        <w:t>.</w:t>
      </w:r>
      <w:r w:rsidR="00650115" w:rsidRPr="002807AE">
        <w:rPr>
          <w:rFonts w:ascii="Palatino Linotype" w:hAnsi="Palatino Linotype" w:cs="Arial"/>
          <w:sz w:val="22"/>
          <w:szCs w:val="22"/>
          <w:lang w:val="en-US"/>
        </w:rPr>
        <w:t xml:space="preserve"> </w:t>
      </w:r>
    </w:p>
    <w:p w:rsidR="004F1822" w:rsidRDefault="004F1822" w:rsidP="00A26107">
      <w:pPr>
        <w:spacing w:line="276" w:lineRule="auto"/>
        <w:jc w:val="both"/>
        <w:rPr>
          <w:rFonts w:ascii="Palatino Linotype" w:hAnsi="Palatino Linotype" w:cs="Arial"/>
          <w:b/>
          <w:sz w:val="22"/>
          <w:szCs w:val="22"/>
          <w:lang w:val="en-US"/>
        </w:rPr>
      </w:pPr>
    </w:p>
    <w:p w:rsidR="00F34DD4" w:rsidRPr="002807AE" w:rsidRDefault="004F1822" w:rsidP="00A26107">
      <w:pPr>
        <w:spacing w:line="276" w:lineRule="auto"/>
        <w:jc w:val="both"/>
        <w:rPr>
          <w:rFonts w:ascii="Palatino Linotype" w:hAnsi="Palatino Linotype" w:cs="Arial"/>
          <w:b/>
          <w:sz w:val="22"/>
          <w:szCs w:val="22"/>
          <w:lang w:val="en-US"/>
        </w:rPr>
      </w:pPr>
      <w:r>
        <w:rPr>
          <w:rFonts w:ascii="Palatino Linotype" w:hAnsi="Palatino Linotype" w:cs="Arial"/>
          <w:b/>
          <w:sz w:val="22"/>
          <w:szCs w:val="22"/>
          <w:lang w:val="en-US"/>
        </w:rPr>
        <w:t>Table</w:t>
      </w:r>
      <w:r w:rsidR="001C08E0" w:rsidRPr="002807AE">
        <w:rPr>
          <w:rFonts w:ascii="Palatino Linotype" w:hAnsi="Palatino Linotype" w:cs="Arial"/>
          <w:b/>
          <w:sz w:val="22"/>
          <w:szCs w:val="22"/>
          <w:lang w:val="en-US"/>
        </w:rPr>
        <w:t xml:space="preserve"> 1A: </w:t>
      </w:r>
      <w:r>
        <w:rPr>
          <w:rFonts w:ascii="Palatino Linotype" w:hAnsi="Palatino Linotype" w:cs="Arial"/>
          <w:b/>
          <w:sz w:val="22"/>
          <w:szCs w:val="22"/>
          <w:lang w:val="en-US"/>
        </w:rPr>
        <w:t xml:space="preserve">Revisions in the annually growth estimates </w:t>
      </w:r>
      <w:r w:rsidR="001C08E0" w:rsidRPr="002807AE">
        <w:rPr>
          <w:rFonts w:ascii="Palatino Linotype" w:hAnsi="Palatino Linotype" w:cs="Arial"/>
          <w:b/>
          <w:sz w:val="22"/>
          <w:szCs w:val="22"/>
          <w:lang w:val="en-US"/>
        </w:rPr>
        <w:t>(</w:t>
      </w:r>
      <w:r>
        <w:rPr>
          <w:rFonts w:ascii="Palatino Linotype" w:hAnsi="Palatino Linotype" w:cs="Arial"/>
          <w:b/>
          <w:sz w:val="22"/>
          <w:szCs w:val="22"/>
          <w:lang w:val="en-US"/>
        </w:rPr>
        <w:t>New</w:t>
      </w:r>
      <w:r w:rsidR="001C08E0" w:rsidRPr="002807AE">
        <w:rPr>
          <w:rFonts w:ascii="Palatino Linotype" w:hAnsi="Palatino Linotype" w:cs="Arial"/>
          <w:b/>
          <w:sz w:val="22"/>
          <w:szCs w:val="22"/>
          <w:lang w:val="en-US"/>
        </w:rPr>
        <w:t xml:space="preserve"> Seri</w:t>
      </w:r>
      <w:r>
        <w:rPr>
          <w:rFonts w:ascii="Palatino Linotype" w:hAnsi="Palatino Linotype" w:cs="Arial"/>
          <w:b/>
          <w:sz w:val="22"/>
          <w:szCs w:val="22"/>
          <w:lang w:val="en-US"/>
        </w:rPr>
        <w:t>es</w:t>
      </w:r>
      <w:r w:rsidR="001C08E0" w:rsidRPr="002807AE">
        <w:rPr>
          <w:rFonts w:ascii="Palatino Linotype" w:hAnsi="Palatino Linotype" w:cs="Arial"/>
          <w:b/>
          <w:sz w:val="22"/>
          <w:szCs w:val="22"/>
          <w:lang w:val="en-US"/>
        </w:rPr>
        <w:t>)</w:t>
      </w:r>
    </w:p>
    <w:tbl>
      <w:tblPr>
        <w:tblW w:w="7898" w:type="dxa"/>
        <w:tblCellMar>
          <w:left w:w="70" w:type="dxa"/>
          <w:right w:w="70" w:type="dxa"/>
        </w:tblCellMar>
        <w:tblLook w:val="04A0" w:firstRow="1" w:lastRow="0" w:firstColumn="1" w:lastColumn="0" w:noHBand="0" w:noVBand="1"/>
      </w:tblPr>
      <w:tblGrid>
        <w:gridCol w:w="889"/>
        <w:gridCol w:w="977"/>
        <w:gridCol w:w="997"/>
        <w:gridCol w:w="997"/>
        <w:gridCol w:w="997"/>
        <w:gridCol w:w="997"/>
        <w:gridCol w:w="1001"/>
        <w:gridCol w:w="1043"/>
      </w:tblGrid>
      <w:tr w:rsidR="00FE37DD" w:rsidRPr="002807AE" w:rsidTr="00091CF5">
        <w:trPr>
          <w:trHeight w:val="297"/>
        </w:trPr>
        <w:tc>
          <w:tcPr>
            <w:tcW w:w="1866"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FE37DD" w:rsidRPr="002807AE" w:rsidRDefault="005325DC"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Annual</w:t>
            </w:r>
            <w:r w:rsidR="002B3928" w:rsidRPr="002807AE">
              <w:rPr>
                <w:rFonts w:ascii="Palatino Linotype" w:hAnsi="Palatino Linotype"/>
                <w:color w:val="000000"/>
                <w:sz w:val="18"/>
                <w:szCs w:val="18"/>
                <w:lang w:val="en-US"/>
              </w:rPr>
              <w:t>ly</w:t>
            </w:r>
            <w:r w:rsidRPr="002807AE">
              <w:rPr>
                <w:rFonts w:ascii="Palatino Linotype" w:hAnsi="Palatino Linotype"/>
                <w:color w:val="000000"/>
                <w:sz w:val="18"/>
                <w:szCs w:val="18"/>
                <w:lang w:val="en-US"/>
              </w:rPr>
              <w:t xml:space="preserve"> Growth</w:t>
            </w:r>
            <w:r w:rsidR="00FE37DD" w:rsidRPr="002807AE">
              <w:rPr>
                <w:rFonts w:ascii="Palatino Linotype" w:hAnsi="Palatino Linotype"/>
                <w:color w:val="000000"/>
                <w:sz w:val="18"/>
                <w:szCs w:val="18"/>
                <w:lang w:val="en-US"/>
              </w:rPr>
              <w:t xml:space="preserve">         (</w:t>
            </w:r>
            <w:r w:rsidRPr="002807AE">
              <w:rPr>
                <w:rFonts w:ascii="Palatino Linotype" w:hAnsi="Palatino Linotype"/>
                <w:color w:val="000000"/>
                <w:sz w:val="18"/>
                <w:szCs w:val="18"/>
                <w:lang w:val="en-US"/>
              </w:rPr>
              <w:t>Growth rates compared to same quarter of previous year</w:t>
            </w:r>
            <w:r w:rsidR="00FE37DD" w:rsidRPr="002807AE">
              <w:rPr>
                <w:rFonts w:ascii="Palatino Linotype" w:hAnsi="Palatino Linotype"/>
                <w:color w:val="000000"/>
                <w:sz w:val="18"/>
                <w:szCs w:val="18"/>
                <w:lang w:val="en-US"/>
              </w:rPr>
              <w:t>)</w:t>
            </w:r>
          </w:p>
        </w:tc>
        <w:tc>
          <w:tcPr>
            <w:tcW w:w="4989"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E37DD" w:rsidRPr="002807AE" w:rsidRDefault="005325DC"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Press Releases Period</w:t>
            </w:r>
          </w:p>
        </w:tc>
        <w:tc>
          <w:tcPr>
            <w:tcW w:w="104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E37DD" w:rsidRPr="002807AE" w:rsidRDefault="005325DC"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Last estimate</w:t>
            </w:r>
          </w:p>
        </w:tc>
      </w:tr>
      <w:tr w:rsidR="00FE37DD" w:rsidRPr="002807AE" w:rsidTr="00091CF5">
        <w:trPr>
          <w:trHeight w:val="374"/>
        </w:trPr>
        <w:tc>
          <w:tcPr>
            <w:tcW w:w="1866"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2807AE" w:rsidRDefault="00FE37DD" w:rsidP="00FE37DD">
            <w:pPr>
              <w:rPr>
                <w:rFonts w:ascii="Palatino Linotype" w:hAnsi="Palatino Linotype"/>
                <w:color w:val="000000"/>
                <w:sz w:val="18"/>
                <w:szCs w:val="18"/>
                <w:lang w:val="en-US"/>
              </w:rPr>
            </w:pPr>
          </w:p>
        </w:tc>
        <w:tc>
          <w:tcPr>
            <w:tcW w:w="4989" w:type="dxa"/>
            <w:gridSpan w:val="5"/>
            <w:vMerge/>
            <w:tcBorders>
              <w:top w:val="single" w:sz="8" w:space="0" w:color="auto"/>
              <w:left w:val="single" w:sz="4" w:space="0" w:color="auto"/>
              <w:bottom w:val="single" w:sz="4" w:space="0" w:color="000000"/>
              <w:right w:val="single" w:sz="4" w:space="0" w:color="000000"/>
            </w:tcBorders>
            <w:vAlign w:val="center"/>
            <w:hideMark/>
          </w:tcPr>
          <w:p w:rsidR="00FE37DD" w:rsidRPr="002807AE" w:rsidRDefault="00FE37DD" w:rsidP="00FE37DD">
            <w:pPr>
              <w:rPr>
                <w:rFonts w:ascii="Palatino Linotype" w:hAnsi="Palatino Linotype"/>
                <w:color w:val="000000"/>
                <w:sz w:val="18"/>
                <w:szCs w:val="18"/>
                <w:lang w:val="en-US"/>
              </w:rPr>
            </w:pPr>
          </w:p>
        </w:tc>
        <w:tc>
          <w:tcPr>
            <w:tcW w:w="1043" w:type="dxa"/>
            <w:vMerge/>
            <w:tcBorders>
              <w:top w:val="single" w:sz="8" w:space="0" w:color="auto"/>
              <w:left w:val="single" w:sz="4" w:space="0" w:color="auto"/>
              <w:bottom w:val="single" w:sz="4" w:space="0" w:color="000000"/>
              <w:right w:val="single" w:sz="8"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r>
      <w:tr w:rsidR="00FE37DD" w:rsidRPr="002807AE" w:rsidTr="00091CF5">
        <w:trPr>
          <w:trHeight w:val="374"/>
        </w:trPr>
        <w:tc>
          <w:tcPr>
            <w:tcW w:w="1866"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2807AE" w:rsidRDefault="00FE37DD" w:rsidP="00FE37DD">
            <w:pPr>
              <w:rPr>
                <w:rFonts w:ascii="Palatino Linotype" w:hAnsi="Palatino Linotype"/>
                <w:color w:val="000000"/>
                <w:sz w:val="18"/>
                <w:szCs w:val="18"/>
                <w:lang w:val="en-US"/>
              </w:rPr>
            </w:pPr>
          </w:p>
        </w:tc>
        <w:tc>
          <w:tcPr>
            <w:tcW w:w="997" w:type="dxa"/>
            <w:vMerge w:val="restart"/>
            <w:tcBorders>
              <w:top w:val="nil"/>
              <w:left w:val="single" w:sz="4" w:space="0" w:color="auto"/>
              <w:bottom w:val="single" w:sz="4" w:space="0" w:color="000000"/>
              <w:right w:val="nil"/>
            </w:tcBorders>
            <w:shd w:val="clear" w:color="auto" w:fill="auto"/>
            <w:vAlign w:val="center"/>
            <w:hideMark/>
          </w:tcPr>
          <w:p w:rsidR="00FE37DD" w:rsidRPr="002807AE" w:rsidRDefault="000A7E6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r w:rsidR="002B3928"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3</w:t>
            </w:r>
          </w:p>
        </w:tc>
        <w:tc>
          <w:tcPr>
            <w:tcW w:w="997" w:type="dxa"/>
            <w:vMerge w:val="restart"/>
            <w:tcBorders>
              <w:top w:val="nil"/>
              <w:left w:val="nil"/>
              <w:bottom w:val="single" w:sz="4" w:space="0" w:color="000000"/>
              <w:right w:val="nil"/>
            </w:tcBorders>
            <w:shd w:val="clear" w:color="auto" w:fill="auto"/>
            <w:vAlign w:val="center"/>
            <w:hideMark/>
          </w:tcPr>
          <w:p w:rsidR="00FE37DD" w:rsidRPr="002807AE" w:rsidRDefault="000A7E6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r w:rsidR="002B3928"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4</w:t>
            </w:r>
          </w:p>
        </w:tc>
        <w:tc>
          <w:tcPr>
            <w:tcW w:w="997" w:type="dxa"/>
            <w:vMerge w:val="restart"/>
            <w:tcBorders>
              <w:top w:val="nil"/>
              <w:left w:val="nil"/>
              <w:bottom w:val="single" w:sz="4" w:space="0" w:color="000000"/>
              <w:right w:val="nil"/>
            </w:tcBorders>
            <w:shd w:val="clear" w:color="auto" w:fill="auto"/>
            <w:vAlign w:val="center"/>
            <w:hideMark/>
          </w:tcPr>
          <w:p w:rsidR="00FE37DD" w:rsidRPr="002807AE" w:rsidRDefault="000A7E6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2017</w:t>
            </w:r>
            <w:r w:rsidR="002B3928"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1</w:t>
            </w:r>
          </w:p>
        </w:tc>
        <w:tc>
          <w:tcPr>
            <w:tcW w:w="997" w:type="dxa"/>
            <w:vMerge w:val="restart"/>
            <w:tcBorders>
              <w:top w:val="nil"/>
              <w:left w:val="nil"/>
              <w:bottom w:val="single" w:sz="4" w:space="0" w:color="000000"/>
              <w:right w:val="nil"/>
            </w:tcBorders>
            <w:shd w:val="clear" w:color="auto" w:fill="auto"/>
            <w:vAlign w:val="center"/>
            <w:hideMark/>
          </w:tcPr>
          <w:p w:rsidR="00FE37DD" w:rsidRPr="002807AE" w:rsidRDefault="000A7E6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2017</w:t>
            </w:r>
            <w:r w:rsidR="002B3928"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2</w:t>
            </w:r>
          </w:p>
        </w:tc>
        <w:tc>
          <w:tcPr>
            <w:tcW w:w="997" w:type="dxa"/>
            <w:vMerge w:val="restart"/>
            <w:tcBorders>
              <w:top w:val="nil"/>
              <w:left w:val="nil"/>
              <w:bottom w:val="single" w:sz="4" w:space="0" w:color="000000"/>
              <w:right w:val="single" w:sz="4" w:space="0" w:color="auto"/>
            </w:tcBorders>
            <w:shd w:val="clear" w:color="auto" w:fill="auto"/>
            <w:vAlign w:val="center"/>
            <w:hideMark/>
          </w:tcPr>
          <w:p w:rsidR="00FE37DD" w:rsidRPr="002807AE" w:rsidRDefault="000A7E6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2017</w:t>
            </w:r>
            <w:r w:rsidR="002B3928"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3</w:t>
            </w:r>
          </w:p>
        </w:tc>
        <w:tc>
          <w:tcPr>
            <w:tcW w:w="1043" w:type="dxa"/>
            <w:vMerge w:val="restart"/>
            <w:tcBorders>
              <w:top w:val="nil"/>
              <w:left w:val="single" w:sz="4" w:space="0" w:color="auto"/>
              <w:bottom w:val="single" w:sz="4" w:space="0" w:color="000000"/>
              <w:right w:val="single" w:sz="8" w:space="0" w:color="auto"/>
            </w:tcBorders>
            <w:shd w:val="clear" w:color="auto" w:fill="auto"/>
            <w:vAlign w:val="center"/>
            <w:hideMark/>
          </w:tcPr>
          <w:p w:rsidR="00FE37DD" w:rsidRPr="002807AE" w:rsidRDefault="00FE37DD" w:rsidP="000A7E6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2017</w:t>
            </w:r>
            <w:r w:rsidR="002B3928" w:rsidRPr="002807AE">
              <w:rPr>
                <w:rFonts w:ascii="Palatino Linotype" w:hAnsi="Palatino Linotype"/>
                <w:color w:val="000000"/>
                <w:sz w:val="18"/>
                <w:szCs w:val="18"/>
                <w:lang w:val="en-US"/>
              </w:rPr>
              <w:t>Q</w:t>
            </w:r>
            <w:r w:rsidRPr="002807AE">
              <w:rPr>
                <w:rFonts w:ascii="Palatino Linotype" w:hAnsi="Palatino Linotype"/>
                <w:color w:val="000000"/>
                <w:sz w:val="18"/>
                <w:szCs w:val="18"/>
                <w:lang w:val="en-US"/>
              </w:rPr>
              <w:t>3</w:t>
            </w:r>
          </w:p>
        </w:tc>
      </w:tr>
      <w:tr w:rsidR="00FE37DD" w:rsidRPr="002807AE" w:rsidTr="00091CF5">
        <w:trPr>
          <w:trHeight w:val="374"/>
        </w:trPr>
        <w:tc>
          <w:tcPr>
            <w:tcW w:w="1866"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2807AE" w:rsidRDefault="00FE37DD" w:rsidP="00FE37DD">
            <w:pPr>
              <w:rPr>
                <w:rFonts w:ascii="Palatino Linotype" w:hAnsi="Palatino Linotype"/>
                <w:color w:val="000000"/>
                <w:sz w:val="18"/>
                <w:szCs w:val="18"/>
                <w:lang w:val="en-US"/>
              </w:rPr>
            </w:pPr>
          </w:p>
        </w:tc>
        <w:tc>
          <w:tcPr>
            <w:tcW w:w="997" w:type="dxa"/>
            <w:vMerge/>
            <w:tcBorders>
              <w:top w:val="nil"/>
              <w:left w:val="single" w:sz="4" w:space="0" w:color="auto"/>
              <w:bottom w:val="single" w:sz="4" w:space="0" w:color="000000"/>
              <w:right w:val="nil"/>
            </w:tcBorders>
            <w:vAlign w:val="center"/>
            <w:hideMark/>
          </w:tcPr>
          <w:p w:rsidR="00FE37DD" w:rsidRPr="002807AE" w:rsidRDefault="00FE37DD" w:rsidP="00FE37DD">
            <w:pPr>
              <w:rPr>
                <w:rFonts w:ascii="Palatino Linotype" w:hAnsi="Palatino Linotype"/>
                <w:color w:val="000000"/>
                <w:sz w:val="18"/>
                <w:szCs w:val="18"/>
                <w:lang w:val="en-US"/>
              </w:rPr>
            </w:pPr>
          </w:p>
        </w:tc>
        <w:tc>
          <w:tcPr>
            <w:tcW w:w="997" w:type="dxa"/>
            <w:vMerge/>
            <w:tcBorders>
              <w:top w:val="nil"/>
              <w:left w:val="nil"/>
              <w:bottom w:val="single" w:sz="4" w:space="0" w:color="000000"/>
              <w:right w:val="nil"/>
            </w:tcBorders>
            <w:vAlign w:val="center"/>
            <w:hideMark/>
          </w:tcPr>
          <w:p w:rsidR="00FE37DD" w:rsidRPr="002807AE" w:rsidRDefault="00FE37DD" w:rsidP="00FE37DD">
            <w:pPr>
              <w:rPr>
                <w:rFonts w:ascii="Palatino Linotype" w:hAnsi="Palatino Linotype"/>
                <w:color w:val="000000"/>
                <w:sz w:val="18"/>
                <w:szCs w:val="18"/>
                <w:lang w:val="en-US"/>
              </w:rPr>
            </w:pPr>
          </w:p>
        </w:tc>
        <w:tc>
          <w:tcPr>
            <w:tcW w:w="997" w:type="dxa"/>
            <w:vMerge/>
            <w:tcBorders>
              <w:top w:val="nil"/>
              <w:left w:val="nil"/>
              <w:bottom w:val="single" w:sz="4" w:space="0" w:color="000000"/>
              <w:right w:val="nil"/>
            </w:tcBorders>
            <w:vAlign w:val="center"/>
            <w:hideMark/>
          </w:tcPr>
          <w:p w:rsidR="00FE37DD" w:rsidRPr="002807AE" w:rsidRDefault="00FE37DD" w:rsidP="00FE37DD">
            <w:pPr>
              <w:rPr>
                <w:rFonts w:ascii="Palatino Linotype" w:hAnsi="Palatino Linotype"/>
                <w:color w:val="000000"/>
                <w:sz w:val="18"/>
                <w:szCs w:val="18"/>
                <w:lang w:val="en-US"/>
              </w:rPr>
            </w:pPr>
          </w:p>
        </w:tc>
        <w:tc>
          <w:tcPr>
            <w:tcW w:w="997" w:type="dxa"/>
            <w:vMerge/>
            <w:tcBorders>
              <w:top w:val="nil"/>
              <w:left w:val="nil"/>
              <w:bottom w:val="single" w:sz="4" w:space="0" w:color="000000"/>
              <w:right w:val="nil"/>
            </w:tcBorders>
            <w:vAlign w:val="center"/>
            <w:hideMark/>
          </w:tcPr>
          <w:p w:rsidR="00FE37DD" w:rsidRPr="002807AE" w:rsidRDefault="00FE37DD" w:rsidP="00FE37DD">
            <w:pPr>
              <w:rPr>
                <w:rFonts w:ascii="Palatino Linotype" w:hAnsi="Palatino Linotype"/>
                <w:color w:val="000000"/>
                <w:sz w:val="18"/>
                <w:szCs w:val="18"/>
                <w:lang w:val="en-US"/>
              </w:rPr>
            </w:pPr>
          </w:p>
        </w:tc>
        <w:tc>
          <w:tcPr>
            <w:tcW w:w="997" w:type="dxa"/>
            <w:vMerge/>
            <w:tcBorders>
              <w:top w:val="nil"/>
              <w:left w:val="nil"/>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1043" w:type="dxa"/>
            <w:vMerge/>
            <w:tcBorders>
              <w:top w:val="nil"/>
              <w:left w:val="single" w:sz="4" w:space="0" w:color="auto"/>
              <w:bottom w:val="single" w:sz="4" w:space="0" w:color="000000"/>
              <w:right w:val="single" w:sz="8"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r>
      <w:tr w:rsidR="00FE37DD" w:rsidRPr="002807AE" w:rsidTr="00091CF5">
        <w:trPr>
          <w:trHeight w:val="245"/>
        </w:trPr>
        <w:tc>
          <w:tcPr>
            <w:tcW w:w="889" w:type="dxa"/>
            <w:vMerge w:val="restart"/>
            <w:tcBorders>
              <w:top w:val="nil"/>
              <w:left w:val="single" w:sz="8" w:space="0" w:color="auto"/>
              <w:bottom w:val="single" w:sz="4" w:space="0" w:color="000000"/>
              <w:right w:val="single" w:sz="4" w:space="0" w:color="auto"/>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2015</w:t>
            </w:r>
          </w:p>
        </w:tc>
        <w:tc>
          <w:tcPr>
            <w:tcW w:w="977" w:type="dxa"/>
            <w:tcBorders>
              <w:top w:val="nil"/>
              <w:left w:val="nil"/>
              <w:bottom w:val="nil"/>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1</w:t>
            </w:r>
          </w:p>
        </w:tc>
        <w:tc>
          <w:tcPr>
            <w:tcW w:w="997"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3.5</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3.6</w:t>
            </w:r>
          </w:p>
        </w:tc>
      </w:tr>
      <w:tr w:rsidR="00FE37DD" w:rsidRPr="002807AE"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7" w:type="dxa"/>
            <w:tcBorders>
              <w:top w:val="nil"/>
              <w:left w:val="nil"/>
              <w:bottom w:val="nil"/>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2</w:t>
            </w:r>
          </w:p>
        </w:tc>
        <w:tc>
          <w:tcPr>
            <w:tcW w:w="997"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7.2</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7.2</w:t>
            </w:r>
          </w:p>
        </w:tc>
      </w:tr>
      <w:tr w:rsidR="00FE37DD" w:rsidRPr="002807AE"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7" w:type="dxa"/>
            <w:tcBorders>
              <w:top w:val="nil"/>
              <w:left w:val="nil"/>
              <w:bottom w:val="nil"/>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3</w:t>
            </w:r>
          </w:p>
        </w:tc>
        <w:tc>
          <w:tcPr>
            <w:tcW w:w="997"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6.3</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6.7</w:t>
            </w:r>
          </w:p>
        </w:tc>
      </w:tr>
      <w:tr w:rsidR="00FE37DD" w:rsidRPr="002807AE"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7" w:type="dxa"/>
            <w:tcBorders>
              <w:top w:val="nil"/>
              <w:left w:val="nil"/>
              <w:bottom w:val="single" w:sz="4" w:space="0" w:color="auto"/>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4</w:t>
            </w:r>
          </w:p>
        </w:tc>
        <w:tc>
          <w:tcPr>
            <w:tcW w:w="997" w:type="dxa"/>
            <w:tcBorders>
              <w:top w:val="nil"/>
              <w:left w:val="nil"/>
              <w:bottom w:val="single" w:sz="4" w:space="0" w:color="auto"/>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6.4</w:t>
            </w:r>
          </w:p>
        </w:tc>
        <w:tc>
          <w:tcPr>
            <w:tcW w:w="997"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97"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c>
          <w:tcPr>
            <w:tcW w:w="997"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97"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43" w:type="dxa"/>
            <w:tcBorders>
              <w:top w:val="nil"/>
              <w:left w:val="single" w:sz="4" w:space="0" w:color="auto"/>
              <w:bottom w:val="single" w:sz="4" w:space="0" w:color="auto"/>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6.0</w:t>
            </w:r>
          </w:p>
        </w:tc>
      </w:tr>
      <w:tr w:rsidR="00FE37DD" w:rsidRPr="002807AE" w:rsidTr="00091CF5">
        <w:trPr>
          <w:trHeight w:val="245"/>
        </w:trPr>
        <w:tc>
          <w:tcPr>
            <w:tcW w:w="889" w:type="dxa"/>
            <w:vMerge w:val="restart"/>
            <w:tcBorders>
              <w:top w:val="nil"/>
              <w:left w:val="single" w:sz="8" w:space="0" w:color="auto"/>
              <w:bottom w:val="single" w:sz="4" w:space="0" w:color="000000"/>
              <w:right w:val="single" w:sz="4" w:space="0" w:color="auto"/>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p>
        </w:tc>
        <w:tc>
          <w:tcPr>
            <w:tcW w:w="977" w:type="dxa"/>
            <w:tcBorders>
              <w:top w:val="nil"/>
              <w:left w:val="nil"/>
              <w:bottom w:val="nil"/>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1</w:t>
            </w:r>
          </w:p>
        </w:tc>
        <w:tc>
          <w:tcPr>
            <w:tcW w:w="997"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4.1</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4.4</w:t>
            </w:r>
          </w:p>
        </w:tc>
      </w:tr>
      <w:tr w:rsidR="00FE37DD" w:rsidRPr="002807AE"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7" w:type="dxa"/>
            <w:tcBorders>
              <w:top w:val="nil"/>
              <w:left w:val="nil"/>
              <w:bottom w:val="nil"/>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2</w:t>
            </w:r>
          </w:p>
        </w:tc>
        <w:tc>
          <w:tcPr>
            <w:tcW w:w="997"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3.8</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0.6</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0.6</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4.7</w:t>
            </w:r>
          </w:p>
        </w:tc>
      </w:tr>
      <w:tr w:rsidR="00FE37DD" w:rsidRPr="002807AE"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7" w:type="dxa"/>
            <w:tcBorders>
              <w:top w:val="nil"/>
              <w:left w:val="nil"/>
              <w:bottom w:val="nil"/>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3</w:t>
            </w:r>
          </w:p>
        </w:tc>
        <w:tc>
          <w:tcPr>
            <w:tcW w:w="997"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0.9</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0.5</w:t>
            </w:r>
          </w:p>
        </w:tc>
        <w:tc>
          <w:tcPr>
            <w:tcW w:w="997"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-0.9</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r>
      <w:tr w:rsidR="00FE37DD" w:rsidRPr="002807AE"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7" w:type="dxa"/>
            <w:tcBorders>
              <w:top w:val="nil"/>
              <w:left w:val="nil"/>
              <w:bottom w:val="single" w:sz="4" w:space="0" w:color="auto"/>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4</w:t>
            </w:r>
          </w:p>
        </w:tc>
        <w:tc>
          <w:tcPr>
            <w:tcW w:w="997" w:type="dxa"/>
            <w:tcBorders>
              <w:top w:val="nil"/>
              <w:left w:val="nil"/>
              <w:bottom w:val="single" w:sz="4" w:space="0" w:color="auto"/>
              <w:right w:val="nil"/>
            </w:tcBorders>
            <w:shd w:val="clear" w:color="auto" w:fill="auto"/>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97" w:type="dxa"/>
            <w:tcBorders>
              <w:top w:val="nil"/>
              <w:left w:val="nil"/>
              <w:bottom w:val="single" w:sz="4" w:space="0" w:color="auto"/>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3.5</w:t>
            </w:r>
          </w:p>
        </w:tc>
        <w:tc>
          <w:tcPr>
            <w:tcW w:w="997"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97"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0.7</w:t>
            </w:r>
          </w:p>
        </w:tc>
        <w:tc>
          <w:tcPr>
            <w:tcW w:w="997"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43" w:type="dxa"/>
            <w:tcBorders>
              <w:top w:val="nil"/>
              <w:left w:val="single" w:sz="4" w:space="0" w:color="auto"/>
              <w:bottom w:val="single" w:sz="4" w:space="0" w:color="auto"/>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4.2</w:t>
            </w:r>
          </w:p>
        </w:tc>
      </w:tr>
      <w:tr w:rsidR="00FE37DD" w:rsidRPr="002807AE" w:rsidTr="00091CF5">
        <w:trPr>
          <w:trHeight w:val="245"/>
        </w:trPr>
        <w:tc>
          <w:tcPr>
            <w:tcW w:w="889" w:type="dxa"/>
            <w:vMerge w:val="restart"/>
            <w:tcBorders>
              <w:top w:val="nil"/>
              <w:left w:val="single" w:sz="8" w:space="0" w:color="auto"/>
              <w:bottom w:val="single" w:sz="8" w:space="0" w:color="000000"/>
              <w:right w:val="single" w:sz="4" w:space="0" w:color="auto"/>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2017</w:t>
            </w:r>
          </w:p>
        </w:tc>
        <w:tc>
          <w:tcPr>
            <w:tcW w:w="977" w:type="dxa"/>
            <w:tcBorders>
              <w:top w:val="nil"/>
              <w:left w:val="nil"/>
              <w:bottom w:val="nil"/>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1</w:t>
            </w:r>
          </w:p>
        </w:tc>
        <w:tc>
          <w:tcPr>
            <w:tcW w:w="997" w:type="dxa"/>
            <w:tcBorders>
              <w:top w:val="nil"/>
              <w:left w:val="nil"/>
              <w:bottom w:val="nil"/>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p>
        </w:tc>
        <w:tc>
          <w:tcPr>
            <w:tcW w:w="997" w:type="dxa"/>
            <w:tcBorders>
              <w:top w:val="nil"/>
              <w:left w:val="nil"/>
              <w:bottom w:val="nil"/>
              <w:right w:val="nil"/>
            </w:tcBorders>
            <w:shd w:val="clear" w:color="auto" w:fill="auto"/>
            <w:noWrap/>
            <w:vAlign w:val="center"/>
            <w:hideMark/>
          </w:tcPr>
          <w:p w:rsidR="00FE37DD" w:rsidRPr="002807AE" w:rsidRDefault="00FE37DD" w:rsidP="00FE37DD">
            <w:pPr>
              <w:jc w:val="center"/>
              <w:rPr>
                <w:rFonts w:ascii="Palatino Linotype" w:hAnsi="Palatino Linotype"/>
                <w:sz w:val="18"/>
                <w:szCs w:val="18"/>
                <w:lang w:val="en-US"/>
              </w:rPr>
            </w:pPr>
          </w:p>
        </w:tc>
        <w:tc>
          <w:tcPr>
            <w:tcW w:w="997" w:type="dxa"/>
            <w:tcBorders>
              <w:top w:val="nil"/>
              <w:left w:val="nil"/>
              <w:bottom w:val="nil"/>
              <w:right w:val="nil"/>
            </w:tcBorders>
            <w:shd w:val="clear" w:color="000000" w:fill="FFFF00"/>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4.7</w:t>
            </w:r>
          </w:p>
        </w:tc>
        <w:tc>
          <w:tcPr>
            <w:tcW w:w="997" w:type="dxa"/>
            <w:tcBorders>
              <w:top w:val="nil"/>
              <w:left w:val="nil"/>
              <w:bottom w:val="nil"/>
              <w:right w:val="nil"/>
            </w:tcBorders>
            <w:shd w:val="clear" w:color="000000" w:fill="E7E6E6"/>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97" w:type="dxa"/>
            <w:tcBorders>
              <w:top w:val="nil"/>
              <w:left w:val="nil"/>
              <w:bottom w:val="nil"/>
              <w:right w:val="nil"/>
            </w:tcBorders>
            <w:shd w:val="clear" w:color="000000" w:fill="E7E6E6"/>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0.5</w:t>
            </w:r>
          </w:p>
        </w:tc>
        <w:tc>
          <w:tcPr>
            <w:tcW w:w="1043" w:type="dxa"/>
            <w:tcBorders>
              <w:top w:val="nil"/>
              <w:left w:val="single" w:sz="4" w:space="0" w:color="auto"/>
              <w:bottom w:val="nil"/>
              <w:right w:val="single" w:sz="8" w:space="0" w:color="auto"/>
            </w:tcBorders>
            <w:shd w:val="clear" w:color="000000" w:fill="92D050"/>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5.4</w:t>
            </w:r>
          </w:p>
        </w:tc>
      </w:tr>
      <w:tr w:rsidR="00FE37DD" w:rsidRPr="002807AE" w:rsidTr="00091CF5">
        <w:trPr>
          <w:trHeight w:val="245"/>
        </w:trPr>
        <w:tc>
          <w:tcPr>
            <w:tcW w:w="889" w:type="dxa"/>
            <w:vMerge/>
            <w:tcBorders>
              <w:top w:val="nil"/>
              <w:left w:val="single" w:sz="8" w:space="0" w:color="auto"/>
              <w:bottom w:val="single" w:sz="8"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7" w:type="dxa"/>
            <w:tcBorders>
              <w:top w:val="nil"/>
              <w:left w:val="nil"/>
              <w:bottom w:val="nil"/>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2</w:t>
            </w:r>
          </w:p>
        </w:tc>
        <w:tc>
          <w:tcPr>
            <w:tcW w:w="997" w:type="dxa"/>
            <w:tcBorders>
              <w:top w:val="nil"/>
              <w:left w:val="nil"/>
              <w:bottom w:val="nil"/>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p>
        </w:tc>
        <w:tc>
          <w:tcPr>
            <w:tcW w:w="997" w:type="dxa"/>
            <w:tcBorders>
              <w:top w:val="nil"/>
              <w:left w:val="nil"/>
              <w:bottom w:val="nil"/>
              <w:right w:val="nil"/>
            </w:tcBorders>
            <w:shd w:val="clear" w:color="auto" w:fill="auto"/>
            <w:noWrap/>
            <w:vAlign w:val="center"/>
            <w:hideMark/>
          </w:tcPr>
          <w:p w:rsidR="00FE37DD" w:rsidRPr="002807AE" w:rsidRDefault="00FE37DD" w:rsidP="00FE37DD">
            <w:pPr>
              <w:jc w:val="center"/>
              <w:rPr>
                <w:rFonts w:ascii="Palatino Linotype" w:hAnsi="Palatino Linotype"/>
                <w:sz w:val="18"/>
                <w:szCs w:val="18"/>
                <w:lang w:val="en-US"/>
              </w:rPr>
            </w:pPr>
          </w:p>
        </w:tc>
        <w:tc>
          <w:tcPr>
            <w:tcW w:w="997" w:type="dxa"/>
            <w:tcBorders>
              <w:top w:val="nil"/>
              <w:left w:val="nil"/>
              <w:bottom w:val="nil"/>
              <w:right w:val="nil"/>
            </w:tcBorders>
            <w:shd w:val="clear" w:color="auto" w:fill="auto"/>
            <w:noWrap/>
            <w:vAlign w:val="center"/>
            <w:hideMark/>
          </w:tcPr>
          <w:p w:rsidR="00FE37DD" w:rsidRPr="002807AE" w:rsidRDefault="00FE37DD" w:rsidP="00FE37DD">
            <w:pPr>
              <w:jc w:val="center"/>
              <w:rPr>
                <w:rFonts w:ascii="Palatino Linotype" w:hAnsi="Palatino Linotype"/>
                <w:sz w:val="18"/>
                <w:szCs w:val="18"/>
                <w:lang w:val="en-US"/>
              </w:rPr>
            </w:pPr>
          </w:p>
        </w:tc>
        <w:tc>
          <w:tcPr>
            <w:tcW w:w="997" w:type="dxa"/>
            <w:tcBorders>
              <w:top w:val="nil"/>
              <w:left w:val="nil"/>
              <w:bottom w:val="nil"/>
              <w:right w:val="nil"/>
            </w:tcBorders>
            <w:shd w:val="clear" w:color="000000" w:fill="FFFF00"/>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6.5</w:t>
            </w:r>
          </w:p>
        </w:tc>
        <w:tc>
          <w:tcPr>
            <w:tcW w:w="997" w:type="dxa"/>
            <w:tcBorders>
              <w:top w:val="nil"/>
              <w:left w:val="nil"/>
              <w:bottom w:val="nil"/>
              <w:right w:val="nil"/>
            </w:tcBorders>
            <w:shd w:val="clear" w:color="000000" w:fill="E7E6E6"/>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1043" w:type="dxa"/>
            <w:tcBorders>
              <w:top w:val="nil"/>
              <w:left w:val="single" w:sz="4" w:space="0" w:color="auto"/>
              <w:bottom w:val="nil"/>
              <w:right w:val="single" w:sz="8" w:space="0" w:color="auto"/>
            </w:tcBorders>
            <w:shd w:val="clear" w:color="000000" w:fill="92D050"/>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6.4</w:t>
            </w:r>
          </w:p>
        </w:tc>
      </w:tr>
      <w:tr w:rsidR="00FE37DD" w:rsidRPr="002807AE" w:rsidTr="00091CF5">
        <w:trPr>
          <w:trHeight w:val="257"/>
        </w:trPr>
        <w:tc>
          <w:tcPr>
            <w:tcW w:w="889" w:type="dxa"/>
            <w:vMerge/>
            <w:tcBorders>
              <w:top w:val="nil"/>
              <w:left w:val="single" w:sz="8" w:space="0" w:color="auto"/>
              <w:bottom w:val="single" w:sz="8"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7" w:type="dxa"/>
            <w:tcBorders>
              <w:top w:val="nil"/>
              <w:left w:val="nil"/>
              <w:bottom w:val="single" w:sz="8" w:space="0" w:color="auto"/>
              <w:right w:val="single" w:sz="4" w:space="0" w:color="auto"/>
            </w:tcBorders>
            <w:shd w:val="clear" w:color="auto" w:fill="auto"/>
            <w:noWrap/>
            <w:vAlign w:val="bottom"/>
            <w:hideMark/>
          </w:tcPr>
          <w:p w:rsidR="00FE37DD" w:rsidRPr="002807AE" w:rsidRDefault="002B3928"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3</w:t>
            </w:r>
          </w:p>
        </w:tc>
        <w:tc>
          <w:tcPr>
            <w:tcW w:w="997" w:type="dxa"/>
            <w:tcBorders>
              <w:top w:val="nil"/>
              <w:left w:val="nil"/>
              <w:bottom w:val="single" w:sz="8" w:space="0" w:color="auto"/>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97" w:type="dxa"/>
            <w:tcBorders>
              <w:top w:val="nil"/>
              <w:left w:val="nil"/>
              <w:bottom w:val="single" w:sz="8" w:space="0" w:color="auto"/>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97" w:type="dxa"/>
            <w:tcBorders>
              <w:top w:val="nil"/>
              <w:left w:val="nil"/>
              <w:bottom w:val="single" w:sz="8" w:space="0" w:color="auto"/>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97" w:type="dxa"/>
            <w:tcBorders>
              <w:top w:val="nil"/>
              <w:left w:val="nil"/>
              <w:bottom w:val="single" w:sz="8" w:space="0" w:color="auto"/>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97" w:type="dxa"/>
            <w:tcBorders>
              <w:top w:val="nil"/>
              <w:left w:val="nil"/>
              <w:bottom w:val="single" w:sz="8" w:space="0" w:color="auto"/>
              <w:right w:val="nil"/>
            </w:tcBorders>
            <w:shd w:val="clear" w:color="000000" w:fill="FFFF00"/>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9.6</w:t>
            </w:r>
          </w:p>
        </w:tc>
        <w:tc>
          <w:tcPr>
            <w:tcW w:w="1043" w:type="dxa"/>
            <w:tcBorders>
              <w:top w:val="nil"/>
              <w:left w:val="single" w:sz="4" w:space="0" w:color="auto"/>
              <w:bottom w:val="single" w:sz="8" w:space="0" w:color="auto"/>
              <w:right w:val="single" w:sz="8" w:space="0" w:color="auto"/>
            </w:tcBorders>
            <w:shd w:val="clear" w:color="000000" w:fill="92D050"/>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9.6</w:t>
            </w:r>
          </w:p>
        </w:tc>
      </w:tr>
    </w:tbl>
    <w:p w:rsidR="001C08E0" w:rsidRPr="002807AE" w:rsidRDefault="001C08E0" w:rsidP="00A26107">
      <w:pPr>
        <w:spacing w:line="276" w:lineRule="auto"/>
        <w:jc w:val="both"/>
        <w:rPr>
          <w:rFonts w:ascii="Palatino Linotype" w:hAnsi="Palatino Linotype" w:cs="Arial"/>
          <w:sz w:val="22"/>
          <w:szCs w:val="22"/>
          <w:lang w:val="en-US"/>
        </w:rPr>
      </w:pPr>
    </w:p>
    <w:tbl>
      <w:tblPr>
        <w:tblW w:w="8699" w:type="dxa"/>
        <w:jc w:val="center"/>
        <w:tblCellMar>
          <w:left w:w="70" w:type="dxa"/>
          <w:right w:w="70" w:type="dxa"/>
        </w:tblCellMar>
        <w:tblLook w:val="04A0" w:firstRow="1" w:lastRow="0" w:firstColumn="1" w:lastColumn="0" w:noHBand="0" w:noVBand="1"/>
      </w:tblPr>
      <w:tblGrid>
        <w:gridCol w:w="523"/>
        <w:gridCol w:w="8176"/>
      </w:tblGrid>
      <w:tr w:rsidR="0029102C" w:rsidRPr="002807AE" w:rsidTr="00091CF5">
        <w:trPr>
          <w:trHeight w:val="80"/>
          <w:jc w:val="center"/>
        </w:trPr>
        <w:tc>
          <w:tcPr>
            <w:tcW w:w="523" w:type="dxa"/>
            <w:tcBorders>
              <w:top w:val="nil"/>
              <w:left w:val="nil"/>
              <w:bottom w:val="nil"/>
              <w:right w:val="nil"/>
            </w:tcBorders>
            <w:shd w:val="clear" w:color="000000" w:fill="FFFF00"/>
            <w:noWrap/>
            <w:vAlign w:val="bottom"/>
            <w:hideMark/>
          </w:tcPr>
          <w:p w:rsidR="0029102C" w:rsidRPr="002807AE" w:rsidRDefault="0029102C" w:rsidP="005A0565">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9102C" w:rsidRPr="002807AE" w:rsidRDefault="005325DC" w:rsidP="00AF6D17">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First</w:t>
            </w:r>
            <w:r w:rsidR="0029102C" w:rsidRPr="002807AE">
              <w:rPr>
                <w:rFonts w:ascii="Palatino Linotype" w:hAnsi="Palatino Linotype" w:cs="Arial"/>
                <w:color w:val="000000"/>
                <w:sz w:val="18"/>
                <w:szCs w:val="18"/>
                <w:lang w:val="en-US"/>
              </w:rPr>
              <w:t xml:space="preserve"> </w:t>
            </w:r>
            <w:r w:rsidRPr="002807AE">
              <w:rPr>
                <w:rFonts w:ascii="Palatino Linotype" w:hAnsi="Palatino Linotype" w:cs="Arial"/>
                <w:color w:val="000000"/>
                <w:sz w:val="18"/>
                <w:szCs w:val="18"/>
                <w:lang w:val="en-US"/>
              </w:rPr>
              <w:t>Estimate</w:t>
            </w:r>
            <w:r w:rsidR="00AF6D17">
              <w:rPr>
                <w:rFonts w:ascii="Palatino Linotype" w:hAnsi="Palatino Linotype" w:cs="Arial"/>
                <w:color w:val="000000"/>
                <w:sz w:val="18"/>
                <w:szCs w:val="18"/>
                <w:lang w:val="en-US"/>
              </w:rPr>
              <w:t>s</w:t>
            </w:r>
            <w:r w:rsidR="0029102C" w:rsidRPr="002807AE">
              <w:rPr>
                <w:rFonts w:ascii="Palatino Linotype" w:hAnsi="Palatino Linotype" w:cs="Arial"/>
                <w:color w:val="000000"/>
                <w:sz w:val="18"/>
                <w:szCs w:val="18"/>
                <w:lang w:val="en-US"/>
              </w:rPr>
              <w:t xml:space="preserve"> (</w:t>
            </w:r>
            <w:r w:rsidRPr="002807AE">
              <w:rPr>
                <w:rFonts w:ascii="Palatino Linotype" w:hAnsi="Palatino Linotype" w:cs="Arial"/>
                <w:color w:val="000000"/>
                <w:sz w:val="18"/>
                <w:szCs w:val="18"/>
                <w:lang w:val="en-US"/>
              </w:rPr>
              <w:t xml:space="preserve">earliest number press </w:t>
            </w:r>
            <w:r w:rsidRPr="009A059F">
              <w:rPr>
                <w:rFonts w:ascii="Palatino Linotype" w:hAnsi="Palatino Linotype" w:cs="Arial"/>
                <w:color w:val="000000"/>
                <w:sz w:val="18"/>
                <w:szCs w:val="18"/>
                <w:lang w:val="en-US"/>
              </w:rPr>
              <w:t>release</w:t>
            </w:r>
            <w:r w:rsidR="00AF6D17" w:rsidRPr="009A059F">
              <w:rPr>
                <w:rFonts w:ascii="Palatino Linotype" w:hAnsi="Palatino Linotype" w:cs="Arial"/>
                <w:color w:val="000000"/>
                <w:sz w:val="18"/>
                <w:szCs w:val="18"/>
                <w:lang w:val="en-US"/>
              </w:rPr>
              <w:t xml:space="preserve"> in question</w:t>
            </w:r>
            <w:r w:rsidR="0029102C" w:rsidRPr="002807AE">
              <w:rPr>
                <w:rFonts w:ascii="Palatino Linotype" w:hAnsi="Palatino Linotype" w:cs="Arial"/>
                <w:color w:val="000000"/>
                <w:sz w:val="18"/>
                <w:szCs w:val="18"/>
                <w:lang w:val="en-US"/>
              </w:rPr>
              <w:t>)</w:t>
            </w:r>
          </w:p>
        </w:tc>
      </w:tr>
      <w:tr w:rsidR="0029102C" w:rsidRPr="002807AE" w:rsidTr="00091CF5">
        <w:trPr>
          <w:trHeight w:val="80"/>
          <w:jc w:val="center"/>
        </w:trPr>
        <w:tc>
          <w:tcPr>
            <w:tcW w:w="523" w:type="dxa"/>
            <w:tcBorders>
              <w:top w:val="nil"/>
              <w:left w:val="nil"/>
              <w:bottom w:val="nil"/>
              <w:right w:val="nil"/>
            </w:tcBorders>
            <w:shd w:val="clear" w:color="000000" w:fill="E7E6E6"/>
            <w:noWrap/>
            <w:vAlign w:val="bottom"/>
            <w:hideMark/>
          </w:tcPr>
          <w:p w:rsidR="0029102C" w:rsidRPr="002807AE" w:rsidRDefault="0029102C" w:rsidP="005A0565">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9102C" w:rsidRPr="002807AE" w:rsidRDefault="005325DC" w:rsidP="005A0565">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Differences between sequential press releases</w:t>
            </w:r>
            <w:r w:rsidR="0029102C" w:rsidRPr="002807AE">
              <w:rPr>
                <w:rFonts w:ascii="Palatino Linotype" w:hAnsi="Palatino Linotype" w:cs="Arial"/>
                <w:color w:val="000000"/>
                <w:sz w:val="18"/>
                <w:szCs w:val="18"/>
                <w:lang w:val="en-US"/>
              </w:rPr>
              <w:t xml:space="preserve"> (</w:t>
            </w:r>
            <w:r w:rsidR="002B3928" w:rsidRPr="002807AE">
              <w:rPr>
                <w:rFonts w:ascii="Palatino Linotype" w:hAnsi="Palatino Linotype" w:cs="Arial"/>
                <w:color w:val="000000"/>
                <w:sz w:val="18"/>
                <w:szCs w:val="18"/>
                <w:lang w:val="en-US"/>
              </w:rPr>
              <w:t>Magni</w:t>
            </w:r>
            <w:r w:rsidR="005E5C93" w:rsidRPr="002807AE">
              <w:rPr>
                <w:rFonts w:ascii="Palatino Linotype" w:hAnsi="Palatino Linotype" w:cs="Arial"/>
                <w:color w:val="000000"/>
                <w:sz w:val="18"/>
                <w:szCs w:val="18"/>
                <w:lang w:val="en-US"/>
              </w:rPr>
              <w:t>tude and direction of the revision</w:t>
            </w:r>
            <w:r w:rsidR="0029102C" w:rsidRPr="002807AE">
              <w:rPr>
                <w:rFonts w:ascii="Palatino Linotype" w:hAnsi="Palatino Linotype" w:cs="Arial"/>
                <w:color w:val="000000"/>
                <w:sz w:val="18"/>
                <w:szCs w:val="18"/>
                <w:lang w:val="en-US"/>
              </w:rPr>
              <w:t>)</w:t>
            </w:r>
          </w:p>
        </w:tc>
      </w:tr>
      <w:tr w:rsidR="0029102C" w:rsidRPr="002807AE" w:rsidTr="00091CF5">
        <w:trPr>
          <w:trHeight w:val="80"/>
          <w:jc w:val="center"/>
        </w:trPr>
        <w:tc>
          <w:tcPr>
            <w:tcW w:w="523" w:type="dxa"/>
            <w:tcBorders>
              <w:top w:val="nil"/>
              <w:left w:val="nil"/>
              <w:bottom w:val="nil"/>
              <w:right w:val="nil"/>
            </w:tcBorders>
            <w:shd w:val="clear" w:color="000000" w:fill="92D050"/>
            <w:noWrap/>
            <w:vAlign w:val="bottom"/>
            <w:hideMark/>
          </w:tcPr>
          <w:p w:rsidR="0029102C" w:rsidRPr="002807AE" w:rsidRDefault="0029102C" w:rsidP="005A0565">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9102C" w:rsidRPr="002807AE" w:rsidRDefault="002B3928" w:rsidP="005A0565">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Last estimate</w:t>
            </w:r>
            <w:r w:rsidR="00AF6D17">
              <w:rPr>
                <w:rFonts w:ascii="Palatino Linotype" w:hAnsi="Palatino Linotype" w:cs="Arial"/>
                <w:color w:val="000000"/>
                <w:sz w:val="18"/>
                <w:szCs w:val="18"/>
                <w:lang w:val="en-US"/>
              </w:rPr>
              <w:t>s</w:t>
            </w:r>
          </w:p>
        </w:tc>
      </w:tr>
    </w:tbl>
    <w:p w:rsidR="00091CF5" w:rsidRPr="002807AE" w:rsidRDefault="00091CF5" w:rsidP="00091CF5">
      <w:pPr>
        <w:spacing w:line="276" w:lineRule="auto"/>
        <w:jc w:val="both"/>
        <w:rPr>
          <w:rFonts w:ascii="Palatino Linotype" w:hAnsi="Palatino Linotype" w:cs="Arial"/>
          <w:sz w:val="18"/>
          <w:szCs w:val="18"/>
          <w:lang w:val="en-US"/>
        </w:rPr>
      </w:pPr>
      <w:r w:rsidRPr="002807AE">
        <w:rPr>
          <w:rFonts w:ascii="Palatino Linotype" w:hAnsi="Palatino Linotype" w:cs="Arial"/>
          <w:sz w:val="18"/>
          <w:szCs w:val="18"/>
          <w:lang w:val="en-US"/>
        </w:rPr>
        <w:t>Not</w:t>
      </w:r>
      <w:r w:rsidR="002B3928" w:rsidRPr="002807AE">
        <w:rPr>
          <w:rFonts w:ascii="Palatino Linotype" w:hAnsi="Palatino Linotype" w:cs="Arial"/>
          <w:sz w:val="18"/>
          <w:szCs w:val="18"/>
          <w:lang w:val="en-US"/>
        </w:rPr>
        <w:t>e</w:t>
      </w:r>
      <w:r w:rsidRPr="002807AE">
        <w:rPr>
          <w:rFonts w:ascii="Palatino Linotype" w:hAnsi="Palatino Linotype" w:cs="Arial"/>
          <w:sz w:val="18"/>
          <w:szCs w:val="18"/>
          <w:lang w:val="en-US"/>
        </w:rPr>
        <w:t xml:space="preserve">: </w:t>
      </w:r>
      <w:r w:rsidR="002B3928" w:rsidRPr="002807AE">
        <w:rPr>
          <w:rFonts w:ascii="Palatino Linotype" w:hAnsi="Palatino Linotype" w:cs="Arial"/>
          <w:sz w:val="18"/>
          <w:szCs w:val="18"/>
          <w:lang w:val="en-US"/>
        </w:rPr>
        <w:t xml:space="preserve">Summing of first estimation and revisions may not equal to last estimation due to rounding. </w:t>
      </w:r>
    </w:p>
    <w:p w:rsidR="00091CF5" w:rsidRPr="002807AE" w:rsidRDefault="00091CF5" w:rsidP="00A26107">
      <w:pPr>
        <w:spacing w:line="276" w:lineRule="auto"/>
        <w:jc w:val="both"/>
        <w:rPr>
          <w:rFonts w:ascii="Palatino Linotype" w:hAnsi="Palatino Linotype" w:cs="Arial"/>
          <w:b/>
          <w:sz w:val="22"/>
          <w:szCs w:val="22"/>
          <w:lang w:val="en-US"/>
        </w:rPr>
      </w:pPr>
    </w:p>
    <w:p w:rsidR="001C08E0" w:rsidRPr="002807AE" w:rsidRDefault="004F1822" w:rsidP="00A26107">
      <w:pPr>
        <w:spacing w:line="276" w:lineRule="auto"/>
        <w:jc w:val="both"/>
        <w:rPr>
          <w:rFonts w:ascii="Palatino Linotype" w:hAnsi="Palatino Linotype" w:cs="Arial"/>
          <w:b/>
          <w:sz w:val="22"/>
          <w:szCs w:val="22"/>
          <w:lang w:val="en-US"/>
        </w:rPr>
      </w:pPr>
      <w:r>
        <w:rPr>
          <w:rFonts w:ascii="Palatino Linotype" w:hAnsi="Palatino Linotype" w:cs="Arial"/>
          <w:b/>
          <w:sz w:val="22"/>
          <w:szCs w:val="22"/>
          <w:lang w:val="en-US"/>
        </w:rPr>
        <w:t>Table</w:t>
      </w:r>
      <w:r w:rsidR="001C08E0" w:rsidRPr="002807AE">
        <w:rPr>
          <w:rFonts w:ascii="Palatino Linotype" w:hAnsi="Palatino Linotype" w:cs="Arial"/>
          <w:b/>
          <w:sz w:val="22"/>
          <w:szCs w:val="22"/>
          <w:lang w:val="en-US"/>
        </w:rPr>
        <w:t xml:space="preserve"> 1B: </w:t>
      </w:r>
      <w:r>
        <w:rPr>
          <w:rFonts w:ascii="Palatino Linotype" w:hAnsi="Palatino Linotype" w:cs="Arial"/>
          <w:b/>
          <w:sz w:val="22"/>
          <w:szCs w:val="22"/>
          <w:lang w:val="en-US"/>
        </w:rPr>
        <w:t xml:space="preserve">Revisions in the quarterly growth estimates </w:t>
      </w:r>
      <w:r w:rsidRPr="002807AE">
        <w:rPr>
          <w:rFonts w:ascii="Palatino Linotype" w:hAnsi="Palatino Linotype" w:cs="Arial"/>
          <w:b/>
          <w:sz w:val="22"/>
          <w:szCs w:val="22"/>
          <w:lang w:val="en-US"/>
        </w:rPr>
        <w:t>(</w:t>
      </w:r>
      <w:r>
        <w:rPr>
          <w:rFonts w:ascii="Palatino Linotype" w:hAnsi="Palatino Linotype" w:cs="Arial"/>
          <w:b/>
          <w:sz w:val="22"/>
          <w:szCs w:val="22"/>
          <w:lang w:val="en-US"/>
        </w:rPr>
        <w:t>New</w:t>
      </w:r>
      <w:r w:rsidRPr="002807AE">
        <w:rPr>
          <w:rFonts w:ascii="Palatino Linotype" w:hAnsi="Palatino Linotype" w:cs="Arial"/>
          <w:b/>
          <w:sz w:val="22"/>
          <w:szCs w:val="22"/>
          <w:lang w:val="en-US"/>
        </w:rPr>
        <w:t xml:space="preserve"> Seri</w:t>
      </w:r>
      <w:r>
        <w:rPr>
          <w:rFonts w:ascii="Palatino Linotype" w:hAnsi="Palatino Linotype" w:cs="Arial"/>
          <w:b/>
          <w:sz w:val="22"/>
          <w:szCs w:val="22"/>
          <w:lang w:val="en-US"/>
        </w:rPr>
        <w:t>es</w:t>
      </w:r>
      <w:r w:rsidRPr="002807AE">
        <w:rPr>
          <w:rFonts w:ascii="Palatino Linotype" w:hAnsi="Palatino Linotype" w:cs="Arial"/>
          <w:b/>
          <w:sz w:val="22"/>
          <w:szCs w:val="22"/>
          <w:lang w:val="en-US"/>
        </w:rPr>
        <w:t>)</w:t>
      </w:r>
      <w:r w:rsidR="001C08E0" w:rsidRPr="002807AE">
        <w:rPr>
          <w:rFonts w:ascii="Palatino Linotype" w:hAnsi="Palatino Linotype" w:cs="Arial"/>
          <w:b/>
          <w:sz w:val="22"/>
          <w:szCs w:val="22"/>
          <w:lang w:val="en-US"/>
        </w:rPr>
        <w:t xml:space="preserve"> </w:t>
      </w:r>
    </w:p>
    <w:tbl>
      <w:tblPr>
        <w:tblW w:w="7858" w:type="dxa"/>
        <w:tblCellMar>
          <w:left w:w="70" w:type="dxa"/>
          <w:right w:w="70" w:type="dxa"/>
        </w:tblCellMar>
        <w:tblLook w:val="04A0" w:firstRow="1" w:lastRow="0" w:firstColumn="1" w:lastColumn="0" w:noHBand="0" w:noVBand="1"/>
      </w:tblPr>
      <w:tblGrid>
        <w:gridCol w:w="937"/>
        <w:gridCol w:w="982"/>
        <w:gridCol w:w="982"/>
        <w:gridCol w:w="982"/>
        <w:gridCol w:w="982"/>
        <w:gridCol w:w="982"/>
        <w:gridCol w:w="984"/>
        <w:gridCol w:w="1027"/>
      </w:tblGrid>
      <w:tr w:rsidR="002B3928" w:rsidRPr="002807AE" w:rsidTr="00091CF5">
        <w:trPr>
          <w:trHeight w:val="297"/>
        </w:trPr>
        <w:tc>
          <w:tcPr>
            <w:tcW w:w="1919"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2B3928" w:rsidRPr="002807AE" w:rsidRDefault="002B3928" w:rsidP="002B3928">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Quarterly Growth         (Growth rates compared to previous quarter)</w:t>
            </w:r>
          </w:p>
        </w:tc>
        <w:tc>
          <w:tcPr>
            <w:tcW w:w="491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2B3928" w:rsidRPr="002807AE" w:rsidRDefault="002B3928" w:rsidP="002B3928">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Press Releases Period</w:t>
            </w:r>
          </w:p>
        </w:tc>
        <w:tc>
          <w:tcPr>
            <w:tcW w:w="1027"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2B3928" w:rsidRPr="002807AE" w:rsidRDefault="002B3928" w:rsidP="002B3928">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Last estimate</w:t>
            </w:r>
          </w:p>
        </w:tc>
      </w:tr>
      <w:tr w:rsidR="00445656" w:rsidRPr="002807AE" w:rsidTr="00091CF5">
        <w:trPr>
          <w:trHeight w:val="398"/>
        </w:trPr>
        <w:tc>
          <w:tcPr>
            <w:tcW w:w="1919"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2807AE" w:rsidRDefault="00445656" w:rsidP="00445656">
            <w:pPr>
              <w:rPr>
                <w:rFonts w:ascii="Palatino Linotype" w:hAnsi="Palatino Linotype"/>
                <w:color w:val="000000"/>
                <w:sz w:val="18"/>
                <w:szCs w:val="18"/>
                <w:lang w:val="en-US"/>
              </w:rPr>
            </w:pPr>
          </w:p>
        </w:tc>
        <w:tc>
          <w:tcPr>
            <w:tcW w:w="4912" w:type="dxa"/>
            <w:gridSpan w:val="5"/>
            <w:vMerge/>
            <w:tcBorders>
              <w:top w:val="single" w:sz="8" w:space="0" w:color="auto"/>
              <w:left w:val="single" w:sz="4" w:space="0" w:color="auto"/>
              <w:bottom w:val="single" w:sz="4" w:space="0" w:color="000000"/>
              <w:right w:val="single" w:sz="4" w:space="0" w:color="000000"/>
            </w:tcBorders>
            <w:vAlign w:val="center"/>
            <w:hideMark/>
          </w:tcPr>
          <w:p w:rsidR="00445656" w:rsidRPr="002807AE" w:rsidRDefault="00445656" w:rsidP="00445656">
            <w:pPr>
              <w:rPr>
                <w:rFonts w:ascii="Palatino Linotype" w:hAnsi="Palatino Linotype"/>
                <w:color w:val="000000"/>
                <w:sz w:val="18"/>
                <w:szCs w:val="18"/>
                <w:lang w:val="en-US"/>
              </w:rPr>
            </w:pPr>
          </w:p>
        </w:tc>
        <w:tc>
          <w:tcPr>
            <w:tcW w:w="1027" w:type="dxa"/>
            <w:vMerge/>
            <w:tcBorders>
              <w:top w:val="single" w:sz="8" w:space="0" w:color="auto"/>
              <w:left w:val="single" w:sz="4" w:space="0" w:color="auto"/>
              <w:bottom w:val="single" w:sz="4" w:space="0" w:color="000000"/>
              <w:right w:val="single" w:sz="8"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r>
      <w:tr w:rsidR="00445656" w:rsidRPr="002807AE" w:rsidTr="002B3928">
        <w:trPr>
          <w:trHeight w:val="398"/>
        </w:trPr>
        <w:tc>
          <w:tcPr>
            <w:tcW w:w="1919"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vMerge w:val="restart"/>
            <w:tcBorders>
              <w:top w:val="nil"/>
              <w:left w:val="single" w:sz="4" w:space="0" w:color="auto"/>
              <w:bottom w:val="single" w:sz="4" w:space="0" w:color="000000"/>
              <w:right w:val="nil"/>
            </w:tcBorders>
            <w:shd w:val="clear" w:color="auto" w:fill="auto"/>
            <w:vAlign w:val="center"/>
            <w:hideMark/>
          </w:tcPr>
          <w:p w:rsidR="00445656" w:rsidRPr="002807AE" w:rsidRDefault="000A7E6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r w:rsidR="002B3928"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3</w:t>
            </w:r>
          </w:p>
        </w:tc>
        <w:tc>
          <w:tcPr>
            <w:tcW w:w="982" w:type="dxa"/>
            <w:vMerge w:val="restart"/>
            <w:tcBorders>
              <w:top w:val="nil"/>
              <w:left w:val="nil"/>
              <w:bottom w:val="single" w:sz="4" w:space="0" w:color="000000"/>
              <w:right w:val="nil"/>
            </w:tcBorders>
            <w:shd w:val="clear" w:color="auto" w:fill="auto"/>
            <w:vAlign w:val="center"/>
            <w:hideMark/>
          </w:tcPr>
          <w:p w:rsidR="00445656" w:rsidRPr="002807AE" w:rsidRDefault="000A7E6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r w:rsidR="002B3928"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4</w:t>
            </w:r>
          </w:p>
        </w:tc>
        <w:tc>
          <w:tcPr>
            <w:tcW w:w="982" w:type="dxa"/>
            <w:vMerge w:val="restart"/>
            <w:tcBorders>
              <w:top w:val="nil"/>
              <w:left w:val="nil"/>
              <w:bottom w:val="single" w:sz="4" w:space="0" w:color="000000"/>
              <w:right w:val="nil"/>
            </w:tcBorders>
            <w:shd w:val="clear" w:color="auto" w:fill="auto"/>
            <w:vAlign w:val="center"/>
            <w:hideMark/>
          </w:tcPr>
          <w:p w:rsidR="00445656" w:rsidRPr="002807AE" w:rsidRDefault="000A7E6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2017</w:t>
            </w:r>
            <w:r w:rsidR="002B3928"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1</w:t>
            </w:r>
          </w:p>
        </w:tc>
        <w:tc>
          <w:tcPr>
            <w:tcW w:w="982" w:type="dxa"/>
            <w:vMerge w:val="restart"/>
            <w:tcBorders>
              <w:top w:val="nil"/>
              <w:left w:val="nil"/>
              <w:bottom w:val="single" w:sz="4" w:space="0" w:color="000000"/>
              <w:right w:val="nil"/>
            </w:tcBorders>
            <w:shd w:val="clear" w:color="auto" w:fill="auto"/>
            <w:vAlign w:val="center"/>
            <w:hideMark/>
          </w:tcPr>
          <w:p w:rsidR="00445656" w:rsidRPr="002807AE" w:rsidRDefault="000A7E6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2017</w:t>
            </w:r>
            <w:r w:rsidR="002B3928"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2</w:t>
            </w:r>
          </w:p>
        </w:tc>
        <w:tc>
          <w:tcPr>
            <w:tcW w:w="984" w:type="dxa"/>
            <w:vMerge w:val="restart"/>
            <w:tcBorders>
              <w:top w:val="nil"/>
              <w:left w:val="nil"/>
              <w:bottom w:val="single" w:sz="4" w:space="0" w:color="000000"/>
              <w:right w:val="single" w:sz="4" w:space="0" w:color="auto"/>
            </w:tcBorders>
            <w:shd w:val="clear" w:color="auto" w:fill="auto"/>
            <w:vAlign w:val="center"/>
            <w:hideMark/>
          </w:tcPr>
          <w:p w:rsidR="00445656" w:rsidRPr="002807AE" w:rsidRDefault="000A7E6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2017</w:t>
            </w:r>
            <w:r w:rsidR="002B3928"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3</w:t>
            </w:r>
          </w:p>
        </w:tc>
        <w:tc>
          <w:tcPr>
            <w:tcW w:w="1027" w:type="dxa"/>
            <w:vMerge w:val="restart"/>
            <w:tcBorders>
              <w:top w:val="nil"/>
              <w:left w:val="single" w:sz="4" w:space="0" w:color="auto"/>
              <w:bottom w:val="single" w:sz="4" w:space="0" w:color="000000"/>
              <w:right w:val="single" w:sz="8" w:space="0" w:color="auto"/>
            </w:tcBorders>
            <w:shd w:val="clear" w:color="auto" w:fill="auto"/>
            <w:vAlign w:val="center"/>
            <w:hideMark/>
          </w:tcPr>
          <w:p w:rsidR="00445656" w:rsidRPr="002807AE" w:rsidRDefault="00445656" w:rsidP="003E6762">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2017</w:t>
            </w:r>
            <w:r w:rsidR="002B3928" w:rsidRPr="002807AE">
              <w:rPr>
                <w:rFonts w:ascii="Palatino Linotype" w:hAnsi="Palatino Linotype"/>
                <w:color w:val="000000"/>
                <w:sz w:val="18"/>
                <w:szCs w:val="18"/>
                <w:lang w:val="en-US"/>
              </w:rPr>
              <w:t>Q</w:t>
            </w:r>
            <w:r w:rsidRPr="002807AE">
              <w:rPr>
                <w:rFonts w:ascii="Palatino Linotype" w:hAnsi="Palatino Linotype"/>
                <w:color w:val="000000"/>
                <w:sz w:val="18"/>
                <w:szCs w:val="18"/>
                <w:lang w:val="en-US"/>
              </w:rPr>
              <w:t>3</w:t>
            </w:r>
          </w:p>
        </w:tc>
      </w:tr>
      <w:tr w:rsidR="00445656" w:rsidRPr="002807AE" w:rsidTr="002B3928">
        <w:trPr>
          <w:trHeight w:val="398"/>
        </w:trPr>
        <w:tc>
          <w:tcPr>
            <w:tcW w:w="1919"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vMerge/>
            <w:tcBorders>
              <w:top w:val="nil"/>
              <w:left w:val="single" w:sz="4" w:space="0" w:color="auto"/>
              <w:bottom w:val="single" w:sz="4" w:space="0" w:color="000000"/>
              <w:right w:val="nil"/>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vMerge/>
            <w:tcBorders>
              <w:top w:val="nil"/>
              <w:left w:val="nil"/>
              <w:bottom w:val="single" w:sz="4" w:space="0" w:color="000000"/>
              <w:right w:val="nil"/>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vMerge/>
            <w:tcBorders>
              <w:top w:val="nil"/>
              <w:left w:val="nil"/>
              <w:bottom w:val="single" w:sz="4" w:space="0" w:color="000000"/>
              <w:right w:val="nil"/>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vMerge/>
            <w:tcBorders>
              <w:top w:val="nil"/>
              <w:left w:val="nil"/>
              <w:bottom w:val="single" w:sz="4" w:space="0" w:color="000000"/>
              <w:right w:val="nil"/>
            </w:tcBorders>
            <w:vAlign w:val="center"/>
            <w:hideMark/>
          </w:tcPr>
          <w:p w:rsidR="00445656" w:rsidRPr="002807AE" w:rsidRDefault="00445656" w:rsidP="00445656">
            <w:pPr>
              <w:rPr>
                <w:rFonts w:ascii="Palatino Linotype" w:hAnsi="Palatino Linotype"/>
                <w:color w:val="000000"/>
                <w:sz w:val="18"/>
                <w:szCs w:val="18"/>
                <w:lang w:val="en-US"/>
              </w:rPr>
            </w:pPr>
          </w:p>
        </w:tc>
        <w:tc>
          <w:tcPr>
            <w:tcW w:w="984" w:type="dxa"/>
            <w:vMerge/>
            <w:tcBorders>
              <w:top w:val="nil"/>
              <w:left w:val="nil"/>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1027" w:type="dxa"/>
            <w:vMerge/>
            <w:tcBorders>
              <w:top w:val="nil"/>
              <w:left w:val="single" w:sz="4" w:space="0" w:color="auto"/>
              <w:bottom w:val="single" w:sz="4" w:space="0" w:color="000000"/>
              <w:right w:val="single" w:sz="8"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r>
      <w:tr w:rsidR="00445656" w:rsidRPr="002807AE" w:rsidTr="002B3928">
        <w:trPr>
          <w:trHeight w:val="261"/>
        </w:trPr>
        <w:tc>
          <w:tcPr>
            <w:tcW w:w="937" w:type="dxa"/>
            <w:vMerge w:val="restart"/>
            <w:tcBorders>
              <w:top w:val="nil"/>
              <w:left w:val="single" w:sz="8" w:space="0" w:color="auto"/>
              <w:bottom w:val="single" w:sz="4" w:space="0" w:color="000000"/>
              <w:right w:val="single" w:sz="4" w:space="0" w:color="auto"/>
            </w:tcBorders>
            <w:shd w:val="clear" w:color="auto" w:fill="auto"/>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2015</w:t>
            </w:r>
          </w:p>
        </w:tc>
        <w:tc>
          <w:tcPr>
            <w:tcW w:w="982" w:type="dxa"/>
            <w:tcBorders>
              <w:top w:val="nil"/>
              <w:left w:val="nil"/>
              <w:bottom w:val="nil"/>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1</w:t>
            </w:r>
          </w:p>
        </w:tc>
        <w:tc>
          <w:tcPr>
            <w:tcW w:w="982"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1.9</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4"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1.9</w:t>
            </w:r>
          </w:p>
        </w:tc>
      </w:tr>
      <w:tr w:rsidR="00445656" w:rsidRPr="002807AE" w:rsidTr="002B3928">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tcBorders>
              <w:top w:val="nil"/>
              <w:left w:val="nil"/>
              <w:bottom w:val="nil"/>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2</w:t>
            </w:r>
          </w:p>
        </w:tc>
        <w:tc>
          <w:tcPr>
            <w:tcW w:w="982"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1.4</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4"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1.5</w:t>
            </w:r>
          </w:p>
        </w:tc>
      </w:tr>
      <w:tr w:rsidR="00445656" w:rsidRPr="002807AE" w:rsidTr="002B3928">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tcBorders>
              <w:top w:val="nil"/>
              <w:left w:val="nil"/>
              <w:bottom w:val="nil"/>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3</w:t>
            </w:r>
          </w:p>
        </w:tc>
        <w:tc>
          <w:tcPr>
            <w:tcW w:w="982"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1.2</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4"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1.3</w:t>
            </w:r>
          </w:p>
        </w:tc>
      </w:tr>
      <w:tr w:rsidR="00445656" w:rsidRPr="002807AE" w:rsidTr="002B3928">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tcBorders>
              <w:top w:val="nil"/>
              <w:left w:val="nil"/>
              <w:bottom w:val="single" w:sz="4" w:space="0" w:color="auto"/>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4</w:t>
            </w:r>
          </w:p>
        </w:tc>
        <w:tc>
          <w:tcPr>
            <w:tcW w:w="982" w:type="dxa"/>
            <w:tcBorders>
              <w:top w:val="nil"/>
              <w:left w:val="nil"/>
              <w:bottom w:val="single" w:sz="4" w:space="0" w:color="auto"/>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1.9</w:t>
            </w:r>
          </w:p>
        </w:tc>
        <w:tc>
          <w:tcPr>
            <w:tcW w:w="982"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-0.7</w:t>
            </w:r>
          </w:p>
        </w:tc>
        <w:tc>
          <w:tcPr>
            <w:tcW w:w="982"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82"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4"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1027" w:type="dxa"/>
            <w:tcBorders>
              <w:top w:val="nil"/>
              <w:left w:val="single" w:sz="4" w:space="0" w:color="auto"/>
              <w:bottom w:val="single" w:sz="4" w:space="0" w:color="auto"/>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1.0</w:t>
            </w:r>
          </w:p>
        </w:tc>
      </w:tr>
      <w:tr w:rsidR="00445656" w:rsidRPr="002807AE" w:rsidTr="002B3928">
        <w:trPr>
          <w:trHeight w:val="261"/>
        </w:trPr>
        <w:tc>
          <w:tcPr>
            <w:tcW w:w="937" w:type="dxa"/>
            <w:vMerge w:val="restart"/>
            <w:tcBorders>
              <w:top w:val="nil"/>
              <w:left w:val="single" w:sz="8" w:space="0" w:color="auto"/>
              <w:bottom w:val="single" w:sz="4" w:space="0" w:color="000000"/>
              <w:right w:val="single" w:sz="4" w:space="0" w:color="auto"/>
            </w:tcBorders>
            <w:shd w:val="clear" w:color="auto" w:fill="auto"/>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p>
        </w:tc>
        <w:tc>
          <w:tcPr>
            <w:tcW w:w="982" w:type="dxa"/>
            <w:tcBorders>
              <w:top w:val="nil"/>
              <w:left w:val="nil"/>
              <w:bottom w:val="nil"/>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1</w:t>
            </w:r>
          </w:p>
        </w:tc>
        <w:tc>
          <w:tcPr>
            <w:tcW w:w="982"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84"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0.6</w:t>
            </w:r>
          </w:p>
        </w:tc>
      </w:tr>
      <w:tr w:rsidR="00445656" w:rsidRPr="002807AE" w:rsidTr="002B3928">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tcBorders>
              <w:top w:val="nil"/>
              <w:left w:val="nil"/>
              <w:bottom w:val="nil"/>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2</w:t>
            </w:r>
          </w:p>
        </w:tc>
        <w:tc>
          <w:tcPr>
            <w:tcW w:w="982"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1.1</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0.7</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-0.5</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-0.6</w:t>
            </w:r>
          </w:p>
        </w:tc>
        <w:tc>
          <w:tcPr>
            <w:tcW w:w="984"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0.5</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1.2</w:t>
            </w:r>
          </w:p>
        </w:tc>
      </w:tr>
      <w:tr w:rsidR="00445656" w:rsidRPr="002807AE" w:rsidTr="002B3928">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tcBorders>
              <w:top w:val="nil"/>
              <w:left w:val="nil"/>
              <w:bottom w:val="nil"/>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3</w:t>
            </w:r>
          </w:p>
        </w:tc>
        <w:tc>
          <w:tcPr>
            <w:tcW w:w="982"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-2.7</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0.6</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0.5</w:t>
            </w:r>
          </w:p>
        </w:tc>
        <w:tc>
          <w:tcPr>
            <w:tcW w:w="982"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84"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-1.4</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-2.6</w:t>
            </w:r>
          </w:p>
        </w:tc>
      </w:tr>
      <w:tr w:rsidR="00445656" w:rsidRPr="002807AE" w:rsidTr="002B3928">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tcBorders>
              <w:top w:val="nil"/>
              <w:left w:val="nil"/>
              <w:bottom w:val="single" w:sz="4" w:space="0" w:color="auto"/>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4</w:t>
            </w:r>
          </w:p>
        </w:tc>
        <w:tc>
          <w:tcPr>
            <w:tcW w:w="982" w:type="dxa"/>
            <w:tcBorders>
              <w:top w:val="nil"/>
              <w:left w:val="nil"/>
              <w:bottom w:val="single" w:sz="4" w:space="0" w:color="auto"/>
              <w:right w:val="nil"/>
            </w:tcBorders>
            <w:shd w:val="clear" w:color="auto" w:fill="auto"/>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82" w:type="dxa"/>
            <w:tcBorders>
              <w:top w:val="nil"/>
              <w:left w:val="nil"/>
              <w:bottom w:val="single" w:sz="4" w:space="0" w:color="auto"/>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3.8</w:t>
            </w:r>
          </w:p>
        </w:tc>
        <w:tc>
          <w:tcPr>
            <w:tcW w:w="982"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82"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0.5</w:t>
            </w:r>
          </w:p>
        </w:tc>
        <w:tc>
          <w:tcPr>
            <w:tcW w:w="984"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1.0</w:t>
            </w:r>
          </w:p>
        </w:tc>
        <w:tc>
          <w:tcPr>
            <w:tcW w:w="1027" w:type="dxa"/>
            <w:tcBorders>
              <w:top w:val="nil"/>
              <w:left w:val="single" w:sz="4" w:space="0" w:color="auto"/>
              <w:bottom w:val="single" w:sz="4" w:space="0" w:color="auto"/>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4.9</w:t>
            </w:r>
          </w:p>
        </w:tc>
      </w:tr>
      <w:tr w:rsidR="00445656" w:rsidRPr="002807AE" w:rsidTr="002B3928">
        <w:trPr>
          <w:trHeight w:val="261"/>
        </w:trPr>
        <w:tc>
          <w:tcPr>
            <w:tcW w:w="937" w:type="dxa"/>
            <w:vMerge w:val="restart"/>
            <w:tcBorders>
              <w:top w:val="nil"/>
              <w:left w:val="single" w:sz="8" w:space="0" w:color="auto"/>
              <w:bottom w:val="single" w:sz="8" w:space="0" w:color="000000"/>
              <w:right w:val="single" w:sz="4" w:space="0" w:color="auto"/>
            </w:tcBorders>
            <w:shd w:val="clear" w:color="auto" w:fill="auto"/>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2017</w:t>
            </w:r>
          </w:p>
        </w:tc>
        <w:tc>
          <w:tcPr>
            <w:tcW w:w="982" w:type="dxa"/>
            <w:tcBorders>
              <w:top w:val="nil"/>
              <w:left w:val="nil"/>
              <w:bottom w:val="nil"/>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1</w:t>
            </w:r>
          </w:p>
        </w:tc>
        <w:tc>
          <w:tcPr>
            <w:tcW w:w="982" w:type="dxa"/>
            <w:tcBorders>
              <w:top w:val="nil"/>
              <w:left w:val="nil"/>
              <w:bottom w:val="nil"/>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p>
        </w:tc>
        <w:tc>
          <w:tcPr>
            <w:tcW w:w="982" w:type="dxa"/>
            <w:tcBorders>
              <w:top w:val="nil"/>
              <w:left w:val="nil"/>
              <w:bottom w:val="nil"/>
              <w:right w:val="nil"/>
            </w:tcBorders>
            <w:shd w:val="clear" w:color="auto" w:fill="auto"/>
            <w:noWrap/>
            <w:vAlign w:val="center"/>
            <w:hideMark/>
          </w:tcPr>
          <w:p w:rsidR="00445656" w:rsidRPr="002807AE" w:rsidRDefault="00445656" w:rsidP="00445656">
            <w:pPr>
              <w:jc w:val="center"/>
              <w:rPr>
                <w:rFonts w:ascii="Palatino Linotype" w:hAnsi="Palatino Linotype"/>
                <w:sz w:val="18"/>
                <w:szCs w:val="18"/>
                <w:lang w:val="en-US"/>
              </w:rPr>
            </w:pPr>
          </w:p>
        </w:tc>
        <w:tc>
          <w:tcPr>
            <w:tcW w:w="982" w:type="dxa"/>
            <w:tcBorders>
              <w:top w:val="nil"/>
              <w:left w:val="nil"/>
              <w:bottom w:val="nil"/>
              <w:right w:val="nil"/>
            </w:tcBorders>
            <w:shd w:val="clear" w:color="000000" w:fill="FFFF00"/>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1.4</w:t>
            </w:r>
          </w:p>
        </w:tc>
        <w:tc>
          <w:tcPr>
            <w:tcW w:w="982" w:type="dxa"/>
            <w:tcBorders>
              <w:top w:val="nil"/>
              <w:left w:val="nil"/>
              <w:bottom w:val="nil"/>
              <w:right w:val="nil"/>
            </w:tcBorders>
            <w:shd w:val="clear" w:color="000000" w:fill="E7E6E6"/>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4" w:type="dxa"/>
            <w:tcBorders>
              <w:top w:val="nil"/>
              <w:left w:val="nil"/>
              <w:bottom w:val="nil"/>
              <w:right w:val="nil"/>
            </w:tcBorders>
            <w:shd w:val="clear" w:color="000000" w:fill="E7E6E6"/>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1027" w:type="dxa"/>
            <w:tcBorders>
              <w:top w:val="nil"/>
              <w:left w:val="single" w:sz="4" w:space="0" w:color="auto"/>
              <w:bottom w:val="nil"/>
              <w:right w:val="single" w:sz="8" w:space="0" w:color="auto"/>
            </w:tcBorders>
            <w:shd w:val="clear" w:color="000000" w:fill="92D050"/>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1.6</w:t>
            </w:r>
          </w:p>
        </w:tc>
      </w:tr>
      <w:tr w:rsidR="00445656" w:rsidRPr="002807AE" w:rsidTr="002B3928">
        <w:trPr>
          <w:trHeight w:val="261"/>
        </w:trPr>
        <w:tc>
          <w:tcPr>
            <w:tcW w:w="937" w:type="dxa"/>
            <w:vMerge/>
            <w:tcBorders>
              <w:top w:val="nil"/>
              <w:left w:val="single" w:sz="8" w:space="0" w:color="auto"/>
              <w:bottom w:val="single" w:sz="8"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tcBorders>
              <w:top w:val="nil"/>
              <w:left w:val="nil"/>
              <w:bottom w:val="nil"/>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2</w:t>
            </w:r>
          </w:p>
        </w:tc>
        <w:tc>
          <w:tcPr>
            <w:tcW w:w="982" w:type="dxa"/>
            <w:tcBorders>
              <w:top w:val="nil"/>
              <w:left w:val="nil"/>
              <w:bottom w:val="nil"/>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p>
        </w:tc>
        <w:tc>
          <w:tcPr>
            <w:tcW w:w="982" w:type="dxa"/>
            <w:tcBorders>
              <w:top w:val="nil"/>
              <w:left w:val="nil"/>
              <w:bottom w:val="nil"/>
              <w:right w:val="nil"/>
            </w:tcBorders>
            <w:shd w:val="clear" w:color="auto" w:fill="auto"/>
            <w:noWrap/>
            <w:vAlign w:val="center"/>
            <w:hideMark/>
          </w:tcPr>
          <w:p w:rsidR="00445656" w:rsidRPr="002807AE" w:rsidRDefault="00445656" w:rsidP="00445656">
            <w:pPr>
              <w:jc w:val="center"/>
              <w:rPr>
                <w:rFonts w:ascii="Palatino Linotype" w:hAnsi="Palatino Linotype"/>
                <w:sz w:val="18"/>
                <w:szCs w:val="18"/>
                <w:lang w:val="en-US"/>
              </w:rPr>
            </w:pPr>
          </w:p>
        </w:tc>
        <w:tc>
          <w:tcPr>
            <w:tcW w:w="982" w:type="dxa"/>
            <w:tcBorders>
              <w:top w:val="nil"/>
              <w:left w:val="nil"/>
              <w:bottom w:val="nil"/>
              <w:right w:val="nil"/>
            </w:tcBorders>
            <w:shd w:val="clear" w:color="auto" w:fill="auto"/>
            <w:noWrap/>
            <w:vAlign w:val="center"/>
            <w:hideMark/>
          </w:tcPr>
          <w:p w:rsidR="00445656" w:rsidRPr="002807AE" w:rsidRDefault="00445656" w:rsidP="00445656">
            <w:pPr>
              <w:jc w:val="center"/>
              <w:rPr>
                <w:rFonts w:ascii="Palatino Linotype" w:hAnsi="Palatino Linotype"/>
                <w:sz w:val="18"/>
                <w:szCs w:val="18"/>
                <w:lang w:val="en-US"/>
              </w:rPr>
            </w:pPr>
          </w:p>
        </w:tc>
        <w:tc>
          <w:tcPr>
            <w:tcW w:w="982" w:type="dxa"/>
            <w:tcBorders>
              <w:top w:val="nil"/>
              <w:left w:val="nil"/>
              <w:bottom w:val="nil"/>
              <w:right w:val="nil"/>
            </w:tcBorders>
            <w:shd w:val="clear" w:color="000000" w:fill="FFFF00"/>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2.1</w:t>
            </w:r>
          </w:p>
        </w:tc>
        <w:tc>
          <w:tcPr>
            <w:tcW w:w="984" w:type="dxa"/>
            <w:tcBorders>
              <w:top w:val="nil"/>
              <w:left w:val="nil"/>
              <w:bottom w:val="nil"/>
              <w:right w:val="nil"/>
            </w:tcBorders>
            <w:shd w:val="clear" w:color="000000" w:fill="E7E6E6"/>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1027" w:type="dxa"/>
            <w:tcBorders>
              <w:top w:val="nil"/>
              <w:left w:val="single" w:sz="4" w:space="0" w:color="auto"/>
              <w:bottom w:val="nil"/>
              <w:right w:val="single" w:sz="8" w:space="0" w:color="auto"/>
            </w:tcBorders>
            <w:shd w:val="clear" w:color="000000" w:fill="92D050"/>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2.2</w:t>
            </w:r>
          </w:p>
        </w:tc>
      </w:tr>
      <w:tr w:rsidR="00445656" w:rsidRPr="002807AE" w:rsidTr="002B3928">
        <w:trPr>
          <w:trHeight w:val="274"/>
        </w:trPr>
        <w:tc>
          <w:tcPr>
            <w:tcW w:w="937" w:type="dxa"/>
            <w:vMerge/>
            <w:tcBorders>
              <w:top w:val="nil"/>
              <w:left w:val="single" w:sz="8" w:space="0" w:color="auto"/>
              <w:bottom w:val="single" w:sz="8"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82" w:type="dxa"/>
            <w:tcBorders>
              <w:top w:val="nil"/>
              <w:left w:val="nil"/>
              <w:bottom w:val="single" w:sz="8" w:space="0" w:color="auto"/>
              <w:right w:val="single" w:sz="4" w:space="0" w:color="auto"/>
            </w:tcBorders>
            <w:shd w:val="clear" w:color="auto" w:fill="auto"/>
            <w:noWrap/>
            <w:vAlign w:val="bottom"/>
            <w:hideMark/>
          </w:tcPr>
          <w:p w:rsidR="00445656" w:rsidRPr="002807AE" w:rsidRDefault="002B3928"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3</w:t>
            </w:r>
          </w:p>
        </w:tc>
        <w:tc>
          <w:tcPr>
            <w:tcW w:w="982" w:type="dxa"/>
            <w:tcBorders>
              <w:top w:val="nil"/>
              <w:left w:val="nil"/>
              <w:bottom w:val="single" w:sz="8" w:space="0" w:color="auto"/>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82" w:type="dxa"/>
            <w:tcBorders>
              <w:top w:val="nil"/>
              <w:left w:val="nil"/>
              <w:bottom w:val="single" w:sz="8" w:space="0" w:color="auto"/>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82" w:type="dxa"/>
            <w:tcBorders>
              <w:top w:val="nil"/>
              <w:left w:val="nil"/>
              <w:bottom w:val="single" w:sz="8" w:space="0" w:color="auto"/>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82" w:type="dxa"/>
            <w:tcBorders>
              <w:top w:val="nil"/>
              <w:left w:val="nil"/>
              <w:bottom w:val="single" w:sz="8" w:space="0" w:color="auto"/>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84" w:type="dxa"/>
            <w:tcBorders>
              <w:top w:val="nil"/>
              <w:left w:val="nil"/>
              <w:bottom w:val="single" w:sz="8" w:space="0" w:color="auto"/>
              <w:right w:val="nil"/>
            </w:tcBorders>
            <w:shd w:val="clear" w:color="000000" w:fill="FFFF00"/>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1.2</w:t>
            </w:r>
          </w:p>
        </w:tc>
        <w:tc>
          <w:tcPr>
            <w:tcW w:w="1027" w:type="dxa"/>
            <w:tcBorders>
              <w:top w:val="nil"/>
              <w:left w:val="single" w:sz="4" w:space="0" w:color="auto"/>
              <w:bottom w:val="single" w:sz="8" w:space="0" w:color="auto"/>
              <w:right w:val="single" w:sz="8" w:space="0" w:color="auto"/>
            </w:tcBorders>
            <w:shd w:val="clear" w:color="000000" w:fill="92D050"/>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1.2</w:t>
            </w:r>
          </w:p>
        </w:tc>
      </w:tr>
    </w:tbl>
    <w:p w:rsidR="001C08E0" w:rsidRPr="002807AE" w:rsidRDefault="001C08E0" w:rsidP="00A26107">
      <w:pPr>
        <w:spacing w:line="276" w:lineRule="auto"/>
        <w:jc w:val="both"/>
        <w:rPr>
          <w:rFonts w:ascii="Palatino Linotype" w:hAnsi="Palatino Linotype" w:cs="Arial"/>
          <w:sz w:val="22"/>
          <w:szCs w:val="22"/>
          <w:lang w:val="en-US"/>
        </w:rPr>
      </w:pPr>
    </w:p>
    <w:tbl>
      <w:tblPr>
        <w:tblW w:w="8699" w:type="dxa"/>
        <w:jc w:val="center"/>
        <w:tblCellMar>
          <w:left w:w="70" w:type="dxa"/>
          <w:right w:w="70" w:type="dxa"/>
        </w:tblCellMar>
        <w:tblLook w:val="04A0" w:firstRow="1" w:lastRow="0" w:firstColumn="1" w:lastColumn="0" w:noHBand="0" w:noVBand="1"/>
      </w:tblPr>
      <w:tblGrid>
        <w:gridCol w:w="523"/>
        <w:gridCol w:w="8176"/>
      </w:tblGrid>
      <w:tr w:rsidR="002B3928" w:rsidRPr="002807AE" w:rsidTr="00616A93">
        <w:trPr>
          <w:trHeight w:val="80"/>
          <w:jc w:val="center"/>
        </w:trPr>
        <w:tc>
          <w:tcPr>
            <w:tcW w:w="523" w:type="dxa"/>
            <w:tcBorders>
              <w:top w:val="nil"/>
              <w:left w:val="nil"/>
              <w:bottom w:val="nil"/>
              <w:right w:val="nil"/>
            </w:tcBorders>
            <w:shd w:val="clear" w:color="000000" w:fill="FFFF00"/>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B3928" w:rsidRPr="002807AE" w:rsidRDefault="002B3928" w:rsidP="00AF6D17">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F</w:t>
            </w:r>
            <w:r w:rsidR="00AF6D17">
              <w:rPr>
                <w:rFonts w:ascii="Palatino Linotype" w:hAnsi="Palatino Linotype" w:cs="Arial"/>
                <w:color w:val="000000"/>
                <w:sz w:val="18"/>
                <w:szCs w:val="18"/>
                <w:lang w:val="en-US"/>
              </w:rPr>
              <w:t>irst Estimate</w:t>
            </w:r>
            <w:r w:rsidR="001526F3">
              <w:rPr>
                <w:rFonts w:ascii="Palatino Linotype" w:hAnsi="Palatino Linotype" w:cs="Arial"/>
                <w:color w:val="000000"/>
                <w:sz w:val="18"/>
                <w:szCs w:val="18"/>
                <w:lang w:val="en-US"/>
              </w:rPr>
              <w:t>s</w:t>
            </w:r>
            <w:r w:rsidR="00AF6D17">
              <w:rPr>
                <w:rFonts w:ascii="Palatino Linotype" w:hAnsi="Palatino Linotype" w:cs="Arial"/>
                <w:color w:val="000000"/>
                <w:sz w:val="18"/>
                <w:szCs w:val="18"/>
                <w:lang w:val="en-US"/>
              </w:rPr>
              <w:t xml:space="preserve"> (earliest number </w:t>
            </w:r>
            <w:r w:rsidRPr="002807AE">
              <w:rPr>
                <w:rFonts w:ascii="Palatino Linotype" w:hAnsi="Palatino Linotype" w:cs="Arial"/>
                <w:color w:val="000000"/>
                <w:sz w:val="18"/>
                <w:szCs w:val="18"/>
                <w:lang w:val="en-US"/>
              </w:rPr>
              <w:t xml:space="preserve">press </w:t>
            </w:r>
            <w:r w:rsidRPr="009A059F">
              <w:rPr>
                <w:rFonts w:ascii="Palatino Linotype" w:hAnsi="Palatino Linotype" w:cs="Arial"/>
                <w:color w:val="000000"/>
                <w:sz w:val="18"/>
                <w:szCs w:val="18"/>
                <w:lang w:val="en-US"/>
              </w:rPr>
              <w:t>release</w:t>
            </w:r>
            <w:r w:rsidR="001526F3" w:rsidRPr="009A059F">
              <w:rPr>
                <w:rFonts w:ascii="Palatino Linotype" w:hAnsi="Palatino Linotype" w:cs="Arial"/>
                <w:color w:val="000000"/>
                <w:sz w:val="18"/>
                <w:szCs w:val="18"/>
                <w:lang w:val="en-US"/>
              </w:rPr>
              <w:t xml:space="preserve"> in question</w:t>
            </w:r>
            <w:r w:rsidRPr="009A059F">
              <w:rPr>
                <w:rFonts w:ascii="Palatino Linotype" w:hAnsi="Palatino Linotype" w:cs="Arial"/>
                <w:color w:val="000000"/>
                <w:sz w:val="18"/>
                <w:szCs w:val="18"/>
                <w:lang w:val="en-US"/>
              </w:rPr>
              <w:t>)</w:t>
            </w:r>
          </w:p>
        </w:tc>
      </w:tr>
      <w:tr w:rsidR="002B3928" w:rsidRPr="002807AE" w:rsidTr="00616A93">
        <w:trPr>
          <w:trHeight w:val="80"/>
          <w:jc w:val="center"/>
        </w:trPr>
        <w:tc>
          <w:tcPr>
            <w:tcW w:w="523" w:type="dxa"/>
            <w:tcBorders>
              <w:top w:val="nil"/>
              <w:left w:val="nil"/>
              <w:bottom w:val="nil"/>
              <w:right w:val="nil"/>
            </w:tcBorders>
            <w:shd w:val="clear" w:color="000000" w:fill="E7E6E6"/>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Differences between sequential press releases (Magnitude and direction of the revision)</w:t>
            </w:r>
          </w:p>
        </w:tc>
      </w:tr>
      <w:tr w:rsidR="002B3928" w:rsidRPr="002807AE" w:rsidTr="00616A93">
        <w:trPr>
          <w:trHeight w:val="80"/>
          <w:jc w:val="center"/>
        </w:trPr>
        <w:tc>
          <w:tcPr>
            <w:tcW w:w="523" w:type="dxa"/>
            <w:tcBorders>
              <w:top w:val="nil"/>
              <w:left w:val="nil"/>
              <w:bottom w:val="nil"/>
              <w:right w:val="nil"/>
            </w:tcBorders>
            <w:shd w:val="clear" w:color="000000" w:fill="92D050"/>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Last estimate</w:t>
            </w:r>
            <w:r w:rsidR="001526F3">
              <w:rPr>
                <w:rFonts w:ascii="Palatino Linotype" w:hAnsi="Palatino Linotype" w:cs="Arial"/>
                <w:color w:val="000000"/>
                <w:sz w:val="18"/>
                <w:szCs w:val="18"/>
                <w:lang w:val="en-US"/>
              </w:rPr>
              <w:t>s</w:t>
            </w:r>
          </w:p>
        </w:tc>
      </w:tr>
    </w:tbl>
    <w:p w:rsidR="002B3928" w:rsidRPr="002807AE" w:rsidRDefault="002B3928" w:rsidP="002B3928">
      <w:pPr>
        <w:spacing w:line="276" w:lineRule="auto"/>
        <w:jc w:val="both"/>
        <w:rPr>
          <w:rFonts w:ascii="Palatino Linotype" w:hAnsi="Palatino Linotype" w:cs="Arial"/>
          <w:sz w:val="18"/>
          <w:szCs w:val="18"/>
          <w:lang w:val="en-US"/>
        </w:rPr>
      </w:pPr>
      <w:r w:rsidRPr="002807AE">
        <w:rPr>
          <w:rFonts w:ascii="Palatino Linotype" w:hAnsi="Palatino Linotype" w:cs="Arial"/>
          <w:sz w:val="18"/>
          <w:szCs w:val="18"/>
          <w:lang w:val="en-US"/>
        </w:rPr>
        <w:lastRenderedPageBreak/>
        <w:t xml:space="preserve">Note: Summing of first estimation and revisions may not equal to last estimation due to rounding. </w:t>
      </w:r>
    </w:p>
    <w:p w:rsidR="002B3928" w:rsidRPr="002807AE" w:rsidRDefault="002B3928" w:rsidP="00052946">
      <w:pPr>
        <w:spacing w:line="276" w:lineRule="auto"/>
        <w:jc w:val="both"/>
        <w:rPr>
          <w:rFonts w:ascii="Palatino Linotype" w:hAnsi="Palatino Linotype" w:cs="Arial"/>
          <w:sz w:val="22"/>
          <w:szCs w:val="22"/>
          <w:lang w:val="en-US"/>
        </w:rPr>
      </w:pPr>
    </w:p>
    <w:p w:rsidR="00052946" w:rsidRPr="002807AE" w:rsidRDefault="00DA52D0" w:rsidP="00052946">
      <w:pPr>
        <w:spacing w:line="276" w:lineRule="auto"/>
        <w:jc w:val="both"/>
        <w:rPr>
          <w:rFonts w:ascii="Palatino Linotype" w:hAnsi="Palatino Linotype" w:cs="Arial"/>
          <w:sz w:val="22"/>
          <w:szCs w:val="22"/>
          <w:lang w:val="en-US"/>
        </w:rPr>
      </w:pPr>
      <w:r w:rsidRPr="002807AE">
        <w:rPr>
          <w:rFonts w:ascii="Palatino Linotype" w:hAnsi="Palatino Linotype" w:cs="Arial"/>
          <w:sz w:val="22"/>
          <w:szCs w:val="22"/>
          <w:lang w:val="en-US"/>
        </w:rPr>
        <w:t>Table 1A and 1B show growth rates estimated with new series in last five press releases by TurkStat.</w:t>
      </w:r>
      <w:r w:rsidR="00052946" w:rsidRPr="002807AE">
        <w:rPr>
          <w:rFonts w:ascii="Palatino Linotype" w:hAnsi="Palatino Linotype" w:cs="Arial"/>
          <w:sz w:val="22"/>
          <w:szCs w:val="22"/>
          <w:lang w:val="en-US"/>
        </w:rPr>
        <w:t xml:space="preserve"> </w:t>
      </w:r>
      <w:r w:rsidRPr="002807AE">
        <w:rPr>
          <w:rFonts w:ascii="Palatino Linotype" w:hAnsi="Palatino Linotype" w:cs="Arial"/>
          <w:sz w:val="22"/>
          <w:szCs w:val="22"/>
          <w:lang w:val="en-US"/>
        </w:rPr>
        <w:t>While Table 1A shows growth rates compared to same quarter of previous year and revisions, Table 1B shows growth rates compared to previous quarter and revisions.</w:t>
      </w:r>
    </w:p>
    <w:p w:rsidR="008E0BAF" w:rsidRPr="002807AE" w:rsidRDefault="008E0BAF" w:rsidP="00A26107">
      <w:pPr>
        <w:spacing w:line="276" w:lineRule="auto"/>
        <w:jc w:val="both"/>
        <w:rPr>
          <w:rFonts w:ascii="Palatino Linotype" w:hAnsi="Palatino Linotype" w:cs="Arial"/>
          <w:sz w:val="22"/>
          <w:szCs w:val="22"/>
          <w:lang w:val="en-US"/>
        </w:rPr>
      </w:pPr>
    </w:p>
    <w:p w:rsidR="008E0BAF" w:rsidRPr="009A059F" w:rsidRDefault="00C54B31" w:rsidP="00A26107">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 xml:space="preserve">The columns of Table 1A and Table 1B </w:t>
      </w:r>
      <w:r w:rsidR="006954C8" w:rsidRPr="009A059F">
        <w:rPr>
          <w:rFonts w:ascii="Palatino Linotype" w:hAnsi="Palatino Linotype" w:cs="Arial"/>
          <w:sz w:val="22"/>
          <w:szCs w:val="22"/>
          <w:lang w:val="en-US"/>
        </w:rPr>
        <w:t>indicate TurkStat’s press release periods and rows indicate quarter</w:t>
      </w:r>
      <w:r w:rsidR="000601DA" w:rsidRPr="009A059F">
        <w:rPr>
          <w:rFonts w:ascii="Palatino Linotype" w:hAnsi="Palatino Linotype" w:cs="Arial"/>
          <w:sz w:val="22"/>
          <w:szCs w:val="22"/>
          <w:lang w:val="en-US"/>
        </w:rPr>
        <w:t>s</w:t>
      </w:r>
      <w:r w:rsidR="006954C8" w:rsidRPr="009A059F">
        <w:rPr>
          <w:rFonts w:ascii="Palatino Linotype" w:hAnsi="Palatino Linotype" w:cs="Arial"/>
          <w:sz w:val="22"/>
          <w:szCs w:val="22"/>
          <w:lang w:val="en-US"/>
        </w:rPr>
        <w:t xml:space="preserve"> in which the growth estimate was announced for the first time </w:t>
      </w:r>
      <w:r w:rsidR="000601DA" w:rsidRPr="009A059F">
        <w:rPr>
          <w:rFonts w:ascii="Palatino Linotype" w:hAnsi="Palatino Linotype" w:cs="Arial"/>
          <w:sz w:val="22"/>
          <w:szCs w:val="22"/>
          <w:lang w:val="en-US"/>
        </w:rPr>
        <w:t>then revisions of it</w:t>
      </w:r>
      <w:r w:rsidR="006954C8" w:rsidRPr="009A059F">
        <w:rPr>
          <w:rFonts w:ascii="Palatino Linotype" w:hAnsi="Palatino Linotype" w:cs="Arial"/>
          <w:sz w:val="22"/>
          <w:szCs w:val="22"/>
          <w:lang w:val="en-US"/>
        </w:rPr>
        <w:t>. The yellow cells show first growth figures for quarters</w:t>
      </w:r>
      <w:r w:rsidR="000601DA" w:rsidRPr="009A059F">
        <w:rPr>
          <w:rFonts w:ascii="Palatino Linotype" w:hAnsi="Palatino Linotype" w:cs="Arial"/>
          <w:sz w:val="22"/>
          <w:szCs w:val="22"/>
          <w:lang w:val="en-US"/>
        </w:rPr>
        <w:t xml:space="preserve"> in question</w:t>
      </w:r>
      <w:r w:rsidR="006954C8" w:rsidRPr="009A059F">
        <w:rPr>
          <w:rFonts w:ascii="Palatino Linotype" w:hAnsi="Palatino Linotype" w:cs="Arial"/>
          <w:sz w:val="22"/>
          <w:szCs w:val="22"/>
          <w:lang w:val="en-US"/>
        </w:rPr>
        <w:t>, the grey cells show revisions made between sequential periods and the green cells show the latest growth figures</w:t>
      </w:r>
      <w:r w:rsidR="00215C6C" w:rsidRPr="009A059F">
        <w:rPr>
          <w:rFonts w:ascii="Palatino Linotype" w:hAnsi="Palatino Linotype" w:cs="Arial"/>
          <w:sz w:val="22"/>
          <w:szCs w:val="22"/>
          <w:lang w:val="en-US"/>
        </w:rPr>
        <w:t>.</w:t>
      </w:r>
      <w:r w:rsidR="006954C8" w:rsidRPr="009A059F">
        <w:rPr>
          <w:rFonts w:ascii="Palatino Linotype" w:hAnsi="Palatino Linotype" w:cs="Arial"/>
          <w:sz w:val="22"/>
          <w:szCs w:val="22"/>
          <w:lang w:val="en-US"/>
        </w:rPr>
        <w:t xml:space="preserve"> For example, the annual growth estimate for first quarter of 2016 in the press release period of third quarter of 2016 </w:t>
      </w:r>
      <w:r w:rsidR="002F35F8" w:rsidRPr="009A059F">
        <w:rPr>
          <w:rFonts w:ascii="Palatino Linotype" w:hAnsi="Palatino Linotype" w:cs="Arial"/>
          <w:sz w:val="22"/>
          <w:szCs w:val="22"/>
          <w:lang w:val="en-US"/>
        </w:rPr>
        <w:t>was</w:t>
      </w:r>
      <w:r w:rsidR="006954C8" w:rsidRPr="009A059F">
        <w:rPr>
          <w:rFonts w:ascii="Palatino Linotype" w:hAnsi="Palatino Linotype" w:cs="Arial"/>
          <w:sz w:val="22"/>
          <w:szCs w:val="22"/>
          <w:lang w:val="en-US"/>
        </w:rPr>
        <w:t xml:space="preserve"> </w:t>
      </w:r>
      <w:r w:rsidR="002F35F8" w:rsidRPr="009A059F">
        <w:rPr>
          <w:rFonts w:ascii="Palatino Linotype" w:hAnsi="Palatino Linotype" w:cs="Arial"/>
          <w:sz w:val="22"/>
          <w:szCs w:val="22"/>
          <w:lang w:val="en-US"/>
        </w:rPr>
        <w:t>4.1 percent</w:t>
      </w:r>
      <w:r w:rsidR="00C95FFA" w:rsidRPr="009A059F">
        <w:rPr>
          <w:rFonts w:ascii="Palatino Linotype" w:hAnsi="Palatino Linotype" w:cs="Arial"/>
          <w:sz w:val="22"/>
          <w:szCs w:val="22"/>
          <w:lang w:val="en-US"/>
        </w:rPr>
        <w:t xml:space="preserve">. </w:t>
      </w:r>
      <w:r w:rsidR="002F35F8" w:rsidRPr="009A059F">
        <w:rPr>
          <w:rFonts w:ascii="Palatino Linotype" w:hAnsi="Palatino Linotype" w:cs="Arial"/>
          <w:sz w:val="22"/>
          <w:szCs w:val="22"/>
          <w:lang w:val="en-US"/>
        </w:rPr>
        <w:t>In the next press release, 2016Q4, -0.1 percentage point revision had made</w:t>
      </w:r>
      <w:r w:rsidR="00C95FFA" w:rsidRPr="009A059F">
        <w:rPr>
          <w:rFonts w:ascii="Palatino Linotype" w:hAnsi="Palatino Linotype" w:cs="Arial"/>
          <w:sz w:val="22"/>
          <w:szCs w:val="22"/>
          <w:lang w:val="en-US"/>
        </w:rPr>
        <w:t xml:space="preserve">. </w:t>
      </w:r>
      <w:r w:rsidR="002F35F8" w:rsidRPr="009A059F">
        <w:rPr>
          <w:rFonts w:ascii="Palatino Linotype" w:hAnsi="Palatino Linotype" w:cs="Arial"/>
          <w:sz w:val="22"/>
          <w:szCs w:val="22"/>
          <w:lang w:val="en-US"/>
        </w:rPr>
        <w:t xml:space="preserve">Any revision was not made in 2017Q1 but in </w:t>
      </w:r>
      <w:r w:rsidR="000601DA" w:rsidRPr="009A059F">
        <w:rPr>
          <w:rFonts w:ascii="Palatino Linotype" w:hAnsi="Palatino Linotype" w:cs="Arial"/>
          <w:sz w:val="22"/>
          <w:szCs w:val="22"/>
          <w:lang w:val="en-US"/>
        </w:rPr>
        <w:t xml:space="preserve">the </w:t>
      </w:r>
      <w:r w:rsidR="002F35F8" w:rsidRPr="009A059F">
        <w:rPr>
          <w:rFonts w:ascii="Palatino Linotype" w:hAnsi="Palatino Linotype" w:cs="Arial"/>
          <w:sz w:val="22"/>
          <w:szCs w:val="22"/>
          <w:lang w:val="en-US"/>
        </w:rPr>
        <w:t xml:space="preserve">following two press releases, 0.3 and 0.1 percentage point revisions have been made and finally in 2017Q3 press release, annual growth rate for 2016Q1 announced 4.4 percent as last estimate. </w:t>
      </w:r>
    </w:p>
    <w:p w:rsidR="00215C6C" w:rsidRPr="009A059F" w:rsidRDefault="00215C6C" w:rsidP="00A26107">
      <w:pPr>
        <w:spacing w:line="276" w:lineRule="auto"/>
        <w:jc w:val="both"/>
        <w:rPr>
          <w:rFonts w:ascii="Palatino Linotype" w:hAnsi="Palatino Linotype" w:cs="Arial"/>
          <w:sz w:val="22"/>
          <w:szCs w:val="22"/>
          <w:lang w:val="en-US"/>
        </w:rPr>
      </w:pPr>
    </w:p>
    <w:p w:rsidR="00B66F62" w:rsidRDefault="002F35F8" w:rsidP="00A26107">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 xml:space="preserve">Table 1A and Table 1B </w:t>
      </w:r>
      <w:r w:rsidR="000601DA" w:rsidRPr="009A059F">
        <w:rPr>
          <w:rFonts w:ascii="Palatino Linotype" w:hAnsi="Palatino Linotype" w:cs="Arial"/>
          <w:sz w:val="22"/>
          <w:szCs w:val="22"/>
          <w:lang w:val="en-US"/>
        </w:rPr>
        <w:t xml:space="preserve">is expressed </w:t>
      </w:r>
      <w:r w:rsidRPr="009A059F">
        <w:rPr>
          <w:rFonts w:ascii="Palatino Linotype" w:hAnsi="Palatino Linotype" w:cs="Arial"/>
          <w:sz w:val="22"/>
          <w:szCs w:val="22"/>
          <w:lang w:val="en-US"/>
        </w:rPr>
        <w:t>graphically in A</w:t>
      </w:r>
      <w:r w:rsidR="000601DA" w:rsidRPr="009A059F">
        <w:rPr>
          <w:rFonts w:ascii="Palatino Linotype" w:hAnsi="Palatino Linotype" w:cs="Arial"/>
          <w:sz w:val="22"/>
          <w:szCs w:val="22"/>
          <w:lang w:val="en-US"/>
        </w:rPr>
        <w:t>nnex</w:t>
      </w:r>
      <w:r w:rsidRPr="009A059F">
        <w:rPr>
          <w:rFonts w:ascii="Palatino Linotype" w:hAnsi="Palatino Linotype" w:cs="Arial"/>
          <w:sz w:val="22"/>
          <w:szCs w:val="22"/>
          <w:lang w:val="en-US"/>
        </w:rPr>
        <w:t xml:space="preserve"> Graph</w:t>
      </w:r>
      <w:r w:rsidR="000601DA" w:rsidRPr="009A059F">
        <w:rPr>
          <w:rFonts w:ascii="Palatino Linotype" w:hAnsi="Palatino Linotype" w:cs="Arial"/>
          <w:sz w:val="22"/>
          <w:szCs w:val="22"/>
          <w:lang w:val="en-US"/>
        </w:rPr>
        <w:t>s</w:t>
      </w:r>
      <w:r w:rsidRPr="009A059F">
        <w:rPr>
          <w:rFonts w:ascii="Palatino Linotype" w:hAnsi="Palatino Linotype" w:cs="Arial"/>
          <w:sz w:val="22"/>
          <w:szCs w:val="22"/>
          <w:lang w:val="en-US"/>
        </w:rPr>
        <w:t xml:space="preserve"> 1A and 1B.</w:t>
      </w:r>
      <w:r w:rsidR="00450CE3" w:rsidRPr="009A059F">
        <w:rPr>
          <w:rFonts w:ascii="Palatino Linotype" w:hAnsi="Palatino Linotype" w:cs="Arial"/>
          <w:sz w:val="22"/>
          <w:szCs w:val="22"/>
          <w:lang w:val="en-US"/>
        </w:rPr>
        <w:t xml:space="preserve"> Upward or downward minor revisions in growth estimates are</w:t>
      </w:r>
      <w:r w:rsidR="000601DA" w:rsidRPr="009A059F">
        <w:rPr>
          <w:rFonts w:ascii="Palatino Linotype" w:hAnsi="Palatino Linotype" w:cs="Arial"/>
          <w:sz w:val="22"/>
          <w:szCs w:val="22"/>
          <w:lang w:val="en-US"/>
        </w:rPr>
        <w:t xml:space="preserve"> common</w:t>
      </w:r>
      <w:r w:rsidR="0076340E" w:rsidRPr="009A059F">
        <w:rPr>
          <w:rFonts w:ascii="Palatino Linotype" w:hAnsi="Palatino Linotype" w:cs="Arial"/>
          <w:sz w:val="22"/>
          <w:szCs w:val="22"/>
          <w:lang w:val="en-US"/>
        </w:rPr>
        <w:t xml:space="preserve"> while</w:t>
      </w:r>
      <w:r w:rsidR="00450CE3" w:rsidRPr="009A059F">
        <w:rPr>
          <w:rFonts w:ascii="Palatino Linotype" w:hAnsi="Palatino Linotype" w:cs="Arial"/>
          <w:sz w:val="22"/>
          <w:szCs w:val="22"/>
          <w:lang w:val="en-US"/>
        </w:rPr>
        <w:t xml:space="preserve"> </w:t>
      </w:r>
      <w:r w:rsidR="0076340E" w:rsidRPr="009A059F">
        <w:rPr>
          <w:rFonts w:ascii="Palatino Linotype" w:hAnsi="Palatino Linotype" w:cs="Arial"/>
          <w:sz w:val="22"/>
          <w:szCs w:val="22"/>
          <w:lang w:val="en-US"/>
        </w:rPr>
        <w:t>the convergence of revised figures into a certain value is preferable</w:t>
      </w:r>
      <w:r w:rsidR="00450CE3" w:rsidRPr="009A059F">
        <w:rPr>
          <w:rFonts w:ascii="Palatino Linotype" w:hAnsi="Palatino Linotype" w:cs="Arial"/>
          <w:sz w:val="22"/>
          <w:szCs w:val="22"/>
          <w:lang w:val="en-US"/>
        </w:rPr>
        <w:t xml:space="preserve">. However, both non-converge and inconsistent revisions in terms of magnitude and direction has to be interrogated. </w:t>
      </w:r>
      <w:r w:rsidR="00A66440" w:rsidRPr="009A059F">
        <w:rPr>
          <w:rFonts w:ascii="Palatino Linotype" w:hAnsi="Palatino Linotype" w:cs="Arial"/>
          <w:sz w:val="22"/>
          <w:szCs w:val="22"/>
          <w:lang w:val="en-US"/>
        </w:rPr>
        <w:t xml:space="preserve">For example, </w:t>
      </w:r>
      <w:r w:rsidR="002F71C7" w:rsidRPr="009A059F">
        <w:rPr>
          <w:rFonts w:ascii="Palatino Linotype" w:hAnsi="Palatino Linotype" w:cs="Arial"/>
          <w:sz w:val="22"/>
          <w:szCs w:val="22"/>
          <w:lang w:val="en-US"/>
        </w:rPr>
        <w:t>revisions for the annually growth of 2016Q3 which is estimated using new method</w:t>
      </w:r>
      <w:r w:rsidR="0076340E" w:rsidRPr="009A059F">
        <w:rPr>
          <w:rFonts w:ascii="Palatino Linotype" w:hAnsi="Palatino Linotype" w:cs="Arial"/>
          <w:sz w:val="22"/>
          <w:szCs w:val="22"/>
          <w:lang w:val="en-US"/>
        </w:rPr>
        <w:t>ology</w:t>
      </w:r>
      <w:r w:rsidR="002F71C7" w:rsidRPr="009A059F">
        <w:rPr>
          <w:rFonts w:ascii="Palatino Linotype" w:hAnsi="Palatino Linotype" w:cs="Arial"/>
          <w:sz w:val="22"/>
          <w:szCs w:val="22"/>
          <w:lang w:val="en-US"/>
        </w:rPr>
        <w:t xml:space="preserve"> are not only </w:t>
      </w:r>
      <w:r w:rsidR="0076340E" w:rsidRPr="009A059F">
        <w:rPr>
          <w:rFonts w:ascii="Palatino Linotype" w:hAnsi="Palatino Linotype" w:cs="Arial"/>
          <w:sz w:val="22"/>
          <w:szCs w:val="22"/>
          <w:lang w:val="en-US"/>
        </w:rPr>
        <w:t>large</w:t>
      </w:r>
      <w:r w:rsidR="002F71C7" w:rsidRPr="009A059F">
        <w:rPr>
          <w:rFonts w:ascii="Palatino Linotype" w:hAnsi="Palatino Linotype" w:cs="Arial"/>
          <w:sz w:val="22"/>
          <w:szCs w:val="22"/>
          <w:lang w:val="en-US"/>
        </w:rPr>
        <w:t xml:space="preserve"> but also </w:t>
      </w:r>
      <w:r w:rsidR="0076340E" w:rsidRPr="009A059F">
        <w:rPr>
          <w:rFonts w:ascii="Palatino Linotype" w:hAnsi="Palatino Linotype" w:cs="Arial"/>
          <w:sz w:val="22"/>
          <w:szCs w:val="22"/>
          <w:lang w:val="en-US"/>
        </w:rPr>
        <w:t xml:space="preserve">in </w:t>
      </w:r>
      <w:r w:rsidR="002F71C7" w:rsidRPr="009A059F">
        <w:rPr>
          <w:rFonts w:ascii="Palatino Linotype" w:hAnsi="Palatino Linotype" w:cs="Arial"/>
          <w:sz w:val="22"/>
          <w:szCs w:val="22"/>
          <w:lang w:val="en-US"/>
        </w:rPr>
        <w:t>opposite direction</w:t>
      </w:r>
      <w:r w:rsidR="0076340E" w:rsidRPr="009A059F">
        <w:rPr>
          <w:rFonts w:ascii="Palatino Linotype" w:hAnsi="Palatino Linotype" w:cs="Arial"/>
          <w:sz w:val="22"/>
          <w:szCs w:val="22"/>
          <w:lang w:val="en-US"/>
        </w:rPr>
        <w:t>s</w:t>
      </w:r>
      <w:r w:rsidR="002F71C7" w:rsidRPr="009A059F">
        <w:rPr>
          <w:rFonts w:ascii="Palatino Linotype" w:hAnsi="Palatino Linotype" w:cs="Arial"/>
          <w:sz w:val="22"/>
          <w:szCs w:val="22"/>
          <w:lang w:val="en-US"/>
        </w:rPr>
        <w:t xml:space="preserve">. </w:t>
      </w:r>
      <w:r w:rsidR="00C04FCC" w:rsidRPr="009A059F">
        <w:rPr>
          <w:rFonts w:ascii="Palatino Linotype" w:hAnsi="Palatino Linotype" w:cs="Arial"/>
          <w:sz w:val="22"/>
          <w:szCs w:val="22"/>
          <w:lang w:val="en-US"/>
        </w:rPr>
        <w:t>(</w:t>
      </w:r>
      <w:r w:rsidR="002F71C7" w:rsidRPr="009A059F">
        <w:rPr>
          <w:rFonts w:ascii="Palatino Linotype" w:hAnsi="Palatino Linotype" w:cs="Arial"/>
          <w:sz w:val="22"/>
          <w:szCs w:val="22"/>
          <w:lang w:val="en-US"/>
        </w:rPr>
        <w:t>Figure</w:t>
      </w:r>
      <w:r w:rsidR="00C04FCC" w:rsidRPr="009A059F">
        <w:rPr>
          <w:rFonts w:ascii="Palatino Linotype" w:hAnsi="Palatino Linotype" w:cs="Arial"/>
          <w:sz w:val="22"/>
          <w:szCs w:val="22"/>
          <w:lang w:val="en-US"/>
        </w:rPr>
        <w:t xml:space="preserve"> 1)</w:t>
      </w:r>
      <w:r w:rsidR="003E6762" w:rsidRPr="009A059F">
        <w:rPr>
          <w:rFonts w:ascii="Palatino Linotype" w:hAnsi="Palatino Linotype" w:cs="Arial"/>
          <w:sz w:val="22"/>
          <w:szCs w:val="22"/>
          <w:lang w:val="en-US"/>
        </w:rPr>
        <w:t>.</w:t>
      </w:r>
    </w:p>
    <w:p w:rsidR="00B9751C" w:rsidRPr="002807AE" w:rsidRDefault="00B9751C" w:rsidP="00A26107">
      <w:pPr>
        <w:spacing w:line="276" w:lineRule="auto"/>
        <w:jc w:val="both"/>
        <w:rPr>
          <w:rFonts w:ascii="Palatino Linotype" w:hAnsi="Palatino Linotype" w:cs="Arial"/>
          <w:sz w:val="22"/>
          <w:szCs w:val="22"/>
          <w:lang w:val="en-US"/>
        </w:rPr>
      </w:pPr>
    </w:p>
    <w:p w:rsidR="005A0565" w:rsidRPr="002807AE" w:rsidRDefault="005A0565" w:rsidP="00C04FCC">
      <w:pPr>
        <w:spacing w:line="276" w:lineRule="auto"/>
        <w:jc w:val="center"/>
        <w:rPr>
          <w:rFonts w:ascii="Palatino Linotype" w:hAnsi="Palatino Linotype" w:cs="Arial"/>
          <w:b/>
          <w:sz w:val="22"/>
          <w:szCs w:val="22"/>
          <w:lang w:val="en-US"/>
        </w:rPr>
      </w:pPr>
    </w:p>
    <w:p w:rsidR="00A26107" w:rsidRPr="002807AE" w:rsidRDefault="004F1822" w:rsidP="00C04FCC">
      <w:pPr>
        <w:spacing w:line="276" w:lineRule="auto"/>
        <w:jc w:val="center"/>
        <w:rPr>
          <w:rFonts w:ascii="Palatino Linotype" w:hAnsi="Palatino Linotype" w:cs="Arial"/>
          <w:b/>
          <w:color w:val="FF0000"/>
          <w:sz w:val="22"/>
          <w:szCs w:val="22"/>
          <w:lang w:val="en-US"/>
        </w:rPr>
      </w:pPr>
      <w:r>
        <w:rPr>
          <w:rFonts w:ascii="Palatino Linotype" w:hAnsi="Palatino Linotype" w:cs="Arial"/>
          <w:b/>
          <w:sz w:val="22"/>
          <w:szCs w:val="22"/>
          <w:lang w:val="en-US"/>
        </w:rPr>
        <w:t>Figure</w:t>
      </w:r>
      <w:r w:rsidR="00A26107" w:rsidRPr="002807AE">
        <w:rPr>
          <w:rFonts w:ascii="Palatino Linotype" w:hAnsi="Palatino Linotype" w:cs="Arial"/>
          <w:b/>
          <w:sz w:val="22"/>
          <w:szCs w:val="22"/>
          <w:lang w:val="en-US"/>
        </w:rPr>
        <w:t xml:space="preserve"> 1</w:t>
      </w:r>
      <w:r w:rsidR="00C04FCC" w:rsidRPr="002807AE">
        <w:rPr>
          <w:rFonts w:ascii="Palatino Linotype" w:hAnsi="Palatino Linotype" w:cs="Arial"/>
          <w:b/>
          <w:sz w:val="22"/>
          <w:szCs w:val="22"/>
          <w:lang w:val="en-US"/>
        </w:rPr>
        <w:t xml:space="preserve">: </w:t>
      </w:r>
      <w:r>
        <w:rPr>
          <w:rFonts w:ascii="Palatino Linotype" w:hAnsi="Palatino Linotype" w:cs="Arial"/>
          <w:b/>
          <w:sz w:val="22"/>
          <w:szCs w:val="22"/>
          <w:lang w:val="en-US"/>
        </w:rPr>
        <w:t xml:space="preserve">Annually growth rates of </w:t>
      </w:r>
      <w:r w:rsidR="00C04FCC" w:rsidRPr="002807AE">
        <w:rPr>
          <w:rFonts w:ascii="Palatino Linotype" w:hAnsi="Palatino Linotype" w:cs="Arial"/>
          <w:b/>
          <w:sz w:val="22"/>
          <w:szCs w:val="22"/>
          <w:lang w:val="en-US"/>
        </w:rPr>
        <w:t>2016</w:t>
      </w:r>
      <w:r>
        <w:rPr>
          <w:rFonts w:ascii="Palatino Linotype" w:hAnsi="Palatino Linotype" w:cs="Arial"/>
          <w:b/>
          <w:sz w:val="22"/>
          <w:szCs w:val="22"/>
          <w:lang w:val="en-US"/>
        </w:rPr>
        <w:t>Q</w:t>
      </w:r>
      <w:r w:rsidR="00C04FCC" w:rsidRPr="002807AE">
        <w:rPr>
          <w:rFonts w:ascii="Palatino Linotype" w:hAnsi="Palatino Linotype" w:cs="Arial"/>
          <w:b/>
          <w:sz w:val="22"/>
          <w:szCs w:val="22"/>
          <w:lang w:val="en-US"/>
        </w:rPr>
        <w:t xml:space="preserve">3 </w:t>
      </w:r>
      <w:r>
        <w:rPr>
          <w:rFonts w:ascii="Palatino Linotype" w:hAnsi="Palatino Linotype" w:cs="Arial"/>
          <w:b/>
          <w:sz w:val="22"/>
          <w:szCs w:val="22"/>
          <w:lang w:val="en-US"/>
        </w:rPr>
        <w:t>in the press releases</w:t>
      </w:r>
    </w:p>
    <w:p w:rsidR="00A26107" w:rsidRPr="002807AE" w:rsidRDefault="00A26107" w:rsidP="00C04FCC">
      <w:pPr>
        <w:spacing w:line="276" w:lineRule="auto"/>
        <w:jc w:val="center"/>
        <w:rPr>
          <w:rFonts w:ascii="Palatino Linotype" w:hAnsi="Palatino Linotype" w:cs="Arial"/>
          <w:sz w:val="22"/>
          <w:szCs w:val="22"/>
          <w:lang w:val="en-US"/>
        </w:rPr>
      </w:pPr>
      <w:r w:rsidRPr="002807AE">
        <w:rPr>
          <w:rFonts w:ascii="Palatino Linotype" w:hAnsi="Palatino Linotype" w:cs="Arial"/>
          <w:noProof/>
          <w:sz w:val="22"/>
          <w:szCs w:val="22"/>
        </w:rPr>
        <w:drawing>
          <wp:inline distT="0" distB="0" distL="0" distR="0">
            <wp:extent cx="3419475" cy="2138045"/>
            <wp:effectExtent l="0" t="0" r="9525" b="14605"/>
            <wp:docPr id="3" name="Grafik 3">
              <a:extLst xmlns:a="http://schemas.openxmlformats.org/drawingml/2006/main">
                <a:ext uri="{FF2B5EF4-FFF2-40B4-BE49-F238E27FC236}">
                  <a16:creationId xmlns:a16="http://schemas.microsoft.com/office/drawing/2014/main" id="{1D70F51E-1194-46E4-B120-922CB5624A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6107" w:rsidRPr="002807AE" w:rsidRDefault="00A26107" w:rsidP="00A26107">
      <w:pPr>
        <w:spacing w:line="276" w:lineRule="auto"/>
        <w:jc w:val="both"/>
        <w:rPr>
          <w:rFonts w:ascii="Palatino Linotype" w:hAnsi="Palatino Linotype" w:cs="Arial"/>
          <w:sz w:val="22"/>
          <w:szCs w:val="22"/>
          <w:lang w:val="en-US"/>
        </w:rPr>
      </w:pPr>
    </w:p>
    <w:p w:rsidR="00A26107" w:rsidRPr="009A059F" w:rsidRDefault="00616A93" w:rsidP="00A26107">
      <w:pPr>
        <w:spacing w:line="276" w:lineRule="auto"/>
        <w:jc w:val="both"/>
        <w:rPr>
          <w:rFonts w:ascii="Palatino Linotype" w:hAnsi="Palatino Linotype" w:cs="Arial"/>
          <w:sz w:val="22"/>
          <w:szCs w:val="22"/>
          <w:lang w:val="en-US"/>
        </w:rPr>
      </w:pPr>
      <w:r w:rsidRPr="002807AE">
        <w:rPr>
          <w:rFonts w:ascii="Palatino Linotype" w:hAnsi="Palatino Linotype" w:cs="Arial"/>
          <w:sz w:val="22"/>
          <w:szCs w:val="22"/>
          <w:lang w:val="en-US"/>
        </w:rPr>
        <w:t xml:space="preserve">Calendar-day adjusted </w:t>
      </w:r>
      <w:r w:rsidR="005C3AFE" w:rsidRPr="002807AE">
        <w:rPr>
          <w:rFonts w:ascii="Palatino Linotype" w:hAnsi="Palatino Linotype" w:cs="Arial"/>
          <w:sz w:val="22"/>
          <w:szCs w:val="22"/>
          <w:lang w:val="en-US"/>
        </w:rPr>
        <w:t>chain volume index annual growth rate of third quarter of 2016 was announced -0.2 percent in press release (2016Q3)</w:t>
      </w:r>
      <w:r w:rsidR="000F1215" w:rsidRPr="002807AE">
        <w:rPr>
          <w:rFonts w:ascii="Palatino Linotype" w:hAnsi="Palatino Linotype" w:cs="Arial"/>
          <w:sz w:val="22"/>
          <w:szCs w:val="22"/>
          <w:lang w:val="en-US"/>
        </w:rPr>
        <w:t xml:space="preserve"> published in</w:t>
      </w:r>
      <w:r w:rsidR="005C3AFE" w:rsidRPr="002807AE">
        <w:rPr>
          <w:rFonts w:ascii="Palatino Linotype" w:hAnsi="Palatino Linotype" w:cs="Arial"/>
          <w:sz w:val="22"/>
          <w:szCs w:val="22"/>
          <w:lang w:val="en-US"/>
        </w:rPr>
        <w:t xml:space="preserve"> December 12, 2016. However, </w:t>
      </w:r>
      <w:r w:rsidR="000F1215" w:rsidRPr="002807AE">
        <w:rPr>
          <w:rFonts w:ascii="Palatino Linotype" w:hAnsi="Palatino Linotype" w:cs="Arial"/>
          <w:sz w:val="22"/>
          <w:szCs w:val="22"/>
          <w:lang w:val="en-US"/>
        </w:rPr>
        <w:t xml:space="preserve">this figure </w:t>
      </w:r>
      <w:r w:rsidR="0076340E">
        <w:rPr>
          <w:rFonts w:ascii="Palatino Linotype" w:hAnsi="Palatino Linotype" w:cs="Arial"/>
          <w:sz w:val="22"/>
          <w:szCs w:val="22"/>
          <w:lang w:val="en-US"/>
        </w:rPr>
        <w:t>has been</w:t>
      </w:r>
      <w:r w:rsidR="000F1215" w:rsidRPr="002807AE">
        <w:rPr>
          <w:rFonts w:ascii="Palatino Linotype" w:hAnsi="Palatino Linotype" w:cs="Arial"/>
          <w:sz w:val="22"/>
          <w:szCs w:val="22"/>
          <w:lang w:val="en-US"/>
        </w:rPr>
        <w:t xml:space="preserve"> upward revised to 0.7 per</w:t>
      </w:r>
      <w:r w:rsidR="000F1215" w:rsidRPr="009A059F">
        <w:rPr>
          <w:rFonts w:ascii="Palatino Linotype" w:hAnsi="Palatino Linotype" w:cs="Arial"/>
          <w:sz w:val="22"/>
          <w:szCs w:val="22"/>
          <w:lang w:val="en-US"/>
        </w:rPr>
        <w:t xml:space="preserve">cent </w:t>
      </w:r>
      <w:r w:rsidR="0076340E" w:rsidRPr="009A059F">
        <w:rPr>
          <w:rFonts w:ascii="Palatino Linotype" w:hAnsi="Palatino Linotype" w:cs="Arial"/>
          <w:sz w:val="22"/>
          <w:szCs w:val="22"/>
          <w:lang w:val="en-US"/>
        </w:rPr>
        <w:t xml:space="preserve">following </w:t>
      </w:r>
      <w:r w:rsidR="000F1215" w:rsidRPr="009A059F">
        <w:rPr>
          <w:rFonts w:ascii="Palatino Linotype" w:hAnsi="Palatino Linotype" w:cs="Arial"/>
          <w:sz w:val="22"/>
          <w:szCs w:val="22"/>
          <w:lang w:val="en-US"/>
        </w:rPr>
        <w:t>an</w:t>
      </w:r>
      <w:r w:rsidR="000F1215" w:rsidRPr="002807AE">
        <w:rPr>
          <w:rFonts w:ascii="Palatino Linotype" w:hAnsi="Palatino Linotype" w:cs="Arial"/>
          <w:sz w:val="22"/>
          <w:szCs w:val="22"/>
          <w:lang w:val="en-US"/>
        </w:rPr>
        <w:t xml:space="preserve"> 0.9 percentage point</w:t>
      </w:r>
      <w:r w:rsidR="00613914">
        <w:rPr>
          <w:rFonts w:ascii="Palatino Linotype" w:hAnsi="Palatino Linotype" w:cs="Arial"/>
          <w:sz w:val="22"/>
          <w:szCs w:val="22"/>
          <w:lang w:val="en-US"/>
        </w:rPr>
        <w:t>s</w:t>
      </w:r>
      <w:r w:rsidR="000F1215" w:rsidRPr="002807AE">
        <w:rPr>
          <w:rFonts w:ascii="Palatino Linotype" w:hAnsi="Palatino Linotype" w:cs="Arial"/>
          <w:sz w:val="22"/>
          <w:szCs w:val="22"/>
          <w:lang w:val="en-US"/>
        </w:rPr>
        <w:t xml:space="preserve"> increase </w:t>
      </w:r>
      <w:r w:rsidR="005C3AFE" w:rsidRPr="002807AE">
        <w:rPr>
          <w:rFonts w:ascii="Palatino Linotype" w:hAnsi="Palatino Linotype" w:cs="Arial"/>
          <w:sz w:val="22"/>
          <w:szCs w:val="22"/>
          <w:lang w:val="en-US"/>
        </w:rPr>
        <w:t xml:space="preserve">in the following press release (2016Q4) published in </w:t>
      </w:r>
      <w:r w:rsidR="000F1215" w:rsidRPr="002807AE">
        <w:rPr>
          <w:rFonts w:ascii="Palatino Linotype" w:hAnsi="Palatino Linotype" w:cs="Arial"/>
          <w:sz w:val="22"/>
          <w:szCs w:val="22"/>
          <w:lang w:val="en-US"/>
        </w:rPr>
        <w:t>March 31, 2017.</w:t>
      </w:r>
      <w:r w:rsidR="005C3AFE" w:rsidRPr="002807AE">
        <w:rPr>
          <w:rFonts w:ascii="Palatino Linotype" w:hAnsi="Palatino Linotype" w:cs="Arial"/>
          <w:sz w:val="22"/>
          <w:szCs w:val="22"/>
          <w:lang w:val="en-US"/>
        </w:rPr>
        <w:t xml:space="preserve"> </w:t>
      </w:r>
      <w:r w:rsidR="000F1215" w:rsidRPr="002807AE">
        <w:rPr>
          <w:rFonts w:ascii="Palatino Linotype" w:hAnsi="Palatino Linotype" w:cs="Arial"/>
          <w:sz w:val="22"/>
          <w:szCs w:val="22"/>
          <w:lang w:val="en-US"/>
        </w:rPr>
        <w:t xml:space="preserve">Then, in the </w:t>
      </w:r>
      <w:r w:rsidR="000F1215" w:rsidRPr="009A059F">
        <w:rPr>
          <w:rFonts w:ascii="Palatino Linotype" w:hAnsi="Palatino Linotype" w:cs="Arial"/>
          <w:sz w:val="22"/>
          <w:szCs w:val="22"/>
          <w:lang w:val="en-US"/>
        </w:rPr>
        <w:lastRenderedPageBreak/>
        <w:t xml:space="preserve">press </w:t>
      </w:r>
      <w:r w:rsidR="00613914" w:rsidRPr="009A059F">
        <w:rPr>
          <w:rFonts w:ascii="Palatino Linotype" w:hAnsi="Palatino Linotype" w:cs="Arial"/>
          <w:sz w:val="22"/>
          <w:szCs w:val="22"/>
          <w:lang w:val="en-US"/>
        </w:rPr>
        <w:t>release (</w:t>
      </w:r>
      <w:r w:rsidR="000F1215" w:rsidRPr="009A059F">
        <w:rPr>
          <w:rFonts w:ascii="Palatino Linotype" w:hAnsi="Palatino Linotype" w:cs="Arial"/>
          <w:sz w:val="22"/>
          <w:szCs w:val="22"/>
          <w:lang w:val="en-US"/>
        </w:rPr>
        <w:t xml:space="preserve">2017Q1) published in June 12, 2017, 0.4 percentage point downward revision </w:t>
      </w:r>
      <w:r w:rsidR="0076340E" w:rsidRPr="009A059F">
        <w:rPr>
          <w:rFonts w:ascii="Palatino Linotype" w:hAnsi="Palatino Linotype" w:cs="Arial"/>
          <w:sz w:val="22"/>
          <w:szCs w:val="22"/>
          <w:lang w:val="en-US"/>
        </w:rPr>
        <w:t xml:space="preserve">followed decreasing the yearly growth rate to </w:t>
      </w:r>
      <w:r w:rsidR="000F1215" w:rsidRPr="009A059F">
        <w:rPr>
          <w:rFonts w:ascii="Palatino Linotype" w:hAnsi="Palatino Linotype" w:cs="Arial"/>
          <w:sz w:val="22"/>
          <w:szCs w:val="22"/>
          <w:lang w:val="en-US"/>
        </w:rPr>
        <w:t xml:space="preserve">0.3 percent. Interestingly, </w:t>
      </w:r>
      <w:r w:rsidR="00272307" w:rsidRPr="009A059F">
        <w:rPr>
          <w:rFonts w:ascii="Palatino Linotype" w:hAnsi="Palatino Linotype" w:cs="Arial"/>
          <w:sz w:val="22"/>
          <w:szCs w:val="22"/>
          <w:lang w:val="en-US"/>
        </w:rPr>
        <w:t xml:space="preserve">with </w:t>
      </w:r>
      <w:r w:rsidR="00613914" w:rsidRPr="009A059F">
        <w:rPr>
          <w:rFonts w:ascii="Palatino Linotype" w:hAnsi="Palatino Linotype" w:cs="Arial"/>
          <w:sz w:val="22"/>
          <w:szCs w:val="22"/>
          <w:lang w:val="en-US"/>
        </w:rPr>
        <w:t xml:space="preserve">a </w:t>
      </w:r>
      <w:r w:rsidR="00272307" w:rsidRPr="009A059F">
        <w:rPr>
          <w:rFonts w:ascii="Palatino Linotype" w:hAnsi="Palatino Linotype" w:cs="Arial"/>
          <w:sz w:val="22"/>
          <w:szCs w:val="22"/>
          <w:lang w:val="en-US"/>
        </w:rPr>
        <w:t>0.5 percentage point</w:t>
      </w:r>
      <w:r w:rsidR="00613914" w:rsidRPr="009A059F">
        <w:rPr>
          <w:rFonts w:ascii="Palatino Linotype" w:hAnsi="Palatino Linotype" w:cs="Arial"/>
          <w:sz w:val="22"/>
          <w:szCs w:val="22"/>
          <w:lang w:val="en-US"/>
        </w:rPr>
        <w:t>s</w:t>
      </w:r>
      <w:r w:rsidR="00272307" w:rsidRPr="009A059F">
        <w:rPr>
          <w:rFonts w:ascii="Palatino Linotype" w:hAnsi="Palatino Linotype" w:cs="Arial"/>
          <w:sz w:val="22"/>
          <w:szCs w:val="22"/>
          <w:lang w:val="en-US"/>
        </w:rPr>
        <w:t xml:space="preserve"> upward revision, the </w:t>
      </w:r>
      <w:r w:rsidR="00166D28" w:rsidRPr="009A059F">
        <w:rPr>
          <w:rFonts w:ascii="Palatino Linotype" w:hAnsi="Palatino Linotype" w:cs="Arial"/>
          <w:sz w:val="22"/>
          <w:szCs w:val="22"/>
          <w:lang w:val="en-US"/>
        </w:rPr>
        <w:t xml:space="preserve">annual </w:t>
      </w:r>
      <w:r w:rsidR="00272307" w:rsidRPr="009A059F">
        <w:rPr>
          <w:rFonts w:ascii="Palatino Linotype" w:hAnsi="Palatino Linotype" w:cs="Arial"/>
          <w:sz w:val="22"/>
          <w:szCs w:val="22"/>
          <w:lang w:val="en-US"/>
        </w:rPr>
        <w:t xml:space="preserve">growth rate of 2016Q3 </w:t>
      </w:r>
      <w:r w:rsidR="00613914" w:rsidRPr="009A059F">
        <w:rPr>
          <w:rFonts w:ascii="Palatino Linotype" w:hAnsi="Palatino Linotype" w:cs="Arial"/>
          <w:sz w:val="22"/>
          <w:szCs w:val="22"/>
          <w:lang w:val="en-US"/>
        </w:rPr>
        <w:t>has been</w:t>
      </w:r>
      <w:r w:rsidR="00272307" w:rsidRPr="009A059F">
        <w:rPr>
          <w:rFonts w:ascii="Palatino Linotype" w:hAnsi="Palatino Linotype" w:cs="Arial"/>
          <w:sz w:val="22"/>
          <w:szCs w:val="22"/>
          <w:lang w:val="en-US"/>
        </w:rPr>
        <w:t xml:space="preserve"> revised </w:t>
      </w:r>
      <w:r w:rsidR="00613914" w:rsidRPr="009A059F">
        <w:rPr>
          <w:rFonts w:ascii="Palatino Linotype" w:hAnsi="Palatino Linotype" w:cs="Arial"/>
          <w:sz w:val="22"/>
          <w:szCs w:val="22"/>
          <w:lang w:val="en-US"/>
        </w:rPr>
        <w:t xml:space="preserve">to 0.8 percent </w:t>
      </w:r>
      <w:r w:rsidR="00272307" w:rsidRPr="009A059F">
        <w:rPr>
          <w:rFonts w:ascii="Palatino Linotype" w:hAnsi="Palatino Linotype" w:cs="Arial"/>
          <w:sz w:val="22"/>
          <w:szCs w:val="22"/>
          <w:lang w:val="en-US"/>
        </w:rPr>
        <w:t xml:space="preserve">in the press release (2017Q2) published in September 11, 2017. </w:t>
      </w:r>
      <w:r w:rsidR="007A760B" w:rsidRPr="009A059F">
        <w:rPr>
          <w:rFonts w:ascii="Palatino Linotype" w:hAnsi="Palatino Linotype" w:cs="Arial"/>
          <w:sz w:val="22"/>
          <w:szCs w:val="22"/>
          <w:lang w:val="en-US"/>
        </w:rPr>
        <w:t xml:space="preserve">Finally, </w:t>
      </w:r>
      <w:r w:rsidR="00166D28" w:rsidRPr="009A059F">
        <w:rPr>
          <w:rFonts w:ascii="Palatino Linotype" w:hAnsi="Palatino Linotype" w:cs="Arial"/>
          <w:sz w:val="22"/>
          <w:szCs w:val="22"/>
          <w:lang w:val="en-US"/>
        </w:rPr>
        <w:t xml:space="preserve">in the last press release (2017Q3) published in December 11, 2017, the annual growth rate of 2016Q3 was downwardly revised to -0.1 percent which is very close to its </w:t>
      </w:r>
      <w:r w:rsidR="00613914" w:rsidRPr="009A059F">
        <w:rPr>
          <w:rFonts w:ascii="Palatino Linotype" w:hAnsi="Palatino Linotype" w:cs="Arial"/>
          <w:sz w:val="22"/>
          <w:szCs w:val="22"/>
          <w:lang w:val="en-US"/>
        </w:rPr>
        <w:t xml:space="preserve">starting </w:t>
      </w:r>
      <w:r w:rsidR="00166D28" w:rsidRPr="009A059F">
        <w:rPr>
          <w:rFonts w:ascii="Palatino Linotype" w:hAnsi="Palatino Linotype" w:cs="Arial"/>
          <w:sz w:val="22"/>
          <w:szCs w:val="22"/>
          <w:lang w:val="en-US"/>
        </w:rPr>
        <w:t>value one year ago.</w:t>
      </w:r>
      <w:r w:rsidR="00A26107" w:rsidRPr="009A059F">
        <w:rPr>
          <w:rFonts w:ascii="Palatino Linotype" w:hAnsi="Palatino Linotype" w:cs="Arial"/>
          <w:sz w:val="22"/>
          <w:szCs w:val="22"/>
          <w:lang w:val="en-US"/>
        </w:rPr>
        <w:t xml:space="preserve"> </w:t>
      </w:r>
    </w:p>
    <w:p w:rsidR="00A26107" w:rsidRPr="009A059F" w:rsidRDefault="00A26107" w:rsidP="00A26107">
      <w:pPr>
        <w:spacing w:line="276" w:lineRule="auto"/>
        <w:jc w:val="both"/>
        <w:rPr>
          <w:rFonts w:ascii="Palatino Linotype" w:hAnsi="Palatino Linotype" w:cs="Arial"/>
          <w:sz w:val="22"/>
          <w:szCs w:val="22"/>
          <w:lang w:val="en-US"/>
        </w:rPr>
      </w:pPr>
    </w:p>
    <w:p w:rsidR="00166D28" w:rsidRPr="002807AE" w:rsidRDefault="00166D28" w:rsidP="00A26107">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When we look at the quarterly growth, revisions</w:t>
      </w:r>
      <w:r w:rsidR="00613914" w:rsidRPr="009A059F">
        <w:rPr>
          <w:rFonts w:ascii="Palatino Linotype" w:hAnsi="Palatino Linotype" w:cs="Arial"/>
          <w:sz w:val="22"/>
          <w:szCs w:val="22"/>
          <w:lang w:val="en-US"/>
        </w:rPr>
        <w:t xml:space="preserve"> they</w:t>
      </w:r>
      <w:r w:rsidRPr="009A059F">
        <w:rPr>
          <w:rFonts w:ascii="Palatino Linotype" w:hAnsi="Palatino Linotype" w:cs="Arial"/>
          <w:sz w:val="22"/>
          <w:szCs w:val="22"/>
          <w:lang w:val="en-US"/>
        </w:rPr>
        <w:t xml:space="preserve"> </w:t>
      </w:r>
      <w:r w:rsidR="00613914" w:rsidRPr="009A059F">
        <w:rPr>
          <w:rFonts w:ascii="Palatino Linotype" w:hAnsi="Palatino Linotype" w:cs="Arial"/>
          <w:sz w:val="22"/>
          <w:szCs w:val="22"/>
          <w:lang w:val="en-US"/>
        </w:rPr>
        <w:t>appear</w:t>
      </w:r>
      <w:r w:rsidRPr="009A059F">
        <w:rPr>
          <w:rFonts w:ascii="Palatino Linotype" w:hAnsi="Palatino Linotype" w:cs="Arial"/>
          <w:sz w:val="22"/>
          <w:szCs w:val="22"/>
          <w:lang w:val="en-US"/>
        </w:rPr>
        <w:t xml:space="preserve"> even bigger and more volatile</w:t>
      </w:r>
      <w:r w:rsidR="001C5D84" w:rsidRPr="009A059F">
        <w:rPr>
          <w:rFonts w:ascii="Palatino Linotype" w:hAnsi="Palatino Linotype" w:cs="Arial"/>
          <w:sz w:val="22"/>
          <w:szCs w:val="22"/>
          <w:lang w:val="en-US"/>
        </w:rPr>
        <w:t xml:space="preserve"> (A</w:t>
      </w:r>
      <w:r w:rsidR="00613914" w:rsidRPr="009A059F">
        <w:rPr>
          <w:rFonts w:ascii="Palatino Linotype" w:hAnsi="Palatino Linotype" w:cs="Arial"/>
          <w:sz w:val="22"/>
          <w:szCs w:val="22"/>
          <w:lang w:val="en-US"/>
        </w:rPr>
        <w:t>nnex</w:t>
      </w:r>
      <w:r w:rsidR="001C5D84" w:rsidRPr="009A059F">
        <w:rPr>
          <w:rFonts w:ascii="Palatino Linotype" w:hAnsi="Palatino Linotype" w:cs="Arial"/>
          <w:sz w:val="22"/>
          <w:szCs w:val="22"/>
          <w:lang w:val="en-US"/>
        </w:rPr>
        <w:t xml:space="preserve"> Graph 1B)</w:t>
      </w:r>
      <w:r w:rsidRPr="009A059F">
        <w:rPr>
          <w:rFonts w:ascii="Palatino Linotype" w:hAnsi="Palatino Linotype" w:cs="Arial"/>
          <w:sz w:val="22"/>
          <w:szCs w:val="22"/>
          <w:lang w:val="en-US"/>
        </w:rPr>
        <w:t xml:space="preserve">. </w:t>
      </w:r>
      <w:r w:rsidR="001C5D84" w:rsidRPr="009A059F">
        <w:rPr>
          <w:rFonts w:ascii="Palatino Linotype" w:hAnsi="Palatino Linotype" w:cs="Arial"/>
          <w:sz w:val="22"/>
          <w:szCs w:val="22"/>
          <w:lang w:val="en-US"/>
        </w:rPr>
        <w:t xml:space="preserve">We observe that all the quarter-on-quarter growth estimates of 2016 were revised incessantly. The quarterly growth of 2016Q3 were upwardly revised </w:t>
      </w:r>
      <w:r w:rsidR="00613914" w:rsidRPr="009A059F">
        <w:rPr>
          <w:rFonts w:ascii="Palatino Linotype" w:hAnsi="Palatino Linotype" w:cs="Arial"/>
          <w:sz w:val="22"/>
          <w:szCs w:val="22"/>
          <w:lang w:val="en-US"/>
        </w:rPr>
        <w:t>in the following three</w:t>
      </w:r>
      <w:r w:rsidR="001C5D84" w:rsidRPr="009A059F">
        <w:rPr>
          <w:rFonts w:ascii="Palatino Linotype" w:hAnsi="Palatino Linotype" w:cs="Arial"/>
          <w:sz w:val="22"/>
          <w:szCs w:val="22"/>
          <w:lang w:val="en-US"/>
        </w:rPr>
        <w:t xml:space="preserve"> press releases from </w:t>
      </w:r>
      <w:r w:rsidR="00613914" w:rsidRPr="009A059F">
        <w:rPr>
          <w:rFonts w:ascii="Palatino Linotype" w:hAnsi="Palatino Linotype" w:cs="Arial"/>
          <w:sz w:val="22"/>
          <w:szCs w:val="22"/>
          <w:lang w:val="en-US"/>
        </w:rPr>
        <w:t xml:space="preserve">the </w:t>
      </w:r>
      <w:r w:rsidR="001C5D84" w:rsidRPr="009A059F">
        <w:rPr>
          <w:rFonts w:ascii="Palatino Linotype" w:hAnsi="Palatino Linotype" w:cs="Arial"/>
          <w:sz w:val="22"/>
          <w:szCs w:val="22"/>
          <w:lang w:val="en-US"/>
        </w:rPr>
        <w:t>first one, however in the</w:t>
      </w:r>
      <w:r w:rsidR="001C5D84" w:rsidRPr="002807AE">
        <w:rPr>
          <w:rFonts w:ascii="Palatino Linotype" w:hAnsi="Palatino Linotype" w:cs="Arial"/>
          <w:sz w:val="22"/>
          <w:szCs w:val="22"/>
          <w:lang w:val="en-US"/>
        </w:rPr>
        <w:t xml:space="preserve"> last press release it </w:t>
      </w:r>
      <w:r w:rsidR="00613914">
        <w:rPr>
          <w:rFonts w:ascii="Palatino Linotype" w:hAnsi="Palatino Linotype" w:cs="Arial"/>
          <w:sz w:val="22"/>
          <w:szCs w:val="22"/>
          <w:lang w:val="en-US"/>
        </w:rPr>
        <w:t>has been</w:t>
      </w:r>
      <w:r w:rsidR="001C5D84" w:rsidRPr="002807AE">
        <w:rPr>
          <w:rFonts w:ascii="Palatino Linotype" w:hAnsi="Palatino Linotype" w:cs="Arial"/>
          <w:sz w:val="22"/>
          <w:szCs w:val="22"/>
          <w:lang w:val="en-US"/>
        </w:rPr>
        <w:t xml:space="preserve"> downwardly revised to its first estimate (Figure 2).   </w:t>
      </w:r>
    </w:p>
    <w:p w:rsidR="00901CDB" w:rsidRPr="002807AE" w:rsidRDefault="00901CDB" w:rsidP="00016E95">
      <w:pPr>
        <w:spacing w:line="276" w:lineRule="auto"/>
        <w:jc w:val="center"/>
        <w:rPr>
          <w:rFonts w:ascii="Palatino Linotype" w:hAnsi="Palatino Linotype" w:cs="Arial"/>
          <w:b/>
          <w:sz w:val="22"/>
          <w:szCs w:val="22"/>
          <w:lang w:val="en-US"/>
        </w:rPr>
      </w:pPr>
    </w:p>
    <w:p w:rsidR="00901CDB" w:rsidRPr="002807AE" w:rsidRDefault="00901CDB" w:rsidP="00016E95">
      <w:pPr>
        <w:spacing w:line="276" w:lineRule="auto"/>
        <w:jc w:val="center"/>
        <w:rPr>
          <w:rFonts w:ascii="Palatino Linotype" w:hAnsi="Palatino Linotype" w:cs="Arial"/>
          <w:b/>
          <w:sz w:val="22"/>
          <w:szCs w:val="22"/>
          <w:lang w:val="en-US"/>
        </w:rPr>
      </w:pPr>
    </w:p>
    <w:p w:rsidR="00A26107" w:rsidRPr="002807AE" w:rsidRDefault="004F1822" w:rsidP="00016E95">
      <w:pPr>
        <w:spacing w:line="276" w:lineRule="auto"/>
        <w:jc w:val="center"/>
        <w:rPr>
          <w:rFonts w:ascii="Palatino Linotype" w:hAnsi="Palatino Linotype" w:cs="Arial"/>
          <w:b/>
          <w:color w:val="FF0000"/>
          <w:sz w:val="22"/>
          <w:szCs w:val="22"/>
          <w:lang w:val="en-US"/>
        </w:rPr>
      </w:pPr>
      <w:r>
        <w:rPr>
          <w:rFonts w:ascii="Palatino Linotype" w:hAnsi="Palatino Linotype" w:cs="Arial"/>
          <w:b/>
          <w:sz w:val="22"/>
          <w:szCs w:val="22"/>
          <w:lang w:val="en-US"/>
        </w:rPr>
        <w:t>Figure</w:t>
      </w:r>
      <w:r w:rsidR="00A26107" w:rsidRPr="002807AE">
        <w:rPr>
          <w:rFonts w:ascii="Palatino Linotype" w:hAnsi="Palatino Linotype" w:cs="Arial"/>
          <w:b/>
          <w:sz w:val="22"/>
          <w:szCs w:val="22"/>
          <w:lang w:val="en-US"/>
        </w:rPr>
        <w:t xml:space="preserve"> 2</w:t>
      </w:r>
      <w:r w:rsidR="00016E95" w:rsidRPr="002807AE">
        <w:rPr>
          <w:rFonts w:ascii="Palatino Linotype" w:hAnsi="Palatino Linotype" w:cs="Arial"/>
          <w:b/>
          <w:sz w:val="22"/>
          <w:szCs w:val="22"/>
          <w:lang w:val="en-US"/>
        </w:rPr>
        <w:t xml:space="preserve">: </w:t>
      </w:r>
      <w:r>
        <w:rPr>
          <w:rFonts w:ascii="Palatino Linotype" w:hAnsi="Palatino Linotype" w:cs="Arial"/>
          <w:b/>
          <w:sz w:val="22"/>
          <w:szCs w:val="22"/>
          <w:lang w:val="en-US"/>
        </w:rPr>
        <w:t xml:space="preserve">Quarterly growth rates of </w:t>
      </w:r>
      <w:r w:rsidR="00016E95" w:rsidRPr="002807AE">
        <w:rPr>
          <w:rFonts w:ascii="Palatino Linotype" w:hAnsi="Palatino Linotype" w:cs="Arial"/>
          <w:b/>
          <w:sz w:val="22"/>
          <w:szCs w:val="22"/>
          <w:lang w:val="en-US"/>
        </w:rPr>
        <w:t>2016</w:t>
      </w:r>
      <w:r>
        <w:rPr>
          <w:rFonts w:ascii="Palatino Linotype" w:hAnsi="Palatino Linotype" w:cs="Arial"/>
          <w:b/>
          <w:sz w:val="22"/>
          <w:szCs w:val="22"/>
          <w:lang w:val="en-US"/>
        </w:rPr>
        <w:t>Q</w:t>
      </w:r>
      <w:r w:rsidR="00016E95" w:rsidRPr="002807AE">
        <w:rPr>
          <w:rFonts w:ascii="Palatino Linotype" w:hAnsi="Palatino Linotype" w:cs="Arial"/>
          <w:b/>
          <w:sz w:val="22"/>
          <w:szCs w:val="22"/>
          <w:lang w:val="en-US"/>
        </w:rPr>
        <w:t>1-</w:t>
      </w:r>
      <w:r>
        <w:rPr>
          <w:rFonts w:ascii="Palatino Linotype" w:hAnsi="Palatino Linotype" w:cs="Arial"/>
          <w:b/>
          <w:sz w:val="22"/>
          <w:szCs w:val="22"/>
          <w:lang w:val="en-US"/>
        </w:rPr>
        <w:t>Q</w:t>
      </w:r>
      <w:r w:rsidR="00016E95" w:rsidRPr="002807AE">
        <w:rPr>
          <w:rFonts w:ascii="Palatino Linotype" w:hAnsi="Palatino Linotype" w:cs="Arial"/>
          <w:b/>
          <w:sz w:val="22"/>
          <w:szCs w:val="22"/>
          <w:lang w:val="en-US"/>
        </w:rPr>
        <w:t xml:space="preserve">4 </w:t>
      </w:r>
      <w:r>
        <w:rPr>
          <w:rFonts w:ascii="Palatino Linotype" w:hAnsi="Palatino Linotype" w:cs="Arial"/>
          <w:b/>
          <w:sz w:val="22"/>
          <w:szCs w:val="22"/>
          <w:lang w:val="en-US"/>
        </w:rPr>
        <w:t>in the press releases</w:t>
      </w:r>
    </w:p>
    <w:p w:rsidR="00A26107" w:rsidRPr="002807AE" w:rsidRDefault="00016E95" w:rsidP="00016E95">
      <w:pPr>
        <w:jc w:val="center"/>
        <w:rPr>
          <w:rFonts w:ascii="Palatino Linotype" w:hAnsi="Palatino Linotype" w:cs="Arial"/>
          <w:sz w:val="22"/>
          <w:szCs w:val="22"/>
          <w:lang w:val="en-US"/>
        </w:rPr>
      </w:pPr>
      <w:r w:rsidRPr="002807AE">
        <w:rPr>
          <w:rFonts w:ascii="Palatino Linotype" w:hAnsi="Palatino Linotype"/>
          <w:noProof/>
          <w:sz w:val="22"/>
          <w:szCs w:val="22"/>
        </w:rPr>
        <w:drawing>
          <wp:inline distT="0" distB="0" distL="0" distR="0">
            <wp:extent cx="2466975" cy="2119313"/>
            <wp:effectExtent l="0" t="0" r="9525" b="14605"/>
            <wp:docPr id="8" name="Grafik 8">
              <a:extLst xmlns:a="http://schemas.openxmlformats.org/drawingml/2006/main">
                <a:ext uri="{FF2B5EF4-FFF2-40B4-BE49-F238E27FC236}">
                  <a16:creationId xmlns:a16="http://schemas.microsoft.com/office/drawing/2014/main" id="{B75AC29A-9E62-45C0-992E-8DD034D42A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807AE">
        <w:rPr>
          <w:rFonts w:ascii="Palatino Linotype" w:hAnsi="Palatino Linotype"/>
          <w:noProof/>
          <w:sz w:val="22"/>
          <w:szCs w:val="22"/>
        </w:rPr>
        <w:drawing>
          <wp:inline distT="0" distB="0" distL="0" distR="0">
            <wp:extent cx="2466975" cy="2119313"/>
            <wp:effectExtent l="0" t="0" r="9525" b="14605"/>
            <wp:docPr id="2" name="Grafik 2">
              <a:extLst xmlns:a="http://schemas.openxmlformats.org/drawingml/2006/main">
                <a:ext uri="{FF2B5EF4-FFF2-40B4-BE49-F238E27FC236}">
                  <a16:creationId xmlns:a16="http://schemas.microsoft.com/office/drawing/2014/main" id="{13992387-2A6E-4343-91C3-5F58D94226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807AE">
        <w:rPr>
          <w:rFonts w:ascii="Palatino Linotype" w:hAnsi="Palatino Linotype"/>
          <w:noProof/>
          <w:sz w:val="22"/>
          <w:szCs w:val="22"/>
        </w:rPr>
        <w:drawing>
          <wp:inline distT="0" distB="0" distL="0" distR="0">
            <wp:extent cx="2466975" cy="2119313"/>
            <wp:effectExtent l="0" t="0" r="9525" b="14605"/>
            <wp:docPr id="9" name="Grafik 9">
              <a:extLst xmlns:a="http://schemas.openxmlformats.org/drawingml/2006/main">
                <a:ext uri="{FF2B5EF4-FFF2-40B4-BE49-F238E27FC236}">
                  <a16:creationId xmlns:a16="http://schemas.microsoft.com/office/drawing/2014/main" id="{CBC6B823-9A12-40D6-9822-F736BE274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807AE">
        <w:rPr>
          <w:rFonts w:ascii="Palatino Linotype" w:hAnsi="Palatino Linotype"/>
          <w:noProof/>
          <w:sz w:val="22"/>
          <w:szCs w:val="22"/>
        </w:rPr>
        <w:drawing>
          <wp:inline distT="0" distB="0" distL="0" distR="0">
            <wp:extent cx="2466975" cy="2119313"/>
            <wp:effectExtent l="0" t="0" r="9525" b="14605"/>
            <wp:docPr id="10" name="Grafik 10">
              <a:extLst xmlns:a="http://schemas.openxmlformats.org/drawingml/2006/main">
                <a:ext uri="{FF2B5EF4-FFF2-40B4-BE49-F238E27FC236}">
                  <a16:creationId xmlns:a16="http://schemas.microsoft.com/office/drawing/2014/main" id="{0B7A5744-F4F4-49D2-8C7F-08D4732F2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6107" w:rsidRPr="002807AE" w:rsidRDefault="00A26107" w:rsidP="00A26107">
      <w:pPr>
        <w:jc w:val="both"/>
        <w:rPr>
          <w:rFonts w:ascii="Palatino Linotype" w:hAnsi="Palatino Linotype" w:cs="Arial"/>
          <w:sz w:val="22"/>
          <w:szCs w:val="22"/>
          <w:lang w:val="en-US"/>
        </w:rPr>
      </w:pPr>
    </w:p>
    <w:p w:rsidR="00C1238B" w:rsidRPr="002807AE" w:rsidRDefault="00C1238B" w:rsidP="00A26107">
      <w:pPr>
        <w:spacing w:line="276" w:lineRule="auto"/>
        <w:jc w:val="both"/>
        <w:rPr>
          <w:rFonts w:ascii="Palatino Linotype" w:hAnsi="Palatino Linotype" w:cs="Arial"/>
          <w:sz w:val="22"/>
          <w:szCs w:val="22"/>
          <w:lang w:val="en-US"/>
        </w:rPr>
      </w:pPr>
    </w:p>
    <w:p w:rsidR="0060285C" w:rsidRPr="002807AE" w:rsidRDefault="0060285C" w:rsidP="00A26107">
      <w:pPr>
        <w:spacing w:line="276" w:lineRule="auto"/>
        <w:jc w:val="both"/>
        <w:rPr>
          <w:rFonts w:ascii="Palatino Linotype" w:hAnsi="Palatino Linotype" w:cs="Arial"/>
          <w:sz w:val="22"/>
          <w:szCs w:val="22"/>
          <w:lang w:val="en-US"/>
        </w:rPr>
      </w:pPr>
    </w:p>
    <w:p w:rsidR="00B9751C" w:rsidRDefault="00B9751C" w:rsidP="00A26107">
      <w:pPr>
        <w:spacing w:line="276" w:lineRule="auto"/>
        <w:jc w:val="both"/>
        <w:rPr>
          <w:rFonts w:ascii="Palatino Linotype" w:hAnsi="Palatino Linotype" w:cs="Arial"/>
          <w:sz w:val="22"/>
          <w:szCs w:val="22"/>
          <w:lang w:val="en-US"/>
        </w:rPr>
      </w:pPr>
    </w:p>
    <w:p w:rsidR="009A059F" w:rsidRDefault="009A059F" w:rsidP="00A26107">
      <w:pPr>
        <w:spacing w:line="276" w:lineRule="auto"/>
        <w:jc w:val="both"/>
        <w:rPr>
          <w:rFonts w:ascii="Palatino Linotype" w:hAnsi="Palatino Linotype" w:cs="Arial"/>
          <w:b/>
          <w:sz w:val="22"/>
          <w:szCs w:val="22"/>
          <w:lang w:val="en-US"/>
        </w:rPr>
      </w:pPr>
    </w:p>
    <w:p w:rsidR="009A059F" w:rsidRDefault="009A059F" w:rsidP="00A26107">
      <w:pPr>
        <w:spacing w:line="276" w:lineRule="auto"/>
        <w:jc w:val="both"/>
        <w:rPr>
          <w:rFonts w:ascii="Palatino Linotype" w:hAnsi="Palatino Linotype" w:cs="Arial"/>
          <w:b/>
          <w:sz w:val="22"/>
          <w:szCs w:val="22"/>
          <w:lang w:val="en-US"/>
        </w:rPr>
      </w:pPr>
    </w:p>
    <w:p w:rsidR="0060285C" w:rsidRPr="002807AE" w:rsidRDefault="00CA51FF" w:rsidP="00A26107">
      <w:pPr>
        <w:spacing w:line="276" w:lineRule="auto"/>
        <w:jc w:val="both"/>
        <w:rPr>
          <w:rFonts w:ascii="Palatino Linotype" w:hAnsi="Palatino Linotype" w:cs="Arial"/>
          <w:b/>
          <w:sz w:val="22"/>
          <w:szCs w:val="22"/>
          <w:lang w:val="en-US"/>
        </w:rPr>
      </w:pPr>
      <w:r w:rsidRPr="002807AE">
        <w:rPr>
          <w:rFonts w:ascii="Palatino Linotype" w:hAnsi="Palatino Linotype" w:cs="Arial"/>
          <w:b/>
          <w:sz w:val="22"/>
          <w:szCs w:val="22"/>
          <w:lang w:val="en-US"/>
        </w:rPr>
        <w:lastRenderedPageBreak/>
        <w:t>Revisions in the old series</w:t>
      </w:r>
    </w:p>
    <w:p w:rsidR="0002266F" w:rsidRPr="002807AE" w:rsidRDefault="0002266F" w:rsidP="00A26107">
      <w:pPr>
        <w:spacing w:line="276" w:lineRule="auto"/>
        <w:jc w:val="both"/>
        <w:rPr>
          <w:rFonts w:ascii="Palatino Linotype" w:hAnsi="Palatino Linotype" w:cs="Arial"/>
          <w:sz w:val="22"/>
          <w:szCs w:val="22"/>
          <w:lang w:val="en-US"/>
        </w:rPr>
      </w:pPr>
    </w:p>
    <w:p w:rsidR="00E00A50" w:rsidRPr="009A059F" w:rsidRDefault="00A10F0D" w:rsidP="00A26107">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 xml:space="preserve">Were </w:t>
      </w:r>
      <w:r w:rsidR="00CA51FF" w:rsidRPr="009A059F">
        <w:rPr>
          <w:rFonts w:ascii="Palatino Linotype" w:hAnsi="Palatino Linotype" w:cs="Arial"/>
          <w:sz w:val="22"/>
          <w:szCs w:val="22"/>
          <w:lang w:val="en-US"/>
        </w:rPr>
        <w:t>th</w:t>
      </w:r>
      <w:r w:rsidRPr="009A059F">
        <w:rPr>
          <w:rFonts w:ascii="Palatino Linotype" w:hAnsi="Palatino Linotype" w:cs="Arial"/>
          <w:sz w:val="22"/>
          <w:szCs w:val="22"/>
          <w:lang w:val="en-US"/>
        </w:rPr>
        <w:t>ese</w:t>
      </w:r>
      <w:r w:rsidR="00CA51FF" w:rsidRPr="009A059F">
        <w:rPr>
          <w:rFonts w:ascii="Palatino Linotype" w:hAnsi="Palatino Linotype" w:cs="Arial"/>
          <w:sz w:val="22"/>
          <w:szCs w:val="22"/>
          <w:lang w:val="en-US"/>
        </w:rPr>
        <w:t xml:space="preserve"> revision movement</w:t>
      </w:r>
      <w:r w:rsidRPr="009A059F">
        <w:rPr>
          <w:rFonts w:ascii="Palatino Linotype" w:hAnsi="Palatino Linotype" w:cs="Arial"/>
          <w:sz w:val="22"/>
          <w:szCs w:val="22"/>
          <w:lang w:val="en-US"/>
        </w:rPr>
        <w:t>s observed</w:t>
      </w:r>
      <w:r w:rsidR="00CA51FF" w:rsidRPr="009A059F">
        <w:rPr>
          <w:rFonts w:ascii="Palatino Linotype" w:hAnsi="Palatino Linotype" w:cs="Arial"/>
          <w:sz w:val="22"/>
          <w:szCs w:val="22"/>
          <w:lang w:val="en-US"/>
        </w:rPr>
        <w:t xml:space="preserve"> in the new series also exist</w:t>
      </w:r>
      <w:r w:rsidRPr="009A059F">
        <w:rPr>
          <w:rFonts w:ascii="Palatino Linotype" w:hAnsi="Palatino Linotype" w:cs="Arial"/>
          <w:sz w:val="22"/>
          <w:szCs w:val="22"/>
          <w:lang w:val="en-US"/>
        </w:rPr>
        <w:t>ing</w:t>
      </w:r>
      <w:r w:rsidR="00CA51FF" w:rsidRPr="009A059F">
        <w:rPr>
          <w:rFonts w:ascii="Palatino Linotype" w:hAnsi="Palatino Linotype" w:cs="Arial"/>
          <w:sz w:val="22"/>
          <w:szCs w:val="22"/>
          <w:lang w:val="en-US"/>
        </w:rPr>
        <w:t xml:space="preserve"> in the old series? To </w:t>
      </w:r>
      <w:r w:rsidRPr="009A059F">
        <w:rPr>
          <w:rFonts w:ascii="Palatino Linotype" w:hAnsi="Palatino Linotype" w:cs="Arial"/>
          <w:sz w:val="22"/>
          <w:szCs w:val="22"/>
          <w:lang w:val="en-US"/>
        </w:rPr>
        <w:t xml:space="preserve">answer </w:t>
      </w:r>
      <w:r w:rsidR="00CA51FF" w:rsidRPr="009A059F">
        <w:rPr>
          <w:rFonts w:ascii="Palatino Linotype" w:hAnsi="Palatino Linotype" w:cs="Arial"/>
          <w:sz w:val="22"/>
          <w:szCs w:val="22"/>
          <w:lang w:val="en-US"/>
        </w:rPr>
        <w:t>this</w:t>
      </w:r>
      <w:r w:rsidRPr="009A059F">
        <w:rPr>
          <w:rFonts w:ascii="Palatino Linotype" w:hAnsi="Palatino Linotype" w:cs="Arial"/>
          <w:sz w:val="22"/>
          <w:szCs w:val="22"/>
          <w:lang w:val="en-US"/>
        </w:rPr>
        <w:t xml:space="preserve"> question</w:t>
      </w:r>
      <w:r w:rsidR="00CA51FF" w:rsidRPr="009A059F">
        <w:rPr>
          <w:rFonts w:ascii="Palatino Linotype" w:hAnsi="Palatino Linotype" w:cs="Arial"/>
          <w:sz w:val="22"/>
          <w:szCs w:val="22"/>
          <w:lang w:val="en-US"/>
        </w:rPr>
        <w:t xml:space="preserve"> we looked at the revisions of the five press releases that were published before the third quarter of 2016</w:t>
      </w:r>
      <w:r w:rsidR="00186205" w:rsidRPr="009A059F">
        <w:rPr>
          <w:rFonts w:ascii="Palatino Linotype" w:hAnsi="Palatino Linotype" w:cs="Arial"/>
          <w:sz w:val="22"/>
          <w:szCs w:val="22"/>
          <w:lang w:val="en-US"/>
        </w:rPr>
        <w:t xml:space="preserve">, </w:t>
      </w:r>
      <w:r w:rsidR="00CA51FF" w:rsidRPr="009A059F">
        <w:rPr>
          <w:rFonts w:ascii="Palatino Linotype" w:hAnsi="Palatino Linotype" w:cs="Arial"/>
          <w:sz w:val="22"/>
          <w:szCs w:val="22"/>
          <w:lang w:val="en-US"/>
        </w:rPr>
        <w:t xml:space="preserve">when press releases with new series began. All </w:t>
      </w:r>
      <w:r w:rsidR="008E5884" w:rsidRPr="009A059F">
        <w:rPr>
          <w:rFonts w:ascii="Palatino Linotype" w:hAnsi="Palatino Linotype" w:cs="Arial"/>
          <w:sz w:val="22"/>
          <w:szCs w:val="22"/>
          <w:lang w:val="en-US"/>
        </w:rPr>
        <w:t>annually and quarterly</w:t>
      </w:r>
      <w:r w:rsidR="00CA51FF" w:rsidRPr="009A059F">
        <w:rPr>
          <w:rFonts w:ascii="Palatino Linotype" w:hAnsi="Palatino Linotype" w:cs="Arial"/>
          <w:sz w:val="22"/>
          <w:szCs w:val="22"/>
          <w:lang w:val="en-US"/>
        </w:rPr>
        <w:t xml:space="preserve"> growth estimates and revisions from first quarter of 2012 (2012Q1)</w:t>
      </w:r>
      <w:r w:rsidR="008E5884" w:rsidRPr="009A059F">
        <w:rPr>
          <w:rFonts w:ascii="Palatino Linotype" w:hAnsi="Palatino Linotype" w:cs="Arial"/>
          <w:sz w:val="22"/>
          <w:szCs w:val="22"/>
          <w:lang w:val="en-US"/>
        </w:rPr>
        <w:t xml:space="preserve"> to second quarter of 2016 (2016Q2)</w:t>
      </w:r>
      <w:r w:rsidR="00CA51FF" w:rsidRPr="009A059F">
        <w:rPr>
          <w:rFonts w:ascii="Palatino Linotype" w:hAnsi="Palatino Linotype" w:cs="Arial"/>
          <w:sz w:val="22"/>
          <w:szCs w:val="22"/>
          <w:lang w:val="en-US"/>
        </w:rPr>
        <w:t xml:space="preserve"> can be seen in these press releases </w:t>
      </w:r>
      <w:r w:rsidR="008E5884" w:rsidRPr="009A059F">
        <w:rPr>
          <w:rFonts w:ascii="Palatino Linotype" w:hAnsi="Palatino Linotype" w:cs="Arial"/>
          <w:sz w:val="22"/>
          <w:szCs w:val="22"/>
          <w:lang w:val="en-US"/>
        </w:rPr>
        <w:t>(Table 2A and Table 2A; Tables start from 2014)</w:t>
      </w:r>
      <w:r w:rsidR="0002266F" w:rsidRPr="009A059F">
        <w:rPr>
          <w:rFonts w:ascii="Palatino Linotype" w:hAnsi="Palatino Linotype" w:cs="Arial"/>
          <w:sz w:val="22"/>
          <w:szCs w:val="22"/>
          <w:lang w:val="en-US"/>
        </w:rPr>
        <w:t>.</w:t>
      </w:r>
      <w:r w:rsidR="00307821" w:rsidRPr="009A059F">
        <w:rPr>
          <w:rFonts w:ascii="Palatino Linotype" w:hAnsi="Palatino Linotype" w:cs="Arial"/>
          <w:sz w:val="22"/>
          <w:szCs w:val="22"/>
          <w:lang w:val="en-US"/>
        </w:rPr>
        <w:t xml:space="preserve"> </w:t>
      </w:r>
      <w:r w:rsidR="00256C44" w:rsidRPr="009A059F">
        <w:rPr>
          <w:rFonts w:ascii="Palatino Linotype" w:hAnsi="Palatino Linotype" w:cs="Arial"/>
          <w:sz w:val="22"/>
          <w:szCs w:val="22"/>
          <w:lang w:val="en-US"/>
        </w:rPr>
        <w:t xml:space="preserve">As above, </w:t>
      </w:r>
      <w:r w:rsidR="00835B30" w:rsidRPr="009A059F">
        <w:rPr>
          <w:rFonts w:ascii="Palatino Linotype" w:hAnsi="Palatino Linotype" w:cs="Arial"/>
          <w:sz w:val="22"/>
          <w:szCs w:val="22"/>
          <w:lang w:val="en-US"/>
        </w:rPr>
        <w:t>we can look at the growth estimates on the graphs and evaluate revisions’ direction</w:t>
      </w:r>
      <w:r w:rsidR="00186205" w:rsidRPr="009A059F">
        <w:rPr>
          <w:rFonts w:ascii="Palatino Linotype" w:hAnsi="Palatino Linotype" w:cs="Arial"/>
          <w:sz w:val="22"/>
          <w:szCs w:val="22"/>
          <w:lang w:val="en-US"/>
        </w:rPr>
        <w:t>s</w:t>
      </w:r>
      <w:r w:rsidR="00835B30" w:rsidRPr="009A059F">
        <w:rPr>
          <w:rFonts w:ascii="Palatino Linotype" w:hAnsi="Palatino Linotype" w:cs="Arial"/>
          <w:sz w:val="22"/>
          <w:szCs w:val="22"/>
          <w:lang w:val="en-US"/>
        </w:rPr>
        <w:t xml:space="preserve"> and magnitude</w:t>
      </w:r>
      <w:r w:rsidR="00186205" w:rsidRPr="009A059F">
        <w:rPr>
          <w:rFonts w:ascii="Palatino Linotype" w:hAnsi="Palatino Linotype" w:cs="Arial"/>
          <w:sz w:val="22"/>
          <w:szCs w:val="22"/>
          <w:lang w:val="en-US"/>
        </w:rPr>
        <w:t>s</w:t>
      </w:r>
      <w:r w:rsidR="00835B30" w:rsidRPr="009A059F">
        <w:rPr>
          <w:rFonts w:ascii="Palatino Linotype" w:hAnsi="Palatino Linotype" w:cs="Arial"/>
          <w:sz w:val="22"/>
          <w:szCs w:val="22"/>
          <w:lang w:val="en-US"/>
        </w:rPr>
        <w:t>. (A</w:t>
      </w:r>
      <w:r w:rsidR="00186205" w:rsidRPr="009A059F">
        <w:rPr>
          <w:rFonts w:ascii="Palatino Linotype" w:hAnsi="Palatino Linotype" w:cs="Arial"/>
          <w:sz w:val="22"/>
          <w:szCs w:val="22"/>
          <w:lang w:val="en-US"/>
        </w:rPr>
        <w:t>nnex</w:t>
      </w:r>
      <w:r w:rsidR="00835B30" w:rsidRPr="009A059F">
        <w:rPr>
          <w:rFonts w:ascii="Palatino Linotype" w:hAnsi="Palatino Linotype" w:cs="Arial"/>
          <w:sz w:val="22"/>
          <w:szCs w:val="22"/>
          <w:lang w:val="en-US"/>
        </w:rPr>
        <w:t xml:space="preserve"> Graph 2A and 2B)</w:t>
      </w:r>
      <w:r w:rsidR="00A26107" w:rsidRPr="009A059F">
        <w:rPr>
          <w:rFonts w:ascii="Palatino Linotype" w:hAnsi="Palatino Linotype" w:cs="Arial"/>
          <w:sz w:val="22"/>
          <w:szCs w:val="22"/>
          <w:lang w:val="en-US"/>
        </w:rPr>
        <w:t xml:space="preserve"> </w:t>
      </w:r>
    </w:p>
    <w:p w:rsidR="00E00A50" w:rsidRPr="009A059F" w:rsidRDefault="00E00A50" w:rsidP="00A26107">
      <w:pPr>
        <w:spacing w:line="276" w:lineRule="auto"/>
        <w:jc w:val="both"/>
        <w:rPr>
          <w:rFonts w:ascii="Palatino Linotype" w:hAnsi="Palatino Linotype" w:cs="Arial"/>
          <w:sz w:val="22"/>
          <w:szCs w:val="22"/>
          <w:lang w:val="en-US"/>
        </w:rPr>
      </w:pPr>
    </w:p>
    <w:p w:rsidR="00835B30" w:rsidRPr="002807AE" w:rsidRDefault="00835B30" w:rsidP="00A26107">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 xml:space="preserve">It can be clearly seen that, growth rate revisions in the old GDP series are limited and more consistent than new ones. </w:t>
      </w:r>
      <w:r w:rsidR="007B5BFF" w:rsidRPr="009A059F">
        <w:rPr>
          <w:rFonts w:ascii="Palatino Linotype" w:hAnsi="Palatino Linotype" w:cs="Arial"/>
          <w:sz w:val="22"/>
          <w:szCs w:val="22"/>
          <w:lang w:val="en-US"/>
        </w:rPr>
        <w:t xml:space="preserve">The difference is very clear when comparing Tables 1A and 1B with Tables 2A and 2B. </w:t>
      </w:r>
      <w:r w:rsidR="006456D6" w:rsidRPr="009A059F">
        <w:rPr>
          <w:rFonts w:ascii="Palatino Linotype" w:hAnsi="Palatino Linotype" w:cs="Arial"/>
          <w:sz w:val="22"/>
          <w:szCs w:val="22"/>
          <w:lang w:val="en-US"/>
        </w:rPr>
        <w:t xml:space="preserve">In the old series, annual growth is either not revised or is usually revised by 0,1 percentage point (exceptionally 0.4 percentage points). Even if more revisions are made for quarterly growths in old series, revisions are often limited to 0.1 or 0.2 percentage points (exceptionally 0.4 or 0.5). </w:t>
      </w:r>
      <w:r w:rsidR="00875F42" w:rsidRPr="009A059F">
        <w:rPr>
          <w:rFonts w:ascii="Palatino Linotype" w:hAnsi="Palatino Linotype" w:cs="Arial"/>
          <w:sz w:val="22"/>
          <w:szCs w:val="22"/>
          <w:lang w:val="en-US"/>
        </w:rPr>
        <w:t>As we evidenced above revisions</w:t>
      </w:r>
      <w:r w:rsidR="006456D6" w:rsidRPr="009A059F">
        <w:rPr>
          <w:rFonts w:ascii="Palatino Linotype" w:hAnsi="Palatino Linotype" w:cs="Arial"/>
          <w:sz w:val="22"/>
          <w:szCs w:val="22"/>
          <w:lang w:val="en-US"/>
        </w:rPr>
        <w:t xml:space="preserve"> made in new series are </w:t>
      </w:r>
      <w:r w:rsidR="00875F42" w:rsidRPr="009A059F">
        <w:rPr>
          <w:rFonts w:ascii="Palatino Linotype" w:hAnsi="Palatino Linotype" w:cs="Arial"/>
          <w:sz w:val="22"/>
          <w:szCs w:val="22"/>
          <w:lang w:val="en-US"/>
        </w:rPr>
        <w:t>larger</w:t>
      </w:r>
      <w:r w:rsidR="006456D6" w:rsidRPr="009A059F">
        <w:rPr>
          <w:rFonts w:ascii="Palatino Linotype" w:hAnsi="Palatino Linotype" w:cs="Arial"/>
          <w:sz w:val="22"/>
          <w:szCs w:val="22"/>
          <w:lang w:val="en-US"/>
        </w:rPr>
        <w:t xml:space="preserve"> and </w:t>
      </w:r>
      <w:r w:rsidR="00875F42" w:rsidRPr="009A059F">
        <w:rPr>
          <w:rFonts w:ascii="Palatino Linotype" w:hAnsi="Palatino Linotype" w:cs="Arial"/>
          <w:sz w:val="22"/>
          <w:szCs w:val="22"/>
          <w:lang w:val="en-US"/>
        </w:rPr>
        <w:t>very frequent while</w:t>
      </w:r>
      <w:r w:rsidR="006456D6" w:rsidRPr="009A059F">
        <w:rPr>
          <w:rFonts w:ascii="Palatino Linotype" w:hAnsi="Palatino Linotype" w:cs="Arial"/>
          <w:sz w:val="22"/>
          <w:szCs w:val="22"/>
          <w:lang w:val="en-US"/>
        </w:rPr>
        <w:t xml:space="preserve"> revisions made in the old series are both </w:t>
      </w:r>
      <w:r w:rsidR="00875F42" w:rsidRPr="009A059F">
        <w:rPr>
          <w:rFonts w:ascii="Palatino Linotype" w:hAnsi="Palatino Linotype" w:cs="Arial"/>
          <w:sz w:val="22"/>
          <w:szCs w:val="22"/>
          <w:lang w:val="en-US"/>
        </w:rPr>
        <w:t>limited and less frequent</w:t>
      </w:r>
      <w:r w:rsidR="006456D6" w:rsidRPr="009A059F">
        <w:rPr>
          <w:rFonts w:ascii="Palatino Linotype" w:hAnsi="Palatino Linotype" w:cs="Arial"/>
          <w:sz w:val="22"/>
          <w:szCs w:val="22"/>
          <w:lang w:val="en-US"/>
        </w:rPr>
        <w:t>.</w:t>
      </w:r>
    </w:p>
    <w:p w:rsidR="007B5BFF" w:rsidRPr="002807AE" w:rsidRDefault="007B5BFF" w:rsidP="00A26107">
      <w:pPr>
        <w:spacing w:line="276" w:lineRule="auto"/>
        <w:jc w:val="both"/>
        <w:rPr>
          <w:rFonts w:ascii="Palatino Linotype" w:hAnsi="Palatino Linotype" w:cs="Arial"/>
          <w:sz w:val="22"/>
          <w:szCs w:val="22"/>
          <w:lang w:val="en-US"/>
        </w:rPr>
      </w:pPr>
    </w:p>
    <w:p w:rsidR="00466230" w:rsidRPr="002807AE" w:rsidRDefault="00466230" w:rsidP="00A26107">
      <w:pPr>
        <w:jc w:val="both"/>
        <w:rPr>
          <w:rFonts w:ascii="Palatino Linotype" w:hAnsi="Palatino Linotype" w:cs="Arial"/>
          <w:sz w:val="22"/>
          <w:szCs w:val="22"/>
          <w:lang w:val="en-US"/>
        </w:rPr>
      </w:pPr>
    </w:p>
    <w:p w:rsidR="00FE37DD" w:rsidRPr="002807AE" w:rsidRDefault="00FE37DD" w:rsidP="00A26107">
      <w:pPr>
        <w:jc w:val="both"/>
        <w:rPr>
          <w:rFonts w:ascii="Palatino Linotype" w:hAnsi="Palatino Linotype" w:cs="Arial"/>
          <w:b/>
          <w:sz w:val="22"/>
          <w:szCs w:val="22"/>
          <w:lang w:val="en-US"/>
        </w:rPr>
      </w:pPr>
      <w:r w:rsidRPr="002807AE">
        <w:rPr>
          <w:rFonts w:ascii="Palatino Linotype" w:hAnsi="Palatino Linotype" w:cs="Arial"/>
          <w:b/>
          <w:sz w:val="22"/>
          <w:szCs w:val="22"/>
          <w:lang w:val="en-US"/>
        </w:rPr>
        <w:t>Tabl</w:t>
      </w:r>
      <w:r w:rsidR="004F1822">
        <w:rPr>
          <w:rFonts w:ascii="Palatino Linotype" w:hAnsi="Palatino Linotype" w:cs="Arial"/>
          <w:b/>
          <w:sz w:val="22"/>
          <w:szCs w:val="22"/>
          <w:lang w:val="en-US"/>
        </w:rPr>
        <w:t>e</w:t>
      </w:r>
      <w:r w:rsidRPr="002807AE">
        <w:rPr>
          <w:rFonts w:ascii="Palatino Linotype" w:hAnsi="Palatino Linotype" w:cs="Arial"/>
          <w:b/>
          <w:sz w:val="22"/>
          <w:szCs w:val="22"/>
          <w:lang w:val="en-US"/>
        </w:rPr>
        <w:t xml:space="preserve"> 2A: </w:t>
      </w:r>
      <w:r w:rsidR="004F1822">
        <w:rPr>
          <w:rFonts w:ascii="Palatino Linotype" w:hAnsi="Palatino Linotype" w:cs="Arial"/>
          <w:b/>
          <w:sz w:val="22"/>
          <w:szCs w:val="22"/>
          <w:lang w:val="en-US"/>
        </w:rPr>
        <w:t xml:space="preserve">Revisions in the annually growth estimates </w:t>
      </w:r>
      <w:r w:rsidR="004F1822" w:rsidRPr="002807AE">
        <w:rPr>
          <w:rFonts w:ascii="Palatino Linotype" w:hAnsi="Palatino Linotype" w:cs="Arial"/>
          <w:b/>
          <w:sz w:val="22"/>
          <w:szCs w:val="22"/>
          <w:lang w:val="en-US"/>
        </w:rPr>
        <w:t>(</w:t>
      </w:r>
      <w:r w:rsidR="004F1822">
        <w:rPr>
          <w:rFonts w:ascii="Palatino Linotype" w:hAnsi="Palatino Linotype" w:cs="Arial"/>
          <w:b/>
          <w:sz w:val="22"/>
          <w:szCs w:val="22"/>
          <w:lang w:val="en-US"/>
        </w:rPr>
        <w:t>Old</w:t>
      </w:r>
      <w:r w:rsidR="004F1822" w:rsidRPr="002807AE">
        <w:rPr>
          <w:rFonts w:ascii="Palatino Linotype" w:hAnsi="Palatino Linotype" w:cs="Arial"/>
          <w:b/>
          <w:sz w:val="22"/>
          <w:szCs w:val="22"/>
          <w:lang w:val="en-US"/>
        </w:rPr>
        <w:t xml:space="preserve"> Seri</w:t>
      </w:r>
      <w:r w:rsidR="004F1822">
        <w:rPr>
          <w:rFonts w:ascii="Palatino Linotype" w:hAnsi="Palatino Linotype" w:cs="Arial"/>
          <w:b/>
          <w:sz w:val="22"/>
          <w:szCs w:val="22"/>
          <w:lang w:val="en-US"/>
        </w:rPr>
        <w:t>es</w:t>
      </w:r>
      <w:r w:rsidR="004F1822" w:rsidRPr="002807AE">
        <w:rPr>
          <w:rFonts w:ascii="Palatino Linotype" w:hAnsi="Palatino Linotype" w:cs="Arial"/>
          <w:b/>
          <w:sz w:val="22"/>
          <w:szCs w:val="22"/>
          <w:lang w:val="en-US"/>
        </w:rPr>
        <w:t>)</w:t>
      </w:r>
    </w:p>
    <w:tbl>
      <w:tblPr>
        <w:tblW w:w="7768" w:type="dxa"/>
        <w:tblCellMar>
          <w:left w:w="70" w:type="dxa"/>
          <w:right w:w="70" w:type="dxa"/>
        </w:tblCellMar>
        <w:tblLook w:val="04A0" w:firstRow="1" w:lastRow="0" w:firstColumn="1" w:lastColumn="0" w:noHBand="0" w:noVBand="1"/>
      </w:tblPr>
      <w:tblGrid>
        <w:gridCol w:w="926"/>
        <w:gridCol w:w="971"/>
        <w:gridCol w:w="971"/>
        <w:gridCol w:w="971"/>
        <w:gridCol w:w="971"/>
        <w:gridCol w:w="971"/>
        <w:gridCol w:w="972"/>
        <w:gridCol w:w="1015"/>
      </w:tblGrid>
      <w:tr w:rsidR="006456D6" w:rsidRPr="002807AE" w:rsidTr="009260D9">
        <w:trPr>
          <w:trHeight w:val="297"/>
        </w:trPr>
        <w:tc>
          <w:tcPr>
            <w:tcW w:w="1897"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6456D6" w:rsidRPr="002807AE" w:rsidRDefault="006456D6" w:rsidP="006456D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Annually Growth         (Growth rates compared to same quarter of previous year)</w:t>
            </w:r>
          </w:p>
        </w:tc>
        <w:tc>
          <w:tcPr>
            <w:tcW w:w="4856"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6456D6" w:rsidRPr="002807AE" w:rsidRDefault="006456D6" w:rsidP="006456D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Press Releases Period</w:t>
            </w:r>
          </w:p>
        </w:tc>
        <w:tc>
          <w:tcPr>
            <w:tcW w:w="1015"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456D6" w:rsidRPr="002807AE" w:rsidRDefault="006456D6" w:rsidP="006456D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Last estimate</w:t>
            </w:r>
          </w:p>
        </w:tc>
      </w:tr>
      <w:tr w:rsidR="00FE37DD" w:rsidRPr="002807AE" w:rsidTr="009260D9">
        <w:trPr>
          <w:trHeight w:val="394"/>
        </w:trPr>
        <w:tc>
          <w:tcPr>
            <w:tcW w:w="1897"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2807AE" w:rsidRDefault="00FE37DD" w:rsidP="00FE37DD">
            <w:pPr>
              <w:rPr>
                <w:rFonts w:ascii="Palatino Linotype" w:hAnsi="Palatino Linotype"/>
                <w:color w:val="000000"/>
                <w:sz w:val="18"/>
                <w:szCs w:val="18"/>
                <w:lang w:val="en-US"/>
              </w:rPr>
            </w:pPr>
          </w:p>
        </w:tc>
        <w:tc>
          <w:tcPr>
            <w:tcW w:w="4856" w:type="dxa"/>
            <w:gridSpan w:val="5"/>
            <w:vMerge/>
            <w:tcBorders>
              <w:top w:val="single" w:sz="8" w:space="0" w:color="auto"/>
              <w:left w:val="single" w:sz="4" w:space="0" w:color="auto"/>
              <w:bottom w:val="single" w:sz="4" w:space="0" w:color="000000"/>
              <w:right w:val="single" w:sz="4" w:space="0" w:color="000000"/>
            </w:tcBorders>
            <w:vAlign w:val="center"/>
            <w:hideMark/>
          </w:tcPr>
          <w:p w:rsidR="00FE37DD" w:rsidRPr="002807AE" w:rsidRDefault="00FE37DD" w:rsidP="00FE37DD">
            <w:pPr>
              <w:rPr>
                <w:rFonts w:ascii="Palatino Linotype" w:hAnsi="Palatino Linotype"/>
                <w:color w:val="000000"/>
                <w:sz w:val="18"/>
                <w:szCs w:val="18"/>
                <w:lang w:val="en-US"/>
              </w:rPr>
            </w:pPr>
          </w:p>
        </w:tc>
        <w:tc>
          <w:tcPr>
            <w:tcW w:w="1015" w:type="dxa"/>
            <w:vMerge/>
            <w:tcBorders>
              <w:top w:val="single" w:sz="8" w:space="0" w:color="auto"/>
              <w:left w:val="single" w:sz="4" w:space="0" w:color="auto"/>
              <w:bottom w:val="single" w:sz="4" w:space="0" w:color="000000"/>
              <w:right w:val="single" w:sz="8"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r>
      <w:tr w:rsidR="00FE37DD" w:rsidRPr="002807AE" w:rsidTr="006456D6">
        <w:trPr>
          <w:trHeight w:val="394"/>
        </w:trPr>
        <w:tc>
          <w:tcPr>
            <w:tcW w:w="1897"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vMerge w:val="restart"/>
            <w:tcBorders>
              <w:top w:val="nil"/>
              <w:left w:val="single" w:sz="4" w:space="0" w:color="auto"/>
              <w:bottom w:val="single" w:sz="4" w:space="0" w:color="000000"/>
              <w:right w:val="nil"/>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xml:space="preserve">2015 </w:t>
            </w:r>
            <w:r w:rsidR="006456D6" w:rsidRPr="002807AE">
              <w:rPr>
                <w:rFonts w:ascii="Palatino Linotype" w:hAnsi="Palatino Linotype"/>
                <w:color w:val="000000"/>
                <w:sz w:val="18"/>
                <w:szCs w:val="18"/>
                <w:lang w:val="en-US"/>
              </w:rPr>
              <w:t>Q</w:t>
            </w:r>
            <w:r w:rsidRPr="002807AE">
              <w:rPr>
                <w:rFonts w:ascii="Palatino Linotype" w:hAnsi="Palatino Linotype"/>
                <w:color w:val="000000"/>
                <w:sz w:val="18"/>
                <w:szCs w:val="18"/>
                <w:lang w:val="en-US"/>
              </w:rPr>
              <w:t>2</w:t>
            </w:r>
          </w:p>
        </w:tc>
        <w:tc>
          <w:tcPr>
            <w:tcW w:w="971" w:type="dxa"/>
            <w:vMerge w:val="restart"/>
            <w:tcBorders>
              <w:top w:val="nil"/>
              <w:left w:val="nil"/>
              <w:bottom w:val="single" w:sz="4" w:space="0" w:color="000000"/>
              <w:right w:val="nil"/>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xml:space="preserve">2015 </w:t>
            </w:r>
            <w:r w:rsidR="006456D6" w:rsidRPr="002807AE">
              <w:rPr>
                <w:rFonts w:ascii="Palatino Linotype" w:hAnsi="Palatino Linotype"/>
                <w:color w:val="000000"/>
                <w:sz w:val="18"/>
                <w:szCs w:val="18"/>
                <w:lang w:val="en-US"/>
              </w:rPr>
              <w:t>Q</w:t>
            </w:r>
            <w:r w:rsidRPr="002807AE">
              <w:rPr>
                <w:rFonts w:ascii="Palatino Linotype" w:hAnsi="Palatino Linotype"/>
                <w:color w:val="000000"/>
                <w:sz w:val="18"/>
                <w:szCs w:val="18"/>
                <w:lang w:val="en-US"/>
              </w:rPr>
              <w:t>3</w:t>
            </w:r>
          </w:p>
        </w:tc>
        <w:tc>
          <w:tcPr>
            <w:tcW w:w="971" w:type="dxa"/>
            <w:vMerge w:val="restart"/>
            <w:tcBorders>
              <w:top w:val="nil"/>
              <w:left w:val="nil"/>
              <w:bottom w:val="single" w:sz="4" w:space="0" w:color="000000"/>
              <w:right w:val="nil"/>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xml:space="preserve">2015 </w:t>
            </w:r>
            <w:r w:rsidR="006456D6" w:rsidRPr="002807AE">
              <w:rPr>
                <w:rFonts w:ascii="Palatino Linotype" w:hAnsi="Palatino Linotype"/>
                <w:color w:val="000000"/>
                <w:sz w:val="18"/>
                <w:szCs w:val="18"/>
                <w:lang w:val="en-US"/>
              </w:rPr>
              <w:t>Q</w:t>
            </w:r>
            <w:r w:rsidRPr="002807AE">
              <w:rPr>
                <w:rFonts w:ascii="Palatino Linotype" w:hAnsi="Palatino Linotype"/>
                <w:color w:val="000000"/>
                <w:sz w:val="18"/>
                <w:szCs w:val="18"/>
                <w:lang w:val="en-US"/>
              </w:rPr>
              <w:t>4</w:t>
            </w:r>
          </w:p>
        </w:tc>
        <w:tc>
          <w:tcPr>
            <w:tcW w:w="971" w:type="dxa"/>
            <w:vMerge w:val="restart"/>
            <w:tcBorders>
              <w:top w:val="nil"/>
              <w:left w:val="nil"/>
              <w:bottom w:val="single" w:sz="4" w:space="0" w:color="000000"/>
              <w:right w:val="nil"/>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xml:space="preserve">2016 </w:t>
            </w:r>
            <w:r w:rsidR="006456D6" w:rsidRPr="002807AE">
              <w:rPr>
                <w:rFonts w:ascii="Palatino Linotype" w:hAnsi="Palatino Linotype"/>
                <w:color w:val="000000"/>
                <w:sz w:val="18"/>
                <w:szCs w:val="18"/>
                <w:lang w:val="en-US"/>
              </w:rPr>
              <w:t>Q</w:t>
            </w:r>
            <w:r w:rsidRPr="002807AE">
              <w:rPr>
                <w:rFonts w:ascii="Palatino Linotype" w:hAnsi="Palatino Linotype"/>
                <w:color w:val="000000"/>
                <w:sz w:val="18"/>
                <w:szCs w:val="18"/>
                <w:lang w:val="en-US"/>
              </w:rPr>
              <w:t>1</w:t>
            </w:r>
          </w:p>
        </w:tc>
        <w:tc>
          <w:tcPr>
            <w:tcW w:w="972" w:type="dxa"/>
            <w:vMerge w:val="restart"/>
            <w:tcBorders>
              <w:top w:val="nil"/>
              <w:left w:val="nil"/>
              <w:bottom w:val="single" w:sz="4" w:space="0" w:color="000000"/>
              <w:right w:val="single" w:sz="4" w:space="0" w:color="auto"/>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xml:space="preserve">2016 </w:t>
            </w:r>
            <w:r w:rsidR="006456D6" w:rsidRPr="002807AE">
              <w:rPr>
                <w:rFonts w:ascii="Palatino Linotype" w:hAnsi="Palatino Linotype"/>
                <w:color w:val="000000"/>
                <w:sz w:val="18"/>
                <w:szCs w:val="18"/>
                <w:lang w:val="en-US"/>
              </w:rPr>
              <w:t>Q</w:t>
            </w:r>
            <w:r w:rsidRPr="002807AE">
              <w:rPr>
                <w:rFonts w:ascii="Palatino Linotype" w:hAnsi="Palatino Linotype"/>
                <w:color w:val="000000"/>
                <w:sz w:val="18"/>
                <w:szCs w:val="18"/>
                <w:lang w:val="en-US"/>
              </w:rPr>
              <w:t>2</w:t>
            </w:r>
          </w:p>
        </w:tc>
        <w:tc>
          <w:tcPr>
            <w:tcW w:w="1015" w:type="dxa"/>
            <w:vMerge w:val="restart"/>
            <w:tcBorders>
              <w:top w:val="nil"/>
              <w:left w:val="single" w:sz="4" w:space="0" w:color="auto"/>
              <w:bottom w:val="single" w:sz="4" w:space="0" w:color="000000"/>
              <w:right w:val="single" w:sz="8" w:space="0" w:color="auto"/>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xml:space="preserve">2016 </w:t>
            </w:r>
            <w:r w:rsidR="006456D6" w:rsidRPr="002807AE">
              <w:rPr>
                <w:rFonts w:ascii="Palatino Linotype" w:hAnsi="Palatino Linotype"/>
                <w:color w:val="000000"/>
                <w:sz w:val="18"/>
                <w:szCs w:val="18"/>
                <w:lang w:val="en-US"/>
              </w:rPr>
              <w:t>Q</w:t>
            </w:r>
            <w:r w:rsidRPr="002807AE">
              <w:rPr>
                <w:rFonts w:ascii="Palatino Linotype" w:hAnsi="Palatino Linotype"/>
                <w:color w:val="000000"/>
                <w:sz w:val="18"/>
                <w:szCs w:val="18"/>
                <w:lang w:val="en-US"/>
              </w:rPr>
              <w:t>2</w:t>
            </w:r>
          </w:p>
        </w:tc>
      </w:tr>
      <w:tr w:rsidR="00FE37DD" w:rsidRPr="002807AE" w:rsidTr="006456D6">
        <w:trPr>
          <w:trHeight w:val="394"/>
        </w:trPr>
        <w:tc>
          <w:tcPr>
            <w:tcW w:w="1897"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vMerge/>
            <w:tcBorders>
              <w:top w:val="nil"/>
              <w:left w:val="single" w:sz="4" w:space="0" w:color="auto"/>
              <w:bottom w:val="single" w:sz="4" w:space="0" w:color="000000"/>
              <w:right w:val="nil"/>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vMerge/>
            <w:tcBorders>
              <w:top w:val="nil"/>
              <w:left w:val="nil"/>
              <w:bottom w:val="single" w:sz="4" w:space="0" w:color="000000"/>
              <w:right w:val="nil"/>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vMerge/>
            <w:tcBorders>
              <w:top w:val="nil"/>
              <w:left w:val="nil"/>
              <w:bottom w:val="single" w:sz="4" w:space="0" w:color="000000"/>
              <w:right w:val="nil"/>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vMerge/>
            <w:tcBorders>
              <w:top w:val="nil"/>
              <w:left w:val="nil"/>
              <w:bottom w:val="single" w:sz="4" w:space="0" w:color="000000"/>
              <w:right w:val="nil"/>
            </w:tcBorders>
            <w:vAlign w:val="center"/>
            <w:hideMark/>
          </w:tcPr>
          <w:p w:rsidR="00FE37DD" w:rsidRPr="002807AE" w:rsidRDefault="00FE37DD" w:rsidP="00FE37DD">
            <w:pPr>
              <w:rPr>
                <w:rFonts w:ascii="Palatino Linotype" w:hAnsi="Palatino Linotype"/>
                <w:color w:val="000000"/>
                <w:sz w:val="18"/>
                <w:szCs w:val="18"/>
                <w:lang w:val="en-US"/>
              </w:rPr>
            </w:pPr>
          </w:p>
        </w:tc>
        <w:tc>
          <w:tcPr>
            <w:tcW w:w="972" w:type="dxa"/>
            <w:vMerge/>
            <w:tcBorders>
              <w:top w:val="nil"/>
              <w:left w:val="nil"/>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1015" w:type="dxa"/>
            <w:vMerge/>
            <w:tcBorders>
              <w:top w:val="nil"/>
              <w:left w:val="single" w:sz="4" w:space="0" w:color="auto"/>
              <w:bottom w:val="single" w:sz="4" w:space="0" w:color="000000"/>
              <w:right w:val="single" w:sz="8"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r>
      <w:tr w:rsidR="00FE37DD" w:rsidRPr="002807AE" w:rsidTr="006456D6">
        <w:trPr>
          <w:trHeight w:val="258"/>
        </w:trPr>
        <w:tc>
          <w:tcPr>
            <w:tcW w:w="926" w:type="dxa"/>
            <w:vMerge w:val="restart"/>
            <w:tcBorders>
              <w:top w:val="nil"/>
              <w:left w:val="single" w:sz="8" w:space="0" w:color="auto"/>
              <w:bottom w:val="single" w:sz="4" w:space="0" w:color="000000"/>
              <w:right w:val="single" w:sz="4" w:space="0" w:color="auto"/>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2014</w:t>
            </w:r>
          </w:p>
        </w:tc>
        <w:tc>
          <w:tcPr>
            <w:tcW w:w="971" w:type="dxa"/>
            <w:tcBorders>
              <w:top w:val="nil"/>
              <w:left w:val="nil"/>
              <w:bottom w:val="nil"/>
              <w:right w:val="single" w:sz="4" w:space="0" w:color="auto"/>
            </w:tcBorders>
            <w:shd w:val="clear" w:color="auto" w:fill="auto"/>
            <w:noWrap/>
            <w:vAlign w:val="bottom"/>
            <w:hideMark/>
          </w:tcPr>
          <w:p w:rsidR="00FE37DD" w:rsidRPr="002807AE" w:rsidRDefault="006456D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1</w:t>
            </w:r>
          </w:p>
        </w:tc>
        <w:tc>
          <w:tcPr>
            <w:tcW w:w="971"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5.0</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2"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5.2</w:t>
            </w:r>
          </w:p>
        </w:tc>
      </w:tr>
      <w:tr w:rsidR="00FE37DD" w:rsidRPr="002807AE" w:rsidTr="006456D6">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tcBorders>
              <w:top w:val="nil"/>
              <w:left w:val="nil"/>
              <w:bottom w:val="nil"/>
              <w:right w:val="single" w:sz="4" w:space="0" w:color="auto"/>
            </w:tcBorders>
            <w:shd w:val="clear" w:color="auto" w:fill="auto"/>
            <w:noWrap/>
            <w:vAlign w:val="bottom"/>
            <w:hideMark/>
          </w:tcPr>
          <w:p w:rsidR="00FE37DD" w:rsidRPr="002807AE" w:rsidRDefault="006456D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2</w:t>
            </w:r>
          </w:p>
        </w:tc>
        <w:tc>
          <w:tcPr>
            <w:tcW w:w="971"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2.6</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2"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2.5</w:t>
            </w:r>
          </w:p>
        </w:tc>
      </w:tr>
      <w:tr w:rsidR="00FE37DD" w:rsidRPr="002807AE" w:rsidTr="006456D6">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tcBorders>
              <w:top w:val="nil"/>
              <w:left w:val="nil"/>
              <w:bottom w:val="nil"/>
              <w:right w:val="single" w:sz="4" w:space="0" w:color="auto"/>
            </w:tcBorders>
            <w:shd w:val="clear" w:color="auto" w:fill="auto"/>
            <w:noWrap/>
            <w:vAlign w:val="bottom"/>
            <w:hideMark/>
          </w:tcPr>
          <w:p w:rsidR="00FE37DD" w:rsidRPr="002807AE" w:rsidRDefault="006456D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3</w:t>
            </w:r>
          </w:p>
        </w:tc>
        <w:tc>
          <w:tcPr>
            <w:tcW w:w="971"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1.8</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2"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1.8</w:t>
            </w:r>
          </w:p>
        </w:tc>
      </w:tr>
      <w:tr w:rsidR="00FE37DD" w:rsidRPr="002807AE" w:rsidTr="006456D6">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tcBorders>
              <w:top w:val="nil"/>
              <w:left w:val="nil"/>
              <w:bottom w:val="single" w:sz="4" w:space="0" w:color="auto"/>
              <w:right w:val="single" w:sz="4" w:space="0" w:color="auto"/>
            </w:tcBorders>
            <w:shd w:val="clear" w:color="auto" w:fill="auto"/>
            <w:noWrap/>
            <w:vAlign w:val="bottom"/>
            <w:hideMark/>
          </w:tcPr>
          <w:p w:rsidR="00FE37DD" w:rsidRPr="002807AE" w:rsidRDefault="006456D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4</w:t>
            </w:r>
          </w:p>
        </w:tc>
        <w:tc>
          <w:tcPr>
            <w:tcW w:w="971" w:type="dxa"/>
            <w:tcBorders>
              <w:top w:val="nil"/>
              <w:left w:val="nil"/>
              <w:bottom w:val="single" w:sz="4" w:space="0" w:color="auto"/>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2.6</w:t>
            </w:r>
          </w:p>
        </w:tc>
        <w:tc>
          <w:tcPr>
            <w:tcW w:w="971"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1"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c>
          <w:tcPr>
            <w:tcW w:w="971"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2"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15" w:type="dxa"/>
            <w:tcBorders>
              <w:top w:val="nil"/>
              <w:left w:val="single" w:sz="4" w:space="0" w:color="auto"/>
              <w:bottom w:val="single" w:sz="4" w:space="0" w:color="auto"/>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3.0</w:t>
            </w:r>
          </w:p>
        </w:tc>
      </w:tr>
      <w:tr w:rsidR="00FE37DD" w:rsidRPr="002807AE" w:rsidTr="006456D6">
        <w:trPr>
          <w:trHeight w:val="258"/>
        </w:trPr>
        <w:tc>
          <w:tcPr>
            <w:tcW w:w="926" w:type="dxa"/>
            <w:vMerge w:val="restart"/>
            <w:tcBorders>
              <w:top w:val="nil"/>
              <w:left w:val="single" w:sz="8" w:space="0" w:color="auto"/>
              <w:bottom w:val="single" w:sz="4" w:space="0" w:color="000000"/>
              <w:right w:val="single" w:sz="4" w:space="0" w:color="auto"/>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2015</w:t>
            </w:r>
          </w:p>
        </w:tc>
        <w:tc>
          <w:tcPr>
            <w:tcW w:w="971" w:type="dxa"/>
            <w:tcBorders>
              <w:top w:val="nil"/>
              <w:left w:val="nil"/>
              <w:bottom w:val="nil"/>
              <w:right w:val="single" w:sz="4" w:space="0" w:color="auto"/>
            </w:tcBorders>
            <w:shd w:val="clear" w:color="auto" w:fill="auto"/>
            <w:noWrap/>
            <w:vAlign w:val="bottom"/>
            <w:hideMark/>
          </w:tcPr>
          <w:p w:rsidR="00FE37DD" w:rsidRPr="002807AE" w:rsidRDefault="006456D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1</w:t>
            </w:r>
          </w:p>
        </w:tc>
        <w:tc>
          <w:tcPr>
            <w:tcW w:w="971"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2.6</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2"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2.5</w:t>
            </w:r>
          </w:p>
        </w:tc>
      </w:tr>
      <w:tr w:rsidR="00FE37DD" w:rsidRPr="002807AE" w:rsidTr="006456D6">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tcBorders>
              <w:top w:val="nil"/>
              <w:left w:val="nil"/>
              <w:bottom w:val="nil"/>
              <w:right w:val="single" w:sz="4" w:space="0" w:color="auto"/>
            </w:tcBorders>
            <w:shd w:val="clear" w:color="auto" w:fill="auto"/>
            <w:noWrap/>
            <w:vAlign w:val="bottom"/>
            <w:hideMark/>
          </w:tcPr>
          <w:p w:rsidR="00FE37DD" w:rsidRPr="002807AE" w:rsidRDefault="006456D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2</w:t>
            </w:r>
          </w:p>
        </w:tc>
        <w:tc>
          <w:tcPr>
            <w:tcW w:w="971"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3.8</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2"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3.7</w:t>
            </w:r>
          </w:p>
        </w:tc>
      </w:tr>
      <w:tr w:rsidR="00FE37DD" w:rsidRPr="002807AE" w:rsidTr="006456D6">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tcBorders>
              <w:top w:val="nil"/>
              <w:left w:val="nil"/>
              <w:bottom w:val="nil"/>
              <w:right w:val="single" w:sz="4" w:space="0" w:color="auto"/>
            </w:tcBorders>
            <w:shd w:val="clear" w:color="auto" w:fill="auto"/>
            <w:noWrap/>
            <w:vAlign w:val="bottom"/>
            <w:hideMark/>
          </w:tcPr>
          <w:p w:rsidR="00FE37DD" w:rsidRPr="002807AE" w:rsidRDefault="006456D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3</w:t>
            </w:r>
          </w:p>
        </w:tc>
        <w:tc>
          <w:tcPr>
            <w:tcW w:w="971" w:type="dxa"/>
            <w:tcBorders>
              <w:top w:val="nil"/>
              <w:left w:val="nil"/>
              <w:bottom w:val="nil"/>
              <w:right w:val="nil"/>
            </w:tcBorders>
            <w:shd w:val="clear" w:color="auto" w:fill="auto"/>
            <w:noWrap/>
            <w:vAlign w:val="bottom"/>
            <w:hideMark/>
          </w:tcPr>
          <w:p w:rsidR="00FE37DD" w:rsidRPr="002807AE" w:rsidRDefault="00FE37DD" w:rsidP="00FE37DD">
            <w:pPr>
              <w:jc w:val="center"/>
              <w:rPr>
                <w:rFonts w:ascii="Palatino Linotype" w:hAnsi="Palatino Linotype"/>
                <w:color w:val="000000"/>
                <w:sz w:val="18"/>
                <w:szCs w:val="18"/>
                <w:lang w:val="en-US"/>
              </w:rPr>
            </w:pPr>
          </w:p>
        </w:tc>
        <w:tc>
          <w:tcPr>
            <w:tcW w:w="971" w:type="dxa"/>
            <w:tcBorders>
              <w:top w:val="nil"/>
              <w:left w:val="nil"/>
              <w:bottom w:val="nil"/>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5.4</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1"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72" w:type="dxa"/>
            <w:tcBorders>
              <w:top w:val="nil"/>
              <w:left w:val="nil"/>
              <w:bottom w:val="nil"/>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4.9</w:t>
            </w:r>
          </w:p>
        </w:tc>
      </w:tr>
      <w:tr w:rsidR="00FE37DD" w:rsidRPr="002807AE" w:rsidTr="006456D6">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tcBorders>
              <w:top w:val="nil"/>
              <w:left w:val="nil"/>
              <w:bottom w:val="single" w:sz="4" w:space="0" w:color="auto"/>
              <w:right w:val="single" w:sz="4" w:space="0" w:color="auto"/>
            </w:tcBorders>
            <w:shd w:val="clear" w:color="auto" w:fill="auto"/>
            <w:noWrap/>
            <w:vAlign w:val="bottom"/>
            <w:hideMark/>
          </w:tcPr>
          <w:p w:rsidR="00FE37DD" w:rsidRPr="002807AE" w:rsidRDefault="006456D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4</w:t>
            </w:r>
          </w:p>
        </w:tc>
        <w:tc>
          <w:tcPr>
            <w:tcW w:w="971" w:type="dxa"/>
            <w:tcBorders>
              <w:top w:val="nil"/>
              <w:left w:val="nil"/>
              <w:bottom w:val="single" w:sz="4" w:space="0" w:color="auto"/>
              <w:right w:val="nil"/>
            </w:tcBorders>
            <w:shd w:val="clear" w:color="auto" w:fill="auto"/>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1" w:type="dxa"/>
            <w:tcBorders>
              <w:top w:val="nil"/>
              <w:left w:val="nil"/>
              <w:bottom w:val="single" w:sz="4" w:space="0" w:color="auto"/>
              <w:right w:val="nil"/>
            </w:tcBorders>
            <w:shd w:val="clear" w:color="auto" w:fill="auto"/>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1" w:type="dxa"/>
            <w:tcBorders>
              <w:top w:val="nil"/>
              <w:left w:val="nil"/>
              <w:bottom w:val="single" w:sz="4" w:space="0" w:color="auto"/>
              <w:right w:val="nil"/>
            </w:tcBorders>
            <w:shd w:val="clear" w:color="000000" w:fill="FFFF0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4.1</w:t>
            </w:r>
          </w:p>
        </w:tc>
        <w:tc>
          <w:tcPr>
            <w:tcW w:w="971"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72" w:type="dxa"/>
            <w:tcBorders>
              <w:top w:val="nil"/>
              <w:left w:val="nil"/>
              <w:bottom w:val="single" w:sz="4" w:space="0" w:color="auto"/>
              <w:right w:val="nil"/>
            </w:tcBorders>
            <w:shd w:val="clear" w:color="000000" w:fill="E7E6E6"/>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15" w:type="dxa"/>
            <w:tcBorders>
              <w:top w:val="nil"/>
              <w:left w:val="single" w:sz="4" w:space="0" w:color="auto"/>
              <w:bottom w:val="single" w:sz="4" w:space="0" w:color="auto"/>
              <w:right w:val="single" w:sz="8" w:space="0" w:color="auto"/>
            </w:tcBorders>
            <w:shd w:val="clear" w:color="000000" w:fill="92D050"/>
            <w:noWrap/>
            <w:vAlign w:val="bottom"/>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4.5</w:t>
            </w:r>
          </w:p>
        </w:tc>
      </w:tr>
      <w:tr w:rsidR="00FE37DD" w:rsidRPr="002807AE" w:rsidTr="006456D6">
        <w:trPr>
          <w:trHeight w:val="258"/>
        </w:trPr>
        <w:tc>
          <w:tcPr>
            <w:tcW w:w="926" w:type="dxa"/>
            <w:vMerge w:val="restart"/>
            <w:tcBorders>
              <w:top w:val="nil"/>
              <w:left w:val="single" w:sz="8" w:space="0" w:color="auto"/>
              <w:bottom w:val="single" w:sz="8" w:space="0" w:color="000000"/>
              <w:right w:val="single" w:sz="4" w:space="0" w:color="auto"/>
            </w:tcBorders>
            <w:shd w:val="clear" w:color="auto" w:fill="auto"/>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p>
        </w:tc>
        <w:tc>
          <w:tcPr>
            <w:tcW w:w="971" w:type="dxa"/>
            <w:tcBorders>
              <w:top w:val="nil"/>
              <w:left w:val="nil"/>
              <w:bottom w:val="nil"/>
              <w:right w:val="single" w:sz="4" w:space="0" w:color="auto"/>
            </w:tcBorders>
            <w:shd w:val="clear" w:color="auto" w:fill="auto"/>
            <w:noWrap/>
            <w:vAlign w:val="bottom"/>
            <w:hideMark/>
          </w:tcPr>
          <w:p w:rsidR="00FE37DD" w:rsidRPr="002807AE" w:rsidRDefault="006456D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1</w:t>
            </w:r>
          </w:p>
        </w:tc>
        <w:tc>
          <w:tcPr>
            <w:tcW w:w="971" w:type="dxa"/>
            <w:tcBorders>
              <w:top w:val="nil"/>
              <w:left w:val="nil"/>
              <w:bottom w:val="nil"/>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p>
        </w:tc>
        <w:tc>
          <w:tcPr>
            <w:tcW w:w="971" w:type="dxa"/>
            <w:tcBorders>
              <w:top w:val="nil"/>
              <w:left w:val="nil"/>
              <w:bottom w:val="nil"/>
              <w:right w:val="nil"/>
            </w:tcBorders>
            <w:shd w:val="clear" w:color="auto" w:fill="auto"/>
            <w:noWrap/>
            <w:vAlign w:val="center"/>
            <w:hideMark/>
          </w:tcPr>
          <w:p w:rsidR="00FE37DD" w:rsidRPr="002807AE" w:rsidRDefault="00FE37DD" w:rsidP="00FE37DD">
            <w:pPr>
              <w:jc w:val="center"/>
              <w:rPr>
                <w:rFonts w:ascii="Palatino Linotype" w:hAnsi="Palatino Linotype"/>
                <w:sz w:val="18"/>
                <w:szCs w:val="18"/>
                <w:lang w:val="en-US"/>
              </w:rPr>
            </w:pPr>
          </w:p>
        </w:tc>
        <w:tc>
          <w:tcPr>
            <w:tcW w:w="971" w:type="dxa"/>
            <w:tcBorders>
              <w:top w:val="nil"/>
              <w:left w:val="nil"/>
              <w:bottom w:val="nil"/>
              <w:right w:val="nil"/>
            </w:tcBorders>
            <w:shd w:val="clear" w:color="auto" w:fill="auto"/>
            <w:noWrap/>
            <w:vAlign w:val="center"/>
            <w:hideMark/>
          </w:tcPr>
          <w:p w:rsidR="00FE37DD" w:rsidRPr="002807AE" w:rsidRDefault="00FE37DD" w:rsidP="00FE37DD">
            <w:pPr>
              <w:jc w:val="center"/>
              <w:rPr>
                <w:rFonts w:ascii="Palatino Linotype" w:hAnsi="Palatino Linotype"/>
                <w:sz w:val="18"/>
                <w:szCs w:val="18"/>
                <w:lang w:val="en-US"/>
              </w:rPr>
            </w:pPr>
          </w:p>
        </w:tc>
        <w:tc>
          <w:tcPr>
            <w:tcW w:w="971" w:type="dxa"/>
            <w:tcBorders>
              <w:top w:val="nil"/>
              <w:left w:val="nil"/>
              <w:bottom w:val="nil"/>
              <w:right w:val="nil"/>
            </w:tcBorders>
            <w:shd w:val="clear" w:color="000000" w:fill="FFFF00"/>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4.5</w:t>
            </w:r>
          </w:p>
        </w:tc>
        <w:tc>
          <w:tcPr>
            <w:tcW w:w="972" w:type="dxa"/>
            <w:tcBorders>
              <w:top w:val="nil"/>
              <w:left w:val="nil"/>
              <w:bottom w:val="nil"/>
              <w:right w:val="nil"/>
            </w:tcBorders>
            <w:shd w:val="clear" w:color="000000" w:fill="E7E6E6"/>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1015" w:type="dxa"/>
            <w:tcBorders>
              <w:top w:val="nil"/>
              <w:left w:val="single" w:sz="4" w:space="0" w:color="auto"/>
              <w:bottom w:val="nil"/>
              <w:right w:val="single" w:sz="8" w:space="0" w:color="auto"/>
            </w:tcBorders>
            <w:shd w:val="clear" w:color="000000" w:fill="92D050"/>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4.4</w:t>
            </w:r>
          </w:p>
        </w:tc>
      </w:tr>
      <w:tr w:rsidR="00FE37DD" w:rsidRPr="002807AE" w:rsidTr="006456D6">
        <w:trPr>
          <w:trHeight w:val="271"/>
        </w:trPr>
        <w:tc>
          <w:tcPr>
            <w:tcW w:w="926" w:type="dxa"/>
            <w:vMerge/>
            <w:tcBorders>
              <w:top w:val="nil"/>
              <w:left w:val="single" w:sz="8" w:space="0" w:color="auto"/>
              <w:bottom w:val="single" w:sz="8" w:space="0" w:color="000000"/>
              <w:right w:val="single" w:sz="4" w:space="0" w:color="auto"/>
            </w:tcBorders>
            <w:vAlign w:val="center"/>
            <w:hideMark/>
          </w:tcPr>
          <w:p w:rsidR="00FE37DD" w:rsidRPr="002807AE" w:rsidRDefault="00FE37DD" w:rsidP="00FE37DD">
            <w:pPr>
              <w:rPr>
                <w:rFonts w:ascii="Palatino Linotype" w:hAnsi="Palatino Linotype"/>
                <w:color w:val="000000"/>
                <w:sz w:val="18"/>
                <w:szCs w:val="18"/>
                <w:lang w:val="en-US"/>
              </w:rPr>
            </w:pPr>
          </w:p>
        </w:tc>
        <w:tc>
          <w:tcPr>
            <w:tcW w:w="971" w:type="dxa"/>
            <w:tcBorders>
              <w:top w:val="nil"/>
              <w:left w:val="nil"/>
              <w:bottom w:val="single" w:sz="8" w:space="0" w:color="auto"/>
              <w:right w:val="single" w:sz="4" w:space="0" w:color="auto"/>
            </w:tcBorders>
            <w:shd w:val="clear" w:color="auto" w:fill="auto"/>
            <w:noWrap/>
            <w:vAlign w:val="bottom"/>
            <w:hideMark/>
          </w:tcPr>
          <w:p w:rsidR="00FE37DD" w:rsidRPr="002807AE" w:rsidRDefault="006456D6"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FE37DD" w:rsidRPr="002807AE">
              <w:rPr>
                <w:rFonts w:ascii="Palatino Linotype" w:hAnsi="Palatino Linotype"/>
                <w:color w:val="000000"/>
                <w:sz w:val="18"/>
                <w:szCs w:val="18"/>
                <w:lang w:val="en-US"/>
              </w:rPr>
              <w:t>2</w:t>
            </w:r>
          </w:p>
        </w:tc>
        <w:tc>
          <w:tcPr>
            <w:tcW w:w="971" w:type="dxa"/>
            <w:tcBorders>
              <w:top w:val="nil"/>
              <w:left w:val="nil"/>
              <w:bottom w:val="single" w:sz="8" w:space="0" w:color="auto"/>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1" w:type="dxa"/>
            <w:tcBorders>
              <w:top w:val="nil"/>
              <w:left w:val="nil"/>
              <w:bottom w:val="single" w:sz="8" w:space="0" w:color="auto"/>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1" w:type="dxa"/>
            <w:tcBorders>
              <w:top w:val="nil"/>
              <w:left w:val="nil"/>
              <w:bottom w:val="single" w:sz="8" w:space="0" w:color="auto"/>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1" w:type="dxa"/>
            <w:tcBorders>
              <w:top w:val="nil"/>
              <w:left w:val="nil"/>
              <w:bottom w:val="single" w:sz="8" w:space="0" w:color="auto"/>
              <w:right w:val="nil"/>
            </w:tcBorders>
            <w:shd w:val="clear" w:color="auto" w:fill="auto"/>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2" w:type="dxa"/>
            <w:tcBorders>
              <w:top w:val="nil"/>
              <w:left w:val="nil"/>
              <w:bottom w:val="single" w:sz="8" w:space="0" w:color="auto"/>
              <w:right w:val="nil"/>
            </w:tcBorders>
            <w:shd w:val="clear" w:color="000000" w:fill="FFFF00"/>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3.0</w:t>
            </w:r>
          </w:p>
        </w:tc>
        <w:tc>
          <w:tcPr>
            <w:tcW w:w="1015" w:type="dxa"/>
            <w:tcBorders>
              <w:top w:val="nil"/>
              <w:left w:val="single" w:sz="4" w:space="0" w:color="auto"/>
              <w:bottom w:val="single" w:sz="8" w:space="0" w:color="auto"/>
              <w:right w:val="single" w:sz="8" w:space="0" w:color="auto"/>
            </w:tcBorders>
            <w:shd w:val="clear" w:color="000000" w:fill="92D050"/>
            <w:noWrap/>
            <w:vAlign w:val="center"/>
            <w:hideMark/>
          </w:tcPr>
          <w:p w:rsidR="00FE37DD" w:rsidRPr="002807AE" w:rsidRDefault="00FE37DD" w:rsidP="00FE37DD">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3.0</w:t>
            </w:r>
          </w:p>
        </w:tc>
      </w:tr>
    </w:tbl>
    <w:p w:rsidR="00FE37DD" w:rsidRPr="002807AE" w:rsidRDefault="00FE37DD" w:rsidP="00A26107">
      <w:pPr>
        <w:jc w:val="both"/>
        <w:rPr>
          <w:rFonts w:ascii="Palatino Linotype" w:hAnsi="Palatino Linotype" w:cs="Arial"/>
          <w:sz w:val="22"/>
          <w:szCs w:val="22"/>
          <w:lang w:val="en-US"/>
        </w:rPr>
      </w:pPr>
    </w:p>
    <w:tbl>
      <w:tblPr>
        <w:tblW w:w="8699" w:type="dxa"/>
        <w:jc w:val="center"/>
        <w:tblCellMar>
          <w:left w:w="70" w:type="dxa"/>
          <w:right w:w="70" w:type="dxa"/>
        </w:tblCellMar>
        <w:tblLook w:val="04A0" w:firstRow="1" w:lastRow="0" w:firstColumn="1" w:lastColumn="0" w:noHBand="0" w:noVBand="1"/>
      </w:tblPr>
      <w:tblGrid>
        <w:gridCol w:w="523"/>
        <w:gridCol w:w="8176"/>
      </w:tblGrid>
      <w:tr w:rsidR="002B3928" w:rsidRPr="002807AE" w:rsidTr="00616A93">
        <w:trPr>
          <w:trHeight w:val="80"/>
          <w:jc w:val="center"/>
        </w:trPr>
        <w:tc>
          <w:tcPr>
            <w:tcW w:w="523" w:type="dxa"/>
            <w:tcBorders>
              <w:top w:val="nil"/>
              <w:left w:val="nil"/>
              <w:bottom w:val="nil"/>
              <w:right w:val="nil"/>
            </w:tcBorders>
            <w:shd w:val="clear" w:color="000000" w:fill="FFFF00"/>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First Estimate</w:t>
            </w:r>
            <w:r w:rsidR="00875F42">
              <w:rPr>
                <w:rFonts w:ascii="Palatino Linotype" w:hAnsi="Palatino Linotype" w:cs="Arial"/>
                <w:color w:val="000000"/>
                <w:sz w:val="18"/>
                <w:szCs w:val="18"/>
                <w:lang w:val="en-US"/>
              </w:rPr>
              <w:t>s</w:t>
            </w:r>
            <w:r w:rsidRPr="002807AE">
              <w:rPr>
                <w:rFonts w:ascii="Palatino Linotype" w:hAnsi="Palatino Linotype" w:cs="Arial"/>
                <w:color w:val="000000"/>
                <w:sz w:val="18"/>
                <w:szCs w:val="18"/>
                <w:lang w:val="en-US"/>
              </w:rPr>
              <w:t xml:space="preserve"> (earliest number </w:t>
            </w:r>
            <w:r w:rsidR="009A059F" w:rsidRPr="002807AE">
              <w:rPr>
                <w:rFonts w:ascii="Palatino Linotype" w:hAnsi="Palatino Linotype" w:cs="Arial"/>
                <w:color w:val="000000"/>
                <w:sz w:val="18"/>
                <w:szCs w:val="18"/>
                <w:lang w:val="en-US"/>
              </w:rPr>
              <w:t xml:space="preserve">press </w:t>
            </w:r>
            <w:r w:rsidR="009A059F" w:rsidRPr="009A059F">
              <w:rPr>
                <w:rFonts w:ascii="Palatino Linotype" w:hAnsi="Palatino Linotype" w:cs="Arial"/>
                <w:color w:val="000000"/>
                <w:sz w:val="18"/>
                <w:szCs w:val="18"/>
                <w:lang w:val="en-US"/>
              </w:rPr>
              <w:t>release in question</w:t>
            </w:r>
            <w:r w:rsidRPr="002807AE">
              <w:rPr>
                <w:rFonts w:ascii="Palatino Linotype" w:hAnsi="Palatino Linotype" w:cs="Arial"/>
                <w:color w:val="000000"/>
                <w:sz w:val="18"/>
                <w:szCs w:val="18"/>
                <w:lang w:val="en-US"/>
              </w:rPr>
              <w:t>)</w:t>
            </w:r>
          </w:p>
        </w:tc>
      </w:tr>
      <w:tr w:rsidR="002B3928" w:rsidRPr="002807AE" w:rsidTr="00616A93">
        <w:trPr>
          <w:trHeight w:val="80"/>
          <w:jc w:val="center"/>
        </w:trPr>
        <w:tc>
          <w:tcPr>
            <w:tcW w:w="523" w:type="dxa"/>
            <w:tcBorders>
              <w:top w:val="nil"/>
              <w:left w:val="nil"/>
              <w:bottom w:val="nil"/>
              <w:right w:val="nil"/>
            </w:tcBorders>
            <w:shd w:val="clear" w:color="000000" w:fill="E7E6E6"/>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Differences between sequential press releases (Magnitude and direction of the revision)</w:t>
            </w:r>
          </w:p>
        </w:tc>
      </w:tr>
      <w:tr w:rsidR="002B3928" w:rsidRPr="002807AE" w:rsidTr="00616A93">
        <w:trPr>
          <w:trHeight w:val="80"/>
          <w:jc w:val="center"/>
        </w:trPr>
        <w:tc>
          <w:tcPr>
            <w:tcW w:w="523" w:type="dxa"/>
            <w:tcBorders>
              <w:top w:val="nil"/>
              <w:left w:val="nil"/>
              <w:bottom w:val="nil"/>
              <w:right w:val="nil"/>
            </w:tcBorders>
            <w:shd w:val="clear" w:color="000000" w:fill="92D050"/>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Last estimate</w:t>
            </w:r>
            <w:r w:rsidR="00875F42">
              <w:rPr>
                <w:rFonts w:ascii="Palatino Linotype" w:hAnsi="Palatino Linotype" w:cs="Arial"/>
                <w:color w:val="000000"/>
                <w:sz w:val="18"/>
                <w:szCs w:val="18"/>
                <w:lang w:val="en-US"/>
              </w:rPr>
              <w:t>s</w:t>
            </w:r>
          </w:p>
        </w:tc>
      </w:tr>
    </w:tbl>
    <w:p w:rsidR="002B3928" w:rsidRPr="002807AE" w:rsidRDefault="002B3928" w:rsidP="002B3928">
      <w:pPr>
        <w:spacing w:line="276" w:lineRule="auto"/>
        <w:jc w:val="both"/>
        <w:rPr>
          <w:rFonts w:ascii="Palatino Linotype" w:hAnsi="Palatino Linotype" w:cs="Arial"/>
          <w:sz w:val="18"/>
          <w:szCs w:val="18"/>
          <w:lang w:val="en-US"/>
        </w:rPr>
      </w:pPr>
      <w:r w:rsidRPr="002807AE">
        <w:rPr>
          <w:rFonts w:ascii="Palatino Linotype" w:hAnsi="Palatino Linotype" w:cs="Arial"/>
          <w:sz w:val="18"/>
          <w:szCs w:val="18"/>
          <w:lang w:val="en-US"/>
        </w:rPr>
        <w:t xml:space="preserve">Note: Summing of first estimation and revisions may not equal to last estimation due to rounding. </w:t>
      </w:r>
    </w:p>
    <w:p w:rsidR="002F72A5" w:rsidRPr="002807AE" w:rsidRDefault="002F72A5" w:rsidP="000A7E66">
      <w:pPr>
        <w:spacing w:line="276" w:lineRule="auto"/>
        <w:jc w:val="both"/>
        <w:rPr>
          <w:rFonts w:ascii="Palatino Linotype" w:hAnsi="Palatino Linotype" w:cs="Arial"/>
          <w:b/>
          <w:sz w:val="22"/>
          <w:szCs w:val="22"/>
          <w:lang w:val="en-US"/>
        </w:rPr>
      </w:pPr>
    </w:p>
    <w:p w:rsidR="00B8166C" w:rsidRDefault="00B8166C" w:rsidP="000A7E66">
      <w:pPr>
        <w:spacing w:line="276" w:lineRule="auto"/>
        <w:jc w:val="both"/>
        <w:rPr>
          <w:rFonts w:ascii="Palatino Linotype" w:hAnsi="Palatino Linotype" w:cs="Arial"/>
          <w:b/>
          <w:sz w:val="22"/>
          <w:szCs w:val="22"/>
          <w:lang w:val="en-US"/>
        </w:rPr>
      </w:pPr>
    </w:p>
    <w:p w:rsidR="00B9751C" w:rsidRPr="002807AE" w:rsidRDefault="00B9751C" w:rsidP="000A7E66">
      <w:pPr>
        <w:spacing w:line="276" w:lineRule="auto"/>
        <w:jc w:val="both"/>
        <w:rPr>
          <w:rFonts w:ascii="Palatino Linotype" w:hAnsi="Palatino Linotype" w:cs="Arial"/>
          <w:b/>
          <w:sz w:val="22"/>
          <w:szCs w:val="22"/>
          <w:lang w:val="en-US"/>
        </w:rPr>
      </w:pPr>
    </w:p>
    <w:p w:rsidR="00B8166C" w:rsidRPr="002807AE" w:rsidRDefault="00B8166C" w:rsidP="000A7E66">
      <w:pPr>
        <w:spacing w:line="276" w:lineRule="auto"/>
        <w:jc w:val="both"/>
        <w:rPr>
          <w:rFonts w:ascii="Palatino Linotype" w:hAnsi="Palatino Linotype" w:cs="Arial"/>
          <w:b/>
          <w:sz w:val="22"/>
          <w:szCs w:val="22"/>
          <w:lang w:val="en-US"/>
        </w:rPr>
      </w:pPr>
    </w:p>
    <w:p w:rsidR="00445656" w:rsidRPr="002807AE" w:rsidRDefault="00445656" w:rsidP="000A7E66">
      <w:pPr>
        <w:spacing w:line="276" w:lineRule="auto"/>
        <w:jc w:val="both"/>
        <w:rPr>
          <w:rFonts w:ascii="Palatino Linotype" w:hAnsi="Palatino Linotype" w:cs="Arial"/>
          <w:b/>
          <w:sz w:val="22"/>
          <w:szCs w:val="22"/>
          <w:lang w:val="en-US"/>
        </w:rPr>
      </w:pPr>
      <w:r w:rsidRPr="002807AE">
        <w:rPr>
          <w:rFonts w:ascii="Palatino Linotype" w:hAnsi="Palatino Linotype" w:cs="Arial"/>
          <w:b/>
          <w:sz w:val="22"/>
          <w:szCs w:val="22"/>
          <w:lang w:val="en-US"/>
        </w:rPr>
        <w:t>Tabl</w:t>
      </w:r>
      <w:r w:rsidR="004F1822">
        <w:rPr>
          <w:rFonts w:ascii="Palatino Linotype" w:hAnsi="Palatino Linotype" w:cs="Arial"/>
          <w:b/>
          <w:sz w:val="22"/>
          <w:szCs w:val="22"/>
          <w:lang w:val="en-US"/>
        </w:rPr>
        <w:t>e</w:t>
      </w:r>
      <w:r w:rsidRPr="002807AE">
        <w:rPr>
          <w:rFonts w:ascii="Palatino Linotype" w:hAnsi="Palatino Linotype" w:cs="Arial"/>
          <w:b/>
          <w:sz w:val="22"/>
          <w:szCs w:val="22"/>
          <w:lang w:val="en-US"/>
        </w:rPr>
        <w:t xml:space="preserve"> 2B: </w:t>
      </w:r>
      <w:r w:rsidR="004F1822">
        <w:rPr>
          <w:rFonts w:ascii="Palatino Linotype" w:hAnsi="Palatino Linotype" w:cs="Arial"/>
          <w:b/>
          <w:sz w:val="22"/>
          <w:szCs w:val="22"/>
          <w:lang w:val="en-US"/>
        </w:rPr>
        <w:t>Revisions in the quarterly growth estimates (Old</w:t>
      </w:r>
      <w:r w:rsidR="004F1822" w:rsidRPr="002807AE">
        <w:rPr>
          <w:rFonts w:ascii="Palatino Linotype" w:hAnsi="Palatino Linotype" w:cs="Arial"/>
          <w:b/>
          <w:sz w:val="22"/>
          <w:szCs w:val="22"/>
          <w:lang w:val="en-US"/>
        </w:rPr>
        <w:t xml:space="preserve"> Seri</w:t>
      </w:r>
      <w:r w:rsidR="004F1822">
        <w:rPr>
          <w:rFonts w:ascii="Palatino Linotype" w:hAnsi="Palatino Linotype" w:cs="Arial"/>
          <w:b/>
          <w:sz w:val="22"/>
          <w:szCs w:val="22"/>
          <w:lang w:val="en-US"/>
        </w:rPr>
        <w:t>es</w:t>
      </w:r>
      <w:r w:rsidR="004F1822" w:rsidRPr="002807AE">
        <w:rPr>
          <w:rFonts w:ascii="Palatino Linotype" w:hAnsi="Palatino Linotype" w:cs="Arial"/>
          <w:b/>
          <w:sz w:val="22"/>
          <w:szCs w:val="22"/>
          <w:lang w:val="en-US"/>
        </w:rPr>
        <w:t>)</w:t>
      </w:r>
    </w:p>
    <w:tbl>
      <w:tblPr>
        <w:tblW w:w="7828" w:type="dxa"/>
        <w:tblCellMar>
          <w:left w:w="70" w:type="dxa"/>
          <w:right w:w="70" w:type="dxa"/>
        </w:tblCellMar>
        <w:tblLook w:val="04A0" w:firstRow="1" w:lastRow="0" w:firstColumn="1" w:lastColumn="0" w:noHBand="0" w:noVBand="1"/>
      </w:tblPr>
      <w:tblGrid>
        <w:gridCol w:w="933"/>
        <w:gridCol w:w="979"/>
        <w:gridCol w:w="978"/>
        <w:gridCol w:w="978"/>
        <w:gridCol w:w="978"/>
        <w:gridCol w:w="978"/>
        <w:gridCol w:w="981"/>
        <w:gridCol w:w="1023"/>
      </w:tblGrid>
      <w:tr w:rsidR="006456D6" w:rsidRPr="002807AE" w:rsidTr="009260D9">
        <w:trPr>
          <w:trHeight w:val="297"/>
        </w:trPr>
        <w:tc>
          <w:tcPr>
            <w:tcW w:w="1912"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6456D6" w:rsidRPr="002807AE" w:rsidRDefault="006456D6" w:rsidP="006456D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Quarterly Growth         (Growth rates compared to previous quarter)</w:t>
            </w:r>
          </w:p>
        </w:tc>
        <w:tc>
          <w:tcPr>
            <w:tcW w:w="4893"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6456D6" w:rsidRPr="002807AE" w:rsidRDefault="006456D6" w:rsidP="006456D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Press Releases Period</w:t>
            </w:r>
          </w:p>
        </w:tc>
        <w:tc>
          <w:tcPr>
            <w:tcW w:w="102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456D6" w:rsidRPr="002807AE" w:rsidRDefault="006456D6" w:rsidP="006456D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Last estimate</w:t>
            </w:r>
          </w:p>
        </w:tc>
      </w:tr>
      <w:tr w:rsidR="00445656" w:rsidRPr="002807AE" w:rsidTr="009260D9">
        <w:trPr>
          <w:trHeight w:val="425"/>
        </w:trPr>
        <w:tc>
          <w:tcPr>
            <w:tcW w:w="1912"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2807AE" w:rsidRDefault="00445656" w:rsidP="00445656">
            <w:pPr>
              <w:rPr>
                <w:rFonts w:ascii="Palatino Linotype" w:hAnsi="Palatino Linotype"/>
                <w:color w:val="000000"/>
                <w:sz w:val="18"/>
                <w:szCs w:val="18"/>
                <w:lang w:val="en-US"/>
              </w:rPr>
            </w:pPr>
          </w:p>
        </w:tc>
        <w:tc>
          <w:tcPr>
            <w:tcW w:w="4893" w:type="dxa"/>
            <w:gridSpan w:val="5"/>
            <w:vMerge/>
            <w:tcBorders>
              <w:top w:val="single" w:sz="8" w:space="0" w:color="auto"/>
              <w:left w:val="single" w:sz="4" w:space="0" w:color="auto"/>
              <w:bottom w:val="single" w:sz="4" w:space="0" w:color="000000"/>
              <w:right w:val="single" w:sz="4" w:space="0" w:color="000000"/>
            </w:tcBorders>
            <w:vAlign w:val="center"/>
            <w:hideMark/>
          </w:tcPr>
          <w:p w:rsidR="00445656" w:rsidRPr="002807AE" w:rsidRDefault="00445656" w:rsidP="00445656">
            <w:pPr>
              <w:rPr>
                <w:rFonts w:ascii="Palatino Linotype" w:hAnsi="Palatino Linotype"/>
                <w:color w:val="000000"/>
                <w:sz w:val="18"/>
                <w:szCs w:val="18"/>
                <w:lang w:val="en-US"/>
              </w:rPr>
            </w:pPr>
          </w:p>
        </w:tc>
        <w:tc>
          <w:tcPr>
            <w:tcW w:w="1023" w:type="dxa"/>
            <w:vMerge/>
            <w:tcBorders>
              <w:top w:val="single" w:sz="8" w:space="0" w:color="auto"/>
              <w:left w:val="single" w:sz="4" w:space="0" w:color="auto"/>
              <w:bottom w:val="single" w:sz="4" w:space="0" w:color="000000"/>
              <w:right w:val="single" w:sz="8"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r>
      <w:tr w:rsidR="00445656" w:rsidRPr="002807AE" w:rsidTr="006456D6">
        <w:trPr>
          <w:trHeight w:val="425"/>
        </w:trPr>
        <w:tc>
          <w:tcPr>
            <w:tcW w:w="1912"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2807AE" w:rsidRDefault="00445656" w:rsidP="00445656">
            <w:pPr>
              <w:rPr>
                <w:rFonts w:ascii="Palatino Linotype" w:hAnsi="Palatino Linotype"/>
                <w:color w:val="000000"/>
                <w:sz w:val="18"/>
                <w:szCs w:val="18"/>
                <w:lang w:val="en-US"/>
              </w:rPr>
            </w:pPr>
          </w:p>
        </w:tc>
        <w:tc>
          <w:tcPr>
            <w:tcW w:w="978" w:type="dxa"/>
            <w:vMerge w:val="restart"/>
            <w:tcBorders>
              <w:top w:val="nil"/>
              <w:left w:val="single" w:sz="4" w:space="0" w:color="auto"/>
              <w:bottom w:val="single" w:sz="4" w:space="0" w:color="000000"/>
              <w:right w:val="nil"/>
            </w:tcBorders>
            <w:shd w:val="clear" w:color="auto" w:fill="auto"/>
            <w:vAlign w:val="center"/>
            <w:hideMark/>
          </w:tcPr>
          <w:p w:rsidR="00445656" w:rsidRPr="002807AE" w:rsidRDefault="002F72A5"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2015</w:t>
            </w:r>
            <w:r w:rsidR="006456D6"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2</w:t>
            </w:r>
          </w:p>
        </w:tc>
        <w:tc>
          <w:tcPr>
            <w:tcW w:w="978" w:type="dxa"/>
            <w:vMerge w:val="restart"/>
            <w:tcBorders>
              <w:top w:val="nil"/>
              <w:left w:val="nil"/>
              <w:bottom w:val="single" w:sz="4" w:space="0" w:color="000000"/>
              <w:right w:val="nil"/>
            </w:tcBorders>
            <w:shd w:val="clear" w:color="auto" w:fill="auto"/>
            <w:vAlign w:val="center"/>
            <w:hideMark/>
          </w:tcPr>
          <w:p w:rsidR="00445656" w:rsidRPr="002807AE" w:rsidRDefault="002F72A5"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2015</w:t>
            </w:r>
            <w:r w:rsidR="006456D6"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3</w:t>
            </w:r>
          </w:p>
        </w:tc>
        <w:tc>
          <w:tcPr>
            <w:tcW w:w="978" w:type="dxa"/>
            <w:vMerge w:val="restart"/>
            <w:tcBorders>
              <w:top w:val="nil"/>
              <w:left w:val="nil"/>
              <w:bottom w:val="single" w:sz="4" w:space="0" w:color="000000"/>
              <w:right w:val="nil"/>
            </w:tcBorders>
            <w:shd w:val="clear" w:color="auto" w:fill="auto"/>
            <w:vAlign w:val="center"/>
            <w:hideMark/>
          </w:tcPr>
          <w:p w:rsidR="00445656" w:rsidRPr="002807AE" w:rsidRDefault="002F72A5"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2015</w:t>
            </w:r>
            <w:r w:rsidR="006456D6"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4</w:t>
            </w:r>
          </w:p>
        </w:tc>
        <w:tc>
          <w:tcPr>
            <w:tcW w:w="978" w:type="dxa"/>
            <w:vMerge w:val="restart"/>
            <w:tcBorders>
              <w:top w:val="nil"/>
              <w:left w:val="nil"/>
              <w:bottom w:val="single" w:sz="4" w:space="0" w:color="000000"/>
              <w:right w:val="nil"/>
            </w:tcBorders>
            <w:shd w:val="clear" w:color="auto" w:fill="auto"/>
            <w:vAlign w:val="center"/>
            <w:hideMark/>
          </w:tcPr>
          <w:p w:rsidR="00445656" w:rsidRPr="002807AE" w:rsidRDefault="002F72A5"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r w:rsidR="006456D6"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1</w:t>
            </w:r>
          </w:p>
        </w:tc>
        <w:tc>
          <w:tcPr>
            <w:tcW w:w="981" w:type="dxa"/>
            <w:vMerge w:val="restart"/>
            <w:tcBorders>
              <w:top w:val="nil"/>
              <w:left w:val="nil"/>
              <w:bottom w:val="single" w:sz="4" w:space="0" w:color="000000"/>
              <w:right w:val="single" w:sz="4" w:space="0" w:color="auto"/>
            </w:tcBorders>
            <w:shd w:val="clear" w:color="auto" w:fill="auto"/>
            <w:vAlign w:val="center"/>
            <w:hideMark/>
          </w:tcPr>
          <w:p w:rsidR="00445656" w:rsidRPr="002807AE" w:rsidRDefault="002F72A5"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r w:rsidR="006456D6"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2</w:t>
            </w:r>
          </w:p>
        </w:tc>
        <w:tc>
          <w:tcPr>
            <w:tcW w:w="1023" w:type="dxa"/>
            <w:vMerge w:val="restart"/>
            <w:tcBorders>
              <w:top w:val="nil"/>
              <w:left w:val="single" w:sz="4" w:space="0" w:color="auto"/>
              <w:bottom w:val="single" w:sz="4" w:space="0" w:color="000000"/>
              <w:right w:val="single" w:sz="8" w:space="0" w:color="auto"/>
            </w:tcBorders>
            <w:shd w:val="clear" w:color="auto" w:fill="auto"/>
            <w:vAlign w:val="center"/>
            <w:hideMark/>
          </w:tcPr>
          <w:p w:rsidR="00445656" w:rsidRPr="002807AE" w:rsidRDefault="002F72A5"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r w:rsidR="006456D6"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2</w:t>
            </w:r>
          </w:p>
        </w:tc>
      </w:tr>
      <w:tr w:rsidR="00445656" w:rsidRPr="002807AE" w:rsidTr="006456D6">
        <w:trPr>
          <w:trHeight w:val="425"/>
        </w:trPr>
        <w:tc>
          <w:tcPr>
            <w:tcW w:w="1912"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2807AE" w:rsidRDefault="00445656" w:rsidP="00445656">
            <w:pPr>
              <w:rPr>
                <w:rFonts w:ascii="Palatino Linotype" w:hAnsi="Palatino Linotype"/>
                <w:color w:val="000000"/>
                <w:sz w:val="18"/>
                <w:szCs w:val="18"/>
                <w:lang w:val="en-US"/>
              </w:rPr>
            </w:pPr>
          </w:p>
        </w:tc>
        <w:tc>
          <w:tcPr>
            <w:tcW w:w="978" w:type="dxa"/>
            <w:vMerge/>
            <w:tcBorders>
              <w:top w:val="nil"/>
              <w:left w:val="single" w:sz="4" w:space="0" w:color="auto"/>
              <w:bottom w:val="single" w:sz="4" w:space="0" w:color="000000"/>
              <w:right w:val="nil"/>
            </w:tcBorders>
            <w:vAlign w:val="center"/>
            <w:hideMark/>
          </w:tcPr>
          <w:p w:rsidR="00445656" w:rsidRPr="002807AE" w:rsidRDefault="00445656" w:rsidP="00445656">
            <w:pPr>
              <w:rPr>
                <w:rFonts w:ascii="Palatino Linotype" w:hAnsi="Palatino Linotype"/>
                <w:color w:val="000000"/>
                <w:sz w:val="18"/>
                <w:szCs w:val="18"/>
                <w:lang w:val="en-US"/>
              </w:rPr>
            </w:pPr>
          </w:p>
        </w:tc>
        <w:tc>
          <w:tcPr>
            <w:tcW w:w="978" w:type="dxa"/>
            <w:vMerge/>
            <w:tcBorders>
              <w:top w:val="nil"/>
              <w:left w:val="nil"/>
              <w:bottom w:val="single" w:sz="4" w:space="0" w:color="000000"/>
              <w:right w:val="nil"/>
            </w:tcBorders>
            <w:vAlign w:val="center"/>
            <w:hideMark/>
          </w:tcPr>
          <w:p w:rsidR="00445656" w:rsidRPr="002807AE" w:rsidRDefault="00445656" w:rsidP="00445656">
            <w:pPr>
              <w:rPr>
                <w:rFonts w:ascii="Palatino Linotype" w:hAnsi="Palatino Linotype"/>
                <w:color w:val="000000"/>
                <w:sz w:val="18"/>
                <w:szCs w:val="18"/>
                <w:lang w:val="en-US"/>
              </w:rPr>
            </w:pPr>
          </w:p>
        </w:tc>
        <w:tc>
          <w:tcPr>
            <w:tcW w:w="978" w:type="dxa"/>
            <w:vMerge/>
            <w:tcBorders>
              <w:top w:val="nil"/>
              <w:left w:val="nil"/>
              <w:bottom w:val="single" w:sz="4" w:space="0" w:color="000000"/>
              <w:right w:val="nil"/>
            </w:tcBorders>
            <w:vAlign w:val="center"/>
            <w:hideMark/>
          </w:tcPr>
          <w:p w:rsidR="00445656" w:rsidRPr="002807AE" w:rsidRDefault="00445656" w:rsidP="00445656">
            <w:pPr>
              <w:rPr>
                <w:rFonts w:ascii="Palatino Linotype" w:hAnsi="Palatino Linotype"/>
                <w:color w:val="000000"/>
                <w:sz w:val="18"/>
                <w:szCs w:val="18"/>
                <w:lang w:val="en-US"/>
              </w:rPr>
            </w:pPr>
          </w:p>
        </w:tc>
        <w:tc>
          <w:tcPr>
            <w:tcW w:w="978" w:type="dxa"/>
            <w:vMerge/>
            <w:tcBorders>
              <w:top w:val="nil"/>
              <w:left w:val="nil"/>
              <w:bottom w:val="single" w:sz="4" w:space="0" w:color="000000"/>
              <w:right w:val="nil"/>
            </w:tcBorders>
            <w:vAlign w:val="center"/>
            <w:hideMark/>
          </w:tcPr>
          <w:p w:rsidR="00445656" w:rsidRPr="002807AE" w:rsidRDefault="00445656" w:rsidP="00445656">
            <w:pPr>
              <w:rPr>
                <w:rFonts w:ascii="Palatino Linotype" w:hAnsi="Palatino Linotype"/>
                <w:color w:val="000000"/>
                <w:sz w:val="18"/>
                <w:szCs w:val="18"/>
                <w:lang w:val="en-US"/>
              </w:rPr>
            </w:pPr>
          </w:p>
        </w:tc>
        <w:tc>
          <w:tcPr>
            <w:tcW w:w="981" w:type="dxa"/>
            <w:vMerge/>
            <w:tcBorders>
              <w:top w:val="nil"/>
              <w:left w:val="nil"/>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1023" w:type="dxa"/>
            <w:vMerge/>
            <w:tcBorders>
              <w:top w:val="nil"/>
              <w:left w:val="single" w:sz="4" w:space="0" w:color="auto"/>
              <w:bottom w:val="single" w:sz="4" w:space="0" w:color="000000"/>
              <w:right w:val="single" w:sz="8"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r>
      <w:tr w:rsidR="00445656" w:rsidRPr="002807AE" w:rsidTr="006456D6">
        <w:trPr>
          <w:trHeight w:val="278"/>
        </w:trPr>
        <w:tc>
          <w:tcPr>
            <w:tcW w:w="933" w:type="dxa"/>
            <w:vMerge w:val="restart"/>
            <w:tcBorders>
              <w:top w:val="nil"/>
              <w:left w:val="single" w:sz="8" w:space="0" w:color="auto"/>
              <w:bottom w:val="single" w:sz="4" w:space="0" w:color="000000"/>
              <w:right w:val="single" w:sz="4" w:space="0" w:color="auto"/>
            </w:tcBorders>
            <w:shd w:val="clear" w:color="auto" w:fill="auto"/>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2014</w:t>
            </w:r>
          </w:p>
        </w:tc>
        <w:tc>
          <w:tcPr>
            <w:tcW w:w="979" w:type="dxa"/>
            <w:tcBorders>
              <w:top w:val="nil"/>
              <w:left w:val="nil"/>
              <w:bottom w:val="nil"/>
              <w:right w:val="single" w:sz="4" w:space="0" w:color="auto"/>
            </w:tcBorders>
            <w:shd w:val="clear" w:color="auto" w:fill="auto"/>
            <w:noWrap/>
            <w:vAlign w:val="bottom"/>
            <w:hideMark/>
          </w:tcPr>
          <w:p w:rsidR="00445656" w:rsidRPr="002807AE" w:rsidRDefault="006456D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1</w:t>
            </w:r>
          </w:p>
        </w:tc>
        <w:tc>
          <w:tcPr>
            <w:tcW w:w="978"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1.5</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1"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1.6</w:t>
            </w:r>
          </w:p>
        </w:tc>
      </w:tr>
      <w:tr w:rsidR="00445656" w:rsidRPr="002807AE" w:rsidTr="006456D6">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79" w:type="dxa"/>
            <w:tcBorders>
              <w:top w:val="nil"/>
              <w:left w:val="nil"/>
              <w:bottom w:val="nil"/>
              <w:right w:val="single" w:sz="4" w:space="0" w:color="auto"/>
            </w:tcBorders>
            <w:shd w:val="clear" w:color="auto" w:fill="auto"/>
            <w:noWrap/>
            <w:vAlign w:val="bottom"/>
            <w:hideMark/>
          </w:tcPr>
          <w:p w:rsidR="00445656" w:rsidRPr="002807AE" w:rsidRDefault="006456D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2</w:t>
            </w:r>
          </w:p>
        </w:tc>
        <w:tc>
          <w:tcPr>
            <w:tcW w:w="978"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1"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r>
      <w:tr w:rsidR="00445656" w:rsidRPr="002807AE" w:rsidTr="006456D6">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79" w:type="dxa"/>
            <w:tcBorders>
              <w:top w:val="nil"/>
              <w:left w:val="nil"/>
              <w:bottom w:val="nil"/>
              <w:right w:val="single" w:sz="4" w:space="0" w:color="auto"/>
            </w:tcBorders>
            <w:shd w:val="clear" w:color="auto" w:fill="auto"/>
            <w:noWrap/>
            <w:vAlign w:val="bottom"/>
            <w:hideMark/>
          </w:tcPr>
          <w:p w:rsidR="00445656" w:rsidRPr="002807AE" w:rsidRDefault="006456D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3</w:t>
            </w:r>
          </w:p>
        </w:tc>
        <w:tc>
          <w:tcPr>
            <w:tcW w:w="978"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81"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r>
      <w:tr w:rsidR="00445656" w:rsidRPr="002807AE" w:rsidTr="006456D6">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79" w:type="dxa"/>
            <w:tcBorders>
              <w:top w:val="nil"/>
              <w:left w:val="nil"/>
              <w:bottom w:val="single" w:sz="4" w:space="0" w:color="auto"/>
              <w:right w:val="single" w:sz="4" w:space="0" w:color="auto"/>
            </w:tcBorders>
            <w:shd w:val="clear" w:color="auto" w:fill="auto"/>
            <w:noWrap/>
            <w:vAlign w:val="bottom"/>
            <w:hideMark/>
          </w:tcPr>
          <w:p w:rsidR="00445656" w:rsidRPr="002807AE" w:rsidRDefault="006456D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4</w:t>
            </w:r>
          </w:p>
        </w:tc>
        <w:tc>
          <w:tcPr>
            <w:tcW w:w="978" w:type="dxa"/>
            <w:tcBorders>
              <w:top w:val="nil"/>
              <w:left w:val="nil"/>
              <w:bottom w:val="single" w:sz="4" w:space="0" w:color="auto"/>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1.0</w:t>
            </w:r>
          </w:p>
        </w:tc>
        <w:tc>
          <w:tcPr>
            <w:tcW w:w="978"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8"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c>
          <w:tcPr>
            <w:tcW w:w="978"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981"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1023" w:type="dxa"/>
            <w:tcBorders>
              <w:top w:val="nil"/>
              <w:left w:val="single" w:sz="4" w:space="0" w:color="auto"/>
              <w:bottom w:val="single" w:sz="4" w:space="0" w:color="auto"/>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1.2</w:t>
            </w:r>
          </w:p>
        </w:tc>
      </w:tr>
      <w:tr w:rsidR="00445656" w:rsidRPr="002807AE" w:rsidTr="006456D6">
        <w:trPr>
          <w:trHeight w:val="278"/>
        </w:trPr>
        <w:tc>
          <w:tcPr>
            <w:tcW w:w="933" w:type="dxa"/>
            <w:vMerge w:val="restart"/>
            <w:tcBorders>
              <w:top w:val="nil"/>
              <w:left w:val="single" w:sz="8" w:space="0" w:color="auto"/>
              <w:bottom w:val="single" w:sz="4" w:space="0" w:color="000000"/>
              <w:right w:val="single" w:sz="4" w:space="0" w:color="auto"/>
            </w:tcBorders>
            <w:shd w:val="clear" w:color="auto" w:fill="auto"/>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2015</w:t>
            </w:r>
          </w:p>
        </w:tc>
        <w:tc>
          <w:tcPr>
            <w:tcW w:w="979" w:type="dxa"/>
            <w:tcBorders>
              <w:top w:val="nil"/>
              <w:left w:val="nil"/>
              <w:bottom w:val="nil"/>
              <w:right w:val="single" w:sz="4" w:space="0" w:color="auto"/>
            </w:tcBorders>
            <w:shd w:val="clear" w:color="auto" w:fill="auto"/>
            <w:noWrap/>
            <w:vAlign w:val="bottom"/>
            <w:hideMark/>
          </w:tcPr>
          <w:p w:rsidR="00445656" w:rsidRPr="002807AE" w:rsidRDefault="006456D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1</w:t>
            </w:r>
          </w:p>
        </w:tc>
        <w:tc>
          <w:tcPr>
            <w:tcW w:w="978"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1.5</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-0.4</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81"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1.1</w:t>
            </w:r>
          </w:p>
        </w:tc>
      </w:tr>
      <w:tr w:rsidR="00445656" w:rsidRPr="002807AE" w:rsidTr="006456D6">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79" w:type="dxa"/>
            <w:tcBorders>
              <w:top w:val="nil"/>
              <w:left w:val="nil"/>
              <w:bottom w:val="nil"/>
              <w:right w:val="single" w:sz="4" w:space="0" w:color="auto"/>
            </w:tcBorders>
            <w:shd w:val="clear" w:color="auto" w:fill="auto"/>
            <w:noWrap/>
            <w:vAlign w:val="bottom"/>
            <w:hideMark/>
          </w:tcPr>
          <w:p w:rsidR="00445656" w:rsidRPr="002807AE" w:rsidRDefault="006456D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2</w:t>
            </w:r>
          </w:p>
        </w:tc>
        <w:tc>
          <w:tcPr>
            <w:tcW w:w="978"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1.3</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0.0</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1"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1.4</w:t>
            </w:r>
          </w:p>
        </w:tc>
      </w:tr>
      <w:tr w:rsidR="00445656" w:rsidRPr="002807AE" w:rsidTr="006456D6">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79" w:type="dxa"/>
            <w:tcBorders>
              <w:top w:val="nil"/>
              <w:left w:val="nil"/>
              <w:bottom w:val="nil"/>
              <w:right w:val="single" w:sz="4" w:space="0" w:color="auto"/>
            </w:tcBorders>
            <w:shd w:val="clear" w:color="auto" w:fill="auto"/>
            <w:noWrap/>
            <w:vAlign w:val="bottom"/>
            <w:hideMark/>
          </w:tcPr>
          <w:p w:rsidR="00445656" w:rsidRPr="002807AE" w:rsidRDefault="006456D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3</w:t>
            </w:r>
          </w:p>
        </w:tc>
        <w:tc>
          <w:tcPr>
            <w:tcW w:w="978" w:type="dxa"/>
            <w:tcBorders>
              <w:top w:val="nil"/>
              <w:left w:val="nil"/>
              <w:bottom w:val="nil"/>
              <w:right w:val="nil"/>
            </w:tcBorders>
            <w:shd w:val="clear" w:color="auto" w:fill="auto"/>
            <w:noWrap/>
            <w:vAlign w:val="bottom"/>
            <w:hideMark/>
          </w:tcPr>
          <w:p w:rsidR="00445656" w:rsidRPr="002807AE" w:rsidRDefault="00445656" w:rsidP="00445656">
            <w:pPr>
              <w:jc w:val="center"/>
              <w:rPr>
                <w:rFonts w:ascii="Palatino Linotype" w:hAnsi="Palatino Linotype"/>
                <w:color w:val="000000"/>
                <w:sz w:val="18"/>
                <w:szCs w:val="18"/>
                <w:lang w:val="en-US"/>
              </w:rPr>
            </w:pPr>
          </w:p>
        </w:tc>
        <w:tc>
          <w:tcPr>
            <w:tcW w:w="978" w:type="dxa"/>
            <w:tcBorders>
              <w:top w:val="nil"/>
              <w:left w:val="nil"/>
              <w:bottom w:val="nil"/>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1.3</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78"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981" w:type="dxa"/>
            <w:tcBorders>
              <w:top w:val="nil"/>
              <w:left w:val="nil"/>
              <w:bottom w:val="nil"/>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1.0</w:t>
            </w:r>
          </w:p>
        </w:tc>
      </w:tr>
      <w:tr w:rsidR="00445656" w:rsidRPr="002807AE" w:rsidTr="006456D6">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79" w:type="dxa"/>
            <w:tcBorders>
              <w:top w:val="nil"/>
              <w:left w:val="nil"/>
              <w:bottom w:val="single" w:sz="4" w:space="0" w:color="auto"/>
              <w:right w:val="single" w:sz="4" w:space="0" w:color="auto"/>
            </w:tcBorders>
            <w:shd w:val="clear" w:color="auto" w:fill="auto"/>
            <w:noWrap/>
            <w:vAlign w:val="bottom"/>
            <w:hideMark/>
          </w:tcPr>
          <w:p w:rsidR="00445656" w:rsidRPr="002807AE" w:rsidRDefault="006456D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4</w:t>
            </w:r>
          </w:p>
        </w:tc>
        <w:tc>
          <w:tcPr>
            <w:tcW w:w="978" w:type="dxa"/>
            <w:tcBorders>
              <w:top w:val="nil"/>
              <w:left w:val="nil"/>
              <w:bottom w:val="single" w:sz="4" w:space="0" w:color="auto"/>
              <w:right w:val="nil"/>
            </w:tcBorders>
            <w:shd w:val="clear" w:color="auto" w:fill="auto"/>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8" w:type="dxa"/>
            <w:tcBorders>
              <w:top w:val="nil"/>
              <w:left w:val="nil"/>
              <w:bottom w:val="single" w:sz="4" w:space="0" w:color="auto"/>
              <w:right w:val="nil"/>
            </w:tcBorders>
            <w:shd w:val="clear" w:color="auto" w:fill="auto"/>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8" w:type="dxa"/>
            <w:tcBorders>
              <w:top w:val="nil"/>
              <w:left w:val="nil"/>
              <w:bottom w:val="single" w:sz="4" w:space="0" w:color="auto"/>
              <w:right w:val="nil"/>
            </w:tcBorders>
            <w:shd w:val="clear" w:color="000000" w:fill="FFFF0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0.7</w:t>
            </w:r>
          </w:p>
        </w:tc>
        <w:tc>
          <w:tcPr>
            <w:tcW w:w="978"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0.5</w:t>
            </w:r>
          </w:p>
        </w:tc>
        <w:tc>
          <w:tcPr>
            <w:tcW w:w="981" w:type="dxa"/>
            <w:tcBorders>
              <w:top w:val="nil"/>
              <w:left w:val="nil"/>
              <w:bottom w:val="single" w:sz="4" w:space="0" w:color="auto"/>
              <w:right w:val="nil"/>
            </w:tcBorders>
            <w:shd w:val="clear" w:color="000000" w:fill="E7E6E6"/>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-0.1</w:t>
            </w:r>
          </w:p>
        </w:tc>
        <w:tc>
          <w:tcPr>
            <w:tcW w:w="1023" w:type="dxa"/>
            <w:tcBorders>
              <w:top w:val="nil"/>
              <w:left w:val="single" w:sz="4" w:space="0" w:color="auto"/>
              <w:bottom w:val="single" w:sz="4" w:space="0" w:color="auto"/>
              <w:right w:val="single" w:sz="8" w:space="0" w:color="auto"/>
            </w:tcBorders>
            <w:shd w:val="clear" w:color="000000" w:fill="92D050"/>
            <w:noWrap/>
            <w:vAlign w:val="bottom"/>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1.1</w:t>
            </w:r>
          </w:p>
        </w:tc>
      </w:tr>
      <w:tr w:rsidR="00445656" w:rsidRPr="002807AE" w:rsidTr="006456D6">
        <w:trPr>
          <w:trHeight w:val="278"/>
        </w:trPr>
        <w:tc>
          <w:tcPr>
            <w:tcW w:w="933" w:type="dxa"/>
            <w:vMerge w:val="restart"/>
            <w:tcBorders>
              <w:top w:val="nil"/>
              <w:left w:val="single" w:sz="8" w:space="0" w:color="auto"/>
              <w:bottom w:val="single" w:sz="8" w:space="0" w:color="000000"/>
              <w:right w:val="single" w:sz="4" w:space="0" w:color="auto"/>
            </w:tcBorders>
            <w:shd w:val="clear" w:color="auto" w:fill="auto"/>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2016</w:t>
            </w:r>
          </w:p>
        </w:tc>
        <w:tc>
          <w:tcPr>
            <w:tcW w:w="979" w:type="dxa"/>
            <w:tcBorders>
              <w:top w:val="nil"/>
              <w:left w:val="nil"/>
              <w:bottom w:val="nil"/>
              <w:right w:val="single" w:sz="4" w:space="0" w:color="auto"/>
            </w:tcBorders>
            <w:shd w:val="clear" w:color="auto" w:fill="auto"/>
            <w:noWrap/>
            <w:vAlign w:val="bottom"/>
            <w:hideMark/>
          </w:tcPr>
          <w:p w:rsidR="00445656" w:rsidRPr="002807AE" w:rsidRDefault="006456D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1</w:t>
            </w:r>
          </w:p>
        </w:tc>
        <w:tc>
          <w:tcPr>
            <w:tcW w:w="978" w:type="dxa"/>
            <w:tcBorders>
              <w:top w:val="nil"/>
              <w:left w:val="nil"/>
              <w:bottom w:val="nil"/>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p>
        </w:tc>
        <w:tc>
          <w:tcPr>
            <w:tcW w:w="978" w:type="dxa"/>
            <w:tcBorders>
              <w:top w:val="nil"/>
              <w:left w:val="nil"/>
              <w:bottom w:val="nil"/>
              <w:right w:val="nil"/>
            </w:tcBorders>
            <w:shd w:val="clear" w:color="auto" w:fill="auto"/>
            <w:noWrap/>
            <w:vAlign w:val="center"/>
            <w:hideMark/>
          </w:tcPr>
          <w:p w:rsidR="00445656" w:rsidRPr="002807AE" w:rsidRDefault="00445656" w:rsidP="00445656">
            <w:pPr>
              <w:jc w:val="center"/>
              <w:rPr>
                <w:rFonts w:ascii="Palatino Linotype" w:hAnsi="Palatino Linotype"/>
                <w:sz w:val="18"/>
                <w:szCs w:val="18"/>
                <w:lang w:val="en-US"/>
              </w:rPr>
            </w:pPr>
          </w:p>
        </w:tc>
        <w:tc>
          <w:tcPr>
            <w:tcW w:w="978" w:type="dxa"/>
            <w:tcBorders>
              <w:top w:val="nil"/>
              <w:left w:val="nil"/>
              <w:bottom w:val="nil"/>
              <w:right w:val="nil"/>
            </w:tcBorders>
            <w:shd w:val="clear" w:color="auto" w:fill="auto"/>
            <w:noWrap/>
            <w:vAlign w:val="center"/>
            <w:hideMark/>
          </w:tcPr>
          <w:p w:rsidR="00445656" w:rsidRPr="002807AE" w:rsidRDefault="00445656" w:rsidP="00445656">
            <w:pPr>
              <w:jc w:val="center"/>
              <w:rPr>
                <w:rFonts w:ascii="Palatino Linotype" w:hAnsi="Palatino Linotype"/>
                <w:sz w:val="18"/>
                <w:szCs w:val="18"/>
                <w:lang w:val="en-US"/>
              </w:rPr>
            </w:pPr>
          </w:p>
        </w:tc>
        <w:tc>
          <w:tcPr>
            <w:tcW w:w="978" w:type="dxa"/>
            <w:tcBorders>
              <w:top w:val="nil"/>
              <w:left w:val="nil"/>
              <w:bottom w:val="nil"/>
              <w:right w:val="nil"/>
            </w:tcBorders>
            <w:shd w:val="clear" w:color="000000" w:fill="FFFF00"/>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0.8</w:t>
            </w:r>
          </w:p>
        </w:tc>
        <w:tc>
          <w:tcPr>
            <w:tcW w:w="981" w:type="dxa"/>
            <w:tcBorders>
              <w:top w:val="nil"/>
              <w:left w:val="nil"/>
              <w:bottom w:val="nil"/>
              <w:right w:val="nil"/>
            </w:tcBorders>
            <w:shd w:val="clear" w:color="000000" w:fill="E7E6E6"/>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-0.2</w:t>
            </w:r>
          </w:p>
        </w:tc>
        <w:tc>
          <w:tcPr>
            <w:tcW w:w="1023" w:type="dxa"/>
            <w:tcBorders>
              <w:top w:val="nil"/>
              <w:left w:val="single" w:sz="4" w:space="0" w:color="auto"/>
              <w:bottom w:val="nil"/>
              <w:right w:val="single" w:sz="8" w:space="0" w:color="auto"/>
            </w:tcBorders>
            <w:shd w:val="clear" w:color="000000" w:fill="92D050"/>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0.7</w:t>
            </w:r>
          </w:p>
        </w:tc>
      </w:tr>
      <w:tr w:rsidR="00445656" w:rsidRPr="002807AE" w:rsidTr="006456D6">
        <w:trPr>
          <w:trHeight w:val="292"/>
        </w:trPr>
        <w:tc>
          <w:tcPr>
            <w:tcW w:w="933" w:type="dxa"/>
            <w:vMerge/>
            <w:tcBorders>
              <w:top w:val="nil"/>
              <w:left w:val="single" w:sz="8" w:space="0" w:color="auto"/>
              <w:bottom w:val="single" w:sz="8" w:space="0" w:color="000000"/>
              <w:right w:val="single" w:sz="4" w:space="0" w:color="auto"/>
            </w:tcBorders>
            <w:vAlign w:val="center"/>
            <w:hideMark/>
          </w:tcPr>
          <w:p w:rsidR="00445656" w:rsidRPr="002807AE" w:rsidRDefault="00445656" w:rsidP="00445656">
            <w:pPr>
              <w:rPr>
                <w:rFonts w:ascii="Palatino Linotype" w:hAnsi="Palatino Linotype"/>
                <w:color w:val="000000"/>
                <w:sz w:val="18"/>
                <w:szCs w:val="18"/>
                <w:lang w:val="en-US"/>
              </w:rPr>
            </w:pPr>
          </w:p>
        </w:tc>
        <w:tc>
          <w:tcPr>
            <w:tcW w:w="979" w:type="dxa"/>
            <w:tcBorders>
              <w:top w:val="nil"/>
              <w:left w:val="nil"/>
              <w:bottom w:val="single" w:sz="8" w:space="0" w:color="auto"/>
              <w:right w:val="single" w:sz="4" w:space="0" w:color="auto"/>
            </w:tcBorders>
            <w:shd w:val="clear" w:color="auto" w:fill="auto"/>
            <w:noWrap/>
            <w:vAlign w:val="bottom"/>
            <w:hideMark/>
          </w:tcPr>
          <w:p w:rsidR="00445656" w:rsidRPr="002807AE" w:rsidRDefault="006456D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Q</w:t>
            </w:r>
            <w:r w:rsidR="00445656" w:rsidRPr="002807AE">
              <w:rPr>
                <w:rFonts w:ascii="Palatino Linotype" w:hAnsi="Palatino Linotype"/>
                <w:color w:val="000000"/>
                <w:sz w:val="18"/>
                <w:szCs w:val="18"/>
                <w:lang w:val="en-US"/>
              </w:rPr>
              <w:t>2</w:t>
            </w:r>
          </w:p>
        </w:tc>
        <w:tc>
          <w:tcPr>
            <w:tcW w:w="978" w:type="dxa"/>
            <w:tcBorders>
              <w:top w:val="nil"/>
              <w:left w:val="nil"/>
              <w:bottom w:val="single" w:sz="8" w:space="0" w:color="auto"/>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8" w:type="dxa"/>
            <w:tcBorders>
              <w:top w:val="nil"/>
              <w:left w:val="nil"/>
              <w:bottom w:val="single" w:sz="8" w:space="0" w:color="auto"/>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8" w:type="dxa"/>
            <w:tcBorders>
              <w:top w:val="nil"/>
              <w:left w:val="nil"/>
              <w:bottom w:val="single" w:sz="8" w:space="0" w:color="auto"/>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78" w:type="dxa"/>
            <w:tcBorders>
              <w:top w:val="nil"/>
              <w:left w:val="nil"/>
              <w:bottom w:val="single" w:sz="8" w:space="0" w:color="auto"/>
              <w:right w:val="nil"/>
            </w:tcBorders>
            <w:shd w:val="clear" w:color="auto" w:fill="auto"/>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 </w:t>
            </w:r>
          </w:p>
        </w:tc>
        <w:tc>
          <w:tcPr>
            <w:tcW w:w="981" w:type="dxa"/>
            <w:tcBorders>
              <w:top w:val="nil"/>
              <w:left w:val="nil"/>
              <w:bottom w:val="single" w:sz="8" w:space="0" w:color="auto"/>
              <w:right w:val="nil"/>
            </w:tcBorders>
            <w:shd w:val="clear" w:color="000000" w:fill="FFFF00"/>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c>
          <w:tcPr>
            <w:tcW w:w="1023" w:type="dxa"/>
            <w:tcBorders>
              <w:top w:val="nil"/>
              <w:left w:val="single" w:sz="4" w:space="0" w:color="auto"/>
              <w:bottom w:val="single" w:sz="8" w:space="0" w:color="auto"/>
              <w:right w:val="single" w:sz="8" w:space="0" w:color="auto"/>
            </w:tcBorders>
            <w:shd w:val="clear" w:color="000000" w:fill="92D050"/>
            <w:noWrap/>
            <w:vAlign w:val="center"/>
            <w:hideMark/>
          </w:tcPr>
          <w:p w:rsidR="00445656" w:rsidRPr="002807AE" w:rsidRDefault="00445656" w:rsidP="00445656">
            <w:pPr>
              <w:jc w:val="center"/>
              <w:rPr>
                <w:rFonts w:ascii="Palatino Linotype" w:hAnsi="Palatino Linotype"/>
                <w:color w:val="000000"/>
                <w:sz w:val="18"/>
                <w:szCs w:val="18"/>
                <w:lang w:val="en-US"/>
              </w:rPr>
            </w:pPr>
            <w:r w:rsidRPr="002807AE">
              <w:rPr>
                <w:rFonts w:ascii="Palatino Linotype" w:hAnsi="Palatino Linotype"/>
                <w:color w:val="000000"/>
                <w:sz w:val="18"/>
                <w:szCs w:val="18"/>
                <w:lang w:val="en-US"/>
              </w:rPr>
              <w:t>0.3</w:t>
            </w:r>
          </w:p>
        </w:tc>
      </w:tr>
    </w:tbl>
    <w:p w:rsidR="00445656" w:rsidRPr="002807AE" w:rsidRDefault="00445656" w:rsidP="00A26107">
      <w:pPr>
        <w:jc w:val="both"/>
        <w:rPr>
          <w:rFonts w:ascii="Palatino Linotype" w:hAnsi="Palatino Linotype" w:cs="Arial"/>
          <w:sz w:val="22"/>
          <w:szCs w:val="22"/>
          <w:lang w:val="en-US"/>
        </w:rPr>
      </w:pPr>
    </w:p>
    <w:tbl>
      <w:tblPr>
        <w:tblW w:w="8699" w:type="dxa"/>
        <w:jc w:val="center"/>
        <w:tblCellMar>
          <w:left w:w="70" w:type="dxa"/>
          <w:right w:w="70" w:type="dxa"/>
        </w:tblCellMar>
        <w:tblLook w:val="04A0" w:firstRow="1" w:lastRow="0" w:firstColumn="1" w:lastColumn="0" w:noHBand="0" w:noVBand="1"/>
      </w:tblPr>
      <w:tblGrid>
        <w:gridCol w:w="523"/>
        <w:gridCol w:w="8176"/>
      </w:tblGrid>
      <w:tr w:rsidR="002B3928" w:rsidRPr="002807AE" w:rsidTr="00616A93">
        <w:trPr>
          <w:trHeight w:val="80"/>
          <w:jc w:val="center"/>
        </w:trPr>
        <w:tc>
          <w:tcPr>
            <w:tcW w:w="523" w:type="dxa"/>
            <w:tcBorders>
              <w:top w:val="nil"/>
              <w:left w:val="nil"/>
              <w:bottom w:val="nil"/>
              <w:right w:val="nil"/>
            </w:tcBorders>
            <w:shd w:val="clear" w:color="000000" w:fill="FFFF00"/>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First Estimate</w:t>
            </w:r>
            <w:r w:rsidR="0000229D">
              <w:rPr>
                <w:rFonts w:ascii="Palatino Linotype" w:hAnsi="Palatino Linotype" w:cs="Arial"/>
                <w:color w:val="000000"/>
                <w:sz w:val="18"/>
                <w:szCs w:val="18"/>
                <w:lang w:val="en-US"/>
              </w:rPr>
              <w:t>s</w:t>
            </w:r>
            <w:r w:rsidRPr="002807AE">
              <w:rPr>
                <w:rFonts w:ascii="Palatino Linotype" w:hAnsi="Palatino Linotype" w:cs="Arial"/>
                <w:color w:val="000000"/>
                <w:sz w:val="18"/>
                <w:szCs w:val="18"/>
                <w:lang w:val="en-US"/>
              </w:rPr>
              <w:t xml:space="preserve"> (earliest number </w:t>
            </w:r>
            <w:r w:rsidR="009A059F" w:rsidRPr="002807AE">
              <w:rPr>
                <w:rFonts w:ascii="Palatino Linotype" w:hAnsi="Palatino Linotype" w:cs="Arial"/>
                <w:color w:val="000000"/>
                <w:sz w:val="18"/>
                <w:szCs w:val="18"/>
                <w:lang w:val="en-US"/>
              </w:rPr>
              <w:t xml:space="preserve">press </w:t>
            </w:r>
            <w:r w:rsidR="009A059F" w:rsidRPr="009A059F">
              <w:rPr>
                <w:rFonts w:ascii="Palatino Linotype" w:hAnsi="Palatino Linotype" w:cs="Arial"/>
                <w:color w:val="000000"/>
                <w:sz w:val="18"/>
                <w:szCs w:val="18"/>
                <w:lang w:val="en-US"/>
              </w:rPr>
              <w:t>release in question</w:t>
            </w:r>
            <w:r w:rsidRPr="002807AE">
              <w:rPr>
                <w:rFonts w:ascii="Palatino Linotype" w:hAnsi="Palatino Linotype" w:cs="Arial"/>
                <w:color w:val="000000"/>
                <w:sz w:val="18"/>
                <w:szCs w:val="18"/>
                <w:lang w:val="en-US"/>
              </w:rPr>
              <w:t>)</w:t>
            </w:r>
          </w:p>
        </w:tc>
      </w:tr>
      <w:tr w:rsidR="002B3928" w:rsidRPr="002807AE" w:rsidTr="00616A93">
        <w:trPr>
          <w:trHeight w:val="80"/>
          <w:jc w:val="center"/>
        </w:trPr>
        <w:tc>
          <w:tcPr>
            <w:tcW w:w="523" w:type="dxa"/>
            <w:tcBorders>
              <w:top w:val="nil"/>
              <w:left w:val="nil"/>
              <w:bottom w:val="nil"/>
              <w:right w:val="nil"/>
            </w:tcBorders>
            <w:shd w:val="clear" w:color="000000" w:fill="E7E6E6"/>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Differences between sequential press releases (Magnitude and direction of the revision)</w:t>
            </w:r>
          </w:p>
        </w:tc>
      </w:tr>
      <w:tr w:rsidR="002B3928" w:rsidRPr="002807AE" w:rsidTr="00616A93">
        <w:trPr>
          <w:trHeight w:val="80"/>
          <w:jc w:val="center"/>
        </w:trPr>
        <w:tc>
          <w:tcPr>
            <w:tcW w:w="523" w:type="dxa"/>
            <w:tcBorders>
              <w:top w:val="nil"/>
              <w:left w:val="nil"/>
              <w:bottom w:val="nil"/>
              <w:right w:val="nil"/>
            </w:tcBorders>
            <w:shd w:val="clear" w:color="000000" w:fill="92D050"/>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 </w:t>
            </w:r>
          </w:p>
        </w:tc>
        <w:tc>
          <w:tcPr>
            <w:tcW w:w="8176" w:type="dxa"/>
            <w:tcBorders>
              <w:top w:val="nil"/>
              <w:left w:val="nil"/>
              <w:bottom w:val="nil"/>
              <w:right w:val="nil"/>
            </w:tcBorders>
            <w:shd w:val="clear" w:color="auto" w:fill="auto"/>
            <w:noWrap/>
            <w:vAlign w:val="bottom"/>
            <w:hideMark/>
          </w:tcPr>
          <w:p w:rsidR="002B3928" w:rsidRPr="002807AE" w:rsidRDefault="002B3928" w:rsidP="00616A93">
            <w:pPr>
              <w:spacing w:line="276" w:lineRule="auto"/>
              <w:jc w:val="both"/>
              <w:rPr>
                <w:rFonts w:ascii="Palatino Linotype" w:hAnsi="Palatino Linotype" w:cs="Arial"/>
                <w:color w:val="000000"/>
                <w:sz w:val="18"/>
                <w:szCs w:val="18"/>
                <w:lang w:val="en-US"/>
              </w:rPr>
            </w:pPr>
            <w:r w:rsidRPr="002807AE">
              <w:rPr>
                <w:rFonts w:ascii="Palatino Linotype" w:hAnsi="Palatino Linotype" w:cs="Arial"/>
                <w:color w:val="000000"/>
                <w:sz w:val="18"/>
                <w:szCs w:val="18"/>
                <w:lang w:val="en-US"/>
              </w:rPr>
              <w:t>Last estimate</w:t>
            </w:r>
            <w:r w:rsidR="0000229D">
              <w:rPr>
                <w:rFonts w:ascii="Palatino Linotype" w:hAnsi="Palatino Linotype" w:cs="Arial"/>
                <w:color w:val="000000"/>
                <w:sz w:val="18"/>
                <w:szCs w:val="18"/>
                <w:lang w:val="en-US"/>
              </w:rPr>
              <w:t>s</w:t>
            </w:r>
          </w:p>
        </w:tc>
      </w:tr>
    </w:tbl>
    <w:p w:rsidR="002B3928" w:rsidRPr="002807AE" w:rsidRDefault="002B3928" w:rsidP="002B3928">
      <w:pPr>
        <w:spacing w:line="276" w:lineRule="auto"/>
        <w:jc w:val="both"/>
        <w:rPr>
          <w:rFonts w:ascii="Palatino Linotype" w:hAnsi="Palatino Linotype" w:cs="Arial"/>
          <w:sz w:val="18"/>
          <w:szCs w:val="18"/>
          <w:lang w:val="en-US"/>
        </w:rPr>
      </w:pPr>
      <w:r w:rsidRPr="002807AE">
        <w:rPr>
          <w:rFonts w:ascii="Palatino Linotype" w:hAnsi="Palatino Linotype" w:cs="Arial"/>
          <w:sz w:val="18"/>
          <w:szCs w:val="18"/>
          <w:lang w:val="en-US"/>
        </w:rPr>
        <w:t xml:space="preserve">Note: Summing of first estimation and revisions may not equal to last estimation due to rounding. </w:t>
      </w:r>
    </w:p>
    <w:p w:rsidR="00307821" w:rsidRPr="002807AE" w:rsidRDefault="00307821" w:rsidP="004D4D2E">
      <w:pPr>
        <w:spacing w:line="276" w:lineRule="auto"/>
        <w:jc w:val="both"/>
        <w:rPr>
          <w:rFonts w:ascii="Palatino Linotype" w:hAnsi="Palatino Linotype" w:cs="Arial"/>
          <w:sz w:val="22"/>
          <w:szCs w:val="22"/>
          <w:lang w:val="en-US"/>
        </w:rPr>
      </w:pPr>
    </w:p>
    <w:p w:rsidR="00AB2FCE" w:rsidRPr="009A059F" w:rsidRDefault="006456D6" w:rsidP="004D4D2E">
      <w:pPr>
        <w:spacing w:line="276" w:lineRule="auto"/>
        <w:jc w:val="both"/>
        <w:rPr>
          <w:rFonts w:ascii="Palatino Linotype" w:hAnsi="Palatino Linotype" w:cs="Arial"/>
          <w:b/>
          <w:i/>
          <w:sz w:val="22"/>
          <w:szCs w:val="22"/>
          <w:lang w:val="en-US"/>
        </w:rPr>
      </w:pPr>
      <w:r w:rsidRPr="009A059F">
        <w:rPr>
          <w:rFonts w:ascii="Palatino Linotype" w:hAnsi="Palatino Linotype" w:cs="Arial"/>
          <w:b/>
          <w:sz w:val="22"/>
          <w:szCs w:val="22"/>
          <w:lang w:val="en-US"/>
        </w:rPr>
        <w:t>German and Fr</w:t>
      </w:r>
      <w:r w:rsidR="0000229D" w:rsidRPr="009A059F">
        <w:rPr>
          <w:rFonts w:ascii="Palatino Linotype" w:hAnsi="Palatino Linotype" w:cs="Arial"/>
          <w:b/>
          <w:sz w:val="22"/>
          <w:szCs w:val="22"/>
          <w:lang w:val="en-US"/>
        </w:rPr>
        <w:t>ench examples</w:t>
      </w:r>
    </w:p>
    <w:p w:rsidR="00AB2FCE" w:rsidRPr="009A059F" w:rsidRDefault="00AB2FCE" w:rsidP="004D4D2E">
      <w:pPr>
        <w:spacing w:line="276" w:lineRule="auto"/>
        <w:jc w:val="both"/>
        <w:rPr>
          <w:rFonts w:ascii="Palatino Linotype" w:hAnsi="Palatino Linotype" w:cs="Arial"/>
          <w:b/>
          <w:sz w:val="22"/>
          <w:szCs w:val="22"/>
          <w:lang w:val="en-US"/>
        </w:rPr>
      </w:pPr>
    </w:p>
    <w:p w:rsidR="00AB2FCE" w:rsidRPr="009A059F" w:rsidRDefault="002806E6" w:rsidP="004D4D2E">
      <w:pPr>
        <w:spacing w:line="276" w:lineRule="auto"/>
        <w:jc w:val="both"/>
        <w:rPr>
          <w:rFonts w:ascii="Palatino Linotype" w:hAnsi="Palatino Linotype" w:cs="Arial"/>
          <w:b/>
          <w:sz w:val="22"/>
          <w:szCs w:val="22"/>
          <w:lang w:val="en-US"/>
        </w:rPr>
      </w:pPr>
      <w:r w:rsidRPr="009A059F">
        <w:rPr>
          <w:rFonts w:ascii="Palatino Linotype" w:hAnsi="Palatino Linotype" w:cs="Arial"/>
          <w:sz w:val="22"/>
          <w:szCs w:val="22"/>
          <w:lang w:val="en-US"/>
        </w:rPr>
        <w:t xml:space="preserve">Do </w:t>
      </w:r>
      <w:r w:rsidR="0000229D" w:rsidRPr="009A059F">
        <w:rPr>
          <w:rFonts w:ascii="Palatino Linotype" w:hAnsi="Palatino Linotype" w:cs="Arial"/>
          <w:sz w:val="22"/>
          <w:szCs w:val="22"/>
          <w:lang w:val="en-US"/>
        </w:rPr>
        <w:t xml:space="preserve">we observe similar revisions to those made by TurkStat on growth estimates among </w:t>
      </w:r>
      <w:r w:rsidRPr="009A059F">
        <w:rPr>
          <w:rFonts w:ascii="Palatino Linotype" w:hAnsi="Palatino Linotype" w:cs="Arial"/>
          <w:sz w:val="22"/>
          <w:szCs w:val="22"/>
          <w:lang w:val="en-US"/>
        </w:rPr>
        <w:t xml:space="preserve">the </w:t>
      </w:r>
      <w:r w:rsidR="0000229D" w:rsidRPr="009A059F">
        <w:rPr>
          <w:rFonts w:ascii="Palatino Linotype" w:hAnsi="Palatino Linotype" w:cs="Arial"/>
          <w:sz w:val="22"/>
          <w:szCs w:val="22"/>
          <w:lang w:val="en-US"/>
        </w:rPr>
        <w:t>national</w:t>
      </w:r>
      <w:r w:rsidRPr="009A059F">
        <w:rPr>
          <w:rFonts w:ascii="Palatino Linotype" w:hAnsi="Palatino Linotype" w:cs="Arial"/>
          <w:sz w:val="22"/>
          <w:szCs w:val="22"/>
          <w:lang w:val="en-US"/>
        </w:rPr>
        <w:t xml:space="preserve"> statistical institutes of </w:t>
      </w:r>
      <w:r w:rsidR="000E2CBB" w:rsidRPr="009A059F">
        <w:rPr>
          <w:rFonts w:ascii="Palatino Linotype" w:hAnsi="Palatino Linotype" w:cs="Arial"/>
          <w:sz w:val="22"/>
          <w:szCs w:val="22"/>
          <w:lang w:val="en-US"/>
        </w:rPr>
        <w:t xml:space="preserve">developed </w:t>
      </w:r>
      <w:r w:rsidRPr="009A059F">
        <w:rPr>
          <w:rFonts w:ascii="Palatino Linotype" w:hAnsi="Palatino Linotype" w:cs="Arial"/>
          <w:sz w:val="22"/>
          <w:szCs w:val="22"/>
          <w:lang w:val="en-US"/>
        </w:rPr>
        <w:t>countries? We looked at the revision</w:t>
      </w:r>
      <w:r w:rsidR="000E2CBB" w:rsidRPr="009A059F">
        <w:rPr>
          <w:rFonts w:ascii="Palatino Linotype" w:hAnsi="Palatino Linotype" w:cs="Arial"/>
          <w:sz w:val="22"/>
          <w:szCs w:val="22"/>
          <w:lang w:val="en-US"/>
        </w:rPr>
        <w:t xml:space="preserve"> practice</w:t>
      </w:r>
      <w:r w:rsidRPr="009A059F">
        <w:rPr>
          <w:rFonts w:ascii="Palatino Linotype" w:hAnsi="Palatino Linotype" w:cs="Arial"/>
          <w:sz w:val="22"/>
          <w:szCs w:val="22"/>
          <w:lang w:val="en-US"/>
        </w:rPr>
        <w:t xml:space="preserve">s of the statistical institutes of Germany and France for the five periods between 2016Q3 and 2017Q3 which we </w:t>
      </w:r>
      <w:r w:rsidR="000E2CBB" w:rsidRPr="009A059F">
        <w:rPr>
          <w:rFonts w:ascii="Palatino Linotype" w:hAnsi="Palatino Linotype" w:cs="Arial"/>
          <w:sz w:val="22"/>
          <w:szCs w:val="22"/>
          <w:lang w:val="en-US"/>
        </w:rPr>
        <w:t xml:space="preserve">analyzed </w:t>
      </w:r>
      <w:r w:rsidRPr="009A059F">
        <w:rPr>
          <w:rFonts w:ascii="Palatino Linotype" w:hAnsi="Palatino Linotype" w:cs="Arial"/>
          <w:sz w:val="22"/>
          <w:szCs w:val="22"/>
          <w:lang w:val="en-US"/>
        </w:rPr>
        <w:t>above</w:t>
      </w:r>
      <w:r w:rsidR="000E2CBB" w:rsidRPr="009A059F">
        <w:rPr>
          <w:rFonts w:ascii="Palatino Linotype" w:hAnsi="Palatino Linotype" w:cs="Arial"/>
          <w:sz w:val="22"/>
          <w:szCs w:val="22"/>
          <w:lang w:val="en-US"/>
        </w:rPr>
        <w:t xml:space="preserve"> for Turkey</w:t>
      </w:r>
      <w:r w:rsidRPr="009A059F">
        <w:rPr>
          <w:rFonts w:ascii="Palatino Linotype" w:hAnsi="Palatino Linotype" w:cs="Arial"/>
          <w:sz w:val="22"/>
          <w:szCs w:val="22"/>
          <w:lang w:val="en-US"/>
        </w:rPr>
        <w:t>.</w:t>
      </w:r>
      <w:r w:rsidR="00EC2E23" w:rsidRPr="009A059F">
        <w:rPr>
          <w:rStyle w:val="DipnotBavurusu"/>
          <w:rFonts w:ascii="Palatino Linotype" w:hAnsi="Palatino Linotype" w:cs="Arial"/>
          <w:sz w:val="22"/>
          <w:szCs w:val="22"/>
          <w:lang w:val="en-US"/>
        </w:rPr>
        <w:footnoteReference w:id="4"/>
      </w:r>
      <w:r w:rsidR="00EC2E23" w:rsidRPr="009A059F">
        <w:rPr>
          <w:rFonts w:ascii="Palatino Linotype" w:hAnsi="Palatino Linotype" w:cs="Arial"/>
          <w:sz w:val="22"/>
          <w:szCs w:val="22"/>
          <w:lang w:val="en-US"/>
        </w:rPr>
        <w:t xml:space="preserve"> </w:t>
      </w:r>
      <w:r w:rsidR="002E7558" w:rsidRPr="009A059F">
        <w:rPr>
          <w:rFonts w:ascii="Palatino Linotype" w:hAnsi="Palatino Linotype" w:cs="Arial"/>
          <w:sz w:val="22"/>
          <w:szCs w:val="22"/>
          <w:lang w:val="en-US"/>
        </w:rPr>
        <w:t xml:space="preserve">In the case of Germany, the biggest annual growth revision made between two consecutive press releases is </w:t>
      </w:r>
      <w:r w:rsidR="00000CCF" w:rsidRPr="009A059F">
        <w:rPr>
          <w:rFonts w:ascii="Palatino Linotype" w:hAnsi="Palatino Linotype" w:cs="Arial"/>
          <w:sz w:val="22"/>
          <w:szCs w:val="22"/>
          <w:lang w:val="en-US"/>
        </w:rPr>
        <w:t>0</w:t>
      </w:r>
      <w:r w:rsidR="002E7558" w:rsidRPr="009A059F">
        <w:rPr>
          <w:rFonts w:ascii="Palatino Linotype" w:hAnsi="Palatino Linotype" w:cs="Arial"/>
          <w:sz w:val="22"/>
          <w:szCs w:val="22"/>
          <w:lang w:val="en-US"/>
        </w:rPr>
        <w:t>.</w:t>
      </w:r>
      <w:r w:rsidR="00000CCF" w:rsidRPr="009A059F">
        <w:rPr>
          <w:rFonts w:ascii="Palatino Linotype" w:hAnsi="Palatino Linotype" w:cs="Arial"/>
          <w:sz w:val="22"/>
          <w:szCs w:val="22"/>
          <w:lang w:val="en-US"/>
        </w:rPr>
        <w:t xml:space="preserve">3 </w:t>
      </w:r>
      <w:r w:rsidR="002E7558" w:rsidRPr="009A059F">
        <w:rPr>
          <w:rFonts w:ascii="Palatino Linotype" w:hAnsi="Palatino Linotype" w:cs="Arial"/>
          <w:sz w:val="22"/>
          <w:szCs w:val="22"/>
          <w:lang w:val="en-US"/>
        </w:rPr>
        <w:t>percentage points.</w:t>
      </w:r>
      <w:r w:rsidR="00000CCF" w:rsidRPr="009A059F">
        <w:rPr>
          <w:rFonts w:ascii="Palatino Linotype" w:hAnsi="Palatino Linotype" w:cs="Arial"/>
          <w:sz w:val="22"/>
          <w:szCs w:val="22"/>
          <w:lang w:val="en-US"/>
        </w:rPr>
        <w:t xml:space="preserve"> </w:t>
      </w:r>
      <w:r w:rsidR="002E7558" w:rsidRPr="009A059F">
        <w:rPr>
          <w:rFonts w:ascii="Palatino Linotype" w:hAnsi="Palatino Linotype" w:cs="Arial"/>
          <w:sz w:val="22"/>
          <w:szCs w:val="22"/>
          <w:lang w:val="en-US"/>
        </w:rPr>
        <w:t>Moreover, there are no revisions</w:t>
      </w:r>
      <w:r w:rsidR="000E2CBB" w:rsidRPr="009A059F">
        <w:rPr>
          <w:rFonts w:ascii="Palatino Linotype" w:hAnsi="Palatino Linotype" w:cs="Arial"/>
          <w:sz w:val="22"/>
          <w:szCs w:val="22"/>
          <w:lang w:val="en-US"/>
        </w:rPr>
        <w:t xml:space="preserve"> in opposite directions</w:t>
      </w:r>
      <w:r w:rsidR="002E7558" w:rsidRPr="009A059F">
        <w:rPr>
          <w:rFonts w:ascii="Palatino Linotype" w:hAnsi="Palatino Linotype" w:cs="Arial"/>
          <w:sz w:val="22"/>
          <w:szCs w:val="22"/>
          <w:lang w:val="en-US"/>
        </w:rPr>
        <w:t xml:space="preserve"> between any two consecutive periods </w:t>
      </w:r>
      <w:r w:rsidR="00000CCF" w:rsidRPr="009A059F">
        <w:rPr>
          <w:rFonts w:ascii="Palatino Linotype" w:hAnsi="Palatino Linotype" w:cs="Arial"/>
          <w:sz w:val="22"/>
          <w:szCs w:val="22"/>
          <w:lang w:val="en-US"/>
        </w:rPr>
        <w:t>(</w:t>
      </w:r>
      <w:r w:rsidR="002E7558" w:rsidRPr="009A059F">
        <w:rPr>
          <w:rFonts w:ascii="Palatino Linotype" w:hAnsi="Palatino Linotype" w:cs="Arial"/>
          <w:sz w:val="22"/>
          <w:szCs w:val="22"/>
          <w:lang w:val="en-US"/>
        </w:rPr>
        <w:t>A</w:t>
      </w:r>
      <w:r w:rsidR="000E2CBB" w:rsidRPr="009A059F">
        <w:rPr>
          <w:rFonts w:ascii="Palatino Linotype" w:hAnsi="Palatino Linotype" w:cs="Arial"/>
          <w:sz w:val="22"/>
          <w:szCs w:val="22"/>
          <w:lang w:val="en-US"/>
        </w:rPr>
        <w:t>nnex</w:t>
      </w:r>
      <w:r w:rsidR="002E7558" w:rsidRPr="009A059F">
        <w:rPr>
          <w:rFonts w:ascii="Palatino Linotype" w:hAnsi="Palatino Linotype" w:cs="Arial"/>
          <w:sz w:val="22"/>
          <w:szCs w:val="22"/>
          <w:lang w:val="en-US"/>
        </w:rPr>
        <w:t xml:space="preserve"> Graph</w:t>
      </w:r>
      <w:r w:rsidR="00000CCF" w:rsidRPr="009A059F">
        <w:rPr>
          <w:rFonts w:ascii="Palatino Linotype" w:hAnsi="Palatino Linotype" w:cs="Arial"/>
          <w:sz w:val="22"/>
          <w:szCs w:val="22"/>
          <w:lang w:val="en-US"/>
        </w:rPr>
        <w:t xml:space="preserve"> 3A).</w:t>
      </w:r>
      <w:r w:rsidR="009068EE" w:rsidRPr="009A059F">
        <w:rPr>
          <w:rFonts w:ascii="Palatino Linotype" w:hAnsi="Palatino Linotype" w:cs="Arial"/>
          <w:sz w:val="22"/>
          <w:szCs w:val="22"/>
          <w:lang w:val="en-US"/>
        </w:rPr>
        <w:t xml:space="preserve"> </w:t>
      </w:r>
      <w:r w:rsidR="002E7558" w:rsidRPr="009A059F">
        <w:rPr>
          <w:rFonts w:ascii="Palatino Linotype" w:hAnsi="Palatino Linotype" w:cs="Arial"/>
          <w:sz w:val="22"/>
          <w:szCs w:val="22"/>
          <w:lang w:val="en-US"/>
        </w:rPr>
        <w:t>Similarly, in the case of France, it is clear that quarterly growth revisions made by France's official statistics institute for the same period are much more limited and less volatile than those of TurkStat (Additional Graph 3A).</w:t>
      </w:r>
      <w:r w:rsidR="002E7558" w:rsidRPr="009A059F">
        <w:rPr>
          <w:rFonts w:ascii="Palatino Linotype" w:hAnsi="Palatino Linotype" w:cs="Arial"/>
          <w:b/>
          <w:sz w:val="22"/>
          <w:szCs w:val="22"/>
          <w:lang w:val="en-US"/>
        </w:rPr>
        <w:t xml:space="preserve"> </w:t>
      </w:r>
    </w:p>
    <w:p w:rsidR="002E7558" w:rsidRPr="009A059F" w:rsidRDefault="002E7558" w:rsidP="004D4D2E">
      <w:pPr>
        <w:spacing w:line="276" w:lineRule="auto"/>
        <w:jc w:val="both"/>
        <w:rPr>
          <w:rFonts w:ascii="Palatino Linotype" w:hAnsi="Palatino Linotype" w:cs="Arial"/>
          <w:b/>
          <w:sz w:val="22"/>
          <w:szCs w:val="22"/>
          <w:lang w:val="en-US"/>
        </w:rPr>
      </w:pPr>
    </w:p>
    <w:p w:rsidR="00445656" w:rsidRPr="002807AE" w:rsidRDefault="000E2CBB" w:rsidP="004D4D2E">
      <w:pPr>
        <w:spacing w:line="276" w:lineRule="auto"/>
        <w:jc w:val="both"/>
        <w:rPr>
          <w:rFonts w:ascii="Palatino Linotype" w:hAnsi="Palatino Linotype" w:cs="Arial"/>
          <w:b/>
          <w:sz w:val="22"/>
          <w:szCs w:val="22"/>
          <w:lang w:val="en-US"/>
        </w:rPr>
      </w:pPr>
      <w:r w:rsidRPr="009A059F">
        <w:rPr>
          <w:rFonts w:ascii="Palatino Linotype" w:hAnsi="Palatino Linotype" w:cs="Arial"/>
          <w:b/>
          <w:sz w:val="22"/>
          <w:szCs w:val="22"/>
          <w:lang w:val="en-US"/>
        </w:rPr>
        <w:t>Conclusion</w:t>
      </w:r>
    </w:p>
    <w:p w:rsidR="00307821" w:rsidRPr="002807AE" w:rsidRDefault="00307821" w:rsidP="004D4D2E">
      <w:pPr>
        <w:spacing w:line="276" w:lineRule="auto"/>
        <w:jc w:val="both"/>
        <w:rPr>
          <w:rFonts w:ascii="Palatino Linotype" w:hAnsi="Palatino Linotype" w:cs="Arial"/>
          <w:sz w:val="22"/>
          <w:szCs w:val="22"/>
          <w:lang w:val="en-US"/>
        </w:rPr>
      </w:pPr>
    </w:p>
    <w:p w:rsidR="00D25D1B" w:rsidRPr="009A059F" w:rsidRDefault="00D25D1B" w:rsidP="00D25D1B">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Revisions in growth estimates m</w:t>
      </w:r>
      <w:r w:rsidR="000E2CBB" w:rsidRPr="009A059F">
        <w:rPr>
          <w:rFonts w:ascii="Palatino Linotype" w:hAnsi="Palatino Linotype" w:cs="Arial"/>
          <w:sz w:val="22"/>
          <w:szCs w:val="22"/>
          <w:lang w:val="en-US"/>
        </w:rPr>
        <w:t xml:space="preserve">ight be unavoidable </w:t>
      </w:r>
      <w:r w:rsidRPr="009A059F">
        <w:rPr>
          <w:rFonts w:ascii="Palatino Linotype" w:hAnsi="Palatino Linotype" w:cs="Arial"/>
          <w:sz w:val="22"/>
          <w:szCs w:val="22"/>
          <w:lang w:val="en-US"/>
        </w:rPr>
        <w:t xml:space="preserve">due to </w:t>
      </w:r>
      <w:r w:rsidR="000E2CBB" w:rsidRPr="009A059F">
        <w:rPr>
          <w:rFonts w:ascii="Palatino Linotype" w:hAnsi="Palatino Linotype" w:cs="Arial"/>
          <w:sz w:val="22"/>
          <w:szCs w:val="22"/>
          <w:lang w:val="en-US"/>
        </w:rPr>
        <w:t xml:space="preserve">additional </w:t>
      </w:r>
      <w:r w:rsidRPr="009A059F">
        <w:rPr>
          <w:rFonts w:ascii="Palatino Linotype" w:hAnsi="Palatino Linotype" w:cs="Arial"/>
          <w:sz w:val="22"/>
          <w:szCs w:val="22"/>
          <w:lang w:val="en-US"/>
        </w:rPr>
        <w:t xml:space="preserve">data or some adjustments. Logically, the need for revision may arise when new information related to previous quarters </w:t>
      </w:r>
      <w:r w:rsidR="000E2CBB" w:rsidRPr="009A059F">
        <w:rPr>
          <w:rFonts w:ascii="Palatino Linotype" w:hAnsi="Palatino Linotype" w:cs="Arial"/>
          <w:sz w:val="22"/>
          <w:szCs w:val="22"/>
          <w:lang w:val="en-US"/>
        </w:rPr>
        <w:t>becomes available</w:t>
      </w:r>
      <w:r w:rsidRPr="009A059F">
        <w:rPr>
          <w:rFonts w:ascii="Palatino Linotype" w:hAnsi="Palatino Linotype" w:cs="Arial"/>
          <w:sz w:val="22"/>
          <w:szCs w:val="22"/>
          <w:lang w:val="en-US"/>
        </w:rPr>
        <w:t xml:space="preserve">. </w:t>
      </w:r>
      <w:r w:rsidR="000E2CBB" w:rsidRPr="009A059F">
        <w:rPr>
          <w:rFonts w:ascii="Palatino Linotype" w:hAnsi="Palatino Linotype" w:cs="Arial"/>
          <w:sz w:val="22"/>
          <w:szCs w:val="22"/>
          <w:lang w:val="en-US"/>
        </w:rPr>
        <w:t xml:space="preserve">Revisions might also be </w:t>
      </w:r>
      <w:r w:rsidRPr="009A059F">
        <w:rPr>
          <w:rFonts w:ascii="Palatino Linotype" w:hAnsi="Palatino Linotype" w:cs="Arial"/>
          <w:sz w:val="22"/>
          <w:szCs w:val="22"/>
          <w:lang w:val="en-US"/>
        </w:rPr>
        <w:t xml:space="preserve">repeated more than once. </w:t>
      </w:r>
      <w:r w:rsidR="000E2CBB" w:rsidRPr="009A059F">
        <w:rPr>
          <w:rFonts w:ascii="Palatino Linotype" w:hAnsi="Palatino Linotype" w:cs="Arial"/>
          <w:sz w:val="22"/>
          <w:szCs w:val="22"/>
          <w:lang w:val="en-US"/>
        </w:rPr>
        <w:t xml:space="preserve">Nevertheless, </w:t>
      </w:r>
      <w:r w:rsidRPr="009A059F">
        <w:rPr>
          <w:rFonts w:ascii="Palatino Linotype" w:hAnsi="Palatino Linotype" w:cs="Arial"/>
          <w:sz w:val="22"/>
          <w:szCs w:val="22"/>
          <w:lang w:val="en-US"/>
        </w:rPr>
        <w:t xml:space="preserve">if </w:t>
      </w:r>
      <w:r w:rsidR="004B4D24" w:rsidRPr="009A059F">
        <w:rPr>
          <w:rFonts w:ascii="Palatino Linotype" w:hAnsi="Palatino Linotype" w:cs="Arial"/>
          <w:sz w:val="22"/>
          <w:szCs w:val="22"/>
          <w:lang w:val="en-US"/>
        </w:rPr>
        <w:t xml:space="preserve">additional </w:t>
      </w:r>
      <w:r w:rsidRPr="009A059F">
        <w:rPr>
          <w:rFonts w:ascii="Palatino Linotype" w:hAnsi="Palatino Linotype" w:cs="Arial"/>
          <w:sz w:val="22"/>
          <w:szCs w:val="22"/>
          <w:lang w:val="en-US"/>
        </w:rPr>
        <w:t>information says</w:t>
      </w:r>
      <w:r w:rsidR="004B4D24" w:rsidRPr="009A059F">
        <w:rPr>
          <w:rFonts w:ascii="Palatino Linotype" w:hAnsi="Palatino Linotype" w:cs="Arial"/>
          <w:sz w:val="22"/>
          <w:szCs w:val="22"/>
          <w:lang w:val="en-US"/>
        </w:rPr>
        <w:t>,</w:t>
      </w:r>
      <w:r w:rsidRPr="009A059F">
        <w:rPr>
          <w:rFonts w:ascii="Palatino Linotype" w:hAnsi="Palatino Linotype" w:cs="Arial"/>
          <w:sz w:val="22"/>
          <w:szCs w:val="22"/>
          <w:lang w:val="en-US"/>
        </w:rPr>
        <w:t xml:space="preserve"> </w:t>
      </w:r>
      <w:r w:rsidR="004B4D24" w:rsidRPr="009A059F">
        <w:rPr>
          <w:rFonts w:ascii="Palatino Linotype" w:hAnsi="Palatino Linotype" w:cs="Arial"/>
          <w:sz w:val="22"/>
          <w:szCs w:val="22"/>
          <w:lang w:val="en-US"/>
        </w:rPr>
        <w:t xml:space="preserve">at best, the growth rate has been largely over or under estimated and, at worst, </w:t>
      </w:r>
      <w:r w:rsidRPr="009A059F">
        <w:rPr>
          <w:rFonts w:ascii="Palatino Linotype" w:hAnsi="Palatino Linotype" w:cs="Arial"/>
          <w:sz w:val="22"/>
          <w:szCs w:val="22"/>
          <w:lang w:val="en-US"/>
        </w:rPr>
        <w:t xml:space="preserve">the </w:t>
      </w:r>
      <w:r w:rsidR="004B4D24" w:rsidRPr="009A059F">
        <w:rPr>
          <w:rFonts w:ascii="Palatino Linotype" w:hAnsi="Palatino Linotype" w:cs="Arial"/>
          <w:sz w:val="22"/>
          <w:szCs w:val="22"/>
          <w:lang w:val="en-US"/>
        </w:rPr>
        <w:t xml:space="preserve">opposite direction of </w:t>
      </w:r>
      <w:r w:rsidRPr="009A059F">
        <w:rPr>
          <w:rFonts w:ascii="Palatino Linotype" w:hAnsi="Palatino Linotype" w:cs="Arial"/>
          <w:sz w:val="22"/>
          <w:szCs w:val="22"/>
          <w:lang w:val="en-US"/>
        </w:rPr>
        <w:t xml:space="preserve">the </w:t>
      </w:r>
      <w:r w:rsidR="004B4D24" w:rsidRPr="009A059F">
        <w:rPr>
          <w:rFonts w:ascii="Palatino Linotype" w:hAnsi="Palatino Linotype" w:cs="Arial"/>
          <w:sz w:val="22"/>
          <w:szCs w:val="22"/>
          <w:lang w:val="en-US"/>
        </w:rPr>
        <w:t xml:space="preserve">last estimate, </w:t>
      </w:r>
      <w:r w:rsidRPr="009A059F">
        <w:rPr>
          <w:rFonts w:ascii="Palatino Linotype" w:hAnsi="Palatino Linotype" w:cs="Arial"/>
          <w:sz w:val="22"/>
          <w:szCs w:val="22"/>
          <w:lang w:val="en-US"/>
        </w:rPr>
        <w:t xml:space="preserve">the credibility of </w:t>
      </w:r>
      <w:r w:rsidRPr="009A059F">
        <w:rPr>
          <w:rFonts w:ascii="Palatino Linotype" w:hAnsi="Palatino Linotype" w:cs="Arial"/>
          <w:sz w:val="22"/>
          <w:szCs w:val="22"/>
          <w:lang w:val="en-US"/>
        </w:rPr>
        <w:lastRenderedPageBreak/>
        <w:t xml:space="preserve">the </w:t>
      </w:r>
      <w:r w:rsidR="004B4D24" w:rsidRPr="009A059F">
        <w:rPr>
          <w:rFonts w:ascii="Palatino Linotype" w:hAnsi="Palatino Linotype" w:cs="Arial"/>
          <w:sz w:val="22"/>
          <w:szCs w:val="22"/>
          <w:lang w:val="en-US"/>
        </w:rPr>
        <w:t xml:space="preserve">growth </w:t>
      </w:r>
      <w:r w:rsidRPr="009A059F">
        <w:rPr>
          <w:rFonts w:ascii="Palatino Linotype" w:hAnsi="Palatino Linotype" w:cs="Arial"/>
          <w:sz w:val="22"/>
          <w:szCs w:val="22"/>
          <w:lang w:val="en-US"/>
        </w:rPr>
        <w:t xml:space="preserve">estimates </w:t>
      </w:r>
      <w:r w:rsidR="004B4D24" w:rsidRPr="009A059F">
        <w:rPr>
          <w:rFonts w:ascii="Palatino Linotype" w:hAnsi="Palatino Linotype" w:cs="Arial"/>
          <w:sz w:val="22"/>
          <w:szCs w:val="22"/>
          <w:lang w:val="en-US"/>
        </w:rPr>
        <w:t xml:space="preserve">becomes questionable. </w:t>
      </w:r>
      <w:r w:rsidRPr="009A059F">
        <w:rPr>
          <w:rFonts w:ascii="Palatino Linotype" w:hAnsi="Palatino Linotype" w:cs="Arial"/>
          <w:sz w:val="22"/>
          <w:szCs w:val="22"/>
          <w:lang w:val="en-US"/>
        </w:rPr>
        <w:t xml:space="preserve">If the frequency and </w:t>
      </w:r>
      <w:r w:rsidR="004B4D24" w:rsidRPr="009A059F">
        <w:rPr>
          <w:rFonts w:ascii="Palatino Linotype" w:hAnsi="Palatino Linotype" w:cs="Arial"/>
          <w:sz w:val="22"/>
          <w:szCs w:val="22"/>
          <w:lang w:val="en-US"/>
        </w:rPr>
        <w:t xml:space="preserve">size </w:t>
      </w:r>
      <w:r w:rsidRPr="009A059F">
        <w:rPr>
          <w:rFonts w:ascii="Palatino Linotype" w:hAnsi="Palatino Linotype" w:cs="Arial"/>
          <w:sz w:val="22"/>
          <w:szCs w:val="22"/>
          <w:lang w:val="en-US"/>
        </w:rPr>
        <w:t xml:space="preserve">of growth revisions continue this way, the </w:t>
      </w:r>
      <w:r w:rsidR="00354488" w:rsidRPr="009A059F">
        <w:rPr>
          <w:rFonts w:ascii="Palatino Linotype" w:hAnsi="Palatino Linotype" w:cs="Arial"/>
          <w:sz w:val="22"/>
          <w:szCs w:val="22"/>
          <w:lang w:val="en-US"/>
        </w:rPr>
        <w:t>belief about</w:t>
      </w:r>
      <w:r w:rsidR="004B4D24" w:rsidRPr="009A059F">
        <w:rPr>
          <w:rFonts w:ascii="Palatino Linotype" w:hAnsi="Palatino Linotype" w:cs="Arial"/>
          <w:sz w:val="22"/>
          <w:szCs w:val="22"/>
          <w:lang w:val="en-US"/>
        </w:rPr>
        <w:t xml:space="preserve"> </w:t>
      </w:r>
      <w:r w:rsidRPr="009A059F">
        <w:rPr>
          <w:rFonts w:ascii="Palatino Linotype" w:hAnsi="Palatino Linotype" w:cs="Arial"/>
          <w:sz w:val="22"/>
          <w:szCs w:val="22"/>
          <w:lang w:val="en-US"/>
        </w:rPr>
        <w:t>"</w:t>
      </w:r>
      <w:r w:rsidR="004B4D24" w:rsidRPr="009A059F">
        <w:rPr>
          <w:rFonts w:ascii="Palatino Linotype" w:hAnsi="Palatino Linotype" w:cs="Arial"/>
          <w:sz w:val="22"/>
          <w:szCs w:val="22"/>
          <w:lang w:val="en-US"/>
        </w:rPr>
        <w:t xml:space="preserve">current rates will anyway </w:t>
      </w:r>
      <w:r w:rsidRPr="009A059F">
        <w:rPr>
          <w:rFonts w:ascii="Palatino Linotype" w:hAnsi="Palatino Linotype" w:cs="Arial"/>
          <w:sz w:val="22"/>
          <w:szCs w:val="22"/>
          <w:lang w:val="en-US"/>
        </w:rPr>
        <w:t xml:space="preserve">be revised </w:t>
      </w:r>
      <w:r w:rsidR="004B4D24" w:rsidRPr="009A059F">
        <w:rPr>
          <w:rFonts w:ascii="Palatino Linotype" w:hAnsi="Palatino Linotype" w:cs="Arial"/>
          <w:sz w:val="22"/>
          <w:szCs w:val="22"/>
          <w:lang w:val="en-US"/>
        </w:rPr>
        <w:t xml:space="preserve">tremendously </w:t>
      </w:r>
      <w:r w:rsidRPr="009A059F">
        <w:rPr>
          <w:rFonts w:ascii="Palatino Linotype" w:hAnsi="Palatino Linotype" w:cs="Arial"/>
          <w:sz w:val="22"/>
          <w:szCs w:val="22"/>
          <w:lang w:val="en-US"/>
        </w:rPr>
        <w:t>upwards or downwards (maybe both)</w:t>
      </w:r>
      <w:r w:rsidR="004B4D24" w:rsidRPr="009A059F">
        <w:rPr>
          <w:rFonts w:ascii="Palatino Linotype" w:hAnsi="Palatino Linotype" w:cs="Arial"/>
          <w:sz w:val="22"/>
          <w:szCs w:val="22"/>
          <w:lang w:val="en-US"/>
        </w:rPr>
        <w:t xml:space="preserve"> in the coming press rel</w:t>
      </w:r>
      <w:r w:rsidR="00354488" w:rsidRPr="009A059F">
        <w:rPr>
          <w:rFonts w:ascii="Palatino Linotype" w:hAnsi="Palatino Linotype" w:cs="Arial"/>
          <w:sz w:val="22"/>
          <w:szCs w:val="22"/>
          <w:lang w:val="en-US"/>
        </w:rPr>
        <w:t>ea</w:t>
      </w:r>
      <w:r w:rsidR="004B4D24" w:rsidRPr="009A059F">
        <w:rPr>
          <w:rFonts w:ascii="Palatino Linotype" w:hAnsi="Palatino Linotype" w:cs="Arial"/>
          <w:sz w:val="22"/>
          <w:szCs w:val="22"/>
          <w:lang w:val="en-US"/>
        </w:rPr>
        <w:t>ses</w:t>
      </w:r>
      <w:r w:rsidRPr="009A059F">
        <w:rPr>
          <w:rFonts w:ascii="Palatino Linotype" w:hAnsi="Palatino Linotype" w:cs="Arial"/>
          <w:sz w:val="22"/>
          <w:szCs w:val="22"/>
          <w:lang w:val="en-US"/>
        </w:rPr>
        <w:t>"</w:t>
      </w:r>
      <w:r w:rsidR="00354488" w:rsidRPr="009A059F">
        <w:rPr>
          <w:rFonts w:ascii="Palatino Linotype" w:hAnsi="Palatino Linotype" w:cs="Arial"/>
          <w:sz w:val="22"/>
          <w:szCs w:val="22"/>
          <w:lang w:val="en-US"/>
        </w:rPr>
        <w:t xml:space="preserve"> will be settled among economic agents.</w:t>
      </w:r>
      <w:r w:rsidRPr="009A059F">
        <w:rPr>
          <w:rFonts w:ascii="Palatino Linotype" w:hAnsi="Palatino Linotype" w:cs="Arial"/>
          <w:sz w:val="22"/>
          <w:szCs w:val="22"/>
          <w:lang w:val="en-US"/>
        </w:rPr>
        <w:t xml:space="preserve"> For a statistical institution, this is probably the </w:t>
      </w:r>
      <w:r w:rsidR="00354488" w:rsidRPr="009A059F">
        <w:rPr>
          <w:rFonts w:ascii="Palatino Linotype" w:hAnsi="Palatino Linotype" w:cs="Arial"/>
          <w:sz w:val="22"/>
          <w:szCs w:val="22"/>
          <w:lang w:val="en-US"/>
        </w:rPr>
        <w:t xml:space="preserve">last </w:t>
      </w:r>
      <w:r w:rsidRPr="009A059F">
        <w:rPr>
          <w:rFonts w:ascii="Palatino Linotype" w:hAnsi="Palatino Linotype" w:cs="Arial"/>
          <w:sz w:val="22"/>
          <w:szCs w:val="22"/>
          <w:lang w:val="en-US"/>
        </w:rPr>
        <w:t>desirable situation.</w:t>
      </w:r>
    </w:p>
    <w:p w:rsidR="00533E8C" w:rsidRPr="009A059F" w:rsidRDefault="00533E8C" w:rsidP="004D4D2E">
      <w:pPr>
        <w:spacing w:line="276" w:lineRule="auto"/>
        <w:jc w:val="both"/>
        <w:rPr>
          <w:rFonts w:ascii="Palatino Linotype" w:hAnsi="Palatino Linotype" w:cs="Arial"/>
          <w:sz w:val="22"/>
          <w:szCs w:val="22"/>
          <w:lang w:val="en-US"/>
        </w:rPr>
      </w:pPr>
      <w:r w:rsidRPr="009A059F">
        <w:rPr>
          <w:rFonts w:ascii="Palatino Linotype" w:hAnsi="Palatino Linotype" w:cs="Arial"/>
          <w:sz w:val="22"/>
          <w:szCs w:val="22"/>
          <w:lang w:val="en-US"/>
        </w:rPr>
        <w:t xml:space="preserve"> </w:t>
      </w:r>
    </w:p>
    <w:p w:rsidR="006A45E7" w:rsidRPr="002807AE" w:rsidRDefault="004D3494" w:rsidP="006A45E7">
      <w:pPr>
        <w:spacing w:line="276" w:lineRule="auto"/>
        <w:jc w:val="both"/>
        <w:rPr>
          <w:rFonts w:ascii="Palatino Linotype" w:hAnsi="Palatino Linotype" w:cs="Arial"/>
          <w:sz w:val="22"/>
          <w:szCs w:val="22"/>
          <w:lang w:val="en-US"/>
        </w:rPr>
        <w:sectPr w:rsidR="006A45E7" w:rsidRPr="002807AE" w:rsidSect="00F34DD4">
          <w:pgSz w:w="11906" w:h="16838"/>
          <w:pgMar w:top="1417" w:right="1417" w:bottom="1417" w:left="1417" w:header="0" w:footer="0" w:gutter="0"/>
          <w:cols w:space="720"/>
          <w:formProt w:val="0"/>
          <w:docGrid w:linePitch="360" w:charSpace="-2049"/>
        </w:sectPr>
      </w:pPr>
      <w:r w:rsidRPr="009A059F">
        <w:rPr>
          <w:rFonts w:ascii="Palatino Linotype" w:hAnsi="Palatino Linotype" w:cs="Arial"/>
          <w:sz w:val="22"/>
          <w:szCs w:val="22"/>
          <w:lang w:val="en-US"/>
        </w:rPr>
        <w:t xml:space="preserve">Sizable and inconsistent </w:t>
      </w:r>
      <w:r w:rsidR="006A45E7" w:rsidRPr="009A059F">
        <w:rPr>
          <w:rFonts w:ascii="Palatino Linotype" w:hAnsi="Palatino Linotype" w:cs="Arial"/>
          <w:sz w:val="22"/>
          <w:szCs w:val="22"/>
          <w:lang w:val="en-US"/>
        </w:rPr>
        <w:t xml:space="preserve">revisions that invalidate </w:t>
      </w:r>
      <w:r w:rsidRPr="009A059F">
        <w:rPr>
          <w:rFonts w:ascii="Palatino Linotype" w:hAnsi="Palatino Linotype" w:cs="Arial"/>
          <w:sz w:val="22"/>
          <w:szCs w:val="22"/>
          <w:lang w:val="en-US"/>
        </w:rPr>
        <w:t>existing estimates make</w:t>
      </w:r>
      <w:r w:rsidR="006A45E7" w:rsidRPr="009A059F">
        <w:rPr>
          <w:rFonts w:ascii="Palatino Linotype" w:hAnsi="Palatino Linotype" w:cs="Arial"/>
          <w:sz w:val="22"/>
          <w:szCs w:val="22"/>
          <w:lang w:val="en-US"/>
        </w:rPr>
        <w:t xml:space="preserve"> </w:t>
      </w:r>
      <w:r w:rsidRPr="009A059F">
        <w:rPr>
          <w:rFonts w:ascii="Palatino Linotype" w:hAnsi="Palatino Linotype" w:cs="Arial"/>
          <w:sz w:val="22"/>
          <w:szCs w:val="22"/>
          <w:lang w:val="en-US"/>
        </w:rPr>
        <w:t xml:space="preserve">growth </w:t>
      </w:r>
      <w:r w:rsidR="006A45E7" w:rsidRPr="009A059F">
        <w:rPr>
          <w:rFonts w:ascii="Palatino Linotype" w:hAnsi="Palatino Linotype" w:cs="Arial"/>
          <w:sz w:val="22"/>
          <w:szCs w:val="22"/>
          <w:lang w:val="en-US"/>
        </w:rPr>
        <w:t xml:space="preserve">analysis and forecasts </w:t>
      </w:r>
      <w:r w:rsidRPr="009A059F">
        <w:rPr>
          <w:rFonts w:ascii="Palatino Linotype" w:hAnsi="Palatino Linotype" w:cs="Arial"/>
          <w:sz w:val="22"/>
          <w:szCs w:val="22"/>
          <w:lang w:val="en-US"/>
        </w:rPr>
        <w:t xml:space="preserve">difficult as they are based </w:t>
      </w:r>
      <w:r w:rsidR="006A45E7" w:rsidRPr="009A059F">
        <w:rPr>
          <w:rFonts w:ascii="Palatino Linotype" w:hAnsi="Palatino Linotype" w:cs="Arial"/>
          <w:sz w:val="22"/>
          <w:szCs w:val="22"/>
          <w:lang w:val="en-US"/>
        </w:rPr>
        <w:t xml:space="preserve">on these estimates. In order to maintain credibility and to provide a stable framework for growth analysis, TurkStat should at least make a public statement for every important revision it makes. Sharing </w:t>
      </w:r>
      <w:r w:rsidRPr="009A059F">
        <w:rPr>
          <w:rFonts w:ascii="Palatino Linotype" w:hAnsi="Palatino Linotype" w:cs="Arial"/>
          <w:sz w:val="22"/>
          <w:szCs w:val="22"/>
          <w:lang w:val="en-US"/>
        </w:rPr>
        <w:t>openly</w:t>
      </w:r>
      <w:r w:rsidR="006A45E7" w:rsidRPr="009A059F">
        <w:rPr>
          <w:rFonts w:ascii="Palatino Linotype" w:hAnsi="Palatino Linotype" w:cs="Arial"/>
          <w:sz w:val="22"/>
          <w:szCs w:val="22"/>
          <w:lang w:val="en-US"/>
        </w:rPr>
        <w:t xml:space="preserve"> the reasons leading to these revisions with public will </w:t>
      </w:r>
      <w:r w:rsidRPr="009A059F">
        <w:rPr>
          <w:rFonts w:ascii="Palatino Linotype" w:hAnsi="Palatino Linotype" w:cs="Arial"/>
          <w:sz w:val="22"/>
          <w:szCs w:val="22"/>
          <w:lang w:val="en-US"/>
        </w:rPr>
        <w:t xml:space="preserve">certainly </w:t>
      </w:r>
      <w:r w:rsidR="006A45E7" w:rsidRPr="009A059F">
        <w:rPr>
          <w:rFonts w:ascii="Palatino Linotype" w:hAnsi="Palatino Linotype" w:cs="Arial"/>
          <w:sz w:val="22"/>
          <w:szCs w:val="22"/>
          <w:lang w:val="en-US"/>
        </w:rPr>
        <w:t xml:space="preserve">increase </w:t>
      </w:r>
      <w:r w:rsidRPr="009A059F">
        <w:rPr>
          <w:rFonts w:ascii="Palatino Linotype" w:hAnsi="Palatino Linotype" w:cs="Arial"/>
          <w:sz w:val="22"/>
          <w:szCs w:val="22"/>
          <w:lang w:val="en-US"/>
        </w:rPr>
        <w:t xml:space="preserve">the </w:t>
      </w:r>
      <w:r w:rsidR="006A45E7" w:rsidRPr="009A059F">
        <w:rPr>
          <w:rFonts w:ascii="Palatino Linotype" w:hAnsi="Palatino Linotype" w:cs="Arial"/>
          <w:sz w:val="22"/>
          <w:szCs w:val="22"/>
          <w:lang w:val="en-US"/>
        </w:rPr>
        <w:t>c</w:t>
      </w:r>
      <w:r w:rsidRPr="009A059F">
        <w:rPr>
          <w:rFonts w:ascii="Palatino Linotype" w:hAnsi="Palatino Linotype" w:cs="Arial"/>
          <w:sz w:val="22"/>
          <w:szCs w:val="22"/>
          <w:lang w:val="en-US"/>
        </w:rPr>
        <w:t xml:space="preserve">redibility of </w:t>
      </w:r>
      <w:r w:rsidR="006A45E7" w:rsidRPr="009A059F">
        <w:rPr>
          <w:rFonts w:ascii="Palatino Linotype" w:hAnsi="Palatino Linotype" w:cs="Arial"/>
          <w:sz w:val="22"/>
          <w:szCs w:val="22"/>
          <w:lang w:val="en-US"/>
        </w:rPr>
        <w:t>TurkStat.</w:t>
      </w:r>
    </w:p>
    <w:p w:rsidR="00927C2F" w:rsidRPr="002807AE" w:rsidRDefault="00D16422" w:rsidP="00445656">
      <w:pPr>
        <w:rPr>
          <w:rFonts w:ascii="Palatino Linotype" w:hAnsi="Palatino Linotype" w:cs="Arial"/>
          <w:b/>
          <w:sz w:val="22"/>
          <w:szCs w:val="22"/>
          <w:lang w:val="en-US"/>
        </w:rPr>
      </w:pPr>
      <w:r w:rsidRPr="009A059F">
        <w:rPr>
          <w:rFonts w:ascii="Palatino Linotype" w:hAnsi="Palatino Linotype" w:cs="Arial"/>
          <w:b/>
          <w:sz w:val="22"/>
          <w:szCs w:val="22"/>
          <w:lang w:val="en-US"/>
        </w:rPr>
        <w:lastRenderedPageBreak/>
        <w:t>A</w:t>
      </w:r>
      <w:r w:rsidR="000601DA" w:rsidRPr="009A059F">
        <w:rPr>
          <w:rFonts w:ascii="Palatino Linotype" w:hAnsi="Palatino Linotype" w:cs="Arial"/>
          <w:b/>
          <w:sz w:val="22"/>
          <w:szCs w:val="22"/>
          <w:lang w:val="en-US"/>
        </w:rPr>
        <w:t>nnex</w:t>
      </w:r>
      <w:r w:rsidRPr="009A059F">
        <w:rPr>
          <w:rFonts w:ascii="Palatino Linotype" w:hAnsi="Palatino Linotype" w:cs="Arial"/>
          <w:b/>
          <w:sz w:val="22"/>
          <w:szCs w:val="22"/>
          <w:lang w:val="en-US"/>
        </w:rPr>
        <w:t xml:space="preserve"> Graph</w:t>
      </w:r>
      <w:r w:rsidR="00445656" w:rsidRPr="002807AE">
        <w:rPr>
          <w:rFonts w:ascii="Palatino Linotype" w:hAnsi="Palatino Linotype" w:cs="Arial"/>
          <w:b/>
          <w:sz w:val="22"/>
          <w:szCs w:val="22"/>
          <w:lang w:val="en-US"/>
        </w:rPr>
        <w:t xml:space="preserve"> 1A: </w:t>
      </w:r>
      <w:r w:rsidR="00B12150">
        <w:rPr>
          <w:rFonts w:ascii="Palatino Linotype" w:hAnsi="Palatino Linotype" w:cs="Arial"/>
          <w:b/>
          <w:sz w:val="22"/>
          <w:szCs w:val="22"/>
          <w:lang w:val="en-US"/>
        </w:rPr>
        <w:t xml:space="preserve">Revisions in the annually growth estimates </w:t>
      </w:r>
      <w:r w:rsidR="00B12150" w:rsidRPr="002807AE">
        <w:rPr>
          <w:rFonts w:ascii="Palatino Linotype" w:hAnsi="Palatino Linotype" w:cs="Arial"/>
          <w:b/>
          <w:sz w:val="22"/>
          <w:szCs w:val="22"/>
          <w:lang w:val="en-US"/>
        </w:rPr>
        <w:t>(</w:t>
      </w:r>
      <w:r w:rsidR="00B12150">
        <w:rPr>
          <w:rFonts w:ascii="Palatino Linotype" w:hAnsi="Palatino Linotype" w:cs="Arial"/>
          <w:b/>
          <w:sz w:val="22"/>
          <w:szCs w:val="22"/>
          <w:lang w:val="en-US"/>
        </w:rPr>
        <w:t>New</w:t>
      </w:r>
      <w:r w:rsidR="00B12150" w:rsidRPr="002807AE">
        <w:rPr>
          <w:rFonts w:ascii="Palatino Linotype" w:hAnsi="Palatino Linotype" w:cs="Arial"/>
          <w:b/>
          <w:sz w:val="22"/>
          <w:szCs w:val="22"/>
          <w:lang w:val="en-US"/>
        </w:rPr>
        <w:t xml:space="preserve"> Seri</w:t>
      </w:r>
      <w:r w:rsidR="00B12150">
        <w:rPr>
          <w:rFonts w:ascii="Palatino Linotype" w:hAnsi="Palatino Linotype" w:cs="Arial"/>
          <w:b/>
          <w:sz w:val="22"/>
          <w:szCs w:val="22"/>
          <w:lang w:val="en-US"/>
        </w:rPr>
        <w:t>es</w:t>
      </w:r>
      <w:r w:rsidR="00B12150" w:rsidRPr="002807AE">
        <w:rPr>
          <w:rFonts w:ascii="Palatino Linotype" w:hAnsi="Palatino Linotype" w:cs="Arial"/>
          <w:b/>
          <w:sz w:val="22"/>
          <w:szCs w:val="22"/>
          <w:lang w:val="en-US"/>
        </w:rPr>
        <w:t xml:space="preserve">) </w:t>
      </w:r>
    </w:p>
    <w:p w:rsidR="00445656" w:rsidRPr="002807AE" w:rsidRDefault="00445656" w:rsidP="00445656">
      <w:pPr>
        <w:rPr>
          <w:rFonts w:ascii="Palatino Linotype" w:hAnsi="Palatino Linotype"/>
          <w:sz w:val="22"/>
          <w:szCs w:val="22"/>
          <w:lang w:val="en-US"/>
        </w:rPr>
      </w:pPr>
      <w:r w:rsidRPr="002807AE">
        <w:rPr>
          <w:rFonts w:ascii="Palatino Linotype" w:hAnsi="Palatino Linotype"/>
          <w:noProof/>
          <w:sz w:val="22"/>
          <w:szCs w:val="22"/>
        </w:rPr>
        <w:drawing>
          <wp:inline distT="0" distB="0" distL="0" distR="0">
            <wp:extent cx="8201025" cy="5270563"/>
            <wp:effectExtent l="0" t="0" r="0" b="635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04786" cy="5272980"/>
                    </a:xfrm>
                    <a:prstGeom prst="rect">
                      <a:avLst/>
                    </a:prstGeom>
                    <a:noFill/>
                    <a:ln>
                      <a:noFill/>
                    </a:ln>
                  </pic:spPr>
                </pic:pic>
              </a:graphicData>
            </a:graphic>
          </wp:inline>
        </w:drawing>
      </w:r>
    </w:p>
    <w:p w:rsidR="009A059F" w:rsidRDefault="009A059F" w:rsidP="00445656">
      <w:pPr>
        <w:rPr>
          <w:rFonts w:ascii="Palatino Linotype" w:hAnsi="Palatino Linotype" w:cs="Arial"/>
          <w:b/>
          <w:sz w:val="22"/>
          <w:szCs w:val="22"/>
          <w:highlight w:val="yellow"/>
          <w:lang w:val="en-US"/>
        </w:rPr>
      </w:pPr>
    </w:p>
    <w:p w:rsidR="00A266E3" w:rsidRPr="002807AE" w:rsidRDefault="00D16422" w:rsidP="00445656">
      <w:pPr>
        <w:rPr>
          <w:rFonts w:ascii="Palatino Linotype" w:hAnsi="Palatino Linotype" w:cs="Arial"/>
          <w:b/>
          <w:sz w:val="22"/>
          <w:szCs w:val="22"/>
          <w:lang w:val="en-US"/>
        </w:rPr>
      </w:pPr>
      <w:r w:rsidRPr="009A059F">
        <w:rPr>
          <w:rFonts w:ascii="Palatino Linotype" w:hAnsi="Palatino Linotype" w:cs="Arial"/>
          <w:b/>
          <w:sz w:val="22"/>
          <w:szCs w:val="22"/>
          <w:lang w:val="en-US"/>
        </w:rPr>
        <w:lastRenderedPageBreak/>
        <w:t>A</w:t>
      </w:r>
      <w:r w:rsidR="000601DA" w:rsidRPr="009A059F">
        <w:rPr>
          <w:rFonts w:ascii="Palatino Linotype" w:hAnsi="Palatino Linotype" w:cs="Arial"/>
          <w:b/>
          <w:sz w:val="22"/>
          <w:szCs w:val="22"/>
          <w:lang w:val="en-US"/>
        </w:rPr>
        <w:t>nnex</w:t>
      </w:r>
      <w:r w:rsidRPr="009A059F">
        <w:rPr>
          <w:rFonts w:ascii="Palatino Linotype" w:hAnsi="Palatino Linotype" w:cs="Arial"/>
          <w:b/>
          <w:sz w:val="22"/>
          <w:szCs w:val="22"/>
          <w:lang w:val="en-US"/>
        </w:rPr>
        <w:t xml:space="preserve"> Graph</w:t>
      </w:r>
      <w:r w:rsidRPr="002807AE">
        <w:rPr>
          <w:rFonts w:ascii="Palatino Linotype" w:hAnsi="Palatino Linotype" w:cs="Arial"/>
          <w:b/>
          <w:sz w:val="22"/>
          <w:szCs w:val="22"/>
          <w:lang w:val="en-US"/>
        </w:rPr>
        <w:t xml:space="preserve"> </w:t>
      </w:r>
      <w:r w:rsidR="00445656" w:rsidRPr="002807AE">
        <w:rPr>
          <w:rFonts w:ascii="Palatino Linotype" w:hAnsi="Palatino Linotype" w:cs="Arial"/>
          <w:b/>
          <w:sz w:val="22"/>
          <w:szCs w:val="22"/>
          <w:lang w:val="en-US"/>
        </w:rPr>
        <w:t xml:space="preserve">1B: </w:t>
      </w:r>
      <w:r w:rsidR="00B12150">
        <w:rPr>
          <w:rFonts w:ascii="Palatino Linotype" w:hAnsi="Palatino Linotype" w:cs="Arial"/>
          <w:b/>
          <w:sz w:val="22"/>
          <w:szCs w:val="22"/>
          <w:lang w:val="en-US"/>
        </w:rPr>
        <w:t xml:space="preserve">Revisions in the </w:t>
      </w:r>
      <w:r>
        <w:rPr>
          <w:rFonts w:ascii="Palatino Linotype" w:hAnsi="Palatino Linotype" w:cs="Arial"/>
          <w:b/>
          <w:sz w:val="22"/>
          <w:szCs w:val="22"/>
          <w:lang w:val="en-US"/>
        </w:rPr>
        <w:t>quarterly</w:t>
      </w:r>
      <w:r w:rsidR="00B12150">
        <w:rPr>
          <w:rFonts w:ascii="Palatino Linotype" w:hAnsi="Palatino Linotype" w:cs="Arial"/>
          <w:b/>
          <w:sz w:val="22"/>
          <w:szCs w:val="22"/>
          <w:lang w:val="en-US"/>
        </w:rPr>
        <w:t xml:space="preserve"> growth estimates </w:t>
      </w:r>
      <w:r w:rsidR="00B12150" w:rsidRPr="002807AE">
        <w:rPr>
          <w:rFonts w:ascii="Palatino Linotype" w:hAnsi="Palatino Linotype" w:cs="Arial"/>
          <w:b/>
          <w:sz w:val="22"/>
          <w:szCs w:val="22"/>
          <w:lang w:val="en-US"/>
        </w:rPr>
        <w:t>(</w:t>
      </w:r>
      <w:r w:rsidR="00B12150">
        <w:rPr>
          <w:rFonts w:ascii="Palatino Linotype" w:hAnsi="Palatino Linotype" w:cs="Arial"/>
          <w:b/>
          <w:sz w:val="22"/>
          <w:szCs w:val="22"/>
          <w:lang w:val="en-US"/>
        </w:rPr>
        <w:t>New</w:t>
      </w:r>
      <w:r w:rsidR="00B12150" w:rsidRPr="002807AE">
        <w:rPr>
          <w:rFonts w:ascii="Palatino Linotype" w:hAnsi="Palatino Linotype" w:cs="Arial"/>
          <w:b/>
          <w:sz w:val="22"/>
          <w:szCs w:val="22"/>
          <w:lang w:val="en-US"/>
        </w:rPr>
        <w:t xml:space="preserve"> Seri</w:t>
      </w:r>
      <w:r w:rsidR="00B12150">
        <w:rPr>
          <w:rFonts w:ascii="Palatino Linotype" w:hAnsi="Palatino Linotype" w:cs="Arial"/>
          <w:b/>
          <w:sz w:val="22"/>
          <w:szCs w:val="22"/>
          <w:lang w:val="en-US"/>
        </w:rPr>
        <w:t>es</w:t>
      </w:r>
      <w:r w:rsidR="00B12150" w:rsidRPr="002807AE">
        <w:rPr>
          <w:rFonts w:ascii="Palatino Linotype" w:hAnsi="Palatino Linotype" w:cs="Arial"/>
          <w:b/>
          <w:sz w:val="22"/>
          <w:szCs w:val="22"/>
          <w:lang w:val="en-US"/>
        </w:rPr>
        <w:t>)</w:t>
      </w:r>
    </w:p>
    <w:p w:rsidR="00445656" w:rsidRPr="002807AE" w:rsidRDefault="00445656" w:rsidP="009A059F">
      <w:pPr>
        <w:rPr>
          <w:rFonts w:ascii="Palatino Linotype" w:hAnsi="Palatino Linotype"/>
          <w:sz w:val="22"/>
          <w:szCs w:val="22"/>
          <w:lang w:val="en-US"/>
        </w:rPr>
      </w:pPr>
      <w:r w:rsidRPr="002807AE">
        <w:rPr>
          <w:rFonts w:ascii="Palatino Linotype" w:hAnsi="Palatino Linotype"/>
          <w:noProof/>
          <w:sz w:val="22"/>
          <w:szCs w:val="22"/>
        </w:rPr>
        <w:drawing>
          <wp:inline distT="0" distB="0" distL="0" distR="0">
            <wp:extent cx="8505825" cy="5466449"/>
            <wp:effectExtent l="0" t="0" r="0" b="127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10557" cy="5469490"/>
                    </a:xfrm>
                    <a:prstGeom prst="rect">
                      <a:avLst/>
                    </a:prstGeom>
                    <a:noFill/>
                    <a:ln>
                      <a:noFill/>
                    </a:ln>
                  </pic:spPr>
                </pic:pic>
              </a:graphicData>
            </a:graphic>
          </wp:inline>
        </w:drawing>
      </w:r>
    </w:p>
    <w:p w:rsidR="00A266E3" w:rsidRPr="002807AE" w:rsidRDefault="009A059F" w:rsidP="00445656">
      <w:pPr>
        <w:rPr>
          <w:rFonts w:ascii="Palatino Linotype" w:hAnsi="Palatino Linotype" w:cs="Arial"/>
          <w:b/>
          <w:sz w:val="22"/>
          <w:szCs w:val="22"/>
          <w:lang w:val="en-US"/>
        </w:rPr>
      </w:pPr>
      <w:r w:rsidRPr="009A059F">
        <w:rPr>
          <w:rFonts w:ascii="Palatino Linotype" w:hAnsi="Palatino Linotype" w:cs="Arial"/>
          <w:b/>
          <w:sz w:val="22"/>
          <w:szCs w:val="22"/>
          <w:lang w:val="en-US"/>
        </w:rPr>
        <w:lastRenderedPageBreak/>
        <w:t>Annex</w:t>
      </w:r>
      <w:r w:rsidR="00D16422">
        <w:rPr>
          <w:rFonts w:ascii="Palatino Linotype" w:hAnsi="Palatino Linotype" w:cs="Arial"/>
          <w:b/>
          <w:sz w:val="22"/>
          <w:szCs w:val="22"/>
          <w:lang w:val="en-US"/>
        </w:rPr>
        <w:t xml:space="preserve"> Graph</w:t>
      </w:r>
      <w:r w:rsidR="00D16422" w:rsidRPr="002807AE">
        <w:rPr>
          <w:rFonts w:ascii="Palatino Linotype" w:hAnsi="Palatino Linotype" w:cs="Arial"/>
          <w:b/>
          <w:sz w:val="22"/>
          <w:szCs w:val="22"/>
          <w:lang w:val="en-US"/>
        </w:rPr>
        <w:t xml:space="preserve"> </w:t>
      </w:r>
      <w:r w:rsidR="00445656" w:rsidRPr="002807AE">
        <w:rPr>
          <w:rFonts w:ascii="Palatino Linotype" w:hAnsi="Palatino Linotype" w:cs="Arial"/>
          <w:b/>
          <w:sz w:val="22"/>
          <w:szCs w:val="22"/>
          <w:lang w:val="en-US"/>
        </w:rPr>
        <w:t xml:space="preserve">2A: </w:t>
      </w:r>
      <w:r w:rsidR="00D16422">
        <w:rPr>
          <w:rFonts w:ascii="Palatino Linotype" w:hAnsi="Palatino Linotype" w:cs="Arial"/>
          <w:b/>
          <w:sz w:val="22"/>
          <w:szCs w:val="22"/>
          <w:lang w:val="en-US"/>
        </w:rPr>
        <w:t xml:space="preserve">Revisions in the annually growth estimates </w:t>
      </w:r>
      <w:r w:rsidR="00D16422" w:rsidRPr="002807AE">
        <w:rPr>
          <w:rFonts w:ascii="Palatino Linotype" w:hAnsi="Palatino Linotype" w:cs="Arial"/>
          <w:b/>
          <w:sz w:val="22"/>
          <w:szCs w:val="22"/>
          <w:lang w:val="en-US"/>
        </w:rPr>
        <w:t>(</w:t>
      </w:r>
      <w:r w:rsidR="00D16422">
        <w:rPr>
          <w:rFonts w:ascii="Palatino Linotype" w:hAnsi="Palatino Linotype" w:cs="Arial"/>
          <w:b/>
          <w:sz w:val="22"/>
          <w:szCs w:val="22"/>
          <w:lang w:val="en-US"/>
        </w:rPr>
        <w:t>Old</w:t>
      </w:r>
      <w:r w:rsidR="00D16422" w:rsidRPr="002807AE">
        <w:rPr>
          <w:rFonts w:ascii="Palatino Linotype" w:hAnsi="Palatino Linotype" w:cs="Arial"/>
          <w:b/>
          <w:sz w:val="22"/>
          <w:szCs w:val="22"/>
          <w:lang w:val="en-US"/>
        </w:rPr>
        <w:t xml:space="preserve"> Seri</w:t>
      </w:r>
      <w:r w:rsidR="00D16422">
        <w:rPr>
          <w:rFonts w:ascii="Palatino Linotype" w:hAnsi="Palatino Linotype" w:cs="Arial"/>
          <w:b/>
          <w:sz w:val="22"/>
          <w:szCs w:val="22"/>
          <w:lang w:val="en-US"/>
        </w:rPr>
        <w:t>es</w:t>
      </w:r>
      <w:r w:rsidR="00D16422" w:rsidRPr="002807AE">
        <w:rPr>
          <w:rFonts w:ascii="Palatino Linotype" w:hAnsi="Palatino Linotype" w:cs="Arial"/>
          <w:b/>
          <w:sz w:val="22"/>
          <w:szCs w:val="22"/>
          <w:lang w:val="en-US"/>
        </w:rPr>
        <w:t>)</w:t>
      </w:r>
    </w:p>
    <w:p w:rsidR="00445656" w:rsidRPr="002807AE" w:rsidRDefault="00445656" w:rsidP="00052946">
      <w:pPr>
        <w:jc w:val="center"/>
        <w:rPr>
          <w:rFonts w:ascii="Palatino Linotype" w:hAnsi="Palatino Linotype"/>
          <w:sz w:val="22"/>
          <w:szCs w:val="22"/>
          <w:lang w:val="en-US"/>
        </w:rPr>
      </w:pPr>
      <w:r w:rsidRPr="002807AE">
        <w:rPr>
          <w:rFonts w:ascii="Palatino Linotype" w:hAnsi="Palatino Linotype"/>
          <w:noProof/>
          <w:sz w:val="22"/>
          <w:szCs w:val="22"/>
        </w:rPr>
        <w:drawing>
          <wp:inline distT="0" distB="0" distL="0" distR="0">
            <wp:extent cx="8892540" cy="5252229"/>
            <wp:effectExtent l="0" t="0" r="3810"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5252229"/>
                    </a:xfrm>
                    <a:prstGeom prst="rect">
                      <a:avLst/>
                    </a:prstGeom>
                    <a:noFill/>
                    <a:ln>
                      <a:noFill/>
                    </a:ln>
                  </pic:spPr>
                </pic:pic>
              </a:graphicData>
            </a:graphic>
          </wp:inline>
        </w:drawing>
      </w:r>
    </w:p>
    <w:p w:rsidR="009A059F" w:rsidRDefault="009A059F" w:rsidP="00445656">
      <w:pPr>
        <w:rPr>
          <w:rFonts w:ascii="Palatino Linotype" w:hAnsi="Palatino Linotype" w:cs="Arial"/>
          <w:b/>
          <w:sz w:val="22"/>
          <w:szCs w:val="22"/>
          <w:lang w:val="en-US"/>
        </w:rPr>
      </w:pPr>
    </w:p>
    <w:p w:rsidR="00A266E3" w:rsidRPr="002807AE" w:rsidRDefault="009A059F" w:rsidP="00445656">
      <w:pPr>
        <w:rPr>
          <w:rFonts w:ascii="Palatino Linotype" w:hAnsi="Palatino Linotype" w:cs="Arial"/>
          <w:b/>
          <w:sz w:val="22"/>
          <w:szCs w:val="22"/>
          <w:lang w:val="en-US"/>
        </w:rPr>
      </w:pPr>
      <w:r w:rsidRPr="009A059F">
        <w:rPr>
          <w:rFonts w:ascii="Palatino Linotype" w:hAnsi="Palatino Linotype" w:cs="Arial"/>
          <w:b/>
          <w:sz w:val="22"/>
          <w:szCs w:val="22"/>
          <w:lang w:val="en-US"/>
        </w:rPr>
        <w:lastRenderedPageBreak/>
        <w:t>Annex</w:t>
      </w:r>
      <w:r w:rsidR="00D16422">
        <w:rPr>
          <w:rFonts w:ascii="Palatino Linotype" w:hAnsi="Palatino Linotype" w:cs="Arial"/>
          <w:b/>
          <w:sz w:val="22"/>
          <w:szCs w:val="22"/>
          <w:lang w:val="en-US"/>
        </w:rPr>
        <w:t xml:space="preserve"> Graph</w:t>
      </w:r>
      <w:r w:rsidR="00D16422" w:rsidRPr="002807AE">
        <w:rPr>
          <w:rFonts w:ascii="Palatino Linotype" w:hAnsi="Palatino Linotype" w:cs="Arial"/>
          <w:b/>
          <w:sz w:val="22"/>
          <w:szCs w:val="22"/>
          <w:lang w:val="en-US"/>
        </w:rPr>
        <w:t xml:space="preserve"> </w:t>
      </w:r>
      <w:r w:rsidR="00445656" w:rsidRPr="002807AE">
        <w:rPr>
          <w:rFonts w:ascii="Palatino Linotype" w:hAnsi="Palatino Linotype" w:cs="Arial"/>
          <w:b/>
          <w:sz w:val="22"/>
          <w:szCs w:val="22"/>
          <w:lang w:val="en-US"/>
        </w:rPr>
        <w:t xml:space="preserve">2B: </w:t>
      </w:r>
      <w:r w:rsidR="00D16422">
        <w:rPr>
          <w:rFonts w:ascii="Palatino Linotype" w:hAnsi="Palatino Linotype" w:cs="Arial"/>
          <w:b/>
          <w:sz w:val="22"/>
          <w:szCs w:val="22"/>
          <w:lang w:val="en-US"/>
        </w:rPr>
        <w:t xml:space="preserve">Revisions in the annually growth estimates </w:t>
      </w:r>
      <w:r w:rsidR="00D16422" w:rsidRPr="002807AE">
        <w:rPr>
          <w:rFonts w:ascii="Palatino Linotype" w:hAnsi="Palatino Linotype" w:cs="Arial"/>
          <w:b/>
          <w:sz w:val="22"/>
          <w:szCs w:val="22"/>
          <w:lang w:val="en-US"/>
        </w:rPr>
        <w:t>(</w:t>
      </w:r>
      <w:r w:rsidR="00D16422">
        <w:rPr>
          <w:rFonts w:ascii="Palatino Linotype" w:hAnsi="Palatino Linotype" w:cs="Arial"/>
          <w:b/>
          <w:sz w:val="22"/>
          <w:szCs w:val="22"/>
          <w:lang w:val="en-US"/>
        </w:rPr>
        <w:t>Old</w:t>
      </w:r>
      <w:r w:rsidR="00D16422" w:rsidRPr="002807AE">
        <w:rPr>
          <w:rFonts w:ascii="Palatino Linotype" w:hAnsi="Palatino Linotype" w:cs="Arial"/>
          <w:b/>
          <w:sz w:val="22"/>
          <w:szCs w:val="22"/>
          <w:lang w:val="en-US"/>
        </w:rPr>
        <w:t xml:space="preserve"> Seri</w:t>
      </w:r>
      <w:r w:rsidR="00D16422">
        <w:rPr>
          <w:rFonts w:ascii="Palatino Linotype" w:hAnsi="Palatino Linotype" w:cs="Arial"/>
          <w:b/>
          <w:sz w:val="22"/>
          <w:szCs w:val="22"/>
          <w:lang w:val="en-US"/>
        </w:rPr>
        <w:t>es</w:t>
      </w:r>
      <w:r w:rsidR="00D16422" w:rsidRPr="002807AE">
        <w:rPr>
          <w:rFonts w:ascii="Palatino Linotype" w:hAnsi="Palatino Linotype" w:cs="Arial"/>
          <w:b/>
          <w:sz w:val="22"/>
          <w:szCs w:val="22"/>
          <w:lang w:val="en-US"/>
        </w:rPr>
        <w:t>)</w:t>
      </w:r>
    </w:p>
    <w:p w:rsidR="00445656" w:rsidRPr="002807AE" w:rsidRDefault="00445656" w:rsidP="00A266E3">
      <w:pPr>
        <w:jc w:val="center"/>
        <w:rPr>
          <w:rFonts w:ascii="Palatino Linotype" w:hAnsi="Palatino Linotype"/>
          <w:sz w:val="22"/>
          <w:szCs w:val="22"/>
          <w:lang w:val="en-US"/>
        </w:rPr>
      </w:pPr>
      <w:r w:rsidRPr="002807AE">
        <w:rPr>
          <w:rFonts w:ascii="Palatino Linotype" w:hAnsi="Palatino Linotype"/>
          <w:noProof/>
          <w:sz w:val="22"/>
          <w:szCs w:val="22"/>
        </w:rPr>
        <w:drawing>
          <wp:inline distT="0" distB="0" distL="0" distR="0">
            <wp:extent cx="8892540" cy="5252229"/>
            <wp:effectExtent l="0" t="0" r="381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5252229"/>
                    </a:xfrm>
                    <a:prstGeom prst="rect">
                      <a:avLst/>
                    </a:prstGeom>
                    <a:noFill/>
                    <a:ln>
                      <a:noFill/>
                    </a:ln>
                  </pic:spPr>
                </pic:pic>
              </a:graphicData>
            </a:graphic>
          </wp:inline>
        </w:drawing>
      </w:r>
    </w:p>
    <w:p w:rsidR="009068EE" w:rsidRPr="002807AE" w:rsidRDefault="009068EE" w:rsidP="009068EE">
      <w:pPr>
        <w:rPr>
          <w:rFonts w:ascii="Palatino Linotype" w:hAnsi="Palatino Linotype" w:cs="Arial"/>
          <w:sz w:val="22"/>
          <w:szCs w:val="22"/>
          <w:lang w:val="en-US"/>
        </w:rPr>
      </w:pPr>
    </w:p>
    <w:p w:rsidR="009068EE" w:rsidRPr="002807AE" w:rsidRDefault="009A059F" w:rsidP="009068EE">
      <w:pPr>
        <w:rPr>
          <w:rFonts w:ascii="Palatino Linotype" w:hAnsi="Palatino Linotype" w:cs="Arial"/>
          <w:b/>
          <w:sz w:val="22"/>
          <w:szCs w:val="22"/>
          <w:lang w:val="en-US"/>
        </w:rPr>
      </w:pPr>
      <w:r w:rsidRPr="009A059F">
        <w:rPr>
          <w:rFonts w:ascii="Palatino Linotype" w:hAnsi="Palatino Linotype" w:cs="Arial"/>
          <w:b/>
          <w:sz w:val="22"/>
          <w:szCs w:val="22"/>
          <w:lang w:val="en-US"/>
        </w:rPr>
        <w:lastRenderedPageBreak/>
        <w:t>Annex</w:t>
      </w:r>
      <w:r w:rsidR="00D16422">
        <w:rPr>
          <w:rFonts w:ascii="Palatino Linotype" w:hAnsi="Palatino Linotype" w:cs="Arial"/>
          <w:b/>
          <w:sz w:val="22"/>
          <w:szCs w:val="22"/>
          <w:lang w:val="en-US"/>
        </w:rPr>
        <w:t xml:space="preserve"> Graph</w:t>
      </w:r>
      <w:r w:rsidR="00D16422" w:rsidRPr="002807AE">
        <w:rPr>
          <w:rFonts w:ascii="Palatino Linotype" w:hAnsi="Palatino Linotype" w:cs="Arial"/>
          <w:b/>
          <w:sz w:val="22"/>
          <w:szCs w:val="22"/>
          <w:lang w:val="en-US"/>
        </w:rPr>
        <w:t xml:space="preserve"> </w:t>
      </w:r>
      <w:r w:rsidR="009068EE" w:rsidRPr="002807AE">
        <w:rPr>
          <w:rFonts w:ascii="Palatino Linotype" w:hAnsi="Palatino Linotype" w:cs="Arial"/>
          <w:b/>
          <w:sz w:val="22"/>
          <w:szCs w:val="22"/>
          <w:lang w:val="en-US"/>
        </w:rPr>
        <w:t xml:space="preserve">3A: </w:t>
      </w:r>
      <w:r w:rsidR="00D16422">
        <w:rPr>
          <w:rFonts w:ascii="Palatino Linotype" w:hAnsi="Palatino Linotype" w:cs="Arial"/>
          <w:b/>
          <w:sz w:val="22"/>
          <w:szCs w:val="22"/>
          <w:lang w:val="en-US"/>
        </w:rPr>
        <w:t>Revisions in the annually growth estimates made by Germany’s official statistical institute</w:t>
      </w:r>
      <w:r w:rsidR="009068EE" w:rsidRPr="002807AE">
        <w:rPr>
          <w:rStyle w:val="DipnotBavurusu"/>
          <w:rFonts w:ascii="Palatino Linotype" w:hAnsi="Palatino Linotype" w:cs="Arial"/>
          <w:b/>
          <w:sz w:val="22"/>
          <w:szCs w:val="22"/>
          <w:lang w:val="en-US"/>
        </w:rPr>
        <w:footnoteReference w:id="5"/>
      </w:r>
    </w:p>
    <w:p w:rsidR="00A266E3" w:rsidRPr="002807AE" w:rsidRDefault="009068EE" w:rsidP="00A26107">
      <w:pPr>
        <w:jc w:val="both"/>
        <w:rPr>
          <w:rFonts w:ascii="Palatino Linotype" w:hAnsi="Palatino Linotype" w:cs="Arial"/>
          <w:sz w:val="22"/>
          <w:szCs w:val="22"/>
          <w:lang w:val="en-US"/>
        </w:rPr>
      </w:pPr>
      <w:r w:rsidRPr="002807AE">
        <w:rPr>
          <w:rFonts w:ascii="Palatino Linotype" w:hAnsi="Palatino Linotype"/>
          <w:noProof/>
          <w:sz w:val="22"/>
          <w:szCs w:val="22"/>
        </w:rPr>
        <w:drawing>
          <wp:inline distT="0" distB="0" distL="0" distR="0">
            <wp:extent cx="8105775" cy="4977131"/>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1670" cy="4986891"/>
                    </a:xfrm>
                    <a:prstGeom prst="rect">
                      <a:avLst/>
                    </a:prstGeom>
                    <a:noFill/>
                    <a:ln>
                      <a:noFill/>
                    </a:ln>
                  </pic:spPr>
                </pic:pic>
              </a:graphicData>
            </a:graphic>
          </wp:inline>
        </w:drawing>
      </w:r>
    </w:p>
    <w:p w:rsidR="009A059F" w:rsidRDefault="009A059F" w:rsidP="00A26107">
      <w:pPr>
        <w:jc w:val="both"/>
        <w:rPr>
          <w:rFonts w:ascii="Palatino Linotype" w:hAnsi="Palatino Linotype" w:cs="Arial"/>
          <w:b/>
          <w:sz w:val="22"/>
          <w:szCs w:val="22"/>
          <w:lang w:val="en-US"/>
        </w:rPr>
      </w:pPr>
    </w:p>
    <w:p w:rsidR="00A266E3" w:rsidRPr="009A059F" w:rsidRDefault="009A059F" w:rsidP="00A26107">
      <w:pPr>
        <w:jc w:val="both"/>
        <w:rPr>
          <w:rFonts w:ascii="Palatino Linotype" w:hAnsi="Palatino Linotype" w:cs="Arial"/>
          <w:b/>
          <w:sz w:val="22"/>
          <w:szCs w:val="22"/>
          <w:lang w:val="en-US"/>
        </w:rPr>
      </w:pPr>
      <w:r w:rsidRPr="009A059F">
        <w:rPr>
          <w:rFonts w:ascii="Palatino Linotype" w:hAnsi="Palatino Linotype" w:cs="Arial"/>
          <w:b/>
          <w:sz w:val="22"/>
          <w:szCs w:val="22"/>
          <w:lang w:val="en-US"/>
        </w:rPr>
        <w:lastRenderedPageBreak/>
        <w:t>Annex</w:t>
      </w:r>
      <w:r w:rsidR="00D16422">
        <w:rPr>
          <w:rFonts w:ascii="Palatino Linotype" w:hAnsi="Palatino Linotype" w:cs="Arial"/>
          <w:b/>
          <w:sz w:val="22"/>
          <w:szCs w:val="22"/>
          <w:lang w:val="en-US"/>
        </w:rPr>
        <w:t xml:space="preserve"> Graph 3B</w:t>
      </w:r>
      <w:r w:rsidR="000861FF" w:rsidRPr="002807AE">
        <w:rPr>
          <w:rFonts w:ascii="Palatino Linotype" w:hAnsi="Palatino Linotype" w:cs="Arial"/>
          <w:b/>
          <w:sz w:val="22"/>
          <w:szCs w:val="22"/>
          <w:lang w:val="en-US"/>
        </w:rPr>
        <w:t xml:space="preserve">: </w:t>
      </w:r>
      <w:r w:rsidR="00D16422">
        <w:rPr>
          <w:rFonts w:ascii="Palatino Linotype" w:hAnsi="Palatino Linotype" w:cs="Arial"/>
          <w:b/>
          <w:sz w:val="22"/>
          <w:szCs w:val="22"/>
          <w:lang w:val="en-US"/>
        </w:rPr>
        <w:t>Revisions in the quarterly growth estimates made by France’s official statistical institute</w:t>
      </w:r>
      <w:r w:rsidR="00D16422" w:rsidRPr="002807AE">
        <w:rPr>
          <w:rStyle w:val="DipnotBavurusu"/>
          <w:rFonts w:ascii="Palatino Linotype" w:hAnsi="Palatino Linotype" w:cs="Arial"/>
          <w:b/>
          <w:sz w:val="22"/>
          <w:szCs w:val="22"/>
          <w:lang w:val="en-US"/>
        </w:rPr>
        <w:t xml:space="preserve"> </w:t>
      </w:r>
      <w:r w:rsidR="000861FF" w:rsidRPr="002807AE">
        <w:rPr>
          <w:rStyle w:val="DipnotBavurusu"/>
          <w:rFonts w:ascii="Palatino Linotype" w:hAnsi="Palatino Linotype" w:cs="Arial"/>
          <w:b/>
          <w:sz w:val="22"/>
          <w:szCs w:val="22"/>
          <w:lang w:val="en-US"/>
        </w:rPr>
        <w:footnoteReference w:id="6"/>
      </w:r>
    </w:p>
    <w:p w:rsidR="000861FF" w:rsidRPr="002807AE" w:rsidRDefault="000861FF" w:rsidP="00A26107">
      <w:pPr>
        <w:jc w:val="both"/>
        <w:rPr>
          <w:rFonts w:ascii="Palatino Linotype" w:hAnsi="Palatino Linotype" w:cs="Arial"/>
          <w:sz w:val="22"/>
          <w:szCs w:val="22"/>
          <w:lang w:val="en-US"/>
        </w:rPr>
      </w:pPr>
      <w:r w:rsidRPr="002807AE">
        <w:rPr>
          <w:rFonts w:ascii="Palatino Linotype" w:hAnsi="Palatino Linotype"/>
          <w:noProof/>
          <w:sz w:val="22"/>
          <w:szCs w:val="22"/>
        </w:rPr>
        <w:drawing>
          <wp:inline distT="0" distB="0" distL="0" distR="0">
            <wp:extent cx="8162925" cy="4798695"/>
            <wp:effectExtent l="0" t="0" r="9525" b="1905"/>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76388" cy="4806609"/>
                    </a:xfrm>
                    <a:prstGeom prst="rect">
                      <a:avLst/>
                    </a:prstGeom>
                    <a:noFill/>
                    <a:ln>
                      <a:noFill/>
                    </a:ln>
                  </pic:spPr>
                </pic:pic>
              </a:graphicData>
            </a:graphic>
          </wp:inline>
        </w:drawing>
      </w:r>
    </w:p>
    <w:sectPr w:rsidR="000861FF" w:rsidRPr="002807AE" w:rsidSect="00445656">
      <w:pgSz w:w="16838" w:h="11906" w:orient="landscape"/>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B0A" w:rsidRDefault="00CD1B0A" w:rsidP="00DA0C5D">
      <w:r>
        <w:separator/>
      </w:r>
    </w:p>
  </w:endnote>
  <w:endnote w:type="continuationSeparator" w:id="0">
    <w:p w:rsidR="00CD1B0A" w:rsidRDefault="00CD1B0A"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B0A" w:rsidRDefault="00CD1B0A" w:rsidP="00DA0C5D">
      <w:r>
        <w:separator/>
      </w:r>
    </w:p>
  </w:footnote>
  <w:footnote w:type="continuationSeparator" w:id="0">
    <w:p w:rsidR="00CD1B0A" w:rsidRDefault="00CD1B0A" w:rsidP="00DA0C5D">
      <w:r>
        <w:continuationSeparator/>
      </w:r>
    </w:p>
  </w:footnote>
  <w:footnote w:id="1">
    <w:p w:rsidR="00FF1BE6" w:rsidRPr="002807AE" w:rsidRDefault="00FF1BE6" w:rsidP="00F5328A">
      <w:pPr>
        <w:pStyle w:val="DipnotMetni"/>
        <w:rPr>
          <w:rFonts w:ascii="Palatino Linotype" w:hAnsi="Palatino Linotype"/>
          <w:lang w:val="en-US" w:eastAsia="ar-SA"/>
        </w:rPr>
      </w:pPr>
      <w:r w:rsidRPr="002807AE">
        <w:rPr>
          <w:rStyle w:val="DipnotBavurusu"/>
          <w:rFonts w:ascii="Palatino Linotype" w:hAnsi="Palatino Linotype" w:cs="Arial"/>
          <w:b/>
          <w:bCs/>
          <w:sz w:val="16"/>
          <w:szCs w:val="16"/>
          <w:lang w:val="en-US"/>
        </w:rPr>
        <w:t>*</w:t>
      </w:r>
      <w:r w:rsidRPr="002807AE">
        <w:rPr>
          <w:rFonts w:ascii="Palatino Linotype" w:hAnsi="Palatino Linotype" w:cs="Arial"/>
          <w:sz w:val="16"/>
          <w:szCs w:val="16"/>
          <w:lang w:val="en-US"/>
        </w:rPr>
        <w:t xml:space="preserve">Prof. Dr. Seyfettin Gürsel, Betam, Director, </w:t>
      </w:r>
      <w:hyperlink r:id="rId1" w:history="1">
        <w:r w:rsidRPr="002807AE">
          <w:rPr>
            <w:rStyle w:val="Kpr"/>
            <w:rFonts w:ascii="Palatino Linotype" w:hAnsi="Palatino Linotype"/>
            <w:sz w:val="16"/>
            <w:szCs w:val="16"/>
            <w:lang w:val="en-US"/>
          </w:rPr>
          <w:t>seyfettin.gursel@eas.bau.edu.tr</w:t>
        </w:r>
      </w:hyperlink>
    </w:p>
  </w:footnote>
  <w:footnote w:id="2">
    <w:p w:rsidR="00FF1BE6" w:rsidRPr="002807AE" w:rsidRDefault="00FF1BE6" w:rsidP="00F5328A">
      <w:pPr>
        <w:pStyle w:val="DipnotMetni"/>
        <w:rPr>
          <w:rFonts w:ascii="Palatino Linotype" w:hAnsi="Palatino Linotype" w:cs="Arial"/>
          <w:sz w:val="16"/>
          <w:szCs w:val="16"/>
          <w:lang w:val="en-US"/>
        </w:rPr>
      </w:pPr>
      <w:r w:rsidRPr="002807AE">
        <w:rPr>
          <w:rStyle w:val="DipnotBavurusu"/>
          <w:rFonts w:ascii="Palatino Linotype" w:hAnsi="Palatino Linotype" w:cs="Arial"/>
          <w:sz w:val="16"/>
          <w:szCs w:val="16"/>
          <w:lang w:val="en-US"/>
        </w:rPr>
        <w:sym w:font="Symbol" w:char="F02A"/>
      </w:r>
      <w:r w:rsidRPr="002807AE">
        <w:rPr>
          <w:rStyle w:val="DipnotBavurusu"/>
          <w:rFonts w:ascii="Palatino Linotype" w:hAnsi="Palatino Linotype" w:cs="Arial"/>
          <w:sz w:val="16"/>
          <w:szCs w:val="16"/>
          <w:lang w:val="en-US"/>
        </w:rPr>
        <w:sym w:font="Symbol" w:char="F02A"/>
      </w:r>
      <w:r w:rsidRPr="002807AE">
        <w:rPr>
          <w:rFonts w:ascii="Palatino Linotype" w:hAnsi="Palatino Linotype" w:cs="Arial"/>
          <w:sz w:val="16"/>
          <w:szCs w:val="16"/>
          <w:lang w:val="en-US"/>
        </w:rPr>
        <w:t xml:space="preserve">Doç. Dr. Ozan Bakış, Betam, Expert Researcher, </w:t>
      </w:r>
      <w:hyperlink r:id="rId2" w:history="1">
        <w:r w:rsidRPr="002807AE">
          <w:rPr>
            <w:rStyle w:val="Kpr"/>
            <w:rFonts w:ascii="Palatino Linotype" w:hAnsi="Palatino Linotype"/>
            <w:sz w:val="16"/>
            <w:szCs w:val="16"/>
            <w:lang w:val="en-US"/>
          </w:rPr>
          <w:t>ozan.bakis@eas.bau.edu.tr</w:t>
        </w:r>
      </w:hyperlink>
    </w:p>
    <w:p w:rsidR="00FF1BE6" w:rsidRPr="002807AE" w:rsidRDefault="00FF1BE6" w:rsidP="00F5328A">
      <w:pPr>
        <w:pStyle w:val="DipnotMetni"/>
        <w:rPr>
          <w:rFonts w:ascii="Palatino Linotype" w:hAnsi="Palatino Linotype" w:cs="Arial"/>
          <w:sz w:val="16"/>
          <w:szCs w:val="16"/>
          <w:lang w:val="en-US"/>
        </w:rPr>
      </w:pPr>
      <w:r w:rsidRPr="002807AE">
        <w:rPr>
          <w:rFonts w:ascii="Palatino Linotype" w:hAnsi="Palatino Linotype" w:cs="Arial"/>
          <w:sz w:val="16"/>
          <w:szCs w:val="16"/>
          <w:lang w:val="en-US"/>
        </w:rPr>
        <w:t xml:space="preserve">*** Uğurcan Acar, Betam, Assistant Researcher, </w:t>
      </w:r>
      <w:hyperlink r:id="rId3" w:history="1">
        <w:r w:rsidRPr="002807AE">
          <w:rPr>
            <w:rStyle w:val="Kpr"/>
            <w:rFonts w:ascii="Palatino Linotype" w:hAnsi="Palatino Linotype"/>
            <w:sz w:val="16"/>
            <w:szCs w:val="16"/>
            <w:lang w:val="en-US"/>
          </w:rPr>
          <w:t>ugurcan.acar@eas.bau.edu.tr</w:t>
        </w:r>
      </w:hyperlink>
    </w:p>
    <w:p w:rsidR="00FF1BE6" w:rsidRPr="002807AE" w:rsidRDefault="00FF1BE6" w:rsidP="00F5328A">
      <w:pPr>
        <w:pStyle w:val="DipnotMetni"/>
        <w:rPr>
          <w:lang w:val="en-US"/>
        </w:rPr>
      </w:pPr>
    </w:p>
  </w:footnote>
  <w:footnote w:id="3">
    <w:p w:rsidR="00FF1BE6" w:rsidRPr="002807AE" w:rsidRDefault="00FF1BE6" w:rsidP="00B564C0">
      <w:pPr>
        <w:pStyle w:val="DipnotMetni"/>
        <w:rPr>
          <w:rFonts w:ascii="Palatino Linotype" w:hAnsi="Palatino Linotype"/>
          <w:lang w:val="en-US"/>
        </w:rPr>
      </w:pPr>
      <w:r w:rsidRPr="002807AE">
        <w:rPr>
          <w:rStyle w:val="DipnotBavurusu"/>
          <w:rFonts w:ascii="Palatino Linotype" w:eastAsiaTheme="majorEastAsia" w:hAnsi="Palatino Linotype"/>
          <w:lang w:val="en-US"/>
        </w:rPr>
        <w:footnoteRef/>
      </w:r>
      <w:r w:rsidRPr="002807AE">
        <w:rPr>
          <w:rFonts w:ascii="Palatino Linotype" w:hAnsi="Palatino Linotype" w:cs="Arial"/>
          <w:sz w:val="16"/>
          <w:szCs w:val="16"/>
          <w:lang w:val="en-US"/>
        </w:rPr>
        <w:t xml:space="preserve">Bakış, Ozan. Eski ve Yeni GSYH Serileri Arasındaki Farklar ve Nedenleri. Betam Araştırma Notu, 16/203 </w:t>
      </w:r>
      <w:hyperlink r:id="rId4" w:history="1">
        <w:r w:rsidRPr="002807AE">
          <w:rPr>
            <w:rStyle w:val="Kpr"/>
            <w:rFonts w:ascii="Palatino Linotype" w:hAnsi="Palatino Linotype" w:cs="Arial"/>
            <w:sz w:val="16"/>
            <w:szCs w:val="16"/>
            <w:lang w:val="en-US"/>
          </w:rPr>
          <w:t>http://betam.bahcesehir.edu.tr/wp-content/uploads/2016/12/ArastirmaNotu203-1.pdf</w:t>
        </w:r>
      </w:hyperlink>
    </w:p>
  </w:footnote>
  <w:footnote w:id="4">
    <w:p w:rsidR="00FF1BE6" w:rsidRPr="002807AE" w:rsidRDefault="00FF1BE6" w:rsidP="00EC2E23">
      <w:pPr>
        <w:pStyle w:val="DipnotMetni"/>
        <w:rPr>
          <w:lang w:val="en-US"/>
        </w:rPr>
      </w:pPr>
      <w:r w:rsidRPr="002807AE">
        <w:rPr>
          <w:rStyle w:val="DipnotBavurusu"/>
          <w:lang w:val="en-US"/>
        </w:rPr>
        <w:footnoteRef/>
      </w:r>
      <w:hyperlink r:id="rId5" w:history="1">
        <w:r w:rsidRPr="002807AE">
          <w:rPr>
            <w:rStyle w:val="Kpr"/>
            <w:lang w:val="en-US"/>
          </w:rPr>
          <w:t>https://www.destatis.de/</w:t>
        </w:r>
      </w:hyperlink>
      <w:r w:rsidRPr="002807AE">
        <w:rPr>
          <w:lang w:val="en-US"/>
        </w:rPr>
        <w:t xml:space="preserve"> and </w:t>
      </w:r>
      <w:r w:rsidRPr="002807AE">
        <w:rPr>
          <w:rStyle w:val="Kpr"/>
          <w:color w:val="auto"/>
          <w:u w:val="none"/>
          <w:lang w:val="en-US"/>
        </w:rPr>
        <w:t xml:space="preserve"> </w:t>
      </w:r>
      <w:hyperlink r:id="rId6" w:history="1">
        <w:r w:rsidRPr="002807AE">
          <w:rPr>
            <w:rStyle w:val="Kpr"/>
            <w:lang w:val="en-US"/>
          </w:rPr>
          <w:t>https://www.insee.fr/</w:t>
        </w:r>
      </w:hyperlink>
      <w:r w:rsidRPr="002807AE">
        <w:rPr>
          <w:rStyle w:val="Kpr"/>
          <w:lang w:val="en-US"/>
        </w:rPr>
        <w:t xml:space="preserve">  </w:t>
      </w:r>
      <w:r w:rsidRPr="002807AE">
        <w:rPr>
          <w:lang w:val="en-US"/>
        </w:rPr>
        <w:t>[Date accessed 01.25.2018]</w:t>
      </w:r>
    </w:p>
  </w:footnote>
  <w:footnote w:id="5">
    <w:p w:rsidR="00FF1BE6" w:rsidRPr="002807AE" w:rsidRDefault="00FF1BE6">
      <w:pPr>
        <w:pStyle w:val="DipnotMetni"/>
        <w:rPr>
          <w:lang w:val="en-US"/>
        </w:rPr>
      </w:pPr>
      <w:r w:rsidRPr="002807AE">
        <w:rPr>
          <w:rStyle w:val="DipnotBavurusu"/>
          <w:lang w:val="en-US"/>
        </w:rPr>
        <w:footnoteRef/>
      </w:r>
      <w:r w:rsidRPr="002807AE">
        <w:rPr>
          <w:lang w:val="en-US"/>
        </w:rPr>
        <w:t xml:space="preserve"> </w:t>
      </w:r>
      <w:r>
        <w:rPr>
          <w:rFonts w:ascii="Palatino Linotype" w:hAnsi="Palatino Linotype"/>
          <w:lang w:val="en-US"/>
        </w:rPr>
        <w:t xml:space="preserve">To see easily comparison of the size of revisions, graphs for annually growth revisions of Turkey and Germany are plotted in same range (1.2).  </w:t>
      </w:r>
    </w:p>
  </w:footnote>
  <w:footnote w:id="6">
    <w:p w:rsidR="00FF1BE6" w:rsidRPr="002807AE" w:rsidRDefault="00FF1BE6">
      <w:pPr>
        <w:pStyle w:val="DipnotMetni"/>
        <w:rPr>
          <w:lang w:val="en-US"/>
        </w:rPr>
      </w:pPr>
      <w:r w:rsidRPr="002807AE">
        <w:rPr>
          <w:rStyle w:val="DipnotBavurusu"/>
          <w:lang w:val="en-US"/>
        </w:rPr>
        <w:footnoteRef/>
      </w:r>
      <w:r w:rsidRPr="002807AE">
        <w:rPr>
          <w:lang w:val="en-US"/>
        </w:rPr>
        <w:t xml:space="preserve"> </w:t>
      </w:r>
      <w:r>
        <w:rPr>
          <w:rFonts w:ascii="Palatino Linotype" w:hAnsi="Palatino Linotype"/>
          <w:lang w:val="en-US"/>
        </w:rPr>
        <w:t xml:space="preserve">To see easily comparison of the size of revisions, graphs for quarterly growth revisions of Turkey and France are plotted in same range (1.5).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AD3"/>
    <w:multiLevelType w:val="hybridMultilevel"/>
    <w:tmpl w:val="D9BC82BE"/>
    <w:lvl w:ilvl="0" w:tplc="3836BD18">
      <w:numFmt w:val="bullet"/>
      <w:lvlText w:val="-"/>
      <w:lvlJc w:val="left"/>
      <w:pPr>
        <w:ind w:left="50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13"/>
    <w:rsid w:val="00000CCF"/>
    <w:rsid w:val="0000229D"/>
    <w:rsid w:val="00012789"/>
    <w:rsid w:val="00016E95"/>
    <w:rsid w:val="0002266F"/>
    <w:rsid w:val="00022AF4"/>
    <w:rsid w:val="00031C57"/>
    <w:rsid w:val="00037986"/>
    <w:rsid w:val="000436C6"/>
    <w:rsid w:val="00052946"/>
    <w:rsid w:val="00054943"/>
    <w:rsid w:val="00055EA1"/>
    <w:rsid w:val="000564E6"/>
    <w:rsid w:val="000601DA"/>
    <w:rsid w:val="000652B6"/>
    <w:rsid w:val="0007088D"/>
    <w:rsid w:val="0008048A"/>
    <w:rsid w:val="000861FF"/>
    <w:rsid w:val="00091CF5"/>
    <w:rsid w:val="00096CDA"/>
    <w:rsid w:val="000A612E"/>
    <w:rsid w:val="000A7E66"/>
    <w:rsid w:val="000B39C7"/>
    <w:rsid w:val="000B7302"/>
    <w:rsid w:val="000C634D"/>
    <w:rsid w:val="000D5FD3"/>
    <w:rsid w:val="000D656C"/>
    <w:rsid w:val="000E1BA0"/>
    <w:rsid w:val="000E2CBB"/>
    <w:rsid w:val="000F0549"/>
    <w:rsid w:val="000F0D03"/>
    <w:rsid w:val="000F1215"/>
    <w:rsid w:val="0012527F"/>
    <w:rsid w:val="0013024E"/>
    <w:rsid w:val="00140468"/>
    <w:rsid w:val="00144C8F"/>
    <w:rsid w:val="0014542A"/>
    <w:rsid w:val="001526F3"/>
    <w:rsid w:val="00166D28"/>
    <w:rsid w:val="00167F80"/>
    <w:rsid w:val="001735BE"/>
    <w:rsid w:val="0018267D"/>
    <w:rsid w:val="00186205"/>
    <w:rsid w:val="001B3A44"/>
    <w:rsid w:val="001B61CE"/>
    <w:rsid w:val="001C08E0"/>
    <w:rsid w:val="001C2C68"/>
    <w:rsid w:val="001C3B3B"/>
    <w:rsid w:val="001C5D84"/>
    <w:rsid w:val="001C65BF"/>
    <w:rsid w:val="001D5B02"/>
    <w:rsid w:val="001D6465"/>
    <w:rsid w:val="001E52F4"/>
    <w:rsid w:val="001F6EE5"/>
    <w:rsid w:val="001F7B1D"/>
    <w:rsid w:val="002106DF"/>
    <w:rsid w:val="00212579"/>
    <w:rsid w:val="00214914"/>
    <w:rsid w:val="00215C6C"/>
    <w:rsid w:val="0022673E"/>
    <w:rsid w:val="0024031A"/>
    <w:rsid w:val="00256C44"/>
    <w:rsid w:val="00262CFD"/>
    <w:rsid w:val="00270737"/>
    <w:rsid w:val="00272307"/>
    <w:rsid w:val="00275745"/>
    <w:rsid w:val="002806E6"/>
    <w:rsid w:val="002807AE"/>
    <w:rsid w:val="0028498B"/>
    <w:rsid w:val="0029102C"/>
    <w:rsid w:val="002A07A9"/>
    <w:rsid w:val="002A712C"/>
    <w:rsid w:val="002B3928"/>
    <w:rsid w:val="002C19B3"/>
    <w:rsid w:val="002C5C24"/>
    <w:rsid w:val="002E5325"/>
    <w:rsid w:val="002E70AA"/>
    <w:rsid w:val="002E7558"/>
    <w:rsid w:val="002F35F8"/>
    <w:rsid w:val="002F71C7"/>
    <w:rsid w:val="002F72A5"/>
    <w:rsid w:val="00307821"/>
    <w:rsid w:val="00312366"/>
    <w:rsid w:val="00334E27"/>
    <w:rsid w:val="00344A74"/>
    <w:rsid w:val="00354488"/>
    <w:rsid w:val="0035463E"/>
    <w:rsid w:val="0036661C"/>
    <w:rsid w:val="00386ACB"/>
    <w:rsid w:val="003967B5"/>
    <w:rsid w:val="003A488B"/>
    <w:rsid w:val="003C2891"/>
    <w:rsid w:val="003E1EED"/>
    <w:rsid w:val="003E6762"/>
    <w:rsid w:val="00426F65"/>
    <w:rsid w:val="00431C38"/>
    <w:rsid w:val="00431DC2"/>
    <w:rsid w:val="00445656"/>
    <w:rsid w:val="00450CE3"/>
    <w:rsid w:val="00451A8A"/>
    <w:rsid w:val="00466230"/>
    <w:rsid w:val="00471902"/>
    <w:rsid w:val="004776DD"/>
    <w:rsid w:val="00483777"/>
    <w:rsid w:val="00490FF2"/>
    <w:rsid w:val="004931A5"/>
    <w:rsid w:val="004B4D24"/>
    <w:rsid w:val="004D3494"/>
    <w:rsid w:val="004D4D2E"/>
    <w:rsid w:val="004F1822"/>
    <w:rsid w:val="005029AE"/>
    <w:rsid w:val="00514E03"/>
    <w:rsid w:val="00531501"/>
    <w:rsid w:val="005325DC"/>
    <w:rsid w:val="00533E8C"/>
    <w:rsid w:val="0053582F"/>
    <w:rsid w:val="0053586E"/>
    <w:rsid w:val="005914BE"/>
    <w:rsid w:val="005A0565"/>
    <w:rsid w:val="005A52A7"/>
    <w:rsid w:val="005C1693"/>
    <w:rsid w:val="005C3AFE"/>
    <w:rsid w:val="005E0D23"/>
    <w:rsid w:val="005E5C93"/>
    <w:rsid w:val="0060285C"/>
    <w:rsid w:val="00613914"/>
    <w:rsid w:val="00616A93"/>
    <w:rsid w:val="00616FE9"/>
    <w:rsid w:val="00625B95"/>
    <w:rsid w:val="0063584D"/>
    <w:rsid w:val="00636AE9"/>
    <w:rsid w:val="00643113"/>
    <w:rsid w:val="006439C5"/>
    <w:rsid w:val="006456D6"/>
    <w:rsid w:val="006467E6"/>
    <w:rsid w:val="00650115"/>
    <w:rsid w:val="00652DB5"/>
    <w:rsid w:val="00653A0E"/>
    <w:rsid w:val="006549E3"/>
    <w:rsid w:val="0065707E"/>
    <w:rsid w:val="006639FE"/>
    <w:rsid w:val="0066413C"/>
    <w:rsid w:val="00667948"/>
    <w:rsid w:val="00681022"/>
    <w:rsid w:val="00681AD9"/>
    <w:rsid w:val="00686150"/>
    <w:rsid w:val="00686BF5"/>
    <w:rsid w:val="006954C8"/>
    <w:rsid w:val="006A45E7"/>
    <w:rsid w:val="006B6421"/>
    <w:rsid w:val="006C1111"/>
    <w:rsid w:val="006C3EE6"/>
    <w:rsid w:val="006C53C9"/>
    <w:rsid w:val="006D1DD6"/>
    <w:rsid w:val="006D32A0"/>
    <w:rsid w:val="006F1500"/>
    <w:rsid w:val="006F39A1"/>
    <w:rsid w:val="00713542"/>
    <w:rsid w:val="007236A2"/>
    <w:rsid w:val="00724E7C"/>
    <w:rsid w:val="00726D0B"/>
    <w:rsid w:val="00744CC0"/>
    <w:rsid w:val="0076340E"/>
    <w:rsid w:val="00773D8B"/>
    <w:rsid w:val="00784612"/>
    <w:rsid w:val="007861E6"/>
    <w:rsid w:val="007A0E96"/>
    <w:rsid w:val="007A73DF"/>
    <w:rsid w:val="007A760B"/>
    <w:rsid w:val="007B5BFF"/>
    <w:rsid w:val="007D4953"/>
    <w:rsid w:val="007F3C9B"/>
    <w:rsid w:val="00815D2F"/>
    <w:rsid w:val="00835B30"/>
    <w:rsid w:val="00841EE3"/>
    <w:rsid w:val="0084500C"/>
    <w:rsid w:val="00845A54"/>
    <w:rsid w:val="008474AD"/>
    <w:rsid w:val="00861520"/>
    <w:rsid w:val="00863AC9"/>
    <w:rsid w:val="00863CF4"/>
    <w:rsid w:val="00865CE6"/>
    <w:rsid w:val="00875F42"/>
    <w:rsid w:val="008810AA"/>
    <w:rsid w:val="0088647B"/>
    <w:rsid w:val="00893CAE"/>
    <w:rsid w:val="0089726B"/>
    <w:rsid w:val="008A2220"/>
    <w:rsid w:val="008B4B23"/>
    <w:rsid w:val="008C170E"/>
    <w:rsid w:val="008C70C5"/>
    <w:rsid w:val="008E0BAF"/>
    <w:rsid w:val="008E5884"/>
    <w:rsid w:val="008F1741"/>
    <w:rsid w:val="00901CDB"/>
    <w:rsid w:val="009068EE"/>
    <w:rsid w:val="00912A40"/>
    <w:rsid w:val="00924CD9"/>
    <w:rsid w:val="009260D9"/>
    <w:rsid w:val="00927C2F"/>
    <w:rsid w:val="00950874"/>
    <w:rsid w:val="00963B04"/>
    <w:rsid w:val="009829D0"/>
    <w:rsid w:val="009856BD"/>
    <w:rsid w:val="009A059F"/>
    <w:rsid w:val="009B1546"/>
    <w:rsid w:val="009B651F"/>
    <w:rsid w:val="009C339B"/>
    <w:rsid w:val="009E1416"/>
    <w:rsid w:val="009E2D6C"/>
    <w:rsid w:val="009E4287"/>
    <w:rsid w:val="009F76C8"/>
    <w:rsid w:val="00A10F0D"/>
    <w:rsid w:val="00A26107"/>
    <w:rsid w:val="00A266E3"/>
    <w:rsid w:val="00A31FE0"/>
    <w:rsid w:val="00A46C4A"/>
    <w:rsid w:val="00A50FB7"/>
    <w:rsid w:val="00A546C5"/>
    <w:rsid w:val="00A6165E"/>
    <w:rsid w:val="00A66440"/>
    <w:rsid w:val="00A719DB"/>
    <w:rsid w:val="00A72950"/>
    <w:rsid w:val="00A874DA"/>
    <w:rsid w:val="00A92D25"/>
    <w:rsid w:val="00AB2FCE"/>
    <w:rsid w:val="00AC29F1"/>
    <w:rsid w:val="00AF6D17"/>
    <w:rsid w:val="00B12150"/>
    <w:rsid w:val="00B2590B"/>
    <w:rsid w:val="00B4067E"/>
    <w:rsid w:val="00B55086"/>
    <w:rsid w:val="00B564C0"/>
    <w:rsid w:val="00B66F62"/>
    <w:rsid w:val="00B736F0"/>
    <w:rsid w:val="00B8166C"/>
    <w:rsid w:val="00B82B92"/>
    <w:rsid w:val="00B9751C"/>
    <w:rsid w:val="00BB5725"/>
    <w:rsid w:val="00BD477C"/>
    <w:rsid w:val="00C02F82"/>
    <w:rsid w:val="00C04FCC"/>
    <w:rsid w:val="00C11060"/>
    <w:rsid w:val="00C11B5A"/>
    <w:rsid w:val="00C1238B"/>
    <w:rsid w:val="00C32789"/>
    <w:rsid w:val="00C40362"/>
    <w:rsid w:val="00C413B8"/>
    <w:rsid w:val="00C54B31"/>
    <w:rsid w:val="00C55946"/>
    <w:rsid w:val="00C57749"/>
    <w:rsid w:val="00C70315"/>
    <w:rsid w:val="00C8067B"/>
    <w:rsid w:val="00C92FA6"/>
    <w:rsid w:val="00C95FFA"/>
    <w:rsid w:val="00C97FD1"/>
    <w:rsid w:val="00CA3FB0"/>
    <w:rsid w:val="00CA51FF"/>
    <w:rsid w:val="00CB3462"/>
    <w:rsid w:val="00CB7ABD"/>
    <w:rsid w:val="00CC79C0"/>
    <w:rsid w:val="00CD1B0A"/>
    <w:rsid w:val="00CD6D3A"/>
    <w:rsid w:val="00CE1CD1"/>
    <w:rsid w:val="00CF0582"/>
    <w:rsid w:val="00CF5053"/>
    <w:rsid w:val="00D07713"/>
    <w:rsid w:val="00D16422"/>
    <w:rsid w:val="00D257C1"/>
    <w:rsid w:val="00D25D1B"/>
    <w:rsid w:val="00D402A9"/>
    <w:rsid w:val="00D45985"/>
    <w:rsid w:val="00D63BC4"/>
    <w:rsid w:val="00D9079C"/>
    <w:rsid w:val="00D92EF3"/>
    <w:rsid w:val="00DA0C5D"/>
    <w:rsid w:val="00DA52D0"/>
    <w:rsid w:val="00DC04DF"/>
    <w:rsid w:val="00DC2971"/>
    <w:rsid w:val="00DD0850"/>
    <w:rsid w:val="00E0064A"/>
    <w:rsid w:val="00E00A50"/>
    <w:rsid w:val="00E25D99"/>
    <w:rsid w:val="00E41840"/>
    <w:rsid w:val="00E57043"/>
    <w:rsid w:val="00E667CB"/>
    <w:rsid w:val="00E70294"/>
    <w:rsid w:val="00E7074E"/>
    <w:rsid w:val="00E723ED"/>
    <w:rsid w:val="00E750CC"/>
    <w:rsid w:val="00E85F3F"/>
    <w:rsid w:val="00E90297"/>
    <w:rsid w:val="00EA6986"/>
    <w:rsid w:val="00EB476F"/>
    <w:rsid w:val="00EC136E"/>
    <w:rsid w:val="00EC2E23"/>
    <w:rsid w:val="00EC3420"/>
    <w:rsid w:val="00ED71E8"/>
    <w:rsid w:val="00EE0471"/>
    <w:rsid w:val="00EE150B"/>
    <w:rsid w:val="00EF09A7"/>
    <w:rsid w:val="00F22A71"/>
    <w:rsid w:val="00F27D86"/>
    <w:rsid w:val="00F34DD4"/>
    <w:rsid w:val="00F46A54"/>
    <w:rsid w:val="00F5130C"/>
    <w:rsid w:val="00F52074"/>
    <w:rsid w:val="00F5328A"/>
    <w:rsid w:val="00F870F6"/>
    <w:rsid w:val="00F87884"/>
    <w:rsid w:val="00F94113"/>
    <w:rsid w:val="00FA63BA"/>
    <w:rsid w:val="00FB2F91"/>
    <w:rsid w:val="00FE37DD"/>
    <w:rsid w:val="00FF1589"/>
    <w:rsid w:val="00FF1BE6"/>
    <w:rsid w:val="00FF30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1E9F"/>
  <w15:docId w15:val="{DB85CFFB-D2DB-41C8-AA38-01543021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Gl">
    <w:name w:val="Strong"/>
    <w:basedOn w:val="VarsaylanParagrafYazTipi"/>
    <w:uiPriority w:val="22"/>
    <w:qFormat/>
    <w:rsid w:val="00BD477C"/>
    <w:rPr>
      <w:b/>
      <w:bCs/>
    </w:rPr>
  </w:style>
  <w:style w:type="character" w:customStyle="1" w:styleId="zmlenmeyenBahsetme1">
    <w:name w:val="Çözümlenmeyen Bahsetme1"/>
    <w:basedOn w:val="VarsaylanParagrafYazTipi"/>
    <w:uiPriority w:val="99"/>
    <w:semiHidden/>
    <w:unhideWhenUsed/>
    <w:rsid w:val="00CA3FB0"/>
    <w:rPr>
      <w:color w:val="808080"/>
      <w:shd w:val="clear" w:color="auto" w:fill="E6E6E6"/>
    </w:rPr>
  </w:style>
  <w:style w:type="character" w:customStyle="1" w:styleId="UnresolvedMention2">
    <w:name w:val="Unresolved Mention2"/>
    <w:basedOn w:val="VarsaylanParagrafYazTipi"/>
    <w:uiPriority w:val="99"/>
    <w:semiHidden/>
    <w:unhideWhenUsed/>
    <w:rsid w:val="00F5328A"/>
    <w:rPr>
      <w:color w:val="808080"/>
      <w:shd w:val="clear" w:color="auto" w:fill="E6E6E6"/>
    </w:rPr>
  </w:style>
  <w:style w:type="character" w:customStyle="1" w:styleId="zmlenmeyenBahsetme2">
    <w:name w:val="Çözümlenmeyen Bahsetme2"/>
    <w:basedOn w:val="VarsaylanParagrafYazTipi"/>
    <w:uiPriority w:val="99"/>
    <w:semiHidden/>
    <w:unhideWhenUsed/>
    <w:rsid w:val="00653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4">
      <w:bodyDiv w:val="1"/>
      <w:marLeft w:val="0"/>
      <w:marRight w:val="0"/>
      <w:marTop w:val="0"/>
      <w:marBottom w:val="0"/>
      <w:divBdr>
        <w:top w:val="none" w:sz="0" w:space="0" w:color="auto"/>
        <w:left w:val="none" w:sz="0" w:space="0" w:color="auto"/>
        <w:bottom w:val="none" w:sz="0" w:space="0" w:color="auto"/>
        <w:right w:val="none" w:sz="0" w:space="0" w:color="auto"/>
      </w:divBdr>
    </w:div>
    <w:div w:id="177431049">
      <w:bodyDiv w:val="1"/>
      <w:marLeft w:val="0"/>
      <w:marRight w:val="0"/>
      <w:marTop w:val="0"/>
      <w:marBottom w:val="0"/>
      <w:divBdr>
        <w:top w:val="none" w:sz="0" w:space="0" w:color="auto"/>
        <w:left w:val="none" w:sz="0" w:space="0" w:color="auto"/>
        <w:bottom w:val="none" w:sz="0" w:space="0" w:color="auto"/>
        <w:right w:val="none" w:sz="0" w:space="0" w:color="auto"/>
      </w:divBdr>
    </w:div>
    <w:div w:id="203252053">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48466379">
      <w:bodyDiv w:val="1"/>
      <w:marLeft w:val="0"/>
      <w:marRight w:val="0"/>
      <w:marTop w:val="0"/>
      <w:marBottom w:val="0"/>
      <w:divBdr>
        <w:top w:val="none" w:sz="0" w:space="0" w:color="auto"/>
        <w:left w:val="none" w:sz="0" w:space="0" w:color="auto"/>
        <w:bottom w:val="none" w:sz="0" w:space="0" w:color="auto"/>
        <w:right w:val="none" w:sz="0" w:space="0" w:color="auto"/>
      </w:divBdr>
    </w:div>
    <w:div w:id="401484970">
      <w:bodyDiv w:val="1"/>
      <w:marLeft w:val="0"/>
      <w:marRight w:val="0"/>
      <w:marTop w:val="0"/>
      <w:marBottom w:val="0"/>
      <w:divBdr>
        <w:top w:val="none" w:sz="0" w:space="0" w:color="auto"/>
        <w:left w:val="none" w:sz="0" w:space="0" w:color="auto"/>
        <w:bottom w:val="none" w:sz="0" w:space="0" w:color="auto"/>
        <w:right w:val="none" w:sz="0" w:space="0" w:color="auto"/>
      </w:divBdr>
    </w:div>
    <w:div w:id="408773253">
      <w:bodyDiv w:val="1"/>
      <w:marLeft w:val="0"/>
      <w:marRight w:val="0"/>
      <w:marTop w:val="0"/>
      <w:marBottom w:val="0"/>
      <w:divBdr>
        <w:top w:val="none" w:sz="0" w:space="0" w:color="auto"/>
        <w:left w:val="none" w:sz="0" w:space="0" w:color="auto"/>
        <w:bottom w:val="none" w:sz="0" w:space="0" w:color="auto"/>
        <w:right w:val="none" w:sz="0" w:space="0" w:color="auto"/>
      </w:divBdr>
    </w:div>
    <w:div w:id="500893531">
      <w:bodyDiv w:val="1"/>
      <w:marLeft w:val="0"/>
      <w:marRight w:val="0"/>
      <w:marTop w:val="0"/>
      <w:marBottom w:val="0"/>
      <w:divBdr>
        <w:top w:val="none" w:sz="0" w:space="0" w:color="auto"/>
        <w:left w:val="none" w:sz="0" w:space="0" w:color="auto"/>
        <w:bottom w:val="none" w:sz="0" w:space="0" w:color="auto"/>
        <w:right w:val="none" w:sz="0" w:space="0" w:color="auto"/>
      </w:divBdr>
    </w:div>
    <w:div w:id="728574628">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972637053">
      <w:bodyDiv w:val="1"/>
      <w:marLeft w:val="0"/>
      <w:marRight w:val="0"/>
      <w:marTop w:val="0"/>
      <w:marBottom w:val="0"/>
      <w:divBdr>
        <w:top w:val="none" w:sz="0" w:space="0" w:color="auto"/>
        <w:left w:val="none" w:sz="0" w:space="0" w:color="auto"/>
        <w:bottom w:val="none" w:sz="0" w:space="0" w:color="auto"/>
        <w:right w:val="none" w:sz="0" w:space="0" w:color="auto"/>
      </w:divBdr>
    </w:div>
    <w:div w:id="977879211">
      <w:bodyDiv w:val="1"/>
      <w:marLeft w:val="0"/>
      <w:marRight w:val="0"/>
      <w:marTop w:val="0"/>
      <w:marBottom w:val="0"/>
      <w:divBdr>
        <w:top w:val="none" w:sz="0" w:space="0" w:color="auto"/>
        <w:left w:val="none" w:sz="0" w:space="0" w:color="auto"/>
        <w:bottom w:val="none" w:sz="0" w:space="0" w:color="auto"/>
        <w:right w:val="none" w:sz="0" w:space="0" w:color="auto"/>
      </w:divBdr>
    </w:div>
    <w:div w:id="1138843021">
      <w:bodyDiv w:val="1"/>
      <w:marLeft w:val="0"/>
      <w:marRight w:val="0"/>
      <w:marTop w:val="0"/>
      <w:marBottom w:val="0"/>
      <w:divBdr>
        <w:top w:val="none" w:sz="0" w:space="0" w:color="auto"/>
        <w:left w:val="none" w:sz="0" w:space="0" w:color="auto"/>
        <w:bottom w:val="none" w:sz="0" w:space="0" w:color="auto"/>
        <w:right w:val="none" w:sz="0" w:space="0" w:color="auto"/>
      </w:divBdr>
    </w:div>
    <w:div w:id="1146975887">
      <w:bodyDiv w:val="1"/>
      <w:marLeft w:val="0"/>
      <w:marRight w:val="0"/>
      <w:marTop w:val="0"/>
      <w:marBottom w:val="0"/>
      <w:divBdr>
        <w:top w:val="none" w:sz="0" w:space="0" w:color="auto"/>
        <w:left w:val="none" w:sz="0" w:space="0" w:color="auto"/>
        <w:bottom w:val="none" w:sz="0" w:space="0" w:color="auto"/>
        <w:right w:val="none" w:sz="0" w:space="0" w:color="auto"/>
      </w:divBdr>
    </w:div>
    <w:div w:id="1212614884">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717525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12990254">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58071859">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29765605">
      <w:bodyDiv w:val="1"/>
      <w:marLeft w:val="0"/>
      <w:marRight w:val="0"/>
      <w:marTop w:val="0"/>
      <w:marBottom w:val="0"/>
      <w:divBdr>
        <w:top w:val="none" w:sz="0" w:space="0" w:color="auto"/>
        <w:left w:val="none" w:sz="0" w:space="0" w:color="auto"/>
        <w:bottom w:val="none" w:sz="0" w:space="0" w:color="auto"/>
        <w:right w:val="none" w:sz="0" w:space="0" w:color="auto"/>
      </w:divBdr>
    </w:div>
    <w:div w:id="1906867856">
      <w:bodyDiv w:val="1"/>
      <w:marLeft w:val="0"/>
      <w:marRight w:val="0"/>
      <w:marTop w:val="0"/>
      <w:marBottom w:val="0"/>
      <w:divBdr>
        <w:top w:val="none" w:sz="0" w:space="0" w:color="auto"/>
        <w:left w:val="none" w:sz="0" w:space="0" w:color="auto"/>
        <w:bottom w:val="none" w:sz="0" w:space="0" w:color="auto"/>
        <w:right w:val="none" w:sz="0" w:space="0" w:color="auto"/>
      </w:divBdr>
    </w:div>
    <w:div w:id="1935089275">
      <w:bodyDiv w:val="1"/>
      <w:marLeft w:val="0"/>
      <w:marRight w:val="0"/>
      <w:marTop w:val="0"/>
      <w:marBottom w:val="0"/>
      <w:divBdr>
        <w:top w:val="none" w:sz="0" w:space="0" w:color="auto"/>
        <w:left w:val="none" w:sz="0" w:space="0" w:color="auto"/>
        <w:bottom w:val="none" w:sz="0" w:space="0" w:color="auto"/>
        <w:right w:val="none" w:sz="0" w:space="0" w:color="auto"/>
      </w:divBdr>
    </w:div>
    <w:div w:id="21185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chart" Target="charts/chart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mailto:ugurcan.acar@eas.bau.edu.tr" TargetMode="External"/><Relationship Id="rId2" Type="http://schemas.openxmlformats.org/officeDocument/2006/relationships/hyperlink" Target="mailto:ozan.bakis@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6" Type="http://schemas.openxmlformats.org/officeDocument/2006/relationships/hyperlink" Target="https://www.insee.fr/" TargetMode="External"/><Relationship Id="rId5" Type="http://schemas.openxmlformats.org/officeDocument/2006/relationships/hyperlink" Target="https://www.destatis.de/" TargetMode="External"/><Relationship Id="rId4" Type="http://schemas.openxmlformats.org/officeDocument/2006/relationships/hyperlink" Target="http://betam.bahcesehir.edu.tr/wp-content/uploads/2016/12/ArastirmaNotu203-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gurcan.acar\Dropbox%20(Personal)\buyume_tahmin\tuik_revizyon_takip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gurcan.acar\Dropbox%20(Personal)\buyume_degerlendirme\TUIK%20REVIZYON%20TAKIP\yeni_seri_revizyon_taki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gurcan.acar\Dropbox%20(Personal)\buyume_degerlendirme\TUIK%20REVIZYON%20TAKIP\yeni_seri_revizyon_taki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gurcan.acar\Dropbox%20(Personal)\buyume_degerlendirme\TUIK%20REVIZYON%20TAKIP\yeni_seri_revizyon_taki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gurcan.acar\Dropbox%20(Personal)\buyume_degerlendirme\TUIK%20REVIZYON%20TAKIP\yeni_seri_revizyon_taki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tr-TR"/>
              <a:t>Q</a:t>
            </a:r>
            <a:r>
              <a:rPr lang="en-US"/>
              <a:t>3</a:t>
            </a:r>
          </a:p>
        </c:rich>
      </c:tx>
      <c:overlay val="0"/>
      <c:spPr>
        <a:noFill/>
        <a:ln>
          <a:noFill/>
        </a:ln>
        <a:effectLst/>
      </c:spPr>
    </c:title>
    <c:autoTitleDeleted val="0"/>
    <c:plotArea>
      <c:layout/>
      <c:lineChart>
        <c:grouping val="standard"/>
        <c:varyColors val="0"/>
        <c:ser>
          <c:idx val="0"/>
          <c:order val="0"/>
          <c:tx>
            <c:strRef>
              <c:f>grafik_yillik!$I$3</c:f>
              <c:strCache>
                <c:ptCount val="1"/>
                <c:pt idx="0">
                  <c:v>2016 Q3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grafik_yillik!$B$4:$B$8</c:f>
              <c:strCache>
                <c:ptCount val="5"/>
                <c:pt idx="0">
                  <c:v>2016Q3</c:v>
                </c:pt>
                <c:pt idx="1">
                  <c:v>2016Q4</c:v>
                </c:pt>
                <c:pt idx="2">
                  <c:v>2017Q1</c:v>
                </c:pt>
                <c:pt idx="3">
                  <c:v>2017Q2</c:v>
                </c:pt>
                <c:pt idx="4">
                  <c:v>2017Q3</c:v>
                </c:pt>
              </c:strCache>
            </c:strRef>
          </c:cat>
          <c:val>
            <c:numRef>
              <c:f>grafik_yillik!$I$4:$I$8</c:f>
              <c:numCache>
                <c:formatCode>General</c:formatCode>
                <c:ptCount val="5"/>
                <c:pt idx="0">
                  <c:v>-0.18318114907354752</c:v>
                </c:pt>
                <c:pt idx="1">
                  <c:v>0.7328030969518271</c:v>
                </c:pt>
                <c:pt idx="2">
                  <c:v>0.36616488213221066</c:v>
                </c:pt>
                <c:pt idx="3">
                  <c:v>0.84219580290081886</c:v>
                </c:pt>
                <c:pt idx="4">
                  <c:v>-7.6051842876765349E-2</c:v>
                </c:pt>
              </c:numCache>
            </c:numRef>
          </c:val>
          <c:smooth val="0"/>
          <c:extLst>
            <c:ext xmlns:c16="http://schemas.microsoft.com/office/drawing/2014/chart" uri="{C3380CC4-5D6E-409C-BE32-E72D297353CC}">
              <c16:uniqueId val="{00000000-0938-4438-89F6-6C3108C97D7F}"/>
            </c:ext>
          </c:extLst>
        </c:ser>
        <c:dLbls>
          <c:showLegendKey val="0"/>
          <c:showVal val="0"/>
          <c:showCatName val="0"/>
          <c:showSerName val="0"/>
          <c:showPercent val="0"/>
          <c:showBubbleSize val="0"/>
        </c:dLbls>
        <c:marker val="1"/>
        <c:smooth val="0"/>
        <c:axId val="164156928"/>
        <c:axId val="164213888"/>
      </c:lineChart>
      <c:catAx>
        <c:axId val="16415692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4213888"/>
        <c:crosses val="autoZero"/>
        <c:auto val="1"/>
        <c:lblAlgn val="ctr"/>
        <c:lblOffset val="100"/>
        <c:noMultiLvlLbl val="0"/>
      </c:catAx>
      <c:valAx>
        <c:axId val="164213888"/>
        <c:scaling>
          <c:orientation val="minMax"/>
          <c:min val="-0.3000000000000002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4156928"/>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tr-TR"/>
              <a:t>Q</a:t>
            </a:r>
            <a:r>
              <a:rPr lang="en-US"/>
              <a:t>1</a:t>
            </a:r>
          </a:p>
        </c:rich>
      </c:tx>
      <c:overlay val="0"/>
      <c:spPr>
        <a:noFill/>
        <a:ln>
          <a:noFill/>
        </a:ln>
        <a:effectLst/>
      </c:spPr>
    </c:title>
    <c:autoTitleDeleted val="0"/>
    <c:plotArea>
      <c:layout/>
      <c:lineChart>
        <c:grouping val="standard"/>
        <c:varyColors val="0"/>
        <c:ser>
          <c:idx val="0"/>
          <c:order val="0"/>
          <c:tx>
            <c:strRef>
              <c:f>grafik_ceyreklik!$G$2</c:f>
              <c:strCache>
                <c:ptCount val="1"/>
                <c:pt idx="0">
                  <c:v>2016 Q1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grafik_ceyreklik!$B$3:$B$7</c:f>
              <c:strCache>
                <c:ptCount val="5"/>
                <c:pt idx="0">
                  <c:v>2016Q3</c:v>
                </c:pt>
                <c:pt idx="1">
                  <c:v>2016Q4</c:v>
                </c:pt>
                <c:pt idx="2">
                  <c:v>2017Q1</c:v>
                </c:pt>
                <c:pt idx="3">
                  <c:v>2017Q2</c:v>
                </c:pt>
                <c:pt idx="4">
                  <c:v>2017Q3</c:v>
                </c:pt>
              </c:strCache>
            </c:strRef>
          </c:cat>
          <c:val>
            <c:numRef>
              <c:f>grafik_ceyreklik!$G$3:$G$7</c:f>
              <c:numCache>
                <c:formatCode>General</c:formatCode>
                <c:ptCount val="5"/>
                <c:pt idx="0">
                  <c:v>-0.37396120473803762</c:v>
                </c:pt>
                <c:pt idx="1">
                  <c:v>-3.4069582132119081E-2</c:v>
                </c:pt>
                <c:pt idx="2">
                  <c:v>0.40294526228272787</c:v>
                </c:pt>
                <c:pt idx="3">
                  <c:v>0.78610226015680951</c:v>
                </c:pt>
                <c:pt idx="4">
                  <c:v>0.61615591246658263</c:v>
                </c:pt>
              </c:numCache>
            </c:numRef>
          </c:val>
          <c:smooth val="0"/>
          <c:extLst>
            <c:ext xmlns:c16="http://schemas.microsoft.com/office/drawing/2014/chart" uri="{C3380CC4-5D6E-409C-BE32-E72D297353CC}">
              <c16:uniqueId val="{00000000-6D51-48D9-A7DB-BC4B4EBD77FA}"/>
            </c:ext>
          </c:extLst>
        </c:ser>
        <c:dLbls>
          <c:showLegendKey val="0"/>
          <c:showVal val="0"/>
          <c:showCatName val="0"/>
          <c:showSerName val="0"/>
          <c:showPercent val="0"/>
          <c:showBubbleSize val="0"/>
        </c:dLbls>
        <c:marker val="1"/>
        <c:smooth val="0"/>
        <c:axId val="126840832"/>
        <c:axId val="126842752"/>
      </c:lineChart>
      <c:catAx>
        <c:axId val="1268408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842752"/>
        <c:crosses val="autoZero"/>
        <c:auto val="1"/>
        <c:lblAlgn val="ctr"/>
        <c:lblOffset val="100"/>
        <c:noMultiLvlLbl val="0"/>
      </c:catAx>
      <c:valAx>
        <c:axId val="126842752"/>
        <c:scaling>
          <c:orientation val="minMax"/>
          <c:max val="1"/>
          <c:min val="-0.6000000000000005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84083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tr-TR"/>
              <a:t>Q</a:t>
            </a:r>
            <a:r>
              <a:rPr lang="en-US"/>
              <a:t>2</a:t>
            </a:r>
          </a:p>
        </c:rich>
      </c:tx>
      <c:overlay val="0"/>
      <c:spPr>
        <a:noFill/>
        <a:ln>
          <a:noFill/>
        </a:ln>
        <a:effectLst/>
      </c:spPr>
    </c:title>
    <c:autoTitleDeleted val="0"/>
    <c:plotArea>
      <c:layout/>
      <c:lineChart>
        <c:grouping val="standard"/>
        <c:varyColors val="0"/>
        <c:ser>
          <c:idx val="0"/>
          <c:order val="0"/>
          <c:tx>
            <c:strRef>
              <c:f>grafik_ceyreklik!$H$2</c:f>
              <c:strCache>
                <c:ptCount val="1"/>
                <c:pt idx="0">
                  <c:v>2016 Q2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grafik_ceyreklik!$B$3:$B$7</c:f>
              <c:strCache>
                <c:ptCount val="5"/>
                <c:pt idx="0">
                  <c:v>2016Q3</c:v>
                </c:pt>
                <c:pt idx="1">
                  <c:v>2016Q4</c:v>
                </c:pt>
                <c:pt idx="2">
                  <c:v>2017Q1</c:v>
                </c:pt>
                <c:pt idx="3">
                  <c:v>2017Q2</c:v>
                </c:pt>
                <c:pt idx="4">
                  <c:v>2017Q3</c:v>
                </c:pt>
              </c:strCache>
            </c:strRef>
          </c:cat>
          <c:val>
            <c:numRef>
              <c:f>grafik_ceyreklik!$H$3:$H$7</c:f>
              <c:numCache>
                <c:formatCode>General</c:formatCode>
                <c:ptCount val="5"/>
                <c:pt idx="0">
                  <c:v>1.0719723800148406</c:v>
                </c:pt>
                <c:pt idx="1">
                  <c:v>1.7453388649088601</c:v>
                </c:pt>
                <c:pt idx="2">
                  <c:v>1.2570505118536497</c:v>
                </c:pt>
                <c:pt idx="3">
                  <c:v>0.69590158341657182</c:v>
                </c:pt>
                <c:pt idx="4">
                  <c:v>1.2313692126673155</c:v>
                </c:pt>
              </c:numCache>
            </c:numRef>
          </c:val>
          <c:smooth val="0"/>
          <c:extLst>
            <c:ext xmlns:c16="http://schemas.microsoft.com/office/drawing/2014/chart" uri="{C3380CC4-5D6E-409C-BE32-E72D297353CC}">
              <c16:uniqueId val="{00000000-040E-4FD6-AB47-CDB49E7848E2}"/>
            </c:ext>
          </c:extLst>
        </c:ser>
        <c:dLbls>
          <c:showLegendKey val="0"/>
          <c:showVal val="0"/>
          <c:showCatName val="0"/>
          <c:showSerName val="0"/>
          <c:showPercent val="0"/>
          <c:showBubbleSize val="0"/>
        </c:dLbls>
        <c:marker val="1"/>
        <c:smooth val="0"/>
        <c:axId val="126863232"/>
        <c:axId val="126873600"/>
      </c:lineChart>
      <c:catAx>
        <c:axId val="12686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873600"/>
        <c:crosses val="autoZero"/>
        <c:auto val="1"/>
        <c:lblAlgn val="ctr"/>
        <c:lblOffset val="100"/>
        <c:noMultiLvlLbl val="0"/>
      </c:catAx>
      <c:valAx>
        <c:axId val="126873600"/>
        <c:scaling>
          <c:orientation val="minMax"/>
          <c:max val="2"/>
          <c:min val="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86323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tr-TR"/>
              <a:t>Q</a:t>
            </a:r>
            <a:r>
              <a:rPr lang="en-US"/>
              <a:t>3</a:t>
            </a:r>
          </a:p>
        </c:rich>
      </c:tx>
      <c:overlay val="0"/>
      <c:spPr>
        <a:noFill/>
        <a:ln>
          <a:noFill/>
        </a:ln>
        <a:effectLst/>
      </c:spPr>
    </c:title>
    <c:autoTitleDeleted val="0"/>
    <c:plotArea>
      <c:layout/>
      <c:lineChart>
        <c:grouping val="standard"/>
        <c:varyColors val="0"/>
        <c:ser>
          <c:idx val="0"/>
          <c:order val="0"/>
          <c:tx>
            <c:strRef>
              <c:f>grafik_ceyreklik!$I$2</c:f>
              <c:strCache>
                <c:ptCount val="1"/>
                <c:pt idx="0">
                  <c:v>2016 Q3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grafik_ceyreklik!$B$3:$B$7</c:f>
              <c:strCache>
                <c:ptCount val="5"/>
                <c:pt idx="0">
                  <c:v>2016Q3</c:v>
                </c:pt>
                <c:pt idx="1">
                  <c:v>2016Q4</c:v>
                </c:pt>
                <c:pt idx="2">
                  <c:v>2017Q1</c:v>
                </c:pt>
                <c:pt idx="3">
                  <c:v>2017Q2</c:v>
                </c:pt>
                <c:pt idx="4">
                  <c:v>2017Q3</c:v>
                </c:pt>
              </c:strCache>
            </c:strRef>
          </c:cat>
          <c:val>
            <c:numRef>
              <c:f>grafik_ceyreklik!$I$3:$I$7</c:f>
              <c:numCache>
                <c:formatCode>General</c:formatCode>
                <c:ptCount val="5"/>
                <c:pt idx="0">
                  <c:v>-2.6556054555167337</c:v>
                </c:pt>
                <c:pt idx="1">
                  <c:v>-2.0813933731468532</c:v>
                </c:pt>
                <c:pt idx="2">
                  <c:v>-1.6262344226756653</c:v>
                </c:pt>
                <c:pt idx="3">
                  <c:v>-1.1981397613648577</c:v>
                </c:pt>
                <c:pt idx="4">
                  <c:v>-2.6468336491448383</c:v>
                </c:pt>
              </c:numCache>
            </c:numRef>
          </c:val>
          <c:smooth val="0"/>
          <c:extLst>
            <c:ext xmlns:c16="http://schemas.microsoft.com/office/drawing/2014/chart" uri="{C3380CC4-5D6E-409C-BE32-E72D297353CC}">
              <c16:uniqueId val="{00000000-C05D-4F05-9D09-6F4021F8232A}"/>
            </c:ext>
          </c:extLst>
        </c:ser>
        <c:dLbls>
          <c:showLegendKey val="0"/>
          <c:showVal val="0"/>
          <c:showCatName val="0"/>
          <c:showSerName val="0"/>
          <c:showPercent val="0"/>
          <c:showBubbleSize val="0"/>
        </c:dLbls>
        <c:marker val="1"/>
        <c:smooth val="0"/>
        <c:axId val="126922752"/>
        <c:axId val="126924672"/>
      </c:lineChart>
      <c:catAx>
        <c:axId val="1269227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924672"/>
        <c:crosses val="autoZero"/>
        <c:auto val="1"/>
        <c:lblAlgn val="ctr"/>
        <c:lblOffset val="100"/>
        <c:noMultiLvlLbl val="0"/>
      </c:catAx>
      <c:valAx>
        <c:axId val="126924672"/>
        <c:scaling>
          <c:orientation val="minMax"/>
          <c:max val="-1.1000000000000001"/>
          <c:min val="-2.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692275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tr-TR"/>
              <a:t>Q</a:t>
            </a:r>
            <a:r>
              <a:rPr lang="en-US"/>
              <a:t>4</a:t>
            </a:r>
          </a:p>
        </c:rich>
      </c:tx>
      <c:overlay val="0"/>
      <c:spPr>
        <a:noFill/>
        <a:ln>
          <a:noFill/>
        </a:ln>
        <a:effectLst/>
      </c:spPr>
    </c:title>
    <c:autoTitleDeleted val="0"/>
    <c:plotArea>
      <c:layout/>
      <c:lineChart>
        <c:grouping val="standard"/>
        <c:varyColors val="0"/>
        <c:ser>
          <c:idx val="0"/>
          <c:order val="0"/>
          <c:tx>
            <c:strRef>
              <c:f>grafik_ceyreklik!$J$2</c:f>
              <c:strCache>
                <c:ptCount val="1"/>
                <c:pt idx="0">
                  <c:v>2016 Q4</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grafik_ceyreklik!$B$3:$B$7</c:f>
              <c:strCache>
                <c:ptCount val="5"/>
                <c:pt idx="0">
                  <c:v>2016Q3</c:v>
                </c:pt>
                <c:pt idx="1">
                  <c:v>2016Q4</c:v>
                </c:pt>
                <c:pt idx="2">
                  <c:v>2017Q1</c:v>
                </c:pt>
                <c:pt idx="3">
                  <c:v>2017Q2</c:v>
                </c:pt>
                <c:pt idx="4">
                  <c:v>2017Q3</c:v>
                </c:pt>
              </c:strCache>
            </c:strRef>
          </c:cat>
          <c:val>
            <c:numRef>
              <c:f>grafik_ceyreklik!$J$3:$J$7</c:f>
              <c:numCache>
                <c:formatCode>General</c:formatCode>
                <c:ptCount val="5"/>
                <c:pt idx="1">
                  <c:v>3.8246637572155766</c:v>
                </c:pt>
                <c:pt idx="2">
                  <c:v>3.4200843409537782</c:v>
                </c:pt>
                <c:pt idx="3">
                  <c:v>3.9056087711528837</c:v>
                </c:pt>
                <c:pt idx="4">
                  <c:v>4.8728361431714688</c:v>
                </c:pt>
              </c:numCache>
            </c:numRef>
          </c:val>
          <c:smooth val="0"/>
          <c:extLst>
            <c:ext xmlns:c16="http://schemas.microsoft.com/office/drawing/2014/chart" uri="{C3380CC4-5D6E-409C-BE32-E72D297353CC}">
              <c16:uniqueId val="{00000000-3418-42C6-943E-33A266EFECD4}"/>
            </c:ext>
          </c:extLst>
        </c:ser>
        <c:dLbls>
          <c:showLegendKey val="0"/>
          <c:showVal val="0"/>
          <c:showCatName val="0"/>
          <c:showSerName val="0"/>
          <c:showPercent val="0"/>
          <c:showBubbleSize val="0"/>
        </c:dLbls>
        <c:marker val="1"/>
        <c:smooth val="0"/>
        <c:axId val="162936704"/>
        <c:axId val="162947072"/>
      </c:lineChart>
      <c:catAx>
        <c:axId val="16293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2947072"/>
        <c:crosses val="autoZero"/>
        <c:auto val="1"/>
        <c:lblAlgn val="ctr"/>
        <c:lblOffset val="100"/>
        <c:noMultiLvlLbl val="0"/>
      </c:catAx>
      <c:valAx>
        <c:axId val="162947072"/>
        <c:scaling>
          <c:orientation val="minMax"/>
          <c:max val="4.9000000000000004"/>
          <c:min val="3.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2936704"/>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9925-678B-4B76-9366-89D1A814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Pages>
  <Words>2257</Words>
  <Characters>12871</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Uğurcan ACAR</cp:lastModifiedBy>
  <cp:revision>22</cp:revision>
  <dcterms:created xsi:type="dcterms:W3CDTF">2018-02-02T11:15:00Z</dcterms:created>
  <dcterms:modified xsi:type="dcterms:W3CDTF">2018-02-05T07:02:00Z</dcterms:modified>
</cp:coreProperties>
</file>