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F1C" w:rsidRPr="009D7B6F" w:rsidRDefault="004D33CA" w:rsidP="00D244C6">
      <w:pPr>
        <w:rPr>
          <w:szCs w:val="22"/>
          <w:lang w:val="en-GB"/>
        </w:rPr>
      </w:pPr>
      <w:r w:rsidRPr="009D7B6F">
        <w:rPr>
          <w:noProof/>
          <w:szCs w:val="22"/>
          <w:lang w:eastAsia="tr-TR"/>
        </w:rPr>
        <w:drawing>
          <wp:anchor distT="0" distB="0" distL="114300" distR="114300" simplePos="0" relativeHeight="251656192" behindDoc="1" locked="0" layoutInCell="1" allowOverlap="1" wp14:anchorId="29F072F0" wp14:editId="08761DBC">
            <wp:simplePos x="0" y="0"/>
            <wp:positionH relativeFrom="margin">
              <wp:align>center</wp:align>
            </wp:positionH>
            <wp:positionV relativeFrom="paragraph">
              <wp:posOffset>-802005</wp:posOffset>
            </wp:positionV>
            <wp:extent cx="7229475" cy="1322213"/>
            <wp:effectExtent l="0" t="0" r="0" b="0"/>
            <wp:wrapNone/>
            <wp:docPr id="18"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cstate="print"/>
                    <a:srcRect/>
                    <a:stretch>
                      <a:fillRect/>
                    </a:stretch>
                  </pic:blipFill>
                  <pic:spPr bwMode="auto">
                    <a:xfrm>
                      <a:off x="0" y="0"/>
                      <a:ext cx="7229475" cy="1322213"/>
                    </a:xfrm>
                    <a:prstGeom prst="rect">
                      <a:avLst/>
                    </a:prstGeom>
                    <a:noFill/>
                  </pic:spPr>
                </pic:pic>
              </a:graphicData>
            </a:graphic>
          </wp:anchor>
        </w:drawing>
      </w:r>
      <w:r w:rsidR="00CA727F">
        <w:rPr>
          <w:noProof/>
          <w:szCs w:val="22"/>
          <w:lang w:eastAsia="tr-TR"/>
        </w:rPr>
        <mc:AlternateContent>
          <mc:Choice Requires="wps">
            <w:drawing>
              <wp:anchor distT="0" distB="0" distL="114935" distR="114935" simplePos="0" relativeHeight="251657728" behindDoc="0" locked="0" layoutInCell="1" allowOverlap="1" wp14:anchorId="3BA5E9DD" wp14:editId="670993FB">
                <wp:simplePos x="0" y="0"/>
                <wp:positionH relativeFrom="column">
                  <wp:posOffset>1510665</wp:posOffset>
                </wp:positionH>
                <wp:positionV relativeFrom="paragraph">
                  <wp:posOffset>-474345</wp:posOffset>
                </wp:positionV>
                <wp:extent cx="3963670" cy="466725"/>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466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563C" w:rsidRPr="00C2010B" w:rsidRDefault="00E013B6" w:rsidP="00B54C13">
                            <w:pPr>
                              <w:pStyle w:val="Heading1"/>
                              <w:jc w:val="left"/>
                              <w:rPr>
                                <w:sz w:val="52"/>
                                <w:szCs w:val="52"/>
                                <w:lang w:val="en-GB"/>
                              </w:rPr>
                            </w:pPr>
                            <w:r>
                              <w:rPr>
                                <w:sz w:val="52"/>
                                <w:szCs w:val="52"/>
                                <w:lang w:val="en-GB"/>
                              </w:rPr>
                              <w:t>Research Note 18/220</w:t>
                            </w:r>
                            <w:bookmarkStart w:id="0" w:name="_GoBack"/>
                            <w:bookmarkEnd w:id="0"/>
                          </w:p>
                          <w:p w:rsidR="005E563C" w:rsidRPr="00B54C13" w:rsidRDefault="005E563C" w:rsidP="00C13C55">
                            <w:pPr>
                              <w:pStyle w:val="Heading2"/>
                              <w:rPr>
                                <w:b w:val="0"/>
                                <w:bCs w:val="0"/>
                                <w:i/>
                                <w:iCs w:val="0"/>
                                <w:lang w:val="tr-T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5E9DD" id="_x0000_t202" coordsize="21600,21600" o:spt="202" path="m,l,21600r21600,l21600,xe">
                <v:stroke joinstyle="miter"/>
                <v:path gradientshapeok="t" o:connecttype="rect"/>
              </v:shapetype>
              <v:shape id="Text Box 3" o:spid="_x0000_s1026" type="#_x0000_t202" style="position:absolute;left:0;text-align:left;margin-left:118.95pt;margin-top:-37.35pt;width:312.1pt;height:36.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" stroked="f">
                <v:fill opacity="0"/>
                <v:textbox inset="0,0,0,0">
                  <w:txbxContent>
                    <w:p w:rsidR="005E563C" w:rsidRPr="00C2010B" w:rsidRDefault="00E013B6" w:rsidP="00B54C13">
                      <w:pPr>
                        <w:pStyle w:val="Heading1"/>
                        <w:jc w:val="left"/>
                        <w:rPr>
                          <w:sz w:val="52"/>
                          <w:szCs w:val="52"/>
                          <w:lang w:val="en-GB"/>
                        </w:rPr>
                      </w:pPr>
                      <w:r>
                        <w:rPr>
                          <w:sz w:val="52"/>
                          <w:szCs w:val="52"/>
                          <w:lang w:val="en-GB"/>
                        </w:rPr>
                        <w:t>Research Note 18/220</w:t>
                      </w:r>
                      <w:bookmarkStart w:id="1" w:name="_GoBack"/>
                      <w:bookmarkEnd w:id="1"/>
                    </w:p>
                    <w:p w:rsidR="005E563C" w:rsidRPr="00B54C13" w:rsidRDefault="005E563C" w:rsidP="00C13C55">
                      <w:pPr>
                        <w:pStyle w:val="Heading2"/>
                        <w:rPr>
                          <w:b w:val="0"/>
                          <w:bCs w:val="0"/>
                          <w:i/>
                          <w:iCs w:val="0"/>
                          <w:lang w:val="tr-TR"/>
                        </w:rPr>
                      </w:pPr>
                    </w:p>
                  </w:txbxContent>
                </v:textbox>
              </v:shape>
            </w:pict>
          </mc:Fallback>
        </mc:AlternateContent>
      </w:r>
    </w:p>
    <w:p w:rsidR="00460BD0" w:rsidRPr="009D7B6F" w:rsidRDefault="00296E05" w:rsidP="00296E05">
      <w:pPr>
        <w:jc w:val="right"/>
        <w:rPr>
          <w:rFonts w:ascii="Arial" w:hAnsi="Arial"/>
          <w:b/>
          <w:color w:val="FFFFFF" w:themeColor="background1"/>
          <w:szCs w:val="22"/>
          <w:lang w:val="en-GB"/>
        </w:rPr>
      </w:pPr>
      <w:r w:rsidRPr="009D7B6F">
        <w:rPr>
          <w:color w:val="FFFFFF" w:themeColor="background1"/>
          <w:szCs w:val="22"/>
          <w:lang w:val="en-GB"/>
        </w:rPr>
        <w:tab/>
      </w:r>
      <w:r w:rsidR="001331AA" w:rsidRPr="009D7B6F">
        <w:rPr>
          <w:rFonts w:ascii="Arial" w:hAnsi="Arial"/>
          <w:b/>
          <w:color w:val="FFFFFF" w:themeColor="background1"/>
          <w:szCs w:val="22"/>
          <w:lang w:val="en-GB"/>
        </w:rPr>
        <w:t>10</w:t>
      </w:r>
      <w:r w:rsidR="00C2010B">
        <w:rPr>
          <w:rFonts w:ascii="Arial" w:hAnsi="Arial"/>
          <w:b/>
          <w:color w:val="FFFFFF" w:themeColor="background1"/>
          <w:szCs w:val="22"/>
          <w:lang w:val="en-GB"/>
        </w:rPr>
        <w:t xml:space="preserve"> January</w:t>
      </w:r>
      <w:r w:rsidRPr="009D7B6F">
        <w:rPr>
          <w:rFonts w:ascii="Arial" w:hAnsi="Arial"/>
          <w:b/>
          <w:color w:val="FFFFFF" w:themeColor="background1"/>
          <w:szCs w:val="22"/>
          <w:lang w:val="en-GB"/>
        </w:rPr>
        <w:t xml:space="preserve"> 201</w:t>
      </w:r>
      <w:r w:rsidR="00A60B69" w:rsidRPr="009D7B6F">
        <w:rPr>
          <w:rFonts w:ascii="Arial" w:hAnsi="Arial"/>
          <w:b/>
          <w:color w:val="FFFFFF" w:themeColor="background1"/>
          <w:szCs w:val="22"/>
          <w:lang w:val="en-GB"/>
        </w:rPr>
        <w:t>8</w:t>
      </w:r>
    </w:p>
    <w:p w:rsidR="00332728" w:rsidRPr="009D7B6F" w:rsidRDefault="009D7B6F" w:rsidP="009D166D">
      <w:pPr>
        <w:jc w:val="center"/>
        <w:rPr>
          <w:b/>
          <w:sz w:val="32"/>
          <w:szCs w:val="32"/>
          <w:lang w:val="en-GB"/>
        </w:rPr>
      </w:pPr>
      <w:r w:rsidRPr="009D7B6F">
        <w:rPr>
          <w:b/>
          <w:sz w:val="32"/>
          <w:szCs w:val="32"/>
          <w:lang w:val="en-GB"/>
        </w:rPr>
        <w:t xml:space="preserve">Minimum wage affects </w:t>
      </w:r>
      <w:r>
        <w:rPr>
          <w:b/>
          <w:sz w:val="32"/>
          <w:szCs w:val="32"/>
          <w:lang w:val="en-GB"/>
        </w:rPr>
        <w:t>formal employment negatively</w:t>
      </w:r>
    </w:p>
    <w:p w:rsidR="006C00C6" w:rsidRPr="009D7B6F" w:rsidRDefault="006C00C6" w:rsidP="00D244C6">
      <w:pPr>
        <w:spacing w:before="120"/>
        <w:jc w:val="center"/>
        <w:rPr>
          <w:b/>
          <w:bCs/>
          <w:szCs w:val="22"/>
          <w:lang w:val="en-GB"/>
        </w:rPr>
      </w:pPr>
      <w:r w:rsidRPr="009D7B6F">
        <w:rPr>
          <w:b/>
          <w:bCs/>
          <w:szCs w:val="22"/>
          <w:lang w:val="en-GB"/>
        </w:rPr>
        <w:t>Seyfettin</w:t>
      </w:r>
      <w:r w:rsidR="00923891">
        <w:rPr>
          <w:b/>
          <w:bCs/>
          <w:szCs w:val="22"/>
          <w:lang w:val="en-GB"/>
        </w:rPr>
        <w:t xml:space="preserve"> </w:t>
      </w:r>
      <w:r w:rsidRPr="009D7B6F">
        <w:rPr>
          <w:b/>
          <w:bCs/>
          <w:szCs w:val="22"/>
          <w:lang w:val="en-GB"/>
        </w:rPr>
        <w:t>Gürsel</w:t>
      </w:r>
      <w:r w:rsidRPr="009D7B6F">
        <w:rPr>
          <w:rStyle w:val="FootnoteReference"/>
          <w:b/>
          <w:bCs/>
          <w:szCs w:val="22"/>
          <w:lang w:val="en-GB"/>
        </w:rPr>
        <w:footnoteReference w:customMarkFollows="1" w:id="1"/>
        <w:t>*</w:t>
      </w:r>
      <w:r w:rsidRPr="009D7B6F">
        <w:rPr>
          <w:b/>
          <w:bCs/>
          <w:szCs w:val="22"/>
          <w:lang w:val="en-GB"/>
        </w:rPr>
        <w:t>, Ozan Bakış</w:t>
      </w:r>
      <w:r w:rsidRPr="009D7B6F">
        <w:rPr>
          <w:rStyle w:val="FootnoteReference"/>
          <w:b/>
          <w:bCs/>
          <w:szCs w:val="22"/>
          <w:lang w:val="en-GB"/>
        </w:rPr>
        <w:footnoteReference w:customMarkFollows="1" w:id="2"/>
        <w:sym w:font="Symbol" w:char="F02A"/>
      </w:r>
      <w:r w:rsidRPr="009D7B6F">
        <w:rPr>
          <w:rStyle w:val="FootnoteReference"/>
          <w:b/>
          <w:bCs/>
          <w:szCs w:val="22"/>
          <w:lang w:val="en-GB"/>
        </w:rPr>
        <w:sym w:font="Symbol" w:char="F02A"/>
      </w:r>
      <w:r w:rsidR="00C2010B">
        <w:rPr>
          <w:b/>
          <w:bCs/>
          <w:szCs w:val="22"/>
          <w:lang w:val="en-GB"/>
        </w:rPr>
        <w:t>and</w:t>
      </w:r>
      <w:r w:rsidRPr="009D7B6F">
        <w:rPr>
          <w:b/>
          <w:bCs/>
          <w:szCs w:val="22"/>
          <w:lang w:val="en-GB"/>
        </w:rPr>
        <w:t xml:space="preserve"> Yazgı Genç***</w:t>
      </w:r>
    </w:p>
    <w:p w:rsidR="006C00C6" w:rsidRPr="009D7B6F" w:rsidRDefault="009D7B6F" w:rsidP="00140A1F">
      <w:pPr>
        <w:pStyle w:val="Heading2"/>
        <w:jc w:val="center"/>
      </w:pPr>
      <w:r>
        <w:t xml:space="preserve">Executive Summary </w:t>
      </w:r>
    </w:p>
    <w:p w:rsidR="009D7B6F" w:rsidRDefault="009D7B6F" w:rsidP="00140A1F">
      <w:pPr>
        <w:ind w:left="567" w:right="567"/>
        <w:rPr>
          <w:szCs w:val="22"/>
          <w:lang w:val="en-GB" w:eastAsia="tr-TR"/>
        </w:rPr>
      </w:pPr>
      <w:r>
        <w:rPr>
          <w:szCs w:val="22"/>
          <w:lang w:val="en-GB" w:eastAsia="tr-TR"/>
        </w:rPr>
        <w:t>In the research note “</w:t>
      </w:r>
      <w:r w:rsidR="007B71DD" w:rsidRPr="007B71DD">
        <w:rPr>
          <w:szCs w:val="22"/>
          <w:lang w:val="en-GB" w:eastAsia="tr-TR"/>
        </w:rPr>
        <w:t>Minimum wage increase is adversely affecting informal employment</w:t>
      </w:r>
      <w:r>
        <w:rPr>
          <w:szCs w:val="22"/>
          <w:lang w:val="en-GB" w:eastAsia="tr-TR"/>
        </w:rPr>
        <w:t>” (Betam</w:t>
      </w:r>
      <w:r w:rsidR="00923891">
        <w:rPr>
          <w:szCs w:val="22"/>
          <w:lang w:val="en-GB" w:eastAsia="tr-TR"/>
        </w:rPr>
        <w:t xml:space="preserve"> </w:t>
      </w:r>
      <w:r w:rsidR="00B35871">
        <w:rPr>
          <w:szCs w:val="22"/>
          <w:lang w:val="en-GB" w:eastAsia="tr-TR"/>
        </w:rPr>
        <w:t>Research</w:t>
      </w:r>
      <w:r>
        <w:rPr>
          <w:szCs w:val="22"/>
          <w:lang w:val="en-GB" w:eastAsia="tr-TR"/>
        </w:rPr>
        <w:t xml:space="preserve"> Note 16/196) which we published earlier, we examined the effects of the minimum wage increase in 2016 on informal employment and </w:t>
      </w:r>
      <w:r w:rsidR="00413A07">
        <w:rPr>
          <w:szCs w:val="22"/>
          <w:lang w:val="en-GB" w:eastAsia="tr-TR"/>
        </w:rPr>
        <w:t>found</w:t>
      </w:r>
      <w:r>
        <w:rPr>
          <w:szCs w:val="22"/>
          <w:lang w:val="en-GB" w:eastAsia="tr-TR"/>
        </w:rPr>
        <w:t xml:space="preserve"> strong evidence </w:t>
      </w:r>
      <w:r w:rsidR="00413A07">
        <w:rPr>
          <w:szCs w:val="22"/>
          <w:lang w:val="en-GB" w:eastAsia="tr-TR"/>
        </w:rPr>
        <w:t>for a positive effect</w:t>
      </w:r>
      <w:r>
        <w:rPr>
          <w:szCs w:val="22"/>
          <w:lang w:val="en-GB" w:eastAsia="tr-TR"/>
        </w:rPr>
        <w:t xml:space="preserve">. </w:t>
      </w:r>
      <w:r w:rsidR="00055D61">
        <w:rPr>
          <w:szCs w:val="22"/>
          <w:lang w:val="en-GB" w:eastAsia="tr-TR"/>
        </w:rPr>
        <w:t xml:space="preserve"> In th</w:t>
      </w:r>
      <w:r w:rsidR="00413A07">
        <w:rPr>
          <w:szCs w:val="22"/>
          <w:lang w:val="en-GB" w:eastAsia="tr-TR"/>
        </w:rPr>
        <w:t>e same</w:t>
      </w:r>
      <w:r w:rsidR="00F05F94">
        <w:rPr>
          <w:szCs w:val="22"/>
          <w:lang w:val="en-GB" w:eastAsia="tr-TR"/>
        </w:rPr>
        <w:t xml:space="preserve"> research</w:t>
      </w:r>
      <w:r w:rsidR="007C69CA">
        <w:rPr>
          <w:szCs w:val="22"/>
          <w:lang w:val="en-GB" w:eastAsia="tr-TR"/>
        </w:rPr>
        <w:t xml:space="preserve"> </w:t>
      </w:r>
      <w:r w:rsidR="004F54FF">
        <w:rPr>
          <w:szCs w:val="22"/>
          <w:lang w:val="en-GB" w:eastAsia="tr-TR"/>
        </w:rPr>
        <w:t>which used data up to first quarter of 2016</w:t>
      </w:r>
      <w:r w:rsidR="00B35871">
        <w:rPr>
          <w:szCs w:val="22"/>
          <w:lang w:val="en-GB" w:eastAsia="tr-TR"/>
        </w:rPr>
        <w:t xml:space="preserve">, we suggested </w:t>
      </w:r>
      <w:r w:rsidR="004F54FF">
        <w:rPr>
          <w:szCs w:val="22"/>
          <w:lang w:val="en-GB" w:eastAsia="tr-TR"/>
        </w:rPr>
        <w:t>one</w:t>
      </w:r>
      <w:r w:rsidR="00B35871">
        <w:rPr>
          <w:szCs w:val="22"/>
          <w:lang w:val="en-GB" w:eastAsia="tr-TR"/>
        </w:rPr>
        <w:t xml:space="preserve"> should be cautious about the</w:t>
      </w:r>
      <w:r w:rsidR="004F54FF">
        <w:rPr>
          <w:szCs w:val="22"/>
          <w:lang w:val="en-GB" w:eastAsia="tr-TR"/>
        </w:rPr>
        <w:t>se</w:t>
      </w:r>
      <w:r w:rsidR="00B35871">
        <w:rPr>
          <w:szCs w:val="22"/>
          <w:lang w:val="en-GB" w:eastAsia="tr-TR"/>
        </w:rPr>
        <w:t xml:space="preserve"> first findings</w:t>
      </w:r>
      <w:r w:rsidR="004F54FF">
        <w:rPr>
          <w:szCs w:val="22"/>
          <w:lang w:val="en-GB" w:eastAsia="tr-TR"/>
        </w:rPr>
        <w:t xml:space="preserve"> and </w:t>
      </w:r>
      <w:r w:rsidR="00B35871">
        <w:rPr>
          <w:szCs w:val="22"/>
          <w:lang w:val="en-GB" w:eastAsia="tr-TR"/>
        </w:rPr>
        <w:t xml:space="preserve">emphasized that we will return to this topic again </w:t>
      </w:r>
      <w:r w:rsidR="004F54FF">
        <w:rPr>
          <w:szCs w:val="22"/>
          <w:lang w:val="en-GB" w:eastAsia="tr-TR"/>
        </w:rPr>
        <w:t xml:space="preserve">once more data is available. </w:t>
      </w:r>
      <w:r w:rsidR="00B35871">
        <w:rPr>
          <w:szCs w:val="22"/>
          <w:lang w:val="en-GB" w:eastAsia="tr-TR"/>
        </w:rPr>
        <w:t xml:space="preserve">Unfortunately, we cannot </w:t>
      </w:r>
      <w:r w:rsidR="003720CA">
        <w:rPr>
          <w:szCs w:val="22"/>
          <w:lang w:val="en-GB" w:eastAsia="tr-TR"/>
        </w:rPr>
        <w:t xml:space="preserve">publish this update on a single research note.  Thus, we decided to report the effects of minimum wage increase on informality with three research notes. </w:t>
      </w:r>
    </w:p>
    <w:p w:rsidR="003720CA" w:rsidRDefault="003720CA" w:rsidP="00140A1F">
      <w:pPr>
        <w:ind w:left="567" w:right="567"/>
        <w:rPr>
          <w:szCs w:val="22"/>
          <w:lang w:val="en-GB" w:eastAsia="tr-TR"/>
        </w:rPr>
      </w:pPr>
      <w:r>
        <w:rPr>
          <w:szCs w:val="22"/>
          <w:lang w:val="en-GB" w:eastAsia="tr-TR"/>
        </w:rPr>
        <w:t xml:space="preserve">This first note will analyse general trends and </w:t>
      </w:r>
      <w:r w:rsidR="00270894">
        <w:rPr>
          <w:szCs w:val="22"/>
          <w:lang w:val="en-GB" w:eastAsia="tr-TR"/>
        </w:rPr>
        <w:t xml:space="preserve">year-on-year </w:t>
      </w:r>
      <w:r>
        <w:rPr>
          <w:szCs w:val="22"/>
          <w:lang w:val="en-GB" w:eastAsia="tr-TR"/>
        </w:rPr>
        <w:t xml:space="preserve">changes </w:t>
      </w:r>
      <w:r w:rsidR="004F54FF">
        <w:rPr>
          <w:szCs w:val="22"/>
          <w:lang w:val="en-GB" w:eastAsia="tr-TR"/>
        </w:rPr>
        <w:t>by</w:t>
      </w:r>
      <w:r w:rsidR="007C69CA">
        <w:rPr>
          <w:szCs w:val="22"/>
          <w:lang w:val="en-GB" w:eastAsia="tr-TR"/>
        </w:rPr>
        <w:t xml:space="preserve"> </w:t>
      </w:r>
      <w:r w:rsidR="005D73B1">
        <w:rPr>
          <w:szCs w:val="22"/>
          <w:lang w:val="en-GB" w:eastAsia="tr-TR"/>
        </w:rPr>
        <w:t>employment</w:t>
      </w:r>
      <w:r>
        <w:rPr>
          <w:szCs w:val="22"/>
          <w:lang w:val="en-GB" w:eastAsia="tr-TR"/>
        </w:rPr>
        <w:t xml:space="preserve"> status. </w:t>
      </w:r>
      <w:r w:rsidR="00D0704B">
        <w:rPr>
          <w:szCs w:val="22"/>
          <w:lang w:val="en-GB" w:eastAsia="tr-TR"/>
        </w:rPr>
        <w:t xml:space="preserve"> The second note </w:t>
      </w:r>
      <w:r w:rsidR="004F54FF">
        <w:rPr>
          <w:szCs w:val="22"/>
          <w:lang w:val="en-GB" w:eastAsia="tr-TR"/>
        </w:rPr>
        <w:t xml:space="preserve">is closer to the </w:t>
      </w:r>
      <w:r w:rsidR="00D0704B">
        <w:rPr>
          <w:szCs w:val="22"/>
          <w:lang w:val="en-GB" w:eastAsia="tr-TR"/>
        </w:rPr>
        <w:t xml:space="preserve">approach </w:t>
      </w:r>
      <w:r w:rsidR="007D5348">
        <w:rPr>
          <w:szCs w:val="22"/>
          <w:lang w:val="en-GB" w:eastAsia="tr-TR"/>
        </w:rPr>
        <w:t>used in the r</w:t>
      </w:r>
      <w:r w:rsidR="00D0704B">
        <w:rPr>
          <w:szCs w:val="22"/>
          <w:lang w:val="en-GB" w:eastAsia="tr-TR"/>
        </w:rPr>
        <w:t>esearch note published the last year.</w:t>
      </w:r>
      <w:r w:rsidR="007C69CA">
        <w:rPr>
          <w:szCs w:val="22"/>
          <w:lang w:val="en-GB" w:eastAsia="tr-TR"/>
        </w:rPr>
        <w:t xml:space="preserve"> </w:t>
      </w:r>
      <w:r w:rsidR="00AD2AAC">
        <w:rPr>
          <w:szCs w:val="22"/>
          <w:lang w:val="en-GB" w:eastAsia="tr-TR"/>
        </w:rPr>
        <w:t>In this approach, the ratio of low</w:t>
      </w:r>
      <w:r w:rsidR="00F05F94">
        <w:rPr>
          <w:szCs w:val="22"/>
          <w:lang w:val="en-GB" w:eastAsia="tr-TR"/>
        </w:rPr>
        <w:t>-</w:t>
      </w:r>
      <w:r w:rsidR="007D5348">
        <w:rPr>
          <w:szCs w:val="22"/>
          <w:lang w:val="en-GB" w:eastAsia="tr-TR"/>
        </w:rPr>
        <w:t>wage</w:t>
      </w:r>
      <w:r w:rsidR="00AD2AAC">
        <w:rPr>
          <w:szCs w:val="22"/>
          <w:lang w:val="en-GB" w:eastAsia="tr-TR"/>
        </w:rPr>
        <w:t xml:space="preserve"> employees </w:t>
      </w:r>
      <w:r w:rsidR="00801950">
        <w:rPr>
          <w:szCs w:val="22"/>
          <w:lang w:val="en-GB" w:eastAsia="tr-TR"/>
        </w:rPr>
        <w:t xml:space="preserve">in each sector is considered as </w:t>
      </w:r>
      <w:r w:rsidR="007D5348">
        <w:rPr>
          <w:szCs w:val="22"/>
          <w:lang w:val="en-GB" w:eastAsia="tr-TR"/>
        </w:rPr>
        <w:t xml:space="preserve">a proxy </w:t>
      </w:r>
      <w:r w:rsidR="00270894">
        <w:rPr>
          <w:szCs w:val="22"/>
          <w:lang w:val="en-GB" w:eastAsia="tr-TR"/>
        </w:rPr>
        <w:t xml:space="preserve">for </w:t>
      </w:r>
      <w:r w:rsidR="007D5348">
        <w:rPr>
          <w:szCs w:val="22"/>
          <w:lang w:val="en-GB" w:eastAsia="tr-TR"/>
        </w:rPr>
        <w:t xml:space="preserve">the </w:t>
      </w:r>
      <w:r w:rsidR="00270894">
        <w:rPr>
          <w:szCs w:val="22"/>
          <w:lang w:val="en-GB" w:eastAsia="tr-TR"/>
        </w:rPr>
        <w:t xml:space="preserve">effect of </w:t>
      </w:r>
      <w:r w:rsidR="00801950">
        <w:rPr>
          <w:szCs w:val="22"/>
          <w:lang w:val="en-GB" w:eastAsia="tr-TR"/>
        </w:rPr>
        <w:t xml:space="preserve">minimum wage </w:t>
      </w:r>
      <w:r w:rsidR="00270894">
        <w:rPr>
          <w:szCs w:val="22"/>
          <w:lang w:val="en-GB" w:eastAsia="tr-TR"/>
        </w:rPr>
        <w:t>hike</w:t>
      </w:r>
      <w:r w:rsidR="007C69CA">
        <w:rPr>
          <w:szCs w:val="22"/>
          <w:lang w:val="en-GB" w:eastAsia="tr-TR"/>
        </w:rPr>
        <w:t xml:space="preserve"> </w:t>
      </w:r>
      <w:r w:rsidR="007D5348">
        <w:rPr>
          <w:szCs w:val="22"/>
          <w:lang w:val="en-GB" w:eastAsia="tr-TR"/>
        </w:rPr>
        <w:t>on informality for the</w:t>
      </w:r>
      <w:r w:rsidR="00801950">
        <w:rPr>
          <w:szCs w:val="22"/>
          <w:lang w:val="en-GB" w:eastAsia="tr-TR"/>
        </w:rPr>
        <w:t xml:space="preserve"> sector. </w:t>
      </w:r>
      <w:r w:rsidR="00CA17DC">
        <w:rPr>
          <w:szCs w:val="22"/>
          <w:lang w:val="en-GB" w:eastAsia="tr-TR"/>
        </w:rPr>
        <w:t xml:space="preserve">If this </w:t>
      </w:r>
      <w:r w:rsidR="007D5348">
        <w:rPr>
          <w:szCs w:val="22"/>
          <w:lang w:val="en-GB" w:eastAsia="tr-TR"/>
        </w:rPr>
        <w:t>claim</w:t>
      </w:r>
      <w:r w:rsidR="00CA17DC">
        <w:rPr>
          <w:szCs w:val="22"/>
          <w:lang w:val="en-GB" w:eastAsia="tr-TR"/>
        </w:rPr>
        <w:t xml:space="preserve"> is true, the minimum wage increase will</w:t>
      </w:r>
      <w:r w:rsidR="007D5348">
        <w:rPr>
          <w:szCs w:val="22"/>
          <w:lang w:val="en-GB" w:eastAsia="tr-TR"/>
        </w:rPr>
        <w:t xml:space="preserve"> affect more heavily</w:t>
      </w:r>
      <w:r w:rsidR="007C69CA">
        <w:rPr>
          <w:szCs w:val="22"/>
          <w:lang w:val="en-GB" w:eastAsia="tr-TR"/>
        </w:rPr>
        <w:t xml:space="preserve"> </w:t>
      </w:r>
      <w:r w:rsidR="007D5348">
        <w:rPr>
          <w:szCs w:val="22"/>
          <w:lang w:val="en-GB" w:eastAsia="tr-TR"/>
        </w:rPr>
        <w:t xml:space="preserve">low-wage </w:t>
      </w:r>
      <w:r w:rsidR="00CA17DC">
        <w:rPr>
          <w:szCs w:val="22"/>
          <w:lang w:val="en-GB" w:eastAsia="tr-TR"/>
        </w:rPr>
        <w:t>sectors</w:t>
      </w:r>
      <w:r w:rsidR="007D5348">
        <w:rPr>
          <w:szCs w:val="22"/>
          <w:lang w:val="en-GB" w:eastAsia="tr-TR"/>
        </w:rPr>
        <w:t xml:space="preserve"> and </w:t>
      </w:r>
      <w:r w:rsidR="00270894">
        <w:rPr>
          <w:szCs w:val="22"/>
          <w:lang w:val="en-GB" w:eastAsia="tr-TR"/>
        </w:rPr>
        <w:t xml:space="preserve">the increase in </w:t>
      </w:r>
      <w:r w:rsidR="00CA17DC">
        <w:rPr>
          <w:szCs w:val="22"/>
          <w:lang w:val="en-GB" w:eastAsia="tr-TR"/>
        </w:rPr>
        <w:t>informal</w:t>
      </w:r>
      <w:r w:rsidR="00270894">
        <w:rPr>
          <w:szCs w:val="22"/>
          <w:lang w:val="en-GB" w:eastAsia="tr-TR"/>
        </w:rPr>
        <w:t>ity</w:t>
      </w:r>
      <w:r w:rsidR="00CA17DC">
        <w:rPr>
          <w:szCs w:val="22"/>
          <w:lang w:val="en-GB" w:eastAsia="tr-TR"/>
        </w:rPr>
        <w:t xml:space="preserve"> will </w:t>
      </w:r>
      <w:r w:rsidR="00270894">
        <w:rPr>
          <w:szCs w:val="22"/>
          <w:lang w:val="en-GB" w:eastAsia="tr-TR"/>
        </w:rPr>
        <w:t xml:space="preserve">be higher </w:t>
      </w:r>
      <w:r w:rsidR="00CA17DC">
        <w:rPr>
          <w:szCs w:val="22"/>
          <w:lang w:val="en-GB" w:eastAsia="tr-TR"/>
        </w:rPr>
        <w:t>in the</w:t>
      </w:r>
      <w:r w:rsidR="007D5348">
        <w:rPr>
          <w:szCs w:val="22"/>
          <w:lang w:val="en-GB" w:eastAsia="tr-TR"/>
        </w:rPr>
        <w:t>se</w:t>
      </w:r>
      <w:r w:rsidR="00CA17DC">
        <w:rPr>
          <w:szCs w:val="22"/>
          <w:lang w:val="en-GB" w:eastAsia="tr-TR"/>
        </w:rPr>
        <w:t xml:space="preserve"> sectors compared to other sectors. </w:t>
      </w:r>
      <w:r w:rsidR="0090599F">
        <w:rPr>
          <w:szCs w:val="22"/>
          <w:lang w:val="en-GB" w:eastAsia="tr-TR"/>
        </w:rPr>
        <w:t xml:space="preserve"> The third and final note will test the </w:t>
      </w:r>
      <w:r w:rsidR="00F97F94">
        <w:rPr>
          <w:szCs w:val="22"/>
          <w:lang w:val="en-GB" w:eastAsia="tr-TR"/>
        </w:rPr>
        <w:t>above claim</w:t>
      </w:r>
      <w:r w:rsidR="00681B8F">
        <w:rPr>
          <w:szCs w:val="22"/>
          <w:lang w:val="en-GB" w:eastAsia="tr-TR"/>
        </w:rPr>
        <w:t xml:space="preserve"> using econometric methods and</w:t>
      </w:r>
      <w:r w:rsidR="00AC23F6">
        <w:rPr>
          <w:szCs w:val="22"/>
          <w:lang w:val="en-GB" w:eastAsia="tr-TR"/>
        </w:rPr>
        <w:t xml:space="preserve"> Household Labor Force Survey</w:t>
      </w:r>
      <w:r w:rsidR="00681B8F">
        <w:rPr>
          <w:szCs w:val="22"/>
          <w:lang w:val="en-GB" w:eastAsia="tr-TR"/>
        </w:rPr>
        <w:t xml:space="preserve"> micro data. </w:t>
      </w:r>
      <w:r w:rsidR="00CB74B5">
        <w:rPr>
          <w:szCs w:val="22"/>
          <w:lang w:val="en-GB" w:eastAsia="tr-TR"/>
        </w:rPr>
        <w:t xml:space="preserve"> The common finding of these three notes confirms the first findings </w:t>
      </w:r>
      <w:r w:rsidR="00AC23F6">
        <w:rPr>
          <w:szCs w:val="22"/>
          <w:lang w:val="en-GB" w:eastAsia="tr-TR"/>
        </w:rPr>
        <w:t>of</w:t>
      </w:r>
      <w:r w:rsidR="00CB74B5">
        <w:rPr>
          <w:szCs w:val="22"/>
          <w:lang w:val="en-GB" w:eastAsia="tr-TR"/>
        </w:rPr>
        <w:t xml:space="preserve"> the research note we published earlier (Betam Research Note 16/196). Accordingly,</w:t>
      </w:r>
      <w:r w:rsidR="00CE410C">
        <w:rPr>
          <w:szCs w:val="22"/>
          <w:lang w:val="en-GB" w:eastAsia="tr-TR"/>
        </w:rPr>
        <w:t xml:space="preserve"> </w:t>
      </w:r>
      <w:r w:rsidR="00CB74B5">
        <w:rPr>
          <w:szCs w:val="22"/>
          <w:lang w:val="en-GB" w:eastAsia="tr-TR"/>
        </w:rPr>
        <w:t>minimum wage</w:t>
      </w:r>
      <w:r w:rsidR="00AC23F6">
        <w:rPr>
          <w:szCs w:val="22"/>
          <w:lang w:val="en-GB" w:eastAsia="tr-TR"/>
        </w:rPr>
        <w:t xml:space="preserve"> increase</w:t>
      </w:r>
      <w:r w:rsidR="00CE410C">
        <w:rPr>
          <w:szCs w:val="22"/>
          <w:lang w:val="en-GB" w:eastAsia="tr-TR"/>
        </w:rPr>
        <w:t xml:space="preserve"> </w:t>
      </w:r>
      <w:r w:rsidR="00EC65E1">
        <w:rPr>
          <w:szCs w:val="22"/>
          <w:lang w:val="en-GB" w:eastAsia="tr-TR"/>
        </w:rPr>
        <w:t>influences</w:t>
      </w:r>
      <w:r w:rsidR="00F97F94">
        <w:rPr>
          <w:szCs w:val="22"/>
          <w:lang w:val="en-GB" w:eastAsia="tr-TR"/>
        </w:rPr>
        <w:t xml:space="preserve"> informal</w:t>
      </w:r>
      <w:r w:rsidR="00CB74B5">
        <w:rPr>
          <w:szCs w:val="22"/>
          <w:lang w:val="en-GB" w:eastAsia="tr-TR"/>
        </w:rPr>
        <w:t xml:space="preserve"> employment</w:t>
      </w:r>
      <w:r w:rsidR="00AC23F6">
        <w:rPr>
          <w:szCs w:val="22"/>
          <w:lang w:val="en-GB" w:eastAsia="tr-TR"/>
        </w:rPr>
        <w:t>.</w:t>
      </w:r>
    </w:p>
    <w:p w:rsidR="00CB74B5" w:rsidRDefault="00CB74B5" w:rsidP="00140A1F">
      <w:pPr>
        <w:ind w:left="567" w:right="567"/>
        <w:rPr>
          <w:szCs w:val="22"/>
          <w:lang w:val="en-GB" w:eastAsia="tr-TR"/>
        </w:rPr>
      </w:pPr>
      <w:r>
        <w:rPr>
          <w:szCs w:val="22"/>
          <w:lang w:val="en-GB" w:eastAsia="tr-TR"/>
        </w:rPr>
        <w:t>In this research note, we use all data of 2016 to examine informal employment</w:t>
      </w:r>
      <w:r w:rsidR="00296787">
        <w:rPr>
          <w:szCs w:val="22"/>
          <w:lang w:val="en-GB" w:eastAsia="tr-TR"/>
        </w:rPr>
        <w:t xml:space="preserve"> for</w:t>
      </w:r>
      <w:r>
        <w:rPr>
          <w:szCs w:val="22"/>
          <w:lang w:val="en-GB" w:eastAsia="tr-TR"/>
        </w:rPr>
        <w:t xml:space="preserve"> salaried </w:t>
      </w:r>
      <w:r w:rsidR="000208AB">
        <w:rPr>
          <w:szCs w:val="22"/>
          <w:lang w:val="en-GB" w:eastAsia="tr-TR"/>
        </w:rPr>
        <w:t xml:space="preserve">and non-salaried </w:t>
      </w:r>
      <w:r w:rsidR="005D73B1">
        <w:rPr>
          <w:szCs w:val="22"/>
          <w:lang w:val="en-GB" w:eastAsia="tr-TR"/>
        </w:rPr>
        <w:t xml:space="preserve">workers based on employment status. </w:t>
      </w:r>
      <w:r w:rsidR="00E95653">
        <w:rPr>
          <w:szCs w:val="22"/>
          <w:lang w:val="en-GB" w:eastAsia="tr-TR"/>
        </w:rPr>
        <w:t xml:space="preserve">Initial findings show that minimum wage increase in 2016 is stronger especially for employers and own </w:t>
      </w:r>
      <w:r w:rsidR="00E95653" w:rsidRPr="00EC37A2">
        <w:rPr>
          <w:szCs w:val="22"/>
          <w:lang w:val="en-GB" w:eastAsia="tr-TR"/>
        </w:rPr>
        <w:t xml:space="preserve">account workers.  </w:t>
      </w:r>
      <w:r w:rsidR="00EC37A2" w:rsidRPr="00EC37A2">
        <w:rPr>
          <w:szCs w:val="22"/>
          <w:lang w:val="en-GB" w:eastAsia="tr-TR"/>
        </w:rPr>
        <w:t>The</w:t>
      </w:r>
      <w:r w:rsidR="00E95653" w:rsidRPr="00EC37A2">
        <w:rPr>
          <w:szCs w:val="22"/>
          <w:lang w:val="en-GB" w:eastAsia="tr-TR"/>
        </w:rPr>
        <w:t xml:space="preserve"> effect of the minimum wage increase on informal employment </w:t>
      </w:r>
      <w:r w:rsidR="00617873" w:rsidRPr="00EC37A2">
        <w:rPr>
          <w:szCs w:val="22"/>
          <w:lang w:val="en-GB" w:eastAsia="tr-TR"/>
        </w:rPr>
        <w:t>evolve</w:t>
      </w:r>
      <w:r w:rsidR="00EC37A2" w:rsidRPr="00EC37A2">
        <w:rPr>
          <w:szCs w:val="22"/>
          <w:lang w:val="en-GB" w:eastAsia="tr-TR"/>
        </w:rPr>
        <w:t xml:space="preserve">s </w:t>
      </w:r>
      <w:r w:rsidR="00E95653" w:rsidRPr="00EC37A2">
        <w:rPr>
          <w:szCs w:val="22"/>
          <w:lang w:val="en-GB" w:eastAsia="tr-TR"/>
        </w:rPr>
        <w:t xml:space="preserve">over time and </w:t>
      </w:r>
      <w:r w:rsidR="00EC37A2" w:rsidRPr="00EC37A2">
        <w:rPr>
          <w:szCs w:val="22"/>
          <w:lang w:val="en-GB" w:eastAsia="tr-TR"/>
        </w:rPr>
        <w:t xml:space="preserve">is present in </w:t>
      </w:r>
      <w:r w:rsidR="00617873" w:rsidRPr="00EC37A2">
        <w:rPr>
          <w:szCs w:val="22"/>
          <w:lang w:val="en-GB" w:eastAsia="tr-TR"/>
        </w:rPr>
        <w:t>2017 as well.</w:t>
      </w:r>
    </w:p>
    <w:p w:rsidR="008D0F64" w:rsidRPr="008D0F64" w:rsidRDefault="00617873" w:rsidP="008D0F64">
      <w:pPr>
        <w:pStyle w:val="Heading2"/>
        <w:rPr>
          <w:rFonts w:eastAsiaTheme="minorHAnsi"/>
          <w:lang w:eastAsia="en-US"/>
        </w:rPr>
      </w:pPr>
      <w:r>
        <w:rPr>
          <w:rFonts w:eastAsiaTheme="minorHAnsi"/>
          <w:lang w:eastAsia="en-US"/>
        </w:rPr>
        <w:lastRenderedPageBreak/>
        <w:t>Introduction</w:t>
      </w:r>
    </w:p>
    <w:p w:rsidR="008D0F64" w:rsidRPr="00B3598D" w:rsidRDefault="008D0F64" w:rsidP="008D0F64">
      <w:pPr>
        <w:tabs>
          <w:tab w:val="left" w:pos="1575"/>
        </w:tabs>
        <w:rPr>
          <w:bCs/>
          <w:szCs w:val="20"/>
          <w:lang w:val="en-GB"/>
        </w:rPr>
      </w:pPr>
      <w:r w:rsidRPr="00B3598D">
        <w:rPr>
          <w:bCs/>
          <w:szCs w:val="20"/>
          <w:lang w:val="en-GB"/>
        </w:rPr>
        <w:t>In this research note, we examine how the minimum wage incr</w:t>
      </w:r>
      <w:r w:rsidR="00FD1A6B">
        <w:rPr>
          <w:bCs/>
          <w:szCs w:val="20"/>
          <w:lang w:val="en-GB"/>
        </w:rPr>
        <w:t>ease (from 1000 TL to 1300 TL) on January 1, 2016</w:t>
      </w:r>
      <w:r w:rsidRPr="00B3598D">
        <w:rPr>
          <w:bCs/>
          <w:szCs w:val="20"/>
          <w:lang w:val="en-GB"/>
        </w:rPr>
        <w:t xml:space="preserve"> affected the informal employment. </w:t>
      </w:r>
      <w:r w:rsidR="00FD1A6B">
        <w:rPr>
          <w:bCs/>
          <w:szCs w:val="20"/>
          <w:lang w:val="en-GB"/>
        </w:rPr>
        <w:t>There is no consensus regarding the effect of minimum wage increases</w:t>
      </w:r>
      <w:r w:rsidRPr="00B3598D">
        <w:rPr>
          <w:bCs/>
          <w:szCs w:val="20"/>
          <w:lang w:val="en-GB"/>
        </w:rPr>
        <w:t xml:space="preserve"> on employment</w:t>
      </w:r>
      <w:r w:rsidR="00FD1A6B">
        <w:rPr>
          <w:bCs/>
          <w:szCs w:val="20"/>
          <w:lang w:val="en-GB"/>
        </w:rPr>
        <w:t xml:space="preserve"> in the literature.</w:t>
      </w:r>
      <w:r w:rsidRPr="00B3598D">
        <w:rPr>
          <w:bCs/>
          <w:szCs w:val="20"/>
          <w:lang w:val="en-GB"/>
        </w:rPr>
        <w:t xml:space="preserve"> On the other hand, there are </w:t>
      </w:r>
      <w:r w:rsidR="00FD1A6B">
        <w:rPr>
          <w:bCs/>
          <w:szCs w:val="20"/>
          <w:lang w:val="en-GB"/>
        </w:rPr>
        <w:t xml:space="preserve">a few studies showing that </w:t>
      </w:r>
      <w:r w:rsidRPr="00B3598D">
        <w:rPr>
          <w:bCs/>
          <w:szCs w:val="20"/>
          <w:lang w:val="en-GB"/>
        </w:rPr>
        <w:t xml:space="preserve">minimum wage </w:t>
      </w:r>
      <w:r w:rsidR="00FD1A6B">
        <w:rPr>
          <w:bCs/>
          <w:szCs w:val="20"/>
          <w:lang w:val="en-GB"/>
        </w:rPr>
        <w:t xml:space="preserve">hikes affect </w:t>
      </w:r>
      <w:r w:rsidRPr="00B3598D">
        <w:rPr>
          <w:bCs/>
          <w:szCs w:val="20"/>
          <w:lang w:val="en-GB"/>
        </w:rPr>
        <w:t xml:space="preserve">negatively </w:t>
      </w:r>
      <w:r w:rsidR="00FD1A6B">
        <w:rPr>
          <w:bCs/>
          <w:szCs w:val="20"/>
          <w:lang w:val="en-GB"/>
        </w:rPr>
        <w:t xml:space="preserve">formal employment in </w:t>
      </w:r>
      <w:r w:rsidRPr="00B3598D">
        <w:rPr>
          <w:bCs/>
          <w:szCs w:val="20"/>
          <w:lang w:val="en-GB"/>
        </w:rPr>
        <w:t>emerging economies</w:t>
      </w:r>
      <w:r w:rsidR="00FD1A6B">
        <w:rPr>
          <w:bCs/>
          <w:szCs w:val="20"/>
          <w:lang w:val="en-GB"/>
        </w:rPr>
        <w:t>.</w:t>
      </w:r>
      <w:r w:rsidRPr="00B3598D">
        <w:rPr>
          <w:bCs/>
          <w:szCs w:val="20"/>
          <w:lang w:val="en-GB"/>
        </w:rPr>
        <w:t xml:space="preserve"> Khamis (2013) </w:t>
      </w:r>
      <w:r w:rsidR="00FD1A6B">
        <w:rPr>
          <w:bCs/>
          <w:szCs w:val="20"/>
          <w:lang w:val="en-GB"/>
        </w:rPr>
        <w:t xml:space="preserve">studies </w:t>
      </w:r>
      <w:r w:rsidRPr="00B3598D">
        <w:rPr>
          <w:bCs/>
          <w:szCs w:val="20"/>
          <w:lang w:val="en-GB"/>
        </w:rPr>
        <w:t xml:space="preserve">the </w:t>
      </w:r>
      <w:r w:rsidR="00FD1A6B">
        <w:rPr>
          <w:bCs/>
          <w:szCs w:val="20"/>
          <w:lang w:val="en-GB"/>
        </w:rPr>
        <w:t xml:space="preserve">effect of </w:t>
      </w:r>
      <w:r w:rsidRPr="00B3598D">
        <w:rPr>
          <w:bCs/>
          <w:szCs w:val="20"/>
          <w:lang w:val="en-GB"/>
        </w:rPr>
        <w:t xml:space="preserve">minimum wage </w:t>
      </w:r>
      <w:r w:rsidR="00FD1A6B">
        <w:rPr>
          <w:bCs/>
          <w:szCs w:val="20"/>
          <w:lang w:val="en-GB"/>
        </w:rPr>
        <w:t xml:space="preserve">increases </w:t>
      </w:r>
      <w:r w:rsidRPr="00B3598D">
        <w:rPr>
          <w:bCs/>
          <w:szCs w:val="20"/>
          <w:lang w:val="en-GB"/>
        </w:rPr>
        <w:t xml:space="preserve">in Argentina, </w:t>
      </w:r>
      <w:r w:rsidR="00FD1A6B">
        <w:rPr>
          <w:bCs/>
          <w:szCs w:val="20"/>
          <w:lang w:val="en-GB"/>
        </w:rPr>
        <w:t>and s</w:t>
      </w:r>
      <w:r w:rsidRPr="00B3598D">
        <w:rPr>
          <w:bCs/>
          <w:szCs w:val="20"/>
          <w:lang w:val="en-GB"/>
        </w:rPr>
        <w:t>he f</w:t>
      </w:r>
      <w:r w:rsidR="00FD1A6B">
        <w:rPr>
          <w:bCs/>
          <w:szCs w:val="20"/>
          <w:lang w:val="en-GB"/>
        </w:rPr>
        <w:t>inds</w:t>
      </w:r>
      <w:r w:rsidR="007C69CA">
        <w:rPr>
          <w:bCs/>
          <w:szCs w:val="20"/>
          <w:lang w:val="en-GB"/>
        </w:rPr>
        <w:t xml:space="preserve"> </w:t>
      </w:r>
      <w:r w:rsidR="00FD1A6B">
        <w:rPr>
          <w:bCs/>
          <w:szCs w:val="20"/>
          <w:lang w:val="en-GB"/>
        </w:rPr>
        <w:t xml:space="preserve">positive effects for the wage levels in </w:t>
      </w:r>
      <w:r w:rsidRPr="00B3598D">
        <w:rPr>
          <w:bCs/>
          <w:szCs w:val="20"/>
          <w:lang w:val="en-GB"/>
        </w:rPr>
        <w:t xml:space="preserve">the informal sectors. On the other hand, there are two studies </w:t>
      </w:r>
      <w:r w:rsidR="00FD1A6B">
        <w:rPr>
          <w:bCs/>
          <w:szCs w:val="20"/>
          <w:lang w:val="en-GB"/>
        </w:rPr>
        <w:t xml:space="preserve">that </w:t>
      </w:r>
      <w:r w:rsidRPr="00B3598D">
        <w:rPr>
          <w:bCs/>
          <w:szCs w:val="20"/>
          <w:lang w:val="en-GB"/>
        </w:rPr>
        <w:t xml:space="preserve">examine the effects of minimum wage increase </w:t>
      </w:r>
      <w:r w:rsidR="00FD1A6B">
        <w:rPr>
          <w:bCs/>
          <w:szCs w:val="20"/>
          <w:lang w:val="en-GB"/>
        </w:rPr>
        <w:t xml:space="preserve">in 2004 </w:t>
      </w:r>
      <w:r w:rsidR="00BB7CDF">
        <w:rPr>
          <w:bCs/>
          <w:szCs w:val="20"/>
          <w:lang w:val="en-GB"/>
        </w:rPr>
        <w:t xml:space="preserve">in Turkey, </w:t>
      </w:r>
      <w:r w:rsidRPr="00B3598D">
        <w:rPr>
          <w:bCs/>
          <w:szCs w:val="20"/>
          <w:lang w:val="en-GB"/>
        </w:rPr>
        <w:t xml:space="preserve">on informal employment of </w:t>
      </w:r>
      <w:r w:rsidR="00FD1A6B">
        <w:rPr>
          <w:bCs/>
          <w:szCs w:val="20"/>
          <w:lang w:val="en-GB"/>
        </w:rPr>
        <w:t>wage earners</w:t>
      </w:r>
      <w:r w:rsidRPr="00B3598D">
        <w:rPr>
          <w:bCs/>
          <w:szCs w:val="20"/>
          <w:lang w:val="en-GB"/>
        </w:rPr>
        <w:t xml:space="preserve">. Pelek (2015) </w:t>
      </w:r>
      <w:r w:rsidR="00BB7CDF">
        <w:rPr>
          <w:bCs/>
          <w:szCs w:val="20"/>
          <w:lang w:val="en-GB"/>
        </w:rPr>
        <w:t xml:space="preserve">finds no evidence of employment effects for </w:t>
      </w:r>
      <w:r w:rsidRPr="00B3598D">
        <w:rPr>
          <w:bCs/>
          <w:szCs w:val="20"/>
          <w:lang w:val="en-GB"/>
        </w:rPr>
        <w:t xml:space="preserve">young and low educated </w:t>
      </w:r>
      <w:r w:rsidR="00BB7CDF">
        <w:rPr>
          <w:bCs/>
          <w:szCs w:val="20"/>
          <w:lang w:val="en-GB"/>
        </w:rPr>
        <w:t xml:space="preserve">wage earners while significant and positive effects in the case of informal employment.  </w:t>
      </w:r>
      <w:r w:rsidRPr="00B3598D">
        <w:rPr>
          <w:bCs/>
          <w:szCs w:val="20"/>
          <w:lang w:val="en-GB"/>
        </w:rPr>
        <w:t xml:space="preserve">Yüncüler and Yüncüler (2016) </w:t>
      </w:r>
      <w:r w:rsidR="00BB7CDF">
        <w:rPr>
          <w:bCs/>
          <w:szCs w:val="20"/>
          <w:lang w:val="en-GB"/>
        </w:rPr>
        <w:t xml:space="preserve">reports that the hike in </w:t>
      </w:r>
      <w:r w:rsidRPr="00B3598D">
        <w:rPr>
          <w:bCs/>
          <w:szCs w:val="20"/>
          <w:lang w:val="en-GB"/>
        </w:rPr>
        <w:t xml:space="preserve">the minimum wage </w:t>
      </w:r>
      <w:r w:rsidR="00BB7CDF">
        <w:rPr>
          <w:bCs/>
          <w:szCs w:val="20"/>
          <w:lang w:val="en-GB"/>
        </w:rPr>
        <w:t xml:space="preserve">in 2004 </w:t>
      </w:r>
      <w:r w:rsidRPr="00B3598D">
        <w:rPr>
          <w:bCs/>
          <w:szCs w:val="20"/>
          <w:lang w:val="en-GB"/>
        </w:rPr>
        <w:t xml:space="preserve">increased wages </w:t>
      </w:r>
      <w:r w:rsidR="00BB7CDF">
        <w:rPr>
          <w:bCs/>
          <w:szCs w:val="20"/>
          <w:lang w:val="en-GB"/>
        </w:rPr>
        <w:t xml:space="preserve">of </w:t>
      </w:r>
      <w:r w:rsidRPr="00B3598D">
        <w:rPr>
          <w:bCs/>
          <w:szCs w:val="20"/>
          <w:lang w:val="en-GB"/>
        </w:rPr>
        <w:t xml:space="preserve">both formal and informal </w:t>
      </w:r>
      <w:r w:rsidR="00BB7CDF">
        <w:rPr>
          <w:bCs/>
          <w:szCs w:val="20"/>
          <w:lang w:val="en-GB"/>
        </w:rPr>
        <w:t>sector workers without any significant effect on total employment. More importantly, this</w:t>
      </w:r>
      <w:r w:rsidRPr="00B3598D">
        <w:rPr>
          <w:bCs/>
          <w:szCs w:val="20"/>
          <w:lang w:val="en-GB"/>
        </w:rPr>
        <w:t xml:space="preserve"> paper state</w:t>
      </w:r>
      <w:r w:rsidR="00BB7CDF">
        <w:rPr>
          <w:bCs/>
          <w:szCs w:val="20"/>
          <w:lang w:val="en-GB"/>
        </w:rPr>
        <w:t>s</w:t>
      </w:r>
      <w:r w:rsidRPr="00B3598D">
        <w:rPr>
          <w:bCs/>
          <w:szCs w:val="20"/>
          <w:lang w:val="en-GB"/>
        </w:rPr>
        <w:t xml:space="preserve"> that </w:t>
      </w:r>
      <w:r w:rsidR="00336150">
        <w:rPr>
          <w:bCs/>
          <w:szCs w:val="20"/>
          <w:lang w:val="en-GB"/>
        </w:rPr>
        <w:t xml:space="preserve">the rise in </w:t>
      </w:r>
      <w:r w:rsidRPr="00B3598D">
        <w:rPr>
          <w:bCs/>
          <w:szCs w:val="20"/>
          <w:lang w:val="en-GB"/>
        </w:rPr>
        <w:t xml:space="preserve">minimum wage </w:t>
      </w:r>
      <w:r w:rsidR="00BB7CDF">
        <w:rPr>
          <w:bCs/>
          <w:szCs w:val="20"/>
          <w:lang w:val="en-GB"/>
        </w:rPr>
        <w:t xml:space="preserve">in 2004 </w:t>
      </w:r>
      <w:r w:rsidRPr="00B3598D">
        <w:rPr>
          <w:bCs/>
          <w:szCs w:val="20"/>
          <w:lang w:val="en-GB"/>
        </w:rPr>
        <w:t>increase</w:t>
      </w:r>
      <w:r w:rsidR="00BB7CDF">
        <w:rPr>
          <w:bCs/>
          <w:szCs w:val="20"/>
          <w:lang w:val="en-GB"/>
        </w:rPr>
        <w:t>s</w:t>
      </w:r>
      <w:r w:rsidRPr="00B3598D">
        <w:rPr>
          <w:bCs/>
          <w:szCs w:val="20"/>
          <w:lang w:val="en-GB"/>
        </w:rPr>
        <w:t xml:space="preserve"> the informality of both low and high educated employment. </w:t>
      </w:r>
    </w:p>
    <w:p w:rsidR="00310C80" w:rsidRDefault="001A62DE" w:rsidP="002F0CCD">
      <w:pPr>
        <w:tabs>
          <w:tab w:val="left" w:pos="1575"/>
        </w:tabs>
        <w:rPr>
          <w:szCs w:val="22"/>
          <w:lang w:val="en-GB" w:eastAsia="tr-TR"/>
        </w:rPr>
      </w:pPr>
      <w:r>
        <w:rPr>
          <w:bCs/>
          <w:szCs w:val="20"/>
          <w:lang w:val="en-GB"/>
        </w:rPr>
        <w:t>At</w:t>
      </w:r>
      <w:r w:rsidR="002F0CCD" w:rsidRPr="00B3598D">
        <w:rPr>
          <w:bCs/>
          <w:szCs w:val="20"/>
          <w:lang w:val="en-GB"/>
        </w:rPr>
        <w:t xml:space="preserve"> Betam, we examined the effects of the minimum wage increase on informal employment when the data</w:t>
      </w:r>
      <w:r w:rsidR="006D2D45">
        <w:rPr>
          <w:bCs/>
          <w:szCs w:val="20"/>
          <w:lang w:val="en-GB"/>
        </w:rPr>
        <w:t xml:space="preserve"> on </w:t>
      </w:r>
      <w:r w:rsidR="002F0CCD" w:rsidRPr="00B3598D">
        <w:rPr>
          <w:bCs/>
          <w:szCs w:val="20"/>
          <w:lang w:val="en-GB"/>
        </w:rPr>
        <w:t>total and informal employment</w:t>
      </w:r>
      <w:r w:rsidR="007C69CA">
        <w:rPr>
          <w:bCs/>
          <w:szCs w:val="20"/>
          <w:lang w:val="en-GB"/>
        </w:rPr>
        <w:t xml:space="preserve"> </w:t>
      </w:r>
      <w:r w:rsidR="002F0CCD" w:rsidRPr="00B3598D">
        <w:rPr>
          <w:bCs/>
          <w:szCs w:val="20"/>
          <w:lang w:val="en-GB"/>
        </w:rPr>
        <w:t>for</w:t>
      </w:r>
      <w:r w:rsidR="006D2D45">
        <w:rPr>
          <w:bCs/>
          <w:szCs w:val="20"/>
          <w:lang w:val="en-GB"/>
        </w:rPr>
        <w:t xml:space="preserve"> the first quarter of</w:t>
      </w:r>
      <w:r w:rsidR="002F0CCD" w:rsidRPr="00B3598D">
        <w:rPr>
          <w:bCs/>
          <w:szCs w:val="20"/>
          <w:lang w:val="en-GB"/>
        </w:rPr>
        <w:t xml:space="preserve"> 2016 </w:t>
      </w:r>
      <w:r w:rsidR="006D2D45">
        <w:rPr>
          <w:bCs/>
          <w:szCs w:val="20"/>
          <w:lang w:val="en-GB"/>
        </w:rPr>
        <w:t xml:space="preserve">was </w:t>
      </w:r>
      <w:r w:rsidR="002F0CCD" w:rsidRPr="00B3598D">
        <w:rPr>
          <w:bCs/>
          <w:szCs w:val="20"/>
          <w:lang w:val="en-GB"/>
        </w:rPr>
        <w:t>published</w:t>
      </w:r>
      <w:r w:rsidR="007C69CA">
        <w:rPr>
          <w:bCs/>
          <w:szCs w:val="20"/>
          <w:lang w:val="en-GB"/>
        </w:rPr>
        <w:t xml:space="preserve"> </w:t>
      </w:r>
      <w:r w:rsidR="006D2D45">
        <w:rPr>
          <w:szCs w:val="22"/>
          <w:lang w:val="en-GB" w:eastAsia="tr-TR"/>
        </w:rPr>
        <w:t>(</w:t>
      </w:r>
      <w:r w:rsidR="006D2D45" w:rsidRPr="009D7B6F">
        <w:rPr>
          <w:szCs w:val="22"/>
          <w:lang w:val="en-GB" w:eastAsia="tr-TR"/>
        </w:rPr>
        <w:t>Betam</w:t>
      </w:r>
      <w:r w:rsidR="00923891">
        <w:rPr>
          <w:szCs w:val="22"/>
          <w:lang w:val="en-GB" w:eastAsia="tr-TR"/>
        </w:rPr>
        <w:t xml:space="preserve"> </w:t>
      </w:r>
      <w:r w:rsidR="006D2D45">
        <w:rPr>
          <w:szCs w:val="22"/>
          <w:lang w:val="en-GB" w:eastAsia="tr-TR"/>
        </w:rPr>
        <w:t xml:space="preserve">Research Note </w:t>
      </w:r>
      <w:r w:rsidR="006D2D45" w:rsidRPr="009D7B6F">
        <w:rPr>
          <w:szCs w:val="22"/>
          <w:lang w:val="en-GB" w:eastAsia="tr-TR"/>
        </w:rPr>
        <w:t xml:space="preserve">16/196, </w:t>
      </w:r>
      <w:r w:rsidR="006D2D45">
        <w:rPr>
          <w:szCs w:val="22"/>
          <w:lang w:val="en-GB" w:eastAsia="tr-TR"/>
        </w:rPr>
        <w:t>“</w:t>
      </w:r>
      <w:r w:rsidR="007B71DD" w:rsidRPr="007B71DD">
        <w:rPr>
          <w:szCs w:val="22"/>
          <w:lang w:val="en-GB" w:eastAsia="tr-TR"/>
        </w:rPr>
        <w:t>Minimum wage increase is adversely affecting informal employment</w:t>
      </w:r>
      <w:r w:rsidR="006D2D45">
        <w:rPr>
          <w:szCs w:val="22"/>
          <w:lang w:val="en-GB" w:eastAsia="tr-TR"/>
        </w:rPr>
        <w:t>”</w:t>
      </w:r>
      <w:r w:rsidR="006D2D45" w:rsidRPr="009D7B6F">
        <w:rPr>
          <w:szCs w:val="22"/>
          <w:lang w:val="en-GB" w:eastAsia="tr-TR"/>
        </w:rPr>
        <w:t>).</w:t>
      </w:r>
      <w:r w:rsidR="002F0CCD" w:rsidRPr="00B3598D">
        <w:rPr>
          <w:bCs/>
          <w:szCs w:val="20"/>
          <w:lang w:val="en-GB"/>
        </w:rPr>
        <w:t xml:space="preserve"> We</w:t>
      </w:r>
      <w:r w:rsidR="006D2D45">
        <w:rPr>
          <w:bCs/>
          <w:szCs w:val="20"/>
          <w:lang w:val="en-GB"/>
        </w:rPr>
        <w:t xml:space="preserve"> found</w:t>
      </w:r>
      <w:r w:rsidR="005870E8">
        <w:rPr>
          <w:bCs/>
          <w:szCs w:val="20"/>
          <w:lang w:val="en-GB"/>
        </w:rPr>
        <w:t xml:space="preserve"> </w:t>
      </w:r>
      <w:r w:rsidR="006D2D45">
        <w:rPr>
          <w:bCs/>
          <w:szCs w:val="20"/>
          <w:lang w:val="en-GB"/>
        </w:rPr>
        <w:t xml:space="preserve">a </w:t>
      </w:r>
      <w:r w:rsidR="002F0CCD" w:rsidRPr="00B3598D">
        <w:rPr>
          <w:bCs/>
          <w:szCs w:val="20"/>
          <w:lang w:val="en-GB"/>
        </w:rPr>
        <w:t xml:space="preserve">strong </w:t>
      </w:r>
      <w:r w:rsidR="006D2D45">
        <w:rPr>
          <w:bCs/>
          <w:szCs w:val="20"/>
          <w:lang w:val="en-GB"/>
        </w:rPr>
        <w:t>sign for a</w:t>
      </w:r>
      <w:r w:rsidR="002F0CCD" w:rsidRPr="00B3598D">
        <w:rPr>
          <w:bCs/>
          <w:szCs w:val="20"/>
          <w:lang w:val="en-GB"/>
        </w:rPr>
        <w:t xml:space="preserve"> positive</w:t>
      </w:r>
      <w:r w:rsidR="006D2D45">
        <w:rPr>
          <w:bCs/>
          <w:szCs w:val="20"/>
          <w:lang w:val="en-GB"/>
        </w:rPr>
        <w:t xml:space="preserve"> correlation</w:t>
      </w:r>
      <w:r w:rsidR="002F0CCD">
        <w:rPr>
          <w:bCs/>
          <w:szCs w:val="20"/>
          <w:lang w:val="en-GB"/>
        </w:rPr>
        <w:t>; however,</w:t>
      </w:r>
      <w:r w:rsidR="006D2D45">
        <w:rPr>
          <w:bCs/>
          <w:szCs w:val="20"/>
          <w:lang w:val="en-GB"/>
        </w:rPr>
        <w:t xml:space="preserve"> it was</w:t>
      </w:r>
      <w:r w:rsidR="002F0CCD" w:rsidRPr="00B3598D">
        <w:rPr>
          <w:bCs/>
          <w:szCs w:val="20"/>
          <w:lang w:val="en-GB"/>
        </w:rPr>
        <w:t xml:space="preserve"> necessary to wait the micro data set of </w:t>
      </w:r>
      <w:r w:rsidR="007B71DD">
        <w:rPr>
          <w:bCs/>
          <w:szCs w:val="20"/>
          <w:lang w:val="en-GB"/>
        </w:rPr>
        <w:t>TurkStat</w:t>
      </w:r>
      <w:r w:rsidR="00923891">
        <w:rPr>
          <w:bCs/>
          <w:szCs w:val="20"/>
          <w:lang w:val="en-GB"/>
        </w:rPr>
        <w:t xml:space="preserve"> </w:t>
      </w:r>
      <w:r w:rsidR="007B71DD">
        <w:rPr>
          <w:bCs/>
          <w:szCs w:val="20"/>
          <w:lang w:val="en-GB"/>
        </w:rPr>
        <w:t>for decisive r</w:t>
      </w:r>
      <w:r w:rsidR="002F0CCD" w:rsidRPr="00B3598D">
        <w:rPr>
          <w:bCs/>
          <w:szCs w:val="20"/>
          <w:lang w:val="en-GB"/>
        </w:rPr>
        <w:t>esults</w:t>
      </w:r>
      <w:r w:rsidR="006D2D45">
        <w:rPr>
          <w:bCs/>
          <w:szCs w:val="20"/>
          <w:lang w:val="en-GB"/>
        </w:rPr>
        <w:t>.</w:t>
      </w:r>
      <w:r w:rsidR="00923891">
        <w:rPr>
          <w:bCs/>
          <w:szCs w:val="20"/>
          <w:lang w:val="en-GB"/>
        </w:rPr>
        <w:t xml:space="preserve"> </w:t>
      </w:r>
      <w:r w:rsidR="008D117F">
        <w:rPr>
          <w:szCs w:val="22"/>
          <w:lang w:val="en-GB" w:eastAsia="tr-TR"/>
        </w:rPr>
        <w:t>Now, w</w:t>
      </w:r>
      <w:r w:rsidR="002F0CCD">
        <w:rPr>
          <w:szCs w:val="22"/>
          <w:lang w:val="en-GB" w:eastAsia="tr-TR"/>
        </w:rPr>
        <w:t xml:space="preserve">e </w:t>
      </w:r>
      <w:r w:rsidR="008D117F">
        <w:rPr>
          <w:szCs w:val="22"/>
          <w:lang w:val="en-GB" w:eastAsia="tr-TR"/>
        </w:rPr>
        <w:t>can</w:t>
      </w:r>
      <w:r w:rsidR="002F0CCD">
        <w:rPr>
          <w:szCs w:val="22"/>
          <w:lang w:val="en-GB" w:eastAsia="tr-TR"/>
        </w:rPr>
        <w:t xml:space="preserve"> make the analysis we promised since </w:t>
      </w:r>
      <w:r w:rsidR="007B71DD">
        <w:rPr>
          <w:szCs w:val="22"/>
          <w:lang w:val="en-GB" w:eastAsia="tr-TR"/>
        </w:rPr>
        <w:t>TurkStat</w:t>
      </w:r>
      <w:r w:rsidR="008D117F">
        <w:rPr>
          <w:szCs w:val="22"/>
          <w:lang w:val="en-GB" w:eastAsia="tr-TR"/>
        </w:rPr>
        <w:t xml:space="preserve"> published</w:t>
      </w:r>
      <w:r w:rsidR="002F0CCD">
        <w:rPr>
          <w:szCs w:val="22"/>
          <w:lang w:val="en-GB" w:eastAsia="tr-TR"/>
        </w:rPr>
        <w:t xml:space="preserve"> the 2016 HLFS</w:t>
      </w:r>
      <w:r w:rsidR="007D7104" w:rsidRPr="009D7B6F">
        <w:rPr>
          <w:szCs w:val="22"/>
          <w:lang w:val="en-GB" w:eastAsia="tr-TR"/>
        </w:rPr>
        <w:t xml:space="preserve">. </w:t>
      </w:r>
      <w:r w:rsidR="002F0CCD">
        <w:rPr>
          <w:szCs w:val="22"/>
          <w:lang w:val="en-GB" w:eastAsia="tr-TR"/>
        </w:rPr>
        <w:t xml:space="preserve">We updated the research note we mentioned before and </w:t>
      </w:r>
      <w:r w:rsidR="008D117F">
        <w:rPr>
          <w:szCs w:val="22"/>
          <w:lang w:val="en-GB" w:eastAsia="tr-TR"/>
        </w:rPr>
        <w:t xml:space="preserve">will </w:t>
      </w:r>
      <w:r w:rsidR="002F0CCD">
        <w:rPr>
          <w:szCs w:val="22"/>
          <w:lang w:val="en-GB" w:eastAsia="tr-TR"/>
        </w:rPr>
        <w:t xml:space="preserve">share the results </w:t>
      </w:r>
      <w:r w:rsidR="00015F5D">
        <w:rPr>
          <w:szCs w:val="22"/>
          <w:lang w:val="en-GB" w:eastAsia="tr-TR"/>
        </w:rPr>
        <w:t>with our readers with a series of three research notes.</w:t>
      </w:r>
    </w:p>
    <w:p w:rsidR="009F284D" w:rsidRDefault="009F284D" w:rsidP="002F0CCD">
      <w:pPr>
        <w:tabs>
          <w:tab w:val="left" w:pos="1575"/>
        </w:tabs>
        <w:rPr>
          <w:bCs/>
          <w:szCs w:val="20"/>
          <w:lang w:val="en-GB"/>
        </w:rPr>
      </w:pPr>
      <w:r>
        <w:rPr>
          <w:bCs/>
          <w:szCs w:val="20"/>
          <w:lang w:val="en-GB"/>
        </w:rPr>
        <w:t xml:space="preserve">The contribution of this research note is </w:t>
      </w:r>
      <w:r w:rsidR="00A83847">
        <w:rPr>
          <w:bCs/>
          <w:szCs w:val="20"/>
          <w:lang w:val="en-GB"/>
        </w:rPr>
        <w:t xml:space="preserve">to examine the </w:t>
      </w:r>
      <w:r>
        <w:rPr>
          <w:bCs/>
          <w:szCs w:val="20"/>
          <w:lang w:val="en-GB"/>
        </w:rPr>
        <w:t>effect of the minimum wage increase on informal employment over time on the basis of employment status (</w:t>
      </w:r>
      <w:r w:rsidR="001A36CE">
        <w:rPr>
          <w:bCs/>
          <w:szCs w:val="20"/>
          <w:lang w:val="en-GB"/>
        </w:rPr>
        <w:t>wage earners</w:t>
      </w:r>
      <w:r>
        <w:rPr>
          <w:bCs/>
          <w:szCs w:val="20"/>
          <w:lang w:val="en-GB"/>
        </w:rPr>
        <w:t>, employers, own account workers and unpaid family workers).</w:t>
      </w:r>
      <w:r w:rsidR="002C66AD">
        <w:rPr>
          <w:bCs/>
          <w:szCs w:val="20"/>
          <w:lang w:val="en-GB"/>
        </w:rPr>
        <w:t xml:space="preserve"> </w:t>
      </w:r>
      <w:r w:rsidR="00022081">
        <w:rPr>
          <w:bCs/>
          <w:szCs w:val="20"/>
          <w:lang w:val="en-GB"/>
        </w:rPr>
        <w:t>As far as we know</w:t>
      </w:r>
      <w:r w:rsidR="009A0FB7">
        <w:rPr>
          <w:bCs/>
          <w:szCs w:val="20"/>
          <w:lang w:val="en-GB"/>
        </w:rPr>
        <w:t xml:space="preserve">, there is no </w:t>
      </w:r>
      <w:r w:rsidR="001A36CE">
        <w:rPr>
          <w:bCs/>
          <w:szCs w:val="20"/>
          <w:lang w:val="en-GB"/>
        </w:rPr>
        <w:t xml:space="preserve">previous </w:t>
      </w:r>
      <w:r w:rsidR="009A0FB7">
        <w:rPr>
          <w:bCs/>
          <w:szCs w:val="20"/>
          <w:lang w:val="en-GB"/>
        </w:rPr>
        <w:t xml:space="preserve">work that considers </w:t>
      </w:r>
      <w:r w:rsidR="001A36CE">
        <w:rPr>
          <w:bCs/>
          <w:szCs w:val="20"/>
          <w:lang w:val="en-GB"/>
        </w:rPr>
        <w:t xml:space="preserve">the informal employment of </w:t>
      </w:r>
      <w:r w:rsidR="009A0FB7">
        <w:rPr>
          <w:bCs/>
          <w:szCs w:val="20"/>
          <w:lang w:val="en-GB"/>
        </w:rPr>
        <w:t>non-salaried workers. However, data shows that in 2016 the period of the minimum wage increase</w:t>
      </w:r>
      <w:r w:rsidR="008B5F46">
        <w:rPr>
          <w:bCs/>
          <w:szCs w:val="20"/>
          <w:lang w:val="en-GB"/>
        </w:rPr>
        <w:t xml:space="preserve">, </w:t>
      </w:r>
      <w:r w:rsidR="00022081">
        <w:rPr>
          <w:bCs/>
          <w:szCs w:val="20"/>
          <w:lang w:val="en-GB"/>
        </w:rPr>
        <w:t>employers and own account workers experienced a stronger increase in informal employment compared to salaried workers.</w:t>
      </w:r>
    </w:p>
    <w:p w:rsidR="008D59BD" w:rsidRPr="00340224" w:rsidRDefault="008D59BD" w:rsidP="002F0CCD">
      <w:pPr>
        <w:tabs>
          <w:tab w:val="left" w:pos="1575"/>
        </w:tabs>
        <w:rPr>
          <w:bCs/>
          <w:szCs w:val="20"/>
          <w:lang w:val="en-GB"/>
        </w:rPr>
      </w:pPr>
      <w:r w:rsidRPr="00340224">
        <w:rPr>
          <w:bCs/>
          <w:szCs w:val="20"/>
          <w:lang w:val="en-GB"/>
        </w:rPr>
        <w:t>In the period of 2005-2016</w:t>
      </w:r>
      <w:r w:rsidR="00123B18" w:rsidRPr="00340224">
        <w:rPr>
          <w:bCs/>
          <w:szCs w:val="20"/>
          <w:lang w:val="en-GB"/>
        </w:rPr>
        <w:t>, the informal employment rates of salaried workers showed a decreasing tendency while the lowest decrease rate was observed in the period of 2016 (0.1 percentage poi</w:t>
      </w:r>
      <w:r w:rsidR="00340224" w:rsidRPr="00340224">
        <w:rPr>
          <w:bCs/>
          <w:szCs w:val="20"/>
          <w:lang w:val="en-GB"/>
        </w:rPr>
        <w:t>nts) including the crisis period</w:t>
      </w:r>
      <w:r w:rsidR="00123B18" w:rsidRPr="00340224">
        <w:rPr>
          <w:bCs/>
          <w:szCs w:val="20"/>
          <w:lang w:val="en-GB"/>
        </w:rPr>
        <w:t xml:space="preserve"> (Table 2). </w:t>
      </w:r>
      <w:r w:rsidR="00AA1DCE" w:rsidRPr="00340224">
        <w:rPr>
          <w:bCs/>
          <w:szCs w:val="20"/>
          <w:lang w:val="en-GB"/>
        </w:rPr>
        <w:t xml:space="preserve"> In the period of 2005-2015, the decline in informality rate is an average of 1.3 percentage point including a 0.2 percentage point decrease during the crisis period.</w:t>
      </w:r>
      <w:r w:rsidR="0008548D" w:rsidRPr="00340224">
        <w:rPr>
          <w:bCs/>
          <w:szCs w:val="20"/>
          <w:lang w:val="en-GB"/>
        </w:rPr>
        <w:t xml:space="preserve"> In 2016, </w:t>
      </w:r>
      <w:r w:rsidR="00340224" w:rsidRPr="00340224">
        <w:rPr>
          <w:bCs/>
          <w:szCs w:val="20"/>
          <w:lang w:val="en-GB"/>
        </w:rPr>
        <w:t xml:space="preserve">a limited reduction of </w:t>
      </w:r>
      <w:r w:rsidR="0008548D" w:rsidRPr="00340224">
        <w:rPr>
          <w:bCs/>
          <w:szCs w:val="20"/>
          <w:lang w:val="en-GB"/>
        </w:rPr>
        <w:t>0.1 percentage point</w:t>
      </w:r>
      <w:r w:rsidR="00340224" w:rsidRPr="00340224">
        <w:rPr>
          <w:bCs/>
          <w:szCs w:val="20"/>
          <w:lang w:val="en-GB"/>
        </w:rPr>
        <w:t>s</w:t>
      </w:r>
      <w:r w:rsidR="0008548D" w:rsidRPr="00340224">
        <w:rPr>
          <w:bCs/>
          <w:szCs w:val="20"/>
          <w:lang w:val="en-GB"/>
        </w:rPr>
        <w:t xml:space="preserve"> is a clear indication of the existence of an informality </w:t>
      </w:r>
      <w:r w:rsidR="00340224" w:rsidRPr="00340224">
        <w:rPr>
          <w:bCs/>
          <w:szCs w:val="20"/>
          <w:lang w:val="en-GB"/>
        </w:rPr>
        <w:t>increasing</w:t>
      </w:r>
      <w:r w:rsidR="0008548D" w:rsidRPr="00340224">
        <w:rPr>
          <w:bCs/>
          <w:szCs w:val="20"/>
          <w:lang w:val="en-GB"/>
        </w:rPr>
        <w:t xml:space="preserve"> effect.  </w:t>
      </w:r>
    </w:p>
    <w:p w:rsidR="0008548D" w:rsidRDefault="0008548D" w:rsidP="00537EA2">
      <w:pPr>
        <w:rPr>
          <w:szCs w:val="22"/>
          <w:lang w:val="en-GB" w:eastAsia="tr-TR"/>
        </w:rPr>
      </w:pPr>
      <w:r w:rsidRPr="00340224">
        <w:rPr>
          <w:szCs w:val="22"/>
          <w:lang w:val="en-GB" w:eastAsia="tr-TR"/>
        </w:rPr>
        <w:lastRenderedPageBreak/>
        <w:t xml:space="preserve">On the other hand, informal employment which shows a steady declining trend after 2008 for employers and own account workers, increased </w:t>
      </w:r>
      <w:r w:rsidR="003452B9">
        <w:rPr>
          <w:szCs w:val="22"/>
          <w:lang w:val="en-GB" w:eastAsia="tr-TR"/>
        </w:rPr>
        <w:t xml:space="preserve">only </w:t>
      </w:r>
      <w:r w:rsidRPr="00340224">
        <w:rPr>
          <w:szCs w:val="22"/>
          <w:lang w:val="en-GB" w:eastAsia="tr-TR"/>
        </w:rPr>
        <w:t xml:space="preserve">in 2016.  </w:t>
      </w:r>
      <w:r w:rsidR="00886523">
        <w:rPr>
          <w:szCs w:val="22"/>
          <w:lang w:val="en-GB" w:eastAsia="tr-TR"/>
        </w:rPr>
        <w:t>While the</w:t>
      </w:r>
      <w:r w:rsidR="00A6039B" w:rsidRPr="00340224">
        <w:rPr>
          <w:szCs w:val="22"/>
          <w:lang w:val="en-GB" w:eastAsia="tr-TR"/>
        </w:rPr>
        <w:t xml:space="preserve"> effect of minimum wage increase on informality continue throughout the year for employers and own account </w:t>
      </w:r>
      <w:r w:rsidR="006F292A" w:rsidRPr="00340224">
        <w:rPr>
          <w:szCs w:val="22"/>
          <w:lang w:val="en-GB" w:eastAsia="tr-TR"/>
        </w:rPr>
        <w:t>workers</w:t>
      </w:r>
      <w:r w:rsidR="006F292A">
        <w:rPr>
          <w:szCs w:val="22"/>
          <w:lang w:val="en-GB" w:eastAsia="tr-TR"/>
        </w:rPr>
        <w:t xml:space="preserve">, </w:t>
      </w:r>
      <w:r w:rsidR="006F292A" w:rsidRPr="00340224">
        <w:rPr>
          <w:szCs w:val="22"/>
          <w:lang w:val="en-GB" w:eastAsia="tr-TR"/>
        </w:rPr>
        <w:t>it</w:t>
      </w:r>
      <w:r w:rsidR="00886523">
        <w:rPr>
          <w:szCs w:val="22"/>
          <w:lang w:val="en-GB" w:eastAsia="tr-TR"/>
        </w:rPr>
        <w:t xml:space="preserve"> </w:t>
      </w:r>
      <w:r w:rsidR="00A6039B" w:rsidRPr="00340224">
        <w:rPr>
          <w:szCs w:val="22"/>
          <w:lang w:val="en-GB" w:eastAsia="tr-TR"/>
        </w:rPr>
        <w:t>damp</w:t>
      </w:r>
      <w:r w:rsidR="00886523">
        <w:rPr>
          <w:szCs w:val="22"/>
          <w:lang w:val="en-GB" w:eastAsia="tr-TR"/>
        </w:rPr>
        <w:t>ens</w:t>
      </w:r>
      <w:r w:rsidR="00A6039B" w:rsidRPr="00340224">
        <w:rPr>
          <w:szCs w:val="22"/>
          <w:lang w:val="en-GB" w:eastAsia="tr-TR"/>
        </w:rPr>
        <w:t xml:space="preserve"> toward the end of the year</w:t>
      </w:r>
      <w:r w:rsidR="00886523">
        <w:rPr>
          <w:szCs w:val="22"/>
          <w:lang w:val="en-GB" w:eastAsia="tr-TR"/>
        </w:rPr>
        <w:t xml:space="preserve"> for wage earners</w:t>
      </w:r>
      <w:r w:rsidR="00A6039B" w:rsidRPr="00340224">
        <w:rPr>
          <w:szCs w:val="22"/>
          <w:lang w:val="en-GB" w:eastAsia="tr-TR"/>
        </w:rPr>
        <w:t xml:space="preserve">. We would like to </w:t>
      </w:r>
      <w:r w:rsidR="00AD526E">
        <w:rPr>
          <w:szCs w:val="22"/>
          <w:lang w:val="en-GB" w:eastAsia="tr-TR"/>
        </w:rPr>
        <w:t xml:space="preserve">remind </w:t>
      </w:r>
      <w:r w:rsidR="00A6039B" w:rsidRPr="00340224">
        <w:rPr>
          <w:szCs w:val="22"/>
          <w:lang w:val="en-GB" w:eastAsia="tr-TR"/>
        </w:rPr>
        <w:t xml:space="preserve">that increase in informality observed in non-salaried workers </w:t>
      </w:r>
      <w:r w:rsidR="00AD526E">
        <w:rPr>
          <w:szCs w:val="22"/>
          <w:lang w:val="en-GB" w:eastAsia="tr-TR"/>
        </w:rPr>
        <w:t xml:space="preserve">is driven by </w:t>
      </w:r>
      <w:r w:rsidR="00A6039B" w:rsidRPr="00340224">
        <w:rPr>
          <w:szCs w:val="22"/>
          <w:lang w:val="en-GB" w:eastAsia="tr-TR"/>
        </w:rPr>
        <w:t>non-agricultural sectors.</w:t>
      </w:r>
    </w:p>
    <w:p w:rsidR="003224FE" w:rsidRPr="009D7B6F" w:rsidRDefault="00E00ABC" w:rsidP="00F65750">
      <w:pPr>
        <w:pStyle w:val="Heading2"/>
        <w:rPr>
          <w:rFonts w:eastAsiaTheme="minorHAnsi"/>
          <w:lang w:eastAsia="en-US"/>
        </w:rPr>
      </w:pPr>
      <w:r>
        <w:rPr>
          <w:rFonts w:eastAsiaTheme="minorHAnsi"/>
          <w:lang w:eastAsia="en-US"/>
        </w:rPr>
        <w:t>Employ</w:t>
      </w:r>
      <w:r w:rsidR="00170848">
        <w:rPr>
          <w:rFonts w:eastAsiaTheme="minorHAnsi"/>
          <w:lang w:eastAsia="en-US"/>
        </w:rPr>
        <w:t xml:space="preserve">ment and informality by </w:t>
      </w:r>
      <w:r>
        <w:rPr>
          <w:rFonts w:eastAsiaTheme="minorHAnsi"/>
          <w:lang w:eastAsia="en-US"/>
        </w:rPr>
        <w:t xml:space="preserve">employment status </w:t>
      </w:r>
    </w:p>
    <w:p w:rsidR="0026756B" w:rsidRDefault="00072CA4" w:rsidP="00D244C6">
      <w:pPr>
        <w:rPr>
          <w:szCs w:val="22"/>
          <w:lang w:val="en-GB" w:eastAsia="tr-TR"/>
        </w:rPr>
      </w:pPr>
      <w:r>
        <w:rPr>
          <w:szCs w:val="22"/>
          <w:lang w:val="en-GB" w:eastAsia="tr-TR"/>
        </w:rPr>
        <w:t xml:space="preserve">Studies examining </w:t>
      </w:r>
      <w:r w:rsidR="004F3B35">
        <w:rPr>
          <w:szCs w:val="22"/>
          <w:lang w:val="en-GB" w:eastAsia="tr-TR"/>
        </w:rPr>
        <w:t>informal employment</w:t>
      </w:r>
      <w:r>
        <w:rPr>
          <w:szCs w:val="22"/>
          <w:lang w:val="en-GB" w:eastAsia="tr-TR"/>
        </w:rPr>
        <w:t xml:space="preserve"> focus usually on wage earners. They </w:t>
      </w:r>
      <w:r w:rsidR="004F3B35">
        <w:rPr>
          <w:szCs w:val="22"/>
          <w:lang w:val="en-GB" w:eastAsia="tr-TR"/>
        </w:rPr>
        <w:t xml:space="preserve">count for 60 percent </w:t>
      </w:r>
      <w:r>
        <w:rPr>
          <w:szCs w:val="22"/>
          <w:lang w:val="en-GB" w:eastAsia="tr-TR"/>
        </w:rPr>
        <w:t>or</w:t>
      </w:r>
      <w:r w:rsidR="004F3B35">
        <w:rPr>
          <w:szCs w:val="22"/>
          <w:lang w:val="en-GB" w:eastAsia="tr-TR"/>
        </w:rPr>
        <w:t xml:space="preserve"> more of total empl</w:t>
      </w:r>
      <w:r>
        <w:rPr>
          <w:szCs w:val="22"/>
          <w:lang w:val="en-GB" w:eastAsia="tr-TR"/>
        </w:rPr>
        <w:t xml:space="preserve">oyment in the </w:t>
      </w:r>
      <w:r w:rsidR="004F3B35">
        <w:rPr>
          <w:szCs w:val="22"/>
          <w:lang w:val="en-GB" w:eastAsia="tr-TR"/>
        </w:rPr>
        <w:t>2005-2016</w:t>
      </w:r>
      <w:r>
        <w:rPr>
          <w:szCs w:val="22"/>
          <w:lang w:val="en-GB" w:eastAsia="tr-TR"/>
        </w:rPr>
        <w:t xml:space="preserve"> period</w:t>
      </w:r>
      <w:r w:rsidR="004F3B35">
        <w:rPr>
          <w:szCs w:val="22"/>
          <w:lang w:val="en-GB" w:eastAsia="tr-TR"/>
        </w:rPr>
        <w:t xml:space="preserve">.  </w:t>
      </w:r>
      <w:r w:rsidR="00F42A05">
        <w:rPr>
          <w:szCs w:val="22"/>
          <w:lang w:val="en-GB" w:eastAsia="tr-TR"/>
        </w:rPr>
        <w:t>Also, t</w:t>
      </w:r>
      <w:r w:rsidR="004F3B35">
        <w:rPr>
          <w:szCs w:val="22"/>
          <w:lang w:val="en-GB" w:eastAsia="tr-TR"/>
        </w:rPr>
        <w:t xml:space="preserve">he share of salaried workers in </w:t>
      </w:r>
      <w:r w:rsidR="00F42A05">
        <w:rPr>
          <w:szCs w:val="22"/>
          <w:lang w:val="en-GB" w:eastAsia="tr-TR"/>
        </w:rPr>
        <w:t xml:space="preserve">total </w:t>
      </w:r>
      <w:r w:rsidR="004F3B35">
        <w:rPr>
          <w:szCs w:val="22"/>
          <w:lang w:val="en-GB" w:eastAsia="tr-TR"/>
        </w:rPr>
        <w:t xml:space="preserve">employment increased steadily during this period (except </w:t>
      </w:r>
      <w:r w:rsidR="00F42A05">
        <w:rPr>
          <w:szCs w:val="22"/>
          <w:lang w:val="en-GB" w:eastAsia="tr-TR"/>
        </w:rPr>
        <w:t>the</w:t>
      </w:r>
      <w:r w:rsidR="004F3B35">
        <w:rPr>
          <w:szCs w:val="22"/>
          <w:lang w:val="en-GB" w:eastAsia="tr-TR"/>
        </w:rPr>
        <w:t xml:space="preserve"> crisis </w:t>
      </w:r>
      <w:r w:rsidR="00F42A05">
        <w:rPr>
          <w:szCs w:val="22"/>
          <w:lang w:val="en-GB" w:eastAsia="tr-TR"/>
        </w:rPr>
        <w:t>year of 2009</w:t>
      </w:r>
      <w:r w:rsidR="004F3B35">
        <w:rPr>
          <w:szCs w:val="22"/>
          <w:lang w:val="en-GB" w:eastAsia="tr-TR"/>
        </w:rPr>
        <w:t xml:space="preserve">). </w:t>
      </w:r>
      <w:r w:rsidR="004B2C93">
        <w:rPr>
          <w:szCs w:val="22"/>
          <w:lang w:val="en-GB" w:eastAsia="tr-TR"/>
        </w:rPr>
        <w:t xml:space="preserve">Own account workers have the second </w:t>
      </w:r>
      <w:r w:rsidR="004F3B35">
        <w:rPr>
          <w:szCs w:val="22"/>
          <w:lang w:val="en-GB" w:eastAsia="tr-TR"/>
        </w:rPr>
        <w:t xml:space="preserve">highest share </w:t>
      </w:r>
      <w:r w:rsidR="004B2C93">
        <w:rPr>
          <w:szCs w:val="22"/>
          <w:lang w:val="en-GB" w:eastAsia="tr-TR"/>
        </w:rPr>
        <w:t>in</w:t>
      </w:r>
      <w:r w:rsidR="004F3B35">
        <w:rPr>
          <w:szCs w:val="22"/>
          <w:lang w:val="en-GB" w:eastAsia="tr-TR"/>
        </w:rPr>
        <w:t xml:space="preserve"> total employment after salaried workers (19.7 percent</w:t>
      </w:r>
      <w:r w:rsidR="004B2C93">
        <w:rPr>
          <w:szCs w:val="22"/>
          <w:lang w:val="en-GB" w:eastAsia="tr-TR"/>
        </w:rPr>
        <w:t>, on average</w:t>
      </w:r>
      <w:r w:rsidR="004F3B35">
        <w:rPr>
          <w:szCs w:val="22"/>
          <w:lang w:val="en-GB" w:eastAsia="tr-TR"/>
        </w:rPr>
        <w:t xml:space="preserve">). </w:t>
      </w:r>
      <w:r w:rsidR="00C9143E">
        <w:rPr>
          <w:szCs w:val="22"/>
          <w:lang w:val="en-GB" w:eastAsia="tr-TR"/>
        </w:rPr>
        <w:t>This group is followed by unpaid family workers whose average share in total employment is 12.9 percent. Finally, the employers have the least sha</w:t>
      </w:r>
      <w:r w:rsidR="004054C1">
        <w:rPr>
          <w:szCs w:val="22"/>
          <w:lang w:val="en-GB" w:eastAsia="tr-TR"/>
        </w:rPr>
        <w:t>re in total employment (</w:t>
      </w:r>
      <w:r w:rsidR="00C9143E">
        <w:rPr>
          <w:szCs w:val="22"/>
          <w:lang w:val="en-GB" w:eastAsia="tr-TR"/>
        </w:rPr>
        <w:t>5.2 percent</w:t>
      </w:r>
      <w:r w:rsidR="004054C1">
        <w:rPr>
          <w:szCs w:val="22"/>
          <w:lang w:val="en-GB" w:eastAsia="tr-TR"/>
        </w:rPr>
        <w:t xml:space="preserve"> on average</w:t>
      </w:r>
      <w:r w:rsidR="00C9143E">
        <w:rPr>
          <w:szCs w:val="22"/>
          <w:lang w:val="en-GB" w:eastAsia="tr-TR"/>
        </w:rPr>
        <w:t xml:space="preserve">). </w:t>
      </w:r>
    </w:p>
    <w:p w:rsidR="00A25A6F" w:rsidRPr="009D7B6F" w:rsidRDefault="00A25A6F" w:rsidP="00D244C6">
      <w:pPr>
        <w:rPr>
          <w:b/>
          <w:szCs w:val="22"/>
          <w:lang w:val="en-GB"/>
        </w:rPr>
      </w:pPr>
      <w:r w:rsidRPr="009D7B6F">
        <w:rPr>
          <w:b/>
          <w:szCs w:val="22"/>
          <w:lang w:val="en-GB"/>
        </w:rPr>
        <w:t>Tabl</w:t>
      </w:r>
      <w:r w:rsidR="00C9143E">
        <w:rPr>
          <w:b/>
          <w:szCs w:val="22"/>
          <w:lang w:val="en-GB"/>
        </w:rPr>
        <w:t>e</w:t>
      </w:r>
      <w:r w:rsidR="00F53C0D">
        <w:rPr>
          <w:b/>
          <w:szCs w:val="22"/>
          <w:lang w:val="en-GB"/>
        </w:rPr>
        <w:t xml:space="preserve"> </w:t>
      </w:r>
      <w:r w:rsidR="001A19C9" w:rsidRPr="009D7B6F">
        <w:rPr>
          <w:b/>
          <w:szCs w:val="22"/>
          <w:lang w:val="en-GB"/>
        </w:rPr>
        <w:fldChar w:fldCharType="begin"/>
      </w:r>
      <w:r w:rsidR="003804AF" w:rsidRPr="009D7B6F">
        <w:rPr>
          <w:b/>
          <w:szCs w:val="22"/>
          <w:lang w:val="en-GB"/>
        </w:rPr>
        <w:instrText xml:space="preserve"> SEQ Tablo \* ARABIC </w:instrText>
      </w:r>
      <w:r w:rsidR="001A19C9" w:rsidRPr="009D7B6F">
        <w:rPr>
          <w:b/>
          <w:szCs w:val="22"/>
          <w:lang w:val="en-GB"/>
        </w:rPr>
        <w:fldChar w:fldCharType="separate"/>
      </w:r>
      <w:r w:rsidR="007C0B56" w:rsidRPr="009D7B6F">
        <w:rPr>
          <w:b/>
          <w:szCs w:val="22"/>
          <w:lang w:val="en-GB"/>
        </w:rPr>
        <w:t>1</w:t>
      </w:r>
      <w:r w:rsidR="001A19C9" w:rsidRPr="009D7B6F">
        <w:rPr>
          <w:b/>
          <w:szCs w:val="22"/>
          <w:lang w:val="en-GB"/>
        </w:rPr>
        <w:fldChar w:fldCharType="end"/>
      </w:r>
      <w:r w:rsidR="001B3B71">
        <w:rPr>
          <w:b/>
          <w:szCs w:val="22"/>
          <w:lang w:val="en-GB"/>
        </w:rPr>
        <w:t>:</w:t>
      </w:r>
      <w:r w:rsidR="00F53C0D">
        <w:rPr>
          <w:b/>
          <w:szCs w:val="22"/>
          <w:lang w:val="en-GB"/>
        </w:rPr>
        <w:t xml:space="preserve"> </w:t>
      </w:r>
      <w:r w:rsidR="00C9143E">
        <w:rPr>
          <w:b/>
          <w:szCs w:val="22"/>
          <w:lang w:val="en-GB"/>
        </w:rPr>
        <w:t>The share of employees in total employment by employment status</w:t>
      </w:r>
    </w:p>
    <w:tbl>
      <w:tblPr>
        <w:tblW w:w="9153" w:type="dxa"/>
        <w:tblCellMar>
          <w:left w:w="70" w:type="dxa"/>
          <w:right w:w="70" w:type="dxa"/>
        </w:tblCellMar>
        <w:tblLook w:val="04A0" w:firstRow="1" w:lastRow="0" w:firstColumn="1" w:lastColumn="0" w:noHBand="0" w:noVBand="1"/>
      </w:tblPr>
      <w:tblGrid>
        <w:gridCol w:w="1139"/>
        <w:gridCol w:w="1423"/>
        <w:gridCol w:w="1398"/>
        <w:gridCol w:w="1644"/>
        <w:gridCol w:w="1457"/>
        <w:gridCol w:w="2092"/>
      </w:tblGrid>
      <w:tr w:rsidR="00A25A6F" w:rsidRPr="00087303" w:rsidTr="0015789C">
        <w:trPr>
          <w:trHeight w:hRule="exact" w:val="66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F" w:rsidRPr="00087303" w:rsidRDefault="00B56D4F" w:rsidP="009B1A58">
            <w:pPr>
              <w:suppressAutoHyphens w:val="0"/>
              <w:jc w:val="center"/>
              <w:rPr>
                <w:color w:val="000000"/>
                <w:sz w:val="20"/>
                <w:szCs w:val="20"/>
                <w:lang w:val="en-GB" w:eastAsia="tr-TR"/>
              </w:rPr>
            </w:pPr>
            <w:r w:rsidRPr="00087303">
              <w:rPr>
                <w:color w:val="000000"/>
                <w:sz w:val="20"/>
                <w:szCs w:val="20"/>
                <w:lang w:val="en-GB" w:eastAsia="tr-TR"/>
              </w:rPr>
              <w:t>Years</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F" w:rsidRPr="00087303" w:rsidRDefault="00A25A6F" w:rsidP="009B1A58">
            <w:pPr>
              <w:suppressAutoHyphens w:val="0"/>
              <w:jc w:val="center"/>
              <w:rPr>
                <w:color w:val="000000"/>
                <w:sz w:val="20"/>
                <w:szCs w:val="20"/>
                <w:lang w:val="en-GB" w:eastAsia="tr-TR"/>
              </w:rPr>
            </w:pPr>
            <w:r w:rsidRPr="00087303">
              <w:rPr>
                <w:color w:val="000000"/>
                <w:sz w:val="20"/>
                <w:szCs w:val="20"/>
                <w:lang w:val="en-GB" w:eastAsia="tr-TR"/>
              </w:rPr>
              <w:t>To</w:t>
            </w:r>
            <w:r w:rsidR="00B56D4F" w:rsidRPr="00087303">
              <w:rPr>
                <w:color w:val="000000"/>
                <w:sz w:val="20"/>
                <w:szCs w:val="20"/>
                <w:lang w:val="en-GB" w:eastAsia="tr-TR"/>
              </w:rPr>
              <w:t>tal</w:t>
            </w:r>
            <w:r w:rsidRPr="00087303">
              <w:rPr>
                <w:color w:val="000000"/>
                <w:sz w:val="20"/>
                <w:szCs w:val="20"/>
                <w:lang w:val="en-GB" w:eastAsia="tr-TR"/>
              </w:rPr>
              <w:t xml:space="preserve"> (</w:t>
            </w:r>
            <w:r w:rsidR="00B56D4F" w:rsidRPr="00087303">
              <w:rPr>
                <w:color w:val="000000"/>
                <w:sz w:val="20"/>
                <w:szCs w:val="20"/>
                <w:lang w:val="en-GB" w:eastAsia="tr-TR"/>
              </w:rPr>
              <w:t>thousand</w:t>
            </w:r>
            <w:r w:rsidRPr="00087303">
              <w:rPr>
                <w:color w:val="000000"/>
                <w:sz w:val="20"/>
                <w:szCs w:val="20"/>
                <w:lang w:val="en-GB" w:eastAsia="tr-TR"/>
              </w:rPr>
              <w:t>)</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F" w:rsidRPr="00087303" w:rsidRDefault="00B56D4F" w:rsidP="009B1A58">
            <w:pPr>
              <w:suppressAutoHyphens w:val="0"/>
              <w:jc w:val="center"/>
              <w:rPr>
                <w:color w:val="000000"/>
                <w:sz w:val="20"/>
                <w:szCs w:val="20"/>
                <w:lang w:val="en-GB" w:eastAsia="tr-TR"/>
              </w:rPr>
            </w:pPr>
            <w:r w:rsidRPr="00087303">
              <w:rPr>
                <w:color w:val="000000"/>
                <w:sz w:val="20"/>
                <w:szCs w:val="20"/>
                <w:lang w:val="en-GB" w:eastAsia="tr-TR"/>
              </w:rPr>
              <w:t>Wage earners (</w:t>
            </w:r>
            <w:r w:rsidR="00A25A6F" w:rsidRPr="00087303">
              <w:rPr>
                <w:color w:val="000000"/>
                <w:sz w:val="20"/>
                <w:szCs w:val="20"/>
                <w:lang w:val="en-GB" w:eastAsia="tr-TR"/>
              </w:rPr>
              <w:t>%)</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F" w:rsidRPr="00087303" w:rsidRDefault="00B56D4F" w:rsidP="009B1A58">
            <w:pPr>
              <w:suppressAutoHyphens w:val="0"/>
              <w:jc w:val="center"/>
              <w:rPr>
                <w:color w:val="000000"/>
                <w:sz w:val="20"/>
                <w:szCs w:val="20"/>
                <w:lang w:val="en-GB" w:eastAsia="tr-TR"/>
              </w:rPr>
            </w:pPr>
            <w:r w:rsidRPr="00087303">
              <w:rPr>
                <w:color w:val="000000"/>
                <w:sz w:val="20"/>
                <w:szCs w:val="20"/>
                <w:lang w:val="en-GB" w:eastAsia="tr-TR"/>
              </w:rPr>
              <w:t>Employers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F" w:rsidRPr="00087303" w:rsidRDefault="00B56D4F" w:rsidP="009B1A58">
            <w:pPr>
              <w:suppressAutoHyphens w:val="0"/>
              <w:jc w:val="center"/>
              <w:rPr>
                <w:color w:val="000000"/>
                <w:sz w:val="20"/>
                <w:szCs w:val="20"/>
                <w:lang w:val="en-GB" w:eastAsia="tr-TR"/>
              </w:rPr>
            </w:pPr>
            <w:r w:rsidRPr="00087303">
              <w:rPr>
                <w:color w:val="000000"/>
                <w:sz w:val="20"/>
                <w:szCs w:val="20"/>
                <w:lang w:val="en-GB" w:eastAsia="tr-TR"/>
              </w:rPr>
              <w:t>Own account workers</w:t>
            </w:r>
            <w:r w:rsidR="00A25A6F" w:rsidRPr="00087303">
              <w:rPr>
                <w:color w:val="000000"/>
                <w:sz w:val="20"/>
                <w:szCs w:val="20"/>
                <w:lang w:val="en-GB" w:eastAsia="tr-TR"/>
              </w:rPr>
              <w:t xml:space="preserve"> (%)</w:t>
            </w:r>
          </w:p>
        </w:tc>
        <w:tc>
          <w:tcPr>
            <w:tcW w:w="20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6F" w:rsidRPr="00087303" w:rsidRDefault="00B56D4F" w:rsidP="009B1A58">
            <w:pPr>
              <w:suppressAutoHyphens w:val="0"/>
              <w:jc w:val="center"/>
              <w:rPr>
                <w:color w:val="000000"/>
                <w:sz w:val="20"/>
                <w:szCs w:val="20"/>
                <w:lang w:val="en-GB" w:eastAsia="tr-TR"/>
              </w:rPr>
            </w:pPr>
            <w:r w:rsidRPr="00087303">
              <w:rPr>
                <w:color w:val="000000"/>
                <w:sz w:val="20"/>
                <w:szCs w:val="20"/>
                <w:lang w:val="en-GB" w:eastAsia="tr-TR"/>
              </w:rPr>
              <w:t>Unpaid family worker</w:t>
            </w:r>
            <w:r w:rsidR="00A25A6F" w:rsidRPr="00087303">
              <w:rPr>
                <w:color w:val="000000"/>
                <w:sz w:val="20"/>
                <w:szCs w:val="20"/>
                <w:lang w:val="en-GB" w:eastAsia="tr-TR"/>
              </w:rPr>
              <w:t xml:space="preserve"> (%)</w:t>
            </w:r>
          </w:p>
        </w:tc>
      </w:tr>
      <w:tr w:rsidR="0015789C" w:rsidRPr="00087303" w:rsidTr="00BA42AD">
        <w:trPr>
          <w:trHeight w:hRule="exact" w:val="301"/>
        </w:trPr>
        <w:tc>
          <w:tcPr>
            <w:tcW w:w="1139" w:type="dxa"/>
            <w:tcBorders>
              <w:top w:val="single" w:sz="4" w:space="0" w:color="auto"/>
              <w:left w:val="single" w:sz="4" w:space="0" w:color="auto"/>
              <w:bottom w:val="nil"/>
              <w:right w:val="single" w:sz="4" w:space="0" w:color="auto"/>
            </w:tcBorders>
            <w:shd w:val="clear" w:color="auto" w:fill="auto"/>
            <w:noWrap/>
            <w:vAlign w:val="center"/>
            <w:hideMark/>
          </w:tcPr>
          <w:p w:rsidR="0015789C" w:rsidRPr="00087303" w:rsidRDefault="0015789C" w:rsidP="0015789C">
            <w:pPr>
              <w:suppressAutoHyphens w:val="0"/>
              <w:jc w:val="center"/>
              <w:rPr>
                <w:b/>
                <w:bCs/>
                <w:color w:val="000000"/>
                <w:sz w:val="20"/>
                <w:szCs w:val="20"/>
                <w:lang w:val="en-GB" w:eastAsia="tr-TR"/>
              </w:rPr>
            </w:pPr>
            <w:r w:rsidRPr="00087303">
              <w:rPr>
                <w:b/>
                <w:bCs/>
                <w:color w:val="000000"/>
                <w:sz w:val="20"/>
                <w:szCs w:val="20"/>
                <w:lang w:val="en-GB" w:eastAsia="tr-TR"/>
              </w:rPr>
              <w:t>2005</w:t>
            </w:r>
          </w:p>
        </w:tc>
        <w:tc>
          <w:tcPr>
            <w:tcW w:w="1423" w:type="dxa"/>
            <w:tcBorders>
              <w:top w:val="single" w:sz="4" w:space="0" w:color="auto"/>
              <w:left w:val="single" w:sz="4" w:space="0" w:color="auto"/>
              <w:bottom w:val="nil"/>
              <w:right w:val="single" w:sz="4" w:space="0" w:color="auto"/>
            </w:tcBorders>
            <w:shd w:val="clear" w:color="auto" w:fill="auto"/>
            <w:noWrap/>
            <w:vAlign w:val="center"/>
            <w:hideMark/>
          </w:tcPr>
          <w:p w:rsidR="0015789C" w:rsidRPr="00087303" w:rsidRDefault="0015789C" w:rsidP="0015789C">
            <w:pPr>
              <w:suppressAutoHyphens w:val="0"/>
              <w:jc w:val="center"/>
              <w:rPr>
                <w:sz w:val="20"/>
                <w:szCs w:val="20"/>
                <w:lang w:val="en-GB" w:eastAsia="tr-TR"/>
              </w:rPr>
            </w:pPr>
            <w:r w:rsidRPr="00087303">
              <w:rPr>
                <w:sz w:val="20"/>
                <w:szCs w:val="20"/>
                <w:lang w:val="en-GB" w:eastAsia="tr-TR"/>
              </w:rPr>
              <w:t>20 066</w:t>
            </w:r>
          </w:p>
        </w:tc>
        <w:tc>
          <w:tcPr>
            <w:tcW w:w="1398" w:type="dxa"/>
            <w:tcBorders>
              <w:top w:val="single" w:sz="4" w:space="0" w:color="auto"/>
              <w:left w:val="single" w:sz="4" w:space="0" w:color="auto"/>
              <w:bottom w:val="nil"/>
              <w:right w:val="single" w:sz="4" w:space="0" w:color="auto"/>
            </w:tcBorders>
            <w:shd w:val="clear" w:color="auto" w:fill="auto"/>
            <w:noWrap/>
            <w:vAlign w:val="bottom"/>
            <w:hideMark/>
          </w:tcPr>
          <w:p w:rsidR="0015789C" w:rsidRPr="00087303" w:rsidRDefault="0015789C" w:rsidP="0015789C">
            <w:pPr>
              <w:suppressAutoHyphens w:val="0"/>
              <w:jc w:val="center"/>
              <w:rPr>
                <w:color w:val="000000"/>
                <w:sz w:val="20"/>
                <w:szCs w:val="20"/>
                <w:lang w:val="en-GB" w:eastAsia="tr-TR"/>
              </w:rPr>
            </w:pPr>
            <w:r w:rsidRPr="00087303">
              <w:rPr>
                <w:color w:val="000000"/>
                <w:sz w:val="20"/>
                <w:szCs w:val="20"/>
              </w:rPr>
              <w:t>57.0</w:t>
            </w:r>
          </w:p>
        </w:tc>
        <w:tc>
          <w:tcPr>
            <w:tcW w:w="1644" w:type="dxa"/>
            <w:tcBorders>
              <w:top w:val="single" w:sz="4" w:space="0" w:color="auto"/>
              <w:left w:val="single" w:sz="4" w:space="0" w:color="auto"/>
              <w:bottom w:val="nil"/>
              <w:right w:val="single" w:sz="4" w:space="0" w:color="auto"/>
            </w:tcBorders>
            <w:shd w:val="clear" w:color="auto" w:fill="auto"/>
            <w:noWrap/>
            <w:vAlign w:val="bottom"/>
            <w:hideMark/>
          </w:tcPr>
          <w:p w:rsidR="0015789C" w:rsidRPr="00087303" w:rsidRDefault="0015789C" w:rsidP="0015789C">
            <w:pPr>
              <w:suppressAutoHyphens w:val="0"/>
              <w:jc w:val="center"/>
              <w:rPr>
                <w:color w:val="000000"/>
                <w:sz w:val="20"/>
                <w:szCs w:val="20"/>
                <w:lang w:val="en-GB" w:eastAsia="tr-TR"/>
              </w:rPr>
            </w:pPr>
            <w:r w:rsidRPr="00087303">
              <w:rPr>
                <w:color w:val="000000"/>
                <w:sz w:val="20"/>
                <w:szCs w:val="20"/>
              </w:rPr>
              <w:t>5.5</w:t>
            </w:r>
          </w:p>
        </w:tc>
        <w:tc>
          <w:tcPr>
            <w:tcW w:w="1457" w:type="dxa"/>
            <w:tcBorders>
              <w:top w:val="single" w:sz="4" w:space="0" w:color="auto"/>
              <w:left w:val="single" w:sz="4" w:space="0" w:color="auto"/>
              <w:bottom w:val="nil"/>
              <w:right w:val="single" w:sz="4" w:space="0" w:color="auto"/>
            </w:tcBorders>
            <w:shd w:val="clear" w:color="auto" w:fill="auto"/>
            <w:noWrap/>
            <w:vAlign w:val="bottom"/>
            <w:hideMark/>
          </w:tcPr>
          <w:p w:rsidR="0015789C" w:rsidRPr="00087303" w:rsidRDefault="0015789C" w:rsidP="0015789C">
            <w:pPr>
              <w:suppressAutoHyphens w:val="0"/>
              <w:jc w:val="center"/>
              <w:rPr>
                <w:color w:val="000000"/>
                <w:sz w:val="20"/>
                <w:szCs w:val="20"/>
                <w:lang w:val="en-GB" w:eastAsia="tr-TR"/>
              </w:rPr>
            </w:pPr>
            <w:r w:rsidRPr="00087303">
              <w:rPr>
                <w:color w:val="000000"/>
                <w:sz w:val="20"/>
                <w:szCs w:val="20"/>
              </w:rPr>
              <w:t>23.4</w:t>
            </w:r>
          </w:p>
        </w:tc>
        <w:tc>
          <w:tcPr>
            <w:tcW w:w="2092" w:type="dxa"/>
            <w:tcBorders>
              <w:top w:val="single" w:sz="4" w:space="0" w:color="auto"/>
              <w:left w:val="single" w:sz="4" w:space="0" w:color="auto"/>
              <w:bottom w:val="nil"/>
              <w:right w:val="single" w:sz="4" w:space="0" w:color="auto"/>
            </w:tcBorders>
            <w:shd w:val="clear" w:color="auto" w:fill="auto"/>
            <w:noWrap/>
            <w:vAlign w:val="bottom"/>
            <w:hideMark/>
          </w:tcPr>
          <w:p w:rsidR="0015789C" w:rsidRPr="00087303" w:rsidRDefault="0015789C" w:rsidP="0015789C">
            <w:pPr>
              <w:suppressAutoHyphens w:val="0"/>
              <w:jc w:val="center"/>
              <w:rPr>
                <w:color w:val="000000"/>
                <w:sz w:val="20"/>
                <w:szCs w:val="20"/>
                <w:lang w:val="en-GB" w:eastAsia="tr-TR"/>
              </w:rPr>
            </w:pPr>
            <w:r w:rsidRPr="00087303">
              <w:rPr>
                <w:color w:val="000000"/>
                <w:sz w:val="20"/>
                <w:szCs w:val="20"/>
              </w:rPr>
              <w:t>14.2</w:t>
            </w:r>
          </w:p>
        </w:tc>
      </w:tr>
      <w:tr w:rsidR="0015789C" w:rsidRPr="00087303" w:rsidTr="00BA42AD">
        <w:trPr>
          <w:trHeight w:hRule="exact" w:val="301"/>
        </w:trPr>
        <w:tc>
          <w:tcPr>
            <w:tcW w:w="1139" w:type="dxa"/>
            <w:tcBorders>
              <w:top w:val="nil"/>
              <w:left w:val="single" w:sz="4" w:space="0" w:color="auto"/>
              <w:bottom w:val="nil"/>
              <w:right w:val="single" w:sz="4" w:space="0" w:color="auto"/>
            </w:tcBorders>
            <w:shd w:val="clear" w:color="auto" w:fill="auto"/>
            <w:noWrap/>
            <w:vAlign w:val="center"/>
            <w:hideMark/>
          </w:tcPr>
          <w:p w:rsidR="0015789C" w:rsidRPr="00087303" w:rsidRDefault="0015789C" w:rsidP="0015789C">
            <w:pPr>
              <w:suppressAutoHyphens w:val="0"/>
              <w:jc w:val="center"/>
              <w:rPr>
                <w:b/>
                <w:bCs/>
                <w:color w:val="000000"/>
                <w:sz w:val="20"/>
                <w:szCs w:val="20"/>
                <w:lang w:val="en-GB" w:eastAsia="tr-TR"/>
              </w:rPr>
            </w:pPr>
            <w:r w:rsidRPr="00087303">
              <w:rPr>
                <w:b/>
                <w:bCs/>
                <w:color w:val="000000"/>
                <w:sz w:val="20"/>
                <w:szCs w:val="20"/>
                <w:lang w:val="en-GB" w:eastAsia="tr-TR"/>
              </w:rPr>
              <w:t>2006</w:t>
            </w:r>
          </w:p>
        </w:tc>
        <w:tc>
          <w:tcPr>
            <w:tcW w:w="1423" w:type="dxa"/>
            <w:tcBorders>
              <w:top w:val="nil"/>
              <w:left w:val="single" w:sz="4" w:space="0" w:color="auto"/>
              <w:bottom w:val="nil"/>
              <w:right w:val="single" w:sz="4" w:space="0" w:color="auto"/>
            </w:tcBorders>
            <w:shd w:val="clear" w:color="auto" w:fill="auto"/>
            <w:noWrap/>
            <w:vAlign w:val="center"/>
            <w:hideMark/>
          </w:tcPr>
          <w:p w:rsidR="0015789C" w:rsidRPr="00087303" w:rsidRDefault="0015789C" w:rsidP="0015789C">
            <w:pPr>
              <w:suppressAutoHyphens w:val="0"/>
              <w:jc w:val="center"/>
              <w:rPr>
                <w:sz w:val="20"/>
                <w:szCs w:val="20"/>
                <w:lang w:val="en-GB" w:eastAsia="tr-TR"/>
              </w:rPr>
            </w:pPr>
            <w:r w:rsidRPr="00087303">
              <w:rPr>
                <w:sz w:val="20"/>
                <w:szCs w:val="20"/>
                <w:lang w:val="en-GB" w:eastAsia="tr-TR"/>
              </w:rPr>
              <w:t>20 423</w:t>
            </w:r>
          </w:p>
        </w:tc>
        <w:tc>
          <w:tcPr>
            <w:tcW w:w="1398" w:type="dxa"/>
            <w:tcBorders>
              <w:top w:val="nil"/>
              <w:left w:val="single" w:sz="4" w:space="0" w:color="auto"/>
              <w:bottom w:val="nil"/>
              <w:right w:val="single" w:sz="4" w:space="0" w:color="auto"/>
            </w:tcBorders>
            <w:shd w:val="clear" w:color="auto" w:fill="auto"/>
            <w:noWrap/>
            <w:vAlign w:val="bottom"/>
            <w:hideMark/>
          </w:tcPr>
          <w:p w:rsidR="0015789C" w:rsidRPr="00087303" w:rsidRDefault="0015789C" w:rsidP="0015789C">
            <w:pPr>
              <w:suppressAutoHyphens w:val="0"/>
              <w:jc w:val="center"/>
              <w:rPr>
                <w:color w:val="000000"/>
                <w:sz w:val="20"/>
                <w:szCs w:val="20"/>
                <w:lang w:val="en-GB" w:eastAsia="tr-TR"/>
              </w:rPr>
            </w:pPr>
            <w:r w:rsidRPr="00087303">
              <w:rPr>
                <w:color w:val="000000"/>
                <w:sz w:val="20"/>
                <w:szCs w:val="20"/>
              </w:rPr>
              <w:t>58.9</w:t>
            </w:r>
          </w:p>
        </w:tc>
        <w:tc>
          <w:tcPr>
            <w:tcW w:w="1644" w:type="dxa"/>
            <w:tcBorders>
              <w:top w:val="nil"/>
              <w:left w:val="single" w:sz="4" w:space="0" w:color="auto"/>
              <w:bottom w:val="nil"/>
              <w:right w:val="single" w:sz="4" w:space="0" w:color="auto"/>
            </w:tcBorders>
            <w:shd w:val="clear" w:color="auto" w:fill="auto"/>
            <w:noWrap/>
            <w:vAlign w:val="bottom"/>
            <w:hideMark/>
          </w:tcPr>
          <w:p w:rsidR="0015789C" w:rsidRPr="00087303" w:rsidRDefault="0015789C" w:rsidP="0015789C">
            <w:pPr>
              <w:suppressAutoHyphens w:val="0"/>
              <w:jc w:val="center"/>
              <w:rPr>
                <w:color w:val="000000"/>
                <w:sz w:val="20"/>
                <w:szCs w:val="20"/>
                <w:lang w:val="en-GB" w:eastAsia="tr-TR"/>
              </w:rPr>
            </w:pPr>
            <w:r w:rsidRPr="00087303">
              <w:rPr>
                <w:color w:val="000000"/>
                <w:sz w:val="20"/>
                <w:szCs w:val="20"/>
              </w:rPr>
              <w:t>5.7</w:t>
            </w:r>
          </w:p>
        </w:tc>
        <w:tc>
          <w:tcPr>
            <w:tcW w:w="1457" w:type="dxa"/>
            <w:tcBorders>
              <w:top w:val="nil"/>
              <w:left w:val="single" w:sz="4" w:space="0" w:color="auto"/>
              <w:bottom w:val="nil"/>
              <w:right w:val="single" w:sz="4" w:space="0" w:color="auto"/>
            </w:tcBorders>
            <w:shd w:val="clear" w:color="auto" w:fill="auto"/>
            <w:noWrap/>
            <w:vAlign w:val="bottom"/>
            <w:hideMark/>
          </w:tcPr>
          <w:p w:rsidR="0015789C" w:rsidRPr="00087303" w:rsidRDefault="0015789C" w:rsidP="0015789C">
            <w:pPr>
              <w:suppressAutoHyphens w:val="0"/>
              <w:jc w:val="center"/>
              <w:rPr>
                <w:color w:val="000000"/>
                <w:sz w:val="20"/>
                <w:szCs w:val="20"/>
                <w:lang w:val="en-GB" w:eastAsia="tr-TR"/>
              </w:rPr>
            </w:pPr>
            <w:r w:rsidRPr="00087303">
              <w:rPr>
                <w:color w:val="000000"/>
                <w:sz w:val="20"/>
                <w:szCs w:val="20"/>
              </w:rPr>
              <w:t>22.3</w:t>
            </w:r>
          </w:p>
        </w:tc>
        <w:tc>
          <w:tcPr>
            <w:tcW w:w="2092" w:type="dxa"/>
            <w:tcBorders>
              <w:top w:val="nil"/>
              <w:left w:val="single" w:sz="4" w:space="0" w:color="auto"/>
              <w:bottom w:val="nil"/>
              <w:right w:val="single" w:sz="4" w:space="0" w:color="auto"/>
            </w:tcBorders>
            <w:shd w:val="clear" w:color="auto" w:fill="auto"/>
            <w:noWrap/>
            <w:vAlign w:val="bottom"/>
            <w:hideMark/>
          </w:tcPr>
          <w:p w:rsidR="0015789C" w:rsidRPr="00087303" w:rsidRDefault="0015789C" w:rsidP="0015789C">
            <w:pPr>
              <w:suppressAutoHyphens w:val="0"/>
              <w:jc w:val="center"/>
              <w:rPr>
                <w:color w:val="000000"/>
                <w:sz w:val="20"/>
                <w:szCs w:val="20"/>
                <w:lang w:val="en-GB" w:eastAsia="tr-TR"/>
              </w:rPr>
            </w:pPr>
            <w:r w:rsidRPr="00087303">
              <w:rPr>
                <w:color w:val="000000"/>
                <w:sz w:val="20"/>
                <w:szCs w:val="20"/>
              </w:rPr>
              <w:t>13.1</w:t>
            </w:r>
          </w:p>
        </w:tc>
      </w:tr>
      <w:tr w:rsidR="0015789C" w:rsidRPr="00087303" w:rsidTr="00BA42AD">
        <w:trPr>
          <w:trHeight w:hRule="exact" w:val="301"/>
        </w:trPr>
        <w:tc>
          <w:tcPr>
            <w:tcW w:w="1139" w:type="dxa"/>
            <w:tcBorders>
              <w:top w:val="nil"/>
              <w:left w:val="single" w:sz="4" w:space="0" w:color="auto"/>
              <w:bottom w:val="nil"/>
              <w:right w:val="single" w:sz="4" w:space="0" w:color="auto"/>
            </w:tcBorders>
            <w:shd w:val="clear" w:color="auto" w:fill="auto"/>
            <w:noWrap/>
            <w:vAlign w:val="center"/>
            <w:hideMark/>
          </w:tcPr>
          <w:p w:rsidR="0015789C" w:rsidRPr="00087303" w:rsidRDefault="0015789C" w:rsidP="0015789C">
            <w:pPr>
              <w:suppressAutoHyphens w:val="0"/>
              <w:jc w:val="center"/>
              <w:rPr>
                <w:b/>
                <w:bCs/>
                <w:color w:val="000000"/>
                <w:sz w:val="20"/>
                <w:szCs w:val="20"/>
                <w:lang w:val="en-GB" w:eastAsia="tr-TR"/>
              </w:rPr>
            </w:pPr>
            <w:r w:rsidRPr="00087303">
              <w:rPr>
                <w:b/>
                <w:bCs/>
                <w:color w:val="000000"/>
                <w:sz w:val="20"/>
                <w:szCs w:val="20"/>
                <w:lang w:val="en-GB" w:eastAsia="tr-TR"/>
              </w:rPr>
              <w:t>2007</w:t>
            </w:r>
          </w:p>
        </w:tc>
        <w:tc>
          <w:tcPr>
            <w:tcW w:w="1423" w:type="dxa"/>
            <w:tcBorders>
              <w:top w:val="nil"/>
              <w:left w:val="single" w:sz="4" w:space="0" w:color="auto"/>
              <w:bottom w:val="nil"/>
              <w:right w:val="single" w:sz="4" w:space="0" w:color="auto"/>
            </w:tcBorders>
            <w:shd w:val="clear" w:color="auto" w:fill="auto"/>
            <w:noWrap/>
            <w:vAlign w:val="center"/>
            <w:hideMark/>
          </w:tcPr>
          <w:p w:rsidR="0015789C" w:rsidRPr="00087303" w:rsidRDefault="0015789C" w:rsidP="0015789C">
            <w:pPr>
              <w:suppressAutoHyphens w:val="0"/>
              <w:jc w:val="center"/>
              <w:rPr>
                <w:sz w:val="20"/>
                <w:szCs w:val="20"/>
                <w:lang w:val="en-GB" w:eastAsia="tr-TR"/>
              </w:rPr>
            </w:pPr>
            <w:r w:rsidRPr="00087303">
              <w:rPr>
                <w:sz w:val="20"/>
                <w:szCs w:val="20"/>
                <w:lang w:val="en-GB" w:eastAsia="tr-TR"/>
              </w:rPr>
              <w:t>20 738</w:t>
            </w:r>
          </w:p>
        </w:tc>
        <w:tc>
          <w:tcPr>
            <w:tcW w:w="1398" w:type="dxa"/>
            <w:tcBorders>
              <w:top w:val="nil"/>
              <w:left w:val="single" w:sz="4" w:space="0" w:color="auto"/>
              <w:bottom w:val="nil"/>
              <w:right w:val="single" w:sz="4" w:space="0" w:color="auto"/>
            </w:tcBorders>
            <w:shd w:val="clear" w:color="auto" w:fill="auto"/>
            <w:noWrap/>
            <w:vAlign w:val="bottom"/>
            <w:hideMark/>
          </w:tcPr>
          <w:p w:rsidR="0015789C" w:rsidRPr="00087303" w:rsidRDefault="0015789C" w:rsidP="0015789C">
            <w:pPr>
              <w:suppressAutoHyphens w:val="0"/>
              <w:jc w:val="center"/>
              <w:rPr>
                <w:color w:val="000000"/>
                <w:sz w:val="20"/>
                <w:szCs w:val="20"/>
                <w:lang w:val="en-GB" w:eastAsia="tr-TR"/>
              </w:rPr>
            </w:pPr>
            <w:r w:rsidRPr="00087303">
              <w:rPr>
                <w:color w:val="000000"/>
                <w:sz w:val="20"/>
                <w:szCs w:val="20"/>
              </w:rPr>
              <w:t>60.4</w:t>
            </w:r>
          </w:p>
        </w:tc>
        <w:tc>
          <w:tcPr>
            <w:tcW w:w="1644" w:type="dxa"/>
            <w:tcBorders>
              <w:top w:val="nil"/>
              <w:left w:val="single" w:sz="4" w:space="0" w:color="auto"/>
              <w:bottom w:val="nil"/>
              <w:right w:val="single" w:sz="4" w:space="0" w:color="auto"/>
            </w:tcBorders>
            <w:shd w:val="clear" w:color="auto" w:fill="auto"/>
            <w:noWrap/>
            <w:vAlign w:val="bottom"/>
            <w:hideMark/>
          </w:tcPr>
          <w:p w:rsidR="0015789C" w:rsidRPr="00087303" w:rsidRDefault="0015789C" w:rsidP="0015789C">
            <w:pPr>
              <w:suppressAutoHyphens w:val="0"/>
              <w:jc w:val="center"/>
              <w:rPr>
                <w:color w:val="000000"/>
                <w:sz w:val="20"/>
                <w:szCs w:val="20"/>
                <w:lang w:val="en-GB" w:eastAsia="tr-TR"/>
              </w:rPr>
            </w:pPr>
            <w:r w:rsidRPr="00087303">
              <w:rPr>
                <w:color w:val="000000"/>
                <w:sz w:val="20"/>
                <w:szCs w:val="20"/>
              </w:rPr>
              <w:t>5.7</w:t>
            </w:r>
          </w:p>
        </w:tc>
        <w:tc>
          <w:tcPr>
            <w:tcW w:w="1457" w:type="dxa"/>
            <w:tcBorders>
              <w:top w:val="nil"/>
              <w:left w:val="single" w:sz="4" w:space="0" w:color="auto"/>
              <w:bottom w:val="nil"/>
              <w:right w:val="single" w:sz="4" w:space="0" w:color="auto"/>
            </w:tcBorders>
            <w:shd w:val="clear" w:color="auto" w:fill="auto"/>
            <w:noWrap/>
            <w:vAlign w:val="bottom"/>
            <w:hideMark/>
          </w:tcPr>
          <w:p w:rsidR="0015789C" w:rsidRPr="00087303" w:rsidRDefault="0015789C" w:rsidP="0015789C">
            <w:pPr>
              <w:suppressAutoHyphens w:val="0"/>
              <w:jc w:val="center"/>
              <w:rPr>
                <w:color w:val="000000"/>
                <w:sz w:val="20"/>
                <w:szCs w:val="20"/>
                <w:lang w:val="en-GB" w:eastAsia="tr-TR"/>
              </w:rPr>
            </w:pPr>
            <w:r w:rsidRPr="00087303">
              <w:rPr>
                <w:color w:val="000000"/>
                <w:sz w:val="20"/>
                <w:szCs w:val="20"/>
              </w:rPr>
              <w:t>21.1</w:t>
            </w:r>
          </w:p>
        </w:tc>
        <w:tc>
          <w:tcPr>
            <w:tcW w:w="2092" w:type="dxa"/>
            <w:tcBorders>
              <w:top w:val="nil"/>
              <w:left w:val="single" w:sz="4" w:space="0" w:color="auto"/>
              <w:bottom w:val="nil"/>
              <w:right w:val="single" w:sz="4" w:space="0" w:color="auto"/>
            </w:tcBorders>
            <w:shd w:val="clear" w:color="auto" w:fill="auto"/>
            <w:noWrap/>
            <w:vAlign w:val="bottom"/>
            <w:hideMark/>
          </w:tcPr>
          <w:p w:rsidR="0015789C" w:rsidRPr="00087303" w:rsidRDefault="0015789C" w:rsidP="0015789C">
            <w:pPr>
              <w:suppressAutoHyphens w:val="0"/>
              <w:jc w:val="center"/>
              <w:rPr>
                <w:color w:val="000000"/>
                <w:sz w:val="20"/>
                <w:szCs w:val="20"/>
                <w:lang w:val="en-GB" w:eastAsia="tr-TR"/>
              </w:rPr>
            </w:pPr>
            <w:r w:rsidRPr="00087303">
              <w:rPr>
                <w:color w:val="000000"/>
                <w:sz w:val="20"/>
                <w:szCs w:val="20"/>
              </w:rPr>
              <w:t>12.7</w:t>
            </w:r>
          </w:p>
        </w:tc>
      </w:tr>
      <w:tr w:rsidR="0015789C" w:rsidRPr="00087303" w:rsidTr="00BA42AD">
        <w:trPr>
          <w:trHeight w:hRule="exact" w:val="301"/>
        </w:trPr>
        <w:tc>
          <w:tcPr>
            <w:tcW w:w="1139" w:type="dxa"/>
            <w:tcBorders>
              <w:top w:val="nil"/>
              <w:left w:val="single" w:sz="4" w:space="0" w:color="auto"/>
              <w:bottom w:val="nil"/>
              <w:right w:val="single" w:sz="4" w:space="0" w:color="auto"/>
            </w:tcBorders>
            <w:shd w:val="clear" w:color="auto" w:fill="auto"/>
            <w:noWrap/>
            <w:vAlign w:val="center"/>
            <w:hideMark/>
          </w:tcPr>
          <w:p w:rsidR="0015789C" w:rsidRPr="00087303" w:rsidRDefault="0015789C" w:rsidP="0015789C">
            <w:pPr>
              <w:suppressAutoHyphens w:val="0"/>
              <w:jc w:val="center"/>
              <w:rPr>
                <w:b/>
                <w:bCs/>
                <w:color w:val="000000"/>
                <w:sz w:val="20"/>
                <w:szCs w:val="20"/>
                <w:lang w:val="en-GB" w:eastAsia="tr-TR"/>
              </w:rPr>
            </w:pPr>
            <w:r w:rsidRPr="00087303">
              <w:rPr>
                <w:b/>
                <w:bCs/>
                <w:color w:val="000000"/>
                <w:sz w:val="20"/>
                <w:szCs w:val="20"/>
                <w:lang w:val="en-GB" w:eastAsia="tr-TR"/>
              </w:rPr>
              <w:t>2008</w:t>
            </w:r>
          </w:p>
        </w:tc>
        <w:tc>
          <w:tcPr>
            <w:tcW w:w="1423" w:type="dxa"/>
            <w:tcBorders>
              <w:top w:val="nil"/>
              <w:left w:val="single" w:sz="4" w:space="0" w:color="auto"/>
              <w:bottom w:val="nil"/>
              <w:right w:val="single" w:sz="4" w:space="0" w:color="auto"/>
            </w:tcBorders>
            <w:shd w:val="clear" w:color="auto" w:fill="auto"/>
            <w:noWrap/>
            <w:vAlign w:val="center"/>
            <w:hideMark/>
          </w:tcPr>
          <w:p w:rsidR="0015789C" w:rsidRPr="00087303" w:rsidRDefault="0015789C" w:rsidP="0015789C">
            <w:pPr>
              <w:suppressAutoHyphens w:val="0"/>
              <w:jc w:val="center"/>
              <w:rPr>
                <w:sz w:val="20"/>
                <w:szCs w:val="20"/>
                <w:lang w:val="en-GB" w:eastAsia="tr-TR"/>
              </w:rPr>
            </w:pPr>
            <w:r w:rsidRPr="00087303">
              <w:rPr>
                <w:sz w:val="20"/>
                <w:szCs w:val="20"/>
                <w:lang w:val="en-GB" w:eastAsia="tr-TR"/>
              </w:rPr>
              <w:t>21 194</w:t>
            </w:r>
          </w:p>
        </w:tc>
        <w:tc>
          <w:tcPr>
            <w:tcW w:w="1398" w:type="dxa"/>
            <w:tcBorders>
              <w:top w:val="nil"/>
              <w:left w:val="single" w:sz="4" w:space="0" w:color="auto"/>
              <w:bottom w:val="nil"/>
              <w:right w:val="single" w:sz="4" w:space="0" w:color="auto"/>
            </w:tcBorders>
            <w:shd w:val="clear" w:color="auto" w:fill="auto"/>
            <w:noWrap/>
            <w:vAlign w:val="bottom"/>
            <w:hideMark/>
          </w:tcPr>
          <w:p w:rsidR="0015789C" w:rsidRPr="00087303" w:rsidRDefault="0015789C" w:rsidP="0015789C">
            <w:pPr>
              <w:suppressAutoHyphens w:val="0"/>
              <w:jc w:val="center"/>
              <w:rPr>
                <w:color w:val="000000"/>
                <w:sz w:val="20"/>
                <w:szCs w:val="20"/>
                <w:lang w:val="en-GB" w:eastAsia="tr-TR"/>
              </w:rPr>
            </w:pPr>
            <w:r w:rsidRPr="00087303">
              <w:rPr>
                <w:color w:val="000000"/>
                <w:sz w:val="20"/>
                <w:szCs w:val="20"/>
              </w:rPr>
              <w:t>61.0</w:t>
            </w:r>
          </w:p>
        </w:tc>
        <w:tc>
          <w:tcPr>
            <w:tcW w:w="1644" w:type="dxa"/>
            <w:tcBorders>
              <w:top w:val="nil"/>
              <w:left w:val="single" w:sz="4" w:space="0" w:color="auto"/>
              <w:bottom w:val="nil"/>
              <w:right w:val="single" w:sz="4" w:space="0" w:color="auto"/>
            </w:tcBorders>
            <w:shd w:val="clear" w:color="auto" w:fill="auto"/>
            <w:noWrap/>
            <w:vAlign w:val="bottom"/>
            <w:hideMark/>
          </w:tcPr>
          <w:p w:rsidR="0015789C" w:rsidRPr="00087303" w:rsidRDefault="0015789C" w:rsidP="0015789C">
            <w:pPr>
              <w:suppressAutoHyphens w:val="0"/>
              <w:jc w:val="center"/>
              <w:rPr>
                <w:color w:val="000000"/>
                <w:sz w:val="20"/>
                <w:szCs w:val="20"/>
                <w:lang w:val="en-GB" w:eastAsia="tr-TR"/>
              </w:rPr>
            </w:pPr>
            <w:r w:rsidRPr="00087303">
              <w:rPr>
                <w:color w:val="000000"/>
                <w:sz w:val="20"/>
                <w:szCs w:val="20"/>
              </w:rPr>
              <w:t>5.9</w:t>
            </w:r>
          </w:p>
        </w:tc>
        <w:tc>
          <w:tcPr>
            <w:tcW w:w="1457" w:type="dxa"/>
            <w:tcBorders>
              <w:top w:val="nil"/>
              <w:left w:val="single" w:sz="4" w:space="0" w:color="auto"/>
              <w:bottom w:val="nil"/>
              <w:right w:val="single" w:sz="4" w:space="0" w:color="auto"/>
            </w:tcBorders>
            <w:shd w:val="clear" w:color="auto" w:fill="auto"/>
            <w:noWrap/>
            <w:vAlign w:val="bottom"/>
            <w:hideMark/>
          </w:tcPr>
          <w:p w:rsidR="0015789C" w:rsidRPr="00087303" w:rsidRDefault="0015789C" w:rsidP="0015789C">
            <w:pPr>
              <w:suppressAutoHyphens w:val="0"/>
              <w:jc w:val="center"/>
              <w:rPr>
                <w:color w:val="000000"/>
                <w:sz w:val="20"/>
                <w:szCs w:val="20"/>
                <w:lang w:val="en-GB" w:eastAsia="tr-TR"/>
              </w:rPr>
            </w:pPr>
            <w:r w:rsidRPr="00087303">
              <w:rPr>
                <w:color w:val="000000"/>
                <w:sz w:val="20"/>
                <w:szCs w:val="20"/>
              </w:rPr>
              <w:t>20.4</w:t>
            </w:r>
          </w:p>
        </w:tc>
        <w:tc>
          <w:tcPr>
            <w:tcW w:w="2092" w:type="dxa"/>
            <w:tcBorders>
              <w:top w:val="nil"/>
              <w:left w:val="single" w:sz="4" w:space="0" w:color="auto"/>
              <w:bottom w:val="nil"/>
              <w:right w:val="single" w:sz="4" w:space="0" w:color="auto"/>
            </w:tcBorders>
            <w:shd w:val="clear" w:color="auto" w:fill="auto"/>
            <w:noWrap/>
            <w:vAlign w:val="bottom"/>
            <w:hideMark/>
          </w:tcPr>
          <w:p w:rsidR="0015789C" w:rsidRPr="00087303" w:rsidRDefault="0015789C" w:rsidP="0015789C">
            <w:pPr>
              <w:suppressAutoHyphens w:val="0"/>
              <w:jc w:val="center"/>
              <w:rPr>
                <w:color w:val="000000"/>
                <w:sz w:val="20"/>
                <w:szCs w:val="20"/>
                <w:lang w:val="en-GB" w:eastAsia="tr-TR"/>
              </w:rPr>
            </w:pPr>
            <w:r w:rsidRPr="00087303">
              <w:rPr>
                <w:color w:val="000000"/>
                <w:sz w:val="20"/>
                <w:szCs w:val="20"/>
              </w:rPr>
              <w:t>12.7</w:t>
            </w:r>
          </w:p>
        </w:tc>
      </w:tr>
      <w:tr w:rsidR="0015789C" w:rsidRPr="00087303" w:rsidTr="00BA42AD">
        <w:trPr>
          <w:trHeight w:hRule="exact" w:val="301"/>
        </w:trPr>
        <w:tc>
          <w:tcPr>
            <w:tcW w:w="1139" w:type="dxa"/>
            <w:tcBorders>
              <w:top w:val="nil"/>
              <w:left w:val="single" w:sz="4" w:space="0" w:color="auto"/>
              <w:bottom w:val="nil"/>
              <w:right w:val="single" w:sz="4" w:space="0" w:color="auto"/>
            </w:tcBorders>
            <w:shd w:val="clear" w:color="auto" w:fill="auto"/>
            <w:noWrap/>
            <w:vAlign w:val="center"/>
            <w:hideMark/>
          </w:tcPr>
          <w:p w:rsidR="0015789C" w:rsidRPr="00087303" w:rsidRDefault="0015789C" w:rsidP="0015789C">
            <w:pPr>
              <w:suppressAutoHyphens w:val="0"/>
              <w:jc w:val="center"/>
              <w:rPr>
                <w:b/>
                <w:bCs/>
                <w:color w:val="000000"/>
                <w:sz w:val="20"/>
                <w:szCs w:val="20"/>
                <w:lang w:val="en-GB" w:eastAsia="tr-TR"/>
              </w:rPr>
            </w:pPr>
            <w:r w:rsidRPr="00087303">
              <w:rPr>
                <w:b/>
                <w:bCs/>
                <w:color w:val="000000"/>
                <w:sz w:val="20"/>
                <w:szCs w:val="20"/>
                <w:lang w:val="en-GB" w:eastAsia="tr-TR"/>
              </w:rPr>
              <w:t>2009</w:t>
            </w:r>
          </w:p>
        </w:tc>
        <w:tc>
          <w:tcPr>
            <w:tcW w:w="1423" w:type="dxa"/>
            <w:tcBorders>
              <w:top w:val="nil"/>
              <w:left w:val="single" w:sz="4" w:space="0" w:color="auto"/>
              <w:bottom w:val="nil"/>
              <w:right w:val="single" w:sz="4" w:space="0" w:color="auto"/>
            </w:tcBorders>
            <w:shd w:val="clear" w:color="auto" w:fill="auto"/>
            <w:noWrap/>
            <w:vAlign w:val="center"/>
            <w:hideMark/>
          </w:tcPr>
          <w:p w:rsidR="0015789C" w:rsidRPr="00087303" w:rsidRDefault="0015789C" w:rsidP="0015789C">
            <w:pPr>
              <w:suppressAutoHyphens w:val="0"/>
              <w:jc w:val="center"/>
              <w:rPr>
                <w:sz w:val="20"/>
                <w:szCs w:val="20"/>
                <w:lang w:val="en-GB" w:eastAsia="tr-TR"/>
              </w:rPr>
            </w:pPr>
            <w:r w:rsidRPr="00087303">
              <w:rPr>
                <w:sz w:val="20"/>
                <w:szCs w:val="20"/>
                <w:lang w:val="en-GB" w:eastAsia="tr-TR"/>
              </w:rPr>
              <w:t>21 277</w:t>
            </w:r>
          </w:p>
        </w:tc>
        <w:tc>
          <w:tcPr>
            <w:tcW w:w="1398" w:type="dxa"/>
            <w:tcBorders>
              <w:top w:val="nil"/>
              <w:left w:val="single" w:sz="4" w:space="0" w:color="auto"/>
              <w:bottom w:val="nil"/>
              <w:right w:val="single" w:sz="4" w:space="0" w:color="auto"/>
            </w:tcBorders>
            <w:shd w:val="clear" w:color="auto" w:fill="auto"/>
            <w:noWrap/>
            <w:vAlign w:val="bottom"/>
            <w:hideMark/>
          </w:tcPr>
          <w:p w:rsidR="0015789C" w:rsidRPr="00087303" w:rsidRDefault="0015789C" w:rsidP="0015789C">
            <w:pPr>
              <w:suppressAutoHyphens w:val="0"/>
              <w:jc w:val="center"/>
              <w:rPr>
                <w:color w:val="000000"/>
                <w:sz w:val="20"/>
                <w:szCs w:val="20"/>
                <w:lang w:val="en-GB" w:eastAsia="tr-TR"/>
              </w:rPr>
            </w:pPr>
            <w:r w:rsidRPr="00087303">
              <w:rPr>
                <w:color w:val="000000"/>
                <w:sz w:val="20"/>
                <w:szCs w:val="20"/>
              </w:rPr>
              <w:t>60.0</w:t>
            </w:r>
          </w:p>
        </w:tc>
        <w:tc>
          <w:tcPr>
            <w:tcW w:w="1644" w:type="dxa"/>
            <w:tcBorders>
              <w:top w:val="nil"/>
              <w:left w:val="single" w:sz="4" w:space="0" w:color="auto"/>
              <w:bottom w:val="nil"/>
              <w:right w:val="single" w:sz="4" w:space="0" w:color="auto"/>
            </w:tcBorders>
            <w:shd w:val="clear" w:color="auto" w:fill="auto"/>
            <w:noWrap/>
            <w:vAlign w:val="bottom"/>
            <w:hideMark/>
          </w:tcPr>
          <w:p w:rsidR="0015789C" w:rsidRPr="00087303" w:rsidRDefault="0015789C" w:rsidP="0015789C">
            <w:pPr>
              <w:suppressAutoHyphens w:val="0"/>
              <w:jc w:val="center"/>
              <w:rPr>
                <w:color w:val="000000"/>
                <w:sz w:val="20"/>
                <w:szCs w:val="20"/>
                <w:lang w:val="en-GB" w:eastAsia="tr-TR"/>
              </w:rPr>
            </w:pPr>
            <w:r w:rsidRPr="00087303">
              <w:rPr>
                <w:color w:val="000000"/>
                <w:sz w:val="20"/>
                <w:szCs w:val="20"/>
              </w:rPr>
              <w:t>5.7</w:t>
            </w:r>
          </w:p>
        </w:tc>
        <w:tc>
          <w:tcPr>
            <w:tcW w:w="1457" w:type="dxa"/>
            <w:tcBorders>
              <w:top w:val="nil"/>
              <w:left w:val="single" w:sz="4" w:space="0" w:color="auto"/>
              <w:bottom w:val="nil"/>
              <w:right w:val="single" w:sz="4" w:space="0" w:color="auto"/>
            </w:tcBorders>
            <w:shd w:val="clear" w:color="auto" w:fill="auto"/>
            <w:noWrap/>
            <w:vAlign w:val="bottom"/>
            <w:hideMark/>
          </w:tcPr>
          <w:p w:rsidR="0015789C" w:rsidRPr="00087303" w:rsidRDefault="0015789C" w:rsidP="0015789C">
            <w:pPr>
              <w:suppressAutoHyphens w:val="0"/>
              <w:jc w:val="center"/>
              <w:rPr>
                <w:color w:val="000000"/>
                <w:sz w:val="20"/>
                <w:szCs w:val="20"/>
                <w:lang w:val="en-GB" w:eastAsia="tr-TR"/>
              </w:rPr>
            </w:pPr>
            <w:r w:rsidRPr="00087303">
              <w:rPr>
                <w:color w:val="000000"/>
                <w:sz w:val="20"/>
                <w:szCs w:val="20"/>
              </w:rPr>
              <w:t>20.8</w:t>
            </w:r>
          </w:p>
        </w:tc>
        <w:tc>
          <w:tcPr>
            <w:tcW w:w="2092" w:type="dxa"/>
            <w:tcBorders>
              <w:top w:val="nil"/>
              <w:left w:val="single" w:sz="4" w:space="0" w:color="auto"/>
              <w:bottom w:val="nil"/>
              <w:right w:val="single" w:sz="4" w:space="0" w:color="auto"/>
            </w:tcBorders>
            <w:shd w:val="clear" w:color="auto" w:fill="auto"/>
            <w:noWrap/>
            <w:vAlign w:val="bottom"/>
            <w:hideMark/>
          </w:tcPr>
          <w:p w:rsidR="0015789C" w:rsidRPr="00087303" w:rsidRDefault="0015789C" w:rsidP="0015789C">
            <w:pPr>
              <w:suppressAutoHyphens w:val="0"/>
              <w:jc w:val="center"/>
              <w:rPr>
                <w:color w:val="000000"/>
                <w:sz w:val="20"/>
                <w:szCs w:val="20"/>
                <w:lang w:val="en-GB" w:eastAsia="tr-TR"/>
              </w:rPr>
            </w:pPr>
            <w:r w:rsidRPr="00087303">
              <w:rPr>
                <w:color w:val="000000"/>
                <w:sz w:val="20"/>
                <w:szCs w:val="20"/>
              </w:rPr>
              <w:t>13.5</w:t>
            </w:r>
          </w:p>
        </w:tc>
      </w:tr>
      <w:tr w:rsidR="0015789C" w:rsidRPr="00087303" w:rsidTr="00BA42AD">
        <w:trPr>
          <w:trHeight w:hRule="exact" w:val="301"/>
        </w:trPr>
        <w:tc>
          <w:tcPr>
            <w:tcW w:w="1139" w:type="dxa"/>
            <w:tcBorders>
              <w:top w:val="nil"/>
              <w:left w:val="single" w:sz="4" w:space="0" w:color="auto"/>
              <w:bottom w:val="nil"/>
              <w:right w:val="single" w:sz="4" w:space="0" w:color="auto"/>
            </w:tcBorders>
            <w:shd w:val="clear" w:color="auto" w:fill="auto"/>
            <w:noWrap/>
            <w:vAlign w:val="center"/>
            <w:hideMark/>
          </w:tcPr>
          <w:p w:rsidR="0015789C" w:rsidRPr="00087303" w:rsidRDefault="0015789C" w:rsidP="0015789C">
            <w:pPr>
              <w:suppressAutoHyphens w:val="0"/>
              <w:jc w:val="center"/>
              <w:rPr>
                <w:b/>
                <w:bCs/>
                <w:color w:val="000000"/>
                <w:sz w:val="20"/>
                <w:szCs w:val="20"/>
                <w:lang w:val="en-GB" w:eastAsia="tr-TR"/>
              </w:rPr>
            </w:pPr>
            <w:r w:rsidRPr="00087303">
              <w:rPr>
                <w:b/>
                <w:bCs/>
                <w:color w:val="000000"/>
                <w:sz w:val="20"/>
                <w:szCs w:val="20"/>
                <w:lang w:val="en-GB" w:eastAsia="tr-TR"/>
              </w:rPr>
              <w:t>2010</w:t>
            </w:r>
          </w:p>
        </w:tc>
        <w:tc>
          <w:tcPr>
            <w:tcW w:w="1423" w:type="dxa"/>
            <w:tcBorders>
              <w:top w:val="nil"/>
              <w:left w:val="single" w:sz="4" w:space="0" w:color="auto"/>
              <w:bottom w:val="nil"/>
              <w:right w:val="single" w:sz="4" w:space="0" w:color="auto"/>
            </w:tcBorders>
            <w:shd w:val="clear" w:color="auto" w:fill="auto"/>
            <w:noWrap/>
            <w:vAlign w:val="center"/>
            <w:hideMark/>
          </w:tcPr>
          <w:p w:rsidR="0015789C" w:rsidRPr="00087303" w:rsidRDefault="0015789C" w:rsidP="0015789C">
            <w:pPr>
              <w:suppressAutoHyphens w:val="0"/>
              <w:jc w:val="center"/>
              <w:rPr>
                <w:sz w:val="20"/>
                <w:szCs w:val="20"/>
                <w:lang w:val="en-GB" w:eastAsia="tr-TR"/>
              </w:rPr>
            </w:pPr>
            <w:r w:rsidRPr="00087303">
              <w:rPr>
                <w:sz w:val="20"/>
                <w:szCs w:val="20"/>
                <w:lang w:val="en-GB" w:eastAsia="tr-TR"/>
              </w:rPr>
              <w:t>22 594</w:t>
            </w:r>
          </w:p>
        </w:tc>
        <w:tc>
          <w:tcPr>
            <w:tcW w:w="1398" w:type="dxa"/>
            <w:tcBorders>
              <w:top w:val="nil"/>
              <w:left w:val="single" w:sz="4" w:space="0" w:color="auto"/>
              <w:bottom w:val="nil"/>
              <w:right w:val="single" w:sz="4" w:space="0" w:color="auto"/>
            </w:tcBorders>
            <w:shd w:val="clear" w:color="auto" w:fill="auto"/>
            <w:noWrap/>
            <w:vAlign w:val="bottom"/>
            <w:hideMark/>
          </w:tcPr>
          <w:p w:rsidR="0015789C" w:rsidRPr="00087303" w:rsidRDefault="0015789C" w:rsidP="0015789C">
            <w:pPr>
              <w:suppressAutoHyphens w:val="0"/>
              <w:jc w:val="center"/>
              <w:rPr>
                <w:color w:val="000000"/>
                <w:sz w:val="20"/>
                <w:szCs w:val="20"/>
                <w:lang w:val="en-GB" w:eastAsia="tr-TR"/>
              </w:rPr>
            </w:pPr>
            <w:r w:rsidRPr="00087303">
              <w:rPr>
                <w:color w:val="000000"/>
                <w:sz w:val="20"/>
                <w:szCs w:val="20"/>
              </w:rPr>
              <w:t>60.9</w:t>
            </w:r>
          </w:p>
        </w:tc>
        <w:tc>
          <w:tcPr>
            <w:tcW w:w="1644" w:type="dxa"/>
            <w:tcBorders>
              <w:top w:val="nil"/>
              <w:left w:val="single" w:sz="4" w:space="0" w:color="auto"/>
              <w:bottom w:val="nil"/>
              <w:right w:val="single" w:sz="4" w:space="0" w:color="auto"/>
            </w:tcBorders>
            <w:shd w:val="clear" w:color="auto" w:fill="auto"/>
            <w:noWrap/>
            <w:vAlign w:val="bottom"/>
            <w:hideMark/>
          </w:tcPr>
          <w:p w:rsidR="0015789C" w:rsidRPr="00087303" w:rsidRDefault="0015789C" w:rsidP="0015789C">
            <w:pPr>
              <w:suppressAutoHyphens w:val="0"/>
              <w:jc w:val="center"/>
              <w:rPr>
                <w:color w:val="000000"/>
                <w:sz w:val="20"/>
                <w:szCs w:val="20"/>
                <w:lang w:val="en-GB" w:eastAsia="tr-TR"/>
              </w:rPr>
            </w:pPr>
            <w:r w:rsidRPr="00087303">
              <w:rPr>
                <w:color w:val="000000"/>
                <w:sz w:val="20"/>
                <w:szCs w:val="20"/>
              </w:rPr>
              <w:t>5.3</w:t>
            </w:r>
          </w:p>
        </w:tc>
        <w:tc>
          <w:tcPr>
            <w:tcW w:w="1457" w:type="dxa"/>
            <w:tcBorders>
              <w:top w:val="nil"/>
              <w:left w:val="single" w:sz="4" w:space="0" w:color="auto"/>
              <w:bottom w:val="nil"/>
              <w:right w:val="single" w:sz="4" w:space="0" w:color="auto"/>
            </w:tcBorders>
            <w:shd w:val="clear" w:color="auto" w:fill="auto"/>
            <w:noWrap/>
            <w:vAlign w:val="bottom"/>
            <w:hideMark/>
          </w:tcPr>
          <w:p w:rsidR="0015789C" w:rsidRPr="00087303" w:rsidRDefault="0015789C" w:rsidP="0015789C">
            <w:pPr>
              <w:suppressAutoHyphens w:val="0"/>
              <w:jc w:val="center"/>
              <w:rPr>
                <w:color w:val="000000"/>
                <w:sz w:val="20"/>
                <w:szCs w:val="20"/>
                <w:lang w:val="en-GB" w:eastAsia="tr-TR"/>
              </w:rPr>
            </w:pPr>
            <w:r w:rsidRPr="00087303">
              <w:rPr>
                <w:color w:val="000000"/>
                <w:sz w:val="20"/>
                <w:szCs w:val="20"/>
              </w:rPr>
              <w:t>20.1</w:t>
            </w:r>
          </w:p>
        </w:tc>
        <w:tc>
          <w:tcPr>
            <w:tcW w:w="2092" w:type="dxa"/>
            <w:tcBorders>
              <w:top w:val="nil"/>
              <w:left w:val="single" w:sz="4" w:space="0" w:color="auto"/>
              <w:bottom w:val="nil"/>
              <w:right w:val="single" w:sz="4" w:space="0" w:color="auto"/>
            </w:tcBorders>
            <w:shd w:val="clear" w:color="auto" w:fill="auto"/>
            <w:noWrap/>
            <w:vAlign w:val="bottom"/>
            <w:hideMark/>
          </w:tcPr>
          <w:p w:rsidR="0015789C" w:rsidRPr="00087303" w:rsidRDefault="0015789C" w:rsidP="0015789C">
            <w:pPr>
              <w:suppressAutoHyphens w:val="0"/>
              <w:jc w:val="center"/>
              <w:rPr>
                <w:color w:val="000000"/>
                <w:sz w:val="20"/>
                <w:szCs w:val="20"/>
                <w:lang w:val="en-GB" w:eastAsia="tr-TR"/>
              </w:rPr>
            </w:pPr>
            <w:r w:rsidRPr="00087303">
              <w:rPr>
                <w:color w:val="000000"/>
                <w:sz w:val="20"/>
                <w:szCs w:val="20"/>
              </w:rPr>
              <w:t>13.6</w:t>
            </w:r>
          </w:p>
        </w:tc>
      </w:tr>
      <w:tr w:rsidR="0015789C" w:rsidRPr="00087303" w:rsidTr="00BA42AD">
        <w:trPr>
          <w:trHeight w:hRule="exact" w:val="301"/>
        </w:trPr>
        <w:tc>
          <w:tcPr>
            <w:tcW w:w="1139" w:type="dxa"/>
            <w:tcBorders>
              <w:top w:val="nil"/>
              <w:left w:val="single" w:sz="4" w:space="0" w:color="auto"/>
              <w:bottom w:val="nil"/>
              <w:right w:val="single" w:sz="4" w:space="0" w:color="auto"/>
            </w:tcBorders>
            <w:shd w:val="clear" w:color="auto" w:fill="auto"/>
            <w:noWrap/>
            <w:vAlign w:val="center"/>
            <w:hideMark/>
          </w:tcPr>
          <w:p w:rsidR="0015789C" w:rsidRPr="00087303" w:rsidRDefault="0015789C" w:rsidP="0015789C">
            <w:pPr>
              <w:suppressAutoHyphens w:val="0"/>
              <w:jc w:val="center"/>
              <w:rPr>
                <w:b/>
                <w:bCs/>
                <w:color w:val="000000"/>
                <w:sz w:val="20"/>
                <w:szCs w:val="20"/>
                <w:lang w:val="en-GB" w:eastAsia="tr-TR"/>
              </w:rPr>
            </w:pPr>
            <w:r w:rsidRPr="00087303">
              <w:rPr>
                <w:b/>
                <w:bCs/>
                <w:color w:val="000000"/>
                <w:sz w:val="20"/>
                <w:szCs w:val="20"/>
                <w:lang w:val="en-GB" w:eastAsia="tr-TR"/>
              </w:rPr>
              <w:t>2011</w:t>
            </w:r>
          </w:p>
        </w:tc>
        <w:tc>
          <w:tcPr>
            <w:tcW w:w="1423" w:type="dxa"/>
            <w:tcBorders>
              <w:top w:val="nil"/>
              <w:left w:val="single" w:sz="4" w:space="0" w:color="auto"/>
              <w:bottom w:val="nil"/>
              <w:right w:val="single" w:sz="4" w:space="0" w:color="auto"/>
            </w:tcBorders>
            <w:shd w:val="clear" w:color="auto" w:fill="auto"/>
            <w:noWrap/>
            <w:vAlign w:val="center"/>
            <w:hideMark/>
          </w:tcPr>
          <w:p w:rsidR="0015789C" w:rsidRPr="00087303" w:rsidRDefault="0015789C" w:rsidP="0015789C">
            <w:pPr>
              <w:suppressAutoHyphens w:val="0"/>
              <w:jc w:val="center"/>
              <w:rPr>
                <w:sz w:val="20"/>
                <w:szCs w:val="20"/>
                <w:lang w:val="en-GB" w:eastAsia="tr-TR"/>
              </w:rPr>
            </w:pPr>
            <w:r w:rsidRPr="00087303">
              <w:rPr>
                <w:sz w:val="20"/>
                <w:szCs w:val="20"/>
                <w:lang w:val="en-GB" w:eastAsia="tr-TR"/>
              </w:rPr>
              <w:t>24 110</w:t>
            </w:r>
          </w:p>
        </w:tc>
        <w:tc>
          <w:tcPr>
            <w:tcW w:w="1398" w:type="dxa"/>
            <w:tcBorders>
              <w:top w:val="nil"/>
              <w:left w:val="single" w:sz="4" w:space="0" w:color="auto"/>
              <w:bottom w:val="nil"/>
              <w:right w:val="single" w:sz="4" w:space="0" w:color="auto"/>
            </w:tcBorders>
            <w:shd w:val="clear" w:color="auto" w:fill="auto"/>
            <w:noWrap/>
            <w:vAlign w:val="bottom"/>
            <w:hideMark/>
          </w:tcPr>
          <w:p w:rsidR="0015789C" w:rsidRPr="00087303" w:rsidRDefault="0015789C" w:rsidP="0015789C">
            <w:pPr>
              <w:suppressAutoHyphens w:val="0"/>
              <w:jc w:val="center"/>
              <w:rPr>
                <w:color w:val="000000"/>
                <w:sz w:val="20"/>
                <w:szCs w:val="20"/>
                <w:lang w:val="en-GB" w:eastAsia="tr-TR"/>
              </w:rPr>
            </w:pPr>
            <w:r w:rsidRPr="00087303">
              <w:rPr>
                <w:color w:val="000000"/>
                <w:sz w:val="20"/>
                <w:szCs w:val="20"/>
              </w:rPr>
              <w:t>61.7</w:t>
            </w:r>
          </w:p>
        </w:tc>
        <w:tc>
          <w:tcPr>
            <w:tcW w:w="1644" w:type="dxa"/>
            <w:tcBorders>
              <w:top w:val="nil"/>
              <w:left w:val="single" w:sz="4" w:space="0" w:color="auto"/>
              <w:bottom w:val="nil"/>
              <w:right w:val="single" w:sz="4" w:space="0" w:color="auto"/>
            </w:tcBorders>
            <w:shd w:val="clear" w:color="auto" w:fill="auto"/>
            <w:noWrap/>
            <w:vAlign w:val="bottom"/>
            <w:hideMark/>
          </w:tcPr>
          <w:p w:rsidR="0015789C" w:rsidRPr="00087303" w:rsidRDefault="0015789C" w:rsidP="0015789C">
            <w:pPr>
              <w:suppressAutoHyphens w:val="0"/>
              <w:jc w:val="center"/>
              <w:rPr>
                <w:color w:val="000000"/>
                <w:sz w:val="20"/>
                <w:szCs w:val="20"/>
                <w:lang w:val="en-GB" w:eastAsia="tr-TR"/>
              </w:rPr>
            </w:pPr>
            <w:r w:rsidRPr="00087303">
              <w:rPr>
                <w:color w:val="000000"/>
                <w:sz w:val="20"/>
                <w:szCs w:val="20"/>
              </w:rPr>
              <w:t>5.2</w:t>
            </w:r>
          </w:p>
        </w:tc>
        <w:tc>
          <w:tcPr>
            <w:tcW w:w="1457" w:type="dxa"/>
            <w:tcBorders>
              <w:top w:val="nil"/>
              <w:left w:val="single" w:sz="4" w:space="0" w:color="auto"/>
              <w:bottom w:val="nil"/>
              <w:right w:val="single" w:sz="4" w:space="0" w:color="auto"/>
            </w:tcBorders>
            <w:shd w:val="clear" w:color="auto" w:fill="auto"/>
            <w:noWrap/>
            <w:vAlign w:val="bottom"/>
            <w:hideMark/>
          </w:tcPr>
          <w:p w:rsidR="0015789C" w:rsidRPr="00087303" w:rsidRDefault="0015789C" w:rsidP="0015789C">
            <w:pPr>
              <w:suppressAutoHyphens w:val="0"/>
              <w:jc w:val="center"/>
              <w:rPr>
                <w:color w:val="000000"/>
                <w:sz w:val="20"/>
                <w:szCs w:val="20"/>
                <w:lang w:val="en-GB" w:eastAsia="tr-TR"/>
              </w:rPr>
            </w:pPr>
            <w:r w:rsidRPr="00087303">
              <w:rPr>
                <w:color w:val="000000"/>
                <w:sz w:val="20"/>
                <w:szCs w:val="20"/>
              </w:rPr>
              <w:t>19.4</w:t>
            </w:r>
          </w:p>
        </w:tc>
        <w:tc>
          <w:tcPr>
            <w:tcW w:w="2092" w:type="dxa"/>
            <w:tcBorders>
              <w:top w:val="nil"/>
              <w:left w:val="single" w:sz="4" w:space="0" w:color="auto"/>
              <w:bottom w:val="nil"/>
              <w:right w:val="single" w:sz="4" w:space="0" w:color="auto"/>
            </w:tcBorders>
            <w:shd w:val="clear" w:color="auto" w:fill="auto"/>
            <w:noWrap/>
            <w:vAlign w:val="bottom"/>
            <w:hideMark/>
          </w:tcPr>
          <w:p w:rsidR="0015789C" w:rsidRPr="00087303" w:rsidRDefault="0015789C" w:rsidP="0015789C">
            <w:pPr>
              <w:suppressAutoHyphens w:val="0"/>
              <w:jc w:val="center"/>
              <w:rPr>
                <w:color w:val="000000"/>
                <w:sz w:val="20"/>
                <w:szCs w:val="20"/>
                <w:lang w:val="en-GB" w:eastAsia="tr-TR"/>
              </w:rPr>
            </w:pPr>
            <w:r w:rsidRPr="00087303">
              <w:rPr>
                <w:color w:val="000000"/>
                <w:sz w:val="20"/>
                <w:szCs w:val="20"/>
              </w:rPr>
              <w:t>13.7</w:t>
            </w:r>
          </w:p>
        </w:tc>
      </w:tr>
      <w:tr w:rsidR="0015789C" w:rsidRPr="00087303" w:rsidTr="00BA42AD">
        <w:trPr>
          <w:trHeight w:hRule="exact" w:val="301"/>
        </w:trPr>
        <w:tc>
          <w:tcPr>
            <w:tcW w:w="1139" w:type="dxa"/>
            <w:tcBorders>
              <w:top w:val="nil"/>
              <w:left w:val="single" w:sz="4" w:space="0" w:color="auto"/>
              <w:bottom w:val="nil"/>
              <w:right w:val="single" w:sz="4" w:space="0" w:color="auto"/>
            </w:tcBorders>
            <w:shd w:val="clear" w:color="auto" w:fill="auto"/>
            <w:noWrap/>
            <w:vAlign w:val="center"/>
            <w:hideMark/>
          </w:tcPr>
          <w:p w:rsidR="0015789C" w:rsidRPr="00087303" w:rsidRDefault="0015789C" w:rsidP="0015789C">
            <w:pPr>
              <w:suppressAutoHyphens w:val="0"/>
              <w:jc w:val="center"/>
              <w:rPr>
                <w:b/>
                <w:bCs/>
                <w:color w:val="000000"/>
                <w:sz w:val="20"/>
                <w:szCs w:val="20"/>
                <w:lang w:val="en-GB" w:eastAsia="tr-TR"/>
              </w:rPr>
            </w:pPr>
            <w:r w:rsidRPr="00087303">
              <w:rPr>
                <w:b/>
                <w:bCs/>
                <w:color w:val="000000"/>
                <w:sz w:val="20"/>
                <w:szCs w:val="20"/>
                <w:lang w:val="en-GB" w:eastAsia="tr-TR"/>
              </w:rPr>
              <w:t>2012</w:t>
            </w:r>
          </w:p>
        </w:tc>
        <w:tc>
          <w:tcPr>
            <w:tcW w:w="1423" w:type="dxa"/>
            <w:tcBorders>
              <w:top w:val="nil"/>
              <w:left w:val="single" w:sz="4" w:space="0" w:color="auto"/>
              <w:bottom w:val="nil"/>
              <w:right w:val="single" w:sz="4" w:space="0" w:color="auto"/>
            </w:tcBorders>
            <w:shd w:val="clear" w:color="auto" w:fill="auto"/>
            <w:noWrap/>
            <w:vAlign w:val="center"/>
            <w:hideMark/>
          </w:tcPr>
          <w:p w:rsidR="0015789C" w:rsidRPr="00087303" w:rsidRDefault="0015789C" w:rsidP="0015789C">
            <w:pPr>
              <w:suppressAutoHyphens w:val="0"/>
              <w:jc w:val="center"/>
              <w:rPr>
                <w:sz w:val="20"/>
                <w:szCs w:val="20"/>
                <w:lang w:val="en-GB" w:eastAsia="tr-TR"/>
              </w:rPr>
            </w:pPr>
            <w:r w:rsidRPr="00087303">
              <w:rPr>
                <w:sz w:val="20"/>
                <w:szCs w:val="20"/>
                <w:lang w:val="en-GB" w:eastAsia="tr-TR"/>
              </w:rPr>
              <w:t>24 821</w:t>
            </w:r>
          </w:p>
        </w:tc>
        <w:tc>
          <w:tcPr>
            <w:tcW w:w="1398" w:type="dxa"/>
            <w:tcBorders>
              <w:top w:val="nil"/>
              <w:left w:val="single" w:sz="4" w:space="0" w:color="auto"/>
              <w:bottom w:val="nil"/>
              <w:right w:val="single" w:sz="4" w:space="0" w:color="auto"/>
            </w:tcBorders>
            <w:shd w:val="clear" w:color="auto" w:fill="auto"/>
            <w:noWrap/>
            <w:vAlign w:val="bottom"/>
            <w:hideMark/>
          </w:tcPr>
          <w:p w:rsidR="0015789C" w:rsidRPr="00087303" w:rsidRDefault="0015789C" w:rsidP="0015789C">
            <w:pPr>
              <w:suppressAutoHyphens w:val="0"/>
              <w:jc w:val="center"/>
              <w:rPr>
                <w:color w:val="000000"/>
                <w:sz w:val="20"/>
                <w:szCs w:val="20"/>
                <w:lang w:val="en-GB" w:eastAsia="tr-TR"/>
              </w:rPr>
            </w:pPr>
            <w:r w:rsidRPr="00087303">
              <w:rPr>
                <w:color w:val="000000"/>
                <w:sz w:val="20"/>
                <w:szCs w:val="20"/>
              </w:rPr>
              <w:t>62.9</w:t>
            </w:r>
          </w:p>
        </w:tc>
        <w:tc>
          <w:tcPr>
            <w:tcW w:w="1644" w:type="dxa"/>
            <w:tcBorders>
              <w:top w:val="nil"/>
              <w:left w:val="single" w:sz="4" w:space="0" w:color="auto"/>
              <w:bottom w:val="nil"/>
              <w:right w:val="single" w:sz="4" w:space="0" w:color="auto"/>
            </w:tcBorders>
            <w:shd w:val="clear" w:color="auto" w:fill="auto"/>
            <w:noWrap/>
            <w:vAlign w:val="bottom"/>
            <w:hideMark/>
          </w:tcPr>
          <w:p w:rsidR="0015789C" w:rsidRPr="00087303" w:rsidRDefault="0015789C" w:rsidP="0015789C">
            <w:pPr>
              <w:suppressAutoHyphens w:val="0"/>
              <w:jc w:val="center"/>
              <w:rPr>
                <w:color w:val="000000"/>
                <w:sz w:val="20"/>
                <w:szCs w:val="20"/>
                <w:lang w:val="en-GB" w:eastAsia="tr-TR"/>
              </w:rPr>
            </w:pPr>
            <w:r w:rsidRPr="00087303">
              <w:rPr>
                <w:color w:val="000000"/>
                <w:sz w:val="20"/>
                <w:szCs w:val="20"/>
              </w:rPr>
              <w:t>5.0</w:t>
            </w:r>
          </w:p>
        </w:tc>
        <w:tc>
          <w:tcPr>
            <w:tcW w:w="1457" w:type="dxa"/>
            <w:tcBorders>
              <w:top w:val="nil"/>
              <w:left w:val="single" w:sz="4" w:space="0" w:color="auto"/>
              <w:bottom w:val="nil"/>
              <w:right w:val="single" w:sz="4" w:space="0" w:color="auto"/>
            </w:tcBorders>
            <w:shd w:val="clear" w:color="auto" w:fill="auto"/>
            <w:noWrap/>
            <w:vAlign w:val="bottom"/>
            <w:hideMark/>
          </w:tcPr>
          <w:p w:rsidR="0015789C" w:rsidRPr="00087303" w:rsidRDefault="0015789C" w:rsidP="0015789C">
            <w:pPr>
              <w:suppressAutoHyphens w:val="0"/>
              <w:jc w:val="center"/>
              <w:rPr>
                <w:color w:val="000000"/>
                <w:sz w:val="20"/>
                <w:szCs w:val="20"/>
                <w:lang w:val="en-GB" w:eastAsia="tr-TR"/>
              </w:rPr>
            </w:pPr>
            <w:r w:rsidRPr="00087303">
              <w:rPr>
                <w:color w:val="000000"/>
                <w:sz w:val="20"/>
                <w:szCs w:val="20"/>
              </w:rPr>
              <w:t>18.9</w:t>
            </w:r>
          </w:p>
        </w:tc>
        <w:tc>
          <w:tcPr>
            <w:tcW w:w="2092" w:type="dxa"/>
            <w:tcBorders>
              <w:top w:val="nil"/>
              <w:left w:val="single" w:sz="4" w:space="0" w:color="auto"/>
              <w:bottom w:val="nil"/>
              <w:right w:val="single" w:sz="4" w:space="0" w:color="auto"/>
            </w:tcBorders>
            <w:shd w:val="clear" w:color="auto" w:fill="auto"/>
            <w:noWrap/>
            <w:vAlign w:val="bottom"/>
            <w:hideMark/>
          </w:tcPr>
          <w:p w:rsidR="0015789C" w:rsidRPr="00087303" w:rsidRDefault="0015789C" w:rsidP="0015789C">
            <w:pPr>
              <w:suppressAutoHyphens w:val="0"/>
              <w:jc w:val="center"/>
              <w:rPr>
                <w:color w:val="000000"/>
                <w:sz w:val="20"/>
                <w:szCs w:val="20"/>
                <w:lang w:val="en-GB" w:eastAsia="tr-TR"/>
              </w:rPr>
            </w:pPr>
            <w:r w:rsidRPr="00087303">
              <w:rPr>
                <w:color w:val="000000"/>
                <w:sz w:val="20"/>
                <w:szCs w:val="20"/>
              </w:rPr>
              <w:t>13.2</w:t>
            </w:r>
          </w:p>
        </w:tc>
      </w:tr>
      <w:tr w:rsidR="0015789C" w:rsidRPr="00087303" w:rsidTr="00BA42AD">
        <w:trPr>
          <w:trHeight w:hRule="exact" w:val="301"/>
        </w:trPr>
        <w:tc>
          <w:tcPr>
            <w:tcW w:w="1139" w:type="dxa"/>
            <w:tcBorders>
              <w:top w:val="nil"/>
              <w:left w:val="single" w:sz="4" w:space="0" w:color="auto"/>
              <w:bottom w:val="nil"/>
              <w:right w:val="single" w:sz="4" w:space="0" w:color="auto"/>
            </w:tcBorders>
            <w:shd w:val="clear" w:color="auto" w:fill="auto"/>
            <w:noWrap/>
            <w:vAlign w:val="center"/>
            <w:hideMark/>
          </w:tcPr>
          <w:p w:rsidR="0015789C" w:rsidRPr="00087303" w:rsidRDefault="0015789C" w:rsidP="0015789C">
            <w:pPr>
              <w:suppressAutoHyphens w:val="0"/>
              <w:jc w:val="center"/>
              <w:rPr>
                <w:b/>
                <w:bCs/>
                <w:color w:val="000000"/>
                <w:sz w:val="20"/>
                <w:szCs w:val="20"/>
                <w:lang w:val="en-GB" w:eastAsia="tr-TR"/>
              </w:rPr>
            </w:pPr>
            <w:r w:rsidRPr="00087303">
              <w:rPr>
                <w:b/>
                <w:bCs/>
                <w:color w:val="000000"/>
                <w:sz w:val="20"/>
                <w:szCs w:val="20"/>
                <w:lang w:val="en-GB" w:eastAsia="tr-TR"/>
              </w:rPr>
              <w:t>2013</w:t>
            </w:r>
          </w:p>
        </w:tc>
        <w:tc>
          <w:tcPr>
            <w:tcW w:w="1423" w:type="dxa"/>
            <w:tcBorders>
              <w:top w:val="nil"/>
              <w:left w:val="single" w:sz="4" w:space="0" w:color="auto"/>
              <w:bottom w:val="nil"/>
              <w:right w:val="single" w:sz="4" w:space="0" w:color="auto"/>
            </w:tcBorders>
            <w:shd w:val="clear" w:color="auto" w:fill="auto"/>
            <w:noWrap/>
            <w:vAlign w:val="center"/>
            <w:hideMark/>
          </w:tcPr>
          <w:p w:rsidR="0015789C" w:rsidRPr="00087303" w:rsidRDefault="0015789C" w:rsidP="0015789C">
            <w:pPr>
              <w:suppressAutoHyphens w:val="0"/>
              <w:jc w:val="center"/>
              <w:rPr>
                <w:sz w:val="20"/>
                <w:szCs w:val="20"/>
                <w:lang w:val="en-GB" w:eastAsia="tr-TR"/>
              </w:rPr>
            </w:pPr>
            <w:r w:rsidRPr="00087303">
              <w:rPr>
                <w:sz w:val="20"/>
                <w:szCs w:val="20"/>
                <w:lang w:val="en-GB" w:eastAsia="tr-TR"/>
              </w:rPr>
              <w:t>25 524</w:t>
            </w:r>
          </w:p>
        </w:tc>
        <w:tc>
          <w:tcPr>
            <w:tcW w:w="1398" w:type="dxa"/>
            <w:tcBorders>
              <w:top w:val="nil"/>
              <w:left w:val="single" w:sz="4" w:space="0" w:color="auto"/>
              <w:bottom w:val="nil"/>
              <w:right w:val="single" w:sz="4" w:space="0" w:color="auto"/>
            </w:tcBorders>
            <w:shd w:val="clear" w:color="auto" w:fill="auto"/>
            <w:noWrap/>
            <w:vAlign w:val="bottom"/>
            <w:hideMark/>
          </w:tcPr>
          <w:p w:rsidR="0015789C" w:rsidRPr="00087303" w:rsidRDefault="0015789C" w:rsidP="0015789C">
            <w:pPr>
              <w:suppressAutoHyphens w:val="0"/>
              <w:jc w:val="center"/>
              <w:rPr>
                <w:color w:val="000000"/>
                <w:sz w:val="20"/>
                <w:szCs w:val="20"/>
                <w:lang w:val="en-GB" w:eastAsia="tr-TR"/>
              </w:rPr>
            </w:pPr>
            <w:r w:rsidRPr="00087303">
              <w:rPr>
                <w:color w:val="000000"/>
                <w:sz w:val="20"/>
                <w:szCs w:val="20"/>
              </w:rPr>
              <w:t>64.1</w:t>
            </w:r>
          </w:p>
        </w:tc>
        <w:tc>
          <w:tcPr>
            <w:tcW w:w="1644" w:type="dxa"/>
            <w:tcBorders>
              <w:top w:val="nil"/>
              <w:left w:val="single" w:sz="4" w:space="0" w:color="auto"/>
              <w:bottom w:val="nil"/>
              <w:right w:val="single" w:sz="4" w:space="0" w:color="auto"/>
            </w:tcBorders>
            <w:shd w:val="clear" w:color="auto" w:fill="auto"/>
            <w:noWrap/>
            <w:vAlign w:val="bottom"/>
            <w:hideMark/>
          </w:tcPr>
          <w:p w:rsidR="0015789C" w:rsidRPr="00087303" w:rsidRDefault="0015789C" w:rsidP="0015789C">
            <w:pPr>
              <w:suppressAutoHyphens w:val="0"/>
              <w:jc w:val="center"/>
              <w:rPr>
                <w:color w:val="000000"/>
                <w:sz w:val="20"/>
                <w:szCs w:val="20"/>
                <w:lang w:val="en-GB" w:eastAsia="tr-TR"/>
              </w:rPr>
            </w:pPr>
            <w:r w:rsidRPr="00087303">
              <w:rPr>
                <w:color w:val="000000"/>
                <w:sz w:val="20"/>
                <w:szCs w:val="20"/>
              </w:rPr>
              <w:t>4.6</w:t>
            </w:r>
          </w:p>
        </w:tc>
        <w:tc>
          <w:tcPr>
            <w:tcW w:w="1457" w:type="dxa"/>
            <w:tcBorders>
              <w:top w:val="nil"/>
              <w:left w:val="single" w:sz="4" w:space="0" w:color="auto"/>
              <w:bottom w:val="nil"/>
              <w:right w:val="single" w:sz="4" w:space="0" w:color="auto"/>
            </w:tcBorders>
            <w:shd w:val="clear" w:color="auto" w:fill="auto"/>
            <w:noWrap/>
            <w:vAlign w:val="bottom"/>
            <w:hideMark/>
          </w:tcPr>
          <w:p w:rsidR="0015789C" w:rsidRPr="00087303" w:rsidRDefault="0015789C" w:rsidP="0015789C">
            <w:pPr>
              <w:suppressAutoHyphens w:val="0"/>
              <w:jc w:val="center"/>
              <w:rPr>
                <w:color w:val="000000"/>
                <w:sz w:val="20"/>
                <w:szCs w:val="20"/>
                <w:lang w:val="en-GB" w:eastAsia="tr-TR"/>
              </w:rPr>
            </w:pPr>
            <w:r w:rsidRPr="00087303">
              <w:rPr>
                <w:color w:val="000000"/>
                <w:sz w:val="20"/>
                <w:szCs w:val="20"/>
              </w:rPr>
              <w:t>18.7</w:t>
            </w:r>
          </w:p>
        </w:tc>
        <w:tc>
          <w:tcPr>
            <w:tcW w:w="2092" w:type="dxa"/>
            <w:tcBorders>
              <w:top w:val="nil"/>
              <w:left w:val="single" w:sz="4" w:space="0" w:color="auto"/>
              <w:bottom w:val="nil"/>
              <w:right w:val="single" w:sz="4" w:space="0" w:color="auto"/>
            </w:tcBorders>
            <w:shd w:val="clear" w:color="auto" w:fill="auto"/>
            <w:noWrap/>
            <w:vAlign w:val="bottom"/>
            <w:hideMark/>
          </w:tcPr>
          <w:p w:rsidR="0015789C" w:rsidRPr="00087303" w:rsidRDefault="0015789C" w:rsidP="0015789C">
            <w:pPr>
              <w:suppressAutoHyphens w:val="0"/>
              <w:jc w:val="center"/>
              <w:rPr>
                <w:color w:val="000000"/>
                <w:sz w:val="20"/>
                <w:szCs w:val="20"/>
                <w:lang w:val="en-GB" w:eastAsia="tr-TR"/>
              </w:rPr>
            </w:pPr>
            <w:r w:rsidRPr="00087303">
              <w:rPr>
                <w:color w:val="000000"/>
                <w:sz w:val="20"/>
                <w:szCs w:val="20"/>
              </w:rPr>
              <w:t>12.6</w:t>
            </w:r>
          </w:p>
        </w:tc>
      </w:tr>
      <w:tr w:rsidR="0015789C" w:rsidRPr="00087303" w:rsidTr="00BA42AD">
        <w:trPr>
          <w:trHeight w:hRule="exact" w:val="301"/>
        </w:trPr>
        <w:tc>
          <w:tcPr>
            <w:tcW w:w="1139" w:type="dxa"/>
            <w:tcBorders>
              <w:top w:val="nil"/>
              <w:left w:val="single" w:sz="4" w:space="0" w:color="auto"/>
              <w:bottom w:val="nil"/>
              <w:right w:val="single" w:sz="4" w:space="0" w:color="auto"/>
            </w:tcBorders>
            <w:shd w:val="clear" w:color="auto" w:fill="auto"/>
            <w:noWrap/>
            <w:vAlign w:val="center"/>
            <w:hideMark/>
          </w:tcPr>
          <w:p w:rsidR="0015789C" w:rsidRPr="00087303" w:rsidRDefault="0015789C" w:rsidP="0015789C">
            <w:pPr>
              <w:suppressAutoHyphens w:val="0"/>
              <w:jc w:val="center"/>
              <w:rPr>
                <w:b/>
                <w:bCs/>
                <w:color w:val="000000"/>
                <w:sz w:val="20"/>
                <w:szCs w:val="20"/>
                <w:lang w:val="en-GB" w:eastAsia="tr-TR"/>
              </w:rPr>
            </w:pPr>
            <w:r w:rsidRPr="00087303">
              <w:rPr>
                <w:b/>
                <w:bCs/>
                <w:color w:val="000000"/>
                <w:sz w:val="20"/>
                <w:szCs w:val="20"/>
                <w:lang w:val="en-GB" w:eastAsia="tr-TR"/>
              </w:rPr>
              <w:t>2014*</w:t>
            </w:r>
          </w:p>
        </w:tc>
        <w:tc>
          <w:tcPr>
            <w:tcW w:w="1423" w:type="dxa"/>
            <w:tcBorders>
              <w:top w:val="nil"/>
              <w:left w:val="single" w:sz="4" w:space="0" w:color="auto"/>
              <w:bottom w:val="nil"/>
              <w:right w:val="single" w:sz="4" w:space="0" w:color="auto"/>
            </w:tcBorders>
            <w:shd w:val="clear" w:color="auto" w:fill="auto"/>
            <w:noWrap/>
            <w:vAlign w:val="center"/>
            <w:hideMark/>
          </w:tcPr>
          <w:p w:rsidR="0015789C" w:rsidRPr="00087303" w:rsidRDefault="0015789C" w:rsidP="0015789C">
            <w:pPr>
              <w:suppressAutoHyphens w:val="0"/>
              <w:jc w:val="center"/>
              <w:rPr>
                <w:color w:val="000000"/>
                <w:sz w:val="20"/>
                <w:szCs w:val="20"/>
                <w:lang w:val="en-GB" w:eastAsia="tr-TR"/>
              </w:rPr>
            </w:pPr>
            <w:r w:rsidRPr="00087303">
              <w:rPr>
                <w:color w:val="000000"/>
                <w:sz w:val="20"/>
                <w:szCs w:val="20"/>
                <w:lang w:val="en-GB" w:eastAsia="tr-TR"/>
              </w:rPr>
              <w:t>25 933</w:t>
            </w:r>
          </w:p>
        </w:tc>
        <w:tc>
          <w:tcPr>
            <w:tcW w:w="1398" w:type="dxa"/>
            <w:tcBorders>
              <w:top w:val="nil"/>
              <w:left w:val="single" w:sz="4" w:space="0" w:color="auto"/>
              <w:bottom w:val="nil"/>
              <w:right w:val="single" w:sz="4" w:space="0" w:color="auto"/>
            </w:tcBorders>
            <w:shd w:val="clear" w:color="auto" w:fill="auto"/>
            <w:noWrap/>
            <w:vAlign w:val="bottom"/>
            <w:hideMark/>
          </w:tcPr>
          <w:p w:rsidR="0015789C" w:rsidRPr="00087303" w:rsidRDefault="0015789C" w:rsidP="0015789C">
            <w:pPr>
              <w:suppressAutoHyphens w:val="0"/>
              <w:jc w:val="center"/>
              <w:rPr>
                <w:color w:val="000000"/>
                <w:sz w:val="20"/>
                <w:szCs w:val="20"/>
                <w:lang w:val="en-GB" w:eastAsia="tr-TR"/>
              </w:rPr>
            </w:pPr>
            <w:r w:rsidRPr="00087303">
              <w:rPr>
                <w:color w:val="000000"/>
                <w:sz w:val="20"/>
                <w:szCs w:val="20"/>
              </w:rPr>
              <w:t>66.0</w:t>
            </w:r>
          </w:p>
        </w:tc>
        <w:tc>
          <w:tcPr>
            <w:tcW w:w="1644" w:type="dxa"/>
            <w:tcBorders>
              <w:top w:val="nil"/>
              <w:left w:val="single" w:sz="4" w:space="0" w:color="auto"/>
              <w:bottom w:val="nil"/>
              <w:right w:val="single" w:sz="4" w:space="0" w:color="auto"/>
            </w:tcBorders>
            <w:shd w:val="clear" w:color="auto" w:fill="auto"/>
            <w:noWrap/>
            <w:vAlign w:val="bottom"/>
            <w:hideMark/>
          </w:tcPr>
          <w:p w:rsidR="0015789C" w:rsidRPr="00087303" w:rsidRDefault="0015789C" w:rsidP="0015789C">
            <w:pPr>
              <w:suppressAutoHyphens w:val="0"/>
              <w:jc w:val="center"/>
              <w:rPr>
                <w:color w:val="000000"/>
                <w:sz w:val="20"/>
                <w:szCs w:val="20"/>
                <w:lang w:val="en-GB" w:eastAsia="tr-TR"/>
              </w:rPr>
            </w:pPr>
            <w:r w:rsidRPr="00087303">
              <w:rPr>
                <w:color w:val="000000"/>
                <w:sz w:val="20"/>
                <w:szCs w:val="20"/>
              </w:rPr>
              <w:t>4.5</w:t>
            </w:r>
          </w:p>
        </w:tc>
        <w:tc>
          <w:tcPr>
            <w:tcW w:w="1457" w:type="dxa"/>
            <w:tcBorders>
              <w:top w:val="nil"/>
              <w:left w:val="single" w:sz="4" w:space="0" w:color="auto"/>
              <w:bottom w:val="nil"/>
              <w:right w:val="single" w:sz="4" w:space="0" w:color="auto"/>
            </w:tcBorders>
            <w:shd w:val="clear" w:color="auto" w:fill="auto"/>
            <w:noWrap/>
            <w:vAlign w:val="bottom"/>
            <w:hideMark/>
          </w:tcPr>
          <w:p w:rsidR="0015789C" w:rsidRPr="00087303" w:rsidRDefault="0015789C" w:rsidP="0015789C">
            <w:pPr>
              <w:suppressAutoHyphens w:val="0"/>
              <w:jc w:val="center"/>
              <w:rPr>
                <w:color w:val="000000"/>
                <w:sz w:val="20"/>
                <w:szCs w:val="20"/>
                <w:lang w:val="en-GB" w:eastAsia="tr-TR"/>
              </w:rPr>
            </w:pPr>
            <w:r w:rsidRPr="00087303">
              <w:rPr>
                <w:color w:val="000000"/>
                <w:sz w:val="20"/>
                <w:szCs w:val="20"/>
              </w:rPr>
              <w:t>17.3</w:t>
            </w:r>
          </w:p>
        </w:tc>
        <w:tc>
          <w:tcPr>
            <w:tcW w:w="2092" w:type="dxa"/>
            <w:tcBorders>
              <w:top w:val="nil"/>
              <w:left w:val="single" w:sz="4" w:space="0" w:color="auto"/>
              <w:bottom w:val="nil"/>
              <w:right w:val="single" w:sz="4" w:space="0" w:color="auto"/>
            </w:tcBorders>
            <w:shd w:val="clear" w:color="auto" w:fill="auto"/>
            <w:noWrap/>
            <w:vAlign w:val="bottom"/>
            <w:hideMark/>
          </w:tcPr>
          <w:p w:rsidR="0015789C" w:rsidRPr="00087303" w:rsidRDefault="0015789C" w:rsidP="0015789C">
            <w:pPr>
              <w:suppressAutoHyphens w:val="0"/>
              <w:jc w:val="center"/>
              <w:rPr>
                <w:color w:val="000000"/>
                <w:sz w:val="20"/>
                <w:szCs w:val="20"/>
                <w:lang w:val="en-GB" w:eastAsia="tr-TR"/>
              </w:rPr>
            </w:pPr>
            <w:r w:rsidRPr="00087303">
              <w:rPr>
                <w:color w:val="000000"/>
                <w:sz w:val="20"/>
                <w:szCs w:val="20"/>
              </w:rPr>
              <w:t>12.2</w:t>
            </w:r>
          </w:p>
        </w:tc>
      </w:tr>
      <w:tr w:rsidR="0015789C" w:rsidRPr="00087303" w:rsidTr="00BA42AD">
        <w:trPr>
          <w:trHeight w:hRule="exact" w:val="301"/>
        </w:trPr>
        <w:tc>
          <w:tcPr>
            <w:tcW w:w="1139" w:type="dxa"/>
            <w:tcBorders>
              <w:top w:val="nil"/>
              <w:left w:val="single" w:sz="4" w:space="0" w:color="auto"/>
              <w:bottom w:val="nil"/>
              <w:right w:val="single" w:sz="4" w:space="0" w:color="auto"/>
            </w:tcBorders>
            <w:shd w:val="clear" w:color="auto" w:fill="auto"/>
            <w:noWrap/>
            <w:vAlign w:val="center"/>
            <w:hideMark/>
          </w:tcPr>
          <w:p w:rsidR="0015789C" w:rsidRPr="00087303" w:rsidRDefault="0015789C" w:rsidP="0015789C">
            <w:pPr>
              <w:suppressAutoHyphens w:val="0"/>
              <w:jc w:val="center"/>
              <w:rPr>
                <w:b/>
                <w:bCs/>
                <w:color w:val="000000"/>
                <w:sz w:val="20"/>
                <w:szCs w:val="20"/>
                <w:lang w:val="en-GB" w:eastAsia="tr-TR"/>
              </w:rPr>
            </w:pPr>
            <w:r w:rsidRPr="00087303">
              <w:rPr>
                <w:b/>
                <w:bCs/>
                <w:color w:val="000000"/>
                <w:sz w:val="20"/>
                <w:szCs w:val="20"/>
                <w:lang w:val="en-GB" w:eastAsia="tr-TR"/>
              </w:rPr>
              <w:t>2015</w:t>
            </w:r>
          </w:p>
        </w:tc>
        <w:tc>
          <w:tcPr>
            <w:tcW w:w="1423" w:type="dxa"/>
            <w:tcBorders>
              <w:top w:val="nil"/>
              <w:left w:val="single" w:sz="4" w:space="0" w:color="auto"/>
              <w:bottom w:val="nil"/>
              <w:right w:val="single" w:sz="4" w:space="0" w:color="auto"/>
            </w:tcBorders>
            <w:shd w:val="clear" w:color="auto" w:fill="auto"/>
            <w:noWrap/>
            <w:vAlign w:val="center"/>
            <w:hideMark/>
          </w:tcPr>
          <w:p w:rsidR="0015789C" w:rsidRPr="00087303" w:rsidRDefault="0015789C" w:rsidP="0015789C">
            <w:pPr>
              <w:suppressAutoHyphens w:val="0"/>
              <w:jc w:val="center"/>
              <w:rPr>
                <w:color w:val="000000"/>
                <w:sz w:val="20"/>
                <w:szCs w:val="20"/>
                <w:lang w:val="en-GB" w:eastAsia="tr-TR"/>
              </w:rPr>
            </w:pPr>
            <w:r w:rsidRPr="00087303">
              <w:rPr>
                <w:color w:val="000000"/>
                <w:sz w:val="20"/>
                <w:szCs w:val="20"/>
                <w:lang w:val="en-GB" w:eastAsia="tr-TR"/>
              </w:rPr>
              <w:t>26 621</w:t>
            </w:r>
          </w:p>
        </w:tc>
        <w:tc>
          <w:tcPr>
            <w:tcW w:w="1398" w:type="dxa"/>
            <w:tcBorders>
              <w:top w:val="nil"/>
              <w:left w:val="single" w:sz="4" w:space="0" w:color="auto"/>
              <w:bottom w:val="nil"/>
              <w:right w:val="single" w:sz="4" w:space="0" w:color="auto"/>
            </w:tcBorders>
            <w:shd w:val="clear" w:color="auto" w:fill="auto"/>
            <w:noWrap/>
            <w:vAlign w:val="bottom"/>
            <w:hideMark/>
          </w:tcPr>
          <w:p w:rsidR="0015789C" w:rsidRPr="00087303" w:rsidRDefault="0015789C" w:rsidP="0015789C">
            <w:pPr>
              <w:suppressAutoHyphens w:val="0"/>
              <w:jc w:val="center"/>
              <w:rPr>
                <w:color w:val="000000"/>
                <w:sz w:val="20"/>
                <w:szCs w:val="20"/>
                <w:lang w:val="en-GB" w:eastAsia="tr-TR"/>
              </w:rPr>
            </w:pPr>
            <w:r w:rsidRPr="00087303">
              <w:rPr>
                <w:color w:val="000000"/>
                <w:sz w:val="20"/>
                <w:szCs w:val="20"/>
              </w:rPr>
              <w:t>67.0</w:t>
            </w:r>
          </w:p>
        </w:tc>
        <w:tc>
          <w:tcPr>
            <w:tcW w:w="1644" w:type="dxa"/>
            <w:tcBorders>
              <w:top w:val="nil"/>
              <w:left w:val="single" w:sz="4" w:space="0" w:color="auto"/>
              <w:bottom w:val="nil"/>
              <w:right w:val="single" w:sz="4" w:space="0" w:color="auto"/>
            </w:tcBorders>
            <w:shd w:val="clear" w:color="auto" w:fill="auto"/>
            <w:noWrap/>
            <w:vAlign w:val="bottom"/>
            <w:hideMark/>
          </w:tcPr>
          <w:p w:rsidR="0015789C" w:rsidRPr="00087303" w:rsidRDefault="0015789C" w:rsidP="0015789C">
            <w:pPr>
              <w:suppressAutoHyphens w:val="0"/>
              <w:jc w:val="center"/>
              <w:rPr>
                <w:color w:val="000000"/>
                <w:sz w:val="20"/>
                <w:szCs w:val="20"/>
                <w:lang w:val="en-GB" w:eastAsia="tr-TR"/>
              </w:rPr>
            </w:pPr>
            <w:r w:rsidRPr="00087303">
              <w:rPr>
                <w:color w:val="000000"/>
                <w:sz w:val="20"/>
                <w:szCs w:val="20"/>
              </w:rPr>
              <w:t>4.4</w:t>
            </w:r>
          </w:p>
        </w:tc>
        <w:tc>
          <w:tcPr>
            <w:tcW w:w="1457" w:type="dxa"/>
            <w:tcBorders>
              <w:top w:val="nil"/>
              <w:left w:val="single" w:sz="4" w:space="0" w:color="auto"/>
              <w:bottom w:val="nil"/>
              <w:right w:val="single" w:sz="4" w:space="0" w:color="auto"/>
            </w:tcBorders>
            <w:shd w:val="clear" w:color="auto" w:fill="auto"/>
            <w:noWrap/>
            <w:vAlign w:val="bottom"/>
            <w:hideMark/>
          </w:tcPr>
          <w:p w:rsidR="0015789C" w:rsidRPr="00087303" w:rsidRDefault="0015789C" w:rsidP="0015789C">
            <w:pPr>
              <w:suppressAutoHyphens w:val="0"/>
              <w:jc w:val="center"/>
              <w:rPr>
                <w:color w:val="000000"/>
                <w:sz w:val="20"/>
                <w:szCs w:val="20"/>
                <w:lang w:val="en-GB" w:eastAsia="tr-TR"/>
              </w:rPr>
            </w:pPr>
            <w:r w:rsidRPr="00087303">
              <w:rPr>
                <w:color w:val="000000"/>
                <w:sz w:val="20"/>
                <w:szCs w:val="20"/>
              </w:rPr>
              <w:t>16.8</w:t>
            </w:r>
          </w:p>
        </w:tc>
        <w:tc>
          <w:tcPr>
            <w:tcW w:w="2092" w:type="dxa"/>
            <w:tcBorders>
              <w:top w:val="nil"/>
              <w:left w:val="single" w:sz="4" w:space="0" w:color="auto"/>
              <w:bottom w:val="nil"/>
              <w:right w:val="single" w:sz="4" w:space="0" w:color="auto"/>
            </w:tcBorders>
            <w:shd w:val="clear" w:color="auto" w:fill="auto"/>
            <w:noWrap/>
            <w:vAlign w:val="bottom"/>
            <w:hideMark/>
          </w:tcPr>
          <w:p w:rsidR="0015789C" w:rsidRPr="00087303" w:rsidRDefault="0015789C" w:rsidP="0015789C">
            <w:pPr>
              <w:suppressAutoHyphens w:val="0"/>
              <w:jc w:val="center"/>
              <w:rPr>
                <w:color w:val="000000"/>
                <w:sz w:val="20"/>
                <w:szCs w:val="20"/>
                <w:lang w:val="en-GB" w:eastAsia="tr-TR"/>
              </w:rPr>
            </w:pPr>
            <w:r w:rsidRPr="00087303">
              <w:rPr>
                <w:color w:val="000000"/>
                <w:sz w:val="20"/>
                <w:szCs w:val="20"/>
              </w:rPr>
              <w:t>11.8</w:t>
            </w:r>
          </w:p>
        </w:tc>
      </w:tr>
      <w:tr w:rsidR="0015789C" w:rsidRPr="00087303" w:rsidTr="00BA42AD">
        <w:trPr>
          <w:trHeight w:hRule="exact" w:val="301"/>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15789C" w:rsidRPr="00087303" w:rsidRDefault="0015789C" w:rsidP="0015789C">
            <w:pPr>
              <w:suppressAutoHyphens w:val="0"/>
              <w:jc w:val="center"/>
              <w:rPr>
                <w:b/>
                <w:bCs/>
                <w:color w:val="000000"/>
                <w:sz w:val="20"/>
                <w:szCs w:val="20"/>
                <w:lang w:val="en-GB" w:eastAsia="tr-TR"/>
              </w:rPr>
            </w:pPr>
            <w:r w:rsidRPr="00087303">
              <w:rPr>
                <w:b/>
                <w:bCs/>
                <w:color w:val="000000"/>
                <w:sz w:val="20"/>
                <w:szCs w:val="20"/>
                <w:lang w:val="en-GB" w:eastAsia="tr-TR"/>
              </w:rPr>
              <w:t>2016</w:t>
            </w:r>
          </w:p>
        </w:tc>
        <w:tc>
          <w:tcPr>
            <w:tcW w:w="1423" w:type="dxa"/>
            <w:tcBorders>
              <w:top w:val="nil"/>
              <w:left w:val="single" w:sz="4" w:space="0" w:color="auto"/>
              <w:bottom w:val="single" w:sz="4" w:space="0" w:color="auto"/>
              <w:right w:val="single" w:sz="4" w:space="0" w:color="auto"/>
            </w:tcBorders>
            <w:shd w:val="clear" w:color="auto" w:fill="auto"/>
            <w:noWrap/>
            <w:vAlign w:val="center"/>
            <w:hideMark/>
          </w:tcPr>
          <w:p w:rsidR="0015789C" w:rsidRPr="00087303" w:rsidRDefault="0015789C" w:rsidP="0015789C">
            <w:pPr>
              <w:suppressAutoHyphens w:val="0"/>
              <w:jc w:val="center"/>
              <w:rPr>
                <w:color w:val="000000"/>
                <w:sz w:val="20"/>
                <w:szCs w:val="20"/>
                <w:lang w:val="en-GB" w:eastAsia="tr-TR"/>
              </w:rPr>
            </w:pPr>
            <w:r w:rsidRPr="00087303">
              <w:rPr>
                <w:color w:val="000000"/>
                <w:sz w:val="20"/>
                <w:szCs w:val="20"/>
                <w:lang w:val="en-GB" w:eastAsia="tr-TR"/>
              </w:rPr>
              <w:t>27 205</w:t>
            </w:r>
          </w:p>
        </w:tc>
        <w:tc>
          <w:tcPr>
            <w:tcW w:w="1398" w:type="dxa"/>
            <w:tcBorders>
              <w:top w:val="nil"/>
              <w:left w:val="single" w:sz="4" w:space="0" w:color="auto"/>
              <w:bottom w:val="single" w:sz="4" w:space="0" w:color="auto"/>
              <w:right w:val="single" w:sz="4" w:space="0" w:color="auto"/>
            </w:tcBorders>
            <w:shd w:val="clear" w:color="auto" w:fill="auto"/>
            <w:noWrap/>
            <w:vAlign w:val="bottom"/>
            <w:hideMark/>
          </w:tcPr>
          <w:p w:rsidR="0015789C" w:rsidRPr="00087303" w:rsidRDefault="0015789C" w:rsidP="0015789C">
            <w:pPr>
              <w:suppressAutoHyphens w:val="0"/>
              <w:jc w:val="center"/>
              <w:rPr>
                <w:color w:val="000000"/>
                <w:sz w:val="20"/>
                <w:szCs w:val="20"/>
                <w:lang w:val="en-GB" w:eastAsia="tr-TR"/>
              </w:rPr>
            </w:pPr>
            <w:r w:rsidRPr="00087303">
              <w:rPr>
                <w:color w:val="000000"/>
                <w:sz w:val="20"/>
                <w:szCs w:val="20"/>
              </w:rPr>
              <w:t>67.6</w:t>
            </w:r>
          </w:p>
        </w:tc>
        <w:tc>
          <w:tcPr>
            <w:tcW w:w="1644" w:type="dxa"/>
            <w:tcBorders>
              <w:top w:val="nil"/>
              <w:left w:val="single" w:sz="4" w:space="0" w:color="auto"/>
              <w:bottom w:val="single" w:sz="4" w:space="0" w:color="auto"/>
              <w:right w:val="single" w:sz="4" w:space="0" w:color="auto"/>
            </w:tcBorders>
            <w:shd w:val="clear" w:color="auto" w:fill="auto"/>
            <w:noWrap/>
            <w:vAlign w:val="bottom"/>
            <w:hideMark/>
          </w:tcPr>
          <w:p w:rsidR="0015789C" w:rsidRPr="00087303" w:rsidRDefault="0015789C" w:rsidP="0015789C">
            <w:pPr>
              <w:suppressAutoHyphens w:val="0"/>
              <w:jc w:val="center"/>
              <w:rPr>
                <w:color w:val="000000"/>
                <w:sz w:val="20"/>
                <w:szCs w:val="20"/>
                <w:lang w:val="en-GB" w:eastAsia="tr-TR"/>
              </w:rPr>
            </w:pPr>
            <w:r w:rsidRPr="00087303">
              <w:rPr>
                <w:color w:val="000000"/>
                <w:sz w:val="20"/>
                <w:szCs w:val="20"/>
              </w:rPr>
              <w:t>4.6</w:t>
            </w:r>
          </w:p>
        </w:tc>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15789C" w:rsidRPr="00087303" w:rsidRDefault="0015789C" w:rsidP="0015789C">
            <w:pPr>
              <w:suppressAutoHyphens w:val="0"/>
              <w:jc w:val="center"/>
              <w:rPr>
                <w:color w:val="000000"/>
                <w:sz w:val="20"/>
                <w:szCs w:val="20"/>
                <w:lang w:val="en-GB" w:eastAsia="tr-TR"/>
              </w:rPr>
            </w:pPr>
            <w:r w:rsidRPr="00087303">
              <w:rPr>
                <w:color w:val="000000"/>
                <w:sz w:val="20"/>
                <w:szCs w:val="20"/>
              </w:rPr>
              <w:t>16.7</w:t>
            </w:r>
          </w:p>
        </w:tc>
        <w:tc>
          <w:tcPr>
            <w:tcW w:w="2092" w:type="dxa"/>
            <w:tcBorders>
              <w:top w:val="nil"/>
              <w:left w:val="single" w:sz="4" w:space="0" w:color="auto"/>
              <w:bottom w:val="single" w:sz="4" w:space="0" w:color="auto"/>
              <w:right w:val="single" w:sz="4" w:space="0" w:color="auto"/>
            </w:tcBorders>
            <w:shd w:val="clear" w:color="auto" w:fill="auto"/>
            <w:noWrap/>
            <w:vAlign w:val="bottom"/>
            <w:hideMark/>
          </w:tcPr>
          <w:p w:rsidR="0015789C" w:rsidRPr="00087303" w:rsidRDefault="0015789C" w:rsidP="0015789C">
            <w:pPr>
              <w:suppressAutoHyphens w:val="0"/>
              <w:jc w:val="center"/>
              <w:rPr>
                <w:color w:val="000000"/>
                <w:sz w:val="20"/>
                <w:szCs w:val="20"/>
                <w:lang w:val="en-GB" w:eastAsia="tr-TR"/>
              </w:rPr>
            </w:pPr>
            <w:r w:rsidRPr="00087303">
              <w:rPr>
                <w:color w:val="000000"/>
                <w:sz w:val="20"/>
                <w:szCs w:val="20"/>
              </w:rPr>
              <w:t>11.2</w:t>
            </w:r>
          </w:p>
        </w:tc>
      </w:tr>
    </w:tbl>
    <w:p w:rsidR="00872C57" w:rsidRDefault="00C9143E" w:rsidP="0015789C">
      <w:pPr>
        <w:pStyle w:val="NoSpacing"/>
        <w:jc w:val="both"/>
        <w:rPr>
          <w:rFonts w:ascii="Palatino Linotype" w:hAnsi="Palatino Linotype"/>
          <w:sz w:val="20"/>
          <w:szCs w:val="20"/>
          <w:lang w:val="en-GB" w:eastAsia="tr-TR"/>
        </w:rPr>
      </w:pPr>
      <w:r>
        <w:rPr>
          <w:rFonts w:ascii="Palatino Linotype" w:hAnsi="Palatino Linotype"/>
          <w:b/>
          <w:sz w:val="20"/>
          <w:szCs w:val="20"/>
          <w:lang w:val="en-GB" w:eastAsia="tr-TR"/>
        </w:rPr>
        <w:t>Source</w:t>
      </w:r>
      <w:r w:rsidR="00A4772F" w:rsidRPr="009D7B6F">
        <w:rPr>
          <w:rFonts w:ascii="Palatino Linotype" w:hAnsi="Palatino Linotype"/>
          <w:b/>
          <w:sz w:val="20"/>
          <w:szCs w:val="20"/>
          <w:lang w:val="en-GB" w:eastAsia="tr-TR"/>
        </w:rPr>
        <w:t xml:space="preserve">: </w:t>
      </w:r>
      <w:r w:rsidR="007B71DD">
        <w:rPr>
          <w:rFonts w:ascii="Palatino Linotype" w:hAnsi="Palatino Linotype"/>
          <w:sz w:val="20"/>
          <w:szCs w:val="20"/>
          <w:lang w:val="en-GB" w:eastAsia="tr-TR"/>
        </w:rPr>
        <w:t>TurkStat</w:t>
      </w:r>
      <w:r w:rsidR="00B80E59">
        <w:rPr>
          <w:rFonts w:ascii="Palatino Linotype" w:hAnsi="Palatino Linotype"/>
          <w:sz w:val="20"/>
          <w:szCs w:val="20"/>
          <w:lang w:val="en-GB" w:eastAsia="tr-TR"/>
        </w:rPr>
        <w:t xml:space="preserve"> HLFS</w:t>
      </w:r>
      <w:r w:rsidRPr="0015789C">
        <w:rPr>
          <w:rFonts w:ascii="Palatino Linotype" w:hAnsi="Palatino Linotype"/>
          <w:sz w:val="20"/>
          <w:szCs w:val="20"/>
          <w:lang w:val="en-GB" w:eastAsia="tr-TR"/>
        </w:rPr>
        <w:t xml:space="preserve"> </w:t>
      </w:r>
      <w:r w:rsidR="00296E05" w:rsidRPr="0015789C">
        <w:rPr>
          <w:rFonts w:ascii="Palatino Linotype" w:hAnsi="Palatino Linotype"/>
          <w:sz w:val="20"/>
          <w:szCs w:val="20"/>
          <w:lang w:val="en-GB" w:eastAsia="tr-TR"/>
        </w:rPr>
        <w:t xml:space="preserve">(http://www.tuik.gov.tr, </w:t>
      </w:r>
      <w:r w:rsidRPr="0015789C">
        <w:rPr>
          <w:rFonts w:ascii="Palatino Linotype" w:hAnsi="Palatino Linotype"/>
          <w:sz w:val="20"/>
          <w:szCs w:val="20"/>
          <w:lang w:val="en-GB" w:eastAsia="tr-TR"/>
        </w:rPr>
        <w:t>Date of access</w:t>
      </w:r>
      <w:r w:rsidR="00296E05" w:rsidRPr="0015789C">
        <w:rPr>
          <w:rFonts w:ascii="Palatino Linotype" w:hAnsi="Palatino Linotype"/>
          <w:sz w:val="20"/>
          <w:szCs w:val="20"/>
          <w:lang w:val="en-GB" w:eastAsia="tr-TR"/>
        </w:rPr>
        <w:t>10.11.2017)</w:t>
      </w:r>
      <w:r w:rsidR="00B80E59">
        <w:rPr>
          <w:rFonts w:ascii="Palatino Linotype" w:hAnsi="Palatino Linotype"/>
          <w:sz w:val="20"/>
          <w:szCs w:val="20"/>
          <w:lang w:val="en-GB" w:eastAsia="tr-TR"/>
        </w:rPr>
        <w:t xml:space="preserve"> </w:t>
      </w:r>
      <w:r w:rsidR="00087303" w:rsidRPr="0015789C">
        <w:rPr>
          <w:rFonts w:ascii="Palatino Linotype" w:hAnsi="Palatino Linotype"/>
          <w:b/>
          <w:sz w:val="20"/>
          <w:szCs w:val="20"/>
          <w:lang w:val="en-GB" w:eastAsia="tr-TR"/>
        </w:rPr>
        <w:t>Note:</w:t>
      </w:r>
      <w:r w:rsidR="00087303" w:rsidRPr="0015789C">
        <w:rPr>
          <w:rFonts w:ascii="Palatino Linotype" w:hAnsi="Palatino Linotype"/>
          <w:sz w:val="20"/>
          <w:szCs w:val="20"/>
          <w:lang w:val="en-GB" w:eastAsia="tr-TR"/>
        </w:rPr>
        <w:t xml:space="preserve"> The</w:t>
      </w:r>
      <w:r w:rsidR="0015789C" w:rsidRPr="0015789C">
        <w:rPr>
          <w:rFonts w:ascii="Palatino Linotype" w:hAnsi="Palatino Linotype"/>
          <w:sz w:val="20"/>
          <w:szCs w:val="20"/>
          <w:lang w:val="en-GB" w:eastAsia="tr-TR"/>
        </w:rPr>
        <w:t xml:space="preserve"> new labor force series published by </w:t>
      </w:r>
      <w:r w:rsidR="007B71DD">
        <w:rPr>
          <w:rFonts w:ascii="Palatino Linotype" w:hAnsi="Palatino Linotype"/>
          <w:sz w:val="20"/>
          <w:szCs w:val="20"/>
          <w:lang w:val="en-GB" w:eastAsia="tr-TR"/>
        </w:rPr>
        <w:t>TurkStat</w:t>
      </w:r>
      <w:r w:rsidR="0015789C" w:rsidRPr="0015789C">
        <w:rPr>
          <w:rFonts w:ascii="Palatino Linotype" w:hAnsi="Palatino Linotype"/>
          <w:sz w:val="20"/>
          <w:szCs w:val="20"/>
          <w:lang w:val="en-GB" w:eastAsia="tr-TR"/>
        </w:rPr>
        <w:t xml:space="preserve"> </w:t>
      </w:r>
      <w:r w:rsidR="00B80E59">
        <w:rPr>
          <w:rFonts w:ascii="Palatino Linotype" w:hAnsi="Palatino Linotype"/>
          <w:sz w:val="20"/>
          <w:szCs w:val="20"/>
          <w:lang w:val="en-GB" w:eastAsia="tr-TR"/>
        </w:rPr>
        <w:t xml:space="preserve">covers </w:t>
      </w:r>
      <w:r w:rsidR="0015789C" w:rsidRPr="0015789C">
        <w:rPr>
          <w:rFonts w:ascii="Palatino Linotype" w:hAnsi="Palatino Linotype"/>
          <w:sz w:val="20"/>
          <w:szCs w:val="20"/>
          <w:lang w:val="en-GB" w:eastAsia="tr-TR"/>
        </w:rPr>
        <w:t>2014</w:t>
      </w:r>
      <w:r w:rsidR="00B80E59">
        <w:rPr>
          <w:rFonts w:ascii="Palatino Linotype" w:hAnsi="Palatino Linotype"/>
          <w:sz w:val="20"/>
          <w:szCs w:val="20"/>
          <w:lang w:val="en-GB" w:eastAsia="tr-TR"/>
        </w:rPr>
        <w:t xml:space="preserve"> and after</w:t>
      </w:r>
      <w:r w:rsidR="0015789C" w:rsidRPr="0015789C">
        <w:rPr>
          <w:rFonts w:ascii="Palatino Linotype" w:hAnsi="Palatino Linotype"/>
          <w:sz w:val="20"/>
          <w:szCs w:val="20"/>
          <w:lang w:val="en-GB" w:eastAsia="tr-TR"/>
        </w:rPr>
        <w:t xml:space="preserve">. </w:t>
      </w:r>
      <w:r w:rsidR="00B80E59">
        <w:rPr>
          <w:rFonts w:ascii="Palatino Linotype" w:hAnsi="Palatino Linotype"/>
          <w:sz w:val="20"/>
          <w:szCs w:val="20"/>
          <w:lang w:val="en-GB" w:eastAsia="tr-TR"/>
        </w:rPr>
        <w:t xml:space="preserve">For 2013 and </w:t>
      </w:r>
      <w:r w:rsidR="0015789C" w:rsidRPr="0015789C">
        <w:rPr>
          <w:rFonts w:ascii="Palatino Linotype" w:hAnsi="Palatino Linotype"/>
          <w:sz w:val="20"/>
          <w:szCs w:val="20"/>
          <w:lang w:val="en-GB" w:eastAsia="tr-TR"/>
        </w:rPr>
        <w:t>earlier</w:t>
      </w:r>
      <w:r w:rsidR="00B80E59">
        <w:rPr>
          <w:rFonts w:ascii="Palatino Linotype" w:hAnsi="Palatino Linotype"/>
          <w:sz w:val="20"/>
          <w:szCs w:val="20"/>
          <w:lang w:val="en-GB" w:eastAsia="tr-TR"/>
        </w:rPr>
        <w:t xml:space="preserve"> years</w:t>
      </w:r>
      <w:r w:rsidR="0015789C" w:rsidRPr="0015789C">
        <w:rPr>
          <w:rFonts w:ascii="Palatino Linotype" w:hAnsi="Palatino Linotype"/>
          <w:sz w:val="20"/>
          <w:szCs w:val="20"/>
          <w:lang w:val="en-GB" w:eastAsia="tr-TR"/>
        </w:rPr>
        <w:t>, the old labor force series w</w:t>
      </w:r>
      <w:r w:rsidR="00B80E59">
        <w:rPr>
          <w:rFonts w:ascii="Palatino Linotype" w:hAnsi="Palatino Linotype"/>
          <w:sz w:val="20"/>
          <w:szCs w:val="20"/>
          <w:lang w:val="en-GB" w:eastAsia="tr-TR"/>
        </w:rPr>
        <w:t>ere</w:t>
      </w:r>
      <w:r w:rsidR="0015789C" w:rsidRPr="0015789C">
        <w:rPr>
          <w:rFonts w:ascii="Palatino Linotype" w:hAnsi="Palatino Linotype"/>
          <w:sz w:val="20"/>
          <w:szCs w:val="20"/>
          <w:lang w:val="en-GB" w:eastAsia="tr-TR"/>
        </w:rPr>
        <w:t xml:space="preserve"> used.  Thus, it is not possible to compare levels between 2013 and 2014.</w:t>
      </w:r>
    </w:p>
    <w:p w:rsidR="007A2274" w:rsidRPr="0015789C" w:rsidRDefault="007A2274" w:rsidP="0015789C">
      <w:pPr>
        <w:pStyle w:val="NoSpacing"/>
        <w:jc w:val="both"/>
        <w:rPr>
          <w:rFonts w:ascii="Palatino Linotype" w:hAnsi="Palatino Linotype"/>
          <w:sz w:val="20"/>
          <w:szCs w:val="20"/>
          <w:lang w:val="en-GB" w:eastAsia="tr-TR"/>
        </w:rPr>
      </w:pPr>
    </w:p>
    <w:p w:rsidR="004A5887" w:rsidRPr="009D7B6F" w:rsidRDefault="007D62FA" w:rsidP="004A5887">
      <w:pPr>
        <w:rPr>
          <w:color w:val="FF0000"/>
          <w:szCs w:val="22"/>
          <w:lang w:val="en-GB" w:eastAsia="tr-TR"/>
        </w:rPr>
      </w:pPr>
      <w:r w:rsidRPr="00CE410C">
        <w:rPr>
          <w:szCs w:val="22"/>
          <w:lang w:val="en-GB" w:eastAsia="tr-TR"/>
        </w:rPr>
        <w:t xml:space="preserve">Informal employment which deprives employees of social </w:t>
      </w:r>
      <w:r w:rsidR="00B9183A" w:rsidRPr="00CE410C">
        <w:rPr>
          <w:szCs w:val="22"/>
          <w:lang w:val="en-GB" w:eastAsia="tr-TR"/>
        </w:rPr>
        <w:t>insurance</w:t>
      </w:r>
      <w:r w:rsidRPr="00CE410C">
        <w:rPr>
          <w:szCs w:val="22"/>
          <w:lang w:val="en-GB" w:eastAsia="tr-TR"/>
        </w:rPr>
        <w:t>, retirement,</w:t>
      </w:r>
      <w:r w:rsidR="00B9183A" w:rsidRPr="00CE410C">
        <w:rPr>
          <w:szCs w:val="22"/>
          <w:lang w:val="en-GB" w:eastAsia="tr-TR"/>
        </w:rPr>
        <w:t xml:space="preserve"> legal working hours and government of </w:t>
      </w:r>
      <w:r w:rsidR="00CE410C" w:rsidRPr="00CE410C">
        <w:rPr>
          <w:szCs w:val="22"/>
          <w:lang w:val="en-GB" w:eastAsia="tr-TR"/>
        </w:rPr>
        <w:t>an important tax revenue continues to be one of the main problems of Turkish economy.</w:t>
      </w:r>
      <w:r w:rsidR="00CE410C">
        <w:rPr>
          <w:szCs w:val="22"/>
          <w:lang w:val="en-GB" w:eastAsia="tr-TR"/>
        </w:rPr>
        <w:t xml:space="preserve"> </w:t>
      </w:r>
      <w:r w:rsidR="007B71DD">
        <w:rPr>
          <w:szCs w:val="22"/>
          <w:lang w:val="en-GB" w:eastAsia="tr-TR"/>
        </w:rPr>
        <w:t>TurkStat</w:t>
      </w:r>
      <w:r w:rsidR="00F53C0D">
        <w:rPr>
          <w:szCs w:val="22"/>
          <w:lang w:val="en-GB" w:eastAsia="tr-TR"/>
        </w:rPr>
        <w:t>'s HLFS</w:t>
      </w:r>
      <w:r w:rsidR="006D5493">
        <w:rPr>
          <w:szCs w:val="22"/>
          <w:lang w:val="en-GB" w:eastAsia="tr-TR"/>
        </w:rPr>
        <w:t xml:space="preserve"> in Table 2 show that informal employment declined for e</w:t>
      </w:r>
      <w:r w:rsidR="00F53C0D">
        <w:rPr>
          <w:szCs w:val="22"/>
          <w:lang w:val="en-GB" w:eastAsia="tr-TR"/>
        </w:rPr>
        <w:t>ach</w:t>
      </w:r>
      <w:r w:rsidR="006D5493">
        <w:rPr>
          <w:szCs w:val="22"/>
          <w:lang w:val="en-GB" w:eastAsia="tr-TR"/>
        </w:rPr>
        <w:t xml:space="preserve"> employment </w:t>
      </w:r>
      <w:r w:rsidR="00F53C0D">
        <w:rPr>
          <w:szCs w:val="22"/>
          <w:lang w:val="en-GB" w:eastAsia="tr-TR"/>
        </w:rPr>
        <w:t>type</w:t>
      </w:r>
      <w:r w:rsidR="006D5493">
        <w:rPr>
          <w:szCs w:val="22"/>
          <w:lang w:val="en-GB" w:eastAsia="tr-TR"/>
        </w:rPr>
        <w:t xml:space="preserve"> </w:t>
      </w:r>
      <w:r w:rsidR="00F53C0D">
        <w:rPr>
          <w:szCs w:val="22"/>
          <w:lang w:val="en-GB" w:eastAsia="tr-TR"/>
        </w:rPr>
        <w:t>during the</w:t>
      </w:r>
      <w:r w:rsidR="006D5493">
        <w:rPr>
          <w:szCs w:val="22"/>
          <w:lang w:val="en-GB" w:eastAsia="tr-TR"/>
        </w:rPr>
        <w:t xml:space="preserve"> 2005-2016</w:t>
      </w:r>
      <w:r w:rsidR="00F53C0D">
        <w:rPr>
          <w:szCs w:val="22"/>
          <w:lang w:val="en-GB" w:eastAsia="tr-TR"/>
        </w:rPr>
        <w:t xml:space="preserve"> period</w:t>
      </w:r>
      <w:r w:rsidR="006D5493">
        <w:rPr>
          <w:szCs w:val="22"/>
          <w:lang w:val="en-GB" w:eastAsia="tr-TR"/>
        </w:rPr>
        <w:t xml:space="preserve">. The highest decrease is observed among salaried workers (from 32.1 to 18.2).  </w:t>
      </w:r>
      <w:r w:rsidR="00F53C0D">
        <w:rPr>
          <w:szCs w:val="22"/>
          <w:lang w:val="en-GB" w:eastAsia="tr-TR"/>
        </w:rPr>
        <w:t xml:space="preserve">Despite </w:t>
      </w:r>
      <w:r w:rsidR="006D5493">
        <w:rPr>
          <w:szCs w:val="22"/>
          <w:lang w:val="en-GB" w:eastAsia="tr-TR"/>
        </w:rPr>
        <w:t>the</w:t>
      </w:r>
      <w:r w:rsidR="00F53C0D">
        <w:rPr>
          <w:szCs w:val="22"/>
          <w:lang w:val="en-GB" w:eastAsia="tr-TR"/>
        </w:rPr>
        <w:t>se</w:t>
      </w:r>
      <w:r w:rsidR="006D5493">
        <w:rPr>
          <w:szCs w:val="22"/>
          <w:lang w:val="en-GB" w:eastAsia="tr-TR"/>
        </w:rPr>
        <w:t xml:space="preserve"> declines in informal employment, </w:t>
      </w:r>
      <w:r w:rsidR="00F53C0D">
        <w:rPr>
          <w:szCs w:val="22"/>
          <w:lang w:val="en-GB" w:eastAsia="tr-TR"/>
        </w:rPr>
        <w:t xml:space="preserve">as of 2016, </w:t>
      </w:r>
      <w:r w:rsidR="006D5493">
        <w:rPr>
          <w:szCs w:val="22"/>
          <w:lang w:val="en-GB" w:eastAsia="tr-TR"/>
        </w:rPr>
        <w:t xml:space="preserve">33 percent of all employees, 15 percent of employers, 61 percent of </w:t>
      </w:r>
      <w:r w:rsidR="006D5493">
        <w:rPr>
          <w:szCs w:val="22"/>
          <w:lang w:val="en-GB" w:eastAsia="tr-TR"/>
        </w:rPr>
        <w:lastRenderedPageBreak/>
        <w:t xml:space="preserve">own </w:t>
      </w:r>
      <w:r w:rsidR="00773B19">
        <w:rPr>
          <w:szCs w:val="22"/>
          <w:lang w:val="en-GB" w:eastAsia="tr-TR"/>
        </w:rPr>
        <w:t>account workers and 90 percent of unpaid family workers are still working informal</w:t>
      </w:r>
      <w:r w:rsidR="00F53C0D">
        <w:rPr>
          <w:szCs w:val="22"/>
          <w:lang w:val="en-GB" w:eastAsia="tr-TR"/>
        </w:rPr>
        <w:t>l</w:t>
      </w:r>
      <w:r w:rsidR="00B80E59">
        <w:rPr>
          <w:szCs w:val="22"/>
          <w:lang w:val="en-GB" w:eastAsia="tr-TR"/>
        </w:rPr>
        <w:t>y</w:t>
      </w:r>
      <w:r w:rsidR="00773B19">
        <w:rPr>
          <w:szCs w:val="22"/>
          <w:lang w:val="en-GB" w:eastAsia="tr-TR"/>
        </w:rPr>
        <w:t xml:space="preserve"> (</w:t>
      </w:r>
      <w:r w:rsidR="00773B19" w:rsidRPr="00773B19">
        <w:rPr>
          <w:szCs w:val="22"/>
          <w:lang w:val="en-GB" w:eastAsia="tr-TR"/>
        </w:rPr>
        <w:t>Table 2).</w:t>
      </w:r>
      <w:r w:rsidR="00F53C0D">
        <w:rPr>
          <w:szCs w:val="22"/>
          <w:lang w:val="en-GB" w:eastAsia="tr-TR"/>
        </w:rPr>
        <w:t xml:space="preserve"> </w:t>
      </w:r>
      <w:r w:rsidR="00773B19" w:rsidRPr="00773B19">
        <w:rPr>
          <w:szCs w:val="22"/>
          <w:lang w:val="en-GB" w:eastAsia="tr-TR"/>
        </w:rPr>
        <w:t>Turkey continues to be one of the countries which have highest informality rate among OECD countries</w:t>
      </w:r>
      <w:r w:rsidR="004A5887" w:rsidRPr="00773B19">
        <w:rPr>
          <w:rStyle w:val="FootnoteReference"/>
          <w:szCs w:val="22"/>
          <w:lang w:val="en-GB" w:eastAsia="tr-TR"/>
        </w:rPr>
        <w:footnoteReference w:id="3"/>
      </w:r>
      <w:r w:rsidR="004A5887" w:rsidRPr="00773B19">
        <w:rPr>
          <w:szCs w:val="22"/>
          <w:lang w:val="en-GB" w:eastAsia="tr-TR"/>
        </w:rPr>
        <w:t>.</w:t>
      </w:r>
    </w:p>
    <w:p w:rsidR="00AE532D" w:rsidRDefault="006773B6" w:rsidP="00D244C6">
      <w:pPr>
        <w:rPr>
          <w:szCs w:val="22"/>
          <w:lang w:val="en-GB" w:eastAsia="tr-TR"/>
        </w:rPr>
      </w:pPr>
      <w:r>
        <w:rPr>
          <w:szCs w:val="22"/>
          <w:lang w:val="en-GB" w:eastAsia="tr-TR"/>
        </w:rPr>
        <w:t>Looking more</w:t>
      </w:r>
      <w:r w:rsidR="0079440E">
        <w:rPr>
          <w:szCs w:val="22"/>
          <w:lang w:val="en-GB" w:eastAsia="tr-TR"/>
        </w:rPr>
        <w:t xml:space="preserve"> closely </w:t>
      </w:r>
      <w:r>
        <w:rPr>
          <w:szCs w:val="22"/>
          <w:lang w:val="en-GB" w:eastAsia="tr-TR"/>
        </w:rPr>
        <w:t>at</w:t>
      </w:r>
      <w:r w:rsidR="0079440E">
        <w:rPr>
          <w:szCs w:val="22"/>
          <w:lang w:val="en-GB" w:eastAsia="tr-TR"/>
        </w:rPr>
        <w:t xml:space="preserve"> wage earners</w:t>
      </w:r>
      <w:r w:rsidR="0063790F">
        <w:rPr>
          <w:szCs w:val="22"/>
          <w:lang w:val="en-GB" w:eastAsia="tr-TR"/>
        </w:rPr>
        <w:t xml:space="preserve"> </w:t>
      </w:r>
      <w:r>
        <w:rPr>
          <w:szCs w:val="22"/>
          <w:lang w:val="en-GB" w:eastAsia="tr-TR"/>
        </w:rPr>
        <w:t xml:space="preserve">that is the </w:t>
      </w:r>
      <w:r w:rsidR="0063790F">
        <w:rPr>
          <w:szCs w:val="22"/>
          <w:lang w:val="en-GB" w:eastAsia="tr-TR"/>
        </w:rPr>
        <w:t xml:space="preserve">group of </w:t>
      </w:r>
      <w:r>
        <w:rPr>
          <w:szCs w:val="22"/>
          <w:lang w:val="en-GB" w:eastAsia="tr-TR"/>
        </w:rPr>
        <w:t xml:space="preserve">interest for the literature on </w:t>
      </w:r>
      <w:r w:rsidR="0063790F">
        <w:rPr>
          <w:szCs w:val="22"/>
          <w:lang w:val="en-GB" w:eastAsia="tr-TR"/>
        </w:rPr>
        <w:t>informal employment</w:t>
      </w:r>
      <w:r w:rsidR="0046424D">
        <w:rPr>
          <w:szCs w:val="22"/>
          <w:lang w:val="en-GB" w:eastAsia="tr-TR"/>
        </w:rPr>
        <w:t>,</w:t>
      </w:r>
      <w:r w:rsidR="007A2274">
        <w:rPr>
          <w:szCs w:val="22"/>
          <w:lang w:val="en-GB" w:eastAsia="tr-TR"/>
        </w:rPr>
        <w:t xml:space="preserve"> </w:t>
      </w:r>
      <w:r>
        <w:rPr>
          <w:szCs w:val="22"/>
          <w:lang w:val="en-GB" w:eastAsia="tr-TR"/>
        </w:rPr>
        <w:t xml:space="preserve">we see that there is an average decline of 1.3 percentage points per annum </w:t>
      </w:r>
      <w:r w:rsidR="0046424D">
        <w:rPr>
          <w:szCs w:val="22"/>
          <w:lang w:val="en-GB" w:eastAsia="tr-TR"/>
        </w:rPr>
        <w:t>s</w:t>
      </w:r>
      <w:r w:rsidR="00C96026">
        <w:rPr>
          <w:szCs w:val="22"/>
          <w:lang w:val="en-GB" w:eastAsia="tr-TR"/>
        </w:rPr>
        <w:t>ince 2005 whe</w:t>
      </w:r>
      <w:r>
        <w:rPr>
          <w:szCs w:val="22"/>
          <w:lang w:val="en-GB" w:eastAsia="tr-TR"/>
        </w:rPr>
        <w:t>re</w:t>
      </w:r>
      <w:r w:rsidR="00C96026">
        <w:rPr>
          <w:szCs w:val="22"/>
          <w:lang w:val="en-GB" w:eastAsia="tr-TR"/>
        </w:rPr>
        <w:t xml:space="preserve"> HLFS </w:t>
      </w:r>
      <w:r w:rsidR="00CE103F">
        <w:rPr>
          <w:szCs w:val="22"/>
          <w:lang w:val="en-GB" w:eastAsia="tr-TR"/>
        </w:rPr>
        <w:t>statistics have been published periodically (average of three months) every month</w:t>
      </w:r>
      <w:r>
        <w:rPr>
          <w:szCs w:val="22"/>
          <w:lang w:val="en-GB" w:eastAsia="tr-TR"/>
        </w:rPr>
        <w:t>. I</w:t>
      </w:r>
      <w:r w:rsidR="00CE103F">
        <w:rPr>
          <w:szCs w:val="22"/>
          <w:lang w:val="en-GB" w:eastAsia="tr-TR"/>
        </w:rPr>
        <w:t>n some years, the decline</w:t>
      </w:r>
      <w:r>
        <w:rPr>
          <w:szCs w:val="22"/>
          <w:lang w:val="en-GB" w:eastAsia="tr-TR"/>
        </w:rPr>
        <w:t xml:space="preserve"> reached </w:t>
      </w:r>
      <w:r w:rsidR="00CE103F">
        <w:rPr>
          <w:szCs w:val="22"/>
          <w:lang w:val="en-GB" w:eastAsia="tr-TR"/>
        </w:rPr>
        <w:t xml:space="preserve">3 percentage points and it did not </w:t>
      </w:r>
      <w:r>
        <w:rPr>
          <w:szCs w:val="22"/>
          <w:lang w:val="en-GB" w:eastAsia="tr-TR"/>
        </w:rPr>
        <w:t>fall</w:t>
      </w:r>
      <w:r w:rsidR="00CE103F">
        <w:rPr>
          <w:szCs w:val="22"/>
          <w:lang w:val="en-GB" w:eastAsia="tr-TR"/>
        </w:rPr>
        <w:t xml:space="preserve"> under 0.3 percentage points</w:t>
      </w:r>
      <w:r>
        <w:rPr>
          <w:szCs w:val="22"/>
          <w:lang w:val="en-GB" w:eastAsia="tr-TR"/>
        </w:rPr>
        <w:t xml:space="preserve"> in general</w:t>
      </w:r>
      <w:r w:rsidR="0063790F">
        <w:rPr>
          <w:szCs w:val="22"/>
          <w:lang w:val="en-GB" w:eastAsia="tr-TR"/>
        </w:rPr>
        <w:t>.</w:t>
      </w:r>
      <w:r w:rsidR="00854EDF">
        <w:rPr>
          <w:szCs w:val="22"/>
          <w:lang w:val="en-GB" w:eastAsia="tr-TR"/>
        </w:rPr>
        <w:t xml:space="preserve"> There are two exceptions to this observation: 2009 (0.2 percentage points) and 2016 (0.1 percentage points). In 2009, Turkey’s economy contracted significantly (- 4.7 </w:t>
      </w:r>
      <w:r w:rsidR="008B635E">
        <w:rPr>
          <w:szCs w:val="22"/>
          <w:lang w:val="en-GB" w:eastAsia="tr-TR"/>
        </w:rPr>
        <w:t>percent) because</w:t>
      </w:r>
      <w:r w:rsidR="00854EDF">
        <w:rPr>
          <w:szCs w:val="22"/>
          <w:lang w:val="en-GB" w:eastAsia="tr-TR"/>
        </w:rPr>
        <w:t xml:space="preserve"> of global crisis; moreover, salaried workers </w:t>
      </w:r>
      <w:r w:rsidR="00EB0A67">
        <w:rPr>
          <w:szCs w:val="22"/>
          <w:lang w:val="en-GB" w:eastAsia="tr-TR"/>
        </w:rPr>
        <w:t>ha</w:t>
      </w:r>
      <w:r w:rsidR="008B635E">
        <w:rPr>
          <w:szCs w:val="22"/>
          <w:lang w:val="en-GB" w:eastAsia="tr-TR"/>
        </w:rPr>
        <w:t>ve</w:t>
      </w:r>
      <w:r w:rsidR="00EB0A67">
        <w:rPr>
          <w:szCs w:val="22"/>
          <w:lang w:val="en-GB" w:eastAsia="tr-TR"/>
        </w:rPr>
        <w:t xml:space="preserve"> also been</w:t>
      </w:r>
      <w:r w:rsidR="007A2274">
        <w:rPr>
          <w:szCs w:val="22"/>
          <w:lang w:val="en-GB" w:eastAsia="tr-TR"/>
        </w:rPr>
        <w:t xml:space="preserve"> </w:t>
      </w:r>
      <w:r w:rsidR="00EB0A67">
        <w:rPr>
          <w:szCs w:val="22"/>
          <w:lang w:val="en-GB" w:eastAsia="tr-TR"/>
        </w:rPr>
        <w:t xml:space="preserve">negatively affected by the recession. </w:t>
      </w:r>
      <w:r w:rsidR="008B635E">
        <w:rPr>
          <w:szCs w:val="22"/>
          <w:lang w:val="en-GB" w:eastAsia="tr-TR"/>
        </w:rPr>
        <w:t xml:space="preserve"> As a matter of fact, 2009 is the only year in which the number of paid employees has declined (167 thousand) in absolute terms.</w:t>
      </w:r>
      <w:r w:rsidR="007A2274">
        <w:rPr>
          <w:szCs w:val="22"/>
          <w:lang w:val="en-GB" w:eastAsia="tr-TR"/>
        </w:rPr>
        <w:t xml:space="preserve"> </w:t>
      </w:r>
      <w:r w:rsidR="00A13761">
        <w:rPr>
          <w:szCs w:val="22"/>
          <w:lang w:val="en-GB" w:eastAsia="tr-TR"/>
        </w:rPr>
        <w:t>In spite of this, in the year of 2016 growth is positive</w:t>
      </w:r>
      <w:r w:rsidR="00740283">
        <w:rPr>
          <w:szCs w:val="22"/>
          <w:lang w:val="en-GB" w:eastAsia="tr-TR"/>
        </w:rPr>
        <w:t xml:space="preserve"> (3.3 percent)</w:t>
      </w:r>
      <w:r w:rsidR="00A13761">
        <w:rPr>
          <w:szCs w:val="22"/>
          <w:lang w:val="en-GB" w:eastAsia="tr-TR"/>
        </w:rPr>
        <w:t xml:space="preserve"> although there is a slowdown in GDP growth rate</w:t>
      </w:r>
      <w:r w:rsidR="00740283">
        <w:rPr>
          <w:szCs w:val="22"/>
          <w:lang w:val="en-GB" w:eastAsia="tr-TR"/>
        </w:rPr>
        <w:t xml:space="preserve">.  As a result, there was 550 thousand </w:t>
      </w:r>
      <w:r w:rsidR="00684DCD">
        <w:rPr>
          <w:szCs w:val="22"/>
          <w:lang w:val="en-GB" w:eastAsia="tr-TR"/>
        </w:rPr>
        <w:t>increases</w:t>
      </w:r>
      <w:r w:rsidR="00740283">
        <w:rPr>
          <w:szCs w:val="22"/>
          <w:lang w:val="en-GB" w:eastAsia="tr-TR"/>
        </w:rPr>
        <w:t xml:space="preserve"> in salaried workers. </w:t>
      </w:r>
      <w:r w:rsidR="00684DCD">
        <w:rPr>
          <w:szCs w:val="22"/>
          <w:lang w:val="en-GB" w:eastAsia="tr-TR"/>
        </w:rPr>
        <w:t xml:space="preserve"> However, the decrease in the informal rate is only 0.1 percentage points (Table 2).</w:t>
      </w:r>
    </w:p>
    <w:tbl>
      <w:tblPr>
        <w:tblpPr w:leftFromText="141" w:rightFromText="141" w:vertAnchor="text" w:horzAnchor="margin" w:tblpXSpec="center" w:tblpY="839"/>
        <w:tblW w:w="9866" w:type="dxa"/>
        <w:tblCellMar>
          <w:left w:w="70" w:type="dxa"/>
          <w:right w:w="70" w:type="dxa"/>
        </w:tblCellMar>
        <w:tblLook w:val="04A0" w:firstRow="1" w:lastRow="0" w:firstColumn="1" w:lastColumn="0" w:noHBand="0" w:noVBand="1"/>
      </w:tblPr>
      <w:tblGrid>
        <w:gridCol w:w="633"/>
        <w:gridCol w:w="690"/>
        <w:gridCol w:w="1149"/>
        <w:gridCol w:w="717"/>
        <w:gridCol w:w="1149"/>
        <w:gridCol w:w="694"/>
        <w:gridCol w:w="1149"/>
        <w:gridCol w:w="693"/>
        <w:gridCol w:w="1149"/>
        <w:gridCol w:w="694"/>
        <w:gridCol w:w="1149"/>
      </w:tblGrid>
      <w:tr w:rsidR="006F292A" w:rsidRPr="00087303" w:rsidTr="006F292A">
        <w:trPr>
          <w:trHeight w:hRule="exact" w:val="595"/>
        </w:trPr>
        <w:tc>
          <w:tcPr>
            <w:tcW w:w="0" w:type="auto"/>
            <w:tcBorders>
              <w:top w:val="nil"/>
              <w:left w:val="nil"/>
              <w:bottom w:val="nil"/>
              <w:right w:val="nil"/>
            </w:tcBorders>
            <w:shd w:val="clear" w:color="auto" w:fill="auto"/>
            <w:noWrap/>
            <w:vAlign w:val="bottom"/>
            <w:hideMark/>
          </w:tcPr>
          <w:p w:rsidR="006F292A" w:rsidRPr="00087303" w:rsidRDefault="006F292A" w:rsidP="006F292A">
            <w:pPr>
              <w:suppressAutoHyphens w:val="0"/>
              <w:rPr>
                <w:sz w:val="20"/>
                <w:szCs w:val="20"/>
                <w:lang w:val="en-GB" w:eastAsia="tr-TR"/>
              </w:rPr>
            </w:pPr>
          </w:p>
        </w:tc>
        <w:tc>
          <w:tcPr>
            <w:tcW w:w="183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F292A" w:rsidRPr="00087303" w:rsidRDefault="006F292A" w:rsidP="006F292A">
            <w:pPr>
              <w:suppressAutoHyphens w:val="0"/>
              <w:jc w:val="center"/>
              <w:rPr>
                <w:b/>
                <w:bCs/>
                <w:color w:val="000000"/>
                <w:sz w:val="20"/>
                <w:szCs w:val="20"/>
                <w:lang w:val="en-GB" w:eastAsia="tr-TR"/>
              </w:rPr>
            </w:pPr>
            <w:r w:rsidRPr="00087303">
              <w:rPr>
                <w:b/>
                <w:bCs/>
                <w:color w:val="000000"/>
                <w:sz w:val="20"/>
                <w:szCs w:val="20"/>
                <w:lang w:val="en-GB" w:eastAsia="tr-TR"/>
              </w:rPr>
              <w:t>All workers</w:t>
            </w:r>
          </w:p>
        </w:tc>
        <w:tc>
          <w:tcPr>
            <w:tcW w:w="186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F292A" w:rsidRPr="00087303" w:rsidRDefault="006F292A" w:rsidP="006F292A">
            <w:pPr>
              <w:suppressAutoHyphens w:val="0"/>
              <w:jc w:val="center"/>
              <w:rPr>
                <w:b/>
                <w:bCs/>
                <w:color w:val="000000"/>
                <w:sz w:val="20"/>
                <w:szCs w:val="20"/>
                <w:lang w:val="en-GB" w:eastAsia="tr-TR"/>
              </w:rPr>
            </w:pPr>
            <w:r w:rsidRPr="00087303">
              <w:rPr>
                <w:b/>
                <w:bCs/>
                <w:color w:val="000000"/>
                <w:sz w:val="20"/>
                <w:szCs w:val="20"/>
                <w:lang w:val="en-GB" w:eastAsia="tr-TR"/>
              </w:rPr>
              <w:t>Wage earners</w:t>
            </w:r>
          </w:p>
        </w:tc>
        <w:tc>
          <w:tcPr>
            <w:tcW w:w="184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F292A" w:rsidRPr="00087303" w:rsidRDefault="006F292A" w:rsidP="006F292A">
            <w:pPr>
              <w:suppressAutoHyphens w:val="0"/>
              <w:jc w:val="center"/>
              <w:rPr>
                <w:b/>
                <w:bCs/>
                <w:color w:val="000000"/>
                <w:sz w:val="20"/>
                <w:szCs w:val="20"/>
                <w:lang w:val="en-GB" w:eastAsia="tr-TR"/>
              </w:rPr>
            </w:pPr>
            <w:r w:rsidRPr="00087303">
              <w:rPr>
                <w:b/>
                <w:bCs/>
                <w:color w:val="000000"/>
                <w:sz w:val="20"/>
                <w:szCs w:val="20"/>
                <w:lang w:val="en-GB" w:eastAsia="tr-TR"/>
              </w:rPr>
              <w:t>Employers</w:t>
            </w:r>
          </w:p>
        </w:tc>
        <w:tc>
          <w:tcPr>
            <w:tcW w:w="184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F292A" w:rsidRPr="00087303" w:rsidRDefault="006F292A" w:rsidP="006F292A">
            <w:pPr>
              <w:suppressAutoHyphens w:val="0"/>
              <w:jc w:val="center"/>
              <w:rPr>
                <w:b/>
                <w:bCs/>
                <w:color w:val="000000"/>
                <w:sz w:val="20"/>
                <w:szCs w:val="20"/>
                <w:lang w:val="en-GB" w:eastAsia="tr-TR"/>
              </w:rPr>
            </w:pPr>
            <w:r w:rsidRPr="00087303">
              <w:rPr>
                <w:b/>
                <w:bCs/>
                <w:color w:val="000000"/>
                <w:sz w:val="20"/>
                <w:szCs w:val="20"/>
                <w:lang w:val="en-GB" w:eastAsia="tr-TR"/>
              </w:rPr>
              <w:t>Own account workers</w:t>
            </w:r>
          </w:p>
        </w:tc>
        <w:tc>
          <w:tcPr>
            <w:tcW w:w="184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F292A" w:rsidRPr="00087303" w:rsidRDefault="006F292A" w:rsidP="006F292A">
            <w:pPr>
              <w:suppressAutoHyphens w:val="0"/>
              <w:jc w:val="center"/>
              <w:rPr>
                <w:b/>
                <w:bCs/>
                <w:color w:val="000000"/>
                <w:sz w:val="20"/>
                <w:szCs w:val="20"/>
                <w:lang w:val="en-GB" w:eastAsia="tr-TR"/>
              </w:rPr>
            </w:pPr>
            <w:r w:rsidRPr="00087303">
              <w:rPr>
                <w:b/>
                <w:bCs/>
                <w:color w:val="000000"/>
                <w:sz w:val="20"/>
                <w:szCs w:val="20"/>
                <w:lang w:val="en-GB" w:eastAsia="tr-TR"/>
              </w:rPr>
              <w:t>Unpaid family workers</w:t>
            </w:r>
          </w:p>
        </w:tc>
      </w:tr>
      <w:tr w:rsidR="006F292A" w:rsidRPr="00087303" w:rsidTr="006F292A">
        <w:trPr>
          <w:trHeight w:hRule="exact" w:val="716"/>
        </w:trPr>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lang w:val="en-GB" w:eastAsia="tr-TR"/>
              </w:rPr>
              <w:t>Years</w:t>
            </w:r>
          </w:p>
        </w:tc>
        <w:tc>
          <w:tcPr>
            <w:tcW w:w="0" w:type="auto"/>
            <w:tcBorders>
              <w:top w:val="nil"/>
              <w:left w:val="nil"/>
              <w:bottom w:val="single" w:sz="4" w:space="0" w:color="auto"/>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lang w:val="en-GB" w:eastAsia="tr-TR"/>
              </w:rPr>
              <w:t>Total</w:t>
            </w:r>
          </w:p>
        </w:tc>
        <w:tc>
          <w:tcPr>
            <w:tcW w:w="1149" w:type="dxa"/>
            <w:tcBorders>
              <w:top w:val="nil"/>
              <w:left w:val="nil"/>
              <w:bottom w:val="single" w:sz="8" w:space="0" w:color="auto"/>
              <w:right w:val="single" w:sz="8" w:space="0" w:color="auto"/>
            </w:tcBorders>
            <w:shd w:val="clear" w:color="auto" w:fill="auto"/>
            <w:vAlign w:val="bottom"/>
            <w:hideMark/>
          </w:tcPr>
          <w:p w:rsidR="006F292A" w:rsidRPr="00087303" w:rsidRDefault="006F292A" w:rsidP="006F292A">
            <w:pPr>
              <w:suppressAutoHyphens w:val="0"/>
              <w:jc w:val="center"/>
              <w:rPr>
                <w:color w:val="000000"/>
                <w:sz w:val="20"/>
                <w:szCs w:val="20"/>
                <w:lang w:val="en-GB" w:eastAsia="tr-TR"/>
              </w:rPr>
            </w:pPr>
            <w:r>
              <w:rPr>
                <w:color w:val="000000"/>
                <w:sz w:val="20"/>
                <w:szCs w:val="20"/>
                <w:lang w:val="en-GB" w:eastAsia="tr-TR"/>
              </w:rPr>
              <w:t>Informality rate</w:t>
            </w:r>
          </w:p>
        </w:tc>
        <w:tc>
          <w:tcPr>
            <w:tcW w:w="717" w:type="dxa"/>
            <w:tcBorders>
              <w:top w:val="nil"/>
              <w:left w:val="nil"/>
              <w:bottom w:val="single" w:sz="8" w:space="0" w:color="auto"/>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lang w:val="en-GB" w:eastAsia="tr-TR"/>
              </w:rPr>
              <w:t>Total</w:t>
            </w:r>
          </w:p>
        </w:tc>
        <w:tc>
          <w:tcPr>
            <w:tcW w:w="1149" w:type="dxa"/>
            <w:tcBorders>
              <w:top w:val="nil"/>
              <w:left w:val="nil"/>
              <w:bottom w:val="single" w:sz="8" w:space="0" w:color="auto"/>
              <w:right w:val="single" w:sz="8" w:space="0" w:color="auto"/>
            </w:tcBorders>
            <w:shd w:val="clear" w:color="auto" w:fill="auto"/>
            <w:vAlign w:val="bottom"/>
            <w:hideMark/>
          </w:tcPr>
          <w:p w:rsidR="006F292A" w:rsidRPr="00087303" w:rsidRDefault="006F292A" w:rsidP="006F292A">
            <w:pPr>
              <w:suppressAutoHyphens w:val="0"/>
              <w:jc w:val="center"/>
              <w:rPr>
                <w:color w:val="000000"/>
                <w:sz w:val="20"/>
                <w:szCs w:val="20"/>
                <w:lang w:val="en-GB" w:eastAsia="tr-TR"/>
              </w:rPr>
            </w:pPr>
            <w:r>
              <w:rPr>
                <w:color w:val="000000"/>
                <w:sz w:val="20"/>
                <w:szCs w:val="20"/>
                <w:lang w:val="en-GB" w:eastAsia="tr-TR"/>
              </w:rPr>
              <w:t>Informality rate</w:t>
            </w:r>
          </w:p>
        </w:tc>
        <w:tc>
          <w:tcPr>
            <w:tcW w:w="694" w:type="dxa"/>
            <w:tcBorders>
              <w:top w:val="nil"/>
              <w:left w:val="nil"/>
              <w:bottom w:val="single" w:sz="8" w:space="0" w:color="auto"/>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lang w:val="en-GB" w:eastAsia="tr-TR"/>
              </w:rPr>
              <w:t>Total</w:t>
            </w:r>
          </w:p>
        </w:tc>
        <w:tc>
          <w:tcPr>
            <w:tcW w:w="1149" w:type="dxa"/>
            <w:tcBorders>
              <w:top w:val="nil"/>
              <w:left w:val="nil"/>
              <w:bottom w:val="single" w:sz="8" w:space="0" w:color="auto"/>
              <w:right w:val="single" w:sz="8" w:space="0" w:color="auto"/>
            </w:tcBorders>
            <w:shd w:val="clear" w:color="auto" w:fill="auto"/>
            <w:vAlign w:val="bottom"/>
            <w:hideMark/>
          </w:tcPr>
          <w:p w:rsidR="006F292A" w:rsidRPr="00087303" w:rsidRDefault="006F292A" w:rsidP="006F292A">
            <w:pPr>
              <w:suppressAutoHyphens w:val="0"/>
              <w:jc w:val="center"/>
              <w:rPr>
                <w:color w:val="000000"/>
                <w:sz w:val="20"/>
                <w:szCs w:val="20"/>
                <w:lang w:val="en-GB" w:eastAsia="tr-TR"/>
              </w:rPr>
            </w:pPr>
            <w:r>
              <w:rPr>
                <w:color w:val="000000"/>
                <w:sz w:val="20"/>
                <w:szCs w:val="20"/>
                <w:lang w:val="en-GB" w:eastAsia="tr-TR"/>
              </w:rPr>
              <w:t>Informality rate</w:t>
            </w:r>
          </w:p>
        </w:tc>
        <w:tc>
          <w:tcPr>
            <w:tcW w:w="693" w:type="dxa"/>
            <w:tcBorders>
              <w:top w:val="nil"/>
              <w:left w:val="nil"/>
              <w:bottom w:val="single" w:sz="8" w:space="0" w:color="auto"/>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lang w:val="en-GB" w:eastAsia="tr-TR"/>
              </w:rPr>
              <w:t>Total</w:t>
            </w:r>
          </w:p>
        </w:tc>
        <w:tc>
          <w:tcPr>
            <w:tcW w:w="1149" w:type="dxa"/>
            <w:tcBorders>
              <w:top w:val="nil"/>
              <w:left w:val="nil"/>
              <w:bottom w:val="single" w:sz="8" w:space="0" w:color="auto"/>
              <w:right w:val="single" w:sz="8" w:space="0" w:color="auto"/>
            </w:tcBorders>
            <w:shd w:val="clear" w:color="auto" w:fill="auto"/>
            <w:vAlign w:val="bottom"/>
            <w:hideMark/>
          </w:tcPr>
          <w:p w:rsidR="006F292A" w:rsidRPr="00087303" w:rsidRDefault="006F292A" w:rsidP="006F292A">
            <w:pPr>
              <w:suppressAutoHyphens w:val="0"/>
              <w:jc w:val="center"/>
              <w:rPr>
                <w:color w:val="000000"/>
                <w:sz w:val="20"/>
                <w:szCs w:val="20"/>
                <w:lang w:val="en-GB" w:eastAsia="tr-TR"/>
              </w:rPr>
            </w:pPr>
            <w:r>
              <w:rPr>
                <w:color w:val="000000"/>
                <w:sz w:val="20"/>
                <w:szCs w:val="20"/>
                <w:lang w:val="en-GB" w:eastAsia="tr-TR"/>
              </w:rPr>
              <w:t>Informality rate</w:t>
            </w:r>
          </w:p>
        </w:tc>
        <w:tc>
          <w:tcPr>
            <w:tcW w:w="694" w:type="dxa"/>
            <w:tcBorders>
              <w:top w:val="nil"/>
              <w:left w:val="nil"/>
              <w:bottom w:val="single" w:sz="8" w:space="0" w:color="auto"/>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lang w:val="en-GB" w:eastAsia="tr-TR"/>
              </w:rPr>
              <w:t>Total</w:t>
            </w:r>
          </w:p>
        </w:tc>
        <w:tc>
          <w:tcPr>
            <w:tcW w:w="1149" w:type="dxa"/>
            <w:tcBorders>
              <w:top w:val="nil"/>
              <w:left w:val="nil"/>
              <w:bottom w:val="single" w:sz="8" w:space="0" w:color="auto"/>
              <w:right w:val="single" w:sz="8" w:space="0" w:color="auto"/>
            </w:tcBorders>
            <w:shd w:val="clear" w:color="auto" w:fill="auto"/>
            <w:vAlign w:val="bottom"/>
            <w:hideMark/>
          </w:tcPr>
          <w:p w:rsidR="006F292A" w:rsidRPr="00087303" w:rsidRDefault="006F292A" w:rsidP="006F292A">
            <w:pPr>
              <w:suppressAutoHyphens w:val="0"/>
              <w:jc w:val="center"/>
              <w:rPr>
                <w:color w:val="000000"/>
                <w:sz w:val="20"/>
                <w:szCs w:val="20"/>
                <w:lang w:val="en-GB" w:eastAsia="tr-TR"/>
              </w:rPr>
            </w:pPr>
            <w:r>
              <w:rPr>
                <w:color w:val="000000"/>
                <w:sz w:val="20"/>
                <w:szCs w:val="20"/>
                <w:lang w:val="en-GB" w:eastAsia="tr-TR"/>
              </w:rPr>
              <w:t>Informality rate</w:t>
            </w:r>
          </w:p>
        </w:tc>
      </w:tr>
      <w:tr w:rsidR="006F292A" w:rsidRPr="00087303" w:rsidTr="006F292A">
        <w:trPr>
          <w:trHeight w:hRule="exact" w:val="284"/>
        </w:trPr>
        <w:tc>
          <w:tcPr>
            <w:tcW w:w="0" w:type="auto"/>
            <w:tcBorders>
              <w:top w:val="single" w:sz="4" w:space="0" w:color="auto"/>
              <w:left w:val="single" w:sz="8" w:space="0" w:color="auto"/>
              <w:bottom w:val="nil"/>
              <w:right w:val="nil"/>
            </w:tcBorders>
            <w:shd w:val="clear" w:color="auto" w:fill="auto"/>
            <w:noWrap/>
            <w:vAlign w:val="center"/>
            <w:hideMark/>
          </w:tcPr>
          <w:p w:rsidR="006F292A" w:rsidRPr="00087303" w:rsidRDefault="006F292A" w:rsidP="006F292A">
            <w:pPr>
              <w:suppressAutoHyphens w:val="0"/>
              <w:rPr>
                <w:b/>
                <w:bCs/>
                <w:color w:val="000000"/>
                <w:sz w:val="20"/>
                <w:szCs w:val="20"/>
                <w:lang w:val="en-GB" w:eastAsia="tr-TR"/>
              </w:rPr>
            </w:pPr>
            <w:r w:rsidRPr="00087303">
              <w:rPr>
                <w:b/>
                <w:bCs/>
                <w:color w:val="000000"/>
                <w:sz w:val="20"/>
                <w:szCs w:val="20"/>
                <w:lang w:val="en-GB" w:eastAsia="tr-TR"/>
              </w:rPr>
              <w:t>2005</w:t>
            </w:r>
          </w:p>
        </w:tc>
        <w:tc>
          <w:tcPr>
            <w:tcW w:w="0" w:type="auto"/>
            <w:tcBorders>
              <w:top w:val="single" w:sz="4" w:space="0" w:color="auto"/>
              <w:left w:val="single" w:sz="8" w:space="0" w:color="auto"/>
              <w:bottom w:val="nil"/>
              <w:right w:val="single" w:sz="8" w:space="0" w:color="auto"/>
            </w:tcBorders>
            <w:shd w:val="clear" w:color="auto" w:fill="auto"/>
            <w:noWrap/>
            <w:vAlign w:val="center"/>
            <w:hideMark/>
          </w:tcPr>
          <w:p w:rsidR="006F292A" w:rsidRPr="00087303" w:rsidRDefault="006F292A" w:rsidP="006F292A">
            <w:pPr>
              <w:suppressAutoHyphens w:val="0"/>
              <w:rPr>
                <w:color w:val="000000"/>
                <w:sz w:val="20"/>
                <w:szCs w:val="20"/>
                <w:lang w:val="en-GB" w:eastAsia="tr-TR"/>
              </w:rPr>
            </w:pPr>
            <w:r w:rsidRPr="00087303">
              <w:rPr>
                <w:color w:val="000000"/>
                <w:sz w:val="20"/>
                <w:szCs w:val="20"/>
                <w:lang w:val="en-GB" w:eastAsia="tr-TR"/>
              </w:rPr>
              <w:t>20 066</w:t>
            </w:r>
          </w:p>
        </w:tc>
        <w:tc>
          <w:tcPr>
            <w:tcW w:w="1149"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rPr>
              <w:t>48.2</w:t>
            </w:r>
          </w:p>
        </w:tc>
        <w:tc>
          <w:tcPr>
            <w:tcW w:w="717"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sz w:val="20"/>
                <w:szCs w:val="20"/>
                <w:lang w:val="en-GB" w:eastAsia="tr-TR"/>
              </w:rPr>
            </w:pPr>
            <w:r w:rsidRPr="00087303">
              <w:rPr>
                <w:sz w:val="20"/>
                <w:szCs w:val="20"/>
                <w:lang w:val="en-GB" w:eastAsia="tr-TR"/>
              </w:rPr>
              <w:t>11 435</w:t>
            </w:r>
          </w:p>
        </w:tc>
        <w:tc>
          <w:tcPr>
            <w:tcW w:w="1149"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rPr>
              <w:t>32.0</w:t>
            </w:r>
          </w:p>
        </w:tc>
        <w:tc>
          <w:tcPr>
            <w:tcW w:w="694"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sz w:val="20"/>
                <w:szCs w:val="20"/>
                <w:lang w:val="en-GB" w:eastAsia="tr-TR"/>
              </w:rPr>
            </w:pPr>
            <w:r w:rsidRPr="00087303">
              <w:rPr>
                <w:sz w:val="20"/>
                <w:szCs w:val="20"/>
                <w:lang w:val="en-GB" w:eastAsia="tr-TR"/>
              </w:rPr>
              <w:t>1 101</w:t>
            </w:r>
          </w:p>
        </w:tc>
        <w:tc>
          <w:tcPr>
            <w:tcW w:w="1149"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rPr>
              <w:t>25.6</w:t>
            </w:r>
          </w:p>
        </w:tc>
        <w:tc>
          <w:tcPr>
            <w:tcW w:w="693"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sz w:val="20"/>
                <w:szCs w:val="20"/>
                <w:lang w:val="en-GB" w:eastAsia="tr-TR"/>
              </w:rPr>
            </w:pPr>
            <w:r w:rsidRPr="00087303">
              <w:rPr>
                <w:sz w:val="20"/>
                <w:szCs w:val="20"/>
                <w:lang w:val="en-GB" w:eastAsia="tr-TR"/>
              </w:rPr>
              <w:t>4 689</w:t>
            </w:r>
          </w:p>
        </w:tc>
        <w:tc>
          <w:tcPr>
            <w:tcW w:w="1149"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rPr>
              <w:t>64.6</w:t>
            </w:r>
          </w:p>
        </w:tc>
        <w:tc>
          <w:tcPr>
            <w:tcW w:w="694"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sz w:val="20"/>
                <w:szCs w:val="20"/>
                <w:lang w:val="en-GB" w:eastAsia="tr-TR"/>
              </w:rPr>
            </w:pPr>
            <w:r w:rsidRPr="00087303">
              <w:rPr>
                <w:sz w:val="20"/>
                <w:szCs w:val="20"/>
                <w:lang w:val="en-GB" w:eastAsia="tr-TR"/>
              </w:rPr>
              <w:t>2 841</w:t>
            </w:r>
          </w:p>
        </w:tc>
        <w:tc>
          <w:tcPr>
            <w:tcW w:w="1149"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rPr>
              <w:t>94.9</w:t>
            </w:r>
          </w:p>
        </w:tc>
      </w:tr>
      <w:tr w:rsidR="006F292A" w:rsidRPr="00087303" w:rsidTr="006F292A">
        <w:trPr>
          <w:trHeight w:hRule="exact" w:val="284"/>
        </w:trPr>
        <w:tc>
          <w:tcPr>
            <w:tcW w:w="0" w:type="auto"/>
            <w:tcBorders>
              <w:top w:val="nil"/>
              <w:left w:val="single" w:sz="8" w:space="0" w:color="auto"/>
              <w:bottom w:val="nil"/>
              <w:right w:val="nil"/>
            </w:tcBorders>
            <w:shd w:val="clear" w:color="auto" w:fill="auto"/>
            <w:noWrap/>
            <w:vAlign w:val="center"/>
            <w:hideMark/>
          </w:tcPr>
          <w:p w:rsidR="006F292A" w:rsidRPr="00087303" w:rsidRDefault="006F292A" w:rsidP="006F292A">
            <w:pPr>
              <w:suppressAutoHyphens w:val="0"/>
              <w:rPr>
                <w:b/>
                <w:bCs/>
                <w:color w:val="000000"/>
                <w:sz w:val="20"/>
                <w:szCs w:val="20"/>
                <w:lang w:val="en-GB" w:eastAsia="tr-TR"/>
              </w:rPr>
            </w:pPr>
            <w:r w:rsidRPr="00087303">
              <w:rPr>
                <w:b/>
                <w:bCs/>
                <w:color w:val="000000"/>
                <w:sz w:val="20"/>
                <w:szCs w:val="20"/>
                <w:lang w:val="en-GB" w:eastAsia="tr-TR"/>
              </w:rPr>
              <w:t>2006</w:t>
            </w:r>
          </w:p>
        </w:tc>
        <w:tc>
          <w:tcPr>
            <w:tcW w:w="0" w:type="auto"/>
            <w:tcBorders>
              <w:top w:val="nil"/>
              <w:left w:val="single" w:sz="8" w:space="0" w:color="auto"/>
              <w:bottom w:val="nil"/>
              <w:right w:val="single" w:sz="8" w:space="0" w:color="auto"/>
            </w:tcBorders>
            <w:shd w:val="clear" w:color="auto" w:fill="auto"/>
            <w:noWrap/>
            <w:vAlign w:val="center"/>
            <w:hideMark/>
          </w:tcPr>
          <w:p w:rsidR="006F292A" w:rsidRPr="00087303" w:rsidRDefault="006F292A" w:rsidP="006F292A">
            <w:pPr>
              <w:suppressAutoHyphens w:val="0"/>
              <w:rPr>
                <w:color w:val="000000"/>
                <w:sz w:val="20"/>
                <w:szCs w:val="20"/>
                <w:lang w:val="en-GB" w:eastAsia="tr-TR"/>
              </w:rPr>
            </w:pPr>
            <w:r w:rsidRPr="00087303">
              <w:rPr>
                <w:color w:val="000000"/>
                <w:sz w:val="20"/>
                <w:szCs w:val="20"/>
                <w:lang w:val="en-GB" w:eastAsia="tr-TR"/>
              </w:rPr>
              <w:t>20 423</w:t>
            </w:r>
          </w:p>
        </w:tc>
        <w:tc>
          <w:tcPr>
            <w:tcW w:w="1149"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rPr>
              <w:t>47.0</w:t>
            </w:r>
          </w:p>
        </w:tc>
        <w:tc>
          <w:tcPr>
            <w:tcW w:w="717"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sz w:val="20"/>
                <w:szCs w:val="20"/>
                <w:lang w:val="en-GB" w:eastAsia="tr-TR"/>
              </w:rPr>
            </w:pPr>
            <w:r w:rsidRPr="00087303">
              <w:rPr>
                <w:sz w:val="20"/>
                <w:szCs w:val="20"/>
                <w:lang w:val="en-GB" w:eastAsia="tr-TR"/>
              </w:rPr>
              <w:t>12 028</w:t>
            </w:r>
          </w:p>
        </w:tc>
        <w:tc>
          <w:tcPr>
            <w:tcW w:w="1149"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rPr>
              <w:t>31.5</w:t>
            </w:r>
          </w:p>
        </w:tc>
        <w:tc>
          <w:tcPr>
            <w:tcW w:w="694"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sz w:val="20"/>
                <w:szCs w:val="20"/>
                <w:lang w:val="en-GB" w:eastAsia="tr-TR"/>
              </w:rPr>
            </w:pPr>
            <w:r w:rsidRPr="00087303">
              <w:rPr>
                <w:sz w:val="20"/>
                <w:szCs w:val="20"/>
                <w:lang w:val="en-GB" w:eastAsia="tr-TR"/>
              </w:rPr>
              <w:t>1 162</w:t>
            </w:r>
          </w:p>
        </w:tc>
        <w:tc>
          <w:tcPr>
            <w:tcW w:w="1149"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rPr>
              <w:t>26.7</w:t>
            </w:r>
          </w:p>
        </w:tc>
        <w:tc>
          <w:tcPr>
            <w:tcW w:w="693"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sz w:val="20"/>
                <w:szCs w:val="20"/>
                <w:lang w:val="en-GB" w:eastAsia="tr-TR"/>
              </w:rPr>
            </w:pPr>
            <w:r w:rsidRPr="00087303">
              <w:rPr>
                <w:sz w:val="20"/>
                <w:szCs w:val="20"/>
                <w:lang w:val="en-GB" w:eastAsia="tr-TR"/>
              </w:rPr>
              <w:t>4 555</w:t>
            </w:r>
          </w:p>
        </w:tc>
        <w:tc>
          <w:tcPr>
            <w:tcW w:w="1149"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rPr>
              <w:t>64.9</w:t>
            </w:r>
          </w:p>
        </w:tc>
        <w:tc>
          <w:tcPr>
            <w:tcW w:w="694"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sz w:val="20"/>
                <w:szCs w:val="20"/>
                <w:lang w:val="en-GB" w:eastAsia="tr-TR"/>
              </w:rPr>
            </w:pPr>
            <w:r w:rsidRPr="00087303">
              <w:rPr>
                <w:sz w:val="20"/>
                <w:szCs w:val="20"/>
                <w:lang w:val="en-GB" w:eastAsia="tr-TR"/>
              </w:rPr>
              <w:t>2 678</w:t>
            </w:r>
          </w:p>
        </w:tc>
        <w:tc>
          <w:tcPr>
            <w:tcW w:w="1149"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rPr>
              <w:t>95.0</w:t>
            </w:r>
          </w:p>
        </w:tc>
      </w:tr>
      <w:tr w:rsidR="006F292A" w:rsidRPr="00087303" w:rsidTr="006F292A">
        <w:trPr>
          <w:trHeight w:hRule="exact" w:val="284"/>
        </w:trPr>
        <w:tc>
          <w:tcPr>
            <w:tcW w:w="0" w:type="auto"/>
            <w:tcBorders>
              <w:top w:val="nil"/>
              <w:left w:val="single" w:sz="8" w:space="0" w:color="auto"/>
              <w:bottom w:val="nil"/>
              <w:right w:val="nil"/>
            </w:tcBorders>
            <w:shd w:val="clear" w:color="auto" w:fill="auto"/>
            <w:noWrap/>
            <w:vAlign w:val="center"/>
            <w:hideMark/>
          </w:tcPr>
          <w:p w:rsidR="006F292A" w:rsidRPr="00087303" w:rsidRDefault="006F292A" w:rsidP="006F292A">
            <w:pPr>
              <w:suppressAutoHyphens w:val="0"/>
              <w:rPr>
                <w:b/>
                <w:bCs/>
                <w:color w:val="000000"/>
                <w:sz w:val="20"/>
                <w:szCs w:val="20"/>
                <w:lang w:val="en-GB" w:eastAsia="tr-TR"/>
              </w:rPr>
            </w:pPr>
            <w:r w:rsidRPr="00087303">
              <w:rPr>
                <w:b/>
                <w:bCs/>
                <w:color w:val="000000"/>
                <w:sz w:val="20"/>
                <w:szCs w:val="20"/>
                <w:lang w:val="en-GB" w:eastAsia="tr-TR"/>
              </w:rPr>
              <w:t>2007</w:t>
            </w:r>
          </w:p>
        </w:tc>
        <w:tc>
          <w:tcPr>
            <w:tcW w:w="0" w:type="auto"/>
            <w:tcBorders>
              <w:top w:val="nil"/>
              <w:left w:val="single" w:sz="8" w:space="0" w:color="auto"/>
              <w:bottom w:val="nil"/>
              <w:right w:val="single" w:sz="8" w:space="0" w:color="auto"/>
            </w:tcBorders>
            <w:shd w:val="clear" w:color="auto" w:fill="auto"/>
            <w:noWrap/>
            <w:vAlign w:val="center"/>
            <w:hideMark/>
          </w:tcPr>
          <w:p w:rsidR="006F292A" w:rsidRPr="00087303" w:rsidRDefault="006F292A" w:rsidP="006F292A">
            <w:pPr>
              <w:suppressAutoHyphens w:val="0"/>
              <w:rPr>
                <w:color w:val="000000"/>
                <w:sz w:val="20"/>
                <w:szCs w:val="20"/>
                <w:lang w:val="en-GB" w:eastAsia="tr-TR"/>
              </w:rPr>
            </w:pPr>
            <w:r w:rsidRPr="00087303">
              <w:rPr>
                <w:color w:val="000000"/>
                <w:sz w:val="20"/>
                <w:szCs w:val="20"/>
                <w:lang w:val="en-GB" w:eastAsia="tr-TR"/>
              </w:rPr>
              <w:t>20 738</w:t>
            </w:r>
          </w:p>
        </w:tc>
        <w:tc>
          <w:tcPr>
            <w:tcW w:w="1149"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rPr>
              <w:t>45.4</w:t>
            </w:r>
          </w:p>
        </w:tc>
        <w:tc>
          <w:tcPr>
            <w:tcW w:w="717"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sz w:val="20"/>
                <w:szCs w:val="20"/>
                <w:lang w:val="en-GB" w:eastAsia="tr-TR"/>
              </w:rPr>
            </w:pPr>
            <w:r w:rsidRPr="00087303">
              <w:rPr>
                <w:sz w:val="20"/>
                <w:szCs w:val="20"/>
                <w:lang w:val="en-GB" w:eastAsia="tr-TR"/>
              </w:rPr>
              <w:t>12 534</w:t>
            </w:r>
          </w:p>
        </w:tc>
        <w:tc>
          <w:tcPr>
            <w:tcW w:w="1149"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rPr>
              <w:t>29.4</w:t>
            </w:r>
          </w:p>
        </w:tc>
        <w:tc>
          <w:tcPr>
            <w:tcW w:w="694"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sz w:val="20"/>
                <w:szCs w:val="20"/>
                <w:lang w:val="en-GB" w:eastAsia="tr-TR"/>
              </w:rPr>
            </w:pPr>
            <w:r w:rsidRPr="00087303">
              <w:rPr>
                <w:sz w:val="20"/>
                <w:szCs w:val="20"/>
                <w:lang w:val="en-GB" w:eastAsia="tr-TR"/>
              </w:rPr>
              <w:t>1 189</w:t>
            </w:r>
          </w:p>
        </w:tc>
        <w:tc>
          <w:tcPr>
            <w:tcW w:w="1149"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rPr>
              <w:t>27.8</w:t>
            </w:r>
          </w:p>
        </w:tc>
        <w:tc>
          <w:tcPr>
            <w:tcW w:w="693"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sz w:val="20"/>
                <w:szCs w:val="20"/>
                <w:lang w:val="en-GB" w:eastAsia="tr-TR"/>
              </w:rPr>
            </w:pPr>
            <w:r w:rsidRPr="00087303">
              <w:rPr>
                <w:sz w:val="20"/>
                <w:szCs w:val="20"/>
                <w:lang w:val="en-GB" w:eastAsia="tr-TR"/>
              </w:rPr>
              <w:t>4 386</w:t>
            </w:r>
          </w:p>
        </w:tc>
        <w:tc>
          <w:tcPr>
            <w:tcW w:w="1149"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rPr>
              <w:t>65.9</w:t>
            </w:r>
          </w:p>
        </w:tc>
        <w:tc>
          <w:tcPr>
            <w:tcW w:w="694"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sz w:val="20"/>
                <w:szCs w:val="20"/>
                <w:lang w:val="en-GB" w:eastAsia="tr-TR"/>
              </w:rPr>
            </w:pPr>
            <w:r w:rsidRPr="00087303">
              <w:rPr>
                <w:sz w:val="20"/>
                <w:szCs w:val="20"/>
                <w:lang w:val="en-GB" w:eastAsia="tr-TR"/>
              </w:rPr>
              <w:t>2 628</w:t>
            </w:r>
          </w:p>
        </w:tc>
        <w:tc>
          <w:tcPr>
            <w:tcW w:w="1149"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rPr>
              <w:t>95.9</w:t>
            </w:r>
          </w:p>
        </w:tc>
      </w:tr>
      <w:tr w:rsidR="006F292A" w:rsidRPr="00087303" w:rsidTr="006F292A">
        <w:trPr>
          <w:trHeight w:hRule="exact" w:val="284"/>
        </w:trPr>
        <w:tc>
          <w:tcPr>
            <w:tcW w:w="0" w:type="auto"/>
            <w:tcBorders>
              <w:top w:val="nil"/>
              <w:left w:val="single" w:sz="8" w:space="0" w:color="auto"/>
              <w:bottom w:val="nil"/>
              <w:right w:val="nil"/>
            </w:tcBorders>
            <w:shd w:val="clear" w:color="auto" w:fill="auto"/>
            <w:noWrap/>
            <w:vAlign w:val="center"/>
            <w:hideMark/>
          </w:tcPr>
          <w:p w:rsidR="006F292A" w:rsidRPr="00087303" w:rsidRDefault="006F292A" w:rsidP="006F292A">
            <w:pPr>
              <w:suppressAutoHyphens w:val="0"/>
              <w:rPr>
                <w:b/>
                <w:bCs/>
                <w:color w:val="000000"/>
                <w:sz w:val="20"/>
                <w:szCs w:val="20"/>
                <w:lang w:val="en-GB" w:eastAsia="tr-TR"/>
              </w:rPr>
            </w:pPr>
            <w:r w:rsidRPr="00087303">
              <w:rPr>
                <w:b/>
                <w:bCs/>
                <w:color w:val="000000"/>
                <w:sz w:val="20"/>
                <w:szCs w:val="20"/>
                <w:lang w:val="en-GB" w:eastAsia="tr-TR"/>
              </w:rPr>
              <w:t>2008</w:t>
            </w:r>
          </w:p>
        </w:tc>
        <w:tc>
          <w:tcPr>
            <w:tcW w:w="0" w:type="auto"/>
            <w:tcBorders>
              <w:top w:val="nil"/>
              <w:left w:val="single" w:sz="8" w:space="0" w:color="auto"/>
              <w:bottom w:val="nil"/>
              <w:right w:val="single" w:sz="8" w:space="0" w:color="auto"/>
            </w:tcBorders>
            <w:shd w:val="clear" w:color="auto" w:fill="auto"/>
            <w:noWrap/>
            <w:vAlign w:val="center"/>
            <w:hideMark/>
          </w:tcPr>
          <w:p w:rsidR="006F292A" w:rsidRPr="00087303" w:rsidRDefault="006F292A" w:rsidP="006F292A">
            <w:pPr>
              <w:suppressAutoHyphens w:val="0"/>
              <w:rPr>
                <w:color w:val="000000"/>
                <w:sz w:val="20"/>
                <w:szCs w:val="20"/>
                <w:lang w:val="en-GB" w:eastAsia="tr-TR"/>
              </w:rPr>
            </w:pPr>
            <w:r w:rsidRPr="00087303">
              <w:rPr>
                <w:color w:val="000000"/>
                <w:sz w:val="20"/>
                <w:szCs w:val="20"/>
                <w:lang w:val="en-GB" w:eastAsia="tr-TR"/>
              </w:rPr>
              <w:t>21 194</w:t>
            </w:r>
          </w:p>
        </w:tc>
        <w:tc>
          <w:tcPr>
            <w:tcW w:w="1149"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rPr>
              <w:t>43.5</w:t>
            </w:r>
          </w:p>
        </w:tc>
        <w:tc>
          <w:tcPr>
            <w:tcW w:w="717"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sz w:val="20"/>
                <w:szCs w:val="20"/>
                <w:lang w:val="en-GB" w:eastAsia="tr-TR"/>
              </w:rPr>
            </w:pPr>
            <w:r w:rsidRPr="00087303">
              <w:rPr>
                <w:sz w:val="20"/>
                <w:szCs w:val="20"/>
                <w:lang w:val="en-GB" w:eastAsia="tr-TR"/>
              </w:rPr>
              <w:t>12 937</w:t>
            </w:r>
          </w:p>
        </w:tc>
        <w:tc>
          <w:tcPr>
            <w:tcW w:w="1149"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rPr>
              <w:t>26.4</w:t>
            </w:r>
          </w:p>
        </w:tc>
        <w:tc>
          <w:tcPr>
            <w:tcW w:w="694"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sz w:val="20"/>
                <w:szCs w:val="20"/>
                <w:lang w:val="en-GB" w:eastAsia="tr-TR"/>
              </w:rPr>
            </w:pPr>
            <w:r w:rsidRPr="00087303">
              <w:rPr>
                <w:sz w:val="20"/>
                <w:szCs w:val="20"/>
                <w:lang w:val="en-GB" w:eastAsia="tr-TR"/>
              </w:rPr>
              <w:t>1 249</w:t>
            </w:r>
          </w:p>
        </w:tc>
        <w:tc>
          <w:tcPr>
            <w:tcW w:w="1149"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rPr>
              <w:t>27.9</w:t>
            </w:r>
          </w:p>
        </w:tc>
        <w:tc>
          <w:tcPr>
            <w:tcW w:w="693"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sz w:val="20"/>
                <w:szCs w:val="20"/>
                <w:lang w:val="en-GB" w:eastAsia="tr-TR"/>
              </w:rPr>
            </w:pPr>
            <w:r w:rsidRPr="00087303">
              <w:rPr>
                <w:sz w:val="20"/>
                <w:szCs w:val="20"/>
                <w:lang w:val="en-GB" w:eastAsia="tr-TR"/>
              </w:rPr>
              <w:t>4 324</w:t>
            </w:r>
          </w:p>
        </w:tc>
        <w:tc>
          <w:tcPr>
            <w:tcW w:w="1149"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rPr>
              <w:t>66.9</w:t>
            </w:r>
          </w:p>
        </w:tc>
        <w:tc>
          <w:tcPr>
            <w:tcW w:w="694"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sz w:val="20"/>
                <w:szCs w:val="20"/>
                <w:lang w:val="en-GB" w:eastAsia="tr-TR"/>
              </w:rPr>
            </w:pPr>
            <w:r w:rsidRPr="00087303">
              <w:rPr>
                <w:sz w:val="20"/>
                <w:szCs w:val="20"/>
                <w:lang w:val="en-GB" w:eastAsia="tr-TR"/>
              </w:rPr>
              <w:t>2 684</w:t>
            </w:r>
          </w:p>
        </w:tc>
        <w:tc>
          <w:tcPr>
            <w:tcW w:w="1149"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rPr>
              <w:t>95.5</w:t>
            </w:r>
          </w:p>
        </w:tc>
      </w:tr>
      <w:tr w:rsidR="006F292A" w:rsidRPr="00087303" w:rsidTr="006F292A">
        <w:trPr>
          <w:trHeight w:hRule="exact" w:val="284"/>
        </w:trPr>
        <w:tc>
          <w:tcPr>
            <w:tcW w:w="0" w:type="auto"/>
            <w:tcBorders>
              <w:top w:val="nil"/>
              <w:left w:val="single" w:sz="8" w:space="0" w:color="auto"/>
              <w:bottom w:val="nil"/>
              <w:right w:val="nil"/>
            </w:tcBorders>
            <w:shd w:val="clear" w:color="auto" w:fill="auto"/>
            <w:noWrap/>
            <w:vAlign w:val="center"/>
            <w:hideMark/>
          </w:tcPr>
          <w:p w:rsidR="006F292A" w:rsidRPr="00087303" w:rsidRDefault="006F292A" w:rsidP="006F292A">
            <w:pPr>
              <w:suppressAutoHyphens w:val="0"/>
              <w:rPr>
                <w:b/>
                <w:bCs/>
                <w:color w:val="000000"/>
                <w:sz w:val="20"/>
                <w:szCs w:val="20"/>
                <w:lang w:val="en-GB" w:eastAsia="tr-TR"/>
              </w:rPr>
            </w:pPr>
            <w:r w:rsidRPr="00087303">
              <w:rPr>
                <w:b/>
                <w:bCs/>
                <w:color w:val="000000"/>
                <w:sz w:val="20"/>
                <w:szCs w:val="20"/>
                <w:lang w:val="en-GB" w:eastAsia="tr-TR"/>
              </w:rPr>
              <w:t>2009</w:t>
            </w:r>
          </w:p>
        </w:tc>
        <w:tc>
          <w:tcPr>
            <w:tcW w:w="0" w:type="auto"/>
            <w:tcBorders>
              <w:top w:val="nil"/>
              <w:left w:val="single" w:sz="8" w:space="0" w:color="auto"/>
              <w:bottom w:val="nil"/>
              <w:right w:val="single" w:sz="8" w:space="0" w:color="auto"/>
            </w:tcBorders>
            <w:shd w:val="clear" w:color="auto" w:fill="auto"/>
            <w:noWrap/>
            <w:vAlign w:val="center"/>
            <w:hideMark/>
          </w:tcPr>
          <w:p w:rsidR="006F292A" w:rsidRPr="00087303" w:rsidRDefault="006F292A" w:rsidP="006F292A">
            <w:pPr>
              <w:suppressAutoHyphens w:val="0"/>
              <w:rPr>
                <w:color w:val="000000"/>
                <w:sz w:val="20"/>
                <w:szCs w:val="20"/>
                <w:lang w:val="en-GB" w:eastAsia="tr-TR"/>
              </w:rPr>
            </w:pPr>
            <w:r w:rsidRPr="00087303">
              <w:rPr>
                <w:color w:val="000000"/>
                <w:sz w:val="20"/>
                <w:szCs w:val="20"/>
                <w:lang w:val="en-GB" w:eastAsia="tr-TR"/>
              </w:rPr>
              <w:t>21 277</w:t>
            </w:r>
          </w:p>
        </w:tc>
        <w:tc>
          <w:tcPr>
            <w:tcW w:w="1149"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rPr>
              <w:t>43.8</w:t>
            </w:r>
          </w:p>
        </w:tc>
        <w:tc>
          <w:tcPr>
            <w:tcW w:w="717"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sz w:val="20"/>
                <w:szCs w:val="20"/>
                <w:lang w:val="en-GB" w:eastAsia="tr-TR"/>
              </w:rPr>
            </w:pPr>
            <w:r w:rsidRPr="00087303">
              <w:rPr>
                <w:sz w:val="20"/>
                <w:szCs w:val="20"/>
                <w:lang w:val="en-GB" w:eastAsia="tr-TR"/>
              </w:rPr>
              <w:t>12 770</w:t>
            </w:r>
          </w:p>
        </w:tc>
        <w:tc>
          <w:tcPr>
            <w:tcW w:w="1149"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rPr>
              <w:t>26.2</w:t>
            </w:r>
          </w:p>
        </w:tc>
        <w:tc>
          <w:tcPr>
            <w:tcW w:w="694"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sz w:val="20"/>
                <w:szCs w:val="20"/>
                <w:lang w:val="en-GB" w:eastAsia="tr-TR"/>
              </w:rPr>
            </w:pPr>
            <w:r w:rsidRPr="00087303">
              <w:rPr>
                <w:sz w:val="20"/>
                <w:szCs w:val="20"/>
                <w:lang w:val="en-GB" w:eastAsia="tr-TR"/>
              </w:rPr>
              <w:t>1 209</w:t>
            </w:r>
          </w:p>
        </w:tc>
        <w:tc>
          <w:tcPr>
            <w:tcW w:w="1149"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rPr>
              <w:t>26.9</w:t>
            </w:r>
          </w:p>
        </w:tc>
        <w:tc>
          <w:tcPr>
            <w:tcW w:w="693"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sz w:val="20"/>
                <w:szCs w:val="20"/>
                <w:lang w:val="en-GB" w:eastAsia="tr-TR"/>
              </w:rPr>
            </w:pPr>
            <w:r w:rsidRPr="00087303">
              <w:rPr>
                <w:sz w:val="20"/>
                <w:szCs w:val="20"/>
                <w:lang w:val="en-GB" w:eastAsia="tr-TR"/>
              </w:rPr>
              <w:t>4 429</w:t>
            </w:r>
          </w:p>
        </w:tc>
        <w:tc>
          <w:tcPr>
            <w:tcW w:w="1149"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rPr>
              <w:t>68.4</w:t>
            </w:r>
          </w:p>
        </w:tc>
        <w:tc>
          <w:tcPr>
            <w:tcW w:w="694"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sz w:val="20"/>
                <w:szCs w:val="20"/>
                <w:lang w:val="en-GB" w:eastAsia="tr-TR"/>
              </w:rPr>
            </w:pPr>
            <w:r w:rsidRPr="00087303">
              <w:rPr>
                <w:sz w:val="20"/>
                <w:szCs w:val="20"/>
                <w:lang w:val="en-GB" w:eastAsia="tr-TR"/>
              </w:rPr>
              <w:t>2 870</w:t>
            </w:r>
          </w:p>
        </w:tc>
        <w:tc>
          <w:tcPr>
            <w:tcW w:w="1149"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rPr>
              <w:t>91.4</w:t>
            </w:r>
          </w:p>
        </w:tc>
      </w:tr>
      <w:tr w:rsidR="006F292A" w:rsidRPr="00087303" w:rsidTr="006F292A">
        <w:trPr>
          <w:trHeight w:hRule="exact" w:val="284"/>
        </w:trPr>
        <w:tc>
          <w:tcPr>
            <w:tcW w:w="0" w:type="auto"/>
            <w:tcBorders>
              <w:top w:val="nil"/>
              <w:left w:val="single" w:sz="8" w:space="0" w:color="auto"/>
              <w:bottom w:val="nil"/>
              <w:right w:val="nil"/>
            </w:tcBorders>
            <w:shd w:val="clear" w:color="auto" w:fill="auto"/>
            <w:noWrap/>
            <w:vAlign w:val="center"/>
            <w:hideMark/>
          </w:tcPr>
          <w:p w:rsidR="006F292A" w:rsidRPr="00087303" w:rsidRDefault="006F292A" w:rsidP="006F292A">
            <w:pPr>
              <w:suppressAutoHyphens w:val="0"/>
              <w:rPr>
                <w:b/>
                <w:bCs/>
                <w:color w:val="000000"/>
                <w:sz w:val="20"/>
                <w:szCs w:val="20"/>
                <w:lang w:val="en-GB" w:eastAsia="tr-TR"/>
              </w:rPr>
            </w:pPr>
            <w:r w:rsidRPr="00087303">
              <w:rPr>
                <w:b/>
                <w:bCs/>
                <w:color w:val="000000"/>
                <w:sz w:val="20"/>
                <w:szCs w:val="20"/>
                <w:lang w:val="en-GB" w:eastAsia="tr-TR"/>
              </w:rPr>
              <w:t>2010</w:t>
            </w:r>
          </w:p>
        </w:tc>
        <w:tc>
          <w:tcPr>
            <w:tcW w:w="0" w:type="auto"/>
            <w:tcBorders>
              <w:top w:val="nil"/>
              <w:left w:val="single" w:sz="8" w:space="0" w:color="auto"/>
              <w:bottom w:val="nil"/>
              <w:right w:val="single" w:sz="8" w:space="0" w:color="auto"/>
            </w:tcBorders>
            <w:shd w:val="clear" w:color="auto" w:fill="auto"/>
            <w:noWrap/>
            <w:vAlign w:val="center"/>
            <w:hideMark/>
          </w:tcPr>
          <w:p w:rsidR="006F292A" w:rsidRPr="00087303" w:rsidRDefault="006F292A" w:rsidP="006F292A">
            <w:pPr>
              <w:suppressAutoHyphens w:val="0"/>
              <w:rPr>
                <w:color w:val="000000"/>
                <w:sz w:val="20"/>
                <w:szCs w:val="20"/>
                <w:lang w:val="en-GB" w:eastAsia="tr-TR"/>
              </w:rPr>
            </w:pPr>
            <w:r w:rsidRPr="00087303">
              <w:rPr>
                <w:color w:val="000000"/>
                <w:sz w:val="20"/>
                <w:szCs w:val="20"/>
                <w:lang w:val="en-GB" w:eastAsia="tr-TR"/>
              </w:rPr>
              <w:t>22 594</w:t>
            </w:r>
          </w:p>
        </w:tc>
        <w:tc>
          <w:tcPr>
            <w:tcW w:w="1149"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rPr>
              <w:t>43.3</w:t>
            </w:r>
          </w:p>
        </w:tc>
        <w:tc>
          <w:tcPr>
            <w:tcW w:w="717"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sz w:val="20"/>
                <w:szCs w:val="20"/>
                <w:lang w:val="en-GB" w:eastAsia="tr-TR"/>
              </w:rPr>
            </w:pPr>
            <w:r w:rsidRPr="00087303">
              <w:rPr>
                <w:sz w:val="20"/>
                <w:szCs w:val="20"/>
                <w:lang w:val="en-GB" w:eastAsia="tr-TR"/>
              </w:rPr>
              <w:t>13 762</w:t>
            </w:r>
          </w:p>
        </w:tc>
        <w:tc>
          <w:tcPr>
            <w:tcW w:w="1149"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rPr>
              <w:t>25.7</w:t>
            </w:r>
          </w:p>
        </w:tc>
        <w:tc>
          <w:tcPr>
            <w:tcW w:w="694"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sz w:val="20"/>
                <w:szCs w:val="20"/>
                <w:lang w:val="en-GB" w:eastAsia="tr-TR"/>
              </w:rPr>
            </w:pPr>
            <w:r w:rsidRPr="00087303">
              <w:rPr>
                <w:sz w:val="20"/>
                <w:szCs w:val="20"/>
                <w:lang w:val="en-GB" w:eastAsia="tr-TR"/>
              </w:rPr>
              <w:t>1 202</w:t>
            </w:r>
          </w:p>
        </w:tc>
        <w:tc>
          <w:tcPr>
            <w:tcW w:w="1149"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rPr>
              <w:t>25.0</w:t>
            </w:r>
          </w:p>
        </w:tc>
        <w:tc>
          <w:tcPr>
            <w:tcW w:w="693"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sz w:val="20"/>
                <w:szCs w:val="20"/>
                <w:lang w:val="en-GB" w:eastAsia="tr-TR"/>
              </w:rPr>
            </w:pPr>
            <w:r w:rsidRPr="00087303">
              <w:rPr>
                <w:sz w:val="20"/>
                <w:szCs w:val="20"/>
                <w:lang w:val="en-GB" w:eastAsia="tr-TR"/>
              </w:rPr>
              <w:t>4 548</w:t>
            </w:r>
          </w:p>
        </w:tc>
        <w:tc>
          <w:tcPr>
            <w:tcW w:w="1149"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rPr>
              <w:t>68.1</w:t>
            </w:r>
          </w:p>
        </w:tc>
        <w:tc>
          <w:tcPr>
            <w:tcW w:w="694"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sz w:val="20"/>
                <w:szCs w:val="20"/>
                <w:lang w:val="en-GB" w:eastAsia="tr-TR"/>
              </w:rPr>
            </w:pPr>
            <w:r w:rsidRPr="00087303">
              <w:rPr>
                <w:sz w:val="20"/>
                <w:szCs w:val="20"/>
                <w:lang w:val="en-GB" w:eastAsia="tr-TR"/>
              </w:rPr>
              <w:t>3 083</w:t>
            </w:r>
          </w:p>
        </w:tc>
        <w:tc>
          <w:tcPr>
            <w:tcW w:w="1149"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rPr>
              <w:t>92.2</w:t>
            </w:r>
          </w:p>
        </w:tc>
      </w:tr>
      <w:tr w:rsidR="006F292A" w:rsidRPr="00087303" w:rsidTr="006F292A">
        <w:trPr>
          <w:trHeight w:hRule="exact" w:val="284"/>
        </w:trPr>
        <w:tc>
          <w:tcPr>
            <w:tcW w:w="0" w:type="auto"/>
            <w:tcBorders>
              <w:top w:val="nil"/>
              <w:left w:val="single" w:sz="8" w:space="0" w:color="auto"/>
              <w:bottom w:val="nil"/>
              <w:right w:val="nil"/>
            </w:tcBorders>
            <w:shd w:val="clear" w:color="auto" w:fill="auto"/>
            <w:noWrap/>
            <w:vAlign w:val="center"/>
            <w:hideMark/>
          </w:tcPr>
          <w:p w:rsidR="006F292A" w:rsidRPr="00087303" w:rsidRDefault="006F292A" w:rsidP="006F292A">
            <w:pPr>
              <w:suppressAutoHyphens w:val="0"/>
              <w:rPr>
                <w:b/>
                <w:bCs/>
                <w:color w:val="000000"/>
                <w:sz w:val="20"/>
                <w:szCs w:val="20"/>
                <w:lang w:val="en-GB" w:eastAsia="tr-TR"/>
              </w:rPr>
            </w:pPr>
            <w:r w:rsidRPr="00087303">
              <w:rPr>
                <w:b/>
                <w:bCs/>
                <w:color w:val="000000"/>
                <w:sz w:val="20"/>
                <w:szCs w:val="20"/>
                <w:lang w:val="en-GB" w:eastAsia="tr-TR"/>
              </w:rPr>
              <w:t>2011</w:t>
            </w:r>
          </w:p>
        </w:tc>
        <w:tc>
          <w:tcPr>
            <w:tcW w:w="0" w:type="auto"/>
            <w:tcBorders>
              <w:top w:val="nil"/>
              <w:left w:val="single" w:sz="8" w:space="0" w:color="auto"/>
              <w:bottom w:val="nil"/>
              <w:right w:val="single" w:sz="8" w:space="0" w:color="auto"/>
            </w:tcBorders>
            <w:shd w:val="clear" w:color="auto" w:fill="auto"/>
            <w:noWrap/>
            <w:vAlign w:val="center"/>
            <w:hideMark/>
          </w:tcPr>
          <w:p w:rsidR="006F292A" w:rsidRPr="00087303" w:rsidRDefault="006F292A" w:rsidP="006F292A">
            <w:pPr>
              <w:suppressAutoHyphens w:val="0"/>
              <w:rPr>
                <w:color w:val="000000"/>
                <w:sz w:val="20"/>
                <w:szCs w:val="20"/>
                <w:lang w:val="en-GB" w:eastAsia="tr-TR"/>
              </w:rPr>
            </w:pPr>
            <w:r w:rsidRPr="00087303">
              <w:rPr>
                <w:color w:val="000000"/>
                <w:sz w:val="20"/>
                <w:szCs w:val="20"/>
                <w:lang w:val="en-GB" w:eastAsia="tr-TR"/>
              </w:rPr>
              <w:t>24 110</w:t>
            </w:r>
          </w:p>
        </w:tc>
        <w:tc>
          <w:tcPr>
            <w:tcW w:w="1149"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rPr>
              <w:t>42.1</w:t>
            </w:r>
          </w:p>
        </w:tc>
        <w:tc>
          <w:tcPr>
            <w:tcW w:w="717"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sz w:val="20"/>
                <w:szCs w:val="20"/>
                <w:lang w:val="en-GB" w:eastAsia="tr-TR"/>
              </w:rPr>
            </w:pPr>
            <w:r w:rsidRPr="00087303">
              <w:rPr>
                <w:sz w:val="20"/>
                <w:szCs w:val="20"/>
                <w:lang w:val="en-GB" w:eastAsia="tr-TR"/>
              </w:rPr>
              <w:t>14 876</w:t>
            </w:r>
          </w:p>
        </w:tc>
        <w:tc>
          <w:tcPr>
            <w:tcW w:w="1149"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rPr>
              <w:t>25.1</w:t>
            </w:r>
          </w:p>
        </w:tc>
        <w:tc>
          <w:tcPr>
            <w:tcW w:w="694"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sz w:val="20"/>
                <w:szCs w:val="20"/>
                <w:lang w:val="en-GB" w:eastAsia="tr-TR"/>
              </w:rPr>
            </w:pPr>
            <w:r w:rsidRPr="00087303">
              <w:rPr>
                <w:sz w:val="20"/>
                <w:szCs w:val="20"/>
                <w:lang w:val="en-GB" w:eastAsia="tr-TR"/>
              </w:rPr>
              <w:t>1 244</w:t>
            </w:r>
          </w:p>
        </w:tc>
        <w:tc>
          <w:tcPr>
            <w:tcW w:w="1149"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rPr>
              <w:t>22.3</w:t>
            </w:r>
          </w:p>
        </w:tc>
        <w:tc>
          <w:tcPr>
            <w:tcW w:w="693"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sz w:val="20"/>
                <w:szCs w:val="20"/>
                <w:lang w:val="en-GB" w:eastAsia="tr-TR"/>
              </w:rPr>
            </w:pPr>
            <w:r w:rsidRPr="00087303">
              <w:rPr>
                <w:sz w:val="20"/>
                <w:szCs w:val="20"/>
                <w:lang w:val="en-GB" w:eastAsia="tr-TR"/>
              </w:rPr>
              <w:t>4 687</w:t>
            </w:r>
          </w:p>
        </w:tc>
        <w:tc>
          <w:tcPr>
            <w:tcW w:w="1149"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rPr>
              <w:t>65.6</w:t>
            </w:r>
          </w:p>
        </w:tc>
        <w:tc>
          <w:tcPr>
            <w:tcW w:w="694"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sz w:val="20"/>
                <w:szCs w:val="20"/>
                <w:lang w:val="en-GB" w:eastAsia="tr-TR"/>
              </w:rPr>
            </w:pPr>
            <w:r w:rsidRPr="00087303">
              <w:rPr>
                <w:sz w:val="20"/>
                <w:szCs w:val="20"/>
                <w:lang w:val="en-GB" w:eastAsia="tr-TR"/>
              </w:rPr>
              <w:t>3 303</w:t>
            </w:r>
          </w:p>
        </w:tc>
        <w:tc>
          <w:tcPr>
            <w:tcW w:w="1149"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rPr>
              <w:t>92.2</w:t>
            </w:r>
          </w:p>
        </w:tc>
      </w:tr>
      <w:tr w:rsidR="006F292A" w:rsidRPr="00087303" w:rsidTr="006F292A">
        <w:trPr>
          <w:trHeight w:hRule="exact" w:val="284"/>
        </w:trPr>
        <w:tc>
          <w:tcPr>
            <w:tcW w:w="0" w:type="auto"/>
            <w:tcBorders>
              <w:top w:val="nil"/>
              <w:left w:val="single" w:sz="8" w:space="0" w:color="auto"/>
              <w:bottom w:val="nil"/>
              <w:right w:val="nil"/>
            </w:tcBorders>
            <w:shd w:val="clear" w:color="auto" w:fill="auto"/>
            <w:noWrap/>
            <w:vAlign w:val="center"/>
            <w:hideMark/>
          </w:tcPr>
          <w:p w:rsidR="006F292A" w:rsidRPr="00087303" w:rsidRDefault="006F292A" w:rsidP="006F292A">
            <w:pPr>
              <w:suppressAutoHyphens w:val="0"/>
              <w:rPr>
                <w:b/>
                <w:bCs/>
                <w:color w:val="000000"/>
                <w:sz w:val="20"/>
                <w:szCs w:val="20"/>
                <w:lang w:val="en-GB" w:eastAsia="tr-TR"/>
              </w:rPr>
            </w:pPr>
            <w:r w:rsidRPr="00087303">
              <w:rPr>
                <w:b/>
                <w:bCs/>
                <w:color w:val="000000"/>
                <w:sz w:val="20"/>
                <w:szCs w:val="20"/>
                <w:lang w:val="en-GB" w:eastAsia="tr-TR"/>
              </w:rPr>
              <w:t>2012</w:t>
            </w:r>
          </w:p>
        </w:tc>
        <w:tc>
          <w:tcPr>
            <w:tcW w:w="0" w:type="auto"/>
            <w:tcBorders>
              <w:top w:val="nil"/>
              <w:left w:val="single" w:sz="8" w:space="0" w:color="auto"/>
              <w:bottom w:val="nil"/>
              <w:right w:val="single" w:sz="8" w:space="0" w:color="auto"/>
            </w:tcBorders>
            <w:shd w:val="clear" w:color="auto" w:fill="auto"/>
            <w:noWrap/>
            <w:vAlign w:val="center"/>
            <w:hideMark/>
          </w:tcPr>
          <w:p w:rsidR="006F292A" w:rsidRPr="00087303" w:rsidRDefault="006F292A" w:rsidP="006F292A">
            <w:pPr>
              <w:suppressAutoHyphens w:val="0"/>
              <w:rPr>
                <w:color w:val="000000"/>
                <w:sz w:val="20"/>
                <w:szCs w:val="20"/>
                <w:lang w:val="en-GB" w:eastAsia="tr-TR"/>
              </w:rPr>
            </w:pPr>
            <w:r w:rsidRPr="00087303">
              <w:rPr>
                <w:color w:val="000000"/>
                <w:sz w:val="20"/>
                <w:szCs w:val="20"/>
                <w:lang w:val="en-GB" w:eastAsia="tr-TR"/>
              </w:rPr>
              <w:t>24 821</w:t>
            </w:r>
          </w:p>
        </w:tc>
        <w:tc>
          <w:tcPr>
            <w:tcW w:w="1149"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rPr>
              <w:t>39.0</w:t>
            </w:r>
          </w:p>
        </w:tc>
        <w:tc>
          <w:tcPr>
            <w:tcW w:w="717"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sz w:val="20"/>
                <w:szCs w:val="20"/>
                <w:lang w:val="en-GB" w:eastAsia="tr-TR"/>
              </w:rPr>
            </w:pPr>
            <w:r w:rsidRPr="00087303">
              <w:rPr>
                <w:sz w:val="20"/>
                <w:szCs w:val="20"/>
                <w:lang w:val="en-GB" w:eastAsia="tr-TR"/>
              </w:rPr>
              <w:t>15 619</w:t>
            </w:r>
          </w:p>
        </w:tc>
        <w:tc>
          <w:tcPr>
            <w:tcW w:w="1149"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rPr>
              <w:t>22.0</w:t>
            </w:r>
          </w:p>
        </w:tc>
        <w:tc>
          <w:tcPr>
            <w:tcW w:w="694"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sz w:val="20"/>
                <w:szCs w:val="20"/>
                <w:lang w:val="en-GB" w:eastAsia="tr-TR"/>
              </w:rPr>
            </w:pPr>
            <w:r w:rsidRPr="00087303">
              <w:rPr>
                <w:sz w:val="20"/>
                <w:szCs w:val="20"/>
                <w:lang w:val="en-GB" w:eastAsia="tr-TR"/>
              </w:rPr>
              <w:t>1 238</w:t>
            </w:r>
          </w:p>
        </w:tc>
        <w:tc>
          <w:tcPr>
            <w:tcW w:w="1149"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rPr>
              <w:t>18.7</w:t>
            </w:r>
          </w:p>
        </w:tc>
        <w:tc>
          <w:tcPr>
            <w:tcW w:w="693"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sz w:val="20"/>
                <w:szCs w:val="20"/>
                <w:lang w:val="en-GB" w:eastAsia="tr-TR"/>
              </w:rPr>
            </w:pPr>
            <w:r w:rsidRPr="00087303">
              <w:rPr>
                <w:sz w:val="20"/>
                <w:szCs w:val="20"/>
                <w:lang w:val="en-GB" w:eastAsia="tr-TR"/>
              </w:rPr>
              <w:t>4 695</w:t>
            </w:r>
          </w:p>
        </w:tc>
        <w:tc>
          <w:tcPr>
            <w:tcW w:w="1149"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rPr>
              <w:t>64.4</w:t>
            </w:r>
          </w:p>
        </w:tc>
        <w:tc>
          <w:tcPr>
            <w:tcW w:w="694"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sz w:val="20"/>
                <w:szCs w:val="20"/>
                <w:lang w:val="en-GB" w:eastAsia="tr-TR"/>
              </w:rPr>
            </w:pPr>
            <w:r w:rsidRPr="00087303">
              <w:rPr>
                <w:sz w:val="20"/>
                <w:szCs w:val="20"/>
                <w:lang w:val="en-GB" w:eastAsia="tr-TR"/>
              </w:rPr>
              <w:t>3 268</w:t>
            </w:r>
          </w:p>
        </w:tc>
        <w:tc>
          <w:tcPr>
            <w:tcW w:w="1149"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rPr>
              <w:t>91.7</w:t>
            </w:r>
          </w:p>
        </w:tc>
      </w:tr>
      <w:tr w:rsidR="006F292A" w:rsidRPr="00087303" w:rsidTr="006F292A">
        <w:trPr>
          <w:trHeight w:hRule="exact" w:val="284"/>
        </w:trPr>
        <w:tc>
          <w:tcPr>
            <w:tcW w:w="0" w:type="auto"/>
            <w:tcBorders>
              <w:top w:val="nil"/>
              <w:left w:val="single" w:sz="8" w:space="0" w:color="auto"/>
              <w:bottom w:val="nil"/>
              <w:right w:val="nil"/>
            </w:tcBorders>
            <w:shd w:val="clear" w:color="auto" w:fill="auto"/>
            <w:noWrap/>
            <w:vAlign w:val="center"/>
            <w:hideMark/>
          </w:tcPr>
          <w:p w:rsidR="006F292A" w:rsidRPr="00087303" w:rsidRDefault="006F292A" w:rsidP="006F292A">
            <w:pPr>
              <w:suppressAutoHyphens w:val="0"/>
              <w:rPr>
                <w:b/>
                <w:bCs/>
                <w:color w:val="000000"/>
                <w:sz w:val="20"/>
                <w:szCs w:val="20"/>
                <w:lang w:val="en-GB" w:eastAsia="tr-TR"/>
              </w:rPr>
            </w:pPr>
            <w:r w:rsidRPr="00087303">
              <w:rPr>
                <w:b/>
                <w:bCs/>
                <w:color w:val="000000"/>
                <w:sz w:val="20"/>
                <w:szCs w:val="20"/>
                <w:lang w:val="en-GB" w:eastAsia="tr-TR"/>
              </w:rPr>
              <w:t>2013</w:t>
            </w:r>
          </w:p>
        </w:tc>
        <w:tc>
          <w:tcPr>
            <w:tcW w:w="0" w:type="auto"/>
            <w:tcBorders>
              <w:top w:val="nil"/>
              <w:left w:val="single" w:sz="8" w:space="0" w:color="auto"/>
              <w:bottom w:val="nil"/>
              <w:right w:val="single" w:sz="8" w:space="0" w:color="auto"/>
            </w:tcBorders>
            <w:shd w:val="clear" w:color="auto" w:fill="auto"/>
            <w:noWrap/>
            <w:vAlign w:val="center"/>
            <w:hideMark/>
          </w:tcPr>
          <w:p w:rsidR="006F292A" w:rsidRPr="00087303" w:rsidRDefault="006F292A" w:rsidP="006F292A">
            <w:pPr>
              <w:suppressAutoHyphens w:val="0"/>
              <w:rPr>
                <w:color w:val="000000"/>
                <w:sz w:val="20"/>
                <w:szCs w:val="20"/>
                <w:lang w:val="en-GB" w:eastAsia="tr-TR"/>
              </w:rPr>
            </w:pPr>
            <w:r w:rsidRPr="00087303">
              <w:rPr>
                <w:color w:val="000000"/>
                <w:sz w:val="20"/>
                <w:szCs w:val="20"/>
                <w:lang w:val="en-GB" w:eastAsia="tr-TR"/>
              </w:rPr>
              <w:t>25 524</w:t>
            </w:r>
          </w:p>
        </w:tc>
        <w:tc>
          <w:tcPr>
            <w:tcW w:w="1149"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rPr>
              <w:t>36.7</w:t>
            </w:r>
          </w:p>
        </w:tc>
        <w:tc>
          <w:tcPr>
            <w:tcW w:w="717"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sz w:val="20"/>
                <w:szCs w:val="20"/>
                <w:lang w:val="en-GB" w:eastAsia="tr-TR"/>
              </w:rPr>
            </w:pPr>
            <w:r w:rsidRPr="00087303">
              <w:rPr>
                <w:sz w:val="20"/>
                <w:szCs w:val="20"/>
                <w:lang w:val="en-GB" w:eastAsia="tr-TR"/>
              </w:rPr>
              <w:t>16 353</w:t>
            </w:r>
          </w:p>
        </w:tc>
        <w:tc>
          <w:tcPr>
            <w:tcW w:w="1149"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rPr>
              <w:t>19.9</w:t>
            </w:r>
          </w:p>
        </w:tc>
        <w:tc>
          <w:tcPr>
            <w:tcW w:w="694"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sz w:val="20"/>
                <w:szCs w:val="20"/>
                <w:lang w:val="en-GB" w:eastAsia="tr-TR"/>
              </w:rPr>
            </w:pPr>
            <w:r w:rsidRPr="00087303">
              <w:rPr>
                <w:sz w:val="20"/>
                <w:szCs w:val="20"/>
                <w:lang w:val="en-GB" w:eastAsia="tr-TR"/>
              </w:rPr>
              <w:t>1 182</w:t>
            </w:r>
          </w:p>
        </w:tc>
        <w:tc>
          <w:tcPr>
            <w:tcW w:w="1149"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rPr>
              <w:t>15.3</w:t>
            </w:r>
          </w:p>
        </w:tc>
        <w:tc>
          <w:tcPr>
            <w:tcW w:w="693"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sz w:val="20"/>
                <w:szCs w:val="20"/>
                <w:lang w:val="en-GB" w:eastAsia="tr-TR"/>
              </w:rPr>
            </w:pPr>
            <w:r w:rsidRPr="00087303">
              <w:rPr>
                <w:sz w:val="20"/>
                <w:szCs w:val="20"/>
                <w:lang w:val="en-GB" w:eastAsia="tr-TR"/>
              </w:rPr>
              <w:t>4 773</w:t>
            </w:r>
          </w:p>
        </w:tc>
        <w:tc>
          <w:tcPr>
            <w:tcW w:w="1149"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rPr>
              <w:t>62.5</w:t>
            </w:r>
          </w:p>
        </w:tc>
        <w:tc>
          <w:tcPr>
            <w:tcW w:w="694"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sz w:val="20"/>
                <w:szCs w:val="20"/>
                <w:lang w:val="en-GB" w:eastAsia="tr-TR"/>
              </w:rPr>
            </w:pPr>
            <w:r w:rsidRPr="00087303">
              <w:rPr>
                <w:sz w:val="20"/>
                <w:szCs w:val="20"/>
                <w:lang w:val="en-GB" w:eastAsia="tr-TR"/>
              </w:rPr>
              <w:t>3 217</w:t>
            </w:r>
          </w:p>
        </w:tc>
        <w:tc>
          <w:tcPr>
            <w:tcW w:w="1149"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rPr>
              <w:t>91.9</w:t>
            </w:r>
          </w:p>
        </w:tc>
      </w:tr>
      <w:tr w:rsidR="006F292A" w:rsidRPr="00087303" w:rsidTr="006F292A">
        <w:trPr>
          <w:trHeight w:hRule="exact" w:val="284"/>
        </w:trPr>
        <w:tc>
          <w:tcPr>
            <w:tcW w:w="0" w:type="auto"/>
            <w:tcBorders>
              <w:top w:val="nil"/>
              <w:left w:val="single" w:sz="8" w:space="0" w:color="auto"/>
              <w:bottom w:val="nil"/>
              <w:right w:val="nil"/>
            </w:tcBorders>
            <w:shd w:val="clear" w:color="auto" w:fill="auto"/>
            <w:noWrap/>
            <w:vAlign w:val="center"/>
            <w:hideMark/>
          </w:tcPr>
          <w:p w:rsidR="006F292A" w:rsidRPr="00087303" w:rsidRDefault="006F292A" w:rsidP="006F292A">
            <w:pPr>
              <w:suppressAutoHyphens w:val="0"/>
              <w:rPr>
                <w:b/>
                <w:bCs/>
                <w:color w:val="000000"/>
                <w:sz w:val="20"/>
                <w:szCs w:val="20"/>
                <w:lang w:val="en-GB" w:eastAsia="tr-TR"/>
              </w:rPr>
            </w:pPr>
            <w:r w:rsidRPr="00087303">
              <w:rPr>
                <w:b/>
                <w:bCs/>
                <w:color w:val="000000"/>
                <w:sz w:val="20"/>
                <w:szCs w:val="20"/>
                <w:lang w:val="en-GB" w:eastAsia="tr-TR"/>
              </w:rPr>
              <w:t>2014*</w:t>
            </w:r>
          </w:p>
        </w:tc>
        <w:tc>
          <w:tcPr>
            <w:tcW w:w="0" w:type="auto"/>
            <w:tcBorders>
              <w:top w:val="nil"/>
              <w:left w:val="single" w:sz="8" w:space="0" w:color="auto"/>
              <w:bottom w:val="nil"/>
              <w:right w:val="single" w:sz="8" w:space="0" w:color="auto"/>
            </w:tcBorders>
            <w:shd w:val="clear" w:color="auto" w:fill="auto"/>
            <w:noWrap/>
            <w:vAlign w:val="center"/>
            <w:hideMark/>
          </w:tcPr>
          <w:p w:rsidR="006F292A" w:rsidRPr="00087303" w:rsidRDefault="006F292A" w:rsidP="006F292A">
            <w:pPr>
              <w:suppressAutoHyphens w:val="0"/>
              <w:rPr>
                <w:color w:val="000000"/>
                <w:sz w:val="20"/>
                <w:szCs w:val="20"/>
                <w:lang w:val="en-GB" w:eastAsia="tr-TR"/>
              </w:rPr>
            </w:pPr>
            <w:r w:rsidRPr="00087303">
              <w:rPr>
                <w:color w:val="000000"/>
                <w:sz w:val="20"/>
                <w:szCs w:val="20"/>
                <w:lang w:val="en-GB" w:eastAsia="tr-TR"/>
              </w:rPr>
              <w:t>25933</w:t>
            </w:r>
          </w:p>
        </w:tc>
        <w:tc>
          <w:tcPr>
            <w:tcW w:w="1149"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rPr>
              <w:t>35.0</w:t>
            </w:r>
          </w:p>
        </w:tc>
        <w:tc>
          <w:tcPr>
            <w:tcW w:w="717"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lang w:val="en-GB" w:eastAsia="tr-TR"/>
              </w:rPr>
              <w:t>17125</w:t>
            </w:r>
          </w:p>
        </w:tc>
        <w:tc>
          <w:tcPr>
            <w:tcW w:w="1149"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rPr>
              <w:t>19.6</w:t>
            </w:r>
          </w:p>
        </w:tc>
        <w:tc>
          <w:tcPr>
            <w:tcW w:w="694"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lang w:val="en-GB" w:eastAsia="tr-TR"/>
              </w:rPr>
              <w:t>1173</w:t>
            </w:r>
          </w:p>
        </w:tc>
        <w:tc>
          <w:tcPr>
            <w:tcW w:w="1149"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rPr>
              <w:t>14.7</w:t>
            </w:r>
          </w:p>
        </w:tc>
        <w:tc>
          <w:tcPr>
            <w:tcW w:w="693"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lang w:val="en-GB" w:eastAsia="tr-TR"/>
              </w:rPr>
              <w:t>4479</w:t>
            </w:r>
          </w:p>
        </w:tc>
        <w:tc>
          <w:tcPr>
            <w:tcW w:w="1149"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rPr>
              <w:t>61.0</w:t>
            </w:r>
          </w:p>
        </w:tc>
        <w:tc>
          <w:tcPr>
            <w:tcW w:w="694"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lang w:val="en-GB" w:eastAsia="tr-TR"/>
              </w:rPr>
              <w:t>3155</w:t>
            </w:r>
          </w:p>
        </w:tc>
        <w:tc>
          <w:tcPr>
            <w:tcW w:w="1149"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rPr>
              <w:t>89.3</w:t>
            </w:r>
          </w:p>
        </w:tc>
      </w:tr>
      <w:tr w:rsidR="006F292A" w:rsidRPr="00087303" w:rsidTr="006F292A">
        <w:trPr>
          <w:trHeight w:hRule="exact" w:val="284"/>
        </w:trPr>
        <w:tc>
          <w:tcPr>
            <w:tcW w:w="0" w:type="auto"/>
            <w:tcBorders>
              <w:top w:val="nil"/>
              <w:left w:val="single" w:sz="8" w:space="0" w:color="auto"/>
              <w:bottom w:val="nil"/>
              <w:right w:val="nil"/>
            </w:tcBorders>
            <w:shd w:val="clear" w:color="auto" w:fill="auto"/>
            <w:noWrap/>
            <w:vAlign w:val="center"/>
            <w:hideMark/>
          </w:tcPr>
          <w:p w:rsidR="006F292A" w:rsidRPr="00087303" w:rsidRDefault="006F292A" w:rsidP="006F292A">
            <w:pPr>
              <w:suppressAutoHyphens w:val="0"/>
              <w:rPr>
                <w:b/>
                <w:bCs/>
                <w:color w:val="000000"/>
                <w:sz w:val="20"/>
                <w:szCs w:val="20"/>
                <w:lang w:val="en-GB" w:eastAsia="tr-TR"/>
              </w:rPr>
            </w:pPr>
            <w:r w:rsidRPr="00087303">
              <w:rPr>
                <w:b/>
                <w:bCs/>
                <w:color w:val="000000"/>
                <w:sz w:val="20"/>
                <w:szCs w:val="20"/>
                <w:lang w:val="en-GB" w:eastAsia="tr-TR"/>
              </w:rPr>
              <w:t>2015</w:t>
            </w:r>
          </w:p>
        </w:tc>
        <w:tc>
          <w:tcPr>
            <w:tcW w:w="0" w:type="auto"/>
            <w:tcBorders>
              <w:top w:val="nil"/>
              <w:left w:val="single" w:sz="8" w:space="0" w:color="auto"/>
              <w:bottom w:val="nil"/>
              <w:right w:val="single" w:sz="8" w:space="0" w:color="auto"/>
            </w:tcBorders>
            <w:shd w:val="clear" w:color="auto" w:fill="auto"/>
            <w:noWrap/>
            <w:vAlign w:val="center"/>
            <w:hideMark/>
          </w:tcPr>
          <w:p w:rsidR="006F292A" w:rsidRPr="00087303" w:rsidRDefault="006F292A" w:rsidP="006F292A">
            <w:pPr>
              <w:suppressAutoHyphens w:val="0"/>
              <w:rPr>
                <w:color w:val="000000"/>
                <w:sz w:val="20"/>
                <w:szCs w:val="20"/>
                <w:lang w:val="en-GB" w:eastAsia="tr-TR"/>
              </w:rPr>
            </w:pPr>
            <w:r w:rsidRPr="00087303">
              <w:rPr>
                <w:color w:val="000000"/>
                <w:sz w:val="20"/>
                <w:szCs w:val="20"/>
                <w:lang w:val="en-GB" w:eastAsia="tr-TR"/>
              </w:rPr>
              <w:t>26 621</w:t>
            </w:r>
          </w:p>
        </w:tc>
        <w:tc>
          <w:tcPr>
            <w:tcW w:w="1149"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rPr>
              <w:t>33.6</w:t>
            </w:r>
          </w:p>
        </w:tc>
        <w:tc>
          <w:tcPr>
            <w:tcW w:w="717"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sz w:val="20"/>
                <w:szCs w:val="20"/>
                <w:lang w:val="en-GB" w:eastAsia="tr-TR"/>
              </w:rPr>
            </w:pPr>
            <w:r w:rsidRPr="00087303">
              <w:rPr>
                <w:sz w:val="20"/>
                <w:szCs w:val="20"/>
                <w:lang w:val="en-GB" w:eastAsia="tr-TR"/>
              </w:rPr>
              <w:t>17 827</w:t>
            </w:r>
          </w:p>
        </w:tc>
        <w:tc>
          <w:tcPr>
            <w:tcW w:w="1149"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rPr>
              <w:t>18.3</w:t>
            </w:r>
          </w:p>
        </w:tc>
        <w:tc>
          <w:tcPr>
            <w:tcW w:w="694"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sz w:val="20"/>
                <w:szCs w:val="20"/>
                <w:lang w:val="en-GB" w:eastAsia="tr-TR"/>
              </w:rPr>
            </w:pPr>
            <w:r w:rsidRPr="00087303">
              <w:rPr>
                <w:sz w:val="20"/>
                <w:szCs w:val="20"/>
                <w:lang w:val="en-GB" w:eastAsia="tr-TR"/>
              </w:rPr>
              <w:t>1 175</w:t>
            </w:r>
          </w:p>
        </w:tc>
        <w:tc>
          <w:tcPr>
            <w:tcW w:w="1149"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rPr>
              <w:t>12.9</w:t>
            </w:r>
          </w:p>
        </w:tc>
        <w:tc>
          <w:tcPr>
            <w:tcW w:w="693"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sz w:val="20"/>
                <w:szCs w:val="20"/>
                <w:lang w:val="en-GB" w:eastAsia="tr-TR"/>
              </w:rPr>
            </w:pPr>
            <w:r w:rsidRPr="00087303">
              <w:rPr>
                <w:sz w:val="20"/>
                <w:szCs w:val="20"/>
                <w:lang w:val="en-GB" w:eastAsia="tr-TR"/>
              </w:rPr>
              <w:t>4 468</w:t>
            </w:r>
          </w:p>
        </w:tc>
        <w:tc>
          <w:tcPr>
            <w:tcW w:w="1149"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rPr>
              <w:t>60.1</w:t>
            </w:r>
          </w:p>
        </w:tc>
        <w:tc>
          <w:tcPr>
            <w:tcW w:w="694"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sz w:val="20"/>
                <w:szCs w:val="20"/>
                <w:lang w:val="en-GB" w:eastAsia="tr-TR"/>
              </w:rPr>
            </w:pPr>
            <w:r w:rsidRPr="00087303">
              <w:rPr>
                <w:sz w:val="20"/>
                <w:szCs w:val="20"/>
                <w:lang w:val="en-GB" w:eastAsia="tr-TR"/>
              </w:rPr>
              <w:t>3 150</w:t>
            </w:r>
          </w:p>
        </w:tc>
        <w:tc>
          <w:tcPr>
            <w:tcW w:w="1149" w:type="dxa"/>
            <w:tcBorders>
              <w:top w:val="nil"/>
              <w:left w:val="nil"/>
              <w:bottom w:val="nil"/>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rPr>
              <w:t>89.9</w:t>
            </w:r>
          </w:p>
        </w:tc>
      </w:tr>
      <w:tr w:rsidR="006F292A" w:rsidRPr="00087303" w:rsidTr="006F292A">
        <w:trPr>
          <w:trHeight w:hRule="exact" w:val="284"/>
        </w:trPr>
        <w:tc>
          <w:tcPr>
            <w:tcW w:w="0" w:type="auto"/>
            <w:tcBorders>
              <w:top w:val="nil"/>
              <w:left w:val="single" w:sz="8" w:space="0" w:color="auto"/>
              <w:bottom w:val="single" w:sz="8" w:space="0" w:color="auto"/>
              <w:right w:val="nil"/>
            </w:tcBorders>
            <w:shd w:val="clear" w:color="auto" w:fill="auto"/>
            <w:noWrap/>
            <w:vAlign w:val="center"/>
            <w:hideMark/>
          </w:tcPr>
          <w:p w:rsidR="006F292A" w:rsidRPr="00087303" w:rsidRDefault="006F292A" w:rsidP="006F292A">
            <w:pPr>
              <w:suppressAutoHyphens w:val="0"/>
              <w:rPr>
                <w:b/>
                <w:bCs/>
                <w:color w:val="000000"/>
                <w:sz w:val="20"/>
                <w:szCs w:val="20"/>
                <w:lang w:val="en-GB" w:eastAsia="tr-TR"/>
              </w:rPr>
            </w:pPr>
            <w:r w:rsidRPr="00087303">
              <w:rPr>
                <w:b/>
                <w:bCs/>
                <w:color w:val="000000"/>
                <w:sz w:val="20"/>
                <w:szCs w:val="20"/>
                <w:lang w:val="en-GB" w:eastAsia="tr-TR"/>
              </w:rPr>
              <w:t>2016</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F292A" w:rsidRPr="00087303" w:rsidRDefault="006F292A" w:rsidP="006F292A">
            <w:pPr>
              <w:suppressAutoHyphens w:val="0"/>
              <w:rPr>
                <w:color w:val="000000"/>
                <w:sz w:val="20"/>
                <w:szCs w:val="20"/>
                <w:lang w:val="en-GB" w:eastAsia="tr-TR"/>
              </w:rPr>
            </w:pPr>
            <w:r w:rsidRPr="00087303">
              <w:rPr>
                <w:color w:val="000000"/>
                <w:sz w:val="20"/>
                <w:szCs w:val="20"/>
                <w:lang w:val="en-GB" w:eastAsia="tr-TR"/>
              </w:rPr>
              <w:t>27 205</w:t>
            </w:r>
          </w:p>
        </w:tc>
        <w:tc>
          <w:tcPr>
            <w:tcW w:w="1149" w:type="dxa"/>
            <w:tcBorders>
              <w:top w:val="nil"/>
              <w:left w:val="nil"/>
              <w:bottom w:val="single" w:sz="8" w:space="0" w:color="auto"/>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rPr>
              <w:t>33.5</w:t>
            </w:r>
          </w:p>
        </w:tc>
        <w:tc>
          <w:tcPr>
            <w:tcW w:w="717" w:type="dxa"/>
            <w:tcBorders>
              <w:top w:val="nil"/>
              <w:left w:val="nil"/>
              <w:bottom w:val="single" w:sz="8" w:space="0" w:color="auto"/>
              <w:right w:val="single" w:sz="8" w:space="0" w:color="auto"/>
            </w:tcBorders>
            <w:shd w:val="clear" w:color="auto" w:fill="auto"/>
            <w:noWrap/>
            <w:vAlign w:val="center"/>
            <w:hideMark/>
          </w:tcPr>
          <w:p w:rsidR="006F292A" w:rsidRPr="00087303" w:rsidRDefault="006F292A" w:rsidP="006F292A">
            <w:pPr>
              <w:suppressAutoHyphens w:val="0"/>
              <w:jc w:val="center"/>
              <w:rPr>
                <w:sz w:val="20"/>
                <w:szCs w:val="20"/>
                <w:lang w:val="en-GB" w:eastAsia="tr-TR"/>
              </w:rPr>
            </w:pPr>
            <w:r w:rsidRPr="00087303">
              <w:rPr>
                <w:sz w:val="20"/>
                <w:szCs w:val="20"/>
                <w:lang w:val="en-GB" w:eastAsia="tr-TR"/>
              </w:rPr>
              <w:t>18 377</w:t>
            </w:r>
          </w:p>
        </w:tc>
        <w:tc>
          <w:tcPr>
            <w:tcW w:w="1149" w:type="dxa"/>
            <w:tcBorders>
              <w:top w:val="nil"/>
              <w:left w:val="nil"/>
              <w:bottom w:val="single" w:sz="8" w:space="0" w:color="auto"/>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rPr>
              <w:t>18.2</w:t>
            </w:r>
          </w:p>
        </w:tc>
        <w:tc>
          <w:tcPr>
            <w:tcW w:w="694" w:type="dxa"/>
            <w:tcBorders>
              <w:top w:val="nil"/>
              <w:left w:val="nil"/>
              <w:bottom w:val="single" w:sz="8" w:space="0" w:color="auto"/>
              <w:right w:val="single" w:sz="8" w:space="0" w:color="auto"/>
            </w:tcBorders>
            <w:shd w:val="clear" w:color="auto" w:fill="auto"/>
            <w:noWrap/>
            <w:vAlign w:val="center"/>
            <w:hideMark/>
          </w:tcPr>
          <w:p w:rsidR="006F292A" w:rsidRPr="00087303" w:rsidRDefault="006F292A" w:rsidP="006F292A">
            <w:pPr>
              <w:suppressAutoHyphens w:val="0"/>
              <w:jc w:val="center"/>
              <w:rPr>
                <w:sz w:val="20"/>
                <w:szCs w:val="20"/>
                <w:lang w:val="en-GB" w:eastAsia="tr-TR"/>
              </w:rPr>
            </w:pPr>
            <w:r w:rsidRPr="00087303">
              <w:rPr>
                <w:sz w:val="20"/>
                <w:szCs w:val="20"/>
                <w:lang w:val="en-GB" w:eastAsia="tr-TR"/>
              </w:rPr>
              <w:t>1 239</w:t>
            </w:r>
          </w:p>
        </w:tc>
        <w:tc>
          <w:tcPr>
            <w:tcW w:w="1149" w:type="dxa"/>
            <w:tcBorders>
              <w:top w:val="nil"/>
              <w:left w:val="nil"/>
              <w:bottom w:val="single" w:sz="8" w:space="0" w:color="auto"/>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rPr>
              <w:t>15.9</w:t>
            </w:r>
          </w:p>
        </w:tc>
        <w:tc>
          <w:tcPr>
            <w:tcW w:w="693" w:type="dxa"/>
            <w:tcBorders>
              <w:top w:val="nil"/>
              <w:left w:val="nil"/>
              <w:bottom w:val="single" w:sz="8" w:space="0" w:color="auto"/>
              <w:right w:val="single" w:sz="8" w:space="0" w:color="auto"/>
            </w:tcBorders>
            <w:shd w:val="clear" w:color="auto" w:fill="auto"/>
            <w:noWrap/>
            <w:vAlign w:val="center"/>
            <w:hideMark/>
          </w:tcPr>
          <w:p w:rsidR="006F292A" w:rsidRPr="00087303" w:rsidRDefault="006F292A" w:rsidP="006F292A">
            <w:pPr>
              <w:suppressAutoHyphens w:val="0"/>
              <w:jc w:val="center"/>
              <w:rPr>
                <w:sz w:val="20"/>
                <w:szCs w:val="20"/>
                <w:lang w:val="en-GB" w:eastAsia="tr-TR"/>
              </w:rPr>
            </w:pPr>
            <w:r w:rsidRPr="00087303">
              <w:rPr>
                <w:sz w:val="20"/>
                <w:szCs w:val="20"/>
                <w:lang w:val="en-GB" w:eastAsia="tr-TR"/>
              </w:rPr>
              <w:t>4 536</w:t>
            </w:r>
          </w:p>
        </w:tc>
        <w:tc>
          <w:tcPr>
            <w:tcW w:w="1149" w:type="dxa"/>
            <w:tcBorders>
              <w:top w:val="nil"/>
              <w:left w:val="nil"/>
              <w:bottom w:val="single" w:sz="8" w:space="0" w:color="auto"/>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rPr>
              <w:t>61.7</w:t>
            </w:r>
          </w:p>
        </w:tc>
        <w:tc>
          <w:tcPr>
            <w:tcW w:w="694" w:type="dxa"/>
            <w:tcBorders>
              <w:top w:val="nil"/>
              <w:left w:val="nil"/>
              <w:bottom w:val="single" w:sz="8" w:space="0" w:color="auto"/>
              <w:right w:val="single" w:sz="8" w:space="0" w:color="auto"/>
            </w:tcBorders>
            <w:shd w:val="clear" w:color="auto" w:fill="auto"/>
            <w:noWrap/>
            <w:vAlign w:val="center"/>
            <w:hideMark/>
          </w:tcPr>
          <w:p w:rsidR="006F292A" w:rsidRPr="00087303" w:rsidRDefault="006F292A" w:rsidP="006F292A">
            <w:pPr>
              <w:suppressAutoHyphens w:val="0"/>
              <w:jc w:val="center"/>
              <w:rPr>
                <w:sz w:val="20"/>
                <w:szCs w:val="20"/>
                <w:lang w:val="en-GB" w:eastAsia="tr-TR"/>
              </w:rPr>
            </w:pPr>
            <w:r w:rsidRPr="00087303">
              <w:rPr>
                <w:sz w:val="20"/>
                <w:szCs w:val="20"/>
                <w:lang w:val="en-GB" w:eastAsia="tr-TR"/>
              </w:rPr>
              <w:t>3 053</w:t>
            </w:r>
          </w:p>
        </w:tc>
        <w:tc>
          <w:tcPr>
            <w:tcW w:w="1149" w:type="dxa"/>
            <w:tcBorders>
              <w:top w:val="nil"/>
              <w:left w:val="nil"/>
              <w:bottom w:val="single" w:sz="8" w:space="0" w:color="auto"/>
              <w:right w:val="single" w:sz="8" w:space="0" w:color="auto"/>
            </w:tcBorders>
            <w:shd w:val="clear" w:color="auto" w:fill="auto"/>
            <w:noWrap/>
            <w:vAlign w:val="center"/>
            <w:hideMark/>
          </w:tcPr>
          <w:p w:rsidR="006F292A" w:rsidRPr="00087303" w:rsidRDefault="006F292A" w:rsidP="006F292A">
            <w:pPr>
              <w:suppressAutoHyphens w:val="0"/>
              <w:jc w:val="center"/>
              <w:rPr>
                <w:color w:val="000000"/>
                <w:sz w:val="20"/>
                <w:szCs w:val="20"/>
                <w:lang w:val="en-GB" w:eastAsia="tr-TR"/>
              </w:rPr>
            </w:pPr>
            <w:r w:rsidRPr="00087303">
              <w:rPr>
                <w:color w:val="000000"/>
                <w:sz w:val="20"/>
                <w:szCs w:val="20"/>
              </w:rPr>
              <w:t>90.7</w:t>
            </w:r>
          </w:p>
        </w:tc>
      </w:tr>
    </w:tbl>
    <w:p w:rsidR="00125526" w:rsidRPr="009D7B6F" w:rsidRDefault="00125526" w:rsidP="00125526">
      <w:pPr>
        <w:rPr>
          <w:b/>
          <w:szCs w:val="22"/>
          <w:lang w:val="en-GB"/>
        </w:rPr>
      </w:pPr>
      <w:r w:rsidRPr="009D7B6F">
        <w:rPr>
          <w:b/>
          <w:szCs w:val="22"/>
          <w:lang w:val="en-GB"/>
        </w:rPr>
        <w:t>Tabl</w:t>
      </w:r>
      <w:r w:rsidR="00684DCD">
        <w:rPr>
          <w:b/>
          <w:szCs w:val="22"/>
          <w:lang w:val="en-GB"/>
        </w:rPr>
        <w:t>e</w:t>
      </w:r>
      <w:r w:rsidR="00F53C0D">
        <w:rPr>
          <w:b/>
          <w:szCs w:val="22"/>
          <w:lang w:val="en-GB"/>
        </w:rPr>
        <w:t xml:space="preserve"> </w:t>
      </w:r>
      <w:r w:rsidR="001A19C9" w:rsidRPr="009D7B6F">
        <w:rPr>
          <w:b/>
          <w:szCs w:val="22"/>
          <w:lang w:val="en-GB"/>
        </w:rPr>
        <w:fldChar w:fldCharType="begin"/>
      </w:r>
      <w:r w:rsidRPr="009D7B6F">
        <w:rPr>
          <w:b/>
          <w:szCs w:val="22"/>
          <w:lang w:val="en-GB"/>
        </w:rPr>
        <w:instrText xml:space="preserve"> SEQ Tablo \* ARABIC </w:instrText>
      </w:r>
      <w:r w:rsidR="001A19C9" w:rsidRPr="009D7B6F">
        <w:rPr>
          <w:b/>
          <w:szCs w:val="22"/>
          <w:lang w:val="en-GB"/>
        </w:rPr>
        <w:fldChar w:fldCharType="separate"/>
      </w:r>
      <w:r w:rsidRPr="009D7B6F">
        <w:rPr>
          <w:b/>
          <w:szCs w:val="22"/>
          <w:lang w:val="en-GB"/>
        </w:rPr>
        <w:t>2</w:t>
      </w:r>
      <w:r w:rsidR="001A19C9" w:rsidRPr="009D7B6F">
        <w:rPr>
          <w:b/>
          <w:szCs w:val="22"/>
          <w:lang w:val="en-GB"/>
        </w:rPr>
        <w:fldChar w:fldCharType="end"/>
      </w:r>
      <w:r w:rsidRPr="009D7B6F">
        <w:rPr>
          <w:b/>
          <w:szCs w:val="22"/>
          <w:lang w:val="en-GB"/>
        </w:rPr>
        <w:t xml:space="preserve">: </w:t>
      </w:r>
      <w:r w:rsidR="00684DCD">
        <w:rPr>
          <w:b/>
          <w:szCs w:val="22"/>
          <w:lang w:val="en-GB"/>
        </w:rPr>
        <w:t>The number of employees</w:t>
      </w:r>
      <w:r w:rsidR="00462142">
        <w:rPr>
          <w:b/>
          <w:szCs w:val="22"/>
          <w:lang w:val="en-GB"/>
        </w:rPr>
        <w:t xml:space="preserve"> (thousand)</w:t>
      </w:r>
      <w:r w:rsidR="00684DCD">
        <w:rPr>
          <w:b/>
          <w:szCs w:val="22"/>
          <w:lang w:val="en-GB"/>
        </w:rPr>
        <w:t xml:space="preserve"> and the rate of infor</w:t>
      </w:r>
      <w:r w:rsidR="004415B0">
        <w:rPr>
          <w:b/>
          <w:szCs w:val="22"/>
          <w:lang w:val="en-GB"/>
        </w:rPr>
        <w:t>mal employees</w:t>
      </w:r>
      <w:r w:rsidR="00462142">
        <w:rPr>
          <w:b/>
          <w:szCs w:val="22"/>
          <w:lang w:val="en-GB"/>
        </w:rPr>
        <w:t xml:space="preserve"> (%)</w:t>
      </w:r>
      <w:r w:rsidR="004415B0">
        <w:rPr>
          <w:b/>
          <w:szCs w:val="22"/>
          <w:lang w:val="en-GB"/>
        </w:rPr>
        <w:t xml:space="preserve"> in terms of employment status</w:t>
      </w:r>
    </w:p>
    <w:p w:rsidR="004415B0" w:rsidRPr="009D7B6F" w:rsidRDefault="004415B0" w:rsidP="00087303">
      <w:pPr>
        <w:pStyle w:val="NoSpacing"/>
        <w:jc w:val="both"/>
        <w:rPr>
          <w:rFonts w:ascii="Palatino Linotype" w:hAnsi="Palatino Linotype"/>
          <w:sz w:val="20"/>
          <w:szCs w:val="20"/>
          <w:lang w:val="en-GB" w:eastAsia="tr-TR"/>
        </w:rPr>
      </w:pPr>
      <w:r>
        <w:rPr>
          <w:rFonts w:ascii="Palatino Linotype" w:hAnsi="Palatino Linotype"/>
          <w:b/>
          <w:sz w:val="20"/>
          <w:szCs w:val="20"/>
          <w:lang w:val="en-GB" w:eastAsia="tr-TR"/>
        </w:rPr>
        <w:t>Source</w:t>
      </w:r>
      <w:r w:rsidRPr="009D7B6F">
        <w:rPr>
          <w:rFonts w:ascii="Palatino Linotype" w:hAnsi="Palatino Linotype"/>
          <w:b/>
          <w:sz w:val="20"/>
          <w:szCs w:val="20"/>
          <w:lang w:val="en-GB" w:eastAsia="tr-TR"/>
        </w:rPr>
        <w:t xml:space="preserve">: </w:t>
      </w:r>
      <w:r w:rsidR="004B4EA4">
        <w:rPr>
          <w:rFonts w:ascii="Palatino Linotype" w:hAnsi="Palatino Linotype"/>
          <w:sz w:val="20"/>
          <w:szCs w:val="20"/>
          <w:lang w:val="en-GB" w:eastAsia="tr-TR"/>
        </w:rPr>
        <w:t xml:space="preserve">TurkStat HLFS </w:t>
      </w:r>
      <w:r w:rsidRPr="009D7B6F">
        <w:rPr>
          <w:rFonts w:ascii="Palatino Linotype" w:hAnsi="Palatino Linotype"/>
          <w:sz w:val="20"/>
          <w:szCs w:val="20"/>
          <w:lang w:val="en-GB" w:eastAsia="tr-TR"/>
        </w:rPr>
        <w:t xml:space="preserve">(http://www.tuik.gov.tr, </w:t>
      </w:r>
      <w:r w:rsidR="006773B6">
        <w:rPr>
          <w:rFonts w:ascii="Palatino Linotype" w:hAnsi="Palatino Linotype"/>
          <w:sz w:val="20"/>
          <w:szCs w:val="20"/>
          <w:lang w:val="en-GB" w:eastAsia="tr-TR"/>
        </w:rPr>
        <w:t xml:space="preserve">accessed on </w:t>
      </w:r>
      <w:r w:rsidRPr="009D7B6F">
        <w:rPr>
          <w:rFonts w:ascii="Palatino Linotype" w:hAnsi="Palatino Linotype"/>
          <w:sz w:val="20"/>
          <w:szCs w:val="20"/>
          <w:lang w:val="en-GB" w:eastAsia="tr-TR"/>
        </w:rPr>
        <w:t>10.11.2017)</w:t>
      </w:r>
      <w:r w:rsidR="00C632A9">
        <w:rPr>
          <w:rFonts w:ascii="Palatino Linotype" w:hAnsi="Palatino Linotype"/>
          <w:sz w:val="20"/>
          <w:szCs w:val="20"/>
          <w:lang w:val="en-GB" w:eastAsia="tr-TR"/>
        </w:rPr>
        <w:t xml:space="preserve"> </w:t>
      </w:r>
      <w:r w:rsidR="00C632A9" w:rsidRPr="0015789C">
        <w:rPr>
          <w:rFonts w:ascii="Palatino Linotype" w:hAnsi="Palatino Linotype"/>
          <w:b/>
          <w:sz w:val="20"/>
          <w:szCs w:val="20"/>
          <w:lang w:val="en-GB" w:eastAsia="tr-TR"/>
        </w:rPr>
        <w:t>Note:</w:t>
      </w:r>
      <w:r w:rsidR="00C632A9" w:rsidRPr="0015789C">
        <w:rPr>
          <w:rFonts w:ascii="Palatino Linotype" w:hAnsi="Palatino Linotype"/>
          <w:sz w:val="20"/>
          <w:szCs w:val="20"/>
          <w:lang w:val="en-GB" w:eastAsia="tr-TR"/>
        </w:rPr>
        <w:t xml:space="preserve"> The new labor force series published by </w:t>
      </w:r>
      <w:r w:rsidR="00C632A9">
        <w:rPr>
          <w:rFonts w:ascii="Palatino Linotype" w:hAnsi="Palatino Linotype"/>
          <w:sz w:val="20"/>
          <w:szCs w:val="20"/>
          <w:lang w:val="en-GB" w:eastAsia="tr-TR"/>
        </w:rPr>
        <w:t>TurkStat</w:t>
      </w:r>
      <w:r w:rsidR="00C632A9" w:rsidRPr="0015789C">
        <w:rPr>
          <w:rFonts w:ascii="Palatino Linotype" w:hAnsi="Palatino Linotype"/>
          <w:sz w:val="20"/>
          <w:szCs w:val="20"/>
          <w:lang w:val="en-GB" w:eastAsia="tr-TR"/>
        </w:rPr>
        <w:t xml:space="preserve"> </w:t>
      </w:r>
      <w:r w:rsidR="00C632A9">
        <w:rPr>
          <w:rFonts w:ascii="Palatino Linotype" w:hAnsi="Palatino Linotype"/>
          <w:sz w:val="20"/>
          <w:szCs w:val="20"/>
          <w:lang w:val="en-GB" w:eastAsia="tr-TR"/>
        </w:rPr>
        <w:t xml:space="preserve">covers </w:t>
      </w:r>
      <w:r w:rsidR="00C632A9" w:rsidRPr="0015789C">
        <w:rPr>
          <w:rFonts w:ascii="Palatino Linotype" w:hAnsi="Palatino Linotype"/>
          <w:sz w:val="20"/>
          <w:szCs w:val="20"/>
          <w:lang w:val="en-GB" w:eastAsia="tr-TR"/>
        </w:rPr>
        <w:t>2014</w:t>
      </w:r>
      <w:r w:rsidR="00C632A9">
        <w:rPr>
          <w:rFonts w:ascii="Palatino Linotype" w:hAnsi="Palatino Linotype"/>
          <w:sz w:val="20"/>
          <w:szCs w:val="20"/>
          <w:lang w:val="en-GB" w:eastAsia="tr-TR"/>
        </w:rPr>
        <w:t xml:space="preserve"> and after</w:t>
      </w:r>
      <w:r w:rsidR="00C632A9" w:rsidRPr="0015789C">
        <w:rPr>
          <w:rFonts w:ascii="Palatino Linotype" w:hAnsi="Palatino Linotype"/>
          <w:sz w:val="20"/>
          <w:szCs w:val="20"/>
          <w:lang w:val="en-GB" w:eastAsia="tr-TR"/>
        </w:rPr>
        <w:t xml:space="preserve">. </w:t>
      </w:r>
      <w:r w:rsidR="00C632A9">
        <w:rPr>
          <w:rFonts w:ascii="Palatino Linotype" w:hAnsi="Palatino Linotype"/>
          <w:sz w:val="20"/>
          <w:szCs w:val="20"/>
          <w:lang w:val="en-GB" w:eastAsia="tr-TR"/>
        </w:rPr>
        <w:t xml:space="preserve">For 2013 and </w:t>
      </w:r>
      <w:r w:rsidR="00C632A9" w:rsidRPr="0015789C">
        <w:rPr>
          <w:rFonts w:ascii="Palatino Linotype" w:hAnsi="Palatino Linotype"/>
          <w:sz w:val="20"/>
          <w:szCs w:val="20"/>
          <w:lang w:val="en-GB" w:eastAsia="tr-TR"/>
        </w:rPr>
        <w:t>earlier</w:t>
      </w:r>
      <w:r w:rsidR="00C632A9">
        <w:rPr>
          <w:rFonts w:ascii="Palatino Linotype" w:hAnsi="Palatino Linotype"/>
          <w:sz w:val="20"/>
          <w:szCs w:val="20"/>
          <w:lang w:val="en-GB" w:eastAsia="tr-TR"/>
        </w:rPr>
        <w:t xml:space="preserve"> years</w:t>
      </w:r>
      <w:r w:rsidR="00C632A9" w:rsidRPr="0015789C">
        <w:rPr>
          <w:rFonts w:ascii="Palatino Linotype" w:hAnsi="Palatino Linotype"/>
          <w:sz w:val="20"/>
          <w:szCs w:val="20"/>
          <w:lang w:val="en-GB" w:eastAsia="tr-TR"/>
        </w:rPr>
        <w:t>, the old labor force series w</w:t>
      </w:r>
      <w:r w:rsidR="00C632A9">
        <w:rPr>
          <w:rFonts w:ascii="Palatino Linotype" w:hAnsi="Palatino Linotype"/>
          <w:sz w:val="20"/>
          <w:szCs w:val="20"/>
          <w:lang w:val="en-GB" w:eastAsia="tr-TR"/>
        </w:rPr>
        <w:t>ere</w:t>
      </w:r>
      <w:r w:rsidR="00C632A9" w:rsidRPr="0015789C">
        <w:rPr>
          <w:rFonts w:ascii="Palatino Linotype" w:hAnsi="Palatino Linotype"/>
          <w:sz w:val="20"/>
          <w:szCs w:val="20"/>
          <w:lang w:val="en-GB" w:eastAsia="tr-TR"/>
        </w:rPr>
        <w:t xml:space="preserve"> used.  Thus, it is not possible to compa</w:t>
      </w:r>
      <w:r w:rsidR="00C632A9">
        <w:rPr>
          <w:rFonts w:ascii="Palatino Linotype" w:hAnsi="Palatino Linotype"/>
          <w:sz w:val="20"/>
          <w:szCs w:val="20"/>
          <w:lang w:val="en-GB" w:eastAsia="tr-TR"/>
        </w:rPr>
        <w:t>re levels between 2013 and 2014</w:t>
      </w:r>
      <w:r w:rsidR="00087303" w:rsidRPr="0015789C">
        <w:rPr>
          <w:rFonts w:ascii="Palatino Linotype" w:hAnsi="Palatino Linotype"/>
          <w:sz w:val="20"/>
          <w:szCs w:val="20"/>
          <w:lang w:val="en-GB" w:eastAsia="tr-TR"/>
        </w:rPr>
        <w:t>.</w:t>
      </w:r>
    </w:p>
    <w:p w:rsidR="00BA4D64" w:rsidRPr="009D7B6F" w:rsidRDefault="002A0A4E" w:rsidP="0055441B">
      <w:pPr>
        <w:keepNext/>
        <w:rPr>
          <w:b/>
          <w:szCs w:val="22"/>
          <w:lang w:val="en-GB" w:eastAsia="tr-TR"/>
        </w:rPr>
      </w:pPr>
      <w:r>
        <w:rPr>
          <w:noProof/>
          <w:lang w:eastAsia="tr-TR"/>
        </w:rPr>
        <w:lastRenderedPageBreak/>
        <w:drawing>
          <wp:anchor distT="0" distB="0" distL="114300" distR="114300" simplePos="0" relativeHeight="251657216" behindDoc="0" locked="0" layoutInCell="1" allowOverlap="1">
            <wp:simplePos x="0" y="0"/>
            <wp:positionH relativeFrom="column">
              <wp:posOffset>-502837</wp:posOffset>
            </wp:positionH>
            <wp:positionV relativeFrom="paragraph">
              <wp:posOffset>287517</wp:posOffset>
            </wp:positionV>
            <wp:extent cx="6265628" cy="3904090"/>
            <wp:effectExtent l="0" t="0" r="1905" b="1270"/>
            <wp:wrapThrough wrapText="bothSides">
              <wp:wrapPolygon edited="0">
                <wp:start x="0" y="0"/>
                <wp:lineTo x="0" y="21502"/>
                <wp:lineTo x="21541" y="21502"/>
                <wp:lineTo x="21541" y="0"/>
                <wp:lineTo x="0" y="0"/>
              </wp:wrapPolygon>
            </wp:wrapThrough>
            <wp:docPr id="3" name="Grafik 3">
              <a:extLst xmlns:a="http://schemas.openxmlformats.org/drawingml/2006/main">
                <a:ext uri="{FF2B5EF4-FFF2-40B4-BE49-F238E27FC236}">
                  <a16:creationId xmlns:a16="http://schemas.microsoft.com/office/drawing/2014/main" id="{DCFA56A0-B157-4B1C-8BA4-662C8832E5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4415B0">
        <w:rPr>
          <w:b/>
          <w:szCs w:val="22"/>
          <w:lang w:val="en-GB"/>
        </w:rPr>
        <w:t>Figure</w:t>
      </w:r>
      <w:r w:rsidR="001B3B71">
        <w:rPr>
          <w:b/>
          <w:szCs w:val="22"/>
          <w:lang w:val="en-GB"/>
        </w:rPr>
        <w:t xml:space="preserve"> </w:t>
      </w:r>
      <w:r w:rsidR="001A19C9" w:rsidRPr="009D7B6F">
        <w:rPr>
          <w:b/>
          <w:szCs w:val="22"/>
          <w:lang w:val="en-GB"/>
        </w:rPr>
        <w:fldChar w:fldCharType="begin"/>
      </w:r>
      <w:r w:rsidR="003804AF" w:rsidRPr="009D7B6F">
        <w:rPr>
          <w:b/>
          <w:szCs w:val="22"/>
          <w:lang w:val="en-GB"/>
        </w:rPr>
        <w:instrText xml:space="preserve"> SEQ Şekil \* ARABIC </w:instrText>
      </w:r>
      <w:r w:rsidR="001A19C9" w:rsidRPr="009D7B6F">
        <w:rPr>
          <w:b/>
          <w:szCs w:val="22"/>
          <w:lang w:val="en-GB"/>
        </w:rPr>
        <w:fldChar w:fldCharType="separate"/>
      </w:r>
      <w:r w:rsidR="00ED7B19" w:rsidRPr="009D7B6F">
        <w:rPr>
          <w:b/>
          <w:szCs w:val="22"/>
          <w:lang w:val="en-GB"/>
        </w:rPr>
        <w:t>1</w:t>
      </w:r>
      <w:r w:rsidR="001A19C9" w:rsidRPr="009D7B6F">
        <w:rPr>
          <w:b/>
          <w:szCs w:val="22"/>
          <w:lang w:val="en-GB"/>
        </w:rPr>
        <w:fldChar w:fldCharType="end"/>
      </w:r>
      <w:r w:rsidR="00DE4773" w:rsidRPr="009D7B6F">
        <w:rPr>
          <w:b/>
          <w:szCs w:val="22"/>
          <w:lang w:val="en-GB"/>
        </w:rPr>
        <w:t xml:space="preserve">: </w:t>
      </w:r>
      <w:r w:rsidR="004415B0">
        <w:rPr>
          <w:b/>
          <w:szCs w:val="22"/>
          <w:lang w:val="en-GB" w:eastAsia="tr-TR"/>
        </w:rPr>
        <w:t>Changes in informality rates compared to 2005</w:t>
      </w:r>
    </w:p>
    <w:p w:rsidR="004415B0" w:rsidRDefault="004415B0" w:rsidP="004415B0">
      <w:pPr>
        <w:pStyle w:val="NoSpacing"/>
        <w:rPr>
          <w:rFonts w:ascii="Palatino Linotype" w:hAnsi="Palatino Linotype"/>
          <w:sz w:val="20"/>
          <w:szCs w:val="20"/>
          <w:lang w:val="en-GB" w:eastAsia="tr-TR"/>
        </w:rPr>
      </w:pPr>
      <w:r>
        <w:rPr>
          <w:rFonts w:ascii="Palatino Linotype" w:hAnsi="Palatino Linotype"/>
          <w:b/>
          <w:sz w:val="20"/>
          <w:szCs w:val="20"/>
          <w:lang w:val="en-GB" w:eastAsia="tr-TR"/>
        </w:rPr>
        <w:t>Source</w:t>
      </w:r>
      <w:r w:rsidRPr="009D7B6F">
        <w:rPr>
          <w:rFonts w:ascii="Palatino Linotype" w:hAnsi="Palatino Linotype"/>
          <w:b/>
          <w:sz w:val="20"/>
          <w:szCs w:val="20"/>
          <w:lang w:val="en-GB" w:eastAsia="tr-TR"/>
        </w:rPr>
        <w:t xml:space="preserve">: </w:t>
      </w:r>
      <w:r w:rsidR="004B4EA4">
        <w:rPr>
          <w:rFonts w:ascii="Palatino Linotype" w:hAnsi="Palatino Linotype"/>
          <w:sz w:val="20"/>
          <w:szCs w:val="20"/>
          <w:lang w:val="en-GB" w:eastAsia="tr-TR"/>
        </w:rPr>
        <w:t xml:space="preserve">TurkStat HLFS </w:t>
      </w:r>
      <w:r w:rsidRPr="009D7B6F">
        <w:rPr>
          <w:rFonts w:ascii="Palatino Linotype" w:hAnsi="Palatino Linotype"/>
          <w:sz w:val="20"/>
          <w:szCs w:val="20"/>
          <w:lang w:val="en-GB" w:eastAsia="tr-TR"/>
        </w:rPr>
        <w:t xml:space="preserve">(http://www.tuik.gov.tr, </w:t>
      </w:r>
      <w:r w:rsidR="006773B6">
        <w:rPr>
          <w:rFonts w:ascii="Palatino Linotype" w:hAnsi="Palatino Linotype"/>
          <w:sz w:val="20"/>
          <w:szCs w:val="20"/>
          <w:lang w:val="en-GB" w:eastAsia="tr-TR"/>
        </w:rPr>
        <w:t xml:space="preserve">accessed on </w:t>
      </w:r>
      <w:r w:rsidRPr="009D7B6F">
        <w:rPr>
          <w:rFonts w:ascii="Palatino Linotype" w:hAnsi="Palatino Linotype"/>
          <w:sz w:val="20"/>
          <w:szCs w:val="20"/>
          <w:lang w:val="en-GB" w:eastAsia="tr-TR"/>
        </w:rPr>
        <w:t>10.11.2017)</w:t>
      </w:r>
    </w:p>
    <w:p w:rsidR="004415B0" w:rsidRDefault="004415B0" w:rsidP="004415B0">
      <w:pPr>
        <w:pStyle w:val="NoSpacing"/>
        <w:rPr>
          <w:rFonts w:ascii="Palatino Linotype" w:hAnsi="Palatino Linotype"/>
          <w:sz w:val="20"/>
          <w:szCs w:val="20"/>
          <w:lang w:val="en-GB" w:eastAsia="tr-TR"/>
        </w:rPr>
      </w:pPr>
    </w:p>
    <w:p w:rsidR="004415B0" w:rsidRDefault="004415B0" w:rsidP="008B44D5">
      <w:pPr>
        <w:pStyle w:val="NoSpacing"/>
        <w:spacing w:line="276" w:lineRule="auto"/>
        <w:jc w:val="both"/>
        <w:rPr>
          <w:rFonts w:ascii="Palatino Linotype" w:hAnsi="Palatino Linotype"/>
          <w:sz w:val="22"/>
          <w:szCs w:val="22"/>
          <w:lang w:val="en-GB" w:eastAsia="tr-TR"/>
        </w:rPr>
      </w:pPr>
      <w:r w:rsidRPr="00872C57">
        <w:rPr>
          <w:rFonts w:ascii="Palatino Linotype" w:hAnsi="Palatino Linotype"/>
          <w:sz w:val="22"/>
          <w:szCs w:val="22"/>
          <w:lang w:val="en-GB" w:eastAsia="tr-TR"/>
        </w:rPr>
        <w:t xml:space="preserve">Figure 1 presents the changes in informality rates compared to 2005 </w:t>
      </w:r>
      <w:r w:rsidR="002E4A3D">
        <w:rPr>
          <w:rFonts w:ascii="Palatino Linotype" w:hAnsi="Palatino Linotype"/>
          <w:sz w:val="22"/>
          <w:szCs w:val="22"/>
          <w:lang w:val="en-GB" w:eastAsia="tr-TR"/>
        </w:rPr>
        <w:t>by</w:t>
      </w:r>
      <w:r w:rsidRPr="00872C57">
        <w:rPr>
          <w:rFonts w:ascii="Palatino Linotype" w:hAnsi="Palatino Linotype"/>
          <w:sz w:val="22"/>
          <w:szCs w:val="22"/>
          <w:lang w:val="en-GB" w:eastAsia="tr-TR"/>
        </w:rPr>
        <w:t xml:space="preserve"> employment status.  The informality rate of salaried workers has decreased almost regularly from 2005 to 2015. </w:t>
      </w:r>
      <w:r w:rsidR="008B44D5" w:rsidRPr="00872C57">
        <w:rPr>
          <w:rFonts w:ascii="Palatino Linotype" w:hAnsi="Palatino Linotype"/>
          <w:sz w:val="22"/>
          <w:szCs w:val="22"/>
          <w:lang w:val="en-GB" w:eastAsia="tr-TR"/>
        </w:rPr>
        <w:t>W</w:t>
      </w:r>
      <w:r w:rsidRPr="00872C57">
        <w:rPr>
          <w:rFonts w:ascii="Palatino Linotype" w:hAnsi="Palatino Linotype"/>
          <w:sz w:val="22"/>
          <w:szCs w:val="22"/>
          <w:lang w:val="en-GB" w:eastAsia="tr-TR"/>
        </w:rPr>
        <w:t xml:space="preserve">hile </w:t>
      </w:r>
      <w:r w:rsidR="002E4A3D">
        <w:rPr>
          <w:rFonts w:ascii="Palatino Linotype" w:hAnsi="Palatino Linotype"/>
          <w:sz w:val="22"/>
          <w:szCs w:val="22"/>
          <w:lang w:val="en-GB" w:eastAsia="tr-TR"/>
        </w:rPr>
        <w:t>for</w:t>
      </w:r>
      <w:r w:rsidRPr="00872C57">
        <w:rPr>
          <w:rFonts w:ascii="Palatino Linotype" w:hAnsi="Palatino Linotype"/>
          <w:sz w:val="22"/>
          <w:szCs w:val="22"/>
          <w:lang w:val="en-GB" w:eastAsia="tr-TR"/>
        </w:rPr>
        <w:t xml:space="preserve"> non-salaried workers, there </w:t>
      </w:r>
      <w:r w:rsidR="002E4A3D">
        <w:rPr>
          <w:rFonts w:ascii="Palatino Linotype" w:hAnsi="Palatino Linotype"/>
          <w:sz w:val="22"/>
          <w:szCs w:val="22"/>
          <w:lang w:val="en-GB" w:eastAsia="tr-TR"/>
        </w:rPr>
        <w:t>seems to be</w:t>
      </w:r>
      <w:r w:rsidRPr="00872C57">
        <w:rPr>
          <w:rFonts w:ascii="Palatino Linotype" w:hAnsi="Palatino Linotype"/>
          <w:sz w:val="22"/>
          <w:szCs w:val="22"/>
          <w:lang w:val="en-GB" w:eastAsia="tr-TR"/>
        </w:rPr>
        <w:t xml:space="preserve"> a horizontal trend</w:t>
      </w:r>
      <w:r w:rsidR="00C61868">
        <w:rPr>
          <w:rFonts w:ascii="Palatino Linotype" w:hAnsi="Palatino Linotype"/>
          <w:sz w:val="22"/>
          <w:szCs w:val="22"/>
          <w:lang w:val="en-GB" w:eastAsia="tr-TR"/>
        </w:rPr>
        <w:t xml:space="preserve"> </w:t>
      </w:r>
      <w:r w:rsidRPr="00872C57">
        <w:rPr>
          <w:rFonts w:ascii="Palatino Linotype" w:hAnsi="Palatino Linotype"/>
          <w:sz w:val="22"/>
          <w:szCs w:val="22"/>
          <w:lang w:val="en-GB" w:eastAsia="tr-TR"/>
        </w:rPr>
        <w:t xml:space="preserve">before 2009, </w:t>
      </w:r>
      <w:r w:rsidR="00C61868">
        <w:rPr>
          <w:rFonts w:ascii="Palatino Linotype" w:hAnsi="Palatino Linotype"/>
          <w:sz w:val="22"/>
          <w:szCs w:val="22"/>
          <w:lang w:val="en-GB" w:eastAsia="tr-TR"/>
        </w:rPr>
        <w:t xml:space="preserve">after 2009 this give place to a </w:t>
      </w:r>
      <w:r w:rsidR="008B44D5" w:rsidRPr="00872C57">
        <w:rPr>
          <w:rFonts w:ascii="Palatino Linotype" w:hAnsi="Palatino Linotype"/>
          <w:sz w:val="22"/>
          <w:szCs w:val="22"/>
          <w:lang w:val="en-GB" w:eastAsia="tr-TR"/>
        </w:rPr>
        <w:t xml:space="preserve">decreasing </w:t>
      </w:r>
      <w:r w:rsidR="00C61868">
        <w:rPr>
          <w:rFonts w:ascii="Palatino Linotype" w:hAnsi="Palatino Linotype"/>
          <w:sz w:val="22"/>
          <w:szCs w:val="22"/>
          <w:lang w:val="en-GB" w:eastAsia="tr-TR"/>
        </w:rPr>
        <w:t>one as</w:t>
      </w:r>
      <w:r w:rsidR="008B44D5" w:rsidRPr="00872C57">
        <w:rPr>
          <w:rFonts w:ascii="Palatino Linotype" w:hAnsi="Palatino Linotype"/>
          <w:sz w:val="22"/>
          <w:szCs w:val="22"/>
          <w:lang w:val="en-GB" w:eastAsia="tr-TR"/>
        </w:rPr>
        <w:t xml:space="preserve"> in </w:t>
      </w:r>
      <w:r w:rsidR="00C61868">
        <w:rPr>
          <w:rFonts w:ascii="Palatino Linotype" w:hAnsi="Palatino Linotype"/>
          <w:sz w:val="22"/>
          <w:szCs w:val="22"/>
          <w:lang w:val="en-GB" w:eastAsia="tr-TR"/>
        </w:rPr>
        <w:t xml:space="preserve">the case of salaried </w:t>
      </w:r>
      <w:r w:rsidR="008B44D5" w:rsidRPr="00872C57">
        <w:rPr>
          <w:rFonts w:ascii="Palatino Linotype" w:hAnsi="Palatino Linotype"/>
          <w:sz w:val="22"/>
          <w:szCs w:val="22"/>
          <w:lang w:val="en-GB" w:eastAsia="tr-TR"/>
        </w:rPr>
        <w:t>workers</w:t>
      </w:r>
      <w:r w:rsidR="00C61868">
        <w:rPr>
          <w:rFonts w:ascii="Palatino Linotype" w:hAnsi="Palatino Linotype"/>
          <w:sz w:val="22"/>
          <w:szCs w:val="22"/>
          <w:lang w:val="en-GB" w:eastAsia="tr-TR"/>
        </w:rPr>
        <w:t>.</w:t>
      </w:r>
      <w:r w:rsidR="008B44D5" w:rsidRPr="00872C57">
        <w:rPr>
          <w:rFonts w:ascii="Palatino Linotype" w:hAnsi="Palatino Linotype"/>
          <w:sz w:val="22"/>
          <w:szCs w:val="22"/>
          <w:lang w:val="en-GB" w:eastAsia="tr-TR"/>
        </w:rPr>
        <w:t xml:space="preserve"> </w:t>
      </w:r>
      <w:r w:rsidR="00C61868">
        <w:rPr>
          <w:rFonts w:ascii="Palatino Linotype" w:hAnsi="Palatino Linotype"/>
          <w:sz w:val="22"/>
          <w:szCs w:val="22"/>
          <w:lang w:val="en-GB" w:eastAsia="tr-TR"/>
        </w:rPr>
        <w:t xml:space="preserve">From 2015 to 2016, </w:t>
      </w:r>
      <w:r w:rsidR="008B44D5" w:rsidRPr="00872C57">
        <w:rPr>
          <w:rFonts w:ascii="Palatino Linotype" w:hAnsi="Palatino Linotype"/>
          <w:sz w:val="22"/>
          <w:szCs w:val="22"/>
          <w:lang w:val="en-GB" w:eastAsia="tr-TR"/>
        </w:rPr>
        <w:t xml:space="preserve">the informality rate </w:t>
      </w:r>
      <w:r w:rsidR="00BB59D3">
        <w:rPr>
          <w:rFonts w:ascii="Palatino Linotype" w:hAnsi="Palatino Linotype"/>
          <w:sz w:val="22"/>
          <w:szCs w:val="22"/>
          <w:lang w:val="en-GB" w:eastAsia="tr-TR"/>
        </w:rPr>
        <w:t>for</w:t>
      </w:r>
      <w:r w:rsidR="008B44D5" w:rsidRPr="00872C57">
        <w:rPr>
          <w:rFonts w:ascii="Palatino Linotype" w:hAnsi="Palatino Linotype"/>
          <w:sz w:val="22"/>
          <w:szCs w:val="22"/>
          <w:lang w:val="en-GB" w:eastAsia="tr-TR"/>
        </w:rPr>
        <w:t xml:space="preserve"> own account workers increased </w:t>
      </w:r>
      <w:r w:rsidR="00C61868">
        <w:rPr>
          <w:rFonts w:ascii="Palatino Linotype" w:hAnsi="Palatino Linotype"/>
          <w:sz w:val="22"/>
          <w:szCs w:val="22"/>
          <w:lang w:val="en-GB" w:eastAsia="tr-TR"/>
        </w:rPr>
        <w:t xml:space="preserve">by </w:t>
      </w:r>
      <w:r w:rsidR="008B44D5" w:rsidRPr="00872C57">
        <w:rPr>
          <w:rFonts w:ascii="Palatino Linotype" w:hAnsi="Palatino Linotype"/>
          <w:sz w:val="22"/>
          <w:szCs w:val="22"/>
          <w:lang w:val="en-GB" w:eastAsia="tr-TR"/>
        </w:rPr>
        <w:t xml:space="preserve">1.6 percentage points (from 60.1 percent to 61.7 percent). On the other hand, informality rate </w:t>
      </w:r>
      <w:r w:rsidR="00BB59D3">
        <w:rPr>
          <w:rFonts w:ascii="Palatino Linotype" w:hAnsi="Palatino Linotype"/>
          <w:sz w:val="22"/>
          <w:szCs w:val="22"/>
          <w:lang w:val="en-GB" w:eastAsia="tr-TR"/>
        </w:rPr>
        <w:t>for</w:t>
      </w:r>
      <w:r w:rsidR="008B44D5" w:rsidRPr="00872C57">
        <w:rPr>
          <w:rFonts w:ascii="Palatino Linotype" w:hAnsi="Palatino Linotype"/>
          <w:sz w:val="22"/>
          <w:szCs w:val="22"/>
          <w:lang w:val="en-GB" w:eastAsia="tr-TR"/>
        </w:rPr>
        <w:t xml:space="preserve"> employers increased 3.0 percentage point (12.9 percent to 15.9 percent).  </w:t>
      </w:r>
      <w:r w:rsidR="00BB59D3">
        <w:rPr>
          <w:rFonts w:ascii="Palatino Linotype" w:hAnsi="Palatino Linotype"/>
          <w:sz w:val="22"/>
          <w:szCs w:val="22"/>
          <w:lang w:val="en-GB" w:eastAsia="tr-TR"/>
        </w:rPr>
        <w:t xml:space="preserve">Given </w:t>
      </w:r>
      <w:r w:rsidR="008B44D5" w:rsidRPr="00872C57">
        <w:rPr>
          <w:rFonts w:ascii="Palatino Linotype" w:hAnsi="Palatino Linotype"/>
          <w:sz w:val="22"/>
          <w:szCs w:val="22"/>
          <w:lang w:val="en-GB" w:eastAsia="tr-TR"/>
        </w:rPr>
        <w:t>significant increases in informal</w:t>
      </w:r>
      <w:r w:rsidR="00FD332D">
        <w:rPr>
          <w:rFonts w:ascii="Palatino Linotype" w:hAnsi="Palatino Linotype"/>
          <w:sz w:val="22"/>
          <w:szCs w:val="22"/>
          <w:lang w:val="en-GB" w:eastAsia="tr-TR"/>
        </w:rPr>
        <w:t xml:space="preserve">ity rate </w:t>
      </w:r>
      <w:r w:rsidR="008B44D5" w:rsidRPr="00872C57">
        <w:rPr>
          <w:rFonts w:ascii="Palatino Linotype" w:hAnsi="Palatino Linotype"/>
          <w:sz w:val="22"/>
          <w:szCs w:val="22"/>
          <w:lang w:val="en-GB" w:eastAsia="tr-TR"/>
        </w:rPr>
        <w:t xml:space="preserve">of these two groups </w:t>
      </w:r>
      <w:r w:rsidR="00FD332D">
        <w:rPr>
          <w:rFonts w:ascii="Palatino Linotype" w:hAnsi="Palatino Linotype"/>
          <w:sz w:val="22"/>
          <w:szCs w:val="22"/>
          <w:lang w:val="en-GB" w:eastAsia="tr-TR"/>
        </w:rPr>
        <w:t>between</w:t>
      </w:r>
      <w:r w:rsidR="00BB59D3">
        <w:rPr>
          <w:rFonts w:ascii="Palatino Linotype" w:hAnsi="Palatino Linotype"/>
          <w:sz w:val="22"/>
          <w:szCs w:val="22"/>
          <w:lang w:val="en-GB" w:eastAsia="tr-TR"/>
        </w:rPr>
        <w:t xml:space="preserve"> 2015</w:t>
      </w:r>
      <w:r w:rsidR="00FD332D">
        <w:rPr>
          <w:rFonts w:ascii="Palatino Linotype" w:hAnsi="Palatino Linotype"/>
          <w:sz w:val="22"/>
          <w:szCs w:val="22"/>
          <w:lang w:val="en-GB" w:eastAsia="tr-TR"/>
        </w:rPr>
        <w:t xml:space="preserve"> and </w:t>
      </w:r>
      <w:r w:rsidR="00BB59D3">
        <w:rPr>
          <w:rFonts w:ascii="Palatino Linotype" w:hAnsi="Palatino Linotype"/>
          <w:sz w:val="22"/>
          <w:szCs w:val="22"/>
          <w:lang w:val="en-GB" w:eastAsia="tr-TR"/>
        </w:rPr>
        <w:t xml:space="preserve">2016, we cover also </w:t>
      </w:r>
      <w:r w:rsidR="008B44D5" w:rsidRPr="00872C57">
        <w:rPr>
          <w:rFonts w:ascii="Palatino Linotype" w:hAnsi="Palatino Linotype"/>
          <w:sz w:val="22"/>
          <w:szCs w:val="22"/>
          <w:lang w:val="en-GB" w:eastAsia="tr-TR"/>
        </w:rPr>
        <w:t>own account workers</w:t>
      </w:r>
      <w:r w:rsidR="00BB59D3">
        <w:rPr>
          <w:rFonts w:ascii="Palatino Linotype" w:hAnsi="Palatino Linotype"/>
          <w:sz w:val="22"/>
          <w:szCs w:val="22"/>
          <w:lang w:val="en-GB" w:eastAsia="tr-TR"/>
        </w:rPr>
        <w:t xml:space="preserve">, employers and unpaid family workers in addition to wage earners </w:t>
      </w:r>
      <w:r w:rsidR="00BB59D3" w:rsidRPr="00872C57">
        <w:rPr>
          <w:rFonts w:ascii="Palatino Linotype" w:hAnsi="Palatino Linotype"/>
          <w:sz w:val="22"/>
          <w:szCs w:val="22"/>
          <w:lang w:val="en-GB" w:eastAsia="tr-TR"/>
        </w:rPr>
        <w:t>in this research note</w:t>
      </w:r>
      <w:r w:rsidR="00BB59D3">
        <w:rPr>
          <w:rFonts w:ascii="Palatino Linotype" w:hAnsi="Palatino Linotype"/>
          <w:sz w:val="22"/>
          <w:szCs w:val="22"/>
          <w:lang w:val="en-GB" w:eastAsia="tr-TR"/>
        </w:rPr>
        <w:t>.</w:t>
      </w:r>
    </w:p>
    <w:p w:rsidR="00820E07" w:rsidRDefault="00820E07" w:rsidP="008B44D5">
      <w:pPr>
        <w:pStyle w:val="NoSpacing"/>
        <w:spacing w:line="276" w:lineRule="auto"/>
        <w:jc w:val="both"/>
        <w:rPr>
          <w:rFonts w:ascii="Palatino Linotype" w:hAnsi="Palatino Linotype"/>
          <w:sz w:val="22"/>
          <w:szCs w:val="22"/>
          <w:lang w:val="en-GB" w:eastAsia="tr-TR"/>
        </w:rPr>
      </w:pPr>
    </w:p>
    <w:p w:rsidR="00820E07" w:rsidRPr="00872C57" w:rsidRDefault="00820E07" w:rsidP="00820E07">
      <w:pPr>
        <w:keepNext/>
        <w:rPr>
          <w:szCs w:val="22"/>
          <w:lang w:val="en-GB"/>
        </w:rPr>
      </w:pPr>
      <w:r>
        <w:rPr>
          <w:szCs w:val="22"/>
          <w:lang w:val="en-GB"/>
        </w:rPr>
        <w:t>The inclusion of non-wage earners might suggest that changes in informality could stem from agriculture sector. Table 3 makes sure that this is not the case. According to Table 3, the informality rate of employers, own account workers and unpaid family workers increase in</w:t>
      </w:r>
      <w:r w:rsidR="006F292A">
        <w:rPr>
          <w:szCs w:val="22"/>
          <w:lang w:val="en-GB"/>
        </w:rPr>
        <w:t xml:space="preserve"> </w:t>
      </w:r>
      <w:r>
        <w:rPr>
          <w:szCs w:val="22"/>
          <w:lang w:val="en-GB"/>
        </w:rPr>
        <w:lastRenderedPageBreak/>
        <w:t xml:space="preserve">non-agricultural sectors while it does not change that much (even decrease for some) in agriculture sector. </w:t>
      </w:r>
      <w:r w:rsidRPr="009D7B6F">
        <w:rPr>
          <w:rStyle w:val="FootnoteReference"/>
          <w:szCs w:val="22"/>
          <w:lang w:val="en-GB"/>
        </w:rPr>
        <w:footnoteReference w:id="4"/>
      </w:r>
    </w:p>
    <w:tbl>
      <w:tblPr>
        <w:tblpPr w:leftFromText="141" w:rightFromText="141" w:vertAnchor="text" w:horzAnchor="margin" w:tblpXSpec="center" w:tblpY="466"/>
        <w:tblW w:w="9968" w:type="dxa"/>
        <w:tblCellMar>
          <w:left w:w="70" w:type="dxa"/>
          <w:right w:w="70" w:type="dxa"/>
        </w:tblCellMar>
        <w:tblLook w:val="04A0" w:firstRow="1" w:lastRow="0" w:firstColumn="1" w:lastColumn="0" w:noHBand="0" w:noVBand="1"/>
      </w:tblPr>
      <w:tblGrid>
        <w:gridCol w:w="584"/>
        <w:gridCol w:w="1173"/>
        <w:gridCol w:w="1173"/>
        <w:gridCol w:w="1173"/>
        <w:gridCol w:w="1173"/>
        <w:gridCol w:w="1173"/>
        <w:gridCol w:w="1173"/>
        <w:gridCol w:w="1173"/>
        <w:gridCol w:w="1173"/>
      </w:tblGrid>
      <w:tr w:rsidR="006F292A" w:rsidRPr="002A0A4E" w:rsidTr="006F292A">
        <w:trPr>
          <w:trHeight w:val="266"/>
        </w:trPr>
        <w:tc>
          <w:tcPr>
            <w:tcW w:w="584" w:type="dxa"/>
            <w:tcBorders>
              <w:top w:val="nil"/>
              <w:left w:val="nil"/>
              <w:bottom w:val="nil"/>
              <w:right w:val="nil"/>
            </w:tcBorders>
            <w:shd w:val="clear" w:color="auto" w:fill="auto"/>
            <w:noWrap/>
            <w:vAlign w:val="bottom"/>
            <w:hideMark/>
          </w:tcPr>
          <w:p w:rsidR="006F292A" w:rsidRPr="002A0A4E" w:rsidRDefault="006F292A" w:rsidP="006F292A">
            <w:pPr>
              <w:suppressAutoHyphens w:val="0"/>
              <w:spacing w:after="0" w:line="240" w:lineRule="auto"/>
              <w:jc w:val="left"/>
              <w:rPr>
                <w:rFonts w:cs="Times New Roman"/>
                <w:sz w:val="20"/>
                <w:szCs w:val="20"/>
                <w:lang w:val="en-GB" w:eastAsia="tr-TR"/>
              </w:rPr>
            </w:pPr>
          </w:p>
        </w:tc>
        <w:tc>
          <w:tcPr>
            <w:tcW w:w="234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F292A" w:rsidRPr="002A0A4E" w:rsidRDefault="006F292A" w:rsidP="006F292A">
            <w:pPr>
              <w:suppressAutoHyphens w:val="0"/>
              <w:spacing w:after="0" w:line="240" w:lineRule="auto"/>
              <w:jc w:val="center"/>
              <w:rPr>
                <w:rFonts w:cs="Times New Roman"/>
                <w:color w:val="000000"/>
                <w:sz w:val="20"/>
                <w:szCs w:val="20"/>
                <w:lang w:val="en-GB" w:eastAsia="tr-TR"/>
              </w:rPr>
            </w:pPr>
            <w:r w:rsidRPr="002A0A4E">
              <w:rPr>
                <w:rFonts w:cs="Times New Roman"/>
                <w:color w:val="000000"/>
                <w:sz w:val="20"/>
                <w:szCs w:val="20"/>
                <w:lang w:val="en-GB" w:eastAsia="tr-TR"/>
              </w:rPr>
              <w:t>Wage earners</w:t>
            </w:r>
          </w:p>
        </w:tc>
        <w:tc>
          <w:tcPr>
            <w:tcW w:w="234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6F292A" w:rsidRPr="002A0A4E" w:rsidRDefault="006F292A" w:rsidP="006F292A">
            <w:pPr>
              <w:suppressAutoHyphens w:val="0"/>
              <w:spacing w:after="0" w:line="240" w:lineRule="auto"/>
              <w:jc w:val="center"/>
              <w:rPr>
                <w:rFonts w:cs="Times New Roman"/>
                <w:color w:val="000000"/>
                <w:sz w:val="20"/>
                <w:szCs w:val="20"/>
                <w:lang w:val="en-GB" w:eastAsia="tr-TR"/>
              </w:rPr>
            </w:pPr>
            <w:r w:rsidRPr="002A0A4E">
              <w:rPr>
                <w:rFonts w:cs="Times New Roman"/>
                <w:color w:val="000000"/>
                <w:sz w:val="20"/>
                <w:szCs w:val="20"/>
                <w:lang w:val="en-GB" w:eastAsia="tr-TR"/>
              </w:rPr>
              <w:t>Employers</w:t>
            </w:r>
          </w:p>
        </w:tc>
        <w:tc>
          <w:tcPr>
            <w:tcW w:w="234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6F292A" w:rsidRPr="002A0A4E" w:rsidRDefault="006F292A" w:rsidP="006F292A">
            <w:pPr>
              <w:suppressAutoHyphens w:val="0"/>
              <w:spacing w:after="0" w:line="240" w:lineRule="auto"/>
              <w:jc w:val="center"/>
              <w:rPr>
                <w:rFonts w:cs="Times New Roman"/>
                <w:color w:val="000000"/>
                <w:sz w:val="20"/>
                <w:szCs w:val="20"/>
                <w:lang w:val="en-GB" w:eastAsia="tr-TR"/>
              </w:rPr>
            </w:pPr>
            <w:r w:rsidRPr="002A0A4E">
              <w:rPr>
                <w:rFonts w:cs="Times New Roman"/>
                <w:color w:val="000000"/>
                <w:sz w:val="20"/>
                <w:szCs w:val="20"/>
                <w:lang w:val="en-GB" w:eastAsia="tr-TR"/>
              </w:rPr>
              <w:t>Own account worker</w:t>
            </w:r>
          </w:p>
        </w:tc>
        <w:tc>
          <w:tcPr>
            <w:tcW w:w="234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6F292A" w:rsidRPr="002A0A4E" w:rsidRDefault="006F292A" w:rsidP="006F292A">
            <w:pPr>
              <w:suppressAutoHyphens w:val="0"/>
              <w:spacing w:after="0" w:line="240" w:lineRule="auto"/>
              <w:jc w:val="center"/>
              <w:rPr>
                <w:rFonts w:cs="Times New Roman"/>
                <w:color w:val="000000"/>
                <w:sz w:val="20"/>
                <w:szCs w:val="20"/>
                <w:lang w:val="en-GB" w:eastAsia="tr-TR"/>
              </w:rPr>
            </w:pPr>
            <w:r w:rsidRPr="002A0A4E">
              <w:rPr>
                <w:rFonts w:cs="Times New Roman"/>
                <w:color w:val="000000"/>
                <w:sz w:val="20"/>
                <w:szCs w:val="20"/>
                <w:lang w:val="en-GB" w:eastAsia="tr-TR"/>
              </w:rPr>
              <w:t>Unpaid family worker</w:t>
            </w:r>
          </w:p>
        </w:tc>
      </w:tr>
      <w:tr w:rsidR="006F292A" w:rsidRPr="002A0A4E" w:rsidTr="006F292A">
        <w:trPr>
          <w:trHeight w:val="165"/>
        </w:trPr>
        <w:tc>
          <w:tcPr>
            <w:tcW w:w="584" w:type="dxa"/>
            <w:tcBorders>
              <w:top w:val="nil"/>
              <w:left w:val="nil"/>
              <w:bottom w:val="nil"/>
              <w:right w:val="nil"/>
            </w:tcBorders>
            <w:shd w:val="clear" w:color="auto" w:fill="auto"/>
            <w:noWrap/>
            <w:vAlign w:val="bottom"/>
            <w:hideMark/>
          </w:tcPr>
          <w:p w:rsidR="006F292A" w:rsidRPr="002A0A4E" w:rsidRDefault="006F292A" w:rsidP="006F292A">
            <w:pPr>
              <w:suppressAutoHyphens w:val="0"/>
              <w:spacing w:after="0" w:line="240" w:lineRule="auto"/>
              <w:jc w:val="center"/>
              <w:rPr>
                <w:rFonts w:cs="Times New Roman"/>
                <w:color w:val="000000"/>
                <w:sz w:val="20"/>
                <w:szCs w:val="20"/>
                <w:lang w:val="en-GB" w:eastAsia="tr-TR"/>
              </w:rPr>
            </w:pPr>
          </w:p>
        </w:tc>
        <w:tc>
          <w:tcPr>
            <w:tcW w:w="1173" w:type="dxa"/>
            <w:tcBorders>
              <w:top w:val="nil"/>
              <w:left w:val="single" w:sz="8" w:space="0" w:color="auto"/>
              <w:bottom w:val="single" w:sz="8" w:space="0" w:color="auto"/>
              <w:right w:val="single" w:sz="8" w:space="0" w:color="auto"/>
            </w:tcBorders>
            <w:shd w:val="clear" w:color="auto" w:fill="auto"/>
            <w:noWrap/>
            <w:vAlign w:val="center"/>
            <w:hideMark/>
          </w:tcPr>
          <w:p w:rsidR="006F292A" w:rsidRPr="002A0A4E" w:rsidRDefault="006F292A" w:rsidP="006F292A">
            <w:pPr>
              <w:suppressAutoHyphens w:val="0"/>
              <w:spacing w:after="0" w:line="240" w:lineRule="auto"/>
              <w:jc w:val="center"/>
              <w:rPr>
                <w:rFonts w:cs="Times New Roman"/>
                <w:color w:val="000000"/>
                <w:sz w:val="20"/>
                <w:szCs w:val="20"/>
                <w:lang w:val="en-GB" w:eastAsia="tr-TR"/>
              </w:rPr>
            </w:pPr>
            <w:r w:rsidRPr="002A0A4E">
              <w:rPr>
                <w:rFonts w:cs="Times New Roman"/>
                <w:color w:val="000000"/>
                <w:sz w:val="20"/>
                <w:szCs w:val="20"/>
                <w:lang w:val="en-GB" w:eastAsia="tr-TR"/>
              </w:rPr>
              <w:t>Agriculture</w:t>
            </w:r>
          </w:p>
        </w:tc>
        <w:tc>
          <w:tcPr>
            <w:tcW w:w="1173" w:type="dxa"/>
            <w:tcBorders>
              <w:top w:val="nil"/>
              <w:left w:val="nil"/>
              <w:bottom w:val="single" w:sz="8" w:space="0" w:color="auto"/>
              <w:right w:val="single" w:sz="8" w:space="0" w:color="auto"/>
            </w:tcBorders>
            <w:shd w:val="clear" w:color="auto" w:fill="auto"/>
            <w:noWrap/>
            <w:vAlign w:val="center"/>
            <w:hideMark/>
          </w:tcPr>
          <w:p w:rsidR="006F292A" w:rsidRPr="002A0A4E" w:rsidRDefault="006F292A" w:rsidP="006F292A">
            <w:pPr>
              <w:suppressAutoHyphens w:val="0"/>
              <w:spacing w:after="0" w:line="240" w:lineRule="auto"/>
              <w:jc w:val="center"/>
              <w:rPr>
                <w:rFonts w:cs="Times New Roman"/>
                <w:color w:val="000000"/>
                <w:sz w:val="20"/>
                <w:szCs w:val="20"/>
                <w:lang w:val="en-GB" w:eastAsia="tr-TR"/>
              </w:rPr>
            </w:pPr>
            <w:r w:rsidRPr="002A0A4E">
              <w:rPr>
                <w:rFonts w:cs="Times New Roman"/>
                <w:color w:val="000000"/>
                <w:sz w:val="20"/>
                <w:szCs w:val="20"/>
                <w:lang w:val="en-GB" w:eastAsia="tr-TR"/>
              </w:rPr>
              <w:t>Non-Agriculture</w:t>
            </w:r>
          </w:p>
        </w:tc>
        <w:tc>
          <w:tcPr>
            <w:tcW w:w="1173" w:type="dxa"/>
            <w:tcBorders>
              <w:top w:val="nil"/>
              <w:left w:val="nil"/>
              <w:bottom w:val="single" w:sz="8" w:space="0" w:color="auto"/>
              <w:right w:val="single" w:sz="8" w:space="0" w:color="auto"/>
            </w:tcBorders>
            <w:shd w:val="clear" w:color="auto" w:fill="auto"/>
            <w:noWrap/>
            <w:vAlign w:val="center"/>
            <w:hideMark/>
          </w:tcPr>
          <w:p w:rsidR="006F292A" w:rsidRPr="002A0A4E" w:rsidRDefault="006F292A" w:rsidP="006F292A">
            <w:pPr>
              <w:suppressAutoHyphens w:val="0"/>
              <w:spacing w:after="0" w:line="240" w:lineRule="auto"/>
              <w:jc w:val="center"/>
              <w:rPr>
                <w:rFonts w:cs="Times New Roman"/>
                <w:color w:val="000000"/>
                <w:sz w:val="20"/>
                <w:szCs w:val="20"/>
                <w:lang w:val="en-GB" w:eastAsia="tr-TR"/>
              </w:rPr>
            </w:pPr>
            <w:r w:rsidRPr="002A0A4E">
              <w:rPr>
                <w:rFonts w:cs="Times New Roman"/>
                <w:color w:val="000000"/>
                <w:sz w:val="20"/>
                <w:szCs w:val="20"/>
                <w:lang w:val="en-GB" w:eastAsia="tr-TR"/>
              </w:rPr>
              <w:t>Agriculture</w:t>
            </w:r>
          </w:p>
        </w:tc>
        <w:tc>
          <w:tcPr>
            <w:tcW w:w="1173" w:type="dxa"/>
            <w:tcBorders>
              <w:top w:val="nil"/>
              <w:left w:val="nil"/>
              <w:bottom w:val="single" w:sz="8" w:space="0" w:color="auto"/>
              <w:right w:val="single" w:sz="8" w:space="0" w:color="auto"/>
            </w:tcBorders>
            <w:shd w:val="clear" w:color="auto" w:fill="auto"/>
            <w:noWrap/>
            <w:vAlign w:val="center"/>
            <w:hideMark/>
          </w:tcPr>
          <w:p w:rsidR="006F292A" w:rsidRPr="002A0A4E" w:rsidRDefault="006F292A" w:rsidP="006F292A">
            <w:pPr>
              <w:suppressAutoHyphens w:val="0"/>
              <w:spacing w:after="0" w:line="240" w:lineRule="auto"/>
              <w:jc w:val="center"/>
              <w:rPr>
                <w:rFonts w:cs="Times New Roman"/>
                <w:color w:val="000000"/>
                <w:sz w:val="20"/>
                <w:szCs w:val="20"/>
                <w:lang w:val="en-GB" w:eastAsia="tr-TR"/>
              </w:rPr>
            </w:pPr>
            <w:r w:rsidRPr="002A0A4E">
              <w:rPr>
                <w:rFonts w:cs="Times New Roman"/>
                <w:color w:val="000000"/>
                <w:sz w:val="20"/>
                <w:szCs w:val="20"/>
                <w:lang w:val="en-GB" w:eastAsia="tr-TR"/>
              </w:rPr>
              <w:t>Non-Agriculture</w:t>
            </w:r>
          </w:p>
        </w:tc>
        <w:tc>
          <w:tcPr>
            <w:tcW w:w="1173" w:type="dxa"/>
            <w:tcBorders>
              <w:top w:val="nil"/>
              <w:left w:val="nil"/>
              <w:bottom w:val="single" w:sz="8" w:space="0" w:color="auto"/>
              <w:right w:val="single" w:sz="8" w:space="0" w:color="auto"/>
            </w:tcBorders>
            <w:shd w:val="clear" w:color="auto" w:fill="auto"/>
            <w:noWrap/>
            <w:vAlign w:val="center"/>
            <w:hideMark/>
          </w:tcPr>
          <w:p w:rsidR="006F292A" w:rsidRPr="002A0A4E" w:rsidRDefault="006F292A" w:rsidP="006F292A">
            <w:pPr>
              <w:suppressAutoHyphens w:val="0"/>
              <w:spacing w:after="0" w:line="240" w:lineRule="auto"/>
              <w:jc w:val="center"/>
              <w:rPr>
                <w:rFonts w:cs="Times New Roman"/>
                <w:color w:val="000000"/>
                <w:sz w:val="20"/>
                <w:szCs w:val="20"/>
                <w:lang w:val="en-GB" w:eastAsia="tr-TR"/>
              </w:rPr>
            </w:pPr>
            <w:r w:rsidRPr="002A0A4E">
              <w:rPr>
                <w:rFonts w:cs="Times New Roman"/>
                <w:color w:val="000000"/>
                <w:sz w:val="20"/>
                <w:szCs w:val="20"/>
                <w:lang w:val="en-GB" w:eastAsia="tr-TR"/>
              </w:rPr>
              <w:t>Agriculture</w:t>
            </w:r>
          </w:p>
        </w:tc>
        <w:tc>
          <w:tcPr>
            <w:tcW w:w="1173" w:type="dxa"/>
            <w:tcBorders>
              <w:top w:val="nil"/>
              <w:left w:val="nil"/>
              <w:bottom w:val="single" w:sz="8" w:space="0" w:color="auto"/>
              <w:right w:val="single" w:sz="8" w:space="0" w:color="auto"/>
            </w:tcBorders>
            <w:shd w:val="clear" w:color="auto" w:fill="auto"/>
            <w:noWrap/>
            <w:vAlign w:val="center"/>
            <w:hideMark/>
          </w:tcPr>
          <w:p w:rsidR="006F292A" w:rsidRPr="002A0A4E" w:rsidRDefault="006F292A" w:rsidP="006F292A">
            <w:pPr>
              <w:suppressAutoHyphens w:val="0"/>
              <w:spacing w:after="0" w:line="240" w:lineRule="auto"/>
              <w:jc w:val="center"/>
              <w:rPr>
                <w:rFonts w:cs="Times New Roman"/>
                <w:color w:val="000000"/>
                <w:sz w:val="20"/>
                <w:szCs w:val="20"/>
                <w:lang w:val="en-GB" w:eastAsia="tr-TR"/>
              </w:rPr>
            </w:pPr>
            <w:r w:rsidRPr="002A0A4E">
              <w:rPr>
                <w:rFonts w:cs="Times New Roman"/>
                <w:color w:val="000000"/>
                <w:sz w:val="20"/>
                <w:szCs w:val="20"/>
                <w:lang w:val="en-GB" w:eastAsia="tr-TR"/>
              </w:rPr>
              <w:t>Non-Agriculture</w:t>
            </w:r>
          </w:p>
        </w:tc>
        <w:tc>
          <w:tcPr>
            <w:tcW w:w="1173" w:type="dxa"/>
            <w:tcBorders>
              <w:top w:val="nil"/>
              <w:left w:val="nil"/>
              <w:bottom w:val="single" w:sz="8" w:space="0" w:color="auto"/>
              <w:right w:val="single" w:sz="8" w:space="0" w:color="auto"/>
            </w:tcBorders>
            <w:shd w:val="clear" w:color="auto" w:fill="auto"/>
            <w:noWrap/>
            <w:vAlign w:val="center"/>
            <w:hideMark/>
          </w:tcPr>
          <w:p w:rsidR="006F292A" w:rsidRPr="002A0A4E" w:rsidRDefault="006F292A" w:rsidP="006F292A">
            <w:pPr>
              <w:suppressAutoHyphens w:val="0"/>
              <w:spacing w:after="0" w:line="240" w:lineRule="auto"/>
              <w:jc w:val="center"/>
              <w:rPr>
                <w:rFonts w:cs="Times New Roman"/>
                <w:color w:val="000000"/>
                <w:sz w:val="20"/>
                <w:szCs w:val="20"/>
                <w:lang w:val="en-GB" w:eastAsia="tr-TR"/>
              </w:rPr>
            </w:pPr>
            <w:r w:rsidRPr="002A0A4E">
              <w:rPr>
                <w:rFonts w:cs="Times New Roman"/>
                <w:color w:val="000000"/>
                <w:sz w:val="20"/>
                <w:szCs w:val="20"/>
                <w:lang w:val="en-GB" w:eastAsia="tr-TR"/>
              </w:rPr>
              <w:t>Agriculture</w:t>
            </w:r>
          </w:p>
        </w:tc>
        <w:tc>
          <w:tcPr>
            <w:tcW w:w="1173" w:type="dxa"/>
            <w:tcBorders>
              <w:top w:val="nil"/>
              <w:left w:val="nil"/>
              <w:bottom w:val="single" w:sz="8" w:space="0" w:color="auto"/>
              <w:right w:val="single" w:sz="8" w:space="0" w:color="auto"/>
            </w:tcBorders>
            <w:shd w:val="clear" w:color="auto" w:fill="auto"/>
            <w:noWrap/>
            <w:vAlign w:val="center"/>
            <w:hideMark/>
          </w:tcPr>
          <w:p w:rsidR="006F292A" w:rsidRPr="002A0A4E" w:rsidRDefault="006F292A" w:rsidP="006F292A">
            <w:pPr>
              <w:suppressAutoHyphens w:val="0"/>
              <w:spacing w:after="0" w:line="240" w:lineRule="auto"/>
              <w:jc w:val="center"/>
              <w:rPr>
                <w:rFonts w:cs="Times New Roman"/>
                <w:color w:val="000000"/>
                <w:sz w:val="20"/>
                <w:szCs w:val="20"/>
                <w:lang w:val="en-GB" w:eastAsia="tr-TR"/>
              </w:rPr>
            </w:pPr>
            <w:r w:rsidRPr="002A0A4E">
              <w:rPr>
                <w:rFonts w:cs="Times New Roman"/>
                <w:color w:val="000000"/>
                <w:sz w:val="20"/>
                <w:szCs w:val="20"/>
                <w:lang w:val="en-GB" w:eastAsia="tr-TR"/>
              </w:rPr>
              <w:t>Non-Agriculture</w:t>
            </w:r>
          </w:p>
        </w:tc>
      </w:tr>
      <w:tr w:rsidR="006F292A" w:rsidRPr="002A0A4E" w:rsidTr="006F292A">
        <w:trPr>
          <w:trHeight w:val="157"/>
        </w:trPr>
        <w:tc>
          <w:tcPr>
            <w:tcW w:w="584" w:type="dxa"/>
            <w:tcBorders>
              <w:top w:val="single" w:sz="8" w:space="0" w:color="auto"/>
              <w:left w:val="single" w:sz="8" w:space="0" w:color="auto"/>
              <w:bottom w:val="nil"/>
              <w:right w:val="single" w:sz="8" w:space="0" w:color="auto"/>
            </w:tcBorders>
            <w:shd w:val="clear" w:color="auto" w:fill="auto"/>
            <w:noWrap/>
            <w:vAlign w:val="bottom"/>
            <w:hideMark/>
          </w:tcPr>
          <w:p w:rsidR="006F292A" w:rsidRPr="002A0A4E" w:rsidRDefault="006F292A" w:rsidP="006F292A">
            <w:pPr>
              <w:suppressAutoHyphens w:val="0"/>
              <w:spacing w:after="0" w:line="240" w:lineRule="auto"/>
              <w:jc w:val="left"/>
              <w:rPr>
                <w:rFonts w:cs="Times New Roman"/>
                <w:color w:val="000000"/>
                <w:sz w:val="20"/>
                <w:szCs w:val="20"/>
                <w:lang w:val="en-GB" w:eastAsia="tr-TR"/>
              </w:rPr>
            </w:pPr>
            <w:r w:rsidRPr="002A0A4E">
              <w:rPr>
                <w:rFonts w:cs="Times New Roman"/>
                <w:color w:val="000000"/>
                <w:sz w:val="20"/>
                <w:szCs w:val="20"/>
                <w:lang w:val="en-GB" w:eastAsia="tr-TR"/>
              </w:rPr>
              <w:t>2014</w:t>
            </w:r>
          </w:p>
        </w:tc>
        <w:tc>
          <w:tcPr>
            <w:tcW w:w="1173" w:type="dxa"/>
            <w:tcBorders>
              <w:top w:val="nil"/>
              <w:left w:val="nil"/>
              <w:bottom w:val="nil"/>
              <w:right w:val="nil"/>
            </w:tcBorders>
            <w:shd w:val="clear" w:color="auto" w:fill="auto"/>
            <w:noWrap/>
            <w:vAlign w:val="bottom"/>
            <w:hideMark/>
          </w:tcPr>
          <w:p w:rsidR="006F292A" w:rsidRPr="002A0A4E" w:rsidRDefault="006F292A" w:rsidP="006F292A">
            <w:pPr>
              <w:suppressAutoHyphens w:val="0"/>
              <w:spacing w:after="0" w:line="240" w:lineRule="auto"/>
              <w:jc w:val="center"/>
              <w:rPr>
                <w:rFonts w:cs="Times New Roman"/>
                <w:sz w:val="20"/>
                <w:szCs w:val="20"/>
                <w:lang w:val="en-GB" w:eastAsia="tr-TR"/>
              </w:rPr>
            </w:pPr>
            <w:r w:rsidRPr="002A0A4E">
              <w:rPr>
                <w:rFonts w:cs="Times New Roman"/>
                <w:sz w:val="20"/>
                <w:szCs w:val="20"/>
                <w:lang w:val="en-GB" w:eastAsia="tr-TR"/>
              </w:rPr>
              <w:t>82.42</w:t>
            </w:r>
          </w:p>
        </w:tc>
        <w:tc>
          <w:tcPr>
            <w:tcW w:w="1173" w:type="dxa"/>
            <w:tcBorders>
              <w:top w:val="nil"/>
              <w:left w:val="nil"/>
              <w:bottom w:val="nil"/>
              <w:right w:val="nil"/>
            </w:tcBorders>
            <w:shd w:val="clear" w:color="auto" w:fill="auto"/>
            <w:noWrap/>
            <w:vAlign w:val="bottom"/>
            <w:hideMark/>
          </w:tcPr>
          <w:p w:rsidR="006F292A" w:rsidRPr="002A0A4E" w:rsidRDefault="006F292A" w:rsidP="006F292A">
            <w:pPr>
              <w:suppressAutoHyphens w:val="0"/>
              <w:spacing w:after="0" w:line="240" w:lineRule="auto"/>
              <w:jc w:val="center"/>
              <w:rPr>
                <w:rFonts w:cs="Times New Roman"/>
                <w:sz w:val="20"/>
                <w:szCs w:val="20"/>
                <w:lang w:val="en-GB" w:eastAsia="tr-TR"/>
              </w:rPr>
            </w:pPr>
            <w:r w:rsidRPr="002A0A4E">
              <w:rPr>
                <w:rFonts w:cs="Times New Roman"/>
                <w:sz w:val="20"/>
                <w:szCs w:val="20"/>
                <w:lang w:val="en-GB" w:eastAsia="tr-TR"/>
              </w:rPr>
              <w:t>17.49</w:t>
            </w:r>
          </w:p>
        </w:tc>
        <w:tc>
          <w:tcPr>
            <w:tcW w:w="1173" w:type="dxa"/>
            <w:tcBorders>
              <w:top w:val="nil"/>
              <w:left w:val="single" w:sz="8" w:space="0" w:color="auto"/>
              <w:bottom w:val="nil"/>
              <w:right w:val="nil"/>
            </w:tcBorders>
            <w:shd w:val="clear" w:color="auto" w:fill="auto"/>
            <w:noWrap/>
            <w:vAlign w:val="bottom"/>
            <w:hideMark/>
          </w:tcPr>
          <w:p w:rsidR="006F292A" w:rsidRPr="002A0A4E" w:rsidRDefault="006F292A" w:rsidP="006F292A">
            <w:pPr>
              <w:suppressAutoHyphens w:val="0"/>
              <w:spacing w:after="0" w:line="240" w:lineRule="auto"/>
              <w:jc w:val="center"/>
              <w:rPr>
                <w:rFonts w:cs="Times New Roman"/>
                <w:sz w:val="20"/>
                <w:szCs w:val="20"/>
                <w:lang w:val="en-GB" w:eastAsia="tr-TR"/>
              </w:rPr>
            </w:pPr>
            <w:r w:rsidRPr="002A0A4E">
              <w:rPr>
                <w:rFonts w:cs="Times New Roman"/>
                <w:sz w:val="20"/>
                <w:szCs w:val="20"/>
                <w:lang w:val="en-GB" w:eastAsia="tr-TR"/>
              </w:rPr>
              <w:t>49.06</w:t>
            </w:r>
          </w:p>
        </w:tc>
        <w:tc>
          <w:tcPr>
            <w:tcW w:w="1173" w:type="dxa"/>
            <w:tcBorders>
              <w:top w:val="nil"/>
              <w:left w:val="nil"/>
              <w:bottom w:val="nil"/>
              <w:right w:val="single" w:sz="8" w:space="0" w:color="auto"/>
            </w:tcBorders>
            <w:shd w:val="clear" w:color="auto" w:fill="auto"/>
            <w:noWrap/>
            <w:vAlign w:val="bottom"/>
            <w:hideMark/>
          </w:tcPr>
          <w:p w:rsidR="006F292A" w:rsidRPr="002A0A4E" w:rsidRDefault="006F292A" w:rsidP="006F292A">
            <w:pPr>
              <w:suppressAutoHyphens w:val="0"/>
              <w:spacing w:after="0" w:line="240" w:lineRule="auto"/>
              <w:jc w:val="center"/>
              <w:rPr>
                <w:rFonts w:cs="Times New Roman"/>
                <w:color w:val="000000"/>
                <w:sz w:val="20"/>
                <w:szCs w:val="20"/>
                <w:lang w:val="en-GB" w:eastAsia="tr-TR"/>
              </w:rPr>
            </w:pPr>
            <w:r w:rsidRPr="002A0A4E">
              <w:rPr>
                <w:rFonts w:cs="Times New Roman"/>
                <w:color w:val="000000"/>
                <w:sz w:val="20"/>
                <w:szCs w:val="20"/>
                <w:lang w:val="en-GB" w:eastAsia="tr-TR"/>
              </w:rPr>
              <w:t>13.11</w:t>
            </w:r>
          </w:p>
        </w:tc>
        <w:tc>
          <w:tcPr>
            <w:tcW w:w="1173" w:type="dxa"/>
            <w:tcBorders>
              <w:top w:val="nil"/>
              <w:left w:val="nil"/>
              <w:bottom w:val="nil"/>
              <w:right w:val="nil"/>
            </w:tcBorders>
            <w:shd w:val="clear" w:color="auto" w:fill="auto"/>
            <w:noWrap/>
            <w:vAlign w:val="bottom"/>
            <w:hideMark/>
          </w:tcPr>
          <w:p w:rsidR="006F292A" w:rsidRPr="002A0A4E" w:rsidRDefault="006F292A" w:rsidP="006F292A">
            <w:pPr>
              <w:suppressAutoHyphens w:val="0"/>
              <w:spacing w:after="0" w:line="240" w:lineRule="auto"/>
              <w:jc w:val="center"/>
              <w:rPr>
                <w:rFonts w:cs="Times New Roman"/>
                <w:color w:val="000000"/>
                <w:sz w:val="20"/>
                <w:szCs w:val="20"/>
                <w:lang w:val="en-GB" w:eastAsia="tr-TR"/>
              </w:rPr>
            </w:pPr>
            <w:r w:rsidRPr="002A0A4E">
              <w:rPr>
                <w:rFonts w:cs="Times New Roman"/>
                <w:color w:val="000000"/>
                <w:sz w:val="20"/>
                <w:szCs w:val="20"/>
                <w:lang w:val="en-GB" w:eastAsia="tr-TR"/>
              </w:rPr>
              <w:t>70.68</w:t>
            </w:r>
          </w:p>
        </w:tc>
        <w:tc>
          <w:tcPr>
            <w:tcW w:w="1173" w:type="dxa"/>
            <w:tcBorders>
              <w:top w:val="nil"/>
              <w:left w:val="nil"/>
              <w:bottom w:val="nil"/>
              <w:right w:val="single" w:sz="8" w:space="0" w:color="auto"/>
            </w:tcBorders>
            <w:shd w:val="clear" w:color="auto" w:fill="auto"/>
            <w:noWrap/>
            <w:vAlign w:val="bottom"/>
            <w:hideMark/>
          </w:tcPr>
          <w:p w:rsidR="006F292A" w:rsidRPr="002A0A4E" w:rsidRDefault="006F292A" w:rsidP="006F292A">
            <w:pPr>
              <w:suppressAutoHyphens w:val="0"/>
              <w:spacing w:after="0" w:line="240" w:lineRule="auto"/>
              <w:jc w:val="center"/>
              <w:rPr>
                <w:rFonts w:cs="Times New Roman"/>
                <w:color w:val="000000"/>
                <w:sz w:val="20"/>
                <w:szCs w:val="20"/>
                <w:lang w:val="en-GB" w:eastAsia="tr-TR"/>
              </w:rPr>
            </w:pPr>
            <w:r w:rsidRPr="002A0A4E">
              <w:rPr>
                <w:rFonts w:cs="Times New Roman"/>
                <w:color w:val="000000"/>
                <w:sz w:val="20"/>
                <w:szCs w:val="20"/>
                <w:lang w:val="en-GB" w:eastAsia="tr-TR"/>
              </w:rPr>
              <w:t>51.58</w:t>
            </w:r>
          </w:p>
        </w:tc>
        <w:tc>
          <w:tcPr>
            <w:tcW w:w="1173" w:type="dxa"/>
            <w:tcBorders>
              <w:top w:val="nil"/>
              <w:left w:val="nil"/>
              <w:bottom w:val="nil"/>
              <w:right w:val="nil"/>
            </w:tcBorders>
            <w:shd w:val="clear" w:color="auto" w:fill="auto"/>
            <w:noWrap/>
            <w:vAlign w:val="bottom"/>
            <w:hideMark/>
          </w:tcPr>
          <w:p w:rsidR="006F292A" w:rsidRPr="002A0A4E" w:rsidRDefault="006F292A" w:rsidP="006F292A">
            <w:pPr>
              <w:suppressAutoHyphens w:val="0"/>
              <w:spacing w:after="0" w:line="240" w:lineRule="auto"/>
              <w:jc w:val="center"/>
              <w:rPr>
                <w:rFonts w:cs="Times New Roman"/>
                <w:color w:val="000000"/>
                <w:sz w:val="20"/>
                <w:szCs w:val="20"/>
                <w:lang w:val="en-GB" w:eastAsia="tr-TR"/>
              </w:rPr>
            </w:pPr>
            <w:r w:rsidRPr="002A0A4E">
              <w:rPr>
                <w:rFonts w:cs="Times New Roman"/>
                <w:color w:val="000000"/>
                <w:sz w:val="20"/>
                <w:szCs w:val="20"/>
                <w:lang w:val="en-GB" w:eastAsia="tr-TR"/>
              </w:rPr>
              <w:t>92.50</w:t>
            </w:r>
          </w:p>
        </w:tc>
        <w:tc>
          <w:tcPr>
            <w:tcW w:w="1173" w:type="dxa"/>
            <w:tcBorders>
              <w:top w:val="nil"/>
              <w:left w:val="nil"/>
              <w:bottom w:val="nil"/>
              <w:right w:val="single" w:sz="8" w:space="0" w:color="auto"/>
            </w:tcBorders>
            <w:shd w:val="clear" w:color="auto" w:fill="auto"/>
            <w:noWrap/>
            <w:vAlign w:val="bottom"/>
            <w:hideMark/>
          </w:tcPr>
          <w:p w:rsidR="006F292A" w:rsidRPr="002A0A4E" w:rsidRDefault="006F292A" w:rsidP="006F292A">
            <w:pPr>
              <w:suppressAutoHyphens w:val="0"/>
              <w:spacing w:after="0" w:line="240" w:lineRule="auto"/>
              <w:jc w:val="center"/>
              <w:rPr>
                <w:rFonts w:cs="Times New Roman"/>
                <w:color w:val="000000"/>
                <w:sz w:val="20"/>
                <w:szCs w:val="20"/>
                <w:lang w:val="en-GB" w:eastAsia="tr-TR"/>
              </w:rPr>
            </w:pPr>
            <w:r w:rsidRPr="002A0A4E">
              <w:rPr>
                <w:rFonts w:cs="Times New Roman"/>
                <w:color w:val="000000"/>
                <w:sz w:val="20"/>
                <w:szCs w:val="20"/>
                <w:lang w:val="en-GB" w:eastAsia="tr-TR"/>
              </w:rPr>
              <w:t>71.66</w:t>
            </w:r>
          </w:p>
        </w:tc>
      </w:tr>
      <w:tr w:rsidR="006F292A" w:rsidRPr="002A0A4E" w:rsidTr="006F292A">
        <w:trPr>
          <w:trHeight w:val="157"/>
        </w:trPr>
        <w:tc>
          <w:tcPr>
            <w:tcW w:w="584" w:type="dxa"/>
            <w:tcBorders>
              <w:top w:val="nil"/>
              <w:left w:val="single" w:sz="8" w:space="0" w:color="auto"/>
              <w:bottom w:val="nil"/>
              <w:right w:val="single" w:sz="8" w:space="0" w:color="auto"/>
            </w:tcBorders>
            <w:shd w:val="clear" w:color="auto" w:fill="auto"/>
            <w:noWrap/>
            <w:vAlign w:val="bottom"/>
            <w:hideMark/>
          </w:tcPr>
          <w:p w:rsidR="006F292A" w:rsidRPr="002A0A4E" w:rsidRDefault="006F292A" w:rsidP="006F292A">
            <w:pPr>
              <w:suppressAutoHyphens w:val="0"/>
              <w:spacing w:after="0" w:line="240" w:lineRule="auto"/>
              <w:jc w:val="left"/>
              <w:rPr>
                <w:rFonts w:cs="Times New Roman"/>
                <w:color w:val="000000"/>
                <w:sz w:val="20"/>
                <w:szCs w:val="20"/>
                <w:lang w:val="en-GB" w:eastAsia="tr-TR"/>
              </w:rPr>
            </w:pPr>
            <w:r w:rsidRPr="002A0A4E">
              <w:rPr>
                <w:rFonts w:cs="Times New Roman"/>
                <w:color w:val="000000"/>
                <w:sz w:val="20"/>
                <w:szCs w:val="20"/>
                <w:lang w:val="en-GB" w:eastAsia="tr-TR"/>
              </w:rPr>
              <w:t>2015</w:t>
            </w:r>
          </w:p>
        </w:tc>
        <w:tc>
          <w:tcPr>
            <w:tcW w:w="1173" w:type="dxa"/>
            <w:tcBorders>
              <w:top w:val="nil"/>
              <w:left w:val="nil"/>
              <w:bottom w:val="nil"/>
              <w:right w:val="nil"/>
            </w:tcBorders>
            <w:shd w:val="clear" w:color="auto" w:fill="auto"/>
            <w:noWrap/>
            <w:vAlign w:val="bottom"/>
            <w:hideMark/>
          </w:tcPr>
          <w:p w:rsidR="006F292A" w:rsidRPr="002A0A4E" w:rsidRDefault="006F292A" w:rsidP="006F292A">
            <w:pPr>
              <w:suppressAutoHyphens w:val="0"/>
              <w:spacing w:after="0" w:line="240" w:lineRule="auto"/>
              <w:jc w:val="center"/>
              <w:rPr>
                <w:rFonts w:cs="Times New Roman"/>
                <w:sz w:val="20"/>
                <w:szCs w:val="20"/>
                <w:lang w:val="en-GB" w:eastAsia="tr-TR"/>
              </w:rPr>
            </w:pPr>
            <w:r w:rsidRPr="002A0A4E">
              <w:rPr>
                <w:rFonts w:cs="Times New Roman"/>
                <w:sz w:val="20"/>
                <w:szCs w:val="20"/>
                <w:lang w:val="en-GB" w:eastAsia="tr-TR"/>
              </w:rPr>
              <w:t>73.96</w:t>
            </w:r>
          </w:p>
        </w:tc>
        <w:tc>
          <w:tcPr>
            <w:tcW w:w="1173" w:type="dxa"/>
            <w:tcBorders>
              <w:top w:val="nil"/>
              <w:left w:val="nil"/>
              <w:bottom w:val="nil"/>
              <w:right w:val="nil"/>
            </w:tcBorders>
            <w:shd w:val="clear" w:color="auto" w:fill="auto"/>
            <w:noWrap/>
            <w:vAlign w:val="bottom"/>
            <w:hideMark/>
          </w:tcPr>
          <w:p w:rsidR="006F292A" w:rsidRPr="002A0A4E" w:rsidRDefault="006F292A" w:rsidP="006F292A">
            <w:pPr>
              <w:suppressAutoHyphens w:val="0"/>
              <w:spacing w:after="0" w:line="240" w:lineRule="auto"/>
              <w:jc w:val="center"/>
              <w:rPr>
                <w:rFonts w:cs="Times New Roman"/>
                <w:sz w:val="20"/>
                <w:szCs w:val="20"/>
                <w:lang w:val="en-GB" w:eastAsia="tr-TR"/>
              </w:rPr>
            </w:pPr>
            <w:r w:rsidRPr="002A0A4E">
              <w:rPr>
                <w:rFonts w:cs="Times New Roman"/>
                <w:sz w:val="20"/>
                <w:szCs w:val="20"/>
                <w:lang w:val="en-GB" w:eastAsia="tr-TR"/>
              </w:rPr>
              <w:t>16.40</w:t>
            </w:r>
          </w:p>
        </w:tc>
        <w:tc>
          <w:tcPr>
            <w:tcW w:w="1173" w:type="dxa"/>
            <w:tcBorders>
              <w:top w:val="nil"/>
              <w:left w:val="single" w:sz="8" w:space="0" w:color="auto"/>
              <w:bottom w:val="nil"/>
              <w:right w:val="nil"/>
            </w:tcBorders>
            <w:shd w:val="clear" w:color="auto" w:fill="auto"/>
            <w:noWrap/>
            <w:vAlign w:val="bottom"/>
            <w:hideMark/>
          </w:tcPr>
          <w:p w:rsidR="006F292A" w:rsidRPr="002A0A4E" w:rsidRDefault="006F292A" w:rsidP="006F292A">
            <w:pPr>
              <w:suppressAutoHyphens w:val="0"/>
              <w:spacing w:after="0" w:line="240" w:lineRule="auto"/>
              <w:jc w:val="center"/>
              <w:rPr>
                <w:rFonts w:cs="Times New Roman"/>
                <w:sz w:val="20"/>
                <w:szCs w:val="20"/>
                <w:lang w:val="en-GB" w:eastAsia="tr-TR"/>
              </w:rPr>
            </w:pPr>
            <w:r w:rsidRPr="002A0A4E">
              <w:rPr>
                <w:rFonts w:cs="Times New Roman"/>
                <w:sz w:val="20"/>
                <w:szCs w:val="20"/>
                <w:lang w:val="en-GB" w:eastAsia="tr-TR"/>
              </w:rPr>
              <w:t>43.75</w:t>
            </w:r>
          </w:p>
        </w:tc>
        <w:tc>
          <w:tcPr>
            <w:tcW w:w="1173" w:type="dxa"/>
            <w:tcBorders>
              <w:top w:val="nil"/>
              <w:left w:val="nil"/>
              <w:bottom w:val="nil"/>
              <w:right w:val="single" w:sz="8" w:space="0" w:color="auto"/>
            </w:tcBorders>
            <w:shd w:val="clear" w:color="auto" w:fill="auto"/>
            <w:noWrap/>
            <w:vAlign w:val="bottom"/>
            <w:hideMark/>
          </w:tcPr>
          <w:p w:rsidR="006F292A" w:rsidRPr="002A0A4E" w:rsidRDefault="006F292A" w:rsidP="006F292A">
            <w:pPr>
              <w:suppressAutoHyphens w:val="0"/>
              <w:spacing w:after="0" w:line="240" w:lineRule="auto"/>
              <w:jc w:val="center"/>
              <w:rPr>
                <w:rFonts w:cs="Times New Roman"/>
                <w:color w:val="000000"/>
                <w:sz w:val="20"/>
                <w:szCs w:val="20"/>
                <w:lang w:val="en-GB" w:eastAsia="tr-TR"/>
              </w:rPr>
            </w:pPr>
            <w:r w:rsidRPr="002A0A4E">
              <w:rPr>
                <w:rFonts w:cs="Times New Roman"/>
                <w:color w:val="000000"/>
                <w:sz w:val="20"/>
                <w:szCs w:val="20"/>
                <w:lang w:val="en-GB" w:eastAsia="tr-TR"/>
              </w:rPr>
              <w:t>11.62</w:t>
            </w:r>
          </w:p>
        </w:tc>
        <w:tc>
          <w:tcPr>
            <w:tcW w:w="1173" w:type="dxa"/>
            <w:tcBorders>
              <w:top w:val="nil"/>
              <w:left w:val="nil"/>
              <w:bottom w:val="nil"/>
              <w:right w:val="nil"/>
            </w:tcBorders>
            <w:shd w:val="clear" w:color="auto" w:fill="auto"/>
            <w:noWrap/>
            <w:vAlign w:val="bottom"/>
            <w:hideMark/>
          </w:tcPr>
          <w:p w:rsidR="006F292A" w:rsidRPr="002A0A4E" w:rsidRDefault="006F292A" w:rsidP="006F292A">
            <w:pPr>
              <w:suppressAutoHyphens w:val="0"/>
              <w:spacing w:after="0" w:line="240" w:lineRule="auto"/>
              <w:jc w:val="center"/>
              <w:rPr>
                <w:rFonts w:cs="Times New Roman"/>
                <w:color w:val="000000"/>
                <w:sz w:val="20"/>
                <w:szCs w:val="20"/>
                <w:lang w:val="en-GB" w:eastAsia="tr-TR"/>
              </w:rPr>
            </w:pPr>
            <w:r w:rsidRPr="002A0A4E">
              <w:rPr>
                <w:rFonts w:cs="Times New Roman"/>
                <w:color w:val="000000"/>
                <w:sz w:val="20"/>
                <w:szCs w:val="20"/>
                <w:lang w:val="en-GB" w:eastAsia="tr-TR"/>
              </w:rPr>
              <w:t>69.40</w:t>
            </w:r>
          </w:p>
        </w:tc>
        <w:tc>
          <w:tcPr>
            <w:tcW w:w="1173" w:type="dxa"/>
            <w:tcBorders>
              <w:top w:val="nil"/>
              <w:left w:val="nil"/>
              <w:bottom w:val="nil"/>
              <w:right w:val="single" w:sz="8" w:space="0" w:color="auto"/>
            </w:tcBorders>
            <w:shd w:val="clear" w:color="auto" w:fill="auto"/>
            <w:noWrap/>
            <w:vAlign w:val="bottom"/>
            <w:hideMark/>
          </w:tcPr>
          <w:p w:rsidR="006F292A" w:rsidRPr="002A0A4E" w:rsidRDefault="006F292A" w:rsidP="006F292A">
            <w:pPr>
              <w:suppressAutoHyphens w:val="0"/>
              <w:spacing w:after="0" w:line="240" w:lineRule="auto"/>
              <w:jc w:val="center"/>
              <w:rPr>
                <w:rFonts w:cs="Times New Roman"/>
                <w:color w:val="000000"/>
                <w:sz w:val="20"/>
                <w:szCs w:val="20"/>
                <w:lang w:val="en-GB" w:eastAsia="tr-TR"/>
              </w:rPr>
            </w:pPr>
            <w:r w:rsidRPr="002A0A4E">
              <w:rPr>
                <w:rFonts w:cs="Times New Roman"/>
                <w:color w:val="000000"/>
                <w:sz w:val="20"/>
                <w:szCs w:val="20"/>
                <w:lang w:val="en-GB" w:eastAsia="tr-TR"/>
              </w:rPr>
              <w:t>50.95</w:t>
            </w:r>
          </w:p>
        </w:tc>
        <w:tc>
          <w:tcPr>
            <w:tcW w:w="1173" w:type="dxa"/>
            <w:tcBorders>
              <w:top w:val="nil"/>
              <w:left w:val="nil"/>
              <w:bottom w:val="nil"/>
              <w:right w:val="nil"/>
            </w:tcBorders>
            <w:shd w:val="clear" w:color="auto" w:fill="auto"/>
            <w:noWrap/>
            <w:vAlign w:val="bottom"/>
            <w:hideMark/>
          </w:tcPr>
          <w:p w:rsidR="006F292A" w:rsidRPr="002A0A4E" w:rsidRDefault="006F292A" w:rsidP="006F292A">
            <w:pPr>
              <w:suppressAutoHyphens w:val="0"/>
              <w:spacing w:after="0" w:line="240" w:lineRule="auto"/>
              <w:jc w:val="center"/>
              <w:rPr>
                <w:rFonts w:cs="Times New Roman"/>
                <w:color w:val="000000"/>
                <w:sz w:val="20"/>
                <w:szCs w:val="20"/>
                <w:lang w:val="en-GB" w:eastAsia="tr-TR"/>
              </w:rPr>
            </w:pPr>
            <w:r w:rsidRPr="002A0A4E">
              <w:rPr>
                <w:rFonts w:cs="Times New Roman"/>
                <w:color w:val="000000"/>
                <w:sz w:val="20"/>
                <w:szCs w:val="20"/>
                <w:lang w:val="en-GB" w:eastAsia="tr-TR"/>
              </w:rPr>
              <w:t>93.38</w:t>
            </w:r>
          </w:p>
        </w:tc>
        <w:tc>
          <w:tcPr>
            <w:tcW w:w="1173" w:type="dxa"/>
            <w:tcBorders>
              <w:top w:val="nil"/>
              <w:left w:val="nil"/>
              <w:bottom w:val="nil"/>
              <w:right w:val="single" w:sz="8" w:space="0" w:color="auto"/>
            </w:tcBorders>
            <w:shd w:val="clear" w:color="auto" w:fill="auto"/>
            <w:noWrap/>
            <w:vAlign w:val="bottom"/>
            <w:hideMark/>
          </w:tcPr>
          <w:p w:rsidR="006F292A" w:rsidRPr="002A0A4E" w:rsidRDefault="006F292A" w:rsidP="006F292A">
            <w:pPr>
              <w:suppressAutoHyphens w:val="0"/>
              <w:spacing w:after="0" w:line="240" w:lineRule="auto"/>
              <w:jc w:val="center"/>
              <w:rPr>
                <w:rFonts w:cs="Times New Roman"/>
                <w:color w:val="000000"/>
                <w:sz w:val="20"/>
                <w:szCs w:val="20"/>
                <w:lang w:val="en-GB" w:eastAsia="tr-TR"/>
              </w:rPr>
            </w:pPr>
            <w:r w:rsidRPr="002A0A4E">
              <w:rPr>
                <w:rFonts w:cs="Times New Roman"/>
                <w:color w:val="000000"/>
                <w:sz w:val="20"/>
                <w:szCs w:val="20"/>
                <w:lang w:val="en-GB" w:eastAsia="tr-TR"/>
              </w:rPr>
              <w:t>72.47</w:t>
            </w:r>
          </w:p>
        </w:tc>
      </w:tr>
      <w:tr w:rsidR="006F292A" w:rsidRPr="002A0A4E" w:rsidTr="006F292A">
        <w:trPr>
          <w:trHeight w:val="165"/>
        </w:trPr>
        <w:tc>
          <w:tcPr>
            <w:tcW w:w="584" w:type="dxa"/>
            <w:tcBorders>
              <w:top w:val="nil"/>
              <w:left w:val="single" w:sz="8" w:space="0" w:color="auto"/>
              <w:bottom w:val="single" w:sz="8" w:space="0" w:color="auto"/>
              <w:right w:val="single" w:sz="8" w:space="0" w:color="auto"/>
            </w:tcBorders>
            <w:shd w:val="clear" w:color="auto" w:fill="auto"/>
            <w:noWrap/>
            <w:vAlign w:val="bottom"/>
            <w:hideMark/>
          </w:tcPr>
          <w:p w:rsidR="006F292A" w:rsidRPr="002A0A4E" w:rsidRDefault="006F292A" w:rsidP="006F292A">
            <w:pPr>
              <w:suppressAutoHyphens w:val="0"/>
              <w:spacing w:after="0" w:line="240" w:lineRule="auto"/>
              <w:jc w:val="left"/>
              <w:rPr>
                <w:rFonts w:cs="Times New Roman"/>
                <w:color w:val="000000"/>
                <w:sz w:val="20"/>
                <w:szCs w:val="20"/>
                <w:lang w:val="en-GB" w:eastAsia="tr-TR"/>
              </w:rPr>
            </w:pPr>
            <w:r w:rsidRPr="002A0A4E">
              <w:rPr>
                <w:rFonts w:cs="Times New Roman"/>
                <w:color w:val="000000"/>
                <w:sz w:val="20"/>
                <w:szCs w:val="20"/>
                <w:lang w:val="en-GB" w:eastAsia="tr-TR"/>
              </w:rPr>
              <w:t>2016</w:t>
            </w:r>
          </w:p>
        </w:tc>
        <w:tc>
          <w:tcPr>
            <w:tcW w:w="1173" w:type="dxa"/>
            <w:tcBorders>
              <w:top w:val="nil"/>
              <w:left w:val="nil"/>
              <w:bottom w:val="single" w:sz="8" w:space="0" w:color="auto"/>
              <w:right w:val="nil"/>
            </w:tcBorders>
            <w:shd w:val="clear" w:color="auto" w:fill="auto"/>
            <w:noWrap/>
            <w:vAlign w:val="bottom"/>
            <w:hideMark/>
          </w:tcPr>
          <w:p w:rsidR="006F292A" w:rsidRPr="002A0A4E" w:rsidRDefault="006F292A" w:rsidP="006F292A">
            <w:pPr>
              <w:suppressAutoHyphens w:val="0"/>
              <w:spacing w:after="0" w:line="240" w:lineRule="auto"/>
              <w:jc w:val="center"/>
              <w:rPr>
                <w:rFonts w:cs="Times New Roman"/>
                <w:sz w:val="20"/>
                <w:szCs w:val="20"/>
                <w:lang w:val="en-GB" w:eastAsia="tr-TR"/>
              </w:rPr>
            </w:pPr>
            <w:r w:rsidRPr="002A0A4E">
              <w:rPr>
                <w:rFonts w:cs="Times New Roman"/>
                <w:sz w:val="20"/>
                <w:szCs w:val="20"/>
                <w:lang w:val="en-GB" w:eastAsia="tr-TR"/>
              </w:rPr>
              <w:t>77.74</w:t>
            </w:r>
          </w:p>
        </w:tc>
        <w:tc>
          <w:tcPr>
            <w:tcW w:w="1173" w:type="dxa"/>
            <w:tcBorders>
              <w:top w:val="nil"/>
              <w:left w:val="nil"/>
              <w:bottom w:val="single" w:sz="8" w:space="0" w:color="auto"/>
              <w:right w:val="nil"/>
            </w:tcBorders>
            <w:shd w:val="clear" w:color="auto" w:fill="auto"/>
            <w:noWrap/>
            <w:vAlign w:val="bottom"/>
            <w:hideMark/>
          </w:tcPr>
          <w:p w:rsidR="006F292A" w:rsidRPr="002A0A4E" w:rsidRDefault="006F292A" w:rsidP="006F292A">
            <w:pPr>
              <w:suppressAutoHyphens w:val="0"/>
              <w:spacing w:after="0" w:line="240" w:lineRule="auto"/>
              <w:jc w:val="center"/>
              <w:rPr>
                <w:rFonts w:cs="Times New Roman"/>
                <w:sz w:val="20"/>
                <w:szCs w:val="20"/>
                <w:lang w:val="en-GB" w:eastAsia="tr-TR"/>
              </w:rPr>
            </w:pPr>
            <w:r w:rsidRPr="002A0A4E">
              <w:rPr>
                <w:rFonts w:cs="Times New Roman"/>
                <w:sz w:val="20"/>
                <w:szCs w:val="20"/>
                <w:lang w:val="en-GB" w:eastAsia="tr-TR"/>
              </w:rPr>
              <w:t>16.38</w:t>
            </w:r>
          </w:p>
        </w:tc>
        <w:tc>
          <w:tcPr>
            <w:tcW w:w="1173" w:type="dxa"/>
            <w:tcBorders>
              <w:top w:val="nil"/>
              <w:left w:val="single" w:sz="8" w:space="0" w:color="auto"/>
              <w:bottom w:val="single" w:sz="8" w:space="0" w:color="auto"/>
              <w:right w:val="nil"/>
            </w:tcBorders>
            <w:shd w:val="clear" w:color="auto" w:fill="auto"/>
            <w:noWrap/>
            <w:vAlign w:val="bottom"/>
            <w:hideMark/>
          </w:tcPr>
          <w:p w:rsidR="006F292A" w:rsidRPr="002A0A4E" w:rsidRDefault="006F292A" w:rsidP="006F292A">
            <w:pPr>
              <w:suppressAutoHyphens w:val="0"/>
              <w:spacing w:after="0" w:line="240" w:lineRule="auto"/>
              <w:jc w:val="center"/>
              <w:rPr>
                <w:rFonts w:cs="Times New Roman"/>
                <w:sz w:val="20"/>
                <w:szCs w:val="20"/>
                <w:lang w:val="en-GB" w:eastAsia="tr-TR"/>
              </w:rPr>
            </w:pPr>
            <w:r w:rsidRPr="002A0A4E">
              <w:rPr>
                <w:rFonts w:cs="Times New Roman"/>
                <w:sz w:val="20"/>
                <w:szCs w:val="20"/>
                <w:lang w:val="en-GB" w:eastAsia="tr-TR"/>
              </w:rPr>
              <w:t>42.59</w:t>
            </w:r>
          </w:p>
        </w:tc>
        <w:tc>
          <w:tcPr>
            <w:tcW w:w="1173" w:type="dxa"/>
            <w:tcBorders>
              <w:top w:val="nil"/>
              <w:left w:val="nil"/>
              <w:bottom w:val="single" w:sz="8" w:space="0" w:color="auto"/>
              <w:right w:val="single" w:sz="8" w:space="0" w:color="auto"/>
            </w:tcBorders>
            <w:shd w:val="clear" w:color="auto" w:fill="auto"/>
            <w:noWrap/>
            <w:vAlign w:val="bottom"/>
            <w:hideMark/>
          </w:tcPr>
          <w:p w:rsidR="006F292A" w:rsidRPr="002A0A4E" w:rsidRDefault="006F292A" w:rsidP="006F292A">
            <w:pPr>
              <w:suppressAutoHyphens w:val="0"/>
              <w:spacing w:after="0" w:line="240" w:lineRule="auto"/>
              <w:jc w:val="center"/>
              <w:rPr>
                <w:rFonts w:cs="Times New Roman"/>
                <w:color w:val="000000"/>
                <w:sz w:val="20"/>
                <w:szCs w:val="20"/>
                <w:lang w:val="en-GB" w:eastAsia="tr-TR"/>
              </w:rPr>
            </w:pPr>
            <w:r w:rsidRPr="002A0A4E">
              <w:rPr>
                <w:rFonts w:cs="Times New Roman"/>
                <w:color w:val="000000"/>
                <w:sz w:val="20"/>
                <w:szCs w:val="20"/>
                <w:lang w:val="en-GB" w:eastAsia="tr-TR"/>
              </w:rPr>
              <w:t>14.68</w:t>
            </w:r>
          </w:p>
        </w:tc>
        <w:tc>
          <w:tcPr>
            <w:tcW w:w="1173" w:type="dxa"/>
            <w:tcBorders>
              <w:top w:val="nil"/>
              <w:left w:val="nil"/>
              <w:bottom w:val="single" w:sz="8" w:space="0" w:color="auto"/>
              <w:right w:val="nil"/>
            </w:tcBorders>
            <w:shd w:val="clear" w:color="auto" w:fill="auto"/>
            <w:noWrap/>
            <w:vAlign w:val="bottom"/>
            <w:hideMark/>
          </w:tcPr>
          <w:p w:rsidR="006F292A" w:rsidRPr="002A0A4E" w:rsidRDefault="006F292A" w:rsidP="006F292A">
            <w:pPr>
              <w:suppressAutoHyphens w:val="0"/>
              <w:spacing w:after="0" w:line="240" w:lineRule="auto"/>
              <w:jc w:val="center"/>
              <w:rPr>
                <w:rFonts w:cs="Times New Roman"/>
                <w:color w:val="000000"/>
                <w:sz w:val="20"/>
                <w:szCs w:val="20"/>
                <w:lang w:val="en-GB" w:eastAsia="tr-TR"/>
              </w:rPr>
            </w:pPr>
            <w:r w:rsidRPr="002A0A4E">
              <w:rPr>
                <w:rFonts w:cs="Times New Roman"/>
                <w:color w:val="000000"/>
                <w:sz w:val="20"/>
                <w:szCs w:val="20"/>
                <w:lang w:val="en-GB" w:eastAsia="tr-TR"/>
              </w:rPr>
              <w:t>70.90</w:t>
            </w:r>
          </w:p>
        </w:tc>
        <w:tc>
          <w:tcPr>
            <w:tcW w:w="1173" w:type="dxa"/>
            <w:tcBorders>
              <w:top w:val="nil"/>
              <w:left w:val="nil"/>
              <w:bottom w:val="single" w:sz="8" w:space="0" w:color="auto"/>
              <w:right w:val="single" w:sz="8" w:space="0" w:color="auto"/>
            </w:tcBorders>
            <w:shd w:val="clear" w:color="auto" w:fill="auto"/>
            <w:noWrap/>
            <w:vAlign w:val="bottom"/>
            <w:hideMark/>
          </w:tcPr>
          <w:p w:rsidR="006F292A" w:rsidRPr="002A0A4E" w:rsidRDefault="006F292A" w:rsidP="006F292A">
            <w:pPr>
              <w:suppressAutoHyphens w:val="0"/>
              <w:spacing w:after="0" w:line="240" w:lineRule="auto"/>
              <w:jc w:val="center"/>
              <w:rPr>
                <w:rFonts w:cs="Times New Roman"/>
                <w:color w:val="000000"/>
                <w:sz w:val="20"/>
                <w:szCs w:val="20"/>
                <w:lang w:val="en-GB" w:eastAsia="tr-TR"/>
              </w:rPr>
            </w:pPr>
            <w:r w:rsidRPr="002A0A4E">
              <w:rPr>
                <w:rFonts w:cs="Times New Roman"/>
                <w:color w:val="000000"/>
                <w:sz w:val="20"/>
                <w:szCs w:val="20"/>
                <w:lang w:val="en-GB" w:eastAsia="tr-TR"/>
              </w:rPr>
              <w:t>53.09</w:t>
            </w:r>
          </w:p>
        </w:tc>
        <w:tc>
          <w:tcPr>
            <w:tcW w:w="1173" w:type="dxa"/>
            <w:tcBorders>
              <w:top w:val="nil"/>
              <w:left w:val="nil"/>
              <w:bottom w:val="single" w:sz="8" w:space="0" w:color="auto"/>
              <w:right w:val="nil"/>
            </w:tcBorders>
            <w:shd w:val="clear" w:color="auto" w:fill="auto"/>
            <w:noWrap/>
            <w:vAlign w:val="bottom"/>
            <w:hideMark/>
          </w:tcPr>
          <w:p w:rsidR="006F292A" w:rsidRPr="002A0A4E" w:rsidRDefault="006F292A" w:rsidP="006F292A">
            <w:pPr>
              <w:suppressAutoHyphens w:val="0"/>
              <w:spacing w:after="0" w:line="240" w:lineRule="auto"/>
              <w:jc w:val="center"/>
              <w:rPr>
                <w:rFonts w:cs="Times New Roman"/>
                <w:color w:val="000000"/>
                <w:sz w:val="20"/>
                <w:szCs w:val="20"/>
                <w:lang w:val="en-GB" w:eastAsia="tr-TR"/>
              </w:rPr>
            </w:pPr>
            <w:r w:rsidRPr="002A0A4E">
              <w:rPr>
                <w:rFonts w:cs="Times New Roman"/>
                <w:color w:val="000000"/>
                <w:sz w:val="20"/>
                <w:szCs w:val="20"/>
                <w:lang w:val="en-GB" w:eastAsia="tr-TR"/>
              </w:rPr>
              <w:t>93.60</w:t>
            </w:r>
          </w:p>
        </w:tc>
        <w:tc>
          <w:tcPr>
            <w:tcW w:w="1173" w:type="dxa"/>
            <w:tcBorders>
              <w:top w:val="nil"/>
              <w:left w:val="nil"/>
              <w:bottom w:val="single" w:sz="8" w:space="0" w:color="auto"/>
              <w:right w:val="single" w:sz="8" w:space="0" w:color="auto"/>
            </w:tcBorders>
            <w:shd w:val="clear" w:color="auto" w:fill="auto"/>
            <w:noWrap/>
            <w:vAlign w:val="bottom"/>
            <w:hideMark/>
          </w:tcPr>
          <w:p w:rsidR="006F292A" w:rsidRPr="002A0A4E" w:rsidRDefault="006F292A" w:rsidP="006F292A">
            <w:pPr>
              <w:suppressAutoHyphens w:val="0"/>
              <w:spacing w:after="0" w:line="240" w:lineRule="auto"/>
              <w:jc w:val="center"/>
              <w:rPr>
                <w:rFonts w:cs="Times New Roman"/>
                <w:color w:val="000000"/>
                <w:sz w:val="20"/>
                <w:szCs w:val="20"/>
                <w:lang w:val="en-GB" w:eastAsia="tr-TR"/>
              </w:rPr>
            </w:pPr>
            <w:r w:rsidRPr="002A0A4E">
              <w:rPr>
                <w:rFonts w:cs="Times New Roman"/>
                <w:color w:val="000000"/>
                <w:sz w:val="20"/>
                <w:szCs w:val="20"/>
                <w:lang w:val="en-GB" w:eastAsia="tr-TR"/>
              </w:rPr>
              <w:t>77.18</w:t>
            </w:r>
          </w:p>
        </w:tc>
      </w:tr>
    </w:tbl>
    <w:p w:rsidR="000A52AF" w:rsidRPr="009D7B6F" w:rsidRDefault="007C0B56" w:rsidP="000A52AF">
      <w:pPr>
        <w:rPr>
          <w:b/>
          <w:szCs w:val="22"/>
          <w:lang w:val="en-GB"/>
        </w:rPr>
      </w:pPr>
      <w:r w:rsidRPr="009D7B6F">
        <w:rPr>
          <w:b/>
          <w:szCs w:val="22"/>
          <w:lang w:val="en-GB"/>
        </w:rPr>
        <w:t>Tabl</w:t>
      </w:r>
      <w:r w:rsidR="0000193B">
        <w:rPr>
          <w:b/>
          <w:szCs w:val="22"/>
          <w:lang w:val="en-GB"/>
        </w:rPr>
        <w:t>e</w:t>
      </w:r>
      <w:r w:rsidR="00573D15">
        <w:rPr>
          <w:b/>
          <w:szCs w:val="22"/>
          <w:lang w:val="en-GB"/>
        </w:rPr>
        <w:t xml:space="preserve"> </w:t>
      </w:r>
      <w:r w:rsidR="001A19C9" w:rsidRPr="009D7B6F">
        <w:rPr>
          <w:b/>
          <w:szCs w:val="22"/>
          <w:lang w:val="en-GB"/>
        </w:rPr>
        <w:fldChar w:fldCharType="begin"/>
      </w:r>
      <w:r w:rsidR="003804AF" w:rsidRPr="009D7B6F">
        <w:rPr>
          <w:b/>
          <w:szCs w:val="22"/>
          <w:lang w:val="en-GB"/>
        </w:rPr>
        <w:instrText xml:space="preserve"> SEQ Tablo \* ARABIC </w:instrText>
      </w:r>
      <w:r w:rsidR="001A19C9" w:rsidRPr="009D7B6F">
        <w:rPr>
          <w:b/>
          <w:szCs w:val="22"/>
          <w:lang w:val="en-GB"/>
        </w:rPr>
        <w:fldChar w:fldCharType="separate"/>
      </w:r>
      <w:r w:rsidRPr="009D7B6F">
        <w:rPr>
          <w:b/>
          <w:szCs w:val="22"/>
          <w:lang w:val="en-GB"/>
        </w:rPr>
        <w:t>3</w:t>
      </w:r>
      <w:r w:rsidR="001A19C9" w:rsidRPr="009D7B6F">
        <w:rPr>
          <w:b/>
          <w:szCs w:val="22"/>
          <w:lang w:val="en-GB"/>
        </w:rPr>
        <w:fldChar w:fldCharType="end"/>
      </w:r>
      <w:r w:rsidRPr="009D7B6F">
        <w:rPr>
          <w:b/>
          <w:szCs w:val="22"/>
          <w:lang w:val="en-GB"/>
        </w:rPr>
        <w:t>:</w:t>
      </w:r>
      <w:r w:rsidR="001B3B71">
        <w:rPr>
          <w:b/>
          <w:szCs w:val="22"/>
          <w:lang w:val="en-GB"/>
        </w:rPr>
        <w:t xml:space="preserve"> </w:t>
      </w:r>
      <w:r w:rsidR="0000193B">
        <w:rPr>
          <w:b/>
          <w:szCs w:val="22"/>
          <w:lang w:val="en-GB"/>
        </w:rPr>
        <w:t>The agriculture and non-agricultural i</w:t>
      </w:r>
      <w:r w:rsidR="00474F25">
        <w:rPr>
          <w:b/>
          <w:szCs w:val="22"/>
          <w:lang w:val="en-GB"/>
        </w:rPr>
        <w:t>nformality rates</w:t>
      </w:r>
      <w:r w:rsidR="0000193B">
        <w:rPr>
          <w:b/>
          <w:szCs w:val="22"/>
          <w:lang w:val="en-GB"/>
        </w:rPr>
        <w:t xml:space="preserve"> of employees:</w:t>
      </w:r>
      <w:r w:rsidR="00B36C9E" w:rsidRPr="009D7B6F">
        <w:rPr>
          <w:b/>
          <w:szCs w:val="22"/>
          <w:lang w:val="en-GB"/>
        </w:rPr>
        <w:t xml:space="preserve"> 2014-2016</w:t>
      </w:r>
    </w:p>
    <w:p w:rsidR="00BE40E4" w:rsidRDefault="00BE40E4" w:rsidP="00BE40E4">
      <w:pPr>
        <w:pStyle w:val="NoSpacing"/>
        <w:rPr>
          <w:rFonts w:ascii="Palatino Linotype" w:hAnsi="Palatino Linotype"/>
          <w:sz w:val="20"/>
          <w:szCs w:val="20"/>
          <w:lang w:val="en-GB" w:eastAsia="tr-TR"/>
        </w:rPr>
      </w:pPr>
      <w:r>
        <w:rPr>
          <w:rFonts w:ascii="Palatino Linotype" w:hAnsi="Palatino Linotype"/>
          <w:b/>
          <w:sz w:val="20"/>
          <w:szCs w:val="20"/>
          <w:lang w:val="en-GB" w:eastAsia="tr-TR"/>
        </w:rPr>
        <w:t>Source</w:t>
      </w:r>
      <w:r w:rsidRPr="009D7B6F">
        <w:rPr>
          <w:rFonts w:ascii="Palatino Linotype" w:hAnsi="Palatino Linotype"/>
          <w:b/>
          <w:sz w:val="20"/>
          <w:szCs w:val="20"/>
          <w:lang w:val="en-GB" w:eastAsia="tr-TR"/>
        </w:rPr>
        <w:t xml:space="preserve">: </w:t>
      </w:r>
      <w:r w:rsidR="004B4EA4">
        <w:rPr>
          <w:rFonts w:ascii="Palatino Linotype" w:hAnsi="Palatino Linotype"/>
          <w:sz w:val="20"/>
          <w:szCs w:val="20"/>
          <w:lang w:val="en-GB" w:eastAsia="tr-TR"/>
        </w:rPr>
        <w:t xml:space="preserve">TurkStat HLFS </w:t>
      </w:r>
      <w:r w:rsidRPr="009D7B6F">
        <w:rPr>
          <w:rFonts w:ascii="Palatino Linotype" w:hAnsi="Palatino Linotype"/>
          <w:sz w:val="20"/>
          <w:szCs w:val="20"/>
          <w:lang w:val="en-GB" w:eastAsia="tr-TR"/>
        </w:rPr>
        <w:t xml:space="preserve">(http://www.tuik.gov.tr, </w:t>
      </w:r>
      <w:r w:rsidR="009A5BF4">
        <w:rPr>
          <w:rFonts w:ascii="Palatino Linotype" w:hAnsi="Palatino Linotype"/>
          <w:sz w:val="20"/>
          <w:szCs w:val="20"/>
          <w:lang w:val="en-GB" w:eastAsia="tr-TR"/>
        </w:rPr>
        <w:t xml:space="preserve">accessed on </w:t>
      </w:r>
      <w:r>
        <w:rPr>
          <w:rFonts w:ascii="Palatino Linotype" w:hAnsi="Palatino Linotype"/>
          <w:sz w:val="20"/>
          <w:szCs w:val="20"/>
          <w:lang w:val="en-GB" w:eastAsia="tr-TR"/>
        </w:rPr>
        <w:t>08</w:t>
      </w:r>
      <w:r w:rsidRPr="009D7B6F">
        <w:rPr>
          <w:rFonts w:ascii="Palatino Linotype" w:hAnsi="Palatino Linotype"/>
          <w:sz w:val="20"/>
          <w:szCs w:val="20"/>
          <w:lang w:val="en-GB" w:eastAsia="tr-TR"/>
        </w:rPr>
        <w:t>.</w:t>
      </w:r>
      <w:r>
        <w:rPr>
          <w:rFonts w:ascii="Palatino Linotype" w:hAnsi="Palatino Linotype"/>
          <w:sz w:val="20"/>
          <w:szCs w:val="20"/>
          <w:lang w:val="en-GB" w:eastAsia="tr-TR"/>
        </w:rPr>
        <w:t>01</w:t>
      </w:r>
      <w:r w:rsidRPr="009D7B6F">
        <w:rPr>
          <w:rFonts w:ascii="Palatino Linotype" w:hAnsi="Palatino Linotype"/>
          <w:sz w:val="20"/>
          <w:szCs w:val="20"/>
          <w:lang w:val="en-GB" w:eastAsia="tr-TR"/>
        </w:rPr>
        <w:t>.201</w:t>
      </w:r>
      <w:r>
        <w:rPr>
          <w:rFonts w:ascii="Palatino Linotype" w:hAnsi="Palatino Linotype"/>
          <w:sz w:val="20"/>
          <w:szCs w:val="20"/>
          <w:lang w:val="en-GB" w:eastAsia="tr-TR"/>
        </w:rPr>
        <w:t>8</w:t>
      </w:r>
      <w:r w:rsidRPr="009D7B6F">
        <w:rPr>
          <w:rFonts w:ascii="Palatino Linotype" w:hAnsi="Palatino Linotype"/>
          <w:sz w:val="20"/>
          <w:szCs w:val="20"/>
          <w:lang w:val="en-GB" w:eastAsia="tr-TR"/>
        </w:rPr>
        <w:t>)</w:t>
      </w:r>
    </w:p>
    <w:p w:rsidR="006F292A" w:rsidRDefault="006F292A" w:rsidP="00122161">
      <w:pPr>
        <w:keepNext/>
        <w:rPr>
          <w:szCs w:val="22"/>
          <w:lang w:val="en-GB"/>
        </w:rPr>
      </w:pPr>
    </w:p>
    <w:p w:rsidR="00B36C9E" w:rsidRPr="009D7B6F" w:rsidRDefault="0085016E" w:rsidP="00122161">
      <w:pPr>
        <w:keepNext/>
        <w:rPr>
          <w:b/>
          <w:szCs w:val="22"/>
          <w:lang w:val="en-GB"/>
        </w:rPr>
      </w:pPr>
      <w:r>
        <w:rPr>
          <w:b/>
          <w:szCs w:val="22"/>
          <w:lang w:val="en-GB"/>
        </w:rPr>
        <w:t>Wage earners periodical review</w:t>
      </w:r>
    </w:p>
    <w:p w:rsidR="0085016E" w:rsidRPr="009D7B6F" w:rsidRDefault="00054BF6" w:rsidP="006D3209">
      <w:pPr>
        <w:rPr>
          <w:szCs w:val="22"/>
          <w:lang w:val="en-GB" w:eastAsia="tr-TR"/>
        </w:rPr>
      </w:pPr>
      <w:r>
        <w:rPr>
          <w:szCs w:val="22"/>
          <w:lang w:val="en-GB" w:eastAsia="tr-TR"/>
        </w:rPr>
        <w:t>We stated that</w:t>
      </w:r>
      <w:r w:rsidR="00CA4D5A">
        <w:rPr>
          <w:szCs w:val="22"/>
          <w:lang w:val="en-GB" w:eastAsia="tr-TR"/>
        </w:rPr>
        <w:t xml:space="preserve"> for </w:t>
      </w:r>
      <w:r>
        <w:rPr>
          <w:szCs w:val="22"/>
          <w:lang w:val="en-GB" w:eastAsia="tr-TR"/>
        </w:rPr>
        <w:t xml:space="preserve">wage earners, decreases in the informality rates </w:t>
      </w:r>
      <w:r w:rsidR="00573D15">
        <w:rPr>
          <w:szCs w:val="22"/>
          <w:lang w:val="en-GB" w:eastAsia="tr-TR"/>
        </w:rPr>
        <w:t>decelerated</w:t>
      </w:r>
      <w:r>
        <w:rPr>
          <w:szCs w:val="22"/>
          <w:lang w:val="en-GB" w:eastAsia="tr-TR"/>
        </w:rPr>
        <w:t xml:space="preserve"> from 2015 to 2016. In agriculture</w:t>
      </w:r>
      <w:r w:rsidR="00573D15">
        <w:rPr>
          <w:szCs w:val="22"/>
          <w:lang w:val="en-GB" w:eastAsia="tr-TR"/>
        </w:rPr>
        <w:t>,</w:t>
      </w:r>
      <w:r>
        <w:rPr>
          <w:szCs w:val="22"/>
          <w:lang w:val="en-GB" w:eastAsia="tr-TR"/>
        </w:rPr>
        <w:t xml:space="preserve"> </w:t>
      </w:r>
      <w:r w:rsidR="00573D15">
        <w:rPr>
          <w:szCs w:val="22"/>
          <w:lang w:val="en-GB" w:eastAsia="tr-TR"/>
        </w:rPr>
        <w:t xml:space="preserve">where the ratios of both low-wage earners and informality is high, </w:t>
      </w:r>
      <w:r>
        <w:rPr>
          <w:szCs w:val="22"/>
          <w:lang w:val="en-GB" w:eastAsia="tr-TR"/>
        </w:rPr>
        <w:t>there is an important increase in informality from 73.9 percent to 77.9 percent while the informality rate of wage earners in non-agricultural sectors remains constant at 16.4 percent.</w:t>
      </w:r>
    </w:p>
    <w:p w:rsidR="00961C38" w:rsidRPr="009D7B6F" w:rsidRDefault="00573D15" w:rsidP="006D3209">
      <w:pPr>
        <w:rPr>
          <w:szCs w:val="22"/>
          <w:lang w:val="en-GB" w:eastAsia="tr-TR"/>
        </w:rPr>
      </w:pPr>
      <w:r>
        <w:rPr>
          <w:szCs w:val="22"/>
          <w:lang w:val="en-GB" w:eastAsia="tr-TR"/>
        </w:rPr>
        <w:t xml:space="preserve">We constructed Figure 2 to assess the effect of minimum wage hike on informality. It </w:t>
      </w:r>
      <w:r w:rsidR="00961C38">
        <w:rPr>
          <w:szCs w:val="22"/>
          <w:lang w:val="en-GB" w:eastAsia="tr-TR"/>
        </w:rPr>
        <w:t xml:space="preserve">shows the annual changes in the wage earners’ informality rates </w:t>
      </w:r>
      <w:r>
        <w:rPr>
          <w:szCs w:val="22"/>
          <w:lang w:val="en-GB" w:eastAsia="tr-TR"/>
        </w:rPr>
        <w:t>over years</w:t>
      </w:r>
      <w:r w:rsidR="00961C38">
        <w:rPr>
          <w:szCs w:val="22"/>
          <w:lang w:val="en-GB" w:eastAsia="tr-TR"/>
        </w:rPr>
        <w:t xml:space="preserve">.  </w:t>
      </w:r>
      <w:r>
        <w:rPr>
          <w:szCs w:val="22"/>
          <w:lang w:val="en-GB" w:eastAsia="tr-TR"/>
        </w:rPr>
        <w:t xml:space="preserve">A negative number implies a decrease in informality while a positive one means informality has increased compared to the same month of the previous year. </w:t>
      </w:r>
      <w:r w:rsidR="00961C38">
        <w:rPr>
          <w:szCs w:val="22"/>
          <w:lang w:val="en-GB" w:eastAsia="tr-TR"/>
        </w:rPr>
        <w:t xml:space="preserve">Firstly, </w:t>
      </w:r>
      <w:r>
        <w:rPr>
          <w:szCs w:val="22"/>
          <w:lang w:val="en-GB" w:eastAsia="tr-TR"/>
        </w:rPr>
        <w:t xml:space="preserve">comparing figures from different years we see that only </w:t>
      </w:r>
      <w:r w:rsidR="008C3912">
        <w:rPr>
          <w:szCs w:val="22"/>
          <w:lang w:val="en-GB" w:eastAsia="tr-TR"/>
        </w:rPr>
        <w:t xml:space="preserve">changes from 2015 to 2016 and from 2016 to 2017 in </w:t>
      </w:r>
      <w:r>
        <w:rPr>
          <w:szCs w:val="22"/>
          <w:lang w:val="en-GB" w:eastAsia="tr-TR"/>
        </w:rPr>
        <w:t>initial quarters</w:t>
      </w:r>
      <w:r w:rsidR="008C3912">
        <w:rPr>
          <w:szCs w:val="22"/>
          <w:lang w:val="en-GB" w:eastAsia="tr-TR"/>
        </w:rPr>
        <w:t xml:space="preserve"> are positive</w:t>
      </w:r>
      <w:r>
        <w:rPr>
          <w:szCs w:val="22"/>
          <w:lang w:val="en-GB" w:eastAsia="tr-TR"/>
        </w:rPr>
        <w:t xml:space="preserve">. </w:t>
      </w:r>
      <w:r w:rsidR="006C3B28">
        <w:rPr>
          <w:szCs w:val="22"/>
          <w:lang w:val="en-GB" w:eastAsia="tr-TR"/>
        </w:rPr>
        <w:t>It is</w:t>
      </w:r>
      <w:r w:rsidR="007E7A4B">
        <w:rPr>
          <w:szCs w:val="22"/>
          <w:lang w:val="en-GB" w:eastAsia="tr-TR"/>
        </w:rPr>
        <w:t xml:space="preserve"> understood that negative effect of </w:t>
      </w:r>
      <w:r w:rsidR="008C3912">
        <w:rPr>
          <w:szCs w:val="22"/>
          <w:lang w:val="en-GB" w:eastAsia="tr-TR"/>
        </w:rPr>
        <w:t xml:space="preserve">the </w:t>
      </w:r>
      <w:r w:rsidR="007E7A4B">
        <w:rPr>
          <w:szCs w:val="22"/>
          <w:lang w:val="en-GB" w:eastAsia="tr-TR"/>
        </w:rPr>
        <w:t xml:space="preserve">30 percent </w:t>
      </w:r>
      <w:r w:rsidR="008C3912">
        <w:rPr>
          <w:szCs w:val="22"/>
          <w:lang w:val="en-GB" w:eastAsia="tr-TR"/>
        </w:rPr>
        <w:t xml:space="preserve">rise in </w:t>
      </w:r>
      <w:r w:rsidR="007E7A4B">
        <w:rPr>
          <w:szCs w:val="22"/>
          <w:lang w:val="en-GB" w:eastAsia="tr-TR"/>
        </w:rPr>
        <w:t xml:space="preserve">minimum wage in January 2016 on </w:t>
      </w:r>
      <w:r w:rsidR="008C3912">
        <w:rPr>
          <w:szCs w:val="22"/>
          <w:lang w:val="en-GB" w:eastAsia="tr-TR"/>
        </w:rPr>
        <w:t>i</w:t>
      </w:r>
      <w:r w:rsidR="007E7A4B">
        <w:rPr>
          <w:szCs w:val="22"/>
          <w:lang w:val="en-GB" w:eastAsia="tr-TR"/>
        </w:rPr>
        <w:t xml:space="preserve">nformal employment is observed </w:t>
      </w:r>
      <w:r w:rsidR="008C3912">
        <w:rPr>
          <w:szCs w:val="22"/>
          <w:lang w:val="en-GB" w:eastAsia="tr-TR"/>
        </w:rPr>
        <w:t xml:space="preserve">mainly </w:t>
      </w:r>
      <w:r w:rsidR="007E7A4B">
        <w:rPr>
          <w:szCs w:val="22"/>
          <w:lang w:val="en-GB" w:eastAsia="tr-TR"/>
        </w:rPr>
        <w:t xml:space="preserve">in </w:t>
      </w:r>
      <w:r w:rsidR="008C3912">
        <w:rPr>
          <w:szCs w:val="22"/>
          <w:lang w:val="en-GB" w:eastAsia="tr-TR"/>
        </w:rPr>
        <w:t>initial</w:t>
      </w:r>
      <w:r w:rsidR="007E7A4B">
        <w:rPr>
          <w:szCs w:val="22"/>
          <w:lang w:val="en-GB" w:eastAsia="tr-TR"/>
        </w:rPr>
        <w:t xml:space="preserve"> periods</w:t>
      </w:r>
      <w:r w:rsidR="008C3912">
        <w:rPr>
          <w:szCs w:val="22"/>
          <w:lang w:val="en-GB" w:eastAsia="tr-TR"/>
        </w:rPr>
        <w:t xml:space="preserve"> for wage earners. In the following quarters, this effect vanishes. In</w:t>
      </w:r>
      <w:r w:rsidR="00816BBF">
        <w:rPr>
          <w:szCs w:val="22"/>
          <w:lang w:val="en-GB" w:eastAsia="tr-TR"/>
        </w:rPr>
        <w:t xml:space="preserve"> January 2017</w:t>
      </w:r>
      <w:r w:rsidR="008C3912">
        <w:rPr>
          <w:szCs w:val="22"/>
          <w:lang w:val="en-GB" w:eastAsia="tr-TR"/>
        </w:rPr>
        <w:t xml:space="preserve"> the</w:t>
      </w:r>
      <w:r w:rsidR="00816BBF">
        <w:rPr>
          <w:szCs w:val="22"/>
          <w:lang w:val="en-GB" w:eastAsia="tr-TR"/>
        </w:rPr>
        <w:t xml:space="preserve"> informality </w:t>
      </w:r>
      <w:r w:rsidR="008C3912">
        <w:rPr>
          <w:szCs w:val="22"/>
          <w:lang w:val="en-GB" w:eastAsia="tr-TR"/>
        </w:rPr>
        <w:t xml:space="preserve">rate </w:t>
      </w:r>
      <w:r w:rsidR="00816BBF">
        <w:rPr>
          <w:szCs w:val="22"/>
          <w:lang w:val="en-GB" w:eastAsia="tr-TR"/>
        </w:rPr>
        <w:t xml:space="preserve">is 0.6 percentage points higher </w:t>
      </w:r>
      <w:r w:rsidR="008C3912">
        <w:rPr>
          <w:szCs w:val="22"/>
          <w:lang w:val="en-GB" w:eastAsia="tr-TR"/>
        </w:rPr>
        <w:t>compared to</w:t>
      </w:r>
      <w:r w:rsidR="00816BBF">
        <w:rPr>
          <w:szCs w:val="22"/>
          <w:lang w:val="en-GB" w:eastAsia="tr-TR"/>
        </w:rPr>
        <w:t xml:space="preserve"> January 2016</w:t>
      </w:r>
      <w:r w:rsidR="008C3912">
        <w:rPr>
          <w:szCs w:val="22"/>
          <w:lang w:val="en-GB" w:eastAsia="tr-TR"/>
        </w:rPr>
        <w:t xml:space="preserve"> which means </w:t>
      </w:r>
      <w:r w:rsidR="00B33537">
        <w:rPr>
          <w:szCs w:val="22"/>
          <w:lang w:val="en-GB" w:eastAsia="tr-TR"/>
        </w:rPr>
        <w:t xml:space="preserve">the effect of </w:t>
      </w:r>
      <w:r w:rsidR="008C3912">
        <w:rPr>
          <w:szCs w:val="22"/>
          <w:lang w:val="en-GB" w:eastAsia="tr-TR"/>
        </w:rPr>
        <w:t xml:space="preserve">minimum wage shock on informality is still present in first months of 2017 </w:t>
      </w:r>
      <w:r w:rsidR="00B33537">
        <w:rPr>
          <w:szCs w:val="22"/>
          <w:lang w:val="en-GB" w:eastAsia="tr-TR"/>
        </w:rPr>
        <w:t>(Figure 2</w:t>
      </w:r>
      <w:r w:rsidR="00AD5EBB">
        <w:rPr>
          <w:szCs w:val="22"/>
          <w:lang w:val="en-GB" w:eastAsia="tr-TR"/>
        </w:rPr>
        <w:t xml:space="preserve">). </w:t>
      </w:r>
      <w:r w:rsidR="0099217E">
        <w:rPr>
          <w:szCs w:val="22"/>
          <w:lang w:val="en-GB" w:eastAsia="tr-TR"/>
        </w:rPr>
        <w:t xml:space="preserve">Also, the increasing trend in the first and second quarter in 2014 is remarkable. This is not likely to be caused by </w:t>
      </w:r>
      <w:r w:rsidR="0056395C">
        <w:rPr>
          <w:szCs w:val="22"/>
          <w:lang w:val="en-GB" w:eastAsia="tr-TR"/>
        </w:rPr>
        <w:t>minimum wage increase</w:t>
      </w:r>
      <w:r w:rsidR="0099217E">
        <w:rPr>
          <w:szCs w:val="22"/>
          <w:lang w:val="en-GB" w:eastAsia="tr-TR"/>
        </w:rPr>
        <w:t>s</w:t>
      </w:r>
      <w:r w:rsidR="0056395C">
        <w:rPr>
          <w:szCs w:val="22"/>
          <w:lang w:val="en-GB" w:eastAsia="tr-TR"/>
        </w:rPr>
        <w:t xml:space="preserve"> since </w:t>
      </w:r>
      <w:r w:rsidR="0099217E">
        <w:rPr>
          <w:szCs w:val="22"/>
          <w:lang w:val="en-GB" w:eastAsia="tr-TR"/>
        </w:rPr>
        <w:t xml:space="preserve">there is no big wage shock between 2013 and 2014 as the one </w:t>
      </w:r>
      <w:r w:rsidR="006E51B4">
        <w:rPr>
          <w:szCs w:val="22"/>
          <w:lang w:val="en-GB" w:eastAsia="tr-TR"/>
        </w:rPr>
        <w:t xml:space="preserve">in </w:t>
      </w:r>
      <w:r w:rsidR="0056395C">
        <w:rPr>
          <w:szCs w:val="22"/>
          <w:lang w:val="en-GB" w:eastAsia="tr-TR"/>
        </w:rPr>
        <w:t>2016.</w:t>
      </w:r>
      <w:r w:rsidR="00024447">
        <w:rPr>
          <w:szCs w:val="22"/>
          <w:lang w:val="en-GB" w:eastAsia="tr-TR"/>
        </w:rPr>
        <w:t xml:space="preserve"> This case </w:t>
      </w:r>
      <w:r w:rsidR="0099217E">
        <w:rPr>
          <w:szCs w:val="22"/>
          <w:lang w:val="en-GB" w:eastAsia="tr-TR"/>
        </w:rPr>
        <w:t xml:space="preserve">needs further </w:t>
      </w:r>
      <w:r w:rsidR="00024447">
        <w:rPr>
          <w:szCs w:val="22"/>
          <w:lang w:val="en-GB" w:eastAsia="tr-TR"/>
        </w:rPr>
        <w:t>investigat</w:t>
      </w:r>
      <w:r w:rsidR="0099217E">
        <w:rPr>
          <w:szCs w:val="22"/>
          <w:lang w:val="en-GB" w:eastAsia="tr-TR"/>
        </w:rPr>
        <w:t>ion</w:t>
      </w:r>
      <w:r w:rsidR="00024447">
        <w:rPr>
          <w:szCs w:val="22"/>
          <w:lang w:val="en-GB" w:eastAsia="tr-TR"/>
        </w:rPr>
        <w:t>.</w:t>
      </w:r>
    </w:p>
    <w:p w:rsidR="00122161" w:rsidRPr="009D7B6F" w:rsidRDefault="00024447" w:rsidP="00122161">
      <w:pPr>
        <w:keepNext/>
        <w:rPr>
          <w:b/>
          <w:szCs w:val="22"/>
          <w:lang w:val="en-GB"/>
        </w:rPr>
      </w:pPr>
      <w:r>
        <w:rPr>
          <w:b/>
          <w:szCs w:val="22"/>
          <w:lang w:val="en-GB"/>
        </w:rPr>
        <w:lastRenderedPageBreak/>
        <w:t>Figure</w:t>
      </w:r>
      <w:r w:rsidR="00573D15">
        <w:rPr>
          <w:b/>
          <w:szCs w:val="22"/>
          <w:lang w:val="en-GB"/>
        </w:rPr>
        <w:t xml:space="preserve"> </w:t>
      </w:r>
      <w:r w:rsidR="001A19C9" w:rsidRPr="009D7B6F">
        <w:rPr>
          <w:b/>
          <w:szCs w:val="22"/>
          <w:lang w:val="en-GB"/>
        </w:rPr>
        <w:fldChar w:fldCharType="begin"/>
      </w:r>
      <w:r w:rsidR="00122161" w:rsidRPr="009D7B6F">
        <w:rPr>
          <w:b/>
          <w:szCs w:val="22"/>
          <w:lang w:val="en-GB"/>
        </w:rPr>
        <w:instrText xml:space="preserve"> SEQ Şekil \* ARABIC </w:instrText>
      </w:r>
      <w:r w:rsidR="001A19C9" w:rsidRPr="009D7B6F">
        <w:rPr>
          <w:b/>
          <w:szCs w:val="22"/>
          <w:lang w:val="en-GB"/>
        </w:rPr>
        <w:fldChar w:fldCharType="separate"/>
      </w:r>
      <w:r w:rsidR="00122161" w:rsidRPr="009D7B6F">
        <w:rPr>
          <w:b/>
          <w:szCs w:val="22"/>
          <w:lang w:val="en-GB"/>
        </w:rPr>
        <w:t>2</w:t>
      </w:r>
      <w:r w:rsidR="001A19C9" w:rsidRPr="009D7B6F">
        <w:rPr>
          <w:b/>
          <w:szCs w:val="22"/>
          <w:lang w:val="en-GB"/>
        </w:rPr>
        <w:fldChar w:fldCharType="end"/>
      </w:r>
      <w:r w:rsidR="001B3B71">
        <w:rPr>
          <w:b/>
          <w:szCs w:val="22"/>
          <w:lang w:val="en-GB"/>
        </w:rPr>
        <w:t>:</w:t>
      </w:r>
      <w:r w:rsidR="00573D15">
        <w:rPr>
          <w:b/>
          <w:szCs w:val="22"/>
          <w:lang w:val="en-GB"/>
        </w:rPr>
        <w:t xml:space="preserve"> </w:t>
      </w:r>
      <w:r w:rsidR="004D5128">
        <w:rPr>
          <w:b/>
          <w:szCs w:val="22"/>
          <w:lang w:val="en-GB"/>
        </w:rPr>
        <w:t>The periodical changes of wage earners’’ informal employment rates (percentage point)</w:t>
      </w:r>
    </w:p>
    <w:p w:rsidR="00122161" w:rsidRPr="009D7B6F" w:rsidRDefault="007431AB" w:rsidP="00122161">
      <w:pPr>
        <w:keepNext/>
        <w:spacing w:after="120" w:line="240" w:lineRule="auto"/>
        <w:rPr>
          <w:b/>
          <w:szCs w:val="22"/>
          <w:lang w:val="en-GB"/>
        </w:rPr>
      </w:pPr>
      <w:r>
        <w:rPr>
          <w:noProof/>
          <w:lang w:eastAsia="tr-TR"/>
        </w:rPr>
        <w:drawing>
          <wp:inline distT="0" distB="0" distL="0" distR="0">
            <wp:extent cx="5234029" cy="2894810"/>
            <wp:effectExtent l="0" t="0" r="5080" b="1270"/>
            <wp:docPr id="1" name="Grafik 1">
              <a:extLst xmlns:a="http://schemas.openxmlformats.org/drawingml/2006/main">
                <a:ext uri="{FF2B5EF4-FFF2-40B4-BE49-F238E27FC236}">
                  <a16:creationId xmlns:a16="http://schemas.microsoft.com/office/drawing/2014/main" id="{15CD706C-A049-4C04-915D-D22A9B247F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24447" w:rsidRDefault="00024447" w:rsidP="00024447">
      <w:pPr>
        <w:pStyle w:val="NoSpacing"/>
        <w:rPr>
          <w:rFonts w:ascii="Palatino Linotype" w:hAnsi="Palatino Linotype"/>
          <w:sz w:val="20"/>
          <w:szCs w:val="20"/>
          <w:lang w:val="en-GB" w:eastAsia="tr-TR"/>
        </w:rPr>
      </w:pPr>
      <w:r>
        <w:rPr>
          <w:rFonts w:ascii="Palatino Linotype" w:hAnsi="Palatino Linotype"/>
          <w:b/>
          <w:sz w:val="20"/>
          <w:szCs w:val="20"/>
          <w:lang w:val="en-GB" w:eastAsia="tr-TR"/>
        </w:rPr>
        <w:t>Source</w:t>
      </w:r>
      <w:r w:rsidRPr="009D7B6F">
        <w:rPr>
          <w:rFonts w:ascii="Palatino Linotype" w:hAnsi="Palatino Linotype"/>
          <w:b/>
          <w:sz w:val="20"/>
          <w:szCs w:val="20"/>
          <w:lang w:val="en-GB" w:eastAsia="tr-TR"/>
        </w:rPr>
        <w:t xml:space="preserve">: </w:t>
      </w:r>
      <w:r w:rsidR="004B4EA4">
        <w:rPr>
          <w:rFonts w:ascii="Palatino Linotype" w:hAnsi="Palatino Linotype"/>
          <w:sz w:val="20"/>
          <w:szCs w:val="20"/>
          <w:lang w:val="en-GB" w:eastAsia="tr-TR"/>
        </w:rPr>
        <w:t xml:space="preserve">TurkStat HLFS </w:t>
      </w:r>
      <w:r w:rsidRPr="009D7B6F">
        <w:rPr>
          <w:rFonts w:ascii="Palatino Linotype" w:hAnsi="Palatino Linotype"/>
          <w:sz w:val="20"/>
          <w:szCs w:val="20"/>
          <w:lang w:val="en-GB" w:eastAsia="tr-TR"/>
        </w:rPr>
        <w:t xml:space="preserve">(http://www.tuik.gov.tr, </w:t>
      </w:r>
      <w:r w:rsidR="006773B6">
        <w:rPr>
          <w:rFonts w:ascii="Palatino Linotype" w:hAnsi="Palatino Linotype"/>
          <w:sz w:val="20"/>
          <w:szCs w:val="20"/>
          <w:lang w:val="en-GB" w:eastAsia="tr-TR"/>
        </w:rPr>
        <w:t xml:space="preserve">accessed on </w:t>
      </w:r>
      <w:r>
        <w:rPr>
          <w:rFonts w:ascii="Palatino Linotype" w:hAnsi="Palatino Linotype"/>
          <w:sz w:val="20"/>
          <w:szCs w:val="20"/>
          <w:lang w:val="en-GB" w:eastAsia="tr-TR"/>
        </w:rPr>
        <w:t>28</w:t>
      </w:r>
      <w:r w:rsidRPr="009D7B6F">
        <w:rPr>
          <w:rFonts w:ascii="Palatino Linotype" w:hAnsi="Palatino Linotype"/>
          <w:sz w:val="20"/>
          <w:szCs w:val="20"/>
          <w:lang w:val="en-GB" w:eastAsia="tr-TR"/>
        </w:rPr>
        <w:t>.1</w:t>
      </w:r>
      <w:r>
        <w:rPr>
          <w:rFonts w:ascii="Palatino Linotype" w:hAnsi="Palatino Linotype"/>
          <w:sz w:val="20"/>
          <w:szCs w:val="20"/>
          <w:lang w:val="en-GB" w:eastAsia="tr-TR"/>
        </w:rPr>
        <w:t>2</w:t>
      </w:r>
      <w:r w:rsidRPr="009D7B6F">
        <w:rPr>
          <w:rFonts w:ascii="Palatino Linotype" w:hAnsi="Palatino Linotype"/>
          <w:sz w:val="20"/>
          <w:szCs w:val="20"/>
          <w:lang w:val="en-GB" w:eastAsia="tr-TR"/>
        </w:rPr>
        <w:t>.2017)</w:t>
      </w:r>
    </w:p>
    <w:p w:rsidR="00285555" w:rsidRDefault="00285555" w:rsidP="00285555">
      <w:pPr>
        <w:keepNext/>
        <w:rPr>
          <w:b/>
          <w:szCs w:val="22"/>
          <w:lang w:val="en-GB"/>
        </w:rPr>
      </w:pPr>
    </w:p>
    <w:p w:rsidR="00285555" w:rsidRPr="009D7B6F" w:rsidRDefault="00285555" w:rsidP="00285555">
      <w:pPr>
        <w:keepNext/>
        <w:rPr>
          <w:b/>
          <w:szCs w:val="22"/>
          <w:lang w:val="en-GB"/>
        </w:rPr>
      </w:pPr>
      <w:r>
        <w:rPr>
          <w:b/>
          <w:szCs w:val="22"/>
          <w:lang w:val="en-GB"/>
        </w:rPr>
        <w:t>Employers periodical review</w:t>
      </w:r>
    </w:p>
    <w:p w:rsidR="00285555" w:rsidRPr="00180300" w:rsidRDefault="00285555" w:rsidP="00285555">
      <w:pPr>
        <w:keepNext/>
        <w:rPr>
          <w:szCs w:val="22"/>
          <w:lang w:val="en-GB" w:eastAsia="tr-TR"/>
        </w:rPr>
      </w:pPr>
      <w:r>
        <w:rPr>
          <w:szCs w:val="22"/>
          <w:lang w:val="en-GB" w:eastAsia="tr-TR"/>
        </w:rPr>
        <w:t xml:space="preserve">Above, we stated that employers’ informality rate has increased by 3.0 percentage points (from 12.9 percent to 15.9 percent) </w:t>
      </w:r>
      <w:r w:rsidR="006F292A">
        <w:rPr>
          <w:szCs w:val="22"/>
          <w:lang w:val="en-GB" w:eastAsia="tr-TR"/>
        </w:rPr>
        <w:t>between 2015</w:t>
      </w:r>
      <w:r>
        <w:rPr>
          <w:szCs w:val="22"/>
          <w:lang w:val="en-GB" w:eastAsia="tr-TR"/>
        </w:rPr>
        <w:t xml:space="preserve"> and 2016 (Table 2).  </w:t>
      </w:r>
      <w:r w:rsidR="006C48AC">
        <w:rPr>
          <w:szCs w:val="22"/>
          <w:lang w:val="en-GB" w:eastAsia="tr-TR"/>
        </w:rPr>
        <w:t xml:space="preserve">The year-on-year changes of informality rates for employers are reported in </w:t>
      </w:r>
      <w:r>
        <w:rPr>
          <w:szCs w:val="22"/>
          <w:lang w:val="en-GB" w:eastAsia="tr-TR"/>
        </w:rPr>
        <w:t>Figure 3</w:t>
      </w:r>
      <w:r w:rsidR="006C48AC">
        <w:rPr>
          <w:szCs w:val="22"/>
          <w:lang w:val="en-GB" w:eastAsia="tr-TR"/>
        </w:rPr>
        <w:t>. Although in previous years, year-on-year changes are all negative this is not the case in 2016 where we see an increase in informality</w:t>
      </w:r>
      <w:r>
        <w:rPr>
          <w:szCs w:val="22"/>
          <w:lang w:val="en-GB" w:eastAsia="tr-TR"/>
        </w:rPr>
        <w:t>.</w:t>
      </w:r>
      <w:r w:rsidR="006C48AC">
        <w:rPr>
          <w:szCs w:val="22"/>
          <w:lang w:val="en-GB" w:eastAsia="tr-TR"/>
        </w:rPr>
        <w:t xml:space="preserve"> Toward</w:t>
      </w:r>
      <w:r>
        <w:rPr>
          <w:szCs w:val="22"/>
          <w:lang w:val="en-GB" w:eastAsia="tr-TR"/>
        </w:rPr>
        <w:t xml:space="preserve"> end of the </w:t>
      </w:r>
      <w:r w:rsidR="006C48AC">
        <w:rPr>
          <w:szCs w:val="22"/>
          <w:lang w:val="en-GB" w:eastAsia="tr-TR"/>
        </w:rPr>
        <w:t>year</w:t>
      </w:r>
      <w:r>
        <w:rPr>
          <w:szCs w:val="22"/>
          <w:lang w:val="en-GB" w:eastAsia="tr-TR"/>
        </w:rPr>
        <w:t xml:space="preserve">, increases slow down (1.7 percentage point, December) while in the first months </w:t>
      </w:r>
      <w:r w:rsidR="00DF75B2">
        <w:rPr>
          <w:szCs w:val="22"/>
          <w:lang w:val="en-GB" w:eastAsia="tr-TR"/>
        </w:rPr>
        <w:t xml:space="preserve">we have higher increases </w:t>
      </w:r>
      <w:r>
        <w:rPr>
          <w:szCs w:val="22"/>
          <w:lang w:val="en-GB" w:eastAsia="tr-TR"/>
        </w:rPr>
        <w:t xml:space="preserve">(4.5 percentage points, April). </w:t>
      </w:r>
      <w:r w:rsidR="00DF75B2">
        <w:rPr>
          <w:szCs w:val="22"/>
          <w:lang w:val="en-GB" w:eastAsia="tr-TR"/>
        </w:rPr>
        <w:t xml:space="preserve">In 2017, year-on-year changes in informality are generally positive. </w:t>
      </w:r>
      <w:r w:rsidR="00E512A6">
        <w:rPr>
          <w:szCs w:val="22"/>
          <w:lang w:val="en-GB" w:eastAsia="tr-TR"/>
        </w:rPr>
        <w:t>In the first three quarters</w:t>
      </w:r>
      <w:r w:rsidR="00DF75B2">
        <w:rPr>
          <w:szCs w:val="22"/>
          <w:lang w:val="en-GB" w:eastAsia="tr-TR"/>
        </w:rPr>
        <w:t xml:space="preserve"> of 2017</w:t>
      </w:r>
      <w:r>
        <w:rPr>
          <w:szCs w:val="22"/>
          <w:lang w:val="en-GB" w:eastAsia="tr-TR"/>
        </w:rPr>
        <w:t>, the highest increase was in June with the 3.6 percentage points (Figure 3).</w:t>
      </w:r>
    </w:p>
    <w:p w:rsidR="00285555" w:rsidRDefault="00285555" w:rsidP="004D5128">
      <w:pPr>
        <w:rPr>
          <w:b/>
          <w:szCs w:val="22"/>
          <w:lang w:val="en-GB"/>
        </w:rPr>
      </w:pPr>
    </w:p>
    <w:p w:rsidR="004C0EA9" w:rsidRPr="009D7B6F" w:rsidRDefault="004D5128" w:rsidP="004D5128">
      <w:pPr>
        <w:rPr>
          <w:b/>
          <w:szCs w:val="22"/>
          <w:lang w:val="en-GB"/>
        </w:rPr>
      </w:pPr>
      <w:r>
        <w:rPr>
          <w:b/>
          <w:szCs w:val="22"/>
          <w:lang w:val="en-GB"/>
        </w:rPr>
        <w:lastRenderedPageBreak/>
        <w:t>Figure</w:t>
      </w:r>
      <w:r w:rsidR="001B3B71">
        <w:rPr>
          <w:b/>
          <w:szCs w:val="22"/>
          <w:lang w:val="en-GB"/>
        </w:rPr>
        <w:t xml:space="preserve"> </w:t>
      </w:r>
      <w:r w:rsidR="001A19C9" w:rsidRPr="009D7B6F">
        <w:rPr>
          <w:b/>
          <w:szCs w:val="22"/>
          <w:lang w:val="en-GB"/>
        </w:rPr>
        <w:fldChar w:fldCharType="begin"/>
      </w:r>
      <w:r w:rsidR="003804AF" w:rsidRPr="009D7B6F">
        <w:rPr>
          <w:b/>
          <w:szCs w:val="22"/>
          <w:lang w:val="en-GB"/>
        </w:rPr>
        <w:instrText xml:space="preserve"> SEQ Şekil \* ARABIC </w:instrText>
      </w:r>
      <w:r w:rsidR="001A19C9" w:rsidRPr="009D7B6F">
        <w:rPr>
          <w:b/>
          <w:szCs w:val="22"/>
          <w:lang w:val="en-GB"/>
        </w:rPr>
        <w:fldChar w:fldCharType="separate"/>
      </w:r>
      <w:r w:rsidR="00ED7B19" w:rsidRPr="009D7B6F">
        <w:rPr>
          <w:b/>
          <w:szCs w:val="22"/>
          <w:lang w:val="en-GB"/>
        </w:rPr>
        <w:t>3</w:t>
      </w:r>
      <w:r w:rsidR="001A19C9" w:rsidRPr="009D7B6F">
        <w:rPr>
          <w:b/>
          <w:szCs w:val="22"/>
          <w:lang w:val="en-GB"/>
        </w:rPr>
        <w:fldChar w:fldCharType="end"/>
      </w:r>
      <w:r w:rsidR="00DE4773" w:rsidRPr="009D7B6F">
        <w:rPr>
          <w:b/>
          <w:szCs w:val="22"/>
          <w:lang w:val="en-GB"/>
        </w:rPr>
        <w:t>:</w:t>
      </w:r>
      <w:r w:rsidR="001B3B71">
        <w:rPr>
          <w:b/>
          <w:szCs w:val="22"/>
          <w:lang w:val="en-GB"/>
        </w:rPr>
        <w:t xml:space="preserve"> </w:t>
      </w:r>
      <w:r>
        <w:rPr>
          <w:b/>
          <w:szCs w:val="22"/>
          <w:lang w:val="en-GB"/>
        </w:rPr>
        <w:t xml:space="preserve">The periodical changes of employers’ informal employment rates (percentage point) </w:t>
      </w:r>
      <w:r w:rsidR="007431AB">
        <w:rPr>
          <w:noProof/>
          <w:lang w:eastAsia="tr-TR"/>
        </w:rPr>
        <w:drawing>
          <wp:inline distT="0" distB="0" distL="0" distR="0">
            <wp:extent cx="5562600" cy="2857501"/>
            <wp:effectExtent l="0" t="0" r="0" b="0"/>
            <wp:docPr id="4" name="Grafik 4">
              <a:extLst xmlns:a="http://schemas.openxmlformats.org/drawingml/2006/main">
                <a:ext uri="{FF2B5EF4-FFF2-40B4-BE49-F238E27FC236}">
                  <a16:creationId xmlns:a16="http://schemas.microsoft.com/office/drawing/2014/main" id="{67FD183B-E471-4C49-AFCB-65B5837809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C73A1" w:rsidRDefault="00CC73A1" w:rsidP="00CC73A1">
      <w:pPr>
        <w:pStyle w:val="NoSpacing"/>
        <w:rPr>
          <w:rFonts w:ascii="Palatino Linotype" w:hAnsi="Palatino Linotype"/>
          <w:sz w:val="20"/>
          <w:szCs w:val="20"/>
          <w:lang w:val="en-GB" w:eastAsia="tr-TR"/>
        </w:rPr>
      </w:pPr>
      <w:r>
        <w:rPr>
          <w:rFonts w:ascii="Palatino Linotype" w:hAnsi="Palatino Linotype"/>
          <w:b/>
          <w:sz w:val="20"/>
          <w:szCs w:val="20"/>
          <w:lang w:val="en-GB" w:eastAsia="tr-TR"/>
        </w:rPr>
        <w:t>Source</w:t>
      </w:r>
      <w:r w:rsidRPr="009D7B6F">
        <w:rPr>
          <w:rFonts w:ascii="Palatino Linotype" w:hAnsi="Palatino Linotype"/>
          <w:b/>
          <w:sz w:val="20"/>
          <w:szCs w:val="20"/>
          <w:lang w:val="en-GB" w:eastAsia="tr-TR"/>
        </w:rPr>
        <w:t xml:space="preserve">: </w:t>
      </w:r>
      <w:r w:rsidR="004B4EA4">
        <w:rPr>
          <w:rFonts w:ascii="Palatino Linotype" w:hAnsi="Palatino Linotype"/>
          <w:sz w:val="20"/>
          <w:szCs w:val="20"/>
          <w:lang w:val="en-GB" w:eastAsia="tr-TR"/>
        </w:rPr>
        <w:t xml:space="preserve">TurkStat HLFS </w:t>
      </w:r>
      <w:r w:rsidRPr="009D7B6F">
        <w:rPr>
          <w:rFonts w:ascii="Palatino Linotype" w:hAnsi="Palatino Linotype"/>
          <w:sz w:val="20"/>
          <w:szCs w:val="20"/>
          <w:lang w:val="en-GB" w:eastAsia="tr-TR"/>
        </w:rPr>
        <w:t xml:space="preserve">(http://www.tuik.gov.tr, </w:t>
      </w:r>
      <w:r w:rsidR="006773B6">
        <w:rPr>
          <w:rFonts w:ascii="Palatino Linotype" w:hAnsi="Palatino Linotype"/>
          <w:sz w:val="20"/>
          <w:szCs w:val="20"/>
          <w:lang w:val="en-GB" w:eastAsia="tr-TR"/>
        </w:rPr>
        <w:t xml:space="preserve">accessed on </w:t>
      </w:r>
      <w:r>
        <w:rPr>
          <w:rFonts w:ascii="Palatino Linotype" w:hAnsi="Palatino Linotype"/>
          <w:sz w:val="20"/>
          <w:szCs w:val="20"/>
          <w:lang w:val="en-GB" w:eastAsia="tr-TR"/>
        </w:rPr>
        <w:t>28</w:t>
      </w:r>
      <w:r w:rsidRPr="009D7B6F">
        <w:rPr>
          <w:rFonts w:ascii="Palatino Linotype" w:hAnsi="Palatino Linotype"/>
          <w:sz w:val="20"/>
          <w:szCs w:val="20"/>
          <w:lang w:val="en-GB" w:eastAsia="tr-TR"/>
        </w:rPr>
        <w:t>.1</w:t>
      </w:r>
      <w:r>
        <w:rPr>
          <w:rFonts w:ascii="Palatino Linotype" w:hAnsi="Palatino Linotype"/>
          <w:sz w:val="20"/>
          <w:szCs w:val="20"/>
          <w:lang w:val="en-GB" w:eastAsia="tr-TR"/>
        </w:rPr>
        <w:t>2</w:t>
      </w:r>
      <w:r w:rsidRPr="009D7B6F">
        <w:rPr>
          <w:rFonts w:ascii="Palatino Linotype" w:hAnsi="Palatino Linotype"/>
          <w:sz w:val="20"/>
          <w:szCs w:val="20"/>
          <w:lang w:val="en-GB" w:eastAsia="tr-TR"/>
        </w:rPr>
        <w:t>.2017)</w:t>
      </w:r>
    </w:p>
    <w:p w:rsidR="00F63947" w:rsidRPr="009D7B6F" w:rsidRDefault="00F63947" w:rsidP="005957D0">
      <w:pPr>
        <w:suppressAutoHyphens w:val="0"/>
        <w:spacing w:after="120" w:line="240" w:lineRule="auto"/>
        <w:rPr>
          <w:sz w:val="20"/>
          <w:szCs w:val="20"/>
          <w:lang w:val="en-GB" w:eastAsia="tr-TR"/>
        </w:rPr>
      </w:pPr>
    </w:p>
    <w:p w:rsidR="007431AB" w:rsidRPr="009D7B6F" w:rsidRDefault="00CC73A1" w:rsidP="00CC73A1">
      <w:pPr>
        <w:keepNext/>
        <w:rPr>
          <w:b/>
          <w:szCs w:val="22"/>
          <w:lang w:val="en-GB"/>
        </w:rPr>
      </w:pPr>
      <w:r w:rsidRPr="007431AB">
        <w:rPr>
          <w:b/>
          <w:szCs w:val="22"/>
          <w:lang w:val="en-GB"/>
        </w:rPr>
        <w:t>Own account workers periodical review</w:t>
      </w:r>
    </w:p>
    <w:p w:rsidR="00C27F67" w:rsidRPr="009D7B6F" w:rsidRDefault="004B4EA4" w:rsidP="00D244C6">
      <w:pPr>
        <w:rPr>
          <w:szCs w:val="22"/>
          <w:lang w:val="en-GB" w:eastAsia="tr-TR"/>
        </w:rPr>
      </w:pPr>
      <w:r>
        <w:rPr>
          <w:szCs w:val="22"/>
          <w:lang w:val="en-GB" w:eastAsia="tr-TR"/>
        </w:rPr>
        <w:t xml:space="preserve">From Table 2 we know that </w:t>
      </w:r>
      <w:r w:rsidR="00627E0B">
        <w:rPr>
          <w:szCs w:val="22"/>
          <w:lang w:val="en-GB" w:eastAsia="tr-TR"/>
        </w:rPr>
        <w:t xml:space="preserve">the informal employment rate of own account workers has increased by 1.6 percentage points (from 60.1 percent to 61.7 percent) </w:t>
      </w:r>
      <w:r>
        <w:rPr>
          <w:szCs w:val="22"/>
          <w:lang w:val="en-GB" w:eastAsia="tr-TR"/>
        </w:rPr>
        <w:t>from 2015 to 2016</w:t>
      </w:r>
      <w:r w:rsidR="00FC63B1">
        <w:rPr>
          <w:szCs w:val="22"/>
          <w:lang w:val="en-GB" w:eastAsia="tr-TR"/>
        </w:rPr>
        <w:t xml:space="preserve">. </w:t>
      </w:r>
      <w:r>
        <w:rPr>
          <w:szCs w:val="22"/>
          <w:lang w:val="en-GB" w:eastAsia="tr-TR"/>
        </w:rPr>
        <w:t xml:space="preserve">Own account workers </w:t>
      </w:r>
      <w:r w:rsidR="006F292A">
        <w:rPr>
          <w:szCs w:val="22"/>
          <w:lang w:val="en-GB" w:eastAsia="tr-TR"/>
        </w:rPr>
        <w:t>have</w:t>
      </w:r>
      <w:r>
        <w:rPr>
          <w:szCs w:val="22"/>
          <w:lang w:val="en-GB" w:eastAsia="tr-TR"/>
        </w:rPr>
        <w:t xml:space="preserve"> similar informality trends as </w:t>
      </w:r>
      <w:r w:rsidR="00FC63B1">
        <w:rPr>
          <w:szCs w:val="22"/>
          <w:lang w:val="en-GB" w:eastAsia="tr-TR"/>
        </w:rPr>
        <w:t>employers (Figure 4).</w:t>
      </w:r>
      <w:r>
        <w:rPr>
          <w:szCs w:val="22"/>
          <w:lang w:val="en-GB" w:eastAsia="tr-TR"/>
        </w:rPr>
        <w:t xml:space="preserve"> Except last two months </w:t>
      </w:r>
      <w:r w:rsidR="0001473F">
        <w:rPr>
          <w:szCs w:val="22"/>
          <w:lang w:val="en-GB" w:eastAsia="tr-TR"/>
        </w:rPr>
        <w:t xml:space="preserve">in 2015, year-on-year changes of informality are almost always negative for own account workers for pre-2016 period. </w:t>
      </w:r>
      <w:r w:rsidR="0013715D">
        <w:rPr>
          <w:szCs w:val="22"/>
          <w:lang w:val="en-GB" w:eastAsia="tr-TR"/>
        </w:rPr>
        <w:t xml:space="preserve">On the other hand, </w:t>
      </w:r>
      <w:r w:rsidR="0001473F">
        <w:rPr>
          <w:szCs w:val="22"/>
          <w:lang w:val="en-GB" w:eastAsia="tr-TR"/>
        </w:rPr>
        <w:t xml:space="preserve">the year-on-year changes in 2016 and 2017 are systematically positive except </w:t>
      </w:r>
      <w:r w:rsidR="0013715D">
        <w:rPr>
          <w:szCs w:val="22"/>
          <w:lang w:val="en-GB" w:eastAsia="tr-TR"/>
        </w:rPr>
        <w:t>July 2016</w:t>
      </w:r>
      <w:r w:rsidR="0001473F">
        <w:rPr>
          <w:szCs w:val="22"/>
          <w:lang w:val="en-GB" w:eastAsia="tr-TR"/>
        </w:rPr>
        <w:t xml:space="preserve">. </w:t>
      </w:r>
      <w:r w:rsidR="0013715D">
        <w:rPr>
          <w:szCs w:val="22"/>
          <w:lang w:val="en-GB" w:eastAsia="tr-TR"/>
        </w:rPr>
        <w:t>The highest increase was in April</w:t>
      </w:r>
      <w:r w:rsidR="0001473F">
        <w:rPr>
          <w:szCs w:val="22"/>
          <w:lang w:val="en-GB" w:eastAsia="tr-TR"/>
        </w:rPr>
        <w:t xml:space="preserve"> in 2016</w:t>
      </w:r>
      <w:r w:rsidR="0013715D">
        <w:rPr>
          <w:szCs w:val="22"/>
          <w:lang w:val="en-GB" w:eastAsia="tr-TR"/>
        </w:rPr>
        <w:t xml:space="preserve"> with 3.3 percentage point</w:t>
      </w:r>
      <w:r w:rsidR="0001473F">
        <w:rPr>
          <w:szCs w:val="22"/>
          <w:lang w:val="en-GB" w:eastAsia="tr-TR"/>
        </w:rPr>
        <w:t xml:space="preserve">s. </w:t>
      </w:r>
      <w:r w:rsidR="0013715D">
        <w:rPr>
          <w:szCs w:val="22"/>
          <w:lang w:val="en-GB" w:eastAsia="tr-TR"/>
        </w:rPr>
        <w:t>In 2017,</w:t>
      </w:r>
      <w:r w:rsidR="0001473F">
        <w:rPr>
          <w:szCs w:val="22"/>
          <w:lang w:val="en-GB" w:eastAsia="tr-TR"/>
        </w:rPr>
        <w:t xml:space="preserve"> we observe that </w:t>
      </w:r>
      <w:r w:rsidR="0013715D">
        <w:rPr>
          <w:szCs w:val="22"/>
          <w:lang w:val="en-GB" w:eastAsia="tr-TR"/>
        </w:rPr>
        <w:t xml:space="preserve">informal employment rates </w:t>
      </w:r>
      <w:r w:rsidR="00F233FC">
        <w:rPr>
          <w:szCs w:val="22"/>
          <w:lang w:val="en-GB" w:eastAsia="tr-TR"/>
        </w:rPr>
        <w:t>continue</w:t>
      </w:r>
      <w:r w:rsidR="0013715D">
        <w:rPr>
          <w:szCs w:val="22"/>
          <w:lang w:val="en-GB" w:eastAsia="tr-TR"/>
        </w:rPr>
        <w:t xml:space="preserve"> to increase</w:t>
      </w:r>
      <w:r w:rsidR="00F233FC">
        <w:rPr>
          <w:szCs w:val="22"/>
          <w:lang w:val="en-GB" w:eastAsia="tr-TR"/>
        </w:rPr>
        <w:t xml:space="preserve"> </w:t>
      </w:r>
      <w:r w:rsidR="0001473F">
        <w:rPr>
          <w:szCs w:val="22"/>
          <w:lang w:val="en-GB" w:eastAsia="tr-TR"/>
        </w:rPr>
        <w:t>in all three quarters.</w:t>
      </w:r>
      <w:r w:rsidR="00F233FC">
        <w:rPr>
          <w:szCs w:val="22"/>
          <w:lang w:val="en-GB" w:eastAsia="tr-TR"/>
        </w:rPr>
        <w:t xml:space="preserve"> The highest increase </w:t>
      </w:r>
      <w:r w:rsidR="0001473F">
        <w:rPr>
          <w:szCs w:val="22"/>
          <w:lang w:val="en-GB" w:eastAsia="tr-TR"/>
        </w:rPr>
        <w:t xml:space="preserve">is </w:t>
      </w:r>
      <w:r w:rsidR="00F233FC">
        <w:rPr>
          <w:szCs w:val="22"/>
          <w:lang w:val="en-GB" w:eastAsia="tr-TR"/>
        </w:rPr>
        <w:t>in August with 2.8 percentage points (Figure 4).</w:t>
      </w:r>
    </w:p>
    <w:p w:rsidR="00377E46" w:rsidRPr="009D7B6F" w:rsidRDefault="00731296" w:rsidP="00D244C6">
      <w:pPr>
        <w:keepNext/>
        <w:rPr>
          <w:b/>
          <w:szCs w:val="22"/>
          <w:lang w:val="en-GB"/>
        </w:rPr>
      </w:pPr>
      <w:r>
        <w:rPr>
          <w:b/>
          <w:szCs w:val="22"/>
          <w:lang w:val="en-GB"/>
        </w:rPr>
        <w:lastRenderedPageBreak/>
        <w:t>Figure</w:t>
      </w:r>
      <w:r w:rsidR="00992B01">
        <w:rPr>
          <w:b/>
          <w:szCs w:val="22"/>
          <w:lang w:val="en-GB"/>
        </w:rPr>
        <w:t xml:space="preserve"> </w:t>
      </w:r>
      <w:r w:rsidR="001A19C9" w:rsidRPr="009D7B6F">
        <w:rPr>
          <w:b/>
          <w:szCs w:val="22"/>
          <w:lang w:val="en-GB"/>
        </w:rPr>
        <w:fldChar w:fldCharType="begin"/>
      </w:r>
      <w:r w:rsidR="003804AF" w:rsidRPr="009D7B6F">
        <w:rPr>
          <w:b/>
          <w:szCs w:val="22"/>
          <w:lang w:val="en-GB"/>
        </w:rPr>
        <w:instrText xml:space="preserve"> SEQ Şekil \* ARABIC </w:instrText>
      </w:r>
      <w:r w:rsidR="001A19C9" w:rsidRPr="009D7B6F">
        <w:rPr>
          <w:b/>
          <w:szCs w:val="22"/>
          <w:lang w:val="en-GB"/>
        </w:rPr>
        <w:fldChar w:fldCharType="separate"/>
      </w:r>
      <w:r w:rsidR="00ED7B19" w:rsidRPr="009D7B6F">
        <w:rPr>
          <w:b/>
          <w:szCs w:val="22"/>
          <w:lang w:val="en-GB"/>
        </w:rPr>
        <w:t>4</w:t>
      </w:r>
      <w:r w:rsidR="001A19C9" w:rsidRPr="009D7B6F">
        <w:rPr>
          <w:b/>
          <w:szCs w:val="22"/>
          <w:lang w:val="en-GB"/>
        </w:rPr>
        <w:fldChar w:fldCharType="end"/>
      </w:r>
      <w:r w:rsidR="00377E46" w:rsidRPr="009D7B6F">
        <w:rPr>
          <w:b/>
          <w:szCs w:val="22"/>
          <w:lang w:val="en-GB"/>
        </w:rPr>
        <w:t>:</w:t>
      </w:r>
      <w:r w:rsidR="00992B01">
        <w:rPr>
          <w:b/>
          <w:szCs w:val="22"/>
          <w:lang w:val="en-GB"/>
        </w:rPr>
        <w:t xml:space="preserve"> </w:t>
      </w:r>
      <w:r w:rsidR="00F233FC">
        <w:rPr>
          <w:b/>
          <w:szCs w:val="22"/>
          <w:lang w:val="en-GB"/>
        </w:rPr>
        <w:t>The periodical changes of own account workers’ informal employment rates (percentage point)</w:t>
      </w:r>
    </w:p>
    <w:p w:rsidR="009B1A58" w:rsidRPr="009D7B6F" w:rsidRDefault="007431AB" w:rsidP="00A93ADA">
      <w:pPr>
        <w:keepNext/>
        <w:spacing w:after="120" w:line="240" w:lineRule="auto"/>
        <w:rPr>
          <w:b/>
          <w:szCs w:val="22"/>
          <w:lang w:val="en-GB"/>
        </w:rPr>
      </w:pPr>
      <w:r>
        <w:rPr>
          <w:noProof/>
          <w:lang w:eastAsia="tr-TR"/>
        </w:rPr>
        <w:drawing>
          <wp:inline distT="0" distB="0" distL="0" distR="0">
            <wp:extent cx="5759450" cy="3025140"/>
            <wp:effectExtent l="0" t="0" r="0" b="3810"/>
            <wp:docPr id="5" name="Grafik 5">
              <a:extLst xmlns:a="http://schemas.openxmlformats.org/drawingml/2006/main">
                <a:ext uri="{FF2B5EF4-FFF2-40B4-BE49-F238E27FC236}">
                  <a16:creationId xmlns:a16="http://schemas.microsoft.com/office/drawing/2014/main" id="{4EC5241A-8F44-4447-952D-0D982F3210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233FC" w:rsidRDefault="00F233FC" w:rsidP="00F233FC">
      <w:pPr>
        <w:pStyle w:val="NoSpacing"/>
        <w:rPr>
          <w:rFonts w:ascii="Palatino Linotype" w:hAnsi="Palatino Linotype"/>
          <w:sz w:val="20"/>
          <w:szCs w:val="20"/>
          <w:lang w:val="en-GB" w:eastAsia="tr-TR"/>
        </w:rPr>
      </w:pPr>
      <w:r>
        <w:rPr>
          <w:rFonts w:ascii="Palatino Linotype" w:hAnsi="Palatino Linotype"/>
          <w:b/>
          <w:sz w:val="20"/>
          <w:szCs w:val="20"/>
          <w:lang w:val="en-GB" w:eastAsia="tr-TR"/>
        </w:rPr>
        <w:t>Source</w:t>
      </w:r>
      <w:r w:rsidRPr="009D7B6F">
        <w:rPr>
          <w:rFonts w:ascii="Palatino Linotype" w:hAnsi="Palatino Linotype"/>
          <w:b/>
          <w:sz w:val="20"/>
          <w:szCs w:val="20"/>
          <w:lang w:val="en-GB" w:eastAsia="tr-TR"/>
        </w:rPr>
        <w:t xml:space="preserve">: </w:t>
      </w:r>
      <w:r w:rsidR="004B4EA4">
        <w:rPr>
          <w:rFonts w:ascii="Palatino Linotype" w:hAnsi="Palatino Linotype"/>
          <w:sz w:val="20"/>
          <w:szCs w:val="20"/>
          <w:lang w:val="en-GB" w:eastAsia="tr-TR"/>
        </w:rPr>
        <w:t xml:space="preserve">TurkStat HLFS </w:t>
      </w:r>
      <w:r w:rsidRPr="009D7B6F">
        <w:rPr>
          <w:rFonts w:ascii="Palatino Linotype" w:hAnsi="Palatino Linotype"/>
          <w:sz w:val="20"/>
          <w:szCs w:val="20"/>
          <w:lang w:val="en-GB" w:eastAsia="tr-TR"/>
        </w:rPr>
        <w:t xml:space="preserve">(http://www.tuik.gov.tr, </w:t>
      </w:r>
      <w:r w:rsidR="006773B6">
        <w:rPr>
          <w:rFonts w:ascii="Palatino Linotype" w:hAnsi="Palatino Linotype"/>
          <w:sz w:val="20"/>
          <w:szCs w:val="20"/>
          <w:lang w:val="en-GB" w:eastAsia="tr-TR"/>
        </w:rPr>
        <w:t xml:space="preserve">accessed on </w:t>
      </w:r>
      <w:r>
        <w:rPr>
          <w:rFonts w:ascii="Palatino Linotype" w:hAnsi="Palatino Linotype"/>
          <w:sz w:val="20"/>
          <w:szCs w:val="20"/>
          <w:lang w:val="en-GB" w:eastAsia="tr-TR"/>
        </w:rPr>
        <w:t>28</w:t>
      </w:r>
      <w:r w:rsidRPr="009D7B6F">
        <w:rPr>
          <w:rFonts w:ascii="Palatino Linotype" w:hAnsi="Palatino Linotype"/>
          <w:sz w:val="20"/>
          <w:szCs w:val="20"/>
          <w:lang w:val="en-GB" w:eastAsia="tr-TR"/>
        </w:rPr>
        <w:t>.1</w:t>
      </w:r>
      <w:r>
        <w:rPr>
          <w:rFonts w:ascii="Palatino Linotype" w:hAnsi="Palatino Linotype"/>
          <w:sz w:val="20"/>
          <w:szCs w:val="20"/>
          <w:lang w:val="en-GB" w:eastAsia="tr-TR"/>
        </w:rPr>
        <w:t>2</w:t>
      </w:r>
      <w:r w:rsidRPr="009D7B6F">
        <w:rPr>
          <w:rFonts w:ascii="Palatino Linotype" w:hAnsi="Palatino Linotype"/>
          <w:sz w:val="20"/>
          <w:szCs w:val="20"/>
          <w:lang w:val="en-GB" w:eastAsia="tr-TR"/>
        </w:rPr>
        <w:t>.2017)</w:t>
      </w:r>
    </w:p>
    <w:p w:rsidR="009D7597" w:rsidRPr="009D7B6F" w:rsidRDefault="009D7597" w:rsidP="00401E37">
      <w:pPr>
        <w:keepNext/>
        <w:rPr>
          <w:b/>
          <w:szCs w:val="22"/>
          <w:lang w:val="en-GB"/>
        </w:rPr>
      </w:pPr>
    </w:p>
    <w:p w:rsidR="00817A5E" w:rsidRPr="009D7B6F" w:rsidRDefault="00817A5E" w:rsidP="00817A5E">
      <w:pPr>
        <w:keepNext/>
        <w:rPr>
          <w:b/>
          <w:szCs w:val="22"/>
          <w:lang w:val="en-GB"/>
        </w:rPr>
      </w:pPr>
      <w:r>
        <w:rPr>
          <w:b/>
          <w:szCs w:val="22"/>
          <w:lang w:val="en-GB"/>
        </w:rPr>
        <w:t>Unpaid family workers periodical review</w:t>
      </w:r>
    </w:p>
    <w:p w:rsidR="00731296" w:rsidRPr="009D7B6F" w:rsidRDefault="00731296" w:rsidP="00A35D42">
      <w:pPr>
        <w:rPr>
          <w:szCs w:val="22"/>
          <w:lang w:val="en-GB" w:eastAsia="tr-TR"/>
        </w:rPr>
      </w:pPr>
      <w:r>
        <w:rPr>
          <w:szCs w:val="22"/>
          <w:lang w:val="en-GB" w:eastAsia="tr-TR"/>
        </w:rPr>
        <w:t>Table 2 shows that</w:t>
      </w:r>
      <w:r w:rsidR="00A26849">
        <w:rPr>
          <w:szCs w:val="22"/>
          <w:lang w:val="en-GB" w:eastAsia="tr-TR"/>
        </w:rPr>
        <w:t xml:space="preserve">, for unpaid family workers, the informality rate </w:t>
      </w:r>
      <w:r>
        <w:rPr>
          <w:szCs w:val="22"/>
          <w:lang w:val="en-GB" w:eastAsia="tr-TR"/>
        </w:rPr>
        <w:t>increase</w:t>
      </w:r>
      <w:r w:rsidR="00551EC3">
        <w:rPr>
          <w:szCs w:val="22"/>
          <w:lang w:val="en-GB" w:eastAsia="tr-TR"/>
        </w:rPr>
        <w:t>d</w:t>
      </w:r>
      <w:r>
        <w:rPr>
          <w:szCs w:val="22"/>
          <w:lang w:val="en-GB" w:eastAsia="tr-TR"/>
        </w:rPr>
        <w:t xml:space="preserve"> by 0.8 percentage points (from 89</w:t>
      </w:r>
      <w:r w:rsidR="00551EC3">
        <w:rPr>
          <w:szCs w:val="22"/>
          <w:lang w:val="en-GB" w:eastAsia="tr-TR"/>
        </w:rPr>
        <w:t>.9 to 90.7) in the period of 2015-2016.</w:t>
      </w:r>
      <w:r w:rsidR="008760B2">
        <w:rPr>
          <w:szCs w:val="22"/>
          <w:lang w:val="en-GB" w:eastAsia="tr-TR"/>
        </w:rPr>
        <w:t xml:space="preserve"> We would like to remind that most unpaid family workers </w:t>
      </w:r>
      <w:r w:rsidR="00FB04A0">
        <w:rPr>
          <w:szCs w:val="22"/>
          <w:lang w:val="en-GB" w:eastAsia="tr-TR"/>
        </w:rPr>
        <w:t xml:space="preserve">are female and in agriculture. </w:t>
      </w:r>
      <w:r w:rsidR="00A26849">
        <w:rPr>
          <w:szCs w:val="22"/>
          <w:lang w:val="en-GB" w:eastAsia="tr-TR"/>
        </w:rPr>
        <w:t xml:space="preserve">The informality trends for unpaid family workers are similar to ones </w:t>
      </w:r>
      <w:r w:rsidR="000353CD">
        <w:rPr>
          <w:szCs w:val="22"/>
          <w:lang w:val="en-GB" w:eastAsia="tr-TR"/>
        </w:rPr>
        <w:t xml:space="preserve">for </w:t>
      </w:r>
      <w:r w:rsidR="00FB04A0">
        <w:rPr>
          <w:szCs w:val="22"/>
          <w:lang w:val="en-GB" w:eastAsia="tr-TR"/>
        </w:rPr>
        <w:t>o</w:t>
      </w:r>
      <w:r w:rsidR="00817A5E">
        <w:rPr>
          <w:szCs w:val="22"/>
          <w:lang w:val="en-GB" w:eastAsia="tr-TR"/>
        </w:rPr>
        <w:t xml:space="preserve">wn </w:t>
      </w:r>
      <w:r w:rsidR="00FB04A0">
        <w:rPr>
          <w:szCs w:val="22"/>
          <w:lang w:val="en-GB" w:eastAsia="tr-TR"/>
        </w:rPr>
        <w:t xml:space="preserve">account workers. </w:t>
      </w:r>
      <w:r w:rsidR="00F739A4">
        <w:rPr>
          <w:szCs w:val="22"/>
          <w:lang w:val="en-GB" w:eastAsia="tr-TR"/>
        </w:rPr>
        <w:t>Although in previous years, year-on-year changes are all negative, in 2016, there is generally an increase in informality for unpaid family workers. The only months with decreases in informality are February and March in 2016</w:t>
      </w:r>
      <w:r w:rsidR="00A35D42">
        <w:rPr>
          <w:szCs w:val="22"/>
          <w:lang w:val="en-GB" w:eastAsia="tr-TR"/>
        </w:rPr>
        <w:t xml:space="preserve"> where</w:t>
      </w:r>
      <w:r w:rsidR="005E37ED">
        <w:rPr>
          <w:szCs w:val="22"/>
          <w:lang w:val="en-GB" w:eastAsia="tr-TR"/>
        </w:rPr>
        <w:t xml:space="preserve"> informal employment decreased by 0.3 percentage points. The highest increase </w:t>
      </w:r>
      <w:r w:rsidR="00A35D42">
        <w:rPr>
          <w:szCs w:val="22"/>
          <w:lang w:val="en-GB" w:eastAsia="tr-TR"/>
        </w:rPr>
        <w:t>is</w:t>
      </w:r>
      <w:r w:rsidR="005E37ED">
        <w:rPr>
          <w:szCs w:val="22"/>
          <w:lang w:val="en-GB" w:eastAsia="tr-TR"/>
        </w:rPr>
        <w:t xml:space="preserve"> in January </w:t>
      </w:r>
      <w:r w:rsidR="00A35D42">
        <w:rPr>
          <w:szCs w:val="22"/>
          <w:lang w:val="en-GB" w:eastAsia="tr-TR"/>
        </w:rPr>
        <w:t xml:space="preserve">in 2016 </w:t>
      </w:r>
      <w:r w:rsidR="005E37ED">
        <w:rPr>
          <w:szCs w:val="22"/>
          <w:lang w:val="en-GB" w:eastAsia="tr-TR"/>
        </w:rPr>
        <w:t>with 1.9 percentage points</w:t>
      </w:r>
      <w:r w:rsidR="00A35D42">
        <w:rPr>
          <w:szCs w:val="22"/>
          <w:lang w:val="en-GB" w:eastAsia="tr-TR"/>
        </w:rPr>
        <w:t xml:space="preserve">. </w:t>
      </w:r>
      <w:r w:rsidR="00496CEB">
        <w:rPr>
          <w:szCs w:val="22"/>
          <w:lang w:val="en-GB" w:eastAsia="tr-TR"/>
        </w:rPr>
        <w:t xml:space="preserve">In </w:t>
      </w:r>
      <w:r w:rsidR="00A35D42">
        <w:rPr>
          <w:szCs w:val="22"/>
          <w:lang w:val="en-GB" w:eastAsia="tr-TR"/>
        </w:rPr>
        <w:t>2017</w:t>
      </w:r>
      <w:r w:rsidR="00496CEB">
        <w:rPr>
          <w:szCs w:val="22"/>
          <w:lang w:val="en-GB" w:eastAsia="tr-TR"/>
        </w:rPr>
        <w:t xml:space="preserve">, the </w:t>
      </w:r>
      <w:r w:rsidR="009B32C4">
        <w:rPr>
          <w:szCs w:val="22"/>
          <w:lang w:val="en-GB" w:eastAsia="tr-TR"/>
        </w:rPr>
        <w:t>general upward trend in informality is still there with exceptions of January and May.</w:t>
      </w:r>
      <w:r w:rsidR="00496CEB">
        <w:rPr>
          <w:szCs w:val="22"/>
          <w:lang w:val="en-GB" w:eastAsia="tr-TR"/>
        </w:rPr>
        <w:t xml:space="preserve">  The highest increase in this period was in the period of September by 0.7 percentage points (Figure 4).</w:t>
      </w:r>
    </w:p>
    <w:p w:rsidR="006F5759" w:rsidRPr="009D7B6F" w:rsidRDefault="00817A5E" w:rsidP="006F5759">
      <w:pPr>
        <w:keepNext/>
        <w:rPr>
          <w:b/>
          <w:szCs w:val="22"/>
          <w:lang w:val="en-GB"/>
        </w:rPr>
      </w:pPr>
      <w:r>
        <w:rPr>
          <w:b/>
          <w:szCs w:val="22"/>
          <w:lang w:val="en-GB"/>
        </w:rPr>
        <w:lastRenderedPageBreak/>
        <w:t>Figure</w:t>
      </w:r>
      <w:r w:rsidR="006F5759" w:rsidRPr="009D7B6F">
        <w:rPr>
          <w:b/>
          <w:szCs w:val="22"/>
          <w:lang w:val="en-GB"/>
        </w:rPr>
        <w:t xml:space="preserve"> 5: </w:t>
      </w:r>
      <w:r>
        <w:rPr>
          <w:b/>
          <w:szCs w:val="22"/>
          <w:lang w:val="en-GB"/>
        </w:rPr>
        <w:t>The periodical changes of unpaid family workers’ informal employment rates (percentage point)</w:t>
      </w:r>
    </w:p>
    <w:p w:rsidR="006F5759" w:rsidRPr="009D7B6F" w:rsidRDefault="00A432E2" w:rsidP="006F5759">
      <w:pPr>
        <w:keepNext/>
        <w:spacing w:after="120" w:line="240" w:lineRule="auto"/>
        <w:rPr>
          <w:b/>
          <w:szCs w:val="22"/>
          <w:lang w:val="en-GB"/>
        </w:rPr>
      </w:pPr>
      <w:r>
        <w:rPr>
          <w:noProof/>
          <w:lang w:eastAsia="tr-TR"/>
        </w:rPr>
        <w:drawing>
          <wp:inline distT="0" distB="0" distL="0" distR="0">
            <wp:extent cx="5759450" cy="2915920"/>
            <wp:effectExtent l="0" t="0" r="0" b="0"/>
            <wp:docPr id="6" name="Grafik 6">
              <a:extLst xmlns:a="http://schemas.openxmlformats.org/drawingml/2006/main">
                <a:ext uri="{FF2B5EF4-FFF2-40B4-BE49-F238E27FC236}">
                  <a16:creationId xmlns:a16="http://schemas.microsoft.com/office/drawing/2014/main" id="{1FC59290-3435-4D76-9611-FBB5DCD1F2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17A5E" w:rsidRDefault="00817A5E" w:rsidP="00817A5E">
      <w:pPr>
        <w:pStyle w:val="NoSpacing"/>
        <w:rPr>
          <w:rFonts w:ascii="Palatino Linotype" w:hAnsi="Palatino Linotype"/>
          <w:sz w:val="20"/>
          <w:szCs w:val="20"/>
          <w:lang w:val="en-GB" w:eastAsia="tr-TR"/>
        </w:rPr>
      </w:pPr>
      <w:r>
        <w:rPr>
          <w:rFonts w:ascii="Palatino Linotype" w:hAnsi="Palatino Linotype"/>
          <w:b/>
          <w:sz w:val="20"/>
          <w:szCs w:val="20"/>
          <w:lang w:val="en-GB" w:eastAsia="tr-TR"/>
        </w:rPr>
        <w:t>Source</w:t>
      </w:r>
      <w:r w:rsidRPr="009D7B6F">
        <w:rPr>
          <w:rFonts w:ascii="Palatino Linotype" w:hAnsi="Palatino Linotype"/>
          <w:b/>
          <w:sz w:val="20"/>
          <w:szCs w:val="20"/>
          <w:lang w:val="en-GB" w:eastAsia="tr-TR"/>
        </w:rPr>
        <w:t xml:space="preserve">: </w:t>
      </w:r>
      <w:r w:rsidR="004B4EA4">
        <w:rPr>
          <w:rFonts w:ascii="Palatino Linotype" w:hAnsi="Palatino Linotype"/>
          <w:sz w:val="20"/>
          <w:szCs w:val="20"/>
          <w:lang w:val="en-GB" w:eastAsia="tr-TR"/>
        </w:rPr>
        <w:t xml:space="preserve">TurkStat HLFS </w:t>
      </w:r>
      <w:r w:rsidRPr="009D7B6F">
        <w:rPr>
          <w:rFonts w:ascii="Palatino Linotype" w:hAnsi="Palatino Linotype"/>
          <w:sz w:val="20"/>
          <w:szCs w:val="20"/>
          <w:lang w:val="en-GB" w:eastAsia="tr-TR"/>
        </w:rPr>
        <w:t xml:space="preserve">(http://www.tuik.gov.tr, </w:t>
      </w:r>
      <w:r w:rsidR="006773B6">
        <w:rPr>
          <w:rFonts w:ascii="Palatino Linotype" w:hAnsi="Palatino Linotype"/>
          <w:sz w:val="20"/>
          <w:szCs w:val="20"/>
          <w:lang w:val="en-GB" w:eastAsia="tr-TR"/>
        </w:rPr>
        <w:t xml:space="preserve">accessed on </w:t>
      </w:r>
      <w:r>
        <w:rPr>
          <w:rFonts w:ascii="Palatino Linotype" w:hAnsi="Palatino Linotype"/>
          <w:sz w:val="20"/>
          <w:szCs w:val="20"/>
          <w:lang w:val="en-GB" w:eastAsia="tr-TR"/>
        </w:rPr>
        <w:t>28</w:t>
      </w:r>
      <w:r w:rsidRPr="009D7B6F">
        <w:rPr>
          <w:rFonts w:ascii="Palatino Linotype" w:hAnsi="Palatino Linotype"/>
          <w:sz w:val="20"/>
          <w:szCs w:val="20"/>
          <w:lang w:val="en-GB" w:eastAsia="tr-TR"/>
        </w:rPr>
        <w:t>.1</w:t>
      </w:r>
      <w:r>
        <w:rPr>
          <w:rFonts w:ascii="Palatino Linotype" w:hAnsi="Palatino Linotype"/>
          <w:sz w:val="20"/>
          <w:szCs w:val="20"/>
          <w:lang w:val="en-GB" w:eastAsia="tr-TR"/>
        </w:rPr>
        <w:t>2</w:t>
      </w:r>
      <w:r w:rsidRPr="009D7B6F">
        <w:rPr>
          <w:rFonts w:ascii="Palatino Linotype" w:hAnsi="Palatino Linotype"/>
          <w:sz w:val="20"/>
          <w:szCs w:val="20"/>
          <w:lang w:val="en-GB" w:eastAsia="tr-TR"/>
        </w:rPr>
        <w:t>.2017)</w:t>
      </w:r>
    </w:p>
    <w:p w:rsidR="001E5D09" w:rsidRPr="009D7B6F" w:rsidRDefault="001E5D09" w:rsidP="001E5D09">
      <w:pPr>
        <w:keepNext/>
        <w:spacing w:after="120" w:line="240" w:lineRule="auto"/>
        <w:rPr>
          <w:sz w:val="20"/>
          <w:szCs w:val="20"/>
          <w:lang w:val="en-GB" w:eastAsia="tr-TR"/>
        </w:rPr>
      </w:pPr>
    </w:p>
    <w:p w:rsidR="00DA4847" w:rsidRPr="009D7B6F" w:rsidRDefault="00817A5E" w:rsidP="00DA4847">
      <w:pPr>
        <w:keepNext/>
        <w:rPr>
          <w:b/>
          <w:szCs w:val="22"/>
          <w:lang w:val="en-GB"/>
        </w:rPr>
      </w:pPr>
      <w:r>
        <w:rPr>
          <w:b/>
          <w:szCs w:val="22"/>
          <w:lang w:val="en-GB"/>
        </w:rPr>
        <w:t xml:space="preserve">Why has informality increased in non-salaried workers? </w:t>
      </w:r>
    </w:p>
    <w:p w:rsidR="00496CEB" w:rsidRDefault="001F49C6" w:rsidP="00DA4847">
      <w:pPr>
        <w:keepNext/>
        <w:rPr>
          <w:szCs w:val="22"/>
          <w:lang w:val="en-GB"/>
        </w:rPr>
      </w:pPr>
      <w:r>
        <w:rPr>
          <w:szCs w:val="22"/>
          <w:lang w:val="en-GB"/>
        </w:rPr>
        <w:t xml:space="preserve">There are important increases in informal employment rates both in 2016 (where we have an important minimum wage hike) and partly in 2017. This needs to be </w:t>
      </w:r>
      <w:r w:rsidR="00B1457B">
        <w:rPr>
          <w:szCs w:val="22"/>
          <w:lang w:val="en-GB"/>
        </w:rPr>
        <w:t>elaborated</w:t>
      </w:r>
      <w:r>
        <w:rPr>
          <w:szCs w:val="22"/>
          <w:lang w:val="en-GB"/>
        </w:rPr>
        <w:t xml:space="preserve">. </w:t>
      </w:r>
      <w:r w:rsidR="00B1457B">
        <w:rPr>
          <w:szCs w:val="22"/>
          <w:lang w:val="en-GB"/>
        </w:rPr>
        <w:t xml:space="preserve">To our knowledge, there is no previous work showing the effect of minimum wage changes on informality of non-wage earners in Turkey. </w:t>
      </w:r>
    </w:p>
    <w:p w:rsidR="00BD5554" w:rsidRPr="009D7B6F" w:rsidRDefault="00B1457B" w:rsidP="00CF012A">
      <w:pPr>
        <w:keepNext/>
        <w:rPr>
          <w:szCs w:val="22"/>
          <w:lang w:val="en-GB"/>
        </w:rPr>
      </w:pPr>
      <w:r>
        <w:rPr>
          <w:szCs w:val="22"/>
          <w:lang w:val="en-GB"/>
        </w:rPr>
        <w:t xml:space="preserve">It may be seen as normal not to focus particularly on non-wage earners </w:t>
      </w:r>
      <w:r w:rsidR="00CF012A">
        <w:rPr>
          <w:szCs w:val="22"/>
          <w:lang w:val="en-GB"/>
        </w:rPr>
        <w:t>when studying the results of a sudden and administratively decided minimum wage increase given that their</w:t>
      </w:r>
      <w:r>
        <w:rPr>
          <w:szCs w:val="22"/>
          <w:lang w:val="en-GB"/>
        </w:rPr>
        <w:t xml:space="preserve"> registration with </w:t>
      </w:r>
      <w:r w:rsidR="002868B1">
        <w:rPr>
          <w:szCs w:val="22"/>
          <w:lang w:val="en-GB"/>
        </w:rPr>
        <w:t xml:space="preserve">Social Security Institution </w:t>
      </w:r>
      <w:r>
        <w:rPr>
          <w:szCs w:val="22"/>
          <w:lang w:val="en-GB"/>
        </w:rPr>
        <w:t>is decided at individual or household level</w:t>
      </w:r>
      <w:r w:rsidR="00CF012A">
        <w:rPr>
          <w:szCs w:val="22"/>
          <w:lang w:val="en-GB"/>
        </w:rPr>
        <w:t>. H</w:t>
      </w:r>
      <w:r w:rsidR="00BD5554">
        <w:rPr>
          <w:szCs w:val="22"/>
          <w:lang w:val="en-GB"/>
        </w:rPr>
        <w:t xml:space="preserve">owever, </w:t>
      </w:r>
      <w:r w:rsidR="00CF012A">
        <w:rPr>
          <w:szCs w:val="22"/>
          <w:lang w:val="en-GB"/>
        </w:rPr>
        <w:t>the Turkish data show</w:t>
      </w:r>
      <w:r w:rsidR="0073393F">
        <w:rPr>
          <w:szCs w:val="22"/>
          <w:lang w:val="en-GB"/>
        </w:rPr>
        <w:t xml:space="preserve"> that there is an increase in </w:t>
      </w:r>
      <w:r w:rsidR="00CF012A">
        <w:rPr>
          <w:szCs w:val="22"/>
          <w:lang w:val="en-GB"/>
        </w:rPr>
        <w:t xml:space="preserve">the informality rate of </w:t>
      </w:r>
      <w:r w:rsidR="0073393F">
        <w:rPr>
          <w:szCs w:val="22"/>
          <w:lang w:val="en-GB"/>
        </w:rPr>
        <w:t>non-</w:t>
      </w:r>
      <w:r w:rsidR="00CF012A">
        <w:rPr>
          <w:szCs w:val="22"/>
          <w:lang w:val="en-GB"/>
        </w:rPr>
        <w:t>wage earners</w:t>
      </w:r>
      <w:r w:rsidR="0073393F">
        <w:rPr>
          <w:szCs w:val="22"/>
          <w:lang w:val="en-GB"/>
        </w:rPr>
        <w:t xml:space="preserve"> in non-agricultural sector</w:t>
      </w:r>
      <w:r w:rsidR="00CF012A">
        <w:rPr>
          <w:szCs w:val="22"/>
          <w:lang w:val="en-GB"/>
        </w:rPr>
        <w:t>. M</w:t>
      </w:r>
      <w:r w:rsidR="0073393F">
        <w:rPr>
          <w:szCs w:val="22"/>
          <w:lang w:val="en-GB"/>
        </w:rPr>
        <w:t xml:space="preserve">oreover, this increase </w:t>
      </w:r>
      <w:r w:rsidR="00CF012A">
        <w:rPr>
          <w:szCs w:val="22"/>
          <w:lang w:val="en-GB"/>
        </w:rPr>
        <w:t xml:space="preserve">seems to </w:t>
      </w:r>
      <w:r w:rsidR="001F57C8">
        <w:rPr>
          <w:szCs w:val="22"/>
          <w:lang w:val="en-GB"/>
        </w:rPr>
        <w:t xml:space="preserve">reverse </w:t>
      </w:r>
      <w:r w:rsidR="006F292A">
        <w:rPr>
          <w:szCs w:val="22"/>
          <w:lang w:val="en-GB"/>
        </w:rPr>
        <w:t>previously established</w:t>
      </w:r>
      <w:r w:rsidR="00CF012A">
        <w:rPr>
          <w:szCs w:val="22"/>
          <w:lang w:val="en-GB"/>
        </w:rPr>
        <w:t xml:space="preserve"> downward trends. </w:t>
      </w:r>
    </w:p>
    <w:p w:rsidR="0073393F" w:rsidRPr="009D7B6F" w:rsidRDefault="00CF012A" w:rsidP="00DA4847">
      <w:pPr>
        <w:keepNext/>
        <w:rPr>
          <w:szCs w:val="22"/>
          <w:lang w:val="en-GB"/>
        </w:rPr>
      </w:pPr>
      <w:r>
        <w:rPr>
          <w:szCs w:val="22"/>
          <w:lang w:val="en-GB"/>
        </w:rPr>
        <w:t>Establishing an</w:t>
      </w:r>
      <w:r w:rsidR="0073393F">
        <w:rPr>
          <w:szCs w:val="22"/>
          <w:lang w:val="en-GB"/>
        </w:rPr>
        <w:t xml:space="preserve"> economic link between the minimum wage increase and informality </w:t>
      </w:r>
      <w:r>
        <w:rPr>
          <w:szCs w:val="22"/>
          <w:lang w:val="en-GB"/>
        </w:rPr>
        <w:t>for</w:t>
      </w:r>
      <w:r w:rsidR="0073393F">
        <w:rPr>
          <w:szCs w:val="22"/>
          <w:lang w:val="en-GB"/>
        </w:rPr>
        <w:t xml:space="preserve"> non-salaried workers is beyond the scope of this research note. However, the working </w:t>
      </w:r>
      <w:r w:rsidR="002868B1">
        <w:rPr>
          <w:szCs w:val="22"/>
          <w:lang w:val="en-GB"/>
        </w:rPr>
        <w:t xml:space="preserve">hypothesis </w:t>
      </w:r>
      <w:r w:rsidR="00EC67C2">
        <w:rPr>
          <w:szCs w:val="22"/>
          <w:lang w:val="en-GB"/>
        </w:rPr>
        <w:t>t</w:t>
      </w:r>
      <w:r w:rsidR="00E34D6C">
        <w:rPr>
          <w:szCs w:val="22"/>
          <w:lang w:val="en-GB"/>
        </w:rPr>
        <w:t>hat come</w:t>
      </w:r>
      <w:r>
        <w:rPr>
          <w:szCs w:val="22"/>
          <w:lang w:val="en-GB"/>
        </w:rPr>
        <w:t>s</w:t>
      </w:r>
      <w:r w:rsidR="00E34D6C">
        <w:rPr>
          <w:szCs w:val="22"/>
          <w:lang w:val="en-GB"/>
        </w:rPr>
        <w:t xml:space="preserve"> to mind can be</w:t>
      </w:r>
      <w:r w:rsidR="00CD0E71">
        <w:rPr>
          <w:szCs w:val="22"/>
          <w:lang w:val="en-GB"/>
        </w:rPr>
        <w:t xml:space="preserve"> discussed</w:t>
      </w:r>
      <w:r w:rsidR="00E34D6C">
        <w:rPr>
          <w:szCs w:val="22"/>
          <w:lang w:val="en-GB"/>
        </w:rPr>
        <w:t>. The sudden and high minimum wage increase</w:t>
      </w:r>
      <w:r>
        <w:rPr>
          <w:szCs w:val="22"/>
          <w:lang w:val="en-GB"/>
        </w:rPr>
        <w:t xml:space="preserve"> will </w:t>
      </w:r>
      <w:r w:rsidR="00E34D6C">
        <w:rPr>
          <w:szCs w:val="22"/>
          <w:lang w:val="en-GB"/>
        </w:rPr>
        <w:t xml:space="preserve">increase </w:t>
      </w:r>
      <w:r>
        <w:rPr>
          <w:szCs w:val="22"/>
          <w:lang w:val="en-GB"/>
        </w:rPr>
        <w:t xml:space="preserve">insurance premiums for non-wage earners </w:t>
      </w:r>
      <w:r w:rsidR="00207DE1">
        <w:rPr>
          <w:szCs w:val="22"/>
          <w:lang w:val="en-GB"/>
        </w:rPr>
        <w:t xml:space="preserve">as well. </w:t>
      </w:r>
      <w:r w:rsidR="004F3E59">
        <w:rPr>
          <w:szCs w:val="22"/>
          <w:lang w:val="en-GB"/>
        </w:rPr>
        <w:t>Thus, the cost of formality increases for non-salaried workers. The increasing cost</w:t>
      </w:r>
      <w:r w:rsidR="000A27CE">
        <w:rPr>
          <w:szCs w:val="22"/>
          <w:lang w:val="en-GB"/>
        </w:rPr>
        <w:t xml:space="preserve"> could</w:t>
      </w:r>
      <w:r w:rsidR="00207DE1">
        <w:rPr>
          <w:szCs w:val="22"/>
          <w:lang w:val="en-GB"/>
        </w:rPr>
        <w:t xml:space="preserve"> </w:t>
      </w:r>
      <w:r w:rsidR="009C7929">
        <w:rPr>
          <w:szCs w:val="22"/>
          <w:lang w:val="en-GB"/>
        </w:rPr>
        <w:t xml:space="preserve">lead to </w:t>
      </w:r>
      <w:r w:rsidR="000A27CE">
        <w:rPr>
          <w:szCs w:val="22"/>
          <w:lang w:val="en-GB"/>
        </w:rPr>
        <w:t xml:space="preserve">postponement of </w:t>
      </w:r>
      <w:r w:rsidR="00207DE1">
        <w:rPr>
          <w:szCs w:val="22"/>
          <w:lang w:val="en-GB"/>
        </w:rPr>
        <w:t xml:space="preserve">insurance </w:t>
      </w:r>
      <w:r w:rsidR="000A27CE">
        <w:rPr>
          <w:szCs w:val="22"/>
          <w:lang w:val="en-GB"/>
        </w:rPr>
        <w:t xml:space="preserve">premium payments for current formal workers. </w:t>
      </w:r>
      <w:r w:rsidR="00B672C3">
        <w:rPr>
          <w:szCs w:val="22"/>
          <w:lang w:val="en-GB"/>
        </w:rPr>
        <w:t xml:space="preserve"> </w:t>
      </w:r>
      <w:r w:rsidR="00207DE1">
        <w:rPr>
          <w:szCs w:val="22"/>
          <w:lang w:val="en-GB"/>
        </w:rPr>
        <w:t xml:space="preserve">Even this is the case, </w:t>
      </w:r>
      <w:r w:rsidR="00B672C3">
        <w:rPr>
          <w:szCs w:val="22"/>
          <w:lang w:val="en-GB"/>
        </w:rPr>
        <w:t xml:space="preserve">it is </w:t>
      </w:r>
      <w:r w:rsidR="00207DE1">
        <w:rPr>
          <w:szCs w:val="22"/>
          <w:lang w:val="en-GB"/>
        </w:rPr>
        <w:t xml:space="preserve">not likely </w:t>
      </w:r>
      <w:r w:rsidR="00B672C3">
        <w:rPr>
          <w:szCs w:val="22"/>
          <w:lang w:val="en-GB"/>
        </w:rPr>
        <w:t xml:space="preserve">that these </w:t>
      </w:r>
      <w:r w:rsidR="00207DE1">
        <w:rPr>
          <w:szCs w:val="22"/>
          <w:lang w:val="en-GB"/>
        </w:rPr>
        <w:t>non-salaried workers would</w:t>
      </w:r>
      <w:r w:rsidR="00B672C3">
        <w:rPr>
          <w:szCs w:val="22"/>
          <w:lang w:val="en-GB"/>
        </w:rPr>
        <w:t xml:space="preserve"> report themselves as an informal worker in the </w:t>
      </w:r>
      <w:r w:rsidR="00207DE1">
        <w:rPr>
          <w:szCs w:val="22"/>
          <w:lang w:val="en-GB"/>
        </w:rPr>
        <w:t xml:space="preserve">HLFS. </w:t>
      </w:r>
      <w:r w:rsidR="00B672C3">
        <w:rPr>
          <w:szCs w:val="22"/>
          <w:lang w:val="en-GB"/>
        </w:rPr>
        <w:t xml:space="preserve">On the other hand, the </w:t>
      </w:r>
      <w:r w:rsidR="002868B1">
        <w:rPr>
          <w:szCs w:val="22"/>
          <w:lang w:val="en-GB"/>
        </w:rPr>
        <w:t>higher</w:t>
      </w:r>
      <w:r w:rsidR="00B672C3">
        <w:rPr>
          <w:szCs w:val="22"/>
          <w:lang w:val="en-GB"/>
        </w:rPr>
        <w:t xml:space="preserve"> cost of </w:t>
      </w:r>
      <w:r w:rsidR="002868B1">
        <w:rPr>
          <w:szCs w:val="22"/>
          <w:lang w:val="en-GB"/>
        </w:rPr>
        <w:t xml:space="preserve">formal employment </w:t>
      </w:r>
      <w:r w:rsidR="00B672C3">
        <w:rPr>
          <w:szCs w:val="22"/>
          <w:lang w:val="en-GB"/>
        </w:rPr>
        <w:t xml:space="preserve">may have </w:t>
      </w:r>
      <w:r w:rsidR="002868B1">
        <w:rPr>
          <w:szCs w:val="22"/>
          <w:lang w:val="en-GB"/>
        </w:rPr>
        <w:t xml:space="preserve">a dissuasive </w:t>
      </w:r>
      <w:r w:rsidR="00B672C3">
        <w:rPr>
          <w:szCs w:val="22"/>
          <w:lang w:val="en-GB"/>
        </w:rPr>
        <w:t xml:space="preserve">effect </w:t>
      </w:r>
      <w:r w:rsidR="002868B1">
        <w:rPr>
          <w:szCs w:val="22"/>
          <w:lang w:val="en-GB"/>
        </w:rPr>
        <w:t>for non-</w:t>
      </w:r>
      <w:r w:rsidR="002868B1">
        <w:rPr>
          <w:szCs w:val="22"/>
          <w:lang w:val="en-GB"/>
        </w:rPr>
        <w:lastRenderedPageBreak/>
        <w:t xml:space="preserve">wage earners who would register with </w:t>
      </w:r>
      <w:r w:rsidR="00FD7380">
        <w:rPr>
          <w:szCs w:val="22"/>
          <w:lang w:val="en-GB"/>
        </w:rPr>
        <w:t xml:space="preserve">Social Security Institution for the first time. We also would like to remind that </w:t>
      </w:r>
      <w:r w:rsidR="004A7DC1">
        <w:rPr>
          <w:szCs w:val="22"/>
          <w:lang w:val="en-GB"/>
        </w:rPr>
        <w:t>in 2016</w:t>
      </w:r>
      <w:r w:rsidR="00FD7380">
        <w:rPr>
          <w:szCs w:val="22"/>
          <w:lang w:val="en-GB"/>
        </w:rPr>
        <w:t xml:space="preserve"> economic growth </w:t>
      </w:r>
      <w:r w:rsidR="0021137F">
        <w:rPr>
          <w:szCs w:val="22"/>
          <w:lang w:val="en-GB"/>
        </w:rPr>
        <w:t>was very low and</w:t>
      </w:r>
      <w:r w:rsidR="00FD7380">
        <w:rPr>
          <w:szCs w:val="22"/>
          <w:lang w:val="en-GB"/>
        </w:rPr>
        <w:t xml:space="preserve"> there was a high increase in unemployment.  </w:t>
      </w:r>
    </w:p>
    <w:p w:rsidR="00FF3795" w:rsidRPr="009D7B6F" w:rsidRDefault="00FF3795" w:rsidP="00A37F31">
      <w:pPr>
        <w:keepNext/>
        <w:rPr>
          <w:szCs w:val="22"/>
          <w:lang w:val="en-GB"/>
        </w:rPr>
      </w:pPr>
      <w:r>
        <w:rPr>
          <w:szCs w:val="22"/>
          <w:lang w:val="en-GB"/>
        </w:rPr>
        <w:t xml:space="preserve">It </w:t>
      </w:r>
      <w:r w:rsidR="00702D2D">
        <w:rPr>
          <w:szCs w:val="22"/>
          <w:lang w:val="en-GB"/>
        </w:rPr>
        <w:t xml:space="preserve">is possible that </w:t>
      </w:r>
      <w:r>
        <w:rPr>
          <w:szCs w:val="22"/>
          <w:lang w:val="en-GB"/>
        </w:rPr>
        <w:t>formal employee</w:t>
      </w:r>
      <w:r w:rsidR="00702D2D">
        <w:rPr>
          <w:szCs w:val="22"/>
          <w:lang w:val="en-GB"/>
        </w:rPr>
        <w:t>s</w:t>
      </w:r>
      <w:r>
        <w:rPr>
          <w:szCs w:val="22"/>
          <w:lang w:val="en-GB"/>
        </w:rPr>
        <w:t xml:space="preserve"> </w:t>
      </w:r>
      <w:r w:rsidR="00702D2D">
        <w:rPr>
          <w:szCs w:val="22"/>
          <w:lang w:val="en-GB"/>
        </w:rPr>
        <w:t xml:space="preserve">earning low wages </w:t>
      </w:r>
      <w:r>
        <w:rPr>
          <w:szCs w:val="22"/>
          <w:lang w:val="en-GB"/>
        </w:rPr>
        <w:t xml:space="preserve">in non-agricultural sectors </w:t>
      </w:r>
      <w:r w:rsidR="00702D2D">
        <w:rPr>
          <w:szCs w:val="22"/>
          <w:lang w:val="en-GB"/>
        </w:rPr>
        <w:t>are</w:t>
      </w:r>
      <w:r w:rsidR="00CC3943">
        <w:rPr>
          <w:szCs w:val="22"/>
          <w:lang w:val="en-GB"/>
        </w:rPr>
        <w:t xml:space="preserve"> fired in the</w:t>
      </w:r>
      <w:r w:rsidR="00702D2D">
        <w:rPr>
          <w:szCs w:val="22"/>
          <w:lang w:val="en-GB"/>
        </w:rPr>
        <w:t>se</w:t>
      </w:r>
      <w:r w:rsidR="00CC3943">
        <w:rPr>
          <w:szCs w:val="22"/>
          <w:lang w:val="en-GB"/>
        </w:rPr>
        <w:t xml:space="preserve"> low growth </w:t>
      </w:r>
      <w:r w:rsidR="00702D2D">
        <w:rPr>
          <w:szCs w:val="22"/>
          <w:lang w:val="en-GB"/>
        </w:rPr>
        <w:t>conditions</w:t>
      </w:r>
      <w:r w:rsidR="00CC3943">
        <w:rPr>
          <w:szCs w:val="22"/>
          <w:lang w:val="en-GB"/>
        </w:rPr>
        <w:t xml:space="preserve">. These unemployed people </w:t>
      </w:r>
      <w:r w:rsidR="00672BA0">
        <w:rPr>
          <w:szCs w:val="22"/>
          <w:lang w:val="en-GB"/>
        </w:rPr>
        <w:t xml:space="preserve">might start </w:t>
      </w:r>
      <w:r w:rsidR="00CC3943">
        <w:rPr>
          <w:szCs w:val="22"/>
          <w:lang w:val="en-GB"/>
        </w:rPr>
        <w:t>work</w:t>
      </w:r>
      <w:r w:rsidR="00672BA0">
        <w:rPr>
          <w:szCs w:val="22"/>
          <w:lang w:val="en-GB"/>
        </w:rPr>
        <w:t>ing</w:t>
      </w:r>
      <w:r w:rsidR="00CC3943">
        <w:rPr>
          <w:szCs w:val="22"/>
          <w:lang w:val="en-GB"/>
        </w:rPr>
        <w:t xml:space="preserve"> </w:t>
      </w:r>
      <w:r w:rsidR="00672BA0">
        <w:rPr>
          <w:szCs w:val="22"/>
          <w:lang w:val="en-GB"/>
        </w:rPr>
        <w:t xml:space="preserve">informally </w:t>
      </w:r>
      <w:r w:rsidR="00CC3943">
        <w:rPr>
          <w:szCs w:val="22"/>
          <w:lang w:val="en-GB"/>
        </w:rPr>
        <w:t>in small family business</w:t>
      </w:r>
      <w:r w:rsidR="00672BA0">
        <w:rPr>
          <w:szCs w:val="22"/>
          <w:lang w:val="en-GB"/>
        </w:rPr>
        <w:t xml:space="preserve">es given increased </w:t>
      </w:r>
      <w:r w:rsidR="00C2010B">
        <w:rPr>
          <w:szCs w:val="22"/>
          <w:lang w:val="en-GB"/>
        </w:rPr>
        <w:t>cost of formal employment</w:t>
      </w:r>
      <w:r w:rsidR="00672BA0">
        <w:rPr>
          <w:szCs w:val="22"/>
          <w:lang w:val="en-GB"/>
        </w:rPr>
        <w:t>.</w:t>
      </w:r>
      <w:r w:rsidR="00C2010B">
        <w:rPr>
          <w:szCs w:val="22"/>
          <w:lang w:val="en-GB"/>
        </w:rPr>
        <w:t xml:space="preserve"> </w:t>
      </w:r>
    </w:p>
    <w:p w:rsidR="00DA1566" w:rsidRPr="009D7B6F" w:rsidRDefault="00817A5E" w:rsidP="00DA1566">
      <w:pPr>
        <w:pStyle w:val="Heading2"/>
        <w:rPr>
          <w:rFonts w:eastAsiaTheme="minorHAnsi"/>
          <w:lang w:eastAsia="en-US"/>
        </w:rPr>
      </w:pPr>
      <w:r>
        <w:rPr>
          <w:rFonts w:eastAsiaTheme="minorHAnsi"/>
          <w:lang w:eastAsia="en-US"/>
        </w:rPr>
        <w:t>Conclusion and remarks</w:t>
      </w:r>
    </w:p>
    <w:p w:rsidR="00121E22" w:rsidRPr="009D7B6F" w:rsidRDefault="001F57C8" w:rsidP="001F57C8">
      <w:pPr>
        <w:keepNext/>
        <w:rPr>
          <w:szCs w:val="22"/>
          <w:lang w:val="en-GB"/>
        </w:rPr>
      </w:pPr>
      <w:r>
        <w:rPr>
          <w:szCs w:val="22"/>
          <w:lang w:val="en-GB"/>
        </w:rPr>
        <w:t xml:space="preserve">Our results in this research note </w:t>
      </w:r>
      <w:r w:rsidR="00AC4B6F">
        <w:rPr>
          <w:szCs w:val="22"/>
          <w:lang w:val="en-GB"/>
        </w:rPr>
        <w:t xml:space="preserve">confirm the </w:t>
      </w:r>
      <w:r>
        <w:rPr>
          <w:szCs w:val="22"/>
          <w:lang w:val="en-GB"/>
        </w:rPr>
        <w:t xml:space="preserve">claim that </w:t>
      </w:r>
      <w:r w:rsidR="00AC4B6F">
        <w:rPr>
          <w:szCs w:val="22"/>
          <w:lang w:val="en-GB"/>
        </w:rPr>
        <w:t xml:space="preserve">minimum wage </w:t>
      </w:r>
      <w:r>
        <w:rPr>
          <w:szCs w:val="22"/>
          <w:lang w:val="en-GB"/>
        </w:rPr>
        <w:t xml:space="preserve">hike on 1 January </w:t>
      </w:r>
      <w:r w:rsidR="00AC4B6F">
        <w:rPr>
          <w:szCs w:val="22"/>
          <w:lang w:val="en-GB"/>
        </w:rPr>
        <w:t xml:space="preserve">2016 </w:t>
      </w:r>
      <w:r>
        <w:rPr>
          <w:szCs w:val="22"/>
          <w:lang w:val="en-GB"/>
        </w:rPr>
        <w:t xml:space="preserve">increased </w:t>
      </w:r>
      <w:r w:rsidR="00AC4B6F">
        <w:rPr>
          <w:szCs w:val="22"/>
          <w:lang w:val="en-GB"/>
        </w:rPr>
        <w:t>informal employment. The increase in informality is</w:t>
      </w:r>
      <w:r>
        <w:rPr>
          <w:szCs w:val="22"/>
          <w:lang w:val="en-GB"/>
        </w:rPr>
        <w:t xml:space="preserve"> stronger for</w:t>
      </w:r>
      <w:r w:rsidR="00AC4B6F">
        <w:rPr>
          <w:szCs w:val="22"/>
          <w:lang w:val="en-GB"/>
        </w:rPr>
        <w:t xml:space="preserve"> non-salaried workers (employers and own account workers). </w:t>
      </w:r>
      <w:r>
        <w:rPr>
          <w:szCs w:val="22"/>
          <w:lang w:val="en-GB"/>
        </w:rPr>
        <w:t>Moreover, it seems that the increase in minimum wage reversed previously established downward trends of informality for these groups.</w:t>
      </w:r>
      <w:r w:rsidR="00AC4B6F">
        <w:rPr>
          <w:szCs w:val="22"/>
          <w:lang w:val="en-GB"/>
        </w:rPr>
        <w:t xml:space="preserve"> </w:t>
      </w:r>
      <w:r w:rsidR="00F60699">
        <w:rPr>
          <w:szCs w:val="22"/>
          <w:lang w:val="en-GB"/>
        </w:rPr>
        <w:t xml:space="preserve">We mentioned two hypotheses </w:t>
      </w:r>
      <w:r>
        <w:rPr>
          <w:szCs w:val="22"/>
          <w:lang w:val="en-GB"/>
        </w:rPr>
        <w:t xml:space="preserve">that may explain why </w:t>
      </w:r>
      <w:r w:rsidR="00A579FB">
        <w:rPr>
          <w:szCs w:val="22"/>
          <w:lang w:val="en-GB"/>
        </w:rPr>
        <w:t>a</w:t>
      </w:r>
      <w:r w:rsidR="00F60699">
        <w:rPr>
          <w:szCs w:val="22"/>
          <w:lang w:val="en-GB"/>
        </w:rPr>
        <w:t xml:space="preserve"> minimum wage increase </w:t>
      </w:r>
      <w:r w:rsidR="00A579FB">
        <w:rPr>
          <w:szCs w:val="22"/>
          <w:lang w:val="en-GB"/>
        </w:rPr>
        <w:t xml:space="preserve">may affect the informal employment in the case of </w:t>
      </w:r>
      <w:r w:rsidR="00F60699">
        <w:rPr>
          <w:szCs w:val="22"/>
          <w:lang w:val="en-GB"/>
        </w:rPr>
        <w:t xml:space="preserve">non-salaried </w:t>
      </w:r>
      <w:r w:rsidR="00A579FB">
        <w:rPr>
          <w:szCs w:val="22"/>
          <w:lang w:val="en-GB"/>
        </w:rPr>
        <w:t xml:space="preserve">workers. On the one hand, a </w:t>
      </w:r>
      <w:r w:rsidR="00F60699">
        <w:rPr>
          <w:szCs w:val="22"/>
          <w:lang w:val="en-GB"/>
        </w:rPr>
        <w:t>high</w:t>
      </w:r>
      <w:r w:rsidR="00A579FB">
        <w:rPr>
          <w:szCs w:val="22"/>
          <w:lang w:val="en-GB"/>
        </w:rPr>
        <w:t>er</w:t>
      </w:r>
      <w:r w:rsidR="00F60699">
        <w:rPr>
          <w:szCs w:val="22"/>
          <w:lang w:val="en-GB"/>
        </w:rPr>
        <w:t xml:space="preserve"> </w:t>
      </w:r>
      <w:r w:rsidR="00BA42AD">
        <w:rPr>
          <w:szCs w:val="22"/>
          <w:lang w:val="en-GB"/>
        </w:rPr>
        <w:t>minimum</w:t>
      </w:r>
      <w:r w:rsidR="00F60699">
        <w:rPr>
          <w:szCs w:val="22"/>
          <w:lang w:val="en-GB"/>
        </w:rPr>
        <w:t xml:space="preserve"> wage </w:t>
      </w:r>
      <w:r w:rsidR="00BA42AD">
        <w:rPr>
          <w:szCs w:val="22"/>
          <w:lang w:val="en-GB"/>
        </w:rPr>
        <w:t>raise</w:t>
      </w:r>
      <w:r w:rsidR="00A579FB">
        <w:rPr>
          <w:szCs w:val="22"/>
          <w:lang w:val="en-GB"/>
        </w:rPr>
        <w:t>s</w:t>
      </w:r>
      <w:r w:rsidR="00F60699">
        <w:rPr>
          <w:szCs w:val="22"/>
          <w:lang w:val="en-GB"/>
        </w:rPr>
        <w:t xml:space="preserve"> the </w:t>
      </w:r>
      <w:r w:rsidR="00A579FB">
        <w:rPr>
          <w:szCs w:val="22"/>
          <w:lang w:val="en-GB"/>
        </w:rPr>
        <w:t xml:space="preserve">insurance </w:t>
      </w:r>
      <w:r w:rsidR="00F60699">
        <w:rPr>
          <w:szCs w:val="22"/>
          <w:lang w:val="en-GB"/>
        </w:rPr>
        <w:t>premium</w:t>
      </w:r>
      <w:r w:rsidR="00A579FB">
        <w:rPr>
          <w:szCs w:val="22"/>
          <w:lang w:val="en-GB"/>
        </w:rPr>
        <w:t>s</w:t>
      </w:r>
      <w:r w:rsidR="00F60699">
        <w:rPr>
          <w:szCs w:val="22"/>
          <w:lang w:val="en-GB"/>
        </w:rPr>
        <w:t xml:space="preserve"> </w:t>
      </w:r>
      <w:r w:rsidR="00A579FB">
        <w:rPr>
          <w:szCs w:val="22"/>
          <w:lang w:val="en-GB"/>
        </w:rPr>
        <w:t xml:space="preserve">and as a result the cost of formal employment. </w:t>
      </w:r>
      <w:r w:rsidR="00C56444">
        <w:rPr>
          <w:szCs w:val="22"/>
          <w:lang w:val="en-GB"/>
        </w:rPr>
        <w:t xml:space="preserve">This case may cause </w:t>
      </w:r>
      <w:r w:rsidR="00A579FB">
        <w:rPr>
          <w:szCs w:val="22"/>
          <w:lang w:val="en-GB"/>
        </w:rPr>
        <w:t>p</w:t>
      </w:r>
      <w:r w:rsidR="00C56444">
        <w:rPr>
          <w:szCs w:val="22"/>
          <w:lang w:val="en-GB"/>
        </w:rPr>
        <w:t xml:space="preserve">ostponement of </w:t>
      </w:r>
      <w:r w:rsidR="00A579FB">
        <w:rPr>
          <w:szCs w:val="22"/>
          <w:lang w:val="en-GB"/>
        </w:rPr>
        <w:t xml:space="preserve">insurance </w:t>
      </w:r>
      <w:r w:rsidR="00C56444">
        <w:rPr>
          <w:szCs w:val="22"/>
          <w:lang w:val="en-GB"/>
        </w:rPr>
        <w:t xml:space="preserve">payments for people who currently pay their premium. </w:t>
      </w:r>
      <w:r w:rsidR="004E7405">
        <w:rPr>
          <w:szCs w:val="22"/>
          <w:lang w:val="en-GB"/>
        </w:rPr>
        <w:t xml:space="preserve">On the other hand, it </w:t>
      </w:r>
      <w:r w:rsidR="00A579FB">
        <w:rPr>
          <w:szCs w:val="22"/>
          <w:lang w:val="en-GB"/>
        </w:rPr>
        <w:t xml:space="preserve">is possible that someone who loses her job </w:t>
      </w:r>
      <w:r w:rsidR="004E7405">
        <w:rPr>
          <w:szCs w:val="22"/>
          <w:lang w:val="en-GB"/>
        </w:rPr>
        <w:t xml:space="preserve">because of </w:t>
      </w:r>
      <w:r w:rsidR="00A579FB">
        <w:rPr>
          <w:szCs w:val="22"/>
          <w:lang w:val="en-GB"/>
        </w:rPr>
        <w:t xml:space="preserve">higher cost of formal employment may start </w:t>
      </w:r>
      <w:r w:rsidR="004E7405">
        <w:rPr>
          <w:szCs w:val="22"/>
          <w:lang w:val="en-GB"/>
        </w:rPr>
        <w:t>work</w:t>
      </w:r>
      <w:r w:rsidR="00A579FB">
        <w:rPr>
          <w:szCs w:val="22"/>
          <w:lang w:val="en-GB"/>
        </w:rPr>
        <w:t>ing in informal jobs</w:t>
      </w:r>
      <w:r w:rsidR="004E7405">
        <w:rPr>
          <w:szCs w:val="22"/>
          <w:lang w:val="en-GB"/>
        </w:rPr>
        <w:t xml:space="preserve"> in small family business</w:t>
      </w:r>
      <w:r w:rsidR="00A579FB">
        <w:rPr>
          <w:szCs w:val="22"/>
          <w:lang w:val="en-GB"/>
        </w:rPr>
        <w:t>.</w:t>
      </w:r>
      <w:r w:rsidR="004E7405">
        <w:rPr>
          <w:szCs w:val="22"/>
          <w:lang w:val="en-GB"/>
        </w:rPr>
        <w:t xml:space="preserve"> </w:t>
      </w:r>
    </w:p>
    <w:p w:rsidR="00952A23" w:rsidRPr="009D7B6F" w:rsidRDefault="0030724F" w:rsidP="00DA1566">
      <w:pPr>
        <w:rPr>
          <w:rFonts w:eastAsiaTheme="minorHAnsi"/>
          <w:lang w:val="en-GB" w:eastAsia="en-US"/>
        </w:rPr>
      </w:pPr>
      <w:r>
        <w:rPr>
          <w:rFonts w:eastAsiaTheme="minorHAnsi"/>
          <w:lang w:val="en-GB" w:eastAsia="en-US"/>
        </w:rPr>
        <w:t>We need to be cautious about</w:t>
      </w:r>
      <w:r w:rsidR="005E563C">
        <w:rPr>
          <w:rFonts w:eastAsiaTheme="minorHAnsi"/>
          <w:lang w:val="en-GB" w:eastAsia="en-US"/>
        </w:rPr>
        <w:t xml:space="preserve"> these</w:t>
      </w:r>
      <w:r>
        <w:rPr>
          <w:rFonts w:eastAsiaTheme="minorHAnsi"/>
          <w:lang w:val="en-GB" w:eastAsia="en-US"/>
        </w:rPr>
        <w:t xml:space="preserve"> findings </w:t>
      </w:r>
      <w:r w:rsidR="005E563C">
        <w:rPr>
          <w:rFonts w:eastAsiaTheme="minorHAnsi"/>
          <w:lang w:val="en-GB" w:eastAsia="en-US"/>
        </w:rPr>
        <w:t xml:space="preserve">obtained using only aggregate data. </w:t>
      </w:r>
      <w:r>
        <w:rPr>
          <w:rFonts w:eastAsiaTheme="minorHAnsi"/>
          <w:lang w:val="en-GB" w:eastAsia="en-US"/>
        </w:rPr>
        <w:t xml:space="preserve">In our next research notes on this subject, we will examine the relationship between minimum wage and informality, in more detail using </w:t>
      </w:r>
      <w:r w:rsidR="005E563C">
        <w:rPr>
          <w:rFonts w:eastAsiaTheme="minorHAnsi"/>
          <w:lang w:val="en-GB" w:eastAsia="en-US"/>
        </w:rPr>
        <w:t xml:space="preserve">both </w:t>
      </w:r>
      <w:r>
        <w:rPr>
          <w:rFonts w:eastAsiaTheme="minorHAnsi"/>
          <w:lang w:val="en-GB" w:eastAsia="en-US"/>
        </w:rPr>
        <w:t>sector</w:t>
      </w:r>
      <w:r w:rsidR="005E563C">
        <w:rPr>
          <w:rFonts w:eastAsiaTheme="minorHAnsi"/>
          <w:lang w:val="en-GB" w:eastAsia="en-US"/>
        </w:rPr>
        <w:t xml:space="preserve">al level </w:t>
      </w:r>
      <w:r>
        <w:rPr>
          <w:rFonts w:eastAsiaTheme="minorHAnsi"/>
          <w:lang w:val="en-GB" w:eastAsia="en-US"/>
        </w:rPr>
        <w:t>and micro</w:t>
      </w:r>
      <w:r w:rsidR="005E563C">
        <w:rPr>
          <w:rFonts w:eastAsiaTheme="minorHAnsi"/>
          <w:lang w:val="en-GB" w:eastAsia="en-US"/>
        </w:rPr>
        <w:t xml:space="preserve"> </w:t>
      </w:r>
      <w:r>
        <w:rPr>
          <w:rFonts w:eastAsiaTheme="minorHAnsi"/>
          <w:lang w:val="en-GB" w:eastAsia="en-US"/>
        </w:rPr>
        <w:t>data</w:t>
      </w:r>
      <w:r w:rsidR="005E563C">
        <w:rPr>
          <w:rFonts w:eastAsiaTheme="minorHAnsi"/>
          <w:lang w:val="en-GB" w:eastAsia="en-US"/>
        </w:rPr>
        <w:t xml:space="preserve">. </w:t>
      </w:r>
      <w:r w:rsidR="00ED1EBD">
        <w:rPr>
          <w:rFonts w:eastAsiaTheme="minorHAnsi"/>
          <w:lang w:val="en-GB" w:eastAsia="en-US"/>
        </w:rPr>
        <w:t xml:space="preserve">Lastly, </w:t>
      </w:r>
      <w:r w:rsidR="005E563C">
        <w:rPr>
          <w:rFonts w:eastAsiaTheme="minorHAnsi"/>
          <w:lang w:val="en-GB" w:eastAsia="en-US"/>
        </w:rPr>
        <w:t xml:space="preserve">even if </w:t>
      </w:r>
      <w:r w:rsidR="00ED1EBD">
        <w:rPr>
          <w:rFonts w:eastAsiaTheme="minorHAnsi"/>
          <w:lang w:val="en-GB" w:eastAsia="en-US"/>
        </w:rPr>
        <w:t>the</w:t>
      </w:r>
      <w:r>
        <w:rPr>
          <w:rFonts w:eastAsiaTheme="minorHAnsi"/>
          <w:lang w:val="en-GB" w:eastAsia="en-US"/>
        </w:rPr>
        <w:t xml:space="preserve"> increase in </w:t>
      </w:r>
      <w:r w:rsidR="005E563C">
        <w:rPr>
          <w:rFonts w:eastAsiaTheme="minorHAnsi"/>
          <w:lang w:val="en-GB" w:eastAsia="en-US"/>
        </w:rPr>
        <w:t xml:space="preserve">informality due to higher minimum wage is deteriorating social welfare, one should not forget that higher </w:t>
      </w:r>
      <w:r>
        <w:rPr>
          <w:rFonts w:eastAsiaTheme="minorHAnsi"/>
          <w:lang w:val="en-GB" w:eastAsia="en-US"/>
        </w:rPr>
        <w:t>minimum wage</w:t>
      </w:r>
      <w:r w:rsidR="005E563C">
        <w:rPr>
          <w:rFonts w:eastAsiaTheme="minorHAnsi"/>
          <w:lang w:val="en-GB" w:eastAsia="en-US"/>
        </w:rPr>
        <w:t xml:space="preserve">s </w:t>
      </w:r>
      <w:r w:rsidR="00C34C2F">
        <w:rPr>
          <w:rFonts w:eastAsiaTheme="minorHAnsi"/>
          <w:lang w:val="en-GB" w:eastAsia="en-US"/>
        </w:rPr>
        <w:t xml:space="preserve">may </w:t>
      </w:r>
      <w:r w:rsidR="005E563C">
        <w:rPr>
          <w:rFonts w:eastAsiaTheme="minorHAnsi"/>
          <w:lang w:val="en-GB" w:eastAsia="en-US"/>
        </w:rPr>
        <w:t>impl</w:t>
      </w:r>
      <w:r w:rsidR="00C34C2F">
        <w:rPr>
          <w:rFonts w:eastAsiaTheme="minorHAnsi"/>
          <w:lang w:val="en-GB" w:eastAsia="en-US"/>
        </w:rPr>
        <w:t xml:space="preserve">y less income inequality and more social benefits for low-income families. The apparent contradiction between these two facts is eliminated by using </w:t>
      </w:r>
      <w:r w:rsidR="00ED1EBD">
        <w:rPr>
          <w:rFonts w:eastAsiaTheme="minorHAnsi"/>
          <w:lang w:val="en-GB" w:eastAsia="en-US"/>
        </w:rPr>
        <w:t>social preferences and the</w:t>
      </w:r>
      <w:r w:rsidR="00C34C2F">
        <w:rPr>
          <w:rFonts w:eastAsiaTheme="minorHAnsi"/>
          <w:lang w:val="en-GB" w:eastAsia="en-US"/>
        </w:rPr>
        <w:t xml:space="preserve"> weights (importance) </w:t>
      </w:r>
      <w:r w:rsidR="00ED1EBD">
        <w:rPr>
          <w:rFonts w:eastAsiaTheme="minorHAnsi"/>
          <w:lang w:val="en-GB" w:eastAsia="en-US"/>
        </w:rPr>
        <w:t xml:space="preserve">attributed to them. </w:t>
      </w:r>
    </w:p>
    <w:p w:rsidR="00DA1566" w:rsidRPr="009D7B6F" w:rsidRDefault="00817A5E" w:rsidP="00DA1566">
      <w:pPr>
        <w:pStyle w:val="Heading2"/>
        <w:rPr>
          <w:rFonts w:eastAsiaTheme="minorHAnsi"/>
          <w:lang w:eastAsia="en-US"/>
        </w:rPr>
      </w:pPr>
      <w:r>
        <w:rPr>
          <w:rFonts w:eastAsiaTheme="minorHAnsi"/>
          <w:lang w:eastAsia="en-US"/>
        </w:rPr>
        <w:t>References</w:t>
      </w:r>
    </w:p>
    <w:p w:rsidR="00DA1566" w:rsidRPr="009D7B6F" w:rsidRDefault="00DA1566" w:rsidP="00DA1566">
      <w:pPr>
        <w:suppressAutoHyphens w:val="0"/>
        <w:autoSpaceDE w:val="0"/>
        <w:autoSpaceDN w:val="0"/>
        <w:adjustRightInd w:val="0"/>
        <w:spacing w:after="120" w:line="240" w:lineRule="auto"/>
        <w:rPr>
          <w:szCs w:val="22"/>
          <w:lang w:val="en-GB" w:eastAsia="tr-TR"/>
        </w:rPr>
      </w:pPr>
      <w:r w:rsidRPr="009D7B6F">
        <w:rPr>
          <w:szCs w:val="22"/>
          <w:lang w:val="en-GB" w:eastAsia="tr-TR"/>
        </w:rPr>
        <w:t xml:space="preserve">[1] Pelek, Selin (2015). The Employment Effect of the Minimum Wage: An Empirical Analysis From Turkey, </w:t>
      </w:r>
      <w:r w:rsidRPr="009D7B6F">
        <w:rPr>
          <w:i/>
          <w:szCs w:val="22"/>
          <w:lang w:val="en-GB" w:eastAsia="tr-TR"/>
        </w:rPr>
        <w:t>Ekonomi-tek</w:t>
      </w:r>
      <w:r w:rsidRPr="009D7B6F">
        <w:rPr>
          <w:szCs w:val="22"/>
          <w:lang w:val="en-GB" w:eastAsia="tr-TR"/>
        </w:rPr>
        <w:t>, 4(1), 49-68.</w:t>
      </w:r>
    </w:p>
    <w:p w:rsidR="00DA1566" w:rsidRPr="009D7B6F" w:rsidRDefault="00DA1566" w:rsidP="00DA1566">
      <w:pPr>
        <w:suppressAutoHyphens w:val="0"/>
        <w:autoSpaceDE w:val="0"/>
        <w:autoSpaceDN w:val="0"/>
        <w:adjustRightInd w:val="0"/>
        <w:spacing w:after="120" w:line="240" w:lineRule="auto"/>
        <w:rPr>
          <w:szCs w:val="22"/>
          <w:lang w:val="en-GB" w:eastAsia="tr-TR"/>
        </w:rPr>
      </w:pPr>
      <w:r w:rsidRPr="009D7B6F">
        <w:rPr>
          <w:szCs w:val="22"/>
          <w:lang w:val="en-GB" w:eastAsia="tr-TR"/>
        </w:rPr>
        <w:t xml:space="preserve">[2] Khamis, M. (2013): Does the minimum wage have a higher impact on the informal than on the formal labour market? Evidence from quasi-experiments," </w:t>
      </w:r>
      <w:r w:rsidRPr="009D7B6F">
        <w:rPr>
          <w:i/>
          <w:szCs w:val="22"/>
          <w:lang w:val="en-GB" w:eastAsia="tr-TR"/>
        </w:rPr>
        <w:t>Applied Economics</w:t>
      </w:r>
      <w:r w:rsidRPr="009D7B6F">
        <w:rPr>
          <w:szCs w:val="22"/>
          <w:lang w:val="en-GB" w:eastAsia="tr-TR"/>
        </w:rPr>
        <w:t>, 45, 477-495.</w:t>
      </w:r>
    </w:p>
    <w:p w:rsidR="00DA1566" w:rsidRDefault="00DA1566" w:rsidP="00DA1566">
      <w:pPr>
        <w:suppressAutoHyphens w:val="0"/>
        <w:autoSpaceDE w:val="0"/>
        <w:autoSpaceDN w:val="0"/>
        <w:adjustRightInd w:val="0"/>
        <w:spacing w:after="120" w:line="240" w:lineRule="auto"/>
        <w:jc w:val="left"/>
        <w:rPr>
          <w:szCs w:val="22"/>
          <w:lang w:val="en-GB" w:eastAsia="tr-TR"/>
        </w:rPr>
      </w:pPr>
      <w:r w:rsidRPr="009D7B6F">
        <w:rPr>
          <w:szCs w:val="22"/>
          <w:lang w:val="en-GB" w:eastAsia="tr-TR"/>
        </w:rPr>
        <w:t>[3] Yüncüler, H.B.G. ve Ç. Yüncüler (2016). Minimum Wage Effects on Labor Market Outcomes in Turkey, TCMB ÇalışmaTebliğleri No: 16/14</w:t>
      </w:r>
    </w:p>
    <w:p w:rsidR="005849E9" w:rsidRDefault="005849E9" w:rsidP="00DA1566">
      <w:pPr>
        <w:suppressAutoHyphens w:val="0"/>
        <w:autoSpaceDE w:val="0"/>
        <w:autoSpaceDN w:val="0"/>
        <w:adjustRightInd w:val="0"/>
        <w:spacing w:after="120" w:line="240" w:lineRule="auto"/>
        <w:jc w:val="left"/>
        <w:rPr>
          <w:szCs w:val="22"/>
          <w:lang w:val="en-GB" w:eastAsia="tr-TR"/>
        </w:rPr>
      </w:pPr>
    </w:p>
    <w:p w:rsidR="004A7DC1" w:rsidRPr="009D7B6F" w:rsidRDefault="004A7DC1" w:rsidP="00DA1566">
      <w:pPr>
        <w:suppressAutoHyphens w:val="0"/>
        <w:autoSpaceDE w:val="0"/>
        <w:autoSpaceDN w:val="0"/>
        <w:adjustRightInd w:val="0"/>
        <w:spacing w:after="120" w:line="240" w:lineRule="auto"/>
        <w:jc w:val="left"/>
        <w:rPr>
          <w:szCs w:val="22"/>
          <w:lang w:val="en-GB" w:eastAsia="tr-TR"/>
        </w:rPr>
      </w:pPr>
    </w:p>
    <w:p w:rsidR="00DA1566" w:rsidRPr="009D7B6F" w:rsidRDefault="00817A5E" w:rsidP="00A37F31">
      <w:pPr>
        <w:keepNext/>
        <w:rPr>
          <w:b/>
          <w:szCs w:val="22"/>
          <w:lang w:val="en-GB"/>
        </w:rPr>
      </w:pPr>
      <w:r>
        <w:rPr>
          <w:b/>
          <w:szCs w:val="22"/>
          <w:lang w:val="en-GB"/>
        </w:rPr>
        <w:lastRenderedPageBreak/>
        <w:t>Appendix Table</w:t>
      </w:r>
      <w:r w:rsidR="00963DFF" w:rsidRPr="009D7B6F">
        <w:rPr>
          <w:b/>
          <w:szCs w:val="22"/>
          <w:lang w:val="en-GB"/>
        </w:rPr>
        <w:t xml:space="preserve"> 1</w:t>
      </w:r>
      <w:r w:rsidR="007D1341" w:rsidRPr="009D7B6F">
        <w:rPr>
          <w:b/>
          <w:szCs w:val="22"/>
          <w:lang w:val="en-GB"/>
        </w:rPr>
        <w:t>:</w:t>
      </w:r>
      <w:r>
        <w:rPr>
          <w:b/>
          <w:szCs w:val="22"/>
          <w:lang w:val="en-GB"/>
        </w:rPr>
        <w:t xml:space="preserve"> Informal wage earners in agriculture and non-agriculture sectors </w:t>
      </w:r>
    </w:p>
    <w:tbl>
      <w:tblPr>
        <w:tblW w:w="9839" w:type="dxa"/>
        <w:tblCellMar>
          <w:left w:w="70" w:type="dxa"/>
          <w:right w:w="70" w:type="dxa"/>
        </w:tblCellMar>
        <w:tblLook w:val="04A0" w:firstRow="1" w:lastRow="0" w:firstColumn="1" w:lastColumn="0" w:noHBand="0" w:noVBand="1"/>
      </w:tblPr>
      <w:tblGrid>
        <w:gridCol w:w="977"/>
        <w:gridCol w:w="1471"/>
        <w:gridCol w:w="1360"/>
        <w:gridCol w:w="1600"/>
        <w:gridCol w:w="1471"/>
        <w:gridCol w:w="1360"/>
        <w:gridCol w:w="1600"/>
      </w:tblGrid>
      <w:tr w:rsidR="007D1341" w:rsidRPr="009D7B6F" w:rsidTr="00817A5E">
        <w:trPr>
          <w:trHeight w:val="215"/>
        </w:trPr>
        <w:tc>
          <w:tcPr>
            <w:tcW w:w="977" w:type="dxa"/>
            <w:tcBorders>
              <w:top w:val="nil"/>
              <w:left w:val="nil"/>
              <w:bottom w:val="nil"/>
              <w:right w:val="single" w:sz="8" w:space="0" w:color="auto"/>
            </w:tcBorders>
            <w:shd w:val="clear" w:color="auto" w:fill="auto"/>
            <w:noWrap/>
            <w:vAlign w:val="bottom"/>
            <w:hideMark/>
          </w:tcPr>
          <w:p w:rsidR="007D1341" w:rsidRPr="009D7B6F" w:rsidRDefault="007D1341" w:rsidP="007D1341">
            <w:pPr>
              <w:suppressAutoHyphens w:val="0"/>
              <w:spacing w:after="0" w:line="240" w:lineRule="auto"/>
              <w:jc w:val="left"/>
              <w:rPr>
                <w:rFonts w:cs="Times New Roman"/>
                <w:color w:val="000000"/>
                <w:szCs w:val="22"/>
                <w:lang w:val="en-GB" w:eastAsia="tr-TR"/>
              </w:rPr>
            </w:pPr>
            <w:r w:rsidRPr="009D7B6F">
              <w:rPr>
                <w:rFonts w:cs="Times New Roman"/>
                <w:color w:val="000000"/>
                <w:szCs w:val="22"/>
                <w:lang w:val="en-GB" w:eastAsia="tr-TR"/>
              </w:rPr>
              <w:t> </w:t>
            </w:r>
          </w:p>
        </w:tc>
        <w:tc>
          <w:tcPr>
            <w:tcW w:w="443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7D1341" w:rsidRPr="009D7B6F" w:rsidRDefault="00817A5E" w:rsidP="007D1341">
            <w:pPr>
              <w:suppressAutoHyphens w:val="0"/>
              <w:spacing w:after="0" w:line="240" w:lineRule="auto"/>
              <w:jc w:val="center"/>
              <w:rPr>
                <w:rFonts w:cs="Times New Roman"/>
                <w:color w:val="000000"/>
                <w:szCs w:val="22"/>
                <w:lang w:val="en-GB" w:eastAsia="tr-TR"/>
              </w:rPr>
            </w:pPr>
            <w:r>
              <w:rPr>
                <w:rFonts w:cs="Times New Roman"/>
                <w:color w:val="000000"/>
                <w:szCs w:val="22"/>
                <w:lang w:val="en-GB" w:eastAsia="tr-TR"/>
              </w:rPr>
              <w:t xml:space="preserve">Agriculture </w:t>
            </w:r>
          </w:p>
        </w:tc>
        <w:tc>
          <w:tcPr>
            <w:tcW w:w="443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7D1341" w:rsidRPr="009D7B6F" w:rsidRDefault="00817A5E" w:rsidP="007D1341">
            <w:pPr>
              <w:suppressAutoHyphens w:val="0"/>
              <w:spacing w:after="0" w:line="240" w:lineRule="auto"/>
              <w:jc w:val="center"/>
              <w:rPr>
                <w:rFonts w:cs="Times New Roman"/>
                <w:color w:val="000000"/>
                <w:szCs w:val="22"/>
                <w:lang w:val="en-GB" w:eastAsia="tr-TR"/>
              </w:rPr>
            </w:pPr>
            <w:r>
              <w:rPr>
                <w:rFonts w:cs="Times New Roman"/>
                <w:color w:val="000000"/>
                <w:szCs w:val="22"/>
                <w:lang w:val="en-GB" w:eastAsia="tr-TR"/>
              </w:rPr>
              <w:t>Non-Agriculture</w:t>
            </w:r>
          </w:p>
        </w:tc>
      </w:tr>
      <w:tr w:rsidR="00817A5E" w:rsidRPr="009D7B6F" w:rsidTr="00817A5E">
        <w:trPr>
          <w:trHeight w:val="215"/>
        </w:trPr>
        <w:tc>
          <w:tcPr>
            <w:tcW w:w="977" w:type="dxa"/>
            <w:tcBorders>
              <w:top w:val="nil"/>
              <w:left w:val="nil"/>
              <w:bottom w:val="single" w:sz="8" w:space="0" w:color="auto"/>
              <w:right w:val="single" w:sz="8" w:space="0" w:color="auto"/>
            </w:tcBorders>
            <w:shd w:val="clear" w:color="auto" w:fill="auto"/>
            <w:noWrap/>
            <w:vAlign w:val="bottom"/>
            <w:hideMark/>
          </w:tcPr>
          <w:p w:rsidR="00817A5E" w:rsidRPr="009D7B6F" w:rsidRDefault="00817A5E" w:rsidP="00817A5E">
            <w:pPr>
              <w:suppressAutoHyphens w:val="0"/>
              <w:spacing w:after="0" w:line="240" w:lineRule="auto"/>
              <w:jc w:val="left"/>
              <w:rPr>
                <w:rFonts w:cs="Times New Roman"/>
                <w:color w:val="000000"/>
                <w:szCs w:val="22"/>
                <w:lang w:val="en-GB" w:eastAsia="tr-TR"/>
              </w:rPr>
            </w:pPr>
            <w:r w:rsidRPr="009D7B6F">
              <w:rPr>
                <w:rFonts w:cs="Times New Roman"/>
                <w:color w:val="000000"/>
                <w:szCs w:val="22"/>
                <w:lang w:val="en-GB" w:eastAsia="tr-TR"/>
              </w:rPr>
              <w:t> </w:t>
            </w:r>
          </w:p>
        </w:tc>
        <w:tc>
          <w:tcPr>
            <w:tcW w:w="1471" w:type="dxa"/>
            <w:tcBorders>
              <w:top w:val="nil"/>
              <w:left w:val="nil"/>
              <w:bottom w:val="single" w:sz="8" w:space="0" w:color="auto"/>
              <w:right w:val="nil"/>
            </w:tcBorders>
            <w:shd w:val="clear" w:color="auto" w:fill="auto"/>
            <w:noWrap/>
            <w:vAlign w:val="bottom"/>
            <w:hideMark/>
          </w:tcPr>
          <w:p w:rsidR="00817A5E" w:rsidRPr="009D7B6F" w:rsidRDefault="00817A5E" w:rsidP="00817A5E">
            <w:pPr>
              <w:suppressAutoHyphens w:val="0"/>
              <w:spacing w:after="0" w:line="240" w:lineRule="auto"/>
              <w:jc w:val="center"/>
              <w:rPr>
                <w:rFonts w:cs="Times New Roman"/>
                <w:color w:val="000000"/>
                <w:szCs w:val="22"/>
                <w:lang w:val="en-GB" w:eastAsia="tr-TR"/>
              </w:rPr>
            </w:pPr>
            <w:r>
              <w:rPr>
                <w:rFonts w:cs="Times New Roman"/>
                <w:color w:val="000000"/>
                <w:szCs w:val="22"/>
                <w:lang w:val="en-GB" w:eastAsia="tr-TR"/>
              </w:rPr>
              <w:t>Informal (thousand)</w:t>
            </w:r>
          </w:p>
        </w:tc>
        <w:tc>
          <w:tcPr>
            <w:tcW w:w="1360" w:type="dxa"/>
            <w:tcBorders>
              <w:top w:val="nil"/>
              <w:left w:val="nil"/>
              <w:bottom w:val="single" w:sz="8" w:space="0" w:color="auto"/>
              <w:right w:val="nil"/>
            </w:tcBorders>
            <w:shd w:val="clear" w:color="auto" w:fill="auto"/>
            <w:noWrap/>
            <w:vAlign w:val="bottom"/>
            <w:hideMark/>
          </w:tcPr>
          <w:p w:rsidR="00817A5E" w:rsidRPr="009D7B6F" w:rsidRDefault="00817A5E" w:rsidP="00817A5E">
            <w:pPr>
              <w:suppressAutoHyphens w:val="0"/>
              <w:spacing w:after="0" w:line="240" w:lineRule="auto"/>
              <w:jc w:val="center"/>
              <w:rPr>
                <w:rFonts w:cs="Times New Roman"/>
                <w:color w:val="000000"/>
                <w:szCs w:val="22"/>
                <w:lang w:val="en-GB" w:eastAsia="tr-TR"/>
              </w:rPr>
            </w:pPr>
            <w:r>
              <w:rPr>
                <w:rFonts w:cs="Times New Roman"/>
                <w:color w:val="000000"/>
                <w:szCs w:val="22"/>
                <w:lang w:val="en-GB" w:eastAsia="tr-TR"/>
              </w:rPr>
              <w:t>Total (thousand)</w:t>
            </w:r>
          </w:p>
        </w:tc>
        <w:tc>
          <w:tcPr>
            <w:tcW w:w="1599" w:type="dxa"/>
            <w:tcBorders>
              <w:top w:val="nil"/>
              <w:left w:val="nil"/>
              <w:bottom w:val="single" w:sz="8" w:space="0" w:color="auto"/>
              <w:right w:val="single" w:sz="8" w:space="0" w:color="auto"/>
            </w:tcBorders>
            <w:shd w:val="clear" w:color="auto" w:fill="auto"/>
            <w:noWrap/>
            <w:vAlign w:val="bottom"/>
            <w:hideMark/>
          </w:tcPr>
          <w:p w:rsidR="00817A5E" w:rsidRPr="009D7B6F" w:rsidRDefault="00817A5E" w:rsidP="00817A5E">
            <w:pPr>
              <w:suppressAutoHyphens w:val="0"/>
              <w:spacing w:after="0" w:line="240" w:lineRule="auto"/>
              <w:jc w:val="center"/>
              <w:rPr>
                <w:rFonts w:cs="Times New Roman"/>
                <w:color w:val="000000"/>
                <w:szCs w:val="22"/>
                <w:lang w:val="en-GB" w:eastAsia="tr-TR"/>
              </w:rPr>
            </w:pPr>
            <w:r>
              <w:rPr>
                <w:rFonts w:cs="Times New Roman"/>
                <w:color w:val="000000"/>
                <w:szCs w:val="22"/>
                <w:lang w:val="en-GB" w:eastAsia="tr-TR"/>
              </w:rPr>
              <w:t>Informality rate (%)</w:t>
            </w:r>
          </w:p>
        </w:tc>
        <w:tc>
          <w:tcPr>
            <w:tcW w:w="1471" w:type="dxa"/>
            <w:tcBorders>
              <w:top w:val="nil"/>
              <w:left w:val="nil"/>
              <w:bottom w:val="single" w:sz="8" w:space="0" w:color="auto"/>
              <w:right w:val="nil"/>
            </w:tcBorders>
            <w:shd w:val="clear" w:color="auto" w:fill="auto"/>
            <w:noWrap/>
            <w:vAlign w:val="bottom"/>
            <w:hideMark/>
          </w:tcPr>
          <w:p w:rsidR="00817A5E" w:rsidRPr="009D7B6F" w:rsidRDefault="00817A5E" w:rsidP="00817A5E">
            <w:pPr>
              <w:suppressAutoHyphens w:val="0"/>
              <w:spacing w:after="0" w:line="240" w:lineRule="auto"/>
              <w:jc w:val="center"/>
              <w:rPr>
                <w:rFonts w:cs="Times New Roman"/>
                <w:color w:val="000000"/>
                <w:szCs w:val="22"/>
                <w:lang w:val="en-GB" w:eastAsia="tr-TR"/>
              </w:rPr>
            </w:pPr>
            <w:r>
              <w:rPr>
                <w:rFonts w:cs="Times New Roman"/>
                <w:color w:val="000000"/>
                <w:szCs w:val="22"/>
                <w:lang w:val="en-GB" w:eastAsia="tr-TR"/>
              </w:rPr>
              <w:t>Informal (thousand)</w:t>
            </w:r>
          </w:p>
        </w:tc>
        <w:tc>
          <w:tcPr>
            <w:tcW w:w="1360" w:type="dxa"/>
            <w:tcBorders>
              <w:top w:val="nil"/>
              <w:left w:val="nil"/>
              <w:bottom w:val="single" w:sz="8" w:space="0" w:color="auto"/>
              <w:right w:val="nil"/>
            </w:tcBorders>
            <w:shd w:val="clear" w:color="auto" w:fill="auto"/>
            <w:noWrap/>
            <w:vAlign w:val="bottom"/>
            <w:hideMark/>
          </w:tcPr>
          <w:p w:rsidR="00817A5E" w:rsidRPr="009D7B6F" w:rsidRDefault="00817A5E" w:rsidP="00817A5E">
            <w:pPr>
              <w:suppressAutoHyphens w:val="0"/>
              <w:spacing w:after="0" w:line="240" w:lineRule="auto"/>
              <w:jc w:val="center"/>
              <w:rPr>
                <w:rFonts w:cs="Times New Roman"/>
                <w:color w:val="000000"/>
                <w:szCs w:val="22"/>
                <w:lang w:val="en-GB" w:eastAsia="tr-TR"/>
              </w:rPr>
            </w:pPr>
            <w:r>
              <w:rPr>
                <w:rFonts w:cs="Times New Roman"/>
                <w:color w:val="000000"/>
                <w:szCs w:val="22"/>
                <w:lang w:val="en-GB" w:eastAsia="tr-TR"/>
              </w:rPr>
              <w:t>Total (thousand)</w:t>
            </w:r>
          </w:p>
        </w:tc>
        <w:tc>
          <w:tcPr>
            <w:tcW w:w="1599" w:type="dxa"/>
            <w:tcBorders>
              <w:top w:val="nil"/>
              <w:left w:val="nil"/>
              <w:bottom w:val="single" w:sz="8" w:space="0" w:color="auto"/>
              <w:right w:val="single" w:sz="8" w:space="0" w:color="auto"/>
            </w:tcBorders>
            <w:shd w:val="clear" w:color="auto" w:fill="auto"/>
            <w:noWrap/>
            <w:vAlign w:val="bottom"/>
            <w:hideMark/>
          </w:tcPr>
          <w:p w:rsidR="00817A5E" w:rsidRPr="009D7B6F" w:rsidRDefault="00817A5E" w:rsidP="00817A5E">
            <w:pPr>
              <w:suppressAutoHyphens w:val="0"/>
              <w:spacing w:after="0" w:line="240" w:lineRule="auto"/>
              <w:jc w:val="center"/>
              <w:rPr>
                <w:rFonts w:cs="Times New Roman"/>
                <w:color w:val="000000"/>
                <w:szCs w:val="22"/>
                <w:lang w:val="en-GB" w:eastAsia="tr-TR"/>
              </w:rPr>
            </w:pPr>
            <w:r>
              <w:rPr>
                <w:rFonts w:cs="Times New Roman"/>
                <w:color w:val="000000"/>
                <w:szCs w:val="22"/>
                <w:lang w:val="en-GB" w:eastAsia="tr-TR"/>
              </w:rPr>
              <w:t>Informality rate (%)</w:t>
            </w:r>
          </w:p>
        </w:tc>
      </w:tr>
      <w:tr w:rsidR="007D1341" w:rsidRPr="009D7B6F" w:rsidTr="00817A5E">
        <w:trPr>
          <w:trHeight w:val="206"/>
        </w:trPr>
        <w:tc>
          <w:tcPr>
            <w:tcW w:w="977" w:type="dxa"/>
            <w:tcBorders>
              <w:top w:val="nil"/>
              <w:left w:val="single" w:sz="8" w:space="0" w:color="auto"/>
              <w:bottom w:val="nil"/>
              <w:right w:val="single" w:sz="8" w:space="0" w:color="auto"/>
            </w:tcBorders>
            <w:shd w:val="clear" w:color="auto" w:fill="auto"/>
            <w:noWrap/>
            <w:vAlign w:val="bottom"/>
            <w:hideMark/>
          </w:tcPr>
          <w:p w:rsidR="007D1341" w:rsidRPr="009D7B6F" w:rsidRDefault="007D1341" w:rsidP="007D1341">
            <w:pPr>
              <w:suppressAutoHyphens w:val="0"/>
              <w:spacing w:after="0" w:line="240" w:lineRule="auto"/>
              <w:jc w:val="left"/>
              <w:rPr>
                <w:rFonts w:cs="Times New Roman"/>
                <w:color w:val="000000"/>
                <w:szCs w:val="22"/>
                <w:lang w:val="en-GB" w:eastAsia="tr-TR"/>
              </w:rPr>
            </w:pPr>
            <w:r w:rsidRPr="009D7B6F">
              <w:rPr>
                <w:rFonts w:cs="Times New Roman"/>
                <w:color w:val="000000"/>
                <w:szCs w:val="22"/>
                <w:lang w:val="en-GB" w:eastAsia="tr-TR"/>
              </w:rPr>
              <w:t>2014</w:t>
            </w:r>
          </w:p>
        </w:tc>
        <w:tc>
          <w:tcPr>
            <w:tcW w:w="1471" w:type="dxa"/>
            <w:tcBorders>
              <w:top w:val="nil"/>
              <w:left w:val="nil"/>
              <w:bottom w:val="nil"/>
              <w:right w:val="nil"/>
            </w:tcBorders>
            <w:shd w:val="clear" w:color="auto" w:fill="auto"/>
            <w:noWrap/>
            <w:vAlign w:val="bottom"/>
            <w:hideMark/>
          </w:tcPr>
          <w:p w:rsidR="007D1341" w:rsidRPr="009D7B6F" w:rsidRDefault="007D1341" w:rsidP="007D1341">
            <w:pPr>
              <w:suppressAutoHyphens w:val="0"/>
              <w:spacing w:after="0" w:line="240" w:lineRule="auto"/>
              <w:jc w:val="center"/>
              <w:rPr>
                <w:rFonts w:cs="Times New Roman"/>
                <w:color w:val="000000"/>
                <w:szCs w:val="22"/>
                <w:lang w:val="en-GB" w:eastAsia="tr-TR"/>
              </w:rPr>
            </w:pPr>
            <w:r w:rsidRPr="009D7B6F">
              <w:rPr>
                <w:rFonts w:cs="Times New Roman"/>
                <w:color w:val="000000"/>
                <w:szCs w:val="22"/>
                <w:lang w:val="en-GB" w:eastAsia="tr-TR"/>
              </w:rPr>
              <w:t xml:space="preserve"> 450</w:t>
            </w:r>
          </w:p>
        </w:tc>
        <w:tc>
          <w:tcPr>
            <w:tcW w:w="1360" w:type="dxa"/>
            <w:tcBorders>
              <w:top w:val="nil"/>
              <w:left w:val="nil"/>
              <w:bottom w:val="nil"/>
              <w:right w:val="nil"/>
            </w:tcBorders>
            <w:shd w:val="clear" w:color="auto" w:fill="auto"/>
            <w:noWrap/>
            <w:vAlign w:val="bottom"/>
            <w:hideMark/>
          </w:tcPr>
          <w:p w:rsidR="007D1341" w:rsidRPr="009D7B6F" w:rsidRDefault="007D1341" w:rsidP="007D1341">
            <w:pPr>
              <w:suppressAutoHyphens w:val="0"/>
              <w:spacing w:after="0" w:line="240" w:lineRule="auto"/>
              <w:jc w:val="center"/>
              <w:rPr>
                <w:rFonts w:cs="Times New Roman"/>
                <w:color w:val="000000"/>
                <w:szCs w:val="22"/>
                <w:lang w:val="en-GB" w:eastAsia="tr-TR"/>
              </w:rPr>
            </w:pPr>
            <w:r w:rsidRPr="009D7B6F">
              <w:rPr>
                <w:rFonts w:cs="Times New Roman"/>
                <w:color w:val="000000"/>
                <w:szCs w:val="22"/>
                <w:lang w:val="en-GB" w:eastAsia="tr-TR"/>
              </w:rPr>
              <w:t xml:space="preserve"> 546</w:t>
            </w:r>
          </w:p>
        </w:tc>
        <w:tc>
          <w:tcPr>
            <w:tcW w:w="1599" w:type="dxa"/>
            <w:tcBorders>
              <w:top w:val="nil"/>
              <w:left w:val="nil"/>
              <w:bottom w:val="nil"/>
              <w:right w:val="single" w:sz="8" w:space="0" w:color="auto"/>
            </w:tcBorders>
            <w:shd w:val="clear" w:color="auto" w:fill="auto"/>
            <w:noWrap/>
            <w:vAlign w:val="bottom"/>
            <w:hideMark/>
          </w:tcPr>
          <w:p w:rsidR="007D1341" w:rsidRPr="009D7B6F" w:rsidRDefault="007D1341" w:rsidP="007D1341">
            <w:pPr>
              <w:suppressAutoHyphens w:val="0"/>
              <w:spacing w:after="0" w:line="240" w:lineRule="auto"/>
              <w:jc w:val="center"/>
              <w:rPr>
                <w:rFonts w:cs="Times New Roman"/>
                <w:color w:val="000000"/>
                <w:szCs w:val="22"/>
                <w:lang w:val="en-GB" w:eastAsia="tr-TR"/>
              </w:rPr>
            </w:pPr>
            <w:r w:rsidRPr="009D7B6F">
              <w:rPr>
                <w:rFonts w:cs="Times New Roman"/>
                <w:color w:val="000000"/>
                <w:szCs w:val="22"/>
                <w:lang w:val="en-GB" w:eastAsia="tr-TR"/>
              </w:rPr>
              <w:t>82.4</w:t>
            </w:r>
          </w:p>
        </w:tc>
        <w:tc>
          <w:tcPr>
            <w:tcW w:w="1471" w:type="dxa"/>
            <w:tcBorders>
              <w:top w:val="nil"/>
              <w:left w:val="nil"/>
              <w:bottom w:val="nil"/>
              <w:right w:val="nil"/>
            </w:tcBorders>
            <w:shd w:val="clear" w:color="auto" w:fill="auto"/>
            <w:noWrap/>
            <w:vAlign w:val="bottom"/>
            <w:hideMark/>
          </w:tcPr>
          <w:p w:rsidR="007D1341" w:rsidRPr="009D7B6F" w:rsidRDefault="007D1341" w:rsidP="007D1341">
            <w:pPr>
              <w:suppressAutoHyphens w:val="0"/>
              <w:spacing w:after="0" w:line="240" w:lineRule="auto"/>
              <w:jc w:val="center"/>
              <w:rPr>
                <w:rFonts w:cs="Times New Roman"/>
                <w:color w:val="000000"/>
                <w:szCs w:val="22"/>
                <w:lang w:val="en-GB" w:eastAsia="tr-TR"/>
              </w:rPr>
            </w:pPr>
            <w:r w:rsidRPr="009D7B6F">
              <w:rPr>
                <w:rFonts w:cs="Times New Roman"/>
                <w:color w:val="000000"/>
                <w:szCs w:val="22"/>
                <w:lang w:val="en-GB" w:eastAsia="tr-TR"/>
              </w:rPr>
              <w:t>2 899</w:t>
            </w:r>
          </w:p>
        </w:tc>
        <w:tc>
          <w:tcPr>
            <w:tcW w:w="1360" w:type="dxa"/>
            <w:tcBorders>
              <w:top w:val="nil"/>
              <w:left w:val="nil"/>
              <w:bottom w:val="nil"/>
              <w:right w:val="nil"/>
            </w:tcBorders>
            <w:shd w:val="clear" w:color="auto" w:fill="auto"/>
            <w:noWrap/>
            <w:vAlign w:val="bottom"/>
            <w:hideMark/>
          </w:tcPr>
          <w:p w:rsidR="007D1341" w:rsidRPr="009D7B6F" w:rsidRDefault="007D1341" w:rsidP="007D1341">
            <w:pPr>
              <w:suppressAutoHyphens w:val="0"/>
              <w:spacing w:after="0" w:line="240" w:lineRule="auto"/>
              <w:jc w:val="center"/>
              <w:rPr>
                <w:rFonts w:cs="Times New Roman"/>
                <w:color w:val="000000"/>
                <w:szCs w:val="22"/>
                <w:lang w:val="en-GB" w:eastAsia="tr-TR"/>
              </w:rPr>
            </w:pPr>
            <w:r w:rsidRPr="009D7B6F">
              <w:rPr>
                <w:rFonts w:cs="Times New Roman"/>
                <w:color w:val="000000"/>
                <w:szCs w:val="22"/>
                <w:lang w:val="en-GB" w:eastAsia="tr-TR"/>
              </w:rPr>
              <w:t>16 579</w:t>
            </w:r>
          </w:p>
        </w:tc>
        <w:tc>
          <w:tcPr>
            <w:tcW w:w="1599" w:type="dxa"/>
            <w:tcBorders>
              <w:top w:val="nil"/>
              <w:left w:val="nil"/>
              <w:bottom w:val="nil"/>
              <w:right w:val="single" w:sz="8" w:space="0" w:color="auto"/>
            </w:tcBorders>
            <w:shd w:val="clear" w:color="auto" w:fill="auto"/>
            <w:noWrap/>
            <w:vAlign w:val="bottom"/>
            <w:hideMark/>
          </w:tcPr>
          <w:p w:rsidR="007D1341" w:rsidRPr="009D7B6F" w:rsidRDefault="007D1341" w:rsidP="007D1341">
            <w:pPr>
              <w:suppressAutoHyphens w:val="0"/>
              <w:spacing w:after="0" w:line="240" w:lineRule="auto"/>
              <w:jc w:val="center"/>
              <w:rPr>
                <w:rFonts w:cs="Times New Roman"/>
                <w:color w:val="000000"/>
                <w:szCs w:val="22"/>
                <w:lang w:val="en-GB" w:eastAsia="tr-TR"/>
              </w:rPr>
            </w:pPr>
            <w:r w:rsidRPr="009D7B6F">
              <w:rPr>
                <w:rFonts w:cs="Times New Roman"/>
                <w:color w:val="000000"/>
                <w:szCs w:val="22"/>
                <w:lang w:val="en-GB" w:eastAsia="tr-TR"/>
              </w:rPr>
              <w:t>17.5</w:t>
            </w:r>
          </w:p>
        </w:tc>
      </w:tr>
      <w:tr w:rsidR="007D1341" w:rsidRPr="009D7B6F" w:rsidTr="00817A5E">
        <w:trPr>
          <w:trHeight w:val="206"/>
        </w:trPr>
        <w:tc>
          <w:tcPr>
            <w:tcW w:w="977" w:type="dxa"/>
            <w:tcBorders>
              <w:top w:val="nil"/>
              <w:left w:val="single" w:sz="8" w:space="0" w:color="auto"/>
              <w:bottom w:val="nil"/>
              <w:right w:val="single" w:sz="8" w:space="0" w:color="auto"/>
            </w:tcBorders>
            <w:shd w:val="clear" w:color="auto" w:fill="auto"/>
            <w:noWrap/>
            <w:vAlign w:val="bottom"/>
            <w:hideMark/>
          </w:tcPr>
          <w:p w:rsidR="007D1341" w:rsidRPr="009D7B6F" w:rsidRDefault="007D1341" w:rsidP="007D1341">
            <w:pPr>
              <w:suppressAutoHyphens w:val="0"/>
              <w:spacing w:after="0" w:line="240" w:lineRule="auto"/>
              <w:jc w:val="left"/>
              <w:rPr>
                <w:rFonts w:cs="Times New Roman"/>
                <w:color w:val="000000"/>
                <w:szCs w:val="22"/>
                <w:lang w:val="en-GB" w:eastAsia="tr-TR"/>
              </w:rPr>
            </w:pPr>
            <w:r w:rsidRPr="009D7B6F">
              <w:rPr>
                <w:rFonts w:cs="Times New Roman"/>
                <w:color w:val="000000"/>
                <w:szCs w:val="22"/>
                <w:lang w:val="en-GB" w:eastAsia="tr-TR"/>
              </w:rPr>
              <w:t>2015</w:t>
            </w:r>
          </w:p>
        </w:tc>
        <w:tc>
          <w:tcPr>
            <w:tcW w:w="1471" w:type="dxa"/>
            <w:tcBorders>
              <w:top w:val="nil"/>
              <w:left w:val="nil"/>
              <w:bottom w:val="nil"/>
              <w:right w:val="nil"/>
            </w:tcBorders>
            <w:shd w:val="clear" w:color="auto" w:fill="auto"/>
            <w:noWrap/>
            <w:vAlign w:val="bottom"/>
            <w:hideMark/>
          </w:tcPr>
          <w:p w:rsidR="007D1341" w:rsidRPr="009D7B6F" w:rsidRDefault="007D1341" w:rsidP="007D1341">
            <w:pPr>
              <w:suppressAutoHyphens w:val="0"/>
              <w:spacing w:after="0" w:line="240" w:lineRule="auto"/>
              <w:jc w:val="center"/>
              <w:rPr>
                <w:rFonts w:cs="Times New Roman"/>
                <w:color w:val="000000"/>
                <w:szCs w:val="22"/>
                <w:lang w:val="en-GB" w:eastAsia="tr-TR"/>
              </w:rPr>
            </w:pPr>
            <w:r w:rsidRPr="009D7B6F">
              <w:rPr>
                <w:rFonts w:cs="Times New Roman"/>
                <w:color w:val="000000"/>
                <w:szCs w:val="22"/>
                <w:lang w:val="en-GB" w:eastAsia="tr-TR"/>
              </w:rPr>
              <w:t xml:space="preserve"> 443</w:t>
            </w:r>
          </w:p>
        </w:tc>
        <w:tc>
          <w:tcPr>
            <w:tcW w:w="1360" w:type="dxa"/>
            <w:tcBorders>
              <w:top w:val="nil"/>
              <w:left w:val="nil"/>
              <w:bottom w:val="nil"/>
              <w:right w:val="nil"/>
            </w:tcBorders>
            <w:shd w:val="clear" w:color="auto" w:fill="auto"/>
            <w:noWrap/>
            <w:vAlign w:val="bottom"/>
            <w:hideMark/>
          </w:tcPr>
          <w:p w:rsidR="007D1341" w:rsidRPr="009D7B6F" w:rsidRDefault="007D1341" w:rsidP="007D1341">
            <w:pPr>
              <w:suppressAutoHyphens w:val="0"/>
              <w:spacing w:after="0" w:line="240" w:lineRule="auto"/>
              <w:jc w:val="center"/>
              <w:rPr>
                <w:rFonts w:cs="Times New Roman"/>
                <w:color w:val="000000"/>
                <w:szCs w:val="22"/>
                <w:lang w:val="en-GB" w:eastAsia="tr-TR"/>
              </w:rPr>
            </w:pPr>
            <w:r w:rsidRPr="009D7B6F">
              <w:rPr>
                <w:rFonts w:cs="Times New Roman"/>
                <w:color w:val="000000"/>
                <w:szCs w:val="22"/>
                <w:lang w:val="en-GB" w:eastAsia="tr-TR"/>
              </w:rPr>
              <w:t xml:space="preserve"> 599</w:t>
            </w:r>
          </w:p>
        </w:tc>
        <w:tc>
          <w:tcPr>
            <w:tcW w:w="1599" w:type="dxa"/>
            <w:tcBorders>
              <w:top w:val="nil"/>
              <w:left w:val="nil"/>
              <w:bottom w:val="nil"/>
              <w:right w:val="single" w:sz="8" w:space="0" w:color="auto"/>
            </w:tcBorders>
            <w:shd w:val="clear" w:color="auto" w:fill="auto"/>
            <w:noWrap/>
            <w:vAlign w:val="bottom"/>
            <w:hideMark/>
          </w:tcPr>
          <w:p w:rsidR="007D1341" w:rsidRPr="009D7B6F" w:rsidRDefault="007D1341" w:rsidP="007D1341">
            <w:pPr>
              <w:suppressAutoHyphens w:val="0"/>
              <w:spacing w:after="0" w:line="240" w:lineRule="auto"/>
              <w:jc w:val="center"/>
              <w:rPr>
                <w:rFonts w:cs="Times New Roman"/>
                <w:color w:val="000000"/>
                <w:szCs w:val="22"/>
                <w:lang w:val="en-GB" w:eastAsia="tr-TR"/>
              </w:rPr>
            </w:pPr>
            <w:r w:rsidRPr="009D7B6F">
              <w:rPr>
                <w:rFonts w:cs="Times New Roman"/>
                <w:color w:val="000000"/>
                <w:szCs w:val="22"/>
                <w:lang w:val="en-GB" w:eastAsia="tr-TR"/>
              </w:rPr>
              <w:t>74.0</w:t>
            </w:r>
          </w:p>
        </w:tc>
        <w:tc>
          <w:tcPr>
            <w:tcW w:w="1471" w:type="dxa"/>
            <w:tcBorders>
              <w:top w:val="nil"/>
              <w:left w:val="nil"/>
              <w:bottom w:val="nil"/>
              <w:right w:val="nil"/>
            </w:tcBorders>
            <w:shd w:val="clear" w:color="auto" w:fill="auto"/>
            <w:noWrap/>
            <w:vAlign w:val="bottom"/>
            <w:hideMark/>
          </w:tcPr>
          <w:p w:rsidR="007D1341" w:rsidRPr="009D7B6F" w:rsidRDefault="007D1341" w:rsidP="007D1341">
            <w:pPr>
              <w:suppressAutoHyphens w:val="0"/>
              <w:spacing w:after="0" w:line="240" w:lineRule="auto"/>
              <w:jc w:val="center"/>
              <w:rPr>
                <w:rFonts w:cs="Times New Roman"/>
                <w:color w:val="000000"/>
                <w:szCs w:val="22"/>
                <w:lang w:val="en-GB" w:eastAsia="tr-TR"/>
              </w:rPr>
            </w:pPr>
            <w:r w:rsidRPr="009D7B6F">
              <w:rPr>
                <w:rFonts w:cs="Times New Roman"/>
                <w:color w:val="000000"/>
                <w:szCs w:val="22"/>
                <w:lang w:val="en-GB" w:eastAsia="tr-TR"/>
              </w:rPr>
              <w:t>2 826</w:t>
            </w:r>
          </w:p>
        </w:tc>
        <w:tc>
          <w:tcPr>
            <w:tcW w:w="1360" w:type="dxa"/>
            <w:tcBorders>
              <w:top w:val="nil"/>
              <w:left w:val="nil"/>
              <w:bottom w:val="nil"/>
              <w:right w:val="nil"/>
            </w:tcBorders>
            <w:shd w:val="clear" w:color="auto" w:fill="auto"/>
            <w:noWrap/>
            <w:vAlign w:val="bottom"/>
            <w:hideMark/>
          </w:tcPr>
          <w:p w:rsidR="007D1341" w:rsidRPr="009D7B6F" w:rsidRDefault="007D1341" w:rsidP="007D1341">
            <w:pPr>
              <w:suppressAutoHyphens w:val="0"/>
              <w:spacing w:after="0" w:line="240" w:lineRule="auto"/>
              <w:jc w:val="center"/>
              <w:rPr>
                <w:rFonts w:cs="Times New Roman"/>
                <w:color w:val="000000"/>
                <w:szCs w:val="22"/>
                <w:lang w:val="en-GB" w:eastAsia="tr-TR"/>
              </w:rPr>
            </w:pPr>
            <w:r w:rsidRPr="009D7B6F">
              <w:rPr>
                <w:rFonts w:cs="Times New Roman"/>
                <w:color w:val="000000"/>
                <w:szCs w:val="22"/>
                <w:lang w:val="en-GB" w:eastAsia="tr-TR"/>
              </w:rPr>
              <w:t>17 228</w:t>
            </w:r>
          </w:p>
        </w:tc>
        <w:tc>
          <w:tcPr>
            <w:tcW w:w="1599" w:type="dxa"/>
            <w:tcBorders>
              <w:top w:val="nil"/>
              <w:left w:val="nil"/>
              <w:bottom w:val="nil"/>
              <w:right w:val="single" w:sz="8" w:space="0" w:color="auto"/>
            </w:tcBorders>
            <w:shd w:val="clear" w:color="auto" w:fill="auto"/>
            <w:noWrap/>
            <w:vAlign w:val="bottom"/>
            <w:hideMark/>
          </w:tcPr>
          <w:p w:rsidR="007D1341" w:rsidRPr="009D7B6F" w:rsidRDefault="007D1341" w:rsidP="007D1341">
            <w:pPr>
              <w:suppressAutoHyphens w:val="0"/>
              <w:spacing w:after="0" w:line="240" w:lineRule="auto"/>
              <w:jc w:val="center"/>
              <w:rPr>
                <w:rFonts w:cs="Times New Roman"/>
                <w:color w:val="000000"/>
                <w:szCs w:val="22"/>
                <w:lang w:val="en-GB" w:eastAsia="tr-TR"/>
              </w:rPr>
            </w:pPr>
            <w:r w:rsidRPr="009D7B6F">
              <w:rPr>
                <w:rFonts w:cs="Times New Roman"/>
                <w:color w:val="000000"/>
                <w:szCs w:val="22"/>
                <w:lang w:val="en-GB" w:eastAsia="tr-TR"/>
              </w:rPr>
              <w:t>16.40</w:t>
            </w:r>
          </w:p>
        </w:tc>
      </w:tr>
      <w:tr w:rsidR="007D1341" w:rsidRPr="009D7B6F" w:rsidTr="00817A5E">
        <w:trPr>
          <w:trHeight w:val="215"/>
        </w:trPr>
        <w:tc>
          <w:tcPr>
            <w:tcW w:w="977" w:type="dxa"/>
            <w:tcBorders>
              <w:top w:val="nil"/>
              <w:left w:val="single" w:sz="8" w:space="0" w:color="auto"/>
              <w:bottom w:val="single" w:sz="8" w:space="0" w:color="auto"/>
              <w:right w:val="single" w:sz="8" w:space="0" w:color="auto"/>
            </w:tcBorders>
            <w:shd w:val="clear" w:color="auto" w:fill="auto"/>
            <w:noWrap/>
            <w:vAlign w:val="bottom"/>
            <w:hideMark/>
          </w:tcPr>
          <w:p w:rsidR="007D1341" w:rsidRPr="009D7B6F" w:rsidRDefault="007D1341" w:rsidP="007D1341">
            <w:pPr>
              <w:suppressAutoHyphens w:val="0"/>
              <w:spacing w:after="0" w:line="240" w:lineRule="auto"/>
              <w:jc w:val="left"/>
              <w:rPr>
                <w:rFonts w:cs="Times New Roman"/>
                <w:color w:val="000000"/>
                <w:szCs w:val="22"/>
                <w:lang w:val="en-GB" w:eastAsia="tr-TR"/>
              </w:rPr>
            </w:pPr>
            <w:r w:rsidRPr="009D7B6F">
              <w:rPr>
                <w:rFonts w:cs="Times New Roman"/>
                <w:color w:val="000000"/>
                <w:szCs w:val="22"/>
                <w:lang w:val="en-GB" w:eastAsia="tr-TR"/>
              </w:rPr>
              <w:t>2016</w:t>
            </w:r>
          </w:p>
        </w:tc>
        <w:tc>
          <w:tcPr>
            <w:tcW w:w="1471" w:type="dxa"/>
            <w:tcBorders>
              <w:top w:val="nil"/>
              <w:left w:val="nil"/>
              <w:bottom w:val="single" w:sz="8" w:space="0" w:color="auto"/>
              <w:right w:val="nil"/>
            </w:tcBorders>
            <w:shd w:val="clear" w:color="auto" w:fill="auto"/>
            <w:noWrap/>
            <w:vAlign w:val="bottom"/>
            <w:hideMark/>
          </w:tcPr>
          <w:p w:rsidR="007D1341" w:rsidRPr="009D7B6F" w:rsidRDefault="007D1341" w:rsidP="007D1341">
            <w:pPr>
              <w:suppressAutoHyphens w:val="0"/>
              <w:spacing w:after="0" w:line="240" w:lineRule="auto"/>
              <w:jc w:val="center"/>
              <w:rPr>
                <w:rFonts w:cs="Times New Roman"/>
                <w:color w:val="000000"/>
                <w:szCs w:val="22"/>
                <w:lang w:val="en-GB" w:eastAsia="tr-TR"/>
              </w:rPr>
            </w:pPr>
            <w:r w:rsidRPr="009D7B6F">
              <w:rPr>
                <w:rFonts w:cs="Times New Roman"/>
                <w:color w:val="000000"/>
                <w:szCs w:val="22"/>
                <w:lang w:val="en-GB" w:eastAsia="tr-TR"/>
              </w:rPr>
              <w:t xml:space="preserve"> 426</w:t>
            </w:r>
          </w:p>
        </w:tc>
        <w:tc>
          <w:tcPr>
            <w:tcW w:w="1360" w:type="dxa"/>
            <w:tcBorders>
              <w:top w:val="nil"/>
              <w:left w:val="nil"/>
              <w:bottom w:val="single" w:sz="8" w:space="0" w:color="auto"/>
              <w:right w:val="nil"/>
            </w:tcBorders>
            <w:shd w:val="clear" w:color="auto" w:fill="auto"/>
            <w:noWrap/>
            <w:vAlign w:val="bottom"/>
            <w:hideMark/>
          </w:tcPr>
          <w:p w:rsidR="007D1341" w:rsidRPr="009D7B6F" w:rsidRDefault="007D1341" w:rsidP="007D1341">
            <w:pPr>
              <w:suppressAutoHyphens w:val="0"/>
              <w:spacing w:after="0" w:line="240" w:lineRule="auto"/>
              <w:jc w:val="center"/>
              <w:rPr>
                <w:rFonts w:cs="Times New Roman"/>
                <w:color w:val="000000"/>
                <w:szCs w:val="22"/>
                <w:lang w:val="en-GB" w:eastAsia="tr-TR"/>
              </w:rPr>
            </w:pPr>
            <w:r w:rsidRPr="009D7B6F">
              <w:rPr>
                <w:rFonts w:cs="Times New Roman"/>
                <w:color w:val="000000"/>
                <w:szCs w:val="22"/>
                <w:lang w:val="en-GB" w:eastAsia="tr-TR"/>
              </w:rPr>
              <w:t xml:space="preserve"> 548</w:t>
            </w:r>
          </w:p>
        </w:tc>
        <w:tc>
          <w:tcPr>
            <w:tcW w:w="1599" w:type="dxa"/>
            <w:tcBorders>
              <w:top w:val="nil"/>
              <w:left w:val="nil"/>
              <w:bottom w:val="single" w:sz="8" w:space="0" w:color="auto"/>
              <w:right w:val="single" w:sz="8" w:space="0" w:color="auto"/>
            </w:tcBorders>
            <w:shd w:val="clear" w:color="auto" w:fill="auto"/>
            <w:noWrap/>
            <w:vAlign w:val="bottom"/>
            <w:hideMark/>
          </w:tcPr>
          <w:p w:rsidR="007D1341" w:rsidRPr="009D7B6F" w:rsidRDefault="007D1341" w:rsidP="007D1341">
            <w:pPr>
              <w:suppressAutoHyphens w:val="0"/>
              <w:spacing w:after="0" w:line="240" w:lineRule="auto"/>
              <w:jc w:val="center"/>
              <w:rPr>
                <w:rFonts w:cs="Times New Roman"/>
                <w:color w:val="000000"/>
                <w:szCs w:val="22"/>
                <w:lang w:val="en-GB" w:eastAsia="tr-TR"/>
              </w:rPr>
            </w:pPr>
            <w:r w:rsidRPr="009D7B6F">
              <w:rPr>
                <w:rFonts w:cs="Times New Roman"/>
                <w:color w:val="000000"/>
                <w:szCs w:val="22"/>
                <w:lang w:val="en-GB" w:eastAsia="tr-TR"/>
              </w:rPr>
              <w:t>77.7</w:t>
            </w:r>
          </w:p>
        </w:tc>
        <w:tc>
          <w:tcPr>
            <w:tcW w:w="1471" w:type="dxa"/>
            <w:tcBorders>
              <w:top w:val="nil"/>
              <w:left w:val="nil"/>
              <w:bottom w:val="single" w:sz="8" w:space="0" w:color="auto"/>
              <w:right w:val="nil"/>
            </w:tcBorders>
            <w:shd w:val="clear" w:color="auto" w:fill="auto"/>
            <w:noWrap/>
            <w:vAlign w:val="bottom"/>
            <w:hideMark/>
          </w:tcPr>
          <w:p w:rsidR="007D1341" w:rsidRPr="009D7B6F" w:rsidRDefault="007D1341" w:rsidP="007D1341">
            <w:pPr>
              <w:suppressAutoHyphens w:val="0"/>
              <w:spacing w:after="0" w:line="240" w:lineRule="auto"/>
              <w:jc w:val="center"/>
              <w:rPr>
                <w:rFonts w:cs="Times New Roman"/>
                <w:color w:val="000000"/>
                <w:szCs w:val="22"/>
                <w:lang w:val="en-GB" w:eastAsia="tr-TR"/>
              </w:rPr>
            </w:pPr>
            <w:r w:rsidRPr="009D7B6F">
              <w:rPr>
                <w:rFonts w:cs="Times New Roman"/>
                <w:color w:val="000000"/>
                <w:szCs w:val="22"/>
                <w:lang w:val="en-GB" w:eastAsia="tr-TR"/>
              </w:rPr>
              <w:t>2 920</w:t>
            </w:r>
          </w:p>
        </w:tc>
        <w:tc>
          <w:tcPr>
            <w:tcW w:w="1360" w:type="dxa"/>
            <w:tcBorders>
              <w:top w:val="nil"/>
              <w:left w:val="nil"/>
              <w:bottom w:val="single" w:sz="8" w:space="0" w:color="auto"/>
              <w:right w:val="nil"/>
            </w:tcBorders>
            <w:shd w:val="clear" w:color="auto" w:fill="auto"/>
            <w:noWrap/>
            <w:vAlign w:val="bottom"/>
            <w:hideMark/>
          </w:tcPr>
          <w:p w:rsidR="007D1341" w:rsidRPr="009D7B6F" w:rsidRDefault="007D1341" w:rsidP="007D1341">
            <w:pPr>
              <w:suppressAutoHyphens w:val="0"/>
              <w:spacing w:after="0" w:line="240" w:lineRule="auto"/>
              <w:jc w:val="center"/>
              <w:rPr>
                <w:rFonts w:cs="Times New Roman"/>
                <w:color w:val="000000"/>
                <w:szCs w:val="22"/>
                <w:lang w:val="en-GB" w:eastAsia="tr-TR"/>
              </w:rPr>
            </w:pPr>
            <w:r w:rsidRPr="009D7B6F">
              <w:rPr>
                <w:rFonts w:cs="Times New Roman"/>
                <w:color w:val="000000"/>
                <w:szCs w:val="22"/>
                <w:lang w:val="en-GB" w:eastAsia="tr-TR"/>
              </w:rPr>
              <w:t>17 830</w:t>
            </w:r>
          </w:p>
        </w:tc>
        <w:tc>
          <w:tcPr>
            <w:tcW w:w="1599" w:type="dxa"/>
            <w:tcBorders>
              <w:top w:val="nil"/>
              <w:left w:val="nil"/>
              <w:bottom w:val="single" w:sz="8" w:space="0" w:color="auto"/>
              <w:right w:val="single" w:sz="8" w:space="0" w:color="auto"/>
            </w:tcBorders>
            <w:shd w:val="clear" w:color="auto" w:fill="auto"/>
            <w:noWrap/>
            <w:vAlign w:val="bottom"/>
            <w:hideMark/>
          </w:tcPr>
          <w:p w:rsidR="007D1341" w:rsidRPr="009D7B6F" w:rsidRDefault="007D1341" w:rsidP="007D1341">
            <w:pPr>
              <w:suppressAutoHyphens w:val="0"/>
              <w:spacing w:after="0" w:line="240" w:lineRule="auto"/>
              <w:jc w:val="center"/>
              <w:rPr>
                <w:rFonts w:cs="Times New Roman"/>
                <w:color w:val="000000"/>
                <w:szCs w:val="22"/>
                <w:lang w:val="en-GB" w:eastAsia="tr-TR"/>
              </w:rPr>
            </w:pPr>
            <w:r w:rsidRPr="009D7B6F">
              <w:rPr>
                <w:rFonts w:cs="Times New Roman"/>
                <w:color w:val="000000"/>
                <w:szCs w:val="22"/>
                <w:lang w:val="en-GB" w:eastAsia="tr-TR"/>
              </w:rPr>
              <w:t>16.38</w:t>
            </w:r>
          </w:p>
        </w:tc>
      </w:tr>
    </w:tbl>
    <w:p w:rsidR="00B91688" w:rsidRPr="009D7B6F" w:rsidRDefault="00B91688" w:rsidP="00D244C6">
      <w:pPr>
        <w:rPr>
          <w:szCs w:val="22"/>
          <w:lang w:val="en-GB" w:eastAsia="tr-TR"/>
        </w:rPr>
      </w:pPr>
    </w:p>
    <w:sectPr w:rsidR="00B91688" w:rsidRPr="009D7B6F" w:rsidSect="004732A1">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78A" w:rsidRDefault="00B5178A" w:rsidP="00894DBA">
      <w:r>
        <w:separator/>
      </w:r>
    </w:p>
  </w:endnote>
  <w:endnote w:type="continuationSeparator" w:id="0">
    <w:p w:rsidR="00B5178A" w:rsidRDefault="00B5178A" w:rsidP="00894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269765"/>
      <w:docPartObj>
        <w:docPartGallery w:val="Page Numbers (Bottom of Page)"/>
        <w:docPartUnique/>
      </w:docPartObj>
    </w:sdtPr>
    <w:sdtEndPr/>
    <w:sdtContent>
      <w:p w:rsidR="005E563C" w:rsidRDefault="00EE5954">
        <w:pPr>
          <w:pStyle w:val="Footer"/>
          <w:jc w:val="right"/>
        </w:pPr>
        <w:r>
          <w:fldChar w:fldCharType="begin"/>
        </w:r>
        <w:r>
          <w:instrText>PAGE   \* MERGEFORMAT</w:instrText>
        </w:r>
        <w:r>
          <w:fldChar w:fldCharType="separate"/>
        </w:r>
        <w:r w:rsidR="00E013B6">
          <w:rPr>
            <w:noProof/>
          </w:rPr>
          <w:t>2</w:t>
        </w:r>
        <w:r>
          <w:rPr>
            <w:noProof/>
          </w:rPr>
          <w:fldChar w:fldCharType="end"/>
        </w:r>
      </w:p>
    </w:sdtContent>
  </w:sdt>
  <w:p w:rsidR="005E563C" w:rsidRDefault="005E563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78A" w:rsidRDefault="00B5178A" w:rsidP="00894DBA">
      <w:r>
        <w:separator/>
      </w:r>
    </w:p>
  </w:footnote>
  <w:footnote w:type="continuationSeparator" w:id="0">
    <w:p w:rsidR="00B5178A" w:rsidRDefault="00B5178A" w:rsidP="00894DBA">
      <w:r>
        <w:continuationSeparator/>
      </w:r>
    </w:p>
  </w:footnote>
  <w:footnote w:id="1">
    <w:p w:rsidR="005E563C" w:rsidRPr="000E746F" w:rsidRDefault="005E563C" w:rsidP="007858F8">
      <w:pPr>
        <w:pStyle w:val="FootnoteText"/>
        <w:spacing w:after="0" w:line="240" w:lineRule="auto"/>
        <w:rPr>
          <w:lang w:val="en-GB"/>
        </w:rPr>
      </w:pPr>
      <w:r w:rsidRPr="000E746F">
        <w:rPr>
          <w:rStyle w:val="FootnoteReference"/>
          <w:rFonts w:ascii="Arial" w:hAnsi="Arial" w:cs="Arial"/>
          <w:b/>
          <w:bCs/>
          <w:sz w:val="16"/>
          <w:szCs w:val="16"/>
          <w:lang w:val="en-GB"/>
        </w:rPr>
        <w:t>*</w:t>
      </w:r>
      <w:r w:rsidRPr="000E746F">
        <w:rPr>
          <w:rFonts w:ascii="Arial" w:hAnsi="Arial" w:cs="Arial"/>
          <w:sz w:val="16"/>
          <w:szCs w:val="16"/>
          <w:lang w:val="en-GB"/>
        </w:rPr>
        <w:t>Prof. Dr.Seyfettin</w:t>
      </w:r>
      <w:r>
        <w:rPr>
          <w:rFonts w:ascii="Arial" w:hAnsi="Arial" w:cs="Arial"/>
          <w:sz w:val="16"/>
          <w:szCs w:val="16"/>
          <w:lang w:val="en-GB"/>
        </w:rPr>
        <w:t xml:space="preserve"> </w:t>
      </w:r>
      <w:r w:rsidRPr="000E746F">
        <w:rPr>
          <w:rFonts w:ascii="Arial" w:hAnsi="Arial" w:cs="Arial"/>
          <w:sz w:val="16"/>
          <w:szCs w:val="16"/>
          <w:lang w:val="en-GB"/>
        </w:rPr>
        <w:t xml:space="preserve">Gürsel, Betam, Director, </w:t>
      </w:r>
      <w:hyperlink r:id="rId1" w:history="1">
        <w:r w:rsidRPr="000E746F">
          <w:rPr>
            <w:rStyle w:val="Hyperlink"/>
            <w:lang w:val="en-GB"/>
          </w:rPr>
          <w:t>seyfettin.gursel@eas.bau.edu.tr</w:t>
        </w:r>
      </w:hyperlink>
    </w:p>
  </w:footnote>
  <w:footnote w:id="2">
    <w:p w:rsidR="005E563C" w:rsidRPr="000E746F" w:rsidRDefault="005E563C" w:rsidP="007858F8">
      <w:pPr>
        <w:pStyle w:val="FootnoteText"/>
        <w:spacing w:after="0" w:line="240" w:lineRule="auto"/>
        <w:rPr>
          <w:rFonts w:ascii="Arial" w:hAnsi="Arial" w:cs="Arial"/>
          <w:sz w:val="16"/>
          <w:szCs w:val="16"/>
          <w:lang w:val="en-GB"/>
        </w:rPr>
      </w:pPr>
      <w:r w:rsidRPr="000E746F">
        <w:rPr>
          <w:rStyle w:val="FootnoteReference"/>
          <w:rFonts w:ascii="Arial" w:hAnsi="Arial" w:cs="Arial"/>
          <w:sz w:val="16"/>
          <w:szCs w:val="16"/>
          <w:lang w:val="en-GB"/>
        </w:rPr>
        <w:sym w:font="Symbol" w:char="F02A"/>
      </w:r>
      <w:r w:rsidRPr="000E746F">
        <w:rPr>
          <w:rStyle w:val="FootnoteReference"/>
          <w:rFonts w:ascii="Arial" w:hAnsi="Arial" w:cs="Arial"/>
          <w:sz w:val="16"/>
          <w:szCs w:val="16"/>
          <w:lang w:val="en-GB"/>
        </w:rPr>
        <w:sym w:font="Symbol" w:char="F02A"/>
      </w:r>
      <w:r w:rsidRPr="000E746F">
        <w:rPr>
          <w:rFonts w:ascii="Arial" w:hAnsi="Arial" w:cs="Arial"/>
          <w:sz w:val="16"/>
          <w:szCs w:val="16"/>
          <w:lang w:val="en-GB"/>
        </w:rPr>
        <w:t xml:space="preserve"> Ozan Bakış, Betam, </w:t>
      </w:r>
      <w:r>
        <w:rPr>
          <w:rFonts w:ascii="Arial" w:hAnsi="Arial" w:cs="Arial"/>
          <w:sz w:val="16"/>
          <w:szCs w:val="16"/>
          <w:lang w:val="en-GB"/>
        </w:rPr>
        <w:t>Senior Researcher</w:t>
      </w:r>
      <w:r w:rsidRPr="000E746F">
        <w:rPr>
          <w:rFonts w:ascii="Arial" w:hAnsi="Arial" w:cs="Arial"/>
          <w:sz w:val="16"/>
          <w:szCs w:val="16"/>
          <w:lang w:val="en-GB"/>
        </w:rPr>
        <w:t xml:space="preserve">, </w:t>
      </w:r>
      <w:hyperlink r:id="rId2" w:history="1">
        <w:r w:rsidRPr="000E746F">
          <w:rPr>
            <w:rStyle w:val="Hyperlink"/>
            <w:lang w:val="en-GB"/>
          </w:rPr>
          <w:t>ozan.bakis@eas.bau.edu.tr</w:t>
        </w:r>
      </w:hyperlink>
    </w:p>
    <w:p w:rsidR="005E563C" w:rsidRPr="006C00C6" w:rsidRDefault="005E563C" w:rsidP="007858F8">
      <w:pPr>
        <w:pStyle w:val="FootnoteText"/>
        <w:spacing w:after="0" w:line="240" w:lineRule="auto"/>
        <w:rPr>
          <w:rFonts w:ascii="Arial" w:hAnsi="Arial" w:cs="Arial"/>
          <w:sz w:val="16"/>
          <w:szCs w:val="16"/>
        </w:rPr>
      </w:pPr>
      <w:r w:rsidRPr="000E746F">
        <w:rPr>
          <w:rFonts w:ascii="Arial" w:hAnsi="Arial" w:cs="Arial"/>
          <w:sz w:val="16"/>
          <w:szCs w:val="16"/>
          <w:lang w:val="en-GB"/>
        </w:rPr>
        <w:t xml:space="preserve">*** Yazgı Genç, Betam, Research Assistant, </w:t>
      </w:r>
      <w:hyperlink r:id="rId3" w:history="1">
        <w:r w:rsidRPr="000E746F">
          <w:rPr>
            <w:rStyle w:val="Hyperlink"/>
            <w:lang w:val="en-GB"/>
          </w:rPr>
          <w:t>yazgi.genc@eas.bau.edu.tr</w:t>
        </w:r>
      </w:hyperlink>
    </w:p>
  </w:footnote>
  <w:footnote w:id="3">
    <w:p w:rsidR="005E563C" w:rsidRPr="004634B4" w:rsidRDefault="005E563C" w:rsidP="004A5887">
      <w:pPr>
        <w:pStyle w:val="FootnoteText"/>
        <w:rPr>
          <w:rFonts w:ascii="Arial" w:hAnsi="Arial" w:cs="Arial"/>
        </w:rPr>
      </w:pPr>
      <w:r w:rsidRPr="006F3DAF">
        <w:rPr>
          <w:rStyle w:val="FootnoteReference"/>
          <w:rFonts w:ascii="Arial" w:hAnsi="Arial" w:cs="Arial"/>
          <w:sz w:val="16"/>
        </w:rPr>
        <w:footnoteRef/>
      </w:r>
      <w:r w:rsidRPr="00773B19">
        <w:rPr>
          <w:rFonts w:ascii="Palatino Linotype" w:hAnsi="Palatino Linotype" w:cs="Arial"/>
          <w:sz w:val="16"/>
          <w:lang w:val="en-GB"/>
        </w:rPr>
        <w:t>OECD countries (34 countries) ranks</w:t>
      </w:r>
      <w:r>
        <w:rPr>
          <w:rFonts w:ascii="Palatino Linotype" w:hAnsi="Palatino Linotype" w:cs="Arial"/>
          <w:sz w:val="16"/>
          <w:lang w:val="en-GB"/>
        </w:rPr>
        <w:t xml:space="preserve"> the</w:t>
      </w:r>
      <w:r w:rsidRPr="00773B19">
        <w:rPr>
          <w:rFonts w:ascii="Palatino Linotype" w:hAnsi="Palatino Linotype" w:cs="Arial"/>
          <w:sz w:val="16"/>
          <w:lang w:val="en-GB"/>
        </w:rPr>
        <w:t xml:space="preserve"> first with 28.72 percent of Turkey in the </w:t>
      </w:r>
      <w:r>
        <w:rPr>
          <w:rFonts w:ascii="Palatino Linotype" w:hAnsi="Palatino Linotype" w:cs="Arial"/>
          <w:sz w:val="16"/>
          <w:lang w:val="en-GB"/>
        </w:rPr>
        <w:t>informal</w:t>
      </w:r>
      <w:r w:rsidRPr="00773B19">
        <w:rPr>
          <w:rFonts w:ascii="Palatino Linotype" w:hAnsi="Palatino Linotype" w:cs="Arial"/>
          <w:sz w:val="16"/>
          <w:lang w:val="en-GB"/>
        </w:rPr>
        <w:t xml:space="preserve"> economy. The lowest informality among these countries is observed in the US at 7.95 percent.</w:t>
      </w:r>
    </w:p>
  </w:footnote>
  <w:footnote w:id="4">
    <w:p w:rsidR="00820E07" w:rsidRDefault="00820E07" w:rsidP="00820E07">
      <w:pPr>
        <w:pStyle w:val="FootnoteText"/>
      </w:pPr>
      <w:r>
        <w:rPr>
          <w:rStyle w:val="FootnoteReference"/>
        </w:rPr>
        <w:footnoteRef/>
      </w:r>
      <w:r w:rsidRPr="005F0290">
        <w:rPr>
          <w:lang w:val="en-GB"/>
        </w:rPr>
        <w:t>In agriculture, the increase in the rate of informal employment is re</w:t>
      </w:r>
      <w:r>
        <w:rPr>
          <w:lang w:val="en-GB"/>
        </w:rPr>
        <w:t>latively</w:t>
      </w:r>
      <w:r w:rsidRPr="005F0290">
        <w:rPr>
          <w:lang w:val="en-GB"/>
        </w:rPr>
        <w:t xml:space="preserve"> high (approximately 4.0 percent points, from 73.96 to 77.74) while employees as a wage earner decrease (Appendix Table 1). On the other hand, in non-agricultural sectors the rate of informal employment is almost constant while employment increases. Although the rate of informality in wage earners in agriculture increases, it decreases in total employment of wage earners since the share of wage earners in total employment of them increases in agriculture (approximately from 3.5 percent to 3.0 percent) (Table 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435E2971"/>
    <w:multiLevelType w:val="hybridMultilevel"/>
    <w:tmpl w:val="7048FD36"/>
    <w:lvl w:ilvl="0" w:tplc="7694793C">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BD0"/>
    <w:rsid w:val="00001523"/>
    <w:rsid w:val="0000193B"/>
    <w:rsid w:val="000030C1"/>
    <w:rsid w:val="00003998"/>
    <w:rsid w:val="00004FE9"/>
    <w:rsid w:val="00005CA1"/>
    <w:rsid w:val="00005E24"/>
    <w:rsid w:val="000066E2"/>
    <w:rsid w:val="00007EB4"/>
    <w:rsid w:val="00007F8D"/>
    <w:rsid w:val="00010549"/>
    <w:rsid w:val="00011E59"/>
    <w:rsid w:val="00012B10"/>
    <w:rsid w:val="0001455A"/>
    <w:rsid w:val="0001473F"/>
    <w:rsid w:val="00015F5D"/>
    <w:rsid w:val="000174FF"/>
    <w:rsid w:val="000208AB"/>
    <w:rsid w:val="000208E8"/>
    <w:rsid w:val="000210F0"/>
    <w:rsid w:val="00022081"/>
    <w:rsid w:val="00024447"/>
    <w:rsid w:val="00025C56"/>
    <w:rsid w:val="00027BE5"/>
    <w:rsid w:val="00027F8F"/>
    <w:rsid w:val="00030013"/>
    <w:rsid w:val="000335CB"/>
    <w:rsid w:val="00033739"/>
    <w:rsid w:val="000339DC"/>
    <w:rsid w:val="00033DF5"/>
    <w:rsid w:val="000353CD"/>
    <w:rsid w:val="00035C4A"/>
    <w:rsid w:val="00037AF9"/>
    <w:rsid w:val="000414EA"/>
    <w:rsid w:val="00041D67"/>
    <w:rsid w:val="00041F2C"/>
    <w:rsid w:val="000434BF"/>
    <w:rsid w:val="00043B8E"/>
    <w:rsid w:val="00044F7F"/>
    <w:rsid w:val="00047E82"/>
    <w:rsid w:val="00050460"/>
    <w:rsid w:val="00054BF6"/>
    <w:rsid w:val="0005557B"/>
    <w:rsid w:val="00055D61"/>
    <w:rsid w:val="00057EFE"/>
    <w:rsid w:val="0006103F"/>
    <w:rsid w:val="00061C7B"/>
    <w:rsid w:val="00062028"/>
    <w:rsid w:val="00062BD4"/>
    <w:rsid w:val="0006412E"/>
    <w:rsid w:val="00065074"/>
    <w:rsid w:val="000662AA"/>
    <w:rsid w:val="00070911"/>
    <w:rsid w:val="00071FC4"/>
    <w:rsid w:val="00072CA4"/>
    <w:rsid w:val="00073092"/>
    <w:rsid w:val="00074098"/>
    <w:rsid w:val="00074494"/>
    <w:rsid w:val="00076AF1"/>
    <w:rsid w:val="000812D7"/>
    <w:rsid w:val="000825CF"/>
    <w:rsid w:val="00082EAD"/>
    <w:rsid w:val="00083DBF"/>
    <w:rsid w:val="00084688"/>
    <w:rsid w:val="00084B51"/>
    <w:rsid w:val="0008507E"/>
    <w:rsid w:val="0008548D"/>
    <w:rsid w:val="00087303"/>
    <w:rsid w:val="000907D1"/>
    <w:rsid w:val="00091657"/>
    <w:rsid w:val="00091D5F"/>
    <w:rsid w:val="0009654D"/>
    <w:rsid w:val="00097F47"/>
    <w:rsid w:val="000A27CE"/>
    <w:rsid w:val="000A3141"/>
    <w:rsid w:val="000A52AF"/>
    <w:rsid w:val="000A777B"/>
    <w:rsid w:val="000A7BC2"/>
    <w:rsid w:val="000B001C"/>
    <w:rsid w:val="000B1CBE"/>
    <w:rsid w:val="000B1CBF"/>
    <w:rsid w:val="000B304A"/>
    <w:rsid w:val="000B474F"/>
    <w:rsid w:val="000C0509"/>
    <w:rsid w:val="000C1BA7"/>
    <w:rsid w:val="000C1FCC"/>
    <w:rsid w:val="000C3901"/>
    <w:rsid w:val="000C4E2B"/>
    <w:rsid w:val="000C7A61"/>
    <w:rsid w:val="000D05E7"/>
    <w:rsid w:val="000D7408"/>
    <w:rsid w:val="000E3ECB"/>
    <w:rsid w:val="000E745F"/>
    <w:rsid w:val="000E746F"/>
    <w:rsid w:val="000E75E5"/>
    <w:rsid w:val="000F42F1"/>
    <w:rsid w:val="001054F6"/>
    <w:rsid w:val="00106426"/>
    <w:rsid w:val="00112E5F"/>
    <w:rsid w:val="00113A77"/>
    <w:rsid w:val="00114F1C"/>
    <w:rsid w:val="001158A7"/>
    <w:rsid w:val="00121CC3"/>
    <w:rsid w:val="00121E22"/>
    <w:rsid w:val="00122161"/>
    <w:rsid w:val="00123B18"/>
    <w:rsid w:val="00124279"/>
    <w:rsid w:val="00124F98"/>
    <w:rsid w:val="00125526"/>
    <w:rsid w:val="001257D5"/>
    <w:rsid w:val="00125DB1"/>
    <w:rsid w:val="0012600C"/>
    <w:rsid w:val="00130A6B"/>
    <w:rsid w:val="001326BA"/>
    <w:rsid w:val="001331AA"/>
    <w:rsid w:val="0013408C"/>
    <w:rsid w:val="001340E8"/>
    <w:rsid w:val="00135079"/>
    <w:rsid w:val="00135D9C"/>
    <w:rsid w:val="0013715D"/>
    <w:rsid w:val="0013774F"/>
    <w:rsid w:val="00137A62"/>
    <w:rsid w:val="00140373"/>
    <w:rsid w:val="00140A1F"/>
    <w:rsid w:val="001416EE"/>
    <w:rsid w:val="00141EAF"/>
    <w:rsid w:val="001429DC"/>
    <w:rsid w:val="00142B0F"/>
    <w:rsid w:val="0014538F"/>
    <w:rsid w:val="00145BEA"/>
    <w:rsid w:val="00146316"/>
    <w:rsid w:val="001475D9"/>
    <w:rsid w:val="00147852"/>
    <w:rsid w:val="0015325C"/>
    <w:rsid w:val="00154CAD"/>
    <w:rsid w:val="001572E5"/>
    <w:rsid w:val="001573BE"/>
    <w:rsid w:val="0015789C"/>
    <w:rsid w:val="001603A4"/>
    <w:rsid w:val="00162361"/>
    <w:rsid w:val="001656BC"/>
    <w:rsid w:val="0017037A"/>
    <w:rsid w:val="00170848"/>
    <w:rsid w:val="0017094F"/>
    <w:rsid w:val="00170DEF"/>
    <w:rsid w:val="00172701"/>
    <w:rsid w:val="00173520"/>
    <w:rsid w:val="001742A8"/>
    <w:rsid w:val="00174EB3"/>
    <w:rsid w:val="00180300"/>
    <w:rsid w:val="00183B97"/>
    <w:rsid w:val="00184C7A"/>
    <w:rsid w:val="00187E9C"/>
    <w:rsid w:val="00191A21"/>
    <w:rsid w:val="00192A5B"/>
    <w:rsid w:val="00192F8F"/>
    <w:rsid w:val="00194A55"/>
    <w:rsid w:val="00195937"/>
    <w:rsid w:val="00196124"/>
    <w:rsid w:val="00197A57"/>
    <w:rsid w:val="001A19C9"/>
    <w:rsid w:val="001A1CB6"/>
    <w:rsid w:val="001A23CE"/>
    <w:rsid w:val="001A36CE"/>
    <w:rsid w:val="001A62DE"/>
    <w:rsid w:val="001A6C3F"/>
    <w:rsid w:val="001A6E42"/>
    <w:rsid w:val="001B18C0"/>
    <w:rsid w:val="001B2647"/>
    <w:rsid w:val="001B3B71"/>
    <w:rsid w:val="001C19F7"/>
    <w:rsid w:val="001C1FBD"/>
    <w:rsid w:val="001C2D33"/>
    <w:rsid w:val="001C3218"/>
    <w:rsid w:val="001C596C"/>
    <w:rsid w:val="001C617B"/>
    <w:rsid w:val="001C6825"/>
    <w:rsid w:val="001C7471"/>
    <w:rsid w:val="001C7554"/>
    <w:rsid w:val="001D2523"/>
    <w:rsid w:val="001D31E1"/>
    <w:rsid w:val="001D56B2"/>
    <w:rsid w:val="001D67CB"/>
    <w:rsid w:val="001D7678"/>
    <w:rsid w:val="001E199F"/>
    <w:rsid w:val="001E1B1E"/>
    <w:rsid w:val="001E1D61"/>
    <w:rsid w:val="001E41D3"/>
    <w:rsid w:val="001E49AD"/>
    <w:rsid w:val="001E4B8B"/>
    <w:rsid w:val="001E55D1"/>
    <w:rsid w:val="001E5D09"/>
    <w:rsid w:val="001E633A"/>
    <w:rsid w:val="001F0264"/>
    <w:rsid w:val="001F2584"/>
    <w:rsid w:val="001F29E8"/>
    <w:rsid w:val="001F49C6"/>
    <w:rsid w:val="001F4CA6"/>
    <w:rsid w:val="001F57C8"/>
    <w:rsid w:val="001F6446"/>
    <w:rsid w:val="001F79C5"/>
    <w:rsid w:val="00200622"/>
    <w:rsid w:val="00203D72"/>
    <w:rsid w:val="00205729"/>
    <w:rsid w:val="00207BEA"/>
    <w:rsid w:val="00207DE1"/>
    <w:rsid w:val="0021137F"/>
    <w:rsid w:val="00211566"/>
    <w:rsid w:val="00213392"/>
    <w:rsid w:val="00216BB8"/>
    <w:rsid w:val="0021730D"/>
    <w:rsid w:val="0021737A"/>
    <w:rsid w:val="00220951"/>
    <w:rsid w:val="00221DD9"/>
    <w:rsid w:val="00221FC3"/>
    <w:rsid w:val="00222494"/>
    <w:rsid w:val="00223158"/>
    <w:rsid w:val="00225BEB"/>
    <w:rsid w:val="00226CF2"/>
    <w:rsid w:val="002304DF"/>
    <w:rsid w:val="00231AC0"/>
    <w:rsid w:val="0023226F"/>
    <w:rsid w:val="002338D3"/>
    <w:rsid w:val="00233FA7"/>
    <w:rsid w:val="0023437E"/>
    <w:rsid w:val="00236923"/>
    <w:rsid w:val="00237198"/>
    <w:rsid w:val="00237D9F"/>
    <w:rsid w:val="0024187D"/>
    <w:rsid w:val="00241C24"/>
    <w:rsid w:val="002445DB"/>
    <w:rsid w:val="002456CC"/>
    <w:rsid w:val="0024688D"/>
    <w:rsid w:val="00246CF5"/>
    <w:rsid w:val="002471BD"/>
    <w:rsid w:val="0024744D"/>
    <w:rsid w:val="002525DF"/>
    <w:rsid w:val="002546CF"/>
    <w:rsid w:val="00254850"/>
    <w:rsid w:val="00255560"/>
    <w:rsid w:val="00256157"/>
    <w:rsid w:val="00257387"/>
    <w:rsid w:val="002575AB"/>
    <w:rsid w:val="002606DE"/>
    <w:rsid w:val="00260B03"/>
    <w:rsid w:val="00260D60"/>
    <w:rsid w:val="0026385E"/>
    <w:rsid w:val="00263946"/>
    <w:rsid w:val="00264406"/>
    <w:rsid w:val="00264CDA"/>
    <w:rsid w:val="00265126"/>
    <w:rsid w:val="00265DD5"/>
    <w:rsid w:val="0026731F"/>
    <w:rsid w:val="0026756B"/>
    <w:rsid w:val="0027018A"/>
    <w:rsid w:val="00270301"/>
    <w:rsid w:val="00270894"/>
    <w:rsid w:val="00271AC2"/>
    <w:rsid w:val="00272752"/>
    <w:rsid w:val="00273667"/>
    <w:rsid w:val="00273853"/>
    <w:rsid w:val="00275476"/>
    <w:rsid w:val="0027652A"/>
    <w:rsid w:val="002765AD"/>
    <w:rsid w:val="00277B4C"/>
    <w:rsid w:val="00280727"/>
    <w:rsid w:val="002809A4"/>
    <w:rsid w:val="002819E5"/>
    <w:rsid w:val="00282F22"/>
    <w:rsid w:val="00285555"/>
    <w:rsid w:val="002868B1"/>
    <w:rsid w:val="0029006D"/>
    <w:rsid w:val="002921AF"/>
    <w:rsid w:val="00296787"/>
    <w:rsid w:val="00296E05"/>
    <w:rsid w:val="002976EA"/>
    <w:rsid w:val="002A0A4E"/>
    <w:rsid w:val="002A0B36"/>
    <w:rsid w:val="002A1914"/>
    <w:rsid w:val="002A26D9"/>
    <w:rsid w:val="002A3585"/>
    <w:rsid w:val="002A3650"/>
    <w:rsid w:val="002A3812"/>
    <w:rsid w:val="002A3A7E"/>
    <w:rsid w:val="002A4B19"/>
    <w:rsid w:val="002A53A2"/>
    <w:rsid w:val="002A5D25"/>
    <w:rsid w:val="002B08B9"/>
    <w:rsid w:val="002B122C"/>
    <w:rsid w:val="002B13B4"/>
    <w:rsid w:val="002B17CE"/>
    <w:rsid w:val="002B46D8"/>
    <w:rsid w:val="002B5C45"/>
    <w:rsid w:val="002C01AB"/>
    <w:rsid w:val="002C0866"/>
    <w:rsid w:val="002C1DF0"/>
    <w:rsid w:val="002C232E"/>
    <w:rsid w:val="002C26A8"/>
    <w:rsid w:val="002C3ACE"/>
    <w:rsid w:val="002C41B8"/>
    <w:rsid w:val="002C5D64"/>
    <w:rsid w:val="002C66AD"/>
    <w:rsid w:val="002C6F47"/>
    <w:rsid w:val="002D02BA"/>
    <w:rsid w:val="002D107F"/>
    <w:rsid w:val="002D48A1"/>
    <w:rsid w:val="002E3ECC"/>
    <w:rsid w:val="002E4A3D"/>
    <w:rsid w:val="002E5CB6"/>
    <w:rsid w:val="002E78C9"/>
    <w:rsid w:val="002F016B"/>
    <w:rsid w:val="002F0CCD"/>
    <w:rsid w:val="002F24E9"/>
    <w:rsid w:val="002F2F2A"/>
    <w:rsid w:val="002F3288"/>
    <w:rsid w:val="002F4918"/>
    <w:rsid w:val="00300D59"/>
    <w:rsid w:val="00301463"/>
    <w:rsid w:val="003033FC"/>
    <w:rsid w:val="00303BC1"/>
    <w:rsid w:val="00304D1B"/>
    <w:rsid w:val="00305040"/>
    <w:rsid w:val="00305EB4"/>
    <w:rsid w:val="0030724F"/>
    <w:rsid w:val="00310371"/>
    <w:rsid w:val="003107F1"/>
    <w:rsid w:val="00310C80"/>
    <w:rsid w:val="00311566"/>
    <w:rsid w:val="0031182A"/>
    <w:rsid w:val="0031214C"/>
    <w:rsid w:val="00312F3E"/>
    <w:rsid w:val="00314C47"/>
    <w:rsid w:val="0031622B"/>
    <w:rsid w:val="00316A55"/>
    <w:rsid w:val="003224FE"/>
    <w:rsid w:val="003234A5"/>
    <w:rsid w:val="003244AC"/>
    <w:rsid w:val="0032556E"/>
    <w:rsid w:val="00326036"/>
    <w:rsid w:val="00327031"/>
    <w:rsid w:val="00331293"/>
    <w:rsid w:val="00332728"/>
    <w:rsid w:val="00333EA2"/>
    <w:rsid w:val="003340D3"/>
    <w:rsid w:val="00334E03"/>
    <w:rsid w:val="00336150"/>
    <w:rsid w:val="003361CE"/>
    <w:rsid w:val="00337169"/>
    <w:rsid w:val="00337397"/>
    <w:rsid w:val="00337C0C"/>
    <w:rsid w:val="003401F6"/>
    <w:rsid w:val="00340224"/>
    <w:rsid w:val="00343F2F"/>
    <w:rsid w:val="00344526"/>
    <w:rsid w:val="003452B9"/>
    <w:rsid w:val="003477EE"/>
    <w:rsid w:val="00350D6F"/>
    <w:rsid w:val="00350F9A"/>
    <w:rsid w:val="003511F5"/>
    <w:rsid w:val="003518AF"/>
    <w:rsid w:val="00352F0C"/>
    <w:rsid w:val="00353330"/>
    <w:rsid w:val="00356D03"/>
    <w:rsid w:val="00361CF8"/>
    <w:rsid w:val="003625C6"/>
    <w:rsid w:val="00362EA9"/>
    <w:rsid w:val="003720CA"/>
    <w:rsid w:val="00373F45"/>
    <w:rsid w:val="00374A09"/>
    <w:rsid w:val="0037546A"/>
    <w:rsid w:val="003755A3"/>
    <w:rsid w:val="0037608B"/>
    <w:rsid w:val="00377E46"/>
    <w:rsid w:val="003801F5"/>
    <w:rsid w:val="00380290"/>
    <w:rsid w:val="003804AF"/>
    <w:rsid w:val="003804B5"/>
    <w:rsid w:val="003811C8"/>
    <w:rsid w:val="0038206B"/>
    <w:rsid w:val="0038215E"/>
    <w:rsid w:val="003835F9"/>
    <w:rsid w:val="00383A2F"/>
    <w:rsid w:val="003875BC"/>
    <w:rsid w:val="003901F3"/>
    <w:rsid w:val="003909A2"/>
    <w:rsid w:val="00391609"/>
    <w:rsid w:val="00393B6D"/>
    <w:rsid w:val="00395D78"/>
    <w:rsid w:val="00395FF4"/>
    <w:rsid w:val="003972C5"/>
    <w:rsid w:val="003A5122"/>
    <w:rsid w:val="003B1595"/>
    <w:rsid w:val="003B26E8"/>
    <w:rsid w:val="003B5062"/>
    <w:rsid w:val="003B673F"/>
    <w:rsid w:val="003C31AB"/>
    <w:rsid w:val="003C5ECD"/>
    <w:rsid w:val="003C63B6"/>
    <w:rsid w:val="003C777E"/>
    <w:rsid w:val="003D01AC"/>
    <w:rsid w:val="003D1C32"/>
    <w:rsid w:val="003D20CC"/>
    <w:rsid w:val="003D4AEC"/>
    <w:rsid w:val="003D5189"/>
    <w:rsid w:val="003D659B"/>
    <w:rsid w:val="003D661E"/>
    <w:rsid w:val="003E01DB"/>
    <w:rsid w:val="003E0B43"/>
    <w:rsid w:val="003E1166"/>
    <w:rsid w:val="003E40E7"/>
    <w:rsid w:val="003E604C"/>
    <w:rsid w:val="003E7463"/>
    <w:rsid w:val="003F220A"/>
    <w:rsid w:val="003F314A"/>
    <w:rsid w:val="003F599E"/>
    <w:rsid w:val="004010CB"/>
    <w:rsid w:val="00401E37"/>
    <w:rsid w:val="004021BA"/>
    <w:rsid w:val="00403FCC"/>
    <w:rsid w:val="00403FDA"/>
    <w:rsid w:val="004054C1"/>
    <w:rsid w:val="00407BC5"/>
    <w:rsid w:val="004120BD"/>
    <w:rsid w:val="0041212B"/>
    <w:rsid w:val="004132E0"/>
    <w:rsid w:val="00413828"/>
    <w:rsid w:val="00413A07"/>
    <w:rsid w:val="00413B3C"/>
    <w:rsid w:val="00413E20"/>
    <w:rsid w:val="00414250"/>
    <w:rsid w:val="004151F9"/>
    <w:rsid w:val="00423CC4"/>
    <w:rsid w:val="0042472D"/>
    <w:rsid w:val="00425796"/>
    <w:rsid w:val="004262C5"/>
    <w:rsid w:val="0042645F"/>
    <w:rsid w:val="00426695"/>
    <w:rsid w:val="00427BD7"/>
    <w:rsid w:val="00427C01"/>
    <w:rsid w:val="0043156F"/>
    <w:rsid w:val="00434E28"/>
    <w:rsid w:val="004415B0"/>
    <w:rsid w:val="0044317E"/>
    <w:rsid w:val="0044372D"/>
    <w:rsid w:val="004438F0"/>
    <w:rsid w:val="00446E84"/>
    <w:rsid w:val="00446E9C"/>
    <w:rsid w:val="00447F3E"/>
    <w:rsid w:val="00451D3A"/>
    <w:rsid w:val="0045398F"/>
    <w:rsid w:val="00453E3B"/>
    <w:rsid w:val="004564A6"/>
    <w:rsid w:val="00457FF6"/>
    <w:rsid w:val="00460BD0"/>
    <w:rsid w:val="00462142"/>
    <w:rsid w:val="004634B4"/>
    <w:rsid w:val="00463BB2"/>
    <w:rsid w:val="0046424D"/>
    <w:rsid w:val="00465F65"/>
    <w:rsid w:val="00465F99"/>
    <w:rsid w:val="00467FB3"/>
    <w:rsid w:val="004732A1"/>
    <w:rsid w:val="00474190"/>
    <w:rsid w:val="00474782"/>
    <w:rsid w:val="00474F25"/>
    <w:rsid w:val="00476C48"/>
    <w:rsid w:val="00477B96"/>
    <w:rsid w:val="004808EB"/>
    <w:rsid w:val="00481C82"/>
    <w:rsid w:val="0048570A"/>
    <w:rsid w:val="00486FAD"/>
    <w:rsid w:val="004874AB"/>
    <w:rsid w:val="004906F9"/>
    <w:rsid w:val="0049090B"/>
    <w:rsid w:val="00495B86"/>
    <w:rsid w:val="00496CEB"/>
    <w:rsid w:val="00496F78"/>
    <w:rsid w:val="00497013"/>
    <w:rsid w:val="00497F1F"/>
    <w:rsid w:val="004A4442"/>
    <w:rsid w:val="004A5887"/>
    <w:rsid w:val="004A7DC1"/>
    <w:rsid w:val="004B2C93"/>
    <w:rsid w:val="004B32AB"/>
    <w:rsid w:val="004B4EA4"/>
    <w:rsid w:val="004B5802"/>
    <w:rsid w:val="004B602A"/>
    <w:rsid w:val="004B6253"/>
    <w:rsid w:val="004C0EA9"/>
    <w:rsid w:val="004C1AE6"/>
    <w:rsid w:val="004C2ABE"/>
    <w:rsid w:val="004C4452"/>
    <w:rsid w:val="004C4935"/>
    <w:rsid w:val="004C4FE3"/>
    <w:rsid w:val="004C5D72"/>
    <w:rsid w:val="004C6400"/>
    <w:rsid w:val="004C6919"/>
    <w:rsid w:val="004C6B22"/>
    <w:rsid w:val="004C7567"/>
    <w:rsid w:val="004D033B"/>
    <w:rsid w:val="004D0B1D"/>
    <w:rsid w:val="004D1551"/>
    <w:rsid w:val="004D2987"/>
    <w:rsid w:val="004D33CA"/>
    <w:rsid w:val="004D3FDE"/>
    <w:rsid w:val="004D5128"/>
    <w:rsid w:val="004E0C78"/>
    <w:rsid w:val="004E1402"/>
    <w:rsid w:val="004E1AD1"/>
    <w:rsid w:val="004E31EC"/>
    <w:rsid w:val="004E3F69"/>
    <w:rsid w:val="004E4475"/>
    <w:rsid w:val="004E4F01"/>
    <w:rsid w:val="004E5164"/>
    <w:rsid w:val="004E60BA"/>
    <w:rsid w:val="004E7405"/>
    <w:rsid w:val="004E75B5"/>
    <w:rsid w:val="004E7A9B"/>
    <w:rsid w:val="004F0BB8"/>
    <w:rsid w:val="004F156E"/>
    <w:rsid w:val="004F39E1"/>
    <w:rsid w:val="004F3B35"/>
    <w:rsid w:val="004F3E59"/>
    <w:rsid w:val="004F54FF"/>
    <w:rsid w:val="004F7CDC"/>
    <w:rsid w:val="005004C0"/>
    <w:rsid w:val="00501872"/>
    <w:rsid w:val="005018EB"/>
    <w:rsid w:val="0050274C"/>
    <w:rsid w:val="005047C7"/>
    <w:rsid w:val="00505502"/>
    <w:rsid w:val="00506C37"/>
    <w:rsid w:val="00506CA0"/>
    <w:rsid w:val="00510674"/>
    <w:rsid w:val="00511770"/>
    <w:rsid w:val="00511A98"/>
    <w:rsid w:val="00512EA7"/>
    <w:rsid w:val="0051413B"/>
    <w:rsid w:val="00515B48"/>
    <w:rsid w:val="0051749C"/>
    <w:rsid w:val="005174CC"/>
    <w:rsid w:val="00520E7C"/>
    <w:rsid w:val="00521B77"/>
    <w:rsid w:val="00523863"/>
    <w:rsid w:val="00527E80"/>
    <w:rsid w:val="00527FDA"/>
    <w:rsid w:val="0053032A"/>
    <w:rsid w:val="005316BD"/>
    <w:rsid w:val="005325CA"/>
    <w:rsid w:val="00533DE0"/>
    <w:rsid w:val="00535BFB"/>
    <w:rsid w:val="00537E63"/>
    <w:rsid w:val="00537EA2"/>
    <w:rsid w:val="00540821"/>
    <w:rsid w:val="00541085"/>
    <w:rsid w:val="0054110D"/>
    <w:rsid w:val="00543D3E"/>
    <w:rsid w:val="00546269"/>
    <w:rsid w:val="00546965"/>
    <w:rsid w:val="0055010E"/>
    <w:rsid w:val="0055061C"/>
    <w:rsid w:val="00551EC3"/>
    <w:rsid w:val="00552B88"/>
    <w:rsid w:val="00552E0E"/>
    <w:rsid w:val="00553D3A"/>
    <w:rsid w:val="0055441B"/>
    <w:rsid w:val="0055490A"/>
    <w:rsid w:val="0056133C"/>
    <w:rsid w:val="0056395C"/>
    <w:rsid w:val="00570871"/>
    <w:rsid w:val="005718AB"/>
    <w:rsid w:val="00573D15"/>
    <w:rsid w:val="00574A6C"/>
    <w:rsid w:val="00577639"/>
    <w:rsid w:val="005807DC"/>
    <w:rsid w:val="005817A5"/>
    <w:rsid w:val="00581ABC"/>
    <w:rsid w:val="005849E9"/>
    <w:rsid w:val="005855A3"/>
    <w:rsid w:val="005870E8"/>
    <w:rsid w:val="00590315"/>
    <w:rsid w:val="0059302C"/>
    <w:rsid w:val="005957D0"/>
    <w:rsid w:val="005963C1"/>
    <w:rsid w:val="005A1B5B"/>
    <w:rsid w:val="005A1EED"/>
    <w:rsid w:val="005A274C"/>
    <w:rsid w:val="005A2EC0"/>
    <w:rsid w:val="005A449F"/>
    <w:rsid w:val="005A5E56"/>
    <w:rsid w:val="005A62D0"/>
    <w:rsid w:val="005B3B04"/>
    <w:rsid w:val="005B556E"/>
    <w:rsid w:val="005B57D1"/>
    <w:rsid w:val="005B655A"/>
    <w:rsid w:val="005B6723"/>
    <w:rsid w:val="005B7E58"/>
    <w:rsid w:val="005C0044"/>
    <w:rsid w:val="005C3F38"/>
    <w:rsid w:val="005D3128"/>
    <w:rsid w:val="005D3649"/>
    <w:rsid w:val="005D4CD2"/>
    <w:rsid w:val="005D4E5F"/>
    <w:rsid w:val="005D6243"/>
    <w:rsid w:val="005D6AF6"/>
    <w:rsid w:val="005D73B1"/>
    <w:rsid w:val="005D7C04"/>
    <w:rsid w:val="005E0239"/>
    <w:rsid w:val="005E10F3"/>
    <w:rsid w:val="005E1254"/>
    <w:rsid w:val="005E18FA"/>
    <w:rsid w:val="005E1B82"/>
    <w:rsid w:val="005E295C"/>
    <w:rsid w:val="005E2C21"/>
    <w:rsid w:val="005E37ED"/>
    <w:rsid w:val="005E5168"/>
    <w:rsid w:val="005E5609"/>
    <w:rsid w:val="005E563C"/>
    <w:rsid w:val="005E70FB"/>
    <w:rsid w:val="005F0290"/>
    <w:rsid w:val="005F0BCD"/>
    <w:rsid w:val="005F2081"/>
    <w:rsid w:val="005F4672"/>
    <w:rsid w:val="005F7627"/>
    <w:rsid w:val="00600114"/>
    <w:rsid w:val="006002CB"/>
    <w:rsid w:val="0060090B"/>
    <w:rsid w:val="00600F3F"/>
    <w:rsid w:val="006026FF"/>
    <w:rsid w:val="00603322"/>
    <w:rsid w:val="00603BA4"/>
    <w:rsid w:val="00603E07"/>
    <w:rsid w:val="006045EC"/>
    <w:rsid w:val="00606CC4"/>
    <w:rsid w:val="00607A33"/>
    <w:rsid w:val="0061058F"/>
    <w:rsid w:val="0061087C"/>
    <w:rsid w:val="0061294F"/>
    <w:rsid w:val="00613A71"/>
    <w:rsid w:val="00616769"/>
    <w:rsid w:val="00617873"/>
    <w:rsid w:val="00627E0B"/>
    <w:rsid w:val="00627E3B"/>
    <w:rsid w:val="00630683"/>
    <w:rsid w:val="006324CE"/>
    <w:rsid w:val="00632B2E"/>
    <w:rsid w:val="00636713"/>
    <w:rsid w:val="00637173"/>
    <w:rsid w:val="0063790F"/>
    <w:rsid w:val="00637EAC"/>
    <w:rsid w:val="00637F33"/>
    <w:rsid w:val="006425A1"/>
    <w:rsid w:val="006425C3"/>
    <w:rsid w:val="00643F74"/>
    <w:rsid w:val="0064496B"/>
    <w:rsid w:val="00645DFB"/>
    <w:rsid w:val="0065001D"/>
    <w:rsid w:val="00655A05"/>
    <w:rsid w:val="006577EB"/>
    <w:rsid w:val="0066015E"/>
    <w:rsid w:val="006615E6"/>
    <w:rsid w:val="00661662"/>
    <w:rsid w:val="00662434"/>
    <w:rsid w:val="00663035"/>
    <w:rsid w:val="006655AC"/>
    <w:rsid w:val="00666586"/>
    <w:rsid w:val="006674FD"/>
    <w:rsid w:val="006678FE"/>
    <w:rsid w:val="006705EF"/>
    <w:rsid w:val="00672BA0"/>
    <w:rsid w:val="00672BC3"/>
    <w:rsid w:val="00676943"/>
    <w:rsid w:val="006773B6"/>
    <w:rsid w:val="00677BFB"/>
    <w:rsid w:val="00681970"/>
    <w:rsid w:val="00681B8F"/>
    <w:rsid w:val="006844A1"/>
    <w:rsid w:val="00684DCD"/>
    <w:rsid w:val="00685A2F"/>
    <w:rsid w:val="006861DD"/>
    <w:rsid w:val="006919FD"/>
    <w:rsid w:val="00693846"/>
    <w:rsid w:val="00697549"/>
    <w:rsid w:val="006A0CB2"/>
    <w:rsid w:val="006A14C8"/>
    <w:rsid w:val="006A18FB"/>
    <w:rsid w:val="006A2848"/>
    <w:rsid w:val="006A472E"/>
    <w:rsid w:val="006A48EF"/>
    <w:rsid w:val="006A4CC0"/>
    <w:rsid w:val="006A6CC5"/>
    <w:rsid w:val="006B0056"/>
    <w:rsid w:val="006B02C6"/>
    <w:rsid w:val="006B285F"/>
    <w:rsid w:val="006C00C6"/>
    <w:rsid w:val="006C0E47"/>
    <w:rsid w:val="006C3B28"/>
    <w:rsid w:val="006C48AC"/>
    <w:rsid w:val="006C5ADA"/>
    <w:rsid w:val="006C7254"/>
    <w:rsid w:val="006C7360"/>
    <w:rsid w:val="006C7474"/>
    <w:rsid w:val="006C7E1D"/>
    <w:rsid w:val="006D0CDE"/>
    <w:rsid w:val="006D1AFC"/>
    <w:rsid w:val="006D25B6"/>
    <w:rsid w:val="006D2D45"/>
    <w:rsid w:val="006D3209"/>
    <w:rsid w:val="006D3749"/>
    <w:rsid w:val="006D45FA"/>
    <w:rsid w:val="006D5493"/>
    <w:rsid w:val="006D5756"/>
    <w:rsid w:val="006D6101"/>
    <w:rsid w:val="006E21BD"/>
    <w:rsid w:val="006E27D9"/>
    <w:rsid w:val="006E3656"/>
    <w:rsid w:val="006E44C3"/>
    <w:rsid w:val="006E51B4"/>
    <w:rsid w:val="006E58D3"/>
    <w:rsid w:val="006F0791"/>
    <w:rsid w:val="006F1D8F"/>
    <w:rsid w:val="006F24D3"/>
    <w:rsid w:val="006F292A"/>
    <w:rsid w:val="006F3DAF"/>
    <w:rsid w:val="006F4406"/>
    <w:rsid w:val="006F5759"/>
    <w:rsid w:val="006F5907"/>
    <w:rsid w:val="007016F7"/>
    <w:rsid w:val="00702D2D"/>
    <w:rsid w:val="00703539"/>
    <w:rsid w:val="00704FBB"/>
    <w:rsid w:val="00705644"/>
    <w:rsid w:val="00705DCE"/>
    <w:rsid w:val="00706403"/>
    <w:rsid w:val="00707380"/>
    <w:rsid w:val="00711728"/>
    <w:rsid w:val="00712139"/>
    <w:rsid w:val="007121D9"/>
    <w:rsid w:val="00713B09"/>
    <w:rsid w:val="00715657"/>
    <w:rsid w:val="007178A2"/>
    <w:rsid w:val="007208E8"/>
    <w:rsid w:val="00721F06"/>
    <w:rsid w:val="0072401F"/>
    <w:rsid w:val="007240B4"/>
    <w:rsid w:val="00724E46"/>
    <w:rsid w:val="00731296"/>
    <w:rsid w:val="00732808"/>
    <w:rsid w:val="00732DB5"/>
    <w:rsid w:val="0073393F"/>
    <w:rsid w:val="00735EEE"/>
    <w:rsid w:val="0073685C"/>
    <w:rsid w:val="007370EA"/>
    <w:rsid w:val="00740283"/>
    <w:rsid w:val="00740790"/>
    <w:rsid w:val="00740C63"/>
    <w:rsid w:val="00740FDB"/>
    <w:rsid w:val="00741BC0"/>
    <w:rsid w:val="0074275B"/>
    <w:rsid w:val="007431AB"/>
    <w:rsid w:val="0074519E"/>
    <w:rsid w:val="0074743D"/>
    <w:rsid w:val="0074752D"/>
    <w:rsid w:val="00747ED5"/>
    <w:rsid w:val="00750C36"/>
    <w:rsid w:val="00751B9B"/>
    <w:rsid w:val="007541B4"/>
    <w:rsid w:val="007544CB"/>
    <w:rsid w:val="00755111"/>
    <w:rsid w:val="007626FD"/>
    <w:rsid w:val="0076585E"/>
    <w:rsid w:val="00767CF9"/>
    <w:rsid w:val="00772206"/>
    <w:rsid w:val="0077270A"/>
    <w:rsid w:val="00773B19"/>
    <w:rsid w:val="00777CA3"/>
    <w:rsid w:val="00777D65"/>
    <w:rsid w:val="00780E4F"/>
    <w:rsid w:val="007858F8"/>
    <w:rsid w:val="007862EE"/>
    <w:rsid w:val="007863C0"/>
    <w:rsid w:val="00787271"/>
    <w:rsid w:val="00791C96"/>
    <w:rsid w:val="00791CFF"/>
    <w:rsid w:val="00791FF5"/>
    <w:rsid w:val="00793016"/>
    <w:rsid w:val="007933F2"/>
    <w:rsid w:val="0079440E"/>
    <w:rsid w:val="00794536"/>
    <w:rsid w:val="0079546B"/>
    <w:rsid w:val="007A0167"/>
    <w:rsid w:val="007A15C3"/>
    <w:rsid w:val="007A2274"/>
    <w:rsid w:val="007A4ADA"/>
    <w:rsid w:val="007A5177"/>
    <w:rsid w:val="007A5647"/>
    <w:rsid w:val="007A56C3"/>
    <w:rsid w:val="007A6D2B"/>
    <w:rsid w:val="007A7E37"/>
    <w:rsid w:val="007B3323"/>
    <w:rsid w:val="007B4179"/>
    <w:rsid w:val="007B46CB"/>
    <w:rsid w:val="007B5B41"/>
    <w:rsid w:val="007B71DD"/>
    <w:rsid w:val="007B7C78"/>
    <w:rsid w:val="007B7EA2"/>
    <w:rsid w:val="007C0B56"/>
    <w:rsid w:val="007C27B3"/>
    <w:rsid w:val="007C2C62"/>
    <w:rsid w:val="007C5524"/>
    <w:rsid w:val="007C69CA"/>
    <w:rsid w:val="007C756B"/>
    <w:rsid w:val="007C7CA1"/>
    <w:rsid w:val="007D1341"/>
    <w:rsid w:val="007D214A"/>
    <w:rsid w:val="007D3529"/>
    <w:rsid w:val="007D3CE7"/>
    <w:rsid w:val="007D3DE0"/>
    <w:rsid w:val="007D5348"/>
    <w:rsid w:val="007D5D54"/>
    <w:rsid w:val="007D62FA"/>
    <w:rsid w:val="007D7104"/>
    <w:rsid w:val="007D73C4"/>
    <w:rsid w:val="007E516E"/>
    <w:rsid w:val="007E6AFC"/>
    <w:rsid w:val="007E78EE"/>
    <w:rsid w:val="007E7A4B"/>
    <w:rsid w:val="007E7CB8"/>
    <w:rsid w:val="007F0B4B"/>
    <w:rsid w:val="007F0F7C"/>
    <w:rsid w:val="007F18E4"/>
    <w:rsid w:val="007F1E97"/>
    <w:rsid w:val="007F33CB"/>
    <w:rsid w:val="007F35CA"/>
    <w:rsid w:val="007F4B6D"/>
    <w:rsid w:val="007F53D1"/>
    <w:rsid w:val="007F5D7A"/>
    <w:rsid w:val="007F60EC"/>
    <w:rsid w:val="007F6F2F"/>
    <w:rsid w:val="007F79AC"/>
    <w:rsid w:val="00801950"/>
    <w:rsid w:val="00802168"/>
    <w:rsid w:val="008037BF"/>
    <w:rsid w:val="00803BCE"/>
    <w:rsid w:val="00803D38"/>
    <w:rsid w:val="008041D2"/>
    <w:rsid w:val="008052D4"/>
    <w:rsid w:val="00805A6F"/>
    <w:rsid w:val="00805D9C"/>
    <w:rsid w:val="00806B47"/>
    <w:rsid w:val="00806D27"/>
    <w:rsid w:val="00807B16"/>
    <w:rsid w:val="0081327D"/>
    <w:rsid w:val="00813E6A"/>
    <w:rsid w:val="0081624D"/>
    <w:rsid w:val="00816BBF"/>
    <w:rsid w:val="00817A5E"/>
    <w:rsid w:val="00817F54"/>
    <w:rsid w:val="00820E07"/>
    <w:rsid w:val="0082177E"/>
    <w:rsid w:val="0082228C"/>
    <w:rsid w:val="00823526"/>
    <w:rsid w:val="008236D7"/>
    <w:rsid w:val="00825321"/>
    <w:rsid w:val="00827997"/>
    <w:rsid w:val="00831FBD"/>
    <w:rsid w:val="00832498"/>
    <w:rsid w:val="008325A9"/>
    <w:rsid w:val="008334DB"/>
    <w:rsid w:val="00833D21"/>
    <w:rsid w:val="00834540"/>
    <w:rsid w:val="008367C9"/>
    <w:rsid w:val="00837A22"/>
    <w:rsid w:val="00837B18"/>
    <w:rsid w:val="00840DD2"/>
    <w:rsid w:val="0084136A"/>
    <w:rsid w:val="008434B3"/>
    <w:rsid w:val="00845CD9"/>
    <w:rsid w:val="00847667"/>
    <w:rsid w:val="00847BED"/>
    <w:rsid w:val="00847C81"/>
    <w:rsid w:val="0085016E"/>
    <w:rsid w:val="0085021F"/>
    <w:rsid w:val="008507BF"/>
    <w:rsid w:val="0085100F"/>
    <w:rsid w:val="00851E16"/>
    <w:rsid w:val="00854EDF"/>
    <w:rsid w:val="00855220"/>
    <w:rsid w:val="0085587C"/>
    <w:rsid w:val="00855E1E"/>
    <w:rsid w:val="00857681"/>
    <w:rsid w:val="00860377"/>
    <w:rsid w:val="00860ED0"/>
    <w:rsid w:val="0086270F"/>
    <w:rsid w:val="00863B18"/>
    <w:rsid w:val="00864088"/>
    <w:rsid w:val="00864DB3"/>
    <w:rsid w:val="00866E66"/>
    <w:rsid w:val="00870F43"/>
    <w:rsid w:val="008710D8"/>
    <w:rsid w:val="00872562"/>
    <w:rsid w:val="00872C57"/>
    <w:rsid w:val="00873CA8"/>
    <w:rsid w:val="00874250"/>
    <w:rsid w:val="0087433F"/>
    <w:rsid w:val="00874487"/>
    <w:rsid w:val="008747E5"/>
    <w:rsid w:val="00874BF3"/>
    <w:rsid w:val="00875867"/>
    <w:rsid w:val="008760B2"/>
    <w:rsid w:val="00876E92"/>
    <w:rsid w:val="00876F42"/>
    <w:rsid w:val="00883107"/>
    <w:rsid w:val="00883FFA"/>
    <w:rsid w:val="0088447A"/>
    <w:rsid w:val="00886523"/>
    <w:rsid w:val="00890C1E"/>
    <w:rsid w:val="008912E9"/>
    <w:rsid w:val="00891621"/>
    <w:rsid w:val="008941AE"/>
    <w:rsid w:val="008944A5"/>
    <w:rsid w:val="00894DBA"/>
    <w:rsid w:val="00896A77"/>
    <w:rsid w:val="008975E6"/>
    <w:rsid w:val="008A1092"/>
    <w:rsid w:val="008A3175"/>
    <w:rsid w:val="008A3C5C"/>
    <w:rsid w:val="008A4EB2"/>
    <w:rsid w:val="008A584F"/>
    <w:rsid w:val="008A7951"/>
    <w:rsid w:val="008A79BC"/>
    <w:rsid w:val="008B308E"/>
    <w:rsid w:val="008B37ED"/>
    <w:rsid w:val="008B44D5"/>
    <w:rsid w:val="008B4BE9"/>
    <w:rsid w:val="008B5F46"/>
    <w:rsid w:val="008B635E"/>
    <w:rsid w:val="008B6C98"/>
    <w:rsid w:val="008C014F"/>
    <w:rsid w:val="008C1580"/>
    <w:rsid w:val="008C23B2"/>
    <w:rsid w:val="008C3912"/>
    <w:rsid w:val="008C501E"/>
    <w:rsid w:val="008C6554"/>
    <w:rsid w:val="008C6DA9"/>
    <w:rsid w:val="008D0F64"/>
    <w:rsid w:val="008D117F"/>
    <w:rsid w:val="008D1F40"/>
    <w:rsid w:val="008D2302"/>
    <w:rsid w:val="008D2315"/>
    <w:rsid w:val="008D2B8C"/>
    <w:rsid w:val="008D3019"/>
    <w:rsid w:val="008D45BD"/>
    <w:rsid w:val="008D49A1"/>
    <w:rsid w:val="008D506F"/>
    <w:rsid w:val="008D59BD"/>
    <w:rsid w:val="008D5F96"/>
    <w:rsid w:val="008D649F"/>
    <w:rsid w:val="008D6A32"/>
    <w:rsid w:val="008D7DAB"/>
    <w:rsid w:val="008E17D2"/>
    <w:rsid w:val="008E3A72"/>
    <w:rsid w:val="008E50FF"/>
    <w:rsid w:val="008E6123"/>
    <w:rsid w:val="008E6886"/>
    <w:rsid w:val="008E68E9"/>
    <w:rsid w:val="008E7794"/>
    <w:rsid w:val="008E7C55"/>
    <w:rsid w:val="008F12D2"/>
    <w:rsid w:val="008F1C56"/>
    <w:rsid w:val="008F33DE"/>
    <w:rsid w:val="008F5227"/>
    <w:rsid w:val="008F53D2"/>
    <w:rsid w:val="008F54D7"/>
    <w:rsid w:val="00900322"/>
    <w:rsid w:val="009026AD"/>
    <w:rsid w:val="0090599F"/>
    <w:rsid w:val="00907145"/>
    <w:rsid w:val="009075BF"/>
    <w:rsid w:val="00907826"/>
    <w:rsid w:val="00911E5C"/>
    <w:rsid w:val="009124F1"/>
    <w:rsid w:val="009154F0"/>
    <w:rsid w:val="00915CDE"/>
    <w:rsid w:val="00917670"/>
    <w:rsid w:val="009218C6"/>
    <w:rsid w:val="009236D2"/>
    <w:rsid w:val="00923891"/>
    <w:rsid w:val="00924604"/>
    <w:rsid w:val="009248D9"/>
    <w:rsid w:val="00925783"/>
    <w:rsid w:val="00926E90"/>
    <w:rsid w:val="0092738C"/>
    <w:rsid w:val="0092798C"/>
    <w:rsid w:val="00930BAF"/>
    <w:rsid w:val="00936F7F"/>
    <w:rsid w:val="0093747B"/>
    <w:rsid w:val="00937A92"/>
    <w:rsid w:val="00937DBC"/>
    <w:rsid w:val="0094054D"/>
    <w:rsid w:val="0094149A"/>
    <w:rsid w:val="00942CA0"/>
    <w:rsid w:val="0094416F"/>
    <w:rsid w:val="00946F3F"/>
    <w:rsid w:val="00952661"/>
    <w:rsid w:val="00952A23"/>
    <w:rsid w:val="00953E58"/>
    <w:rsid w:val="00957C3D"/>
    <w:rsid w:val="009607F4"/>
    <w:rsid w:val="00960E54"/>
    <w:rsid w:val="00961C38"/>
    <w:rsid w:val="00963B66"/>
    <w:rsid w:val="00963DFF"/>
    <w:rsid w:val="00970272"/>
    <w:rsid w:val="00970D7C"/>
    <w:rsid w:val="00971802"/>
    <w:rsid w:val="00971BEC"/>
    <w:rsid w:val="00974FCB"/>
    <w:rsid w:val="009756AA"/>
    <w:rsid w:val="00977084"/>
    <w:rsid w:val="009804F6"/>
    <w:rsid w:val="00981328"/>
    <w:rsid w:val="00983934"/>
    <w:rsid w:val="00983E63"/>
    <w:rsid w:val="00984932"/>
    <w:rsid w:val="00985359"/>
    <w:rsid w:val="009854FF"/>
    <w:rsid w:val="00991BF7"/>
    <w:rsid w:val="00991D45"/>
    <w:rsid w:val="0099217E"/>
    <w:rsid w:val="00992B01"/>
    <w:rsid w:val="009961B2"/>
    <w:rsid w:val="00997390"/>
    <w:rsid w:val="009A0FB7"/>
    <w:rsid w:val="009A2B2E"/>
    <w:rsid w:val="009A4771"/>
    <w:rsid w:val="009A482E"/>
    <w:rsid w:val="009A51AF"/>
    <w:rsid w:val="009A592B"/>
    <w:rsid w:val="009A5BF4"/>
    <w:rsid w:val="009B1A58"/>
    <w:rsid w:val="009B1AF2"/>
    <w:rsid w:val="009B32C4"/>
    <w:rsid w:val="009B70EF"/>
    <w:rsid w:val="009B7516"/>
    <w:rsid w:val="009C112D"/>
    <w:rsid w:val="009C3BCC"/>
    <w:rsid w:val="009C5872"/>
    <w:rsid w:val="009C7929"/>
    <w:rsid w:val="009C7B0B"/>
    <w:rsid w:val="009D057B"/>
    <w:rsid w:val="009D12C4"/>
    <w:rsid w:val="009D166D"/>
    <w:rsid w:val="009D6B2F"/>
    <w:rsid w:val="009D6CA7"/>
    <w:rsid w:val="009D7597"/>
    <w:rsid w:val="009D7B6F"/>
    <w:rsid w:val="009E1F45"/>
    <w:rsid w:val="009E3288"/>
    <w:rsid w:val="009E49A0"/>
    <w:rsid w:val="009E4A88"/>
    <w:rsid w:val="009E713A"/>
    <w:rsid w:val="009E785B"/>
    <w:rsid w:val="009F21DB"/>
    <w:rsid w:val="009F2667"/>
    <w:rsid w:val="009F284D"/>
    <w:rsid w:val="009F29FF"/>
    <w:rsid w:val="009F3486"/>
    <w:rsid w:val="009F371A"/>
    <w:rsid w:val="009F487D"/>
    <w:rsid w:val="009F4B3C"/>
    <w:rsid w:val="009F588C"/>
    <w:rsid w:val="009F6730"/>
    <w:rsid w:val="009F732B"/>
    <w:rsid w:val="009F778D"/>
    <w:rsid w:val="00A009B9"/>
    <w:rsid w:val="00A023DE"/>
    <w:rsid w:val="00A02D70"/>
    <w:rsid w:val="00A03AFD"/>
    <w:rsid w:val="00A056B2"/>
    <w:rsid w:val="00A05ABD"/>
    <w:rsid w:val="00A0750A"/>
    <w:rsid w:val="00A10516"/>
    <w:rsid w:val="00A1301A"/>
    <w:rsid w:val="00A132BE"/>
    <w:rsid w:val="00A13761"/>
    <w:rsid w:val="00A145E0"/>
    <w:rsid w:val="00A157AD"/>
    <w:rsid w:val="00A15C14"/>
    <w:rsid w:val="00A17C63"/>
    <w:rsid w:val="00A21C03"/>
    <w:rsid w:val="00A238F7"/>
    <w:rsid w:val="00A24568"/>
    <w:rsid w:val="00A24EE4"/>
    <w:rsid w:val="00A24EED"/>
    <w:rsid w:val="00A25A6F"/>
    <w:rsid w:val="00A26312"/>
    <w:rsid w:val="00A26849"/>
    <w:rsid w:val="00A34288"/>
    <w:rsid w:val="00A35D42"/>
    <w:rsid w:val="00A35D95"/>
    <w:rsid w:val="00A35F68"/>
    <w:rsid w:val="00A37F31"/>
    <w:rsid w:val="00A4050A"/>
    <w:rsid w:val="00A432E2"/>
    <w:rsid w:val="00A43CC9"/>
    <w:rsid w:val="00A4772F"/>
    <w:rsid w:val="00A47B91"/>
    <w:rsid w:val="00A51355"/>
    <w:rsid w:val="00A53B08"/>
    <w:rsid w:val="00A53EBF"/>
    <w:rsid w:val="00A579FB"/>
    <w:rsid w:val="00A57E23"/>
    <w:rsid w:val="00A57E70"/>
    <w:rsid w:val="00A6039B"/>
    <w:rsid w:val="00A60B69"/>
    <w:rsid w:val="00A618D5"/>
    <w:rsid w:val="00A6401B"/>
    <w:rsid w:val="00A717A5"/>
    <w:rsid w:val="00A72CC1"/>
    <w:rsid w:val="00A7360B"/>
    <w:rsid w:val="00A73A34"/>
    <w:rsid w:val="00A73ED5"/>
    <w:rsid w:val="00A74AEF"/>
    <w:rsid w:val="00A751C4"/>
    <w:rsid w:val="00A774F8"/>
    <w:rsid w:val="00A80FCC"/>
    <w:rsid w:val="00A813EB"/>
    <w:rsid w:val="00A81E85"/>
    <w:rsid w:val="00A8342B"/>
    <w:rsid w:val="00A83847"/>
    <w:rsid w:val="00A83E4C"/>
    <w:rsid w:val="00A83F38"/>
    <w:rsid w:val="00A8727C"/>
    <w:rsid w:val="00A87315"/>
    <w:rsid w:val="00A87C43"/>
    <w:rsid w:val="00A90629"/>
    <w:rsid w:val="00A91882"/>
    <w:rsid w:val="00A91F04"/>
    <w:rsid w:val="00A93ADA"/>
    <w:rsid w:val="00A9703E"/>
    <w:rsid w:val="00A97156"/>
    <w:rsid w:val="00A97941"/>
    <w:rsid w:val="00AA1DCE"/>
    <w:rsid w:val="00AA277E"/>
    <w:rsid w:val="00AA2AE7"/>
    <w:rsid w:val="00AA4706"/>
    <w:rsid w:val="00AB0D1E"/>
    <w:rsid w:val="00AB44C0"/>
    <w:rsid w:val="00AC23F6"/>
    <w:rsid w:val="00AC4B6F"/>
    <w:rsid w:val="00AC6A93"/>
    <w:rsid w:val="00AC6FF9"/>
    <w:rsid w:val="00AC7AE8"/>
    <w:rsid w:val="00AD170F"/>
    <w:rsid w:val="00AD2AAC"/>
    <w:rsid w:val="00AD526E"/>
    <w:rsid w:val="00AD5EBB"/>
    <w:rsid w:val="00AE532D"/>
    <w:rsid w:val="00AE5A51"/>
    <w:rsid w:val="00AE676F"/>
    <w:rsid w:val="00AE71AE"/>
    <w:rsid w:val="00AF0213"/>
    <w:rsid w:val="00AF0710"/>
    <w:rsid w:val="00AF07AA"/>
    <w:rsid w:val="00AF0AAA"/>
    <w:rsid w:val="00AF24E1"/>
    <w:rsid w:val="00AF2760"/>
    <w:rsid w:val="00AF2C3B"/>
    <w:rsid w:val="00AF35FE"/>
    <w:rsid w:val="00AF3D2A"/>
    <w:rsid w:val="00AF6D51"/>
    <w:rsid w:val="00B00490"/>
    <w:rsid w:val="00B045C6"/>
    <w:rsid w:val="00B04E8D"/>
    <w:rsid w:val="00B059D3"/>
    <w:rsid w:val="00B1130B"/>
    <w:rsid w:val="00B11416"/>
    <w:rsid w:val="00B1150E"/>
    <w:rsid w:val="00B12099"/>
    <w:rsid w:val="00B12EDC"/>
    <w:rsid w:val="00B1366E"/>
    <w:rsid w:val="00B1457B"/>
    <w:rsid w:val="00B160BF"/>
    <w:rsid w:val="00B210CA"/>
    <w:rsid w:val="00B21484"/>
    <w:rsid w:val="00B23D62"/>
    <w:rsid w:val="00B242CC"/>
    <w:rsid w:val="00B24E7A"/>
    <w:rsid w:val="00B258B9"/>
    <w:rsid w:val="00B26DF2"/>
    <w:rsid w:val="00B327E3"/>
    <w:rsid w:val="00B329E3"/>
    <w:rsid w:val="00B33537"/>
    <w:rsid w:val="00B338D8"/>
    <w:rsid w:val="00B338F3"/>
    <w:rsid w:val="00B35871"/>
    <w:rsid w:val="00B360EC"/>
    <w:rsid w:val="00B36C9E"/>
    <w:rsid w:val="00B40459"/>
    <w:rsid w:val="00B440E7"/>
    <w:rsid w:val="00B45FA2"/>
    <w:rsid w:val="00B46288"/>
    <w:rsid w:val="00B473B1"/>
    <w:rsid w:val="00B50802"/>
    <w:rsid w:val="00B5178A"/>
    <w:rsid w:val="00B52B69"/>
    <w:rsid w:val="00B5366D"/>
    <w:rsid w:val="00B54C13"/>
    <w:rsid w:val="00B55B2A"/>
    <w:rsid w:val="00B567D9"/>
    <w:rsid w:val="00B56D4F"/>
    <w:rsid w:val="00B602C6"/>
    <w:rsid w:val="00B610C1"/>
    <w:rsid w:val="00B6213F"/>
    <w:rsid w:val="00B6214D"/>
    <w:rsid w:val="00B624EA"/>
    <w:rsid w:val="00B62C36"/>
    <w:rsid w:val="00B62D52"/>
    <w:rsid w:val="00B638CE"/>
    <w:rsid w:val="00B641C3"/>
    <w:rsid w:val="00B64358"/>
    <w:rsid w:val="00B65CEB"/>
    <w:rsid w:val="00B672C3"/>
    <w:rsid w:val="00B70944"/>
    <w:rsid w:val="00B71BEC"/>
    <w:rsid w:val="00B75C08"/>
    <w:rsid w:val="00B76FA5"/>
    <w:rsid w:val="00B778C2"/>
    <w:rsid w:val="00B8092E"/>
    <w:rsid w:val="00B80E59"/>
    <w:rsid w:val="00B8291C"/>
    <w:rsid w:val="00B837B0"/>
    <w:rsid w:val="00B8383B"/>
    <w:rsid w:val="00B83AEE"/>
    <w:rsid w:val="00B8470B"/>
    <w:rsid w:val="00B86830"/>
    <w:rsid w:val="00B87A1C"/>
    <w:rsid w:val="00B9053C"/>
    <w:rsid w:val="00B90EFF"/>
    <w:rsid w:val="00B90F1C"/>
    <w:rsid w:val="00B91688"/>
    <w:rsid w:val="00B9183A"/>
    <w:rsid w:val="00B92730"/>
    <w:rsid w:val="00B93CD3"/>
    <w:rsid w:val="00B94FAE"/>
    <w:rsid w:val="00B974F7"/>
    <w:rsid w:val="00BA3C7E"/>
    <w:rsid w:val="00BA42AD"/>
    <w:rsid w:val="00BA4D64"/>
    <w:rsid w:val="00BA4E40"/>
    <w:rsid w:val="00BA557B"/>
    <w:rsid w:val="00BA6994"/>
    <w:rsid w:val="00BA69D8"/>
    <w:rsid w:val="00BA73A9"/>
    <w:rsid w:val="00BA762D"/>
    <w:rsid w:val="00BB02CF"/>
    <w:rsid w:val="00BB0AFC"/>
    <w:rsid w:val="00BB0E83"/>
    <w:rsid w:val="00BB0EF7"/>
    <w:rsid w:val="00BB27E3"/>
    <w:rsid w:val="00BB306D"/>
    <w:rsid w:val="00BB57F7"/>
    <w:rsid w:val="00BB59D3"/>
    <w:rsid w:val="00BB5C11"/>
    <w:rsid w:val="00BB6744"/>
    <w:rsid w:val="00BB6786"/>
    <w:rsid w:val="00BB7CDF"/>
    <w:rsid w:val="00BC1ACD"/>
    <w:rsid w:val="00BC5643"/>
    <w:rsid w:val="00BC5DCE"/>
    <w:rsid w:val="00BC6FC8"/>
    <w:rsid w:val="00BD04F2"/>
    <w:rsid w:val="00BD09E9"/>
    <w:rsid w:val="00BD0A80"/>
    <w:rsid w:val="00BD1DBC"/>
    <w:rsid w:val="00BD2E0B"/>
    <w:rsid w:val="00BD5554"/>
    <w:rsid w:val="00BD627E"/>
    <w:rsid w:val="00BD6F1D"/>
    <w:rsid w:val="00BD7408"/>
    <w:rsid w:val="00BD7A0B"/>
    <w:rsid w:val="00BE060E"/>
    <w:rsid w:val="00BE1AA1"/>
    <w:rsid w:val="00BE1BDA"/>
    <w:rsid w:val="00BE2424"/>
    <w:rsid w:val="00BE2E65"/>
    <w:rsid w:val="00BE40E4"/>
    <w:rsid w:val="00BE5469"/>
    <w:rsid w:val="00BE5AC8"/>
    <w:rsid w:val="00BE649A"/>
    <w:rsid w:val="00BE652D"/>
    <w:rsid w:val="00BE7760"/>
    <w:rsid w:val="00BE799D"/>
    <w:rsid w:val="00BF32D2"/>
    <w:rsid w:val="00BF4CF5"/>
    <w:rsid w:val="00BF5A39"/>
    <w:rsid w:val="00BF7382"/>
    <w:rsid w:val="00BF7FAF"/>
    <w:rsid w:val="00C00255"/>
    <w:rsid w:val="00C018E2"/>
    <w:rsid w:val="00C02F25"/>
    <w:rsid w:val="00C02F3C"/>
    <w:rsid w:val="00C061E9"/>
    <w:rsid w:val="00C077F9"/>
    <w:rsid w:val="00C07AF4"/>
    <w:rsid w:val="00C11584"/>
    <w:rsid w:val="00C136DD"/>
    <w:rsid w:val="00C13C55"/>
    <w:rsid w:val="00C172F6"/>
    <w:rsid w:val="00C17ECC"/>
    <w:rsid w:val="00C2010B"/>
    <w:rsid w:val="00C2043D"/>
    <w:rsid w:val="00C2361E"/>
    <w:rsid w:val="00C25011"/>
    <w:rsid w:val="00C260E0"/>
    <w:rsid w:val="00C267B3"/>
    <w:rsid w:val="00C275C5"/>
    <w:rsid w:val="00C27A72"/>
    <w:rsid w:val="00C27F67"/>
    <w:rsid w:val="00C30552"/>
    <w:rsid w:val="00C34C2F"/>
    <w:rsid w:val="00C34D01"/>
    <w:rsid w:val="00C353DB"/>
    <w:rsid w:val="00C3596A"/>
    <w:rsid w:val="00C359CD"/>
    <w:rsid w:val="00C365AC"/>
    <w:rsid w:val="00C44357"/>
    <w:rsid w:val="00C4579F"/>
    <w:rsid w:val="00C4765E"/>
    <w:rsid w:val="00C479D7"/>
    <w:rsid w:val="00C506BB"/>
    <w:rsid w:val="00C5107B"/>
    <w:rsid w:val="00C53DD6"/>
    <w:rsid w:val="00C54BB7"/>
    <w:rsid w:val="00C56444"/>
    <w:rsid w:val="00C6075D"/>
    <w:rsid w:val="00C61868"/>
    <w:rsid w:val="00C61BA4"/>
    <w:rsid w:val="00C632A9"/>
    <w:rsid w:val="00C65128"/>
    <w:rsid w:val="00C72969"/>
    <w:rsid w:val="00C7359B"/>
    <w:rsid w:val="00C75054"/>
    <w:rsid w:val="00C750A6"/>
    <w:rsid w:val="00C75D1F"/>
    <w:rsid w:val="00C82FDC"/>
    <w:rsid w:val="00C83802"/>
    <w:rsid w:val="00C84599"/>
    <w:rsid w:val="00C84A2D"/>
    <w:rsid w:val="00C84C4C"/>
    <w:rsid w:val="00C85E55"/>
    <w:rsid w:val="00C86098"/>
    <w:rsid w:val="00C9143E"/>
    <w:rsid w:val="00C9229B"/>
    <w:rsid w:val="00C93557"/>
    <w:rsid w:val="00C94BD4"/>
    <w:rsid w:val="00C96026"/>
    <w:rsid w:val="00C96BF1"/>
    <w:rsid w:val="00C96F40"/>
    <w:rsid w:val="00CA0898"/>
    <w:rsid w:val="00CA0BB9"/>
    <w:rsid w:val="00CA17DC"/>
    <w:rsid w:val="00CA4007"/>
    <w:rsid w:val="00CA4776"/>
    <w:rsid w:val="00CA4D5A"/>
    <w:rsid w:val="00CA727F"/>
    <w:rsid w:val="00CB01FF"/>
    <w:rsid w:val="00CB1043"/>
    <w:rsid w:val="00CB1A6C"/>
    <w:rsid w:val="00CB3AA2"/>
    <w:rsid w:val="00CB74B5"/>
    <w:rsid w:val="00CB7A21"/>
    <w:rsid w:val="00CC01C8"/>
    <w:rsid w:val="00CC0CCE"/>
    <w:rsid w:val="00CC26EE"/>
    <w:rsid w:val="00CC2B3C"/>
    <w:rsid w:val="00CC3220"/>
    <w:rsid w:val="00CC3943"/>
    <w:rsid w:val="00CC3B78"/>
    <w:rsid w:val="00CC68F5"/>
    <w:rsid w:val="00CC73A1"/>
    <w:rsid w:val="00CC74FA"/>
    <w:rsid w:val="00CC7CF6"/>
    <w:rsid w:val="00CD0E71"/>
    <w:rsid w:val="00CD2593"/>
    <w:rsid w:val="00CD26F1"/>
    <w:rsid w:val="00CD330E"/>
    <w:rsid w:val="00CD439A"/>
    <w:rsid w:val="00CD445F"/>
    <w:rsid w:val="00CD45B9"/>
    <w:rsid w:val="00CD4AC7"/>
    <w:rsid w:val="00CD4BD0"/>
    <w:rsid w:val="00CD65AF"/>
    <w:rsid w:val="00CE103F"/>
    <w:rsid w:val="00CE1F44"/>
    <w:rsid w:val="00CE2939"/>
    <w:rsid w:val="00CE3501"/>
    <w:rsid w:val="00CE410C"/>
    <w:rsid w:val="00CE5EA9"/>
    <w:rsid w:val="00CF0060"/>
    <w:rsid w:val="00CF012A"/>
    <w:rsid w:val="00CF02AC"/>
    <w:rsid w:val="00CF04A8"/>
    <w:rsid w:val="00CF0AB1"/>
    <w:rsid w:val="00CF13CB"/>
    <w:rsid w:val="00CF1E9B"/>
    <w:rsid w:val="00CF3A97"/>
    <w:rsid w:val="00CF3D6A"/>
    <w:rsid w:val="00CF55FA"/>
    <w:rsid w:val="00CF7559"/>
    <w:rsid w:val="00D00A80"/>
    <w:rsid w:val="00D01C45"/>
    <w:rsid w:val="00D038B6"/>
    <w:rsid w:val="00D04B55"/>
    <w:rsid w:val="00D0704B"/>
    <w:rsid w:val="00D10367"/>
    <w:rsid w:val="00D10FAF"/>
    <w:rsid w:val="00D11B6C"/>
    <w:rsid w:val="00D13AA1"/>
    <w:rsid w:val="00D13D68"/>
    <w:rsid w:val="00D1446E"/>
    <w:rsid w:val="00D15DC1"/>
    <w:rsid w:val="00D22030"/>
    <w:rsid w:val="00D2258F"/>
    <w:rsid w:val="00D244C6"/>
    <w:rsid w:val="00D24DE3"/>
    <w:rsid w:val="00D25FFA"/>
    <w:rsid w:val="00D26A6B"/>
    <w:rsid w:val="00D27605"/>
    <w:rsid w:val="00D3361D"/>
    <w:rsid w:val="00D34065"/>
    <w:rsid w:val="00D35CF5"/>
    <w:rsid w:val="00D35D26"/>
    <w:rsid w:val="00D3765D"/>
    <w:rsid w:val="00D376C5"/>
    <w:rsid w:val="00D405CF"/>
    <w:rsid w:val="00D4572D"/>
    <w:rsid w:val="00D51A69"/>
    <w:rsid w:val="00D52653"/>
    <w:rsid w:val="00D534DA"/>
    <w:rsid w:val="00D534F5"/>
    <w:rsid w:val="00D577B5"/>
    <w:rsid w:val="00D609B5"/>
    <w:rsid w:val="00D61331"/>
    <w:rsid w:val="00D638C1"/>
    <w:rsid w:val="00D65483"/>
    <w:rsid w:val="00D71392"/>
    <w:rsid w:val="00D71470"/>
    <w:rsid w:val="00D720F8"/>
    <w:rsid w:val="00D725F6"/>
    <w:rsid w:val="00D727CE"/>
    <w:rsid w:val="00D729CB"/>
    <w:rsid w:val="00D7418C"/>
    <w:rsid w:val="00D820D8"/>
    <w:rsid w:val="00D83F55"/>
    <w:rsid w:val="00D849B2"/>
    <w:rsid w:val="00D84DBA"/>
    <w:rsid w:val="00D85145"/>
    <w:rsid w:val="00D879C2"/>
    <w:rsid w:val="00D913F0"/>
    <w:rsid w:val="00D93E20"/>
    <w:rsid w:val="00D94587"/>
    <w:rsid w:val="00D97453"/>
    <w:rsid w:val="00D97AE2"/>
    <w:rsid w:val="00D97CFE"/>
    <w:rsid w:val="00DA0FC4"/>
    <w:rsid w:val="00DA1566"/>
    <w:rsid w:val="00DA1887"/>
    <w:rsid w:val="00DA4847"/>
    <w:rsid w:val="00DA64A1"/>
    <w:rsid w:val="00DB01DD"/>
    <w:rsid w:val="00DB12FE"/>
    <w:rsid w:val="00DB162F"/>
    <w:rsid w:val="00DB3C49"/>
    <w:rsid w:val="00DB52CA"/>
    <w:rsid w:val="00DB721C"/>
    <w:rsid w:val="00DC14C9"/>
    <w:rsid w:val="00DC22C7"/>
    <w:rsid w:val="00DC7727"/>
    <w:rsid w:val="00DD133B"/>
    <w:rsid w:val="00DD2C6D"/>
    <w:rsid w:val="00DD5009"/>
    <w:rsid w:val="00DD5B12"/>
    <w:rsid w:val="00DD5C56"/>
    <w:rsid w:val="00DE079F"/>
    <w:rsid w:val="00DE37E2"/>
    <w:rsid w:val="00DE4773"/>
    <w:rsid w:val="00DE502B"/>
    <w:rsid w:val="00DE6B56"/>
    <w:rsid w:val="00DE6BA1"/>
    <w:rsid w:val="00DF0AA9"/>
    <w:rsid w:val="00DF1A90"/>
    <w:rsid w:val="00DF3A3D"/>
    <w:rsid w:val="00DF5B5D"/>
    <w:rsid w:val="00DF6798"/>
    <w:rsid w:val="00DF6A3D"/>
    <w:rsid w:val="00DF75B2"/>
    <w:rsid w:val="00E0056F"/>
    <w:rsid w:val="00E00ABC"/>
    <w:rsid w:val="00E013B6"/>
    <w:rsid w:val="00E01802"/>
    <w:rsid w:val="00E01878"/>
    <w:rsid w:val="00E0199C"/>
    <w:rsid w:val="00E022E5"/>
    <w:rsid w:val="00E03645"/>
    <w:rsid w:val="00E0427E"/>
    <w:rsid w:val="00E05592"/>
    <w:rsid w:val="00E05E9A"/>
    <w:rsid w:val="00E0647C"/>
    <w:rsid w:val="00E06E12"/>
    <w:rsid w:val="00E06F4F"/>
    <w:rsid w:val="00E1086B"/>
    <w:rsid w:val="00E113C7"/>
    <w:rsid w:val="00E11854"/>
    <w:rsid w:val="00E15ED4"/>
    <w:rsid w:val="00E16845"/>
    <w:rsid w:val="00E16A8F"/>
    <w:rsid w:val="00E179FA"/>
    <w:rsid w:val="00E17E58"/>
    <w:rsid w:val="00E21411"/>
    <w:rsid w:val="00E2178F"/>
    <w:rsid w:val="00E23895"/>
    <w:rsid w:val="00E32B0E"/>
    <w:rsid w:val="00E34349"/>
    <w:rsid w:val="00E34404"/>
    <w:rsid w:val="00E34546"/>
    <w:rsid w:val="00E34D6C"/>
    <w:rsid w:val="00E401A1"/>
    <w:rsid w:val="00E4139A"/>
    <w:rsid w:val="00E41678"/>
    <w:rsid w:val="00E418EE"/>
    <w:rsid w:val="00E42295"/>
    <w:rsid w:val="00E42A61"/>
    <w:rsid w:val="00E44EEE"/>
    <w:rsid w:val="00E47006"/>
    <w:rsid w:val="00E512A6"/>
    <w:rsid w:val="00E52577"/>
    <w:rsid w:val="00E52D0C"/>
    <w:rsid w:val="00E54055"/>
    <w:rsid w:val="00E54D08"/>
    <w:rsid w:val="00E56155"/>
    <w:rsid w:val="00E605C2"/>
    <w:rsid w:val="00E61021"/>
    <w:rsid w:val="00E61606"/>
    <w:rsid w:val="00E66ACB"/>
    <w:rsid w:val="00E67292"/>
    <w:rsid w:val="00E71DB6"/>
    <w:rsid w:val="00E7374B"/>
    <w:rsid w:val="00E7506B"/>
    <w:rsid w:val="00E755DD"/>
    <w:rsid w:val="00E75884"/>
    <w:rsid w:val="00E7731D"/>
    <w:rsid w:val="00E805BD"/>
    <w:rsid w:val="00E80E6E"/>
    <w:rsid w:val="00E83644"/>
    <w:rsid w:val="00E841A5"/>
    <w:rsid w:val="00E84FB1"/>
    <w:rsid w:val="00E93B22"/>
    <w:rsid w:val="00E9503A"/>
    <w:rsid w:val="00E95653"/>
    <w:rsid w:val="00E957D7"/>
    <w:rsid w:val="00E96933"/>
    <w:rsid w:val="00EA199D"/>
    <w:rsid w:val="00EA3026"/>
    <w:rsid w:val="00EA3081"/>
    <w:rsid w:val="00EA5E63"/>
    <w:rsid w:val="00EA61FE"/>
    <w:rsid w:val="00EB0A67"/>
    <w:rsid w:val="00EB2ABF"/>
    <w:rsid w:val="00EB336E"/>
    <w:rsid w:val="00EB4C56"/>
    <w:rsid w:val="00EB5530"/>
    <w:rsid w:val="00EB6776"/>
    <w:rsid w:val="00EB7108"/>
    <w:rsid w:val="00EB7C8A"/>
    <w:rsid w:val="00EC01B5"/>
    <w:rsid w:val="00EC01DC"/>
    <w:rsid w:val="00EC05CF"/>
    <w:rsid w:val="00EC07A5"/>
    <w:rsid w:val="00EC0B93"/>
    <w:rsid w:val="00EC0B9C"/>
    <w:rsid w:val="00EC315C"/>
    <w:rsid w:val="00EC37A2"/>
    <w:rsid w:val="00EC3962"/>
    <w:rsid w:val="00EC65E1"/>
    <w:rsid w:val="00EC67C2"/>
    <w:rsid w:val="00EC6959"/>
    <w:rsid w:val="00EC7398"/>
    <w:rsid w:val="00EC7BAC"/>
    <w:rsid w:val="00ED0160"/>
    <w:rsid w:val="00ED0671"/>
    <w:rsid w:val="00ED1EBD"/>
    <w:rsid w:val="00ED66E8"/>
    <w:rsid w:val="00ED6E21"/>
    <w:rsid w:val="00ED7B19"/>
    <w:rsid w:val="00EE164C"/>
    <w:rsid w:val="00EE16C6"/>
    <w:rsid w:val="00EE38F8"/>
    <w:rsid w:val="00EE48EA"/>
    <w:rsid w:val="00EE5151"/>
    <w:rsid w:val="00EE5387"/>
    <w:rsid w:val="00EE5954"/>
    <w:rsid w:val="00EE5CD8"/>
    <w:rsid w:val="00EE7549"/>
    <w:rsid w:val="00EE7A37"/>
    <w:rsid w:val="00EE7F7B"/>
    <w:rsid w:val="00EF10AF"/>
    <w:rsid w:val="00EF1AA7"/>
    <w:rsid w:val="00EF2543"/>
    <w:rsid w:val="00EF468D"/>
    <w:rsid w:val="00EF4775"/>
    <w:rsid w:val="00EF6061"/>
    <w:rsid w:val="00F00CE6"/>
    <w:rsid w:val="00F01313"/>
    <w:rsid w:val="00F02074"/>
    <w:rsid w:val="00F02A28"/>
    <w:rsid w:val="00F038BA"/>
    <w:rsid w:val="00F05F94"/>
    <w:rsid w:val="00F06B91"/>
    <w:rsid w:val="00F10A9B"/>
    <w:rsid w:val="00F10AD7"/>
    <w:rsid w:val="00F10C4E"/>
    <w:rsid w:val="00F12D7A"/>
    <w:rsid w:val="00F167E5"/>
    <w:rsid w:val="00F17695"/>
    <w:rsid w:val="00F178DF"/>
    <w:rsid w:val="00F217AE"/>
    <w:rsid w:val="00F21BEE"/>
    <w:rsid w:val="00F220FC"/>
    <w:rsid w:val="00F226C5"/>
    <w:rsid w:val="00F228F8"/>
    <w:rsid w:val="00F233FC"/>
    <w:rsid w:val="00F26587"/>
    <w:rsid w:val="00F31073"/>
    <w:rsid w:val="00F3129D"/>
    <w:rsid w:val="00F312EA"/>
    <w:rsid w:val="00F316F5"/>
    <w:rsid w:val="00F36702"/>
    <w:rsid w:val="00F37AA4"/>
    <w:rsid w:val="00F40493"/>
    <w:rsid w:val="00F404C7"/>
    <w:rsid w:val="00F408FA"/>
    <w:rsid w:val="00F42A05"/>
    <w:rsid w:val="00F435E6"/>
    <w:rsid w:val="00F46B26"/>
    <w:rsid w:val="00F50018"/>
    <w:rsid w:val="00F511A5"/>
    <w:rsid w:val="00F51E20"/>
    <w:rsid w:val="00F524DA"/>
    <w:rsid w:val="00F52EBF"/>
    <w:rsid w:val="00F53C0D"/>
    <w:rsid w:val="00F56A62"/>
    <w:rsid w:val="00F60699"/>
    <w:rsid w:val="00F61BEA"/>
    <w:rsid w:val="00F62B8D"/>
    <w:rsid w:val="00F631EF"/>
    <w:rsid w:val="00F63947"/>
    <w:rsid w:val="00F654E2"/>
    <w:rsid w:val="00F65628"/>
    <w:rsid w:val="00F65750"/>
    <w:rsid w:val="00F72F16"/>
    <w:rsid w:val="00F7332E"/>
    <w:rsid w:val="00F7356B"/>
    <w:rsid w:val="00F739A4"/>
    <w:rsid w:val="00F77FEB"/>
    <w:rsid w:val="00F8244E"/>
    <w:rsid w:val="00F82607"/>
    <w:rsid w:val="00F8638E"/>
    <w:rsid w:val="00F877F9"/>
    <w:rsid w:val="00F87E83"/>
    <w:rsid w:val="00F93F61"/>
    <w:rsid w:val="00F95FA1"/>
    <w:rsid w:val="00F96916"/>
    <w:rsid w:val="00F97F94"/>
    <w:rsid w:val="00FA1B68"/>
    <w:rsid w:val="00FA2291"/>
    <w:rsid w:val="00FA27DF"/>
    <w:rsid w:val="00FA53BC"/>
    <w:rsid w:val="00FA62B0"/>
    <w:rsid w:val="00FA695D"/>
    <w:rsid w:val="00FA74E8"/>
    <w:rsid w:val="00FA7816"/>
    <w:rsid w:val="00FB04A0"/>
    <w:rsid w:val="00FB148C"/>
    <w:rsid w:val="00FB1761"/>
    <w:rsid w:val="00FB31C3"/>
    <w:rsid w:val="00FB40B6"/>
    <w:rsid w:val="00FB5F7C"/>
    <w:rsid w:val="00FC0811"/>
    <w:rsid w:val="00FC3090"/>
    <w:rsid w:val="00FC439B"/>
    <w:rsid w:val="00FC5130"/>
    <w:rsid w:val="00FC63B1"/>
    <w:rsid w:val="00FC667D"/>
    <w:rsid w:val="00FD1A6B"/>
    <w:rsid w:val="00FD2739"/>
    <w:rsid w:val="00FD2BC8"/>
    <w:rsid w:val="00FD332D"/>
    <w:rsid w:val="00FD54F2"/>
    <w:rsid w:val="00FD567A"/>
    <w:rsid w:val="00FD7380"/>
    <w:rsid w:val="00FE0739"/>
    <w:rsid w:val="00FE1DDB"/>
    <w:rsid w:val="00FE3349"/>
    <w:rsid w:val="00FE3E93"/>
    <w:rsid w:val="00FE575C"/>
    <w:rsid w:val="00FF0686"/>
    <w:rsid w:val="00FF071C"/>
    <w:rsid w:val="00FF1E86"/>
    <w:rsid w:val="00FF260B"/>
    <w:rsid w:val="00FF3795"/>
    <w:rsid w:val="00FF726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E0945"/>
  <w15:docId w15:val="{30DB2659-77C9-497D-9FEF-2B5EA2457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729"/>
    <w:pPr>
      <w:suppressAutoHyphens/>
      <w:spacing w:after="240" w:line="276" w:lineRule="auto"/>
      <w:jc w:val="both"/>
    </w:pPr>
    <w:rPr>
      <w:rFonts w:ascii="Palatino Linotype" w:hAnsi="Palatino Linotype" w:cs="Arial"/>
      <w:sz w:val="22"/>
      <w:szCs w:val="16"/>
      <w:lang w:eastAsia="ar-SA"/>
    </w:rPr>
  </w:style>
  <w:style w:type="paragraph" w:styleId="Heading1">
    <w:name w:val="heading 1"/>
    <w:basedOn w:val="Normal"/>
    <w:next w:val="Normal"/>
    <w:link w:val="Heading1Char"/>
    <w:uiPriority w:val="99"/>
    <w:qFormat/>
    <w:rsid w:val="00A132BE"/>
    <w:pPr>
      <w:keepNext/>
      <w:jc w:val="center"/>
      <w:outlineLvl w:val="0"/>
    </w:pPr>
    <w:rPr>
      <w:rFonts w:cs="Times New Roman"/>
      <w:b/>
      <w:iCs/>
      <w:sz w:val="18"/>
      <w:szCs w:val="18"/>
    </w:rPr>
  </w:style>
  <w:style w:type="paragraph" w:styleId="Heading2">
    <w:name w:val="heading 2"/>
    <w:basedOn w:val="Normal"/>
    <w:next w:val="Normal"/>
    <w:link w:val="Heading2Char"/>
    <w:uiPriority w:val="99"/>
    <w:qFormat/>
    <w:rsid w:val="00F65750"/>
    <w:pPr>
      <w:keepNext/>
      <w:spacing w:before="240" w:after="60"/>
      <w:outlineLvl w:val="1"/>
    </w:pPr>
    <w:rPr>
      <w:b/>
      <w:bCs/>
      <w:iCs/>
      <w:sz w:val="26"/>
      <w:szCs w:val="28"/>
      <w:lang w:val="en-GB"/>
    </w:rPr>
  </w:style>
  <w:style w:type="paragraph" w:styleId="Heading3">
    <w:name w:val="heading 3"/>
    <w:basedOn w:val="Normal"/>
    <w:next w:val="Normal"/>
    <w:link w:val="Heading3Char"/>
    <w:uiPriority w:val="99"/>
    <w:qFormat/>
    <w:rsid w:val="00A132BE"/>
    <w:pPr>
      <w:keepNext/>
      <w:spacing w:before="240" w:after="60"/>
      <w:outlineLvl w:val="2"/>
    </w:pPr>
    <w:rPr>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132BE"/>
    <w:rPr>
      <w:rFonts w:ascii="Arial" w:hAnsi="Arial"/>
      <w:b/>
      <w:iCs/>
      <w:sz w:val="18"/>
      <w:szCs w:val="18"/>
      <w:lang w:val="tr-TR" w:eastAsia="ar-SA"/>
    </w:rPr>
  </w:style>
  <w:style w:type="character" w:customStyle="1" w:styleId="Heading2Char">
    <w:name w:val="Heading 2 Char"/>
    <w:basedOn w:val="DefaultParagraphFont"/>
    <w:link w:val="Heading2"/>
    <w:uiPriority w:val="99"/>
    <w:rsid w:val="00F65750"/>
    <w:rPr>
      <w:rFonts w:ascii="Palatino Linotype" w:hAnsi="Palatino Linotype" w:cs="Arial"/>
      <w:b/>
      <w:bCs/>
      <w:iCs/>
      <w:sz w:val="26"/>
      <w:szCs w:val="28"/>
      <w:lang w:val="en-GB" w:eastAsia="ar-SA"/>
    </w:rPr>
  </w:style>
  <w:style w:type="character" w:customStyle="1" w:styleId="Heading3Char">
    <w:name w:val="Heading 3 Char"/>
    <w:basedOn w:val="DefaultParagraphFont"/>
    <w:link w:val="Heading3"/>
    <w:uiPriority w:val="99"/>
    <w:rsid w:val="00A132BE"/>
    <w:rPr>
      <w:rFonts w:ascii="Arial" w:hAnsi="Arial" w:cs="Arial"/>
      <w:b/>
      <w:bCs/>
      <w:sz w:val="26"/>
      <w:szCs w:val="26"/>
      <w:lang w:val="en-GB" w:eastAsia="ar-SA"/>
    </w:rPr>
  </w:style>
  <w:style w:type="paragraph" w:styleId="Caption">
    <w:name w:val="caption"/>
    <w:basedOn w:val="Normal"/>
    <w:next w:val="Normal"/>
    <w:uiPriority w:val="35"/>
    <w:qFormat/>
    <w:rsid w:val="00520E7C"/>
    <w:rPr>
      <w:b/>
      <w:bCs/>
      <w:sz w:val="18"/>
      <w:szCs w:val="20"/>
    </w:rPr>
  </w:style>
  <w:style w:type="character" w:styleId="Strong">
    <w:name w:val="Strong"/>
    <w:basedOn w:val="DefaultParagraphFont"/>
    <w:qFormat/>
    <w:rsid w:val="00A132BE"/>
    <w:rPr>
      <w:b/>
      <w:bCs/>
    </w:rPr>
  </w:style>
  <w:style w:type="character" w:styleId="Emphasis">
    <w:name w:val="Emphasis"/>
    <w:basedOn w:val="DefaultParagraphFont"/>
    <w:uiPriority w:val="20"/>
    <w:qFormat/>
    <w:rsid w:val="00A132BE"/>
    <w:rPr>
      <w:i/>
      <w:iCs/>
    </w:rPr>
  </w:style>
  <w:style w:type="character" w:styleId="FootnoteReference">
    <w:name w:val="footnote reference"/>
    <w:basedOn w:val="DefaultParagraphFont"/>
    <w:uiPriority w:val="99"/>
    <w:semiHidden/>
    <w:rsid w:val="00894DBA"/>
    <w:rPr>
      <w:vertAlign w:val="superscript"/>
    </w:rPr>
  </w:style>
  <w:style w:type="paragraph" w:styleId="FootnoteText">
    <w:name w:val="footnote text"/>
    <w:basedOn w:val="Normal"/>
    <w:link w:val="FootnoteTextChar"/>
    <w:uiPriority w:val="99"/>
    <w:semiHidden/>
    <w:rsid w:val="00894DBA"/>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894DBA"/>
    <w:rPr>
      <w:lang w:eastAsia="ar-SA"/>
    </w:rPr>
  </w:style>
  <w:style w:type="paragraph" w:styleId="Header">
    <w:name w:val="header"/>
    <w:basedOn w:val="Normal"/>
    <w:link w:val="HeaderChar"/>
    <w:uiPriority w:val="99"/>
    <w:unhideWhenUsed/>
    <w:rsid w:val="004C4FE3"/>
    <w:pPr>
      <w:tabs>
        <w:tab w:val="center" w:pos="4703"/>
        <w:tab w:val="right" w:pos="9406"/>
      </w:tabs>
    </w:pPr>
  </w:style>
  <w:style w:type="character" w:customStyle="1" w:styleId="HeaderChar">
    <w:name w:val="Header Char"/>
    <w:basedOn w:val="DefaultParagraphFont"/>
    <w:link w:val="Header"/>
    <w:uiPriority w:val="99"/>
    <w:rsid w:val="004C4FE3"/>
    <w:rPr>
      <w:rFonts w:ascii="Arial" w:hAnsi="Arial" w:cs="Arial"/>
      <w:sz w:val="16"/>
      <w:szCs w:val="16"/>
      <w:lang w:val="en-US" w:eastAsia="ar-SA"/>
    </w:rPr>
  </w:style>
  <w:style w:type="paragraph" w:styleId="Footer">
    <w:name w:val="footer"/>
    <w:basedOn w:val="Normal"/>
    <w:link w:val="FooterChar"/>
    <w:uiPriority w:val="99"/>
    <w:unhideWhenUsed/>
    <w:rsid w:val="004C4FE3"/>
    <w:pPr>
      <w:tabs>
        <w:tab w:val="center" w:pos="4703"/>
        <w:tab w:val="right" w:pos="9406"/>
      </w:tabs>
    </w:pPr>
  </w:style>
  <w:style w:type="character" w:customStyle="1" w:styleId="FooterChar">
    <w:name w:val="Footer Char"/>
    <w:basedOn w:val="DefaultParagraphFont"/>
    <w:link w:val="Footer"/>
    <w:uiPriority w:val="99"/>
    <w:rsid w:val="004C4FE3"/>
    <w:rPr>
      <w:rFonts w:ascii="Arial" w:hAnsi="Arial" w:cs="Arial"/>
      <w:sz w:val="16"/>
      <w:szCs w:val="16"/>
      <w:lang w:val="en-US" w:eastAsia="ar-SA"/>
    </w:rPr>
  </w:style>
  <w:style w:type="paragraph" w:styleId="BalloonText">
    <w:name w:val="Balloon Text"/>
    <w:basedOn w:val="Normal"/>
    <w:link w:val="BalloonTextChar"/>
    <w:uiPriority w:val="99"/>
    <w:semiHidden/>
    <w:unhideWhenUsed/>
    <w:rsid w:val="00C2043D"/>
    <w:rPr>
      <w:rFonts w:ascii="Tahoma" w:hAnsi="Tahoma" w:cs="Tahoma"/>
    </w:rPr>
  </w:style>
  <w:style w:type="character" w:customStyle="1" w:styleId="BalloonTextChar">
    <w:name w:val="Balloon Text Char"/>
    <w:basedOn w:val="DefaultParagraphFont"/>
    <w:link w:val="BalloonText"/>
    <w:uiPriority w:val="99"/>
    <w:semiHidden/>
    <w:rsid w:val="00C2043D"/>
    <w:rPr>
      <w:rFonts w:ascii="Tahoma" w:hAnsi="Tahoma" w:cs="Tahoma"/>
      <w:sz w:val="16"/>
      <w:szCs w:val="16"/>
      <w:lang w:val="en-US" w:eastAsia="ar-SA"/>
    </w:rPr>
  </w:style>
  <w:style w:type="table" w:styleId="TableGrid">
    <w:name w:val="Table Grid"/>
    <w:basedOn w:val="TableNormal"/>
    <w:uiPriority w:val="59"/>
    <w:rsid w:val="006E5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57D1"/>
    <w:rPr>
      <w:color w:val="0000FF"/>
      <w:u w:val="single"/>
    </w:rPr>
  </w:style>
  <w:style w:type="table" w:customStyle="1" w:styleId="TableGrid1">
    <w:name w:val="Table Grid1"/>
    <w:basedOn w:val="TableNormal"/>
    <w:next w:val="TableGrid"/>
    <w:uiPriority w:val="59"/>
    <w:rsid w:val="007E6AF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A0CB2"/>
    <w:rPr>
      <w:color w:val="808080"/>
    </w:rPr>
  </w:style>
  <w:style w:type="character" w:customStyle="1" w:styleId="zmlenmeyenBahsetme1">
    <w:name w:val="Çözümlenmeyen Bahsetme1"/>
    <w:basedOn w:val="DefaultParagraphFont"/>
    <w:uiPriority w:val="99"/>
    <w:semiHidden/>
    <w:unhideWhenUsed/>
    <w:rsid w:val="001326BA"/>
    <w:rPr>
      <w:color w:val="808080"/>
      <w:shd w:val="clear" w:color="auto" w:fill="E6E6E6"/>
    </w:rPr>
  </w:style>
  <w:style w:type="paragraph" w:styleId="ListParagraph">
    <w:name w:val="List Paragraph"/>
    <w:basedOn w:val="Normal"/>
    <w:uiPriority w:val="34"/>
    <w:qFormat/>
    <w:rsid w:val="00942CA0"/>
    <w:pPr>
      <w:ind w:left="720"/>
      <w:contextualSpacing/>
    </w:pPr>
  </w:style>
  <w:style w:type="character" w:customStyle="1" w:styleId="zmlenmeyenBahsetme2">
    <w:name w:val="Çözümlenmeyen Bahsetme2"/>
    <w:basedOn w:val="DefaultParagraphFont"/>
    <w:uiPriority w:val="99"/>
    <w:semiHidden/>
    <w:unhideWhenUsed/>
    <w:rsid w:val="00876E92"/>
    <w:rPr>
      <w:color w:val="808080"/>
      <w:shd w:val="clear" w:color="auto" w:fill="E6E6E6"/>
    </w:rPr>
  </w:style>
  <w:style w:type="paragraph" w:styleId="NoSpacing">
    <w:name w:val="No Spacing"/>
    <w:uiPriority w:val="1"/>
    <w:qFormat/>
    <w:rsid w:val="00BD0A80"/>
    <w:pPr>
      <w:suppressAutoHyphens/>
    </w:pPr>
    <w:rPr>
      <w:rFonts w:ascii="Arial" w:hAnsi="Arial" w:cs="Arial"/>
      <w:sz w:val="16"/>
      <w:szCs w:val="16"/>
      <w:lang w:eastAsia="ar-SA"/>
    </w:rPr>
  </w:style>
  <w:style w:type="character" w:customStyle="1" w:styleId="zmlenmeyenBahsetme3">
    <w:name w:val="Çözümlenmeyen Bahsetme3"/>
    <w:basedOn w:val="DefaultParagraphFont"/>
    <w:uiPriority w:val="99"/>
    <w:semiHidden/>
    <w:unhideWhenUsed/>
    <w:rsid w:val="006C00C6"/>
    <w:rPr>
      <w:color w:val="808080"/>
      <w:shd w:val="clear" w:color="auto" w:fill="E6E6E6"/>
    </w:rPr>
  </w:style>
  <w:style w:type="character" w:styleId="CommentReference">
    <w:name w:val="annotation reference"/>
    <w:basedOn w:val="DefaultParagraphFont"/>
    <w:uiPriority w:val="99"/>
    <w:semiHidden/>
    <w:unhideWhenUsed/>
    <w:rsid w:val="006A14C8"/>
    <w:rPr>
      <w:sz w:val="16"/>
      <w:szCs w:val="16"/>
    </w:rPr>
  </w:style>
  <w:style w:type="paragraph" w:styleId="CommentText">
    <w:name w:val="annotation text"/>
    <w:basedOn w:val="Normal"/>
    <w:link w:val="CommentTextChar"/>
    <w:uiPriority w:val="99"/>
    <w:semiHidden/>
    <w:unhideWhenUsed/>
    <w:rsid w:val="006A14C8"/>
    <w:rPr>
      <w:sz w:val="20"/>
      <w:szCs w:val="20"/>
    </w:rPr>
  </w:style>
  <w:style w:type="character" w:customStyle="1" w:styleId="CommentTextChar">
    <w:name w:val="Comment Text Char"/>
    <w:basedOn w:val="DefaultParagraphFont"/>
    <w:link w:val="CommentText"/>
    <w:uiPriority w:val="99"/>
    <w:semiHidden/>
    <w:rsid w:val="006A14C8"/>
    <w:rPr>
      <w:rFonts w:ascii="Arial" w:hAnsi="Arial" w:cs="Arial"/>
      <w:lang w:eastAsia="ar-SA"/>
    </w:rPr>
  </w:style>
  <w:style w:type="paragraph" w:styleId="CommentSubject">
    <w:name w:val="annotation subject"/>
    <w:basedOn w:val="CommentText"/>
    <w:next w:val="CommentText"/>
    <w:link w:val="CommentSubjectChar"/>
    <w:uiPriority w:val="99"/>
    <w:semiHidden/>
    <w:unhideWhenUsed/>
    <w:rsid w:val="006A14C8"/>
    <w:rPr>
      <w:b/>
      <w:bCs/>
    </w:rPr>
  </w:style>
  <w:style w:type="character" w:customStyle="1" w:styleId="CommentSubjectChar">
    <w:name w:val="Comment Subject Char"/>
    <w:basedOn w:val="CommentTextChar"/>
    <w:link w:val="CommentSubject"/>
    <w:uiPriority w:val="99"/>
    <w:semiHidden/>
    <w:rsid w:val="006A14C8"/>
    <w:rPr>
      <w:rFonts w:ascii="Arial" w:hAnsi="Arial" w:cs="Arial"/>
      <w:b/>
      <w:bCs/>
      <w:lang w:eastAsia="ar-SA"/>
    </w:rPr>
  </w:style>
  <w:style w:type="paragraph" w:styleId="Subtitle">
    <w:name w:val="Subtitle"/>
    <w:basedOn w:val="Normal"/>
    <w:next w:val="Normal"/>
    <w:link w:val="SubtitleChar"/>
    <w:qFormat/>
    <w:rsid w:val="00041F2C"/>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rsid w:val="00041F2C"/>
    <w:rPr>
      <w:rFonts w:asciiTheme="minorHAnsi" w:eastAsiaTheme="minorEastAsia" w:hAnsiTheme="minorHAnsi" w:cstheme="minorBidi"/>
      <w:color w:val="5A5A5A" w:themeColor="text1" w:themeTint="A5"/>
      <w:spacing w:val="15"/>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57">
      <w:bodyDiv w:val="1"/>
      <w:marLeft w:val="0"/>
      <w:marRight w:val="0"/>
      <w:marTop w:val="0"/>
      <w:marBottom w:val="0"/>
      <w:divBdr>
        <w:top w:val="none" w:sz="0" w:space="0" w:color="auto"/>
        <w:left w:val="none" w:sz="0" w:space="0" w:color="auto"/>
        <w:bottom w:val="none" w:sz="0" w:space="0" w:color="auto"/>
        <w:right w:val="none" w:sz="0" w:space="0" w:color="auto"/>
      </w:divBdr>
    </w:div>
    <w:div w:id="21441223">
      <w:bodyDiv w:val="1"/>
      <w:marLeft w:val="0"/>
      <w:marRight w:val="0"/>
      <w:marTop w:val="0"/>
      <w:marBottom w:val="0"/>
      <w:divBdr>
        <w:top w:val="none" w:sz="0" w:space="0" w:color="auto"/>
        <w:left w:val="none" w:sz="0" w:space="0" w:color="auto"/>
        <w:bottom w:val="none" w:sz="0" w:space="0" w:color="auto"/>
        <w:right w:val="none" w:sz="0" w:space="0" w:color="auto"/>
      </w:divBdr>
    </w:div>
    <w:div w:id="103889821">
      <w:bodyDiv w:val="1"/>
      <w:marLeft w:val="0"/>
      <w:marRight w:val="0"/>
      <w:marTop w:val="0"/>
      <w:marBottom w:val="0"/>
      <w:divBdr>
        <w:top w:val="none" w:sz="0" w:space="0" w:color="auto"/>
        <w:left w:val="none" w:sz="0" w:space="0" w:color="auto"/>
        <w:bottom w:val="none" w:sz="0" w:space="0" w:color="auto"/>
        <w:right w:val="none" w:sz="0" w:space="0" w:color="auto"/>
      </w:divBdr>
    </w:div>
    <w:div w:id="155388110">
      <w:bodyDiv w:val="1"/>
      <w:marLeft w:val="0"/>
      <w:marRight w:val="0"/>
      <w:marTop w:val="0"/>
      <w:marBottom w:val="0"/>
      <w:divBdr>
        <w:top w:val="none" w:sz="0" w:space="0" w:color="auto"/>
        <w:left w:val="none" w:sz="0" w:space="0" w:color="auto"/>
        <w:bottom w:val="none" w:sz="0" w:space="0" w:color="auto"/>
        <w:right w:val="none" w:sz="0" w:space="0" w:color="auto"/>
      </w:divBdr>
    </w:div>
    <w:div w:id="206986926">
      <w:bodyDiv w:val="1"/>
      <w:marLeft w:val="0"/>
      <w:marRight w:val="0"/>
      <w:marTop w:val="0"/>
      <w:marBottom w:val="0"/>
      <w:divBdr>
        <w:top w:val="none" w:sz="0" w:space="0" w:color="auto"/>
        <w:left w:val="none" w:sz="0" w:space="0" w:color="auto"/>
        <w:bottom w:val="none" w:sz="0" w:space="0" w:color="auto"/>
        <w:right w:val="none" w:sz="0" w:space="0" w:color="auto"/>
      </w:divBdr>
    </w:div>
    <w:div w:id="215557307">
      <w:bodyDiv w:val="1"/>
      <w:marLeft w:val="0"/>
      <w:marRight w:val="0"/>
      <w:marTop w:val="0"/>
      <w:marBottom w:val="0"/>
      <w:divBdr>
        <w:top w:val="none" w:sz="0" w:space="0" w:color="auto"/>
        <w:left w:val="none" w:sz="0" w:space="0" w:color="auto"/>
        <w:bottom w:val="none" w:sz="0" w:space="0" w:color="auto"/>
        <w:right w:val="none" w:sz="0" w:space="0" w:color="auto"/>
      </w:divBdr>
    </w:div>
    <w:div w:id="220798081">
      <w:bodyDiv w:val="1"/>
      <w:marLeft w:val="0"/>
      <w:marRight w:val="0"/>
      <w:marTop w:val="0"/>
      <w:marBottom w:val="0"/>
      <w:divBdr>
        <w:top w:val="none" w:sz="0" w:space="0" w:color="auto"/>
        <w:left w:val="none" w:sz="0" w:space="0" w:color="auto"/>
        <w:bottom w:val="none" w:sz="0" w:space="0" w:color="auto"/>
        <w:right w:val="none" w:sz="0" w:space="0" w:color="auto"/>
      </w:divBdr>
    </w:div>
    <w:div w:id="254679357">
      <w:bodyDiv w:val="1"/>
      <w:marLeft w:val="0"/>
      <w:marRight w:val="0"/>
      <w:marTop w:val="0"/>
      <w:marBottom w:val="0"/>
      <w:divBdr>
        <w:top w:val="none" w:sz="0" w:space="0" w:color="auto"/>
        <w:left w:val="none" w:sz="0" w:space="0" w:color="auto"/>
        <w:bottom w:val="none" w:sz="0" w:space="0" w:color="auto"/>
        <w:right w:val="none" w:sz="0" w:space="0" w:color="auto"/>
      </w:divBdr>
    </w:div>
    <w:div w:id="303431808">
      <w:bodyDiv w:val="1"/>
      <w:marLeft w:val="0"/>
      <w:marRight w:val="0"/>
      <w:marTop w:val="0"/>
      <w:marBottom w:val="0"/>
      <w:divBdr>
        <w:top w:val="none" w:sz="0" w:space="0" w:color="auto"/>
        <w:left w:val="none" w:sz="0" w:space="0" w:color="auto"/>
        <w:bottom w:val="none" w:sz="0" w:space="0" w:color="auto"/>
        <w:right w:val="none" w:sz="0" w:space="0" w:color="auto"/>
      </w:divBdr>
    </w:div>
    <w:div w:id="360203640">
      <w:bodyDiv w:val="1"/>
      <w:marLeft w:val="0"/>
      <w:marRight w:val="0"/>
      <w:marTop w:val="0"/>
      <w:marBottom w:val="0"/>
      <w:divBdr>
        <w:top w:val="none" w:sz="0" w:space="0" w:color="auto"/>
        <w:left w:val="none" w:sz="0" w:space="0" w:color="auto"/>
        <w:bottom w:val="none" w:sz="0" w:space="0" w:color="auto"/>
        <w:right w:val="none" w:sz="0" w:space="0" w:color="auto"/>
      </w:divBdr>
    </w:div>
    <w:div w:id="372271458">
      <w:bodyDiv w:val="1"/>
      <w:marLeft w:val="0"/>
      <w:marRight w:val="0"/>
      <w:marTop w:val="0"/>
      <w:marBottom w:val="0"/>
      <w:divBdr>
        <w:top w:val="none" w:sz="0" w:space="0" w:color="auto"/>
        <w:left w:val="none" w:sz="0" w:space="0" w:color="auto"/>
        <w:bottom w:val="none" w:sz="0" w:space="0" w:color="auto"/>
        <w:right w:val="none" w:sz="0" w:space="0" w:color="auto"/>
      </w:divBdr>
    </w:div>
    <w:div w:id="441001879">
      <w:bodyDiv w:val="1"/>
      <w:marLeft w:val="0"/>
      <w:marRight w:val="0"/>
      <w:marTop w:val="0"/>
      <w:marBottom w:val="0"/>
      <w:divBdr>
        <w:top w:val="none" w:sz="0" w:space="0" w:color="auto"/>
        <w:left w:val="none" w:sz="0" w:space="0" w:color="auto"/>
        <w:bottom w:val="none" w:sz="0" w:space="0" w:color="auto"/>
        <w:right w:val="none" w:sz="0" w:space="0" w:color="auto"/>
      </w:divBdr>
    </w:div>
    <w:div w:id="504517990">
      <w:bodyDiv w:val="1"/>
      <w:marLeft w:val="0"/>
      <w:marRight w:val="0"/>
      <w:marTop w:val="0"/>
      <w:marBottom w:val="0"/>
      <w:divBdr>
        <w:top w:val="none" w:sz="0" w:space="0" w:color="auto"/>
        <w:left w:val="none" w:sz="0" w:space="0" w:color="auto"/>
        <w:bottom w:val="none" w:sz="0" w:space="0" w:color="auto"/>
        <w:right w:val="none" w:sz="0" w:space="0" w:color="auto"/>
      </w:divBdr>
    </w:div>
    <w:div w:id="609968713">
      <w:bodyDiv w:val="1"/>
      <w:marLeft w:val="0"/>
      <w:marRight w:val="0"/>
      <w:marTop w:val="0"/>
      <w:marBottom w:val="0"/>
      <w:divBdr>
        <w:top w:val="none" w:sz="0" w:space="0" w:color="auto"/>
        <w:left w:val="none" w:sz="0" w:space="0" w:color="auto"/>
        <w:bottom w:val="none" w:sz="0" w:space="0" w:color="auto"/>
        <w:right w:val="none" w:sz="0" w:space="0" w:color="auto"/>
      </w:divBdr>
    </w:div>
    <w:div w:id="644748104">
      <w:bodyDiv w:val="1"/>
      <w:marLeft w:val="0"/>
      <w:marRight w:val="0"/>
      <w:marTop w:val="0"/>
      <w:marBottom w:val="0"/>
      <w:divBdr>
        <w:top w:val="none" w:sz="0" w:space="0" w:color="auto"/>
        <w:left w:val="none" w:sz="0" w:space="0" w:color="auto"/>
        <w:bottom w:val="none" w:sz="0" w:space="0" w:color="auto"/>
        <w:right w:val="none" w:sz="0" w:space="0" w:color="auto"/>
      </w:divBdr>
    </w:div>
    <w:div w:id="665789430">
      <w:bodyDiv w:val="1"/>
      <w:marLeft w:val="0"/>
      <w:marRight w:val="0"/>
      <w:marTop w:val="0"/>
      <w:marBottom w:val="0"/>
      <w:divBdr>
        <w:top w:val="none" w:sz="0" w:space="0" w:color="auto"/>
        <w:left w:val="none" w:sz="0" w:space="0" w:color="auto"/>
        <w:bottom w:val="none" w:sz="0" w:space="0" w:color="auto"/>
        <w:right w:val="none" w:sz="0" w:space="0" w:color="auto"/>
      </w:divBdr>
    </w:div>
    <w:div w:id="701781556">
      <w:bodyDiv w:val="1"/>
      <w:marLeft w:val="0"/>
      <w:marRight w:val="0"/>
      <w:marTop w:val="0"/>
      <w:marBottom w:val="0"/>
      <w:divBdr>
        <w:top w:val="none" w:sz="0" w:space="0" w:color="auto"/>
        <w:left w:val="none" w:sz="0" w:space="0" w:color="auto"/>
        <w:bottom w:val="none" w:sz="0" w:space="0" w:color="auto"/>
        <w:right w:val="none" w:sz="0" w:space="0" w:color="auto"/>
      </w:divBdr>
    </w:div>
    <w:div w:id="704908733">
      <w:bodyDiv w:val="1"/>
      <w:marLeft w:val="0"/>
      <w:marRight w:val="0"/>
      <w:marTop w:val="0"/>
      <w:marBottom w:val="0"/>
      <w:divBdr>
        <w:top w:val="none" w:sz="0" w:space="0" w:color="auto"/>
        <w:left w:val="none" w:sz="0" w:space="0" w:color="auto"/>
        <w:bottom w:val="none" w:sz="0" w:space="0" w:color="auto"/>
        <w:right w:val="none" w:sz="0" w:space="0" w:color="auto"/>
      </w:divBdr>
    </w:div>
    <w:div w:id="753430085">
      <w:bodyDiv w:val="1"/>
      <w:marLeft w:val="0"/>
      <w:marRight w:val="0"/>
      <w:marTop w:val="0"/>
      <w:marBottom w:val="0"/>
      <w:divBdr>
        <w:top w:val="none" w:sz="0" w:space="0" w:color="auto"/>
        <w:left w:val="none" w:sz="0" w:space="0" w:color="auto"/>
        <w:bottom w:val="none" w:sz="0" w:space="0" w:color="auto"/>
        <w:right w:val="none" w:sz="0" w:space="0" w:color="auto"/>
      </w:divBdr>
    </w:div>
    <w:div w:id="784229700">
      <w:bodyDiv w:val="1"/>
      <w:marLeft w:val="0"/>
      <w:marRight w:val="0"/>
      <w:marTop w:val="0"/>
      <w:marBottom w:val="0"/>
      <w:divBdr>
        <w:top w:val="none" w:sz="0" w:space="0" w:color="auto"/>
        <w:left w:val="none" w:sz="0" w:space="0" w:color="auto"/>
        <w:bottom w:val="none" w:sz="0" w:space="0" w:color="auto"/>
        <w:right w:val="none" w:sz="0" w:space="0" w:color="auto"/>
      </w:divBdr>
    </w:div>
    <w:div w:id="799035490">
      <w:bodyDiv w:val="1"/>
      <w:marLeft w:val="0"/>
      <w:marRight w:val="0"/>
      <w:marTop w:val="0"/>
      <w:marBottom w:val="0"/>
      <w:divBdr>
        <w:top w:val="none" w:sz="0" w:space="0" w:color="auto"/>
        <w:left w:val="none" w:sz="0" w:space="0" w:color="auto"/>
        <w:bottom w:val="none" w:sz="0" w:space="0" w:color="auto"/>
        <w:right w:val="none" w:sz="0" w:space="0" w:color="auto"/>
      </w:divBdr>
    </w:div>
    <w:div w:id="808472738">
      <w:bodyDiv w:val="1"/>
      <w:marLeft w:val="0"/>
      <w:marRight w:val="0"/>
      <w:marTop w:val="0"/>
      <w:marBottom w:val="0"/>
      <w:divBdr>
        <w:top w:val="none" w:sz="0" w:space="0" w:color="auto"/>
        <w:left w:val="none" w:sz="0" w:space="0" w:color="auto"/>
        <w:bottom w:val="none" w:sz="0" w:space="0" w:color="auto"/>
        <w:right w:val="none" w:sz="0" w:space="0" w:color="auto"/>
      </w:divBdr>
    </w:div>
    <w:div w:id="828791306">
      <w:bodyDiv w:val="1"/>
      <w:marLeft w:val="0"/>
      <w:marRight w:val="0"/>
      <w:marTop w:val="0"/>
      <w:marBottom w:val="0"/>
      <w:divBdr>
        <w:top w:val="none" w:sz="0" w:space="0" w:color="auto"/>
        <w:left w:val="none" w:sz="0" w:space="0" w:color="auto"/>
        <w:bottom w:val="none" w:sz="0" w:space="0" w:color="auto"/>
        <w:right w:val="none" w:sz="0" w:space="0" w:color="auto"/>
      </w:divBdr>
    </w:div>
    <w:div w:id="877552396">
      <w:bodyDiv w:val="1"/>
      <w:marLeft w:val="0"/>
      <w:marRight w:val="0"/>
      <w:marTop w:val="0"/>
      <w:marBottom w:val="0"/>
      <w:divBdr>
        <w:top w:val="none" w:sz="0" w:space="0" w:color="auto"/>
        <w:left w:val="none" w:sz="0" w:space="0" w:color="auto"/>
        <w:bottom w:val="none" w:sz="0" w:space="0" w:color="auto"/>
        <w:right w:val="none" w:sz="0" w:space="0" w:color="auto"/>
      </w:divBdr>
    </w:div>
    <w:div w:id="899947658">
      <w:bodyDiv w:val="1"/>
      <w:marLeft w:val="0"/>
      <w:marRight w:val="0"/>
      <w:marTop w:val="0"/>
      <w:marBottom w:val="0"/>
      <w:divBdr>
        <w:top w:val="none" w:sz="0" w:space="0" w:color="auto"/>
        <w:left w:val="none" w:sz="0" w:space="0" w:color="auto"/>
        <w:bottom w:val="none" w:sz="0" w:space="0" w:color="auto"/>
        <w:right w:val="none" w:sz="0" w:space="0" w:color="auto"/>
      </w:divBdr>
    </w:div>
    <w:div w:id="904150223">
      <w:bodyDiv w:val="1"/>
      <w:marLeft w:val="0"/>
      <w:marRight w:val="0"/>
      <w:marTop w:val="0"/>
      <w:marBottom w:val="0"/>
      <w:divBdr>
        <w:top w:val="none" w:sz="0" w:space="0" w:color="auto"/>
        <w:left w:val="none" w:sz="0" w:space="0" w:color="auto"/>
        <w:bottom w:val="none" w:sz="0" w:space="0" w:color="auto"/>
        <w:right w:val="none" w:sz="0" w:space="0" w:color="auto"/>
      </w:divBdr>
    </w:div>
    <w:div w:id="905342378">
      <w:bodyDiv w:val="1"/>
      <w:marLeft w:val="0"/>
      <w:marRight w:val="0"/>
      <w:marTop w:val="0"/>
      <w:marBottom w:val="0"/>
      <w:divBdr>
        <w:top w:val="none" w:sz="0" w:space="0" w:color="auto"/>
        <w:left w:val="none" w:sz="0" w:space="0" w:color="auto"/>
        <w:bottom w:val="none" w:sz="0" w:space="0" w:color="auto"/>
        <w:right w:val="none" w:sz="0" w:space="0" w:color="auto"/>
      </w:divBdr>
      <w:divsChild>
        <w:div w:id="925462090">
          <w:marLeft w:val="0"/>
          <w:marRight w:val="0"/>
          <w:marTop w:val="0"/>
          <w:marBottom w:val="0"/>
          <w:divBdr>
            <w:top w:val="none" w:sz="0" w:space="0" w:color="auto"/>
            <w:left w:val="none" w:sz="0" w:space="0" w:color="auto"/>
            <w:bottom w:val="none" w:sz="0" w:space="0" w:color="auto"/>
            <w:right w:val="none" w:sz="0" w:space="0" w:color="auto"/>
          </w:divBdr>
        </w:div>
        <w:div w:id="588537523">
          <w:marLeft w:val="0"/>
          <w:marRight w:val="0"/>
          <w:marTop w:val="0"/>
          <w:marBottom w:val="0"/>
          <w:divBdr>
            <w:top w:val="none" w:sz="0" w:space="0" w:color="auto"/>
            <w:left w:val="none" w:sz="0" w:space="0" w:color="auto"/>
            <w:bottom w:val="none" w:sz="0" w:space="0" w:color="auto"/>
            <w:right w:val="none" w:sz="0" w:space="0" w:color="auto"/>
          </w:divBdr>
        </w:div>
        <w:div w:id="368070847">
          <w:marLeft w:val="0"/>
          <w:marRight w:val="0"/>
          <w:marTop w:val="0"/>
          <w:marBottom w:val="0"/>
          <w:divBdr>
            <w:top w:val="none" w:sz="0" w:space="0" w:color="auto"/>
            <w:left w:val="none" w:sz="0" w:space="0" w:color="auto"/>
            <w:bottom w:val="none" w:sz="0" w:space="0" w:color="auto"/>
            <w:right w:val="none" w:sz="0" w:space="0" w:color="auto"/>
          </w:divBdr>
        </w:div>
        <w:div w:id="1143619524">
          <w:marLeft w:val="0"/>
          <w:marRight w:val="0"/>
          <w:marTop w:val="0"/>
          <w:marBottom w:val="0"/>
          <w:divBdr>
            <w:top w:val="none" w:sz="0" w:space="0" w:color="auto"/>
            <w:left w:val="none" w:sz="0" w:space="0" w:color="auto"/>
            <w:bottom w:val="none" w:sz="0" w:space="0" w:color="auto"/>
            <w:right w:val="none" w:sz="0" w:space="0" w:color="auto"/>
          </w:divBdr>
        </w:div>
        <w:div w:id="1404335093">
          <w:marLeft w:val="0"/>
          <w:marRight w:val="0"/>
          <w:marTop w:val="0"/>
          <w:marBottom w:val="0"/>
          <w:divBdr>
            <w:top w:val="none" w:sz="0" w:space="0" w:color="auto"/>
            <w:left w:val="none" w:sz="0" w:space="0" w:color="auto"/>
            <w:bottom w:val="none" w:sz="0" w:space="0" w:color="auto"/>
            <w:right w:val="none" w:sz="0" w:space="0" w:color="auto"/>
          </w:divBdr>
        </w:div>
      </w:divsChild>
    </w:div>
    <w:div w:id="918952006">
      <w:bodyDiv w:val="1"/>
      <w:marLeft w:val="0"/>
      <w:marRight w:val="0"/>
      <w:marTop w:val="0"/>
      <w:marBottom w:val="0"/>
      <w:divBdr>
        <w:top w:val="none" w:sz="0" w:space="0" w:color="auto"/>
        <w:left w:val="none" w:sz="0" w:space="0" w:color="auto"/>
        <w:bottom w:val="none" w:sz="0" w:space="0" w:color="auto"/>
        <w:right w:val="none" w:sz="0" w:space="0" w:color="auto"/>
      </w:divBdr>
    </w:div>
    <w:div w:id="926420764">
      <w:bodyDiv w:val="1"/>
      <w:marLeft w:val="0"/>
      <w:marRight w:val="0"/>
      <w:marTop w:val="0"/>
      <w:marBottom w:val="0"/>
      <w:divBdr>
        <w:top w:val="none" w:sz="0" w:space="0" w:color="auto"/>
        <w:left w:val="none" w:sz="0" w:space="0" w:color="auto"/>
        <w:bottom w:val="none" w:sz="0" w:space="0" w:color="auto"/>
        <w:right w:val="none" w:sz="0" w:space="0" w:color="auto"/>
      </w:divBdr>
    </w:div>
    <w:div w:id="945187839">
      <w:bodyDiv w:val="1"/>
      <w:marLeft w:val="0"/>
      <w:marRight w:val="0"/>
      <w:marTop w:val="0"/>
      <w:marBottom w:val="0"/>
      <w:divBdr>
        <w:top w:val="none" w:sz="0" w:space="0" w:color="auto"/>
        <w:left w:val="none" w:sz="0" w:space="0" w:color="auto"/>
        <w:bottom w:val="none" w:sz="0" w:space="0" w:color="auto"/>
        <w:right w:val="none" w:sz="0" w:space="0" w:color="auto"/>
      </w:divBdr>
    </w:div>
    <w:div w:id="948856892">
      <w:bodyDiv w:val="1"/>
      <w:marLeft w:val="0"/>
      <w:marRight w:val="0"/>
      <w:marTop w:val="0"/>
      <w:marBottom w:val="0"/>
      <w:divBdr>
        <w:top w:val="none" w:sz="0" w:space="0" w:color="auto"/>
        <w:left w:val="none" w:sz="0" w:space="0" w:color="auto"/>
        <w:bottom w:val="none" w:sz="0" w:space="0" w:color="auto"/>
        <w:right w:val="none" w:sz="0" w:space="0" w:color="auto"/>
      </w:divBdr>
    </w:div>
    <w:div w:id="966350573">
      <w:bodyDiv w:val="1"/>
      <w:marLeft w:val="0"/>
      <w:marRight w:val="0"/>
      <w:marTop w:val="0"/>
      <w:marBottom w:val="0"/>
      <w:divBdr>
        <w:top w:val="none" w:sz="0" w:space="0" w:color="auto"/>
        <w:left w:val="none" w:sz="0" w:space="0" w:color="auto"/>
        <w:bottom w:val="none" w:sz="0" w:space="0" w:color="auto"/>
        <w:right w:val="none" w:sz="0" w:space="0" w:color="auto"/>
      </w:divBdr>
    </w:div>
    <w:div w:id="978075619">
      <w:bodyDiv w:val="1"/>
      <w:marLeft w:val="0"/>
      <w:marRight w:val="0"/>
      <w:marTop w:val="0"/>
      <w:marBottom w:val="0"/>
      <w:divBdr>
        <w:top w:val="none" w:sz="0" w:space="0" w:color="auto"/>
        <w:left w:val="none" w:sz="0" w:space="0" w:color="auto"/>
        <w:bottom w:val="none" w:sz="0" w:space="0" w:color="auto"/>
        <w:right w:val="none" w:sz="0" w:space="0" w:color="auto"/>
      </w:divBdr>
    </w:div>
    <w:div w:id="1016930389">
      <w:bodyDiv w:val="1"/>
      <w:marLeft w:val="0"/>
      <w:marRight w:val="0"/>
      <w:marTop w:val="0"/>
      <w:marBottom w:val="0"/>
      <w:divBdr>
        <w:top w:val="none" w:sz="0" w:space="0" w:color="auto"/>
        <w:left w:val="none" w:sz="0" w:space="0" w:color="auto"/>
        <w:bottom w:val="none" w:sz="0" w:space="0" w:color="auto"/>
        <w:right w:val="none" w:sz="0" w:space="0" w:color="auto"/>
      </w:divBdr>
    </w:div>
    <w:div w:id="1046948357">
      <w:bodyDiv w:val="1"/>
      <w:marLeft w:val="0"/>
      <w:marRight w:val="0"/>
      <w:marTop w:val="0"/>
      <w:marBottom w:val="0"/>
      <w:divBdr>
        <w:top w:val="none" w:sz="0" w:space="0" w:color="auto"/>
        <w:left w:val="none" w:sz="0" w:space="0" w:color="auto"/>
        <w:bottom w:val="none" w:sz="0" w:space="0" w:color="auto"/>
        <w:right w:val="none" w:sz="0" w:space="0" w:color="auto"/>
      </w:divBdr>
    </w:div>
    <w:div w:id="1060861344">
      <w:bodyDiv w:val="1"/>
      <w:marLeft w:val="0"/>
      <w:marRight w:val="0"/>
      <w:marTop w:val="0"/>
      <w:marBottom w:val="0"/>
      <w:divBdr>
        <w:top w:val="none" w:sz="0" w:space="0" w:color="auto"/>
        <w:left w:val="none" w:sz="0" w:space="0" w:color="auto"/>
        <w:bottom w:val="none" w:sz="0" w:space="0" w:color="auto"/>
        <w:right w:val="none" w:sz="0" w:space="0" w:color="auto"/>
      </w:divBdr>
    </w:div>
    <w:div w:id="1070692606">
      <w:bodyDiv w:val="1"/>
      <w:marLeft w:val="0"/>
      <w:marRight w:val="0"/>
      <w:marTop w:val="0"/>
      <w:marBottom w:val="0"/>
      <w:divBdr>
        <w:top w:val="none" w:sz="0" w:space="0" w:color="auto"/>
        <w:left w:val="none" w:sz="0" w:space="0" w:color="auto"/>
        <w:bottom w:val="none" w:sz="0" w:space="0" w:color="auto"/>
        <w:right w:val="none" w:sz="0" w:space="0" w:color="auto"/>
      </w:divBdr>
    </w:div>
    <w:div w:id="1082220356">
      <w:bodyDiv w:val="1"/>
      <w:marLeft w:val="0"/>
      <w:marRight w:val="0"/>
      <w:marTop w:val="0"/>
      <w:marBottom w:val="0"/>
      <w:divBdr>
        <w:top w:val="none" w:sz="0" w:space="0" w:color="auto"/>
        <w:left w:val="none" w:sz="0" w:space="0" w:color="auto"/>
        <w:bottom w:val="none" w:sz="0" w:space="0" w:color="auto"/>
        <w:right w:val="none" w:sz="0" w:space="0" w:color="auto"/>
      </w:divBdr>
    </w:div>
    <w:div w:id="1090002456">
      <w:bodyDiv w:val="1"/>
      <w:marLeft w:val="0"/>
      <w:marRight w:val="0"/>
      <w:marTop w:val="0"/>
      <w:marBottom w:val="0"/>
      <w:divBdr>
        <w:top w:val="none" w:sz="0" w:space="0" w:color="auto"/>
        <w:left w:val="none" w:sz="0" w:space="0" w:color="auto"/>
        <w:bottom w:val="none" w:sz="0" w:space="0" w:color="auto"/>
        <w:right w:val="none" w:sz="0" w:space="0" w:color="auto"/>
      </w:divBdr>
    </w:div>
    <w:div w:id="1120101132">
      <w:bodyDiv w:val="1"/>
      <w:marLeft w:val="0"/>
      <w:marRight w:val="0"/>
      <w:marTop w:val="0"/>
      <w:marBottom w:val="0"/>
      <w:divBdr>
        <w:top w:val="none" w:sz="0" w:space="0" w:color="auto"/>
        <w:left w:val="none" w:sz="0" w:space="0" w:color="auto"/>
        <w:bottom w:val="none" w:sz="0" w:space="0" w:color="auto"/>
        <w:right w:val="none" w:sz="0" w:space="0" w:color="auto"/>
      </w:divBdr>
    </w:div>
    <w:div w:id="1156796520">
      <w:bodyDiv w:val="1"/>
      <w:marLeft w:val="0"/>
      <w:marRight w:val="0"/>
      <w:marTop w:val="0"/>
      <w:marBottom w:val="0"/>
      <w:divBdr>
        <w:top w:val="none" w:sz="0" w:space="0" w:color="auto"/>
        <w:left w:val="none" w:sz="0" w:space="0" w:color="auto"/>
        <w:bottom w:val="none" w:sz="0" w:space="0" w:color="auto"/>
        <w:right w:val="none" w:sz="0" w:space="0" w:color="auto"/>
      </w:divBdr>
    </w:div>
    <w:div w:id="1158184610">
      <w:bodyDiv w:val="1"/>
      <w:marLeft w:val="0"/>
      <w:marRight w:val="0"/>
      <w:marTop w:val="0"/>
      <w:marBottom w:val="0"/>
      <w:divBdr>
        <w:top w:val="none" w:sz="0" w:space="0" w:color="auto"/>
        <w:left w:val="none" w:sz="0" w:space="0" w:color="auto"/>
        <w:bottom w:val="none" w:sz="0" w:space="0" w:color="auto"/>
        <w:right w:val="none" w:sz="0" w:space="0" w:color="auto"/>
      </w:divBdr>
    </w:div>
    <w:div w:id="1161047766">
      <w:bodyDiv w:val="1"/>
      <w:marLeft w:val="0"/>
      <w:marRight w:val="0"/>
      <w:marTop w:val="0"/>
      <w:marBottom w:val="0"/>
      <w:divBdr>
        <w:top w:val="none" w:sz="0" w:space="0" w:color="auto"/>
        <w:left w:val="none" w:sz="0" w:space="0" w:color="auto"/>
        <w:bottom w:val="none" w:sz="0" w:space="0" w:color="auto"/>
        <w:right w:val="none" w:sz="0" w:space="0" w:color="auto"/>
      </w:divBdr>
    </w:div>
    <w:div w:id="1185486224">
      <w:bodyDiv w:val="1"/>
      <w:marLeft w:val="0"/>
      <w:marRight w:val="0"/>
      <w:marTop w:val="0"/>
      <w:marBottom w:val="0"/>
      <w:divBdr>
        <w:top w:val="none" w:sz="0" w:space="0" w:color="auto"/>
        <w:left w:val="none" w:sz="0" w:space="0" w:color="auto"/>
        <w:bottom w:val="none" w:sz="0" w:space="0" w:color="auto"/>
        <w:right w:val="none" w:sz="0" w:space="0" w:color="auto"/>
      </w:divBdr>
    </w:div>
    <w:div w:id="1190990026">
      <w:bodyDiv w:val="1"/>
      <w:marLeft w:val="0"/>
      <w:marRight w:val="0"/>
      <w:marTop w:val="0"/>
      <w:marBottom w:val="0"/>
      <w:divBdr>
        <w:top w:val="none" w:sz="0" w:space="0" w:color="auto"/>
        <w:left w:val="none" w:sz="0" w:space="0" w:color="auto"/>
        <w:bottom w:val="none" w:sz="0" w:space="0" w:color="auto"/>
        <w:right w:val="none" w:sz="0" w:space="0" w:color="auto"/>
      </w:divBdr>
    </w:div>
    <w:div w:id="1233083956">
      <w:bodyDiv w:val="1"/>
      <w:marLeft w:val="0"/>
      <w:marRight w:val="0"/>
      <w:marTop w:val="0"/>
      <w:marBottom w:val="0"/>
      <w:divBdr>
        <w:top w:val="none" w:sz="0" w:space="0" w:color="auto"/>
        <w:left w:val="none" w:sz="0" w:space="0" w:color="auto"/>
        <w:bottom w:val="none" w:sz="0" w:space="0" w:color="auto"/>
        <w:right w:val="none" w:sz="0" w:space="0" w:color="auto"/>
      </w:divBdr>
    </w:div>
    <w:div w:id="1234051248">
      <w:bodyDiv w:val="1"/>
      <w:marLeft w:val="0"/>
      <w:marRight w:val="0"/>
      <w:marTop w:val="0"/>
      <w:marBottom w:val="0"/>
      <w:divBdr>
        <w:top w:val="none" w:sz="0" w:space="0" w:color="auto"/>
        <w:left w:val="none" w:sz="0" w:space="0" w:color="auto"/>
        <w:bottom w:val="none" w:sz="0" w:space="0" w:color="auto"/>
        <w:right w:val="none" w:sz="0" w:space="0" w:color="auto"/>
      </w:divBdr>
    </w:div>
    <w:div w:id="1275550896">
      <w:bodyDiv w:val="1"/>
      <w:marLeft w:val="0"/>
      <w:marRight w:val="0"/>
      <w:marTop w:val="0"/>
      <w:marBottom w:val="0"/>
      <w:divBdr>
        <w:top w:val="none" w:sz="0" w:space="0" w:color="auto"/>
        <w:left w:val="none" w:sz="0" w:space="0" w:color="auto"/>
        <w:bottom w:val="none" w:sz="0" w:space="0" w:color="auto"/>
        <w:right w:val="none" w:sz="0" w:space="0" w:color="auto"/>
      </w:divBdr>
    </w:div>
    <w:div w:id="1284996037">
      <w:bodyDiv w:val="1"/>
      <w:marLeft w:val="0"/>
      <w:marRight w:val="0"/>
      <w:marTop w:val="0"/>
      <w:marBottom w:val="0"/>
      <w:divBdr>
        <w:top w:val="none" w:sz="0" w:space="0" w:color="auto"/>
        <w:left w:val="none" w:sz="0" w:space="0" w:color="auto"/>
        <w:bottom w:val="none" w:sz="0" w:space="0" w:color="auto"/>
        <w:right w:val="none" w:sz="0" w:space="0" w:color="auto"/>
      </w:divBdr>
    </w:div>
    <w:div w:id="1293436242">
      <w:bodyDiv w:val="1"/>
      <w:marLeft w:val="0"/>
      <w:marRight w:val="0"/>
      <w:marTop w:val="0"/>
      <w:marBottom w:val="0"/>
      <w:divBdr>
        <w:top w:val="none" w:sz="0" w:space="0" w:color="auto"/>
        <w:left w:val="none" w:sz="0" w:space="0" w:color="auto"/>
        <w:bottom w:val="none" w:sz="0" w:space="0" w:color="auto"/>
        <w:right w:val="none" w:sz="0" w:space="0" w:color="auto"/>
      </w:divBdr>
    </w:div>
    <w:div w:id="1370716653">
      <w:bodyDiv w:val="1"/>
      <w:marLeft w:val="0"/>
      <w:marRight w:val="0"/>
      <w:marTop w:val="0"/>
      <w:marBottom w:val="0"/>
      <w:divBdr>
        <w:top w:val="none" w:sz="0" w:space="0" w:color="auto"/>
        <w:left w:val="none" w:sz="0" w:space="0" w:color="auto"/>
        <w:bottom w:val="none" w:sz="0" w:space="0" w:color="auto"/>
        <w:right w:val="none" w:sz="0" w:space="0" w:color="auto"/>
      </w:divBdr>
    </w:div>
    <w:div w:id="1379934133">
      <w:bodyDiv w:val="1"/>
      <w:marLeft w:val="0"/>
      <w:marRight w:val="0"/>
      <w:marTop w:val="0"/>
      <w:marBottom w:val="0"/>
      <w:divBdr>
        <w:top w:val="none" w:sz="0" w:space="0" w:color="auto"/>
        <w:left w:val="none" w:sz="0" w:space="0" w:color="auto"/>
        <w:bottom w:val="none" w:sz="0" w:space="0" w:color="auto"/>
        <w:right w:val="none" w:sz="0" w:space="0" w:color="auto"/>
      </w:divBdr>
    </w:div>
    <w:div w:id="1410233789">
      <w:bodyDiv w:val="1"/>
      <w:marLeft w:val="0"/>
      <w:marRight w:val="0"/>
      <w:marTop w:val="0"/>
      <w:marBottom w:val="0"/>
      <w:divBdr>
        <w:top w:val="none" w:sz="0" w:space="0" w:color="auto"/>
        <w:left w:val="none" w:sz="0" w:space="0" w:color="auto"/>
        <w:bottom w:val="none" w:sz="0" w:space="0" w:color="auto"/>
        <w:right w:val="none" w:sz="0" w:space="0" w:color="auto"/>
      </w:divBdr>
    </w:div>
    <w:div w:id="1477724335">
      <w:bodyDiv w:val="1"/>
      <w:marLeft w:val="0"/>
      <w:marRight w:val="0"/>
      <w:marTop w:val="0"/>
      <w:marBottom w:val="0"/>
      <w:divBdr>
        <w:top w:val="none" w:sz="0" w:space="0" w:color="auto"/>
        <w:left w:val="none" w:sz="0" w:space="0" w:color="auto"/>
        <w:bottom w:val="none" w:sz="0" w:space="0" w:color="auto"/>
        <w:right w:val="none" w:sz="0" w:space="0" w:color="auto"/>
      </w:divBdr>
    </w:div>
    <w:div w:id="1527139944">
      <w:bodyDiv w:val="1"/>
      <w:marLeft w:val="0"/>
      <w:marRight w:val="0"/>
      <w:marTop w:val="0"/>
      <w:marBottom w:val="0"/>
      <w:divBdr>
        <w:top w:val="none" w:sz="0" w:space="0" w:color="auto"/>
        <w:left w:val="none" w:sz="0" w:space="0" w:color="auto"/>
        <w:bottom w:val="none" w:sz="0" w:space="0" w:color="auto"/>
        <w:right w:val="none" w:sz="0" w:space="0" w:color="auto"/>
      </w:divBdr>
    </w:div>
    <w:div w:id="1539509800">
      <w:bodyDiv w:val="1"/>
      <w:marLeft w:val="0"/>
      <w:marRight w:val="0"/>
      <w:marTop w:val="0"/>
      <w:marBottom w:val="0"/>
      <w:divBdr>
        <w:top w:val="none" w:sz="0" w:space="0" w:color="auto"/>
        <w:left w:val="none" w:sz="0" w:space="0" w:color="auto"/>
        <w:bottom w:val="none" w:sz="0" w:space="0" w:color="auto"/>
        <w:right w:val="none" w:sz="0" w:space="0" w:color="auto"/>
      </w:divBdr>
    </w:div>
    <w:div w:id="1550265872">
      <w:bodyDiv w:val="1"/>
      <w:marLeft w:val="0"/>
      <w:marRight w:val="0"/>
      <w:marTop w:val="0"/>
      <w:marBottom w:val="0"/>
      <w:divBdr>
        <w:top w:val="none" w:sz="0" w:space="0" w:color="auto"/>
        <w:left w:val="none" w:sz="0" w:space="0" w:color="auto"/>
        <w:bottom w:val="none" w:sz="0" w:space="0" w:color="auto"/>
        <w:right w:val="none" w:sz="0" w:space="0" w:color="auto"/>
      </w:divBdr>
    </w:div>
    <w:div w:id="1554385909">
      <w:bodyDiv w:val="1"/>
      <w:marLeft w:val="0"/>
      <w:marRight w:val="0"/>
      <w:marTop w:val="0"/>
      <w:marBottom w:val="0"/>
      <w:divBdr>
        <w:top w:val="none" w:sz="0" w:space="0" w:color="auto"/>
        <w:left w:val="none" w:sz="0" w:space="0" w:color="auto"/>
        <w:bottom w:val="none" w:sz="0" w:space="0" w:color="auto"/>
        <w:right w:val="none" w:sz="0" w:space="0" w:color="auto"/>
      </w:divBdr>
    </w:div>
    <w:div w:id="1558928289">
      <w:bodyDiv w:val="1"/>
      <w:marLeft w:val="0"/>
      <w:marRight w:val="0"/>
      <w:marTop w:val="0"/>
      <w:marBottom w:val="0"/>
      <w:divBdr>
        <w:top w:val="none" w:sz="0" w:space="0" w:color="auto"/>
        <w:left w:val="none" w:sz="0" w:space="0" w:color="auto"/>
        <w:bottom w:val="none" w:sz="0" w:space="0" w:color="auto"/>
        <w:right w:val="none" w:sz="0" w:space="0" w:color="auto"/>
      </w:divBdr>
    </w:div>
    <w:div w:id="1586841115">
      <w:bodyDiv w:val="1"/>
      <w:marLeft w:val="0"/>
      <w:marRight w:val="0"/>
      <w:marTop w:val="0"/>
      <w:marBottom w:val="0"/>
      <w:divBdr>
        <w:top w:val="none" w:sz="0" w:space="0" w:color="auto"/>
        <w:left w:val="none" w:sz="0" w:space="0" w:color="auto"/>
        <w:bottom w:val="none" w:sz="0" w:space="0" w:color="auto"/>
        <w:right w:val="none" w:sz="0" w:space="0" w:color="auto"/>
      </w:divBdr>
    </w:div>
    <w:div w:id="1728214870">
      <w:bodyDiv w:val="1"/>
      <w:marLeft w:val="0"/>
      <w:marRight w:val="0"/>
      <w:marTop w:val="0"/>
      <w:marBottom w:val="0"/>
      <w:divBdr>
        <w:top w:val="none" w:sz="0" w:space="0" w:color="auto"/>
        <w:left w:val="none" w:sz="0" w:space="0" w:color="auto"/>
        <w:bottom w:val="none" w:sz="0" w:space="0" w:color="auto"/>
        <w:right w:val="none" w:sz="0" w:space="0" w:color="auto"/>
      </w:divBdr>
    </w:div>
    <w:div w:id="1809936680">
      <w:bodyDiv w:val="1"/>
      <w:marLeft w:val="0"/>
      <w:marRight w:val="0"/>
      <w:marTop w:val="0"/>
      <w:marBottom w:val="0"/>
      <w:divBdr>
        <w:top w:val="none" w:sz="0" w:space="0" w:color="auto"/>
        <w:left w:val="none" w:sz="0" w:space="0" w:color="auto"/>
        <w:bottom w:val="none" w:sz="0" w:space="0" w:color="auto"/>
        <w:right w:val="none" w:sz="0" w:space="0" w:color="auto"/>
      </w:divBdr>
    </w:div>
    <w:div w:id="1834757638">
      <w:bodyDiv w:val="1"/>
      <w:marLeft w:val="0"/>
      <w:marRight w:val="0"/>
      <w:marTop w:val="0"/>
      <w:marBottom w:val="0"/>
      <w:divBdr>
        <w:top w:val="none" w:sz="0" w:space="0" w:color="auto"/>
        <w:left w:val="none" w:sz="0" w:space="0" w:color="auto"/>
        <w:bottom w:val="none" w:sz="0" w:space="0" w:color="auto"/>
        <w:right w:val="none" w:sz="0" w:space="0" w:color="auto"/>
      </w:divBdr>
    </w:div>
    <w:div w:id="1846821933">
      <w:bodyDiv w:val="1"/>
      <w:marLeft w:val="0"/>
      <w:marRight w:val="0"/>
      <w:marTop w:val="0"/>
      <w:marBottom w:val="0"/>
      <w:divBdr>
        <w:top w:val="none" w:sz="0" w:space="0" w:color="auto"/>
        <w:left w:val="none" w:sz="0" w:space="0" w:color="auto"/>
        <w:bottom w:val="none" w:sz="0" w:space="0" w:color="auto"/>
        <w:right w:val="none" w:sz="0" w:space="0" w:color="auto"/>
      </w:divBdr>
    </w:div>
    <w:div w:id="1854025204">
      <w:bodyDiv w:val="1"/>
      <w:marLeft w:val="0"/>
      <w:marRight w:val="0"/>
      <w:marTop w:val="0"/>
      <w:marBottom w:val="0"/>
      <w:divBdr>
        <w:top w:val="none" w:sz="0" w:space="0" w:color="auto"/>
        <w:left w:val="none" w:sz="0" w:space="0" w:color="auto"/>
        <w:bottom w:val="none" w:sz="0" w:space="0" w:color="auto"/>
        <w:right w:val="none" w:sz="0" w:space="0" w:color="auto"/>
      </w:divBdr>
    </w:div>
    <w:div w:id="1856260882">
      <w:bodyDiv w:val="1"/>
      <w:marLeft w:val="0"/>
      <w:marRight w:val="0"/>
      <w:marTop w:val="0"/>
      <w:marBottom w:val="0"/>
      <w:divBdr>
        <w:top w:val="none" w:sz="0" w:space="0" w:color="auto"/>
        <w:left w:val="none" w:sz="0" w:space="0" w:color="auto"/>
        <w:bottom w:val="none" w:sz="0" w:space="0" w:color="auto"/>
        <w:right w:val="none" w:sz="0" w:space="0" w:color="auto"/>
      </w:divBdr>
    </w:div>
    <w:div w:id="1857427422">
      <w:bodyDiv w:val="1"/>
      <w:marLeft w:val="0"/>
      <w:marRight w:val="0"/>
      <w:marTop w:val="0"/>
      <w:marBottom w:val="0"/>
      <w:divBdr>
        <w:top w:val="none" w:sz="0" w:space="0" w:color="auto"/>
        <w:left w:val="none" w:sz="0" w:space="0" w:color="auto"/>
        <w:bottom w:val="none" w:sz="0" w:space="0" w:color="auto"/>
        <w:right w:val="none" w:sz="0" w:space="0" w:color="auto"/>
      </w:divBdr>
    </w:div>
    <w:div w:id="1864632729">
      <w:bodyDiv w:val="1"/>
      <w:marLeft w:val="0"/>
      <w:marRight w:val="0"/>
      <w:marTop w:val="0"/>
      <w:marBottom w:val="0"/>
      <w:divBdr>
        <w:top w:val="none" w:sz="0" w:space="0" w:color="auto"/>
        <w:left w:val="none" w:sz="0" w:space="0" w:color="auto"/>
        <w:bottom w:val="none" w:sz="0" w:space="0" w:color="auto"/>
        <w:right w:val="none" w:sz="0" w:space="0" w:color="auto"/>
      </w:divBdr>
    </w:div>
    <w:div w:id="1893342980">
      <w:bodyDiv w:val="1"/>
      <w:marLeft w:val="0"/>
      <w:marRight w:val="0"/>
      <w:marTop w:val="0"/>
      <w:marBottom w:val="0"/>
      <w:divBdr>
        <w:top w:val="none" w:sz="0" w:space="0" w:color="auto"/>
        <w:left w:val="none" w:sz="0" w:space="0" w:color="auto"/>
        <w:bottom w:val="none" w:sz="0" w:space="0" w:color="auto"/>
        <w:right w:val="none" w:sz="0" w:space="0" w:color="auto"/>
      </w:divBdr>
    </w:div>
    <w:div w:id="1898584063">
      <w:bodyDiv w:val="1"/>
      <w:marLeft w:val="0"/>
      <w:marRight w:val="0"/>
      <w:marTop w:val="0"/>
      <w:marBottom w:val="0"/>
      <w:divBdr>
        <w:top w:val="none" w:sz="0" w:space="0" w:color="auto"/>
        <w:left w:val="none" w:sz="0" w:space="0" w:color="auto"/>
        <w:bottom w:val="none" w:sz="0" w:space="0" w:color="auto"/>
        <w:right w:val="none" w:sz="0" w:space="0" w:color="auto"/>
      </w:divBdr>
    </w:div>
    <w:div w:id="1913269697">
      <w:bodyDiv w:val="1"/>
      <w:marLeft w:val="0"/>
      <w:marRight w:val="0"/>
      <w:marTop w:val="0"/>
      <w:marBottom w:val="0"/>
      <w:divBdr>
        <w:top w:val="none" w:sz="0" w:space="0" w:color="auto"/>
        <w:left w:val="none" w:sz="0" w:space="0" w:color="auto"/>
        <w:bottom w:val="none" w:sz="0" w:space="0" w:color="auto"/>
        <w:right w:val="none" w:sz="0" w:space="0" w:color="auto"/>
      </w:divBdr>
    </w:div>
    <w:div w:id="1959675172">
      <w:bodyDiv w:val="1"/>
      <w:marLeft w:val="0"/>
      <w:marRight w:val="0"/>
      <w:marTop w:val="0"/>
      <w:marBottom w:val="0"/>
      <w:divBdr>
        <w:top w:val="none" w:sz="0" w:space="0" w:color="auto"/>
        <w:left w:val="none" w:sz="0" w:space="0" w:color="auto"/>
        <w:bottom w:val="none" w:sz="0" w:space="0" w:color="auto"/>
        <w:right w:val="none" w:sz="0" w:space="0" w:color="auto"/>
      </w:divBdr>
    </w:div>
    <w:div w:id="1996571949">
      <w:bodyDiv w:val="1"/>
      <w:marLeft w:val="0"/>
      <w:marRight w:val="0"/>
      <w:marTop w:val="0"/>
      <w:marBottom w:val="0"/>
      <w:divBdr>
        <w:top w:val="none" w:sz="0" w:space="0" w:color="auto"/>
        <w:left w:val="none" w:sz="0" w:space="0" w:color="auto"/>
        <w:bottom w:val="none" w:sz="0" w:space="0" w:color="auto"/>
        <w:right w:val="none" w:sz="0" w:space="0" w:color="auto"/>
      </w:divBdr>
    </w:div>
    <w:div w:id="2064868563">
      <w:bodyDiv w:val="1"/>
      <w:marLeft w:val="0"/>
      <w:marRight w:val="0"/>
      <w:marTop w:val="0"/>
      <w:marBottom w:val="0"/>
      <w:divBdr>
        <w:top w:val="none" w:sz="0" w:space="0" w:color="auto"/>
        <w:left w:val="none" w:sz="0" w:space="0" w:color="auto"/>
        <w:bottom w:val="none" w:sz="0" w:space="0" w:color="auto"/>
        <w:right w:val="none" w:sz="0" w:space="0" w:color="auto"/>
      </w:divBdr>
    </w:div>
    <w:div w:id="2093120397">
      <w:bodyDiv w:val="1"/>
      <w:marLeft w:val="0"/>
      <w:marRight w:val="0"/>
      <w:marTop w:val="0"/>
      <w:marBottom w:val="0"/>
      <w:divBdr>
        <w:top w:val="none" w:sz="0" w:space="0" w:color="auto"/>
        <w:left w:val="none" w:sz="0" w:space="0" w:color="auto"/>
        <w:bottom w:val="none" w:sz="0" w:space="0" w:color="auto"/>
        <w:right w:val="none" w:sz="0" w:space="0" w:color="auto"/>
      </w:divBdr>
    </w:div>
    <w:div w:id="214684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yazgi.genc@eas.bau.edu.tr" TargetMode="External"/><Relationship Id="rId2" Type="http://schemas.openxmlformats.org/officeDocument/2006/relationships/hyperlink" Target="mailto:ozan.bakis@eas.bau.edu.tr" TargetMode="External"/><Relationship Id="rId1" Type="http://schemas.openxmlformats.org/officeDocument/2006/relationships/hyperlink" Target="file:///C:\Documents%20and%20Settings\seyfettin.gursel\Local%20Settings\Temporary%20Internet%20Files\Content.Outlook\XEHMCRWR\seyfettin.gursel@eas.bau.edu.t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yazgi.genc\Dropbox\informality%20and%20mw_yazgi\Arastima_notu\AN_descriptive%20_en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yazgi.genc\Dropbox\informality%20and%20mw_yazgi\Arastima_notu\AN_descriptive%20_en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yazgi.genc\Dropbox\informality%20and%20mw_yazgi\Arastima_notu\AN_descriptive%20_eng.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yazgi.genc\Dropbox\informality%20and%20mw_yazgi\Arastima_notu\AN_descriptive%20_eng.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yazgi.genc\Dropbox\informality%20and%20mw_yazgi\Arastima_notu\AN_descriptive%20_e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66459455725918"/>
          <c:y val="6.3576150099786233E-2"/>
          <c:w val="0.8883354054427407"/>
          <c:h val="0.84150070862655502"/>
        </c:manualLayout>
      </c:layout>
      <c:lineChart>
        <c:grouping val="standard"/>
        <c:varyColors val="0"/>
        <c:ser>
          <c:idx val="0"/>
          <c:order val="0"/>
          <c:tx>
            <c:v>Wage earner</c:v>
          </c:tx>
          <c:spPr>
            <a:ln w="28575" cap="rnd">
              <a:solidFill>
                <a:schemeClr val="accent1"/>
              </a:solidFill>
              <a:round/>
            </a:ln>
            <a:effectLst/>
          </c:spPr>
          <c:marker>
            <c:symbol val="none"/>
          </c:marker>
          <c:cat>
            <c:numRef>
              <c:f>AN_1_işteki_durum_yıllık!$A$3:$A$14</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'[1]TUİK kayıt dışı yıllık'!$W$4:$W$14</c:f>
              <c:numCache>
                <c:formatCode>General</c:formatCode>
                <c:ptCount val="11"/>
                <c:pt idx="0">
                  <c:v>-0.51100998327033098</c:v>
                </c:pt>
                <c:pt idx="1">
                  <c:v>-2.6202885524067292</c:v>
                </c:pt>
                <c:pt idx="2">
                  <c:v>-5.6005465578251847</c:v>
                </c:pt>
                <c:pt idx="3">
                  <c:v>-5.7649220395806795</c:v>
                </c:pt>
                <c:pt idx="4">
                  <c:v>-6.3002936277289088</c:v>
                </c:pt>
                <c:pt idx="5">
                  <c:v>-6.853729593404899</c:v>
                </c:pt>
                <c:pt idx="6">
                  <c:v>-9.9927841130397947</c:v>
                </c:pt>
                <c:pt idx="7">
                  <c:v>-12.069199580788325</c:v>
                </c:pt>
                <c:pt idx="8">
                  <c:v>-12.439444759919221</c:v>
                </c:pt>
                <c:pt idx="9">
                  <c:v>-13.652752041471222</c:v>
                </c:pt>
                <c:pt idx="10">
                  <c:v>-13.78227467968696</c:v>
                </c:pt>
              </c:numCache>
            </c:numRef>
          </c:val>
          <c:smooth val="0"/>
          <c:extLst>
            <c:ext xmlns:c16="http://schemas.microsoft.com/office/drawing/2014/chart" uri="{C3380CC4-5D6E-409C-BE32-E72D297353CC}">
              <c16:uniqueId val="{00000000-3F3F-456A-9CE1-4F0229F5033D}"/>
            </c:ext>
          </c:extLst>
        </c:ser>
        <c:ser>
          <c:idx val="1"/>
          <c:order val="1"/>
          <c:tx>
            <c:v>Employer</c:v>
          </c:tx>
          <c:spPr>
            <a:ln w="28575" cap="rnd">
              <a:solidFill>
                <a:schemeClr val="accent2"/>
              </a:solidFill>
              <a:round/>
            </a:ln>
            <a:effectLst/>
          </c:spPr>
          <c:marker>
            <c:symbol val="none"/>
          </c:marker>
          <c:cat>
            <c:numRef>
              <c:f>AN_1_işteki_durum_yıllık!$A$3:$A$14</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'[1]TUİK kayıt dışı yıllık'!$X$4:$X$14</c:f>
              <c:numCache>
                <c:formatCode>General</c:formatCode>
                <c:ptCount val="11"/>
                <c:pt idx="0">
                  <c:v>1.0650621168988901</c:v>
                </c:pt>
                <c:pt idx="1">
                  <c:v>2.1413364561156651</c:v>
                </c:pt>
                <c:pt idx="2">
                  <c:v>2.3292748640329175</c:v>
                </c:pt>
                <c:pt idx="3">
                  <c:v>1.2686414110339579</c:v>
                </c:pt>
                <c:pt idx="4">
                  <c:v>-0.57148168130318766</c:v>
                </c:pt>
                <c:pt idx="5">
                  <c:v>-3.2658121380446277</c:v>
                </c:pt>
                <c:pt idx="6">
                  <c:v>-6.9539513938716375</c:v>
                </c:pt>
                <c:pt idx="7">
                  <c:v>-10.300050254268173</c:v>
                </c:pt>
                <c:pt idx="8">
                  <c:v>-10.864570920181842</c:v>
                </c:pt>
                <c:pt idx="9">
                  <c:v>-12.676908806307624</c:v>
                </c:pt>
                <c:pt idx="10">
                  <c:v>-9.7131597293237686</c:v>
                </c:pt>
              </c:numCache>
            </c:numRef>
          </c:val>
          <c:smooth val="0"/>
          <c:extLst>
            <c:ext xmlns:c16="http://schemas.microsoft.com/office/drawing/2014/chart" uri="{C3380CC4-5D6E-409C-BE32-E72D297353CC}">
              <c16:uniqueId val="{00000001-3F3F-456A-9CE1-4F0229F5033D}"/>
            </c:ext>
          </c:extLst>
        </c:ser>
        <c:ser>
          <c:idx val="2"/>
          <c:order val="2"/>
          <c:tx>
            <c:v>Own account worker</c:v>
          </c:tx>
          <c:spPr>
            <a:ln w="28575" cap="rnd">
              <a:solidFill>
                <a:schemeClr val="accent3"/>
              </a:solidFill>
              <a:round/>
            </a:ln>
            <a:effectLst/>
          </c:spPr>
          <c:marker>
            <c:symbol val="none"/>
          </c:marker>
          <c:cat>
            <c:numRef>
              <c:f>AN_1_işteki_durum_yıllık!$A$3:$A$14</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'[1]TUİK kayıt dışı yıllık'!$Y$4:$Y$14</c:f>
              <c:numCache>
                <c:formatCode>General</c:formatCode>
                <c:ptCount val="11"/>
                <c:pt idx="0">
                  <c:v>0.21116287061832401</c:v>
                </c:pt>
                <c:pt idx="1">
                  <c:v>1.2964241775509178</c:v>
                </c:pt>
                <c:pt idx="2">
                  <c:v>2.2649945973502015</c:v>
                </c:pt>
                <c:pt idx="3">
                  <c:v>3.7946643858040119</c:v>
                </c:pt>
                <c:pt idx="4">
                  <c:v>3.4112426152039381</c:v>
                </c:pt>
                <c:pt idx="5">
                  <c:v>0.98768536305776333</c:v>
                </c:pt>
                <c:pt idx="6">
                  <c:v>-0.253001893494186</c:v>
                </c:pt>
                <c:pt idx="7">
                  <c:v>-2.1013648563530252</c:v>
                </c:pt>
                <c:pt idx="8">
                  <c:v>-3.6672167563222811</c:v>
                </c:pt>
                <c:pt idx="9">
                  <c:v>-4.5690279140516834</c:v>
                </c:pt>
                <c:pt idx="10">
                  <c:v>-2.9563449748990287</c:v>
                </c:pt>
              </c:numCache>
            </c:numRef>
          </c:val>
          <c:smooth val="0"/>
          <c:extLst>
            <c:ext xmlns:c16="http://schemas.microsoft.com/office/drawing/2014/chart" uri="{C3380CC4-5D6E-409C-BE32-E72D297353CC}">
              <c16:uniqueId val="{00000002-3F3F-456A-9CE1-4F0229F5033D}"/>
            </c:ext>
          </c:extLst>
        </c:ser>
        <c:ser>
          <c:idx val="3"/>
          <c:order val="3"/>
          <c:tx>
            <c:v>Unpaid family worker</c:v>
          </c:tx>
          <c:spPr>
            <a:ln w="28575" cap="rnd">
              <a:solidFill>
                <a:schemeClr val="accent4"/>
              </a:solidFill>
              <a:round/>
            </a:ln>
            <a:effectLst/>
          </c:spPr>
          <c:marker>
            <c:symbol val="none"/>
          </c:marker>
          <c:cat>
            <c:numRef>
              <c:f>AN_1_işteki_durum_yıllık!$A$3:$A$14</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'[1]TUİK kayıt dışı yıllık'!$Z$4:$Z$14</c:f>
              <c:numCache>
                <c:formatCode>General</c:formatCode>
                <c:ptCount val="11"/>
                <c:pt idx="0">
                  <c:v>9.796012143742408E-2</c:v>
                </c:pt>
                <c:pt idx="1">
                  <c:v>0.99139475938596833</c:v>
                </c:pt>
                <c:pt idx="2">
                  <c:v>0.63083882955089721</c:v>
                </c:pt>
                <c:pt idx="3">
                  <c:v>-3.4323930205661948</c:v>
                </c:pt>
                <c:pt idx="4">
                  <c:v>-2.7104616920828022</c:v>
                </c:pt>
                <c:pt idx="5">
                  <c:v>-2.6417697776268798</c:v>
                </c:pt>
                <c:pt idx="6">
                  <c:v>-3.153498108868348</c:v>
                </c:pt>
                <c:pt idx="7">
                  <c:v>-3.0051982072974015</c:v>
                </c:pt>
                <c:pt idx="8">
                  <c:v>-5.6058138944625</c:v>
                </c:pt>
                <c:pt idx="9">
                  <c:v>-4.9562025443757314</c:v>
                </c:pt>
                <c:pt idx="10">
                  <c:v>-4.163290030532977</c:v>
                </c:pt>
              </c:numCache>
            </c:numRef>
          </c:val>
          <c:smooth val="0"/>
          <c:extLst>
            <c:ext xmlns:c16="http://schemas.microsoft.com/office/drawing/2014/chart" uri="{C3380CC4-5D6E-409C-BE32-E72D297353CC}">
              <c16:uniqueId val="{00000003-3F3F-456A-9CE1-4F0229F5033D}"/>
            </c:ext>
          </c:extLst>
        </c:ser>
        <c:ser>
          <c:idx val="4"/>
          <c:order val="4"/>
          <c:tx>
            <c:v>all workers</c:v>
          </c:tx>
          <c:spPr>
            <a:ln w="28575" cap="rnd">
              <a:solidFill>
                <a:schemeClr val="accent5"/>
              </a:solidFill>
              <a:round/>
            </a:ln>
            <a:effectLst/>
          </c:spPr>
          <c:marker>
            <c:symbol val="none"/>
          </c:marker>
          <c:cat>
            <c:numRef>
              <c:f>AN_1_işteki_durum_yıllık!$A$3:$A$14</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'[1]TUİK kayıt dışı yıllık'!$V$4:$V$14</c:f>
              <c:numCache>
                <c:formatCode>General</c:formatCode>
                <c:ptCount val="11"/>
                <c:pt idx="0">
                  <c:v>-1.1994839006502593</c:v>
                </c:pt>
                <c:pt idx="1">
                  <c:v>-2.7327098038138713</c:v>
                </c:pt>
                <c:pt idx="2">
                  <c:v>-4.6681574095096456</c:v>
                </c:pt>
                <c:pt idx="3">
                  <c:v>-4.3302685571509798</c:v>
                </c:pt>
                <c:pt idx="4">
                  <c:v>-4.9206151169671557</c:v>
                </c:pt>
                <c:pt idx="5">
                  <c:v>-6.1179455784298256</c:v>
                </c:pt>
                <c:pt idx="6">
                  <c:v>-9.1476279841729067</c:v>
                </c:pt>
                <c:pt idx="7">
                  <c:v>-11.425227715472021</c:v>
                </c:pt>
                <c:pt idx="8">
                  <c:v>-13.200149067326659</c:v>
                </c:pt>
                <c:pt idx="9">
                  <c:v>-14.599794832793506</c:v>
                </c:pt>
                <c:pt idx="10">
                  <c:v>-14.68086833390997</c:v>
                </c:pt>
              </c:numCache>
            </c:numRef>
          </c:val>
          <c:smooth val="0"/>
          <c:extLst>
            <c:ext xmlns:c16="http://schemas.microsoft.com/office/drawing/2014/chart" uri="{C3380CC4-5D6E-409C-BE32-E72D297353CC}">
              <c16:uniqueId val="{00000004-3F3F-456A-9CE1-4F0229F5033D}"/>
            </c:ext>
          </c:extLst>
        </c:ser>
        <c:dLbls>
          <c:showLegendKey val="0"/>
          <c:showVal val="0"/>
          <c:showCatName val="0"/>
          <c:showSerName val="0"/>
          <c:showPercent val="0"/>
          <c:showBubbleSize val="0"/>
        </c:dLbls>
        <c:smooth val="0"/>
        <c:axId val="51951104"/>
        <c:axId val="51952640"/>
      </c:lineChart>
      <c:catAx>
        <c:axId val="51951104"/>
        <c:scaling>
          <c:orientation val="minMax"/>
        </c:scaling>
        <c:delete val="0"/>
        <c:axPos val="b"/>
        <c:numFmt formatCode="General" sourceLinked="1"/>
        <c:majorTickMark val="none"/>
        <c:minorTickMark val="none"/>
        <c:tickLblPos val="low"/>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Palatino Linotype" panose="02040502050505030304" pitchFamily="18" charset="0"/>
                <a:ea typeface="+mn-ea"/>
                <a:cs typeface="Arial" panose="020B0604020202020204" pitchFamily="34" charset="0"/>
              </a:defRPr>
            </a:pPr>
            <a:endParaRPr lang="tr-TR"/>
          </a:p>
        </c:txPr>
        <c:crossAx val="51952640"/>
        <c:crosses val="autoZero"/>
        <c:auto val="1"/>
        <c:lblAlgn val="ctr"/>
        <c:lblOffset val="100"/>
        <c:noMultiLvlLbl val="0"/>
      </c:catAx>
      <c:valAx>
        <c:axId val="51952640"/>
        <c:scaling>
          <c:orientation val="minMax"/>
          <c:max val="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Palatino Linotype" panose="02040502050505030304" pitchFamily="18" charset="0"/>
                <a:ea typeface="+mn-ea"/>
                <a:cs typeface="Arial" panose="020B0604020202020204" pitchFamily="34" charset="0"/>
              </a:defRPr>
            </a:pPr>
            <a:endParaRPr lang="tr-TR"/>
          </a:p>
        </c:txPr>
        <c:crossAx val="51951104"/>
        <c:crosses val="autoZero"/>
        <c:crossBetween val="between"/>
      </c:valAx>
      <c:spPr>
        <a:noFill/>
        <a:ln>
          <a:noFill/>
        </a:ln>
        <a:effectLst/>
      </c:spPr>
    </c:plotArea>
    <c:legend>
      <c:legendPos val="b"/>
      <c:layout>
        <c:manualLayout>
          <c:xMode val="edge"/>
          <c:yMode val="edge"/>
          <c:x val="8.6757593174730349E-2"/>
          <c:y val="0.94742636839150496"/>
          <c:w val="0.91324241029959596"/>
          <c:h val="5.2573786488622723E-2"/>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Palatino Linotype" panose="02040502050505030304" pitchFamily="18" charset="0"/>
              <a:ea typeface="+mn-ea"/>
              <a:cs typeface="Arial" panose="020B0604020202020204" pitchFamily="34" charset="0"/>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atin typeface="Palatino Linotype" panose="02040502050505030304" pitchFamily="18" charset="0"/>
          <a:cs typeface="Arial" panose="020B0604020202020204" pitchFamily="34" charset="0"/>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2012-2013</c:v>
          </c:tx>
          <c:spPr>
            <a:ln w="28575" cap="rnd">
              <a:solidFill>
                <a:schemeClr val="accent1"/>
              </a:solidFill>
              <a:round/>
            </a:ln>
            <a:effectLst/>
          </c:spPr>
          <c:marker>
            <c:symbol val="none"/>
          </c:marker>
          <c:cat>
            <c:strRef>
              <c:f>AN_1_isteki_durum_aylık!$B$21:$B$32</c:f>
              <c:strCache>
                <c:ptCount val="12"/>
                <c:pt idx="0">
                  <c:v>January</c:v>
                </c:pt>
                <c:pt idx="1">
                  <c:v>February </c:v>
                </c:pt>
                <c:pt idx="2">
                  <c:v>March </c:v>
                </c:pt>
                <c:pt idx="3">
                  <c:v>April</c:v>
                </c:pt>
                <c:pt idx="4">
                  <c:v>May </c:v>
                </c:pt>
                <c:pt idx="5">
                  <c:v>June</c:v>
                </c:pt>
                <c:pt idx="6">
                  <c:v>July</c:v>
                </c:pt>
                <c:pt idx="7">
                  <c:v>August</c:v>
                </c:pt>
                <c:pt idx="8">
                  <c:v>September</c:v>
                </c:pt>
                <c:pt idx="9">
                  <c:v>October</c:v>
                </c:pt>
                <c:pt idx="10">
                  <c:v>November</c:v>
                </c:pt>
                <c:pt idx="11">
                  <c:v>December</c:v>
                </c:pt>
              </c:strCache>
            </c:strRef>
          </c:cat>
          <c:val>
            <c:numRef>
              <c:f>'[2]Ücretli Kayıt dışık aylık16-17'!$G$21:$G$32</c:f>
              <c:numCache>
                <c:formatCode>General</c:formatCode>
                <c:ptCount val="12"/>
                <c:pt idx="0">
                  <c:v>-2.3211277454116988</c:v>
                </c:pt>
                <c:pt idx="1">
                  <c:v>-0.6606712195150366</c:v>
                </c:pt>
                <c:pt idx="2">
                  <c:v>-0.54479615338510079</c:v>
                </c:pt>
                <c:pt idx="3">
                  <c:v>-1.0066141345902841</c:v>
                </c:pt>
                <c:pt idx="4">
                  <c:v>-2.2468753592665749</c:v>
                </c:pt>
                <c:pt idx="5">
                  <c:v>-2.247257516379769</c:v>
                </c:pt>
                <c:pt idx="6">
                  <c:v>-2.522080505921334</c:v>
                </c:pt>
                <c:pt idx="7">
                  <c:v>-2.4113287160207371</c:v>
                </c:pt>
                <c:pt idx="8">
                  <c:v>-3.1772961678070888</c:v>
                </c:pt>
                <c:pt idx="9">
                  <c:v>-3.0300420931722298</c:v>
                </c:pt>
                <c:pt idx="10">
                  <c:v>-2.9313827254446392</c:v>
                </c:pt>
                <c:pt idx="11">
                  <c:v>-2.6567281298559995</c:v>
                </c:pt>
              </c:numCache>
            </c:numRef>
          </c:val>
          <c:smooth val="0"/>
          <c:extLst>
            <c:ext xmlns:c16="http://schemas.microsoft.com/office/drawing/2014/chart" uri="{C3380CC4-5D6E-409C-BE32-E72D297353CC}">
              <c16:uniqueId val="{00000000-5ED5-4DD0-B6E6-9955DDAFE8C8}"/>
            </c:ext>
          </c:extLst>
        </c:ser>
        <c:ser>
          <c:idx val="1"/>
          <c:order val="1"/>
          <c:tx>
            <c:v>2013-2014</c:v>
          </c:tx>
          <c:spPr>
            <a:ln w="28575" cap="rnd">
              <a:solidFill>
                <a:schemeClr val="accent2"/>
              </a:solidFill>
              <a:round/>
            </a:ln>
            <a:effectLst/>
          </c:spPr>
          <c:marker>
            <c:symbol val="none"/>
          </c:marker>
          <c:cat>
            <c:strRef>
              <c:f>AN_1_isteki_durum_aylık!$B$21:$B$32</c:f>
              <c:strCache>
                <c:ptCount val="12"/>
                <c:pt idx="0">
                  <c:v>January</c:v>
                </c:pt>
                <c:pt idx="1">
                  <c:v>February </c:v>
                </c:pt>
                <c:pt idx="2">
                  <c:v>March </c:v>
                </c:pt>
                <c:pt idx="3">
                  <c:v>April</c:v>
                </c:pt>
                <c:pt idx="4">
                  <c:v>May </c:v>
                </c:pt>
                <c:pt idx="5">
                  <c:v>June</c:v>
                </c:pt>
                <c:pt idx="6">
                  <c:v>July</c:v>
                </c:pt>
                <c:pt idx="7">
                  <c:v>August</c:v>
                </c:pt>
                <c:pt idx="8">
                  <c:v>September</c:v>
                </c:pt>
                <c:pt idx="9">
                  <c:v>October</c:v>
                </c:pt>
                <c:pt idx="10">
                  <c:v>November</c:v>
                </c:pt>
                <c:pt idx="11">
                  <c:v>December</c:v>
                </c:pt>
              </c:strCache>
            </c:strRef>
          </c:cat>
          <c:val>
            <c:numRef>
              <c:f>'[2]Ücretli Kayıt dışık aylık16-17'!$H$21:$H$32</c:f>
              <c:numCache>
                <c:formatCode>General</c:formatCode>
                <c:ptCount val="12"/>
                <c:pt idx="0">
                  <c:v>-1.1315454001921739</c:v>
                </c:pt>
                <c:pt idx="1">
                  <c:v>-1.012336783641288</c:v>
                </c:pt>
                <c:pt idx="2">
                  <c:v>-0.96080093570595348</c:v>
                </c:pt>
                <c:pt idx="3">
                  <c:v>-1.0506280780832851</c:v>
                </c:pt>
                <c:pt idx="4">
                  <c:v>-0.36774651533371733</c:v>
                </c:pt>
                <c:pt idx="5">
                  <c:v>-0.3464268727747718</c:v>
                </c:pt>
                <c:pt idx="6">
                  <c:v>-3.59450949073086E-2</c:v>
                </c:pt>
                <c:pt idx="7">
                  <c:v>-0.132663768804303</c:v>
                </c:pt>
                <c:pt idx="8">
                  <c:v>0.37685078223800567</c:v>
                </c:pt>
                <c:pt idx="9">
                  <c:v>-1.9615688587880001E-2</c:v>
                </c:pt>
                <c:pt idx="10">
                  <c:v>0.116552745048768</c:v>
                </c:pt>
                <c:pt idx="11">
                  <c:v>3.7994360008500615E-2</c:v>
                </c:pt>
              </c:numCache>
            </c:numRef>
          </c:val>
          <c:smooth val="0"/>
          <c:extLst>
            <c:ext xmlns:c16="http://schemas.microsoft.com/office/drawing/2014/chart" uri="{C3380CC4-5D6E-409C-BE32-E72D297353CC}">
              <c16:uniqueId val="{00000001-5ED5-4DD0-B6E6-9955DDAFE8C8}"/>
            </c:ext>
          </c:extLst>
        </c:ser>
        <c:ser>
          <c:idx val="2"/>
          <c:order val="2"/>
          <c:tx>
            <c:v>2014-2015</c:v>
          </c:tx>
          <c:spPr>
            <a:ln w="28575" cap="rnd">
              <a:solidFill>
                <a:schemeClr val="accent3"/>
              </a:solidFill>
              <a:round/>
            </a:ln>
            <a:effectLst/>
          </c:spPr>
          <c:marker>
            <c:symbol val="none"/>
          </c:marker>
          <c:cat>
            <c:strRef>
              <c:f>AN_1_isteki_durum_aylık!$B$21:$B$32</c:f>
              <c:strCache>
                <c:ptCount val="12"/>
                <c:pt idx="0">
                  <c:v>January</c:v>
                </c:pt>
                <c:pt idx="1">
                  <c:v>February </c:v>
                </c:pt>
                <c:pt idx="2">
                  <c:v>March </c:v>
                </c:pt>
                <c:pt idx="3">
                  <c:v>April</c:v>
                </c:pt>
                <c:pt idx="4">
                  <c:v>May </c:v>
                </c:pt>
                <c:pt idx="5">
                  <c:v>June</c:v>
                </c:pt>
                <c:pt idx="6">
                  <c:v>July</c:v>
                </c:pt>
                <c:pt idx="7">
                  <c:v>August</c:v>
                </c:pt>
                <c:pt idx="8">
                  <c:v>September</c:v>
                </c:pt>
                <c:pt idx="9">
                  <c:v>October</c:v>
                </c:pt>
                <c:pt idx="10">
                  <c:v>November</c:v>
                </c:pt>
                <c:pt idx="11">
                  <c:v>December</c:v>
                </c:pt>
              </c:strCache>
            </c:strRef>
          </c:cat>
          <c:val>
            <c:numRef>
              <c:f>'[2]Ücretli Kayıt dışık aylık16-17'!$I$21:$I$32</c:f>
              <c:numCache>
                <c:formatCode>General</c:formatCode>
                <c:ptCount val="12"/>
                <c:pt idx="0">
                  <c:v>-1.24477986412758</c:v>
                </c:pt>
                <c:pt idx="1">
                  <c:v>-2.1094434975961627</c:v>
                </c:pt>
                <c:pt idx="2">
                  <c:v>-1.5976119459248039</c:v>
                </c:pt>
                <c:pt idx="3">
                  <c:v>-1.2348273491864139</c:v>
                </c:pt>
                <c:pt idx="4">
                  <c:v>-1.433711217850443</c:v>
                </c:pt>
                <c:pt idx="5">
                  <c:v>-1.4708440559798126</c:v>
                </c:pt>
                <c:pt idx="6">
                  <c:v>-1.056442352103858</c:v>
                </c:pt>
                <c:pt idx="7">
                  <c:v>-0.89513523330784805</c:v>
                </c:pt>
                <c:pt idx="8">
                  <c:v>-0.44130951566504739</c:v>
                </c:pt>
                <c:pt idx="9">
                  <c:v>-0.89888714392512259</c:v>
                </c:pt>
                <c:pt idx="10">
                  <c:v>-0.86232943276982721</c:v>
                </c:pt>
                <c:pt idx="11">
                  <c:v>-1.0927196338630201</c:v>
                </c:pt>
              </c:numCache>
            </c:numRef>
          </c:val>
          <c:smooth val="0"/>
          <c:extLst>
            <c:ext xmlns:c16="http://schemas.microsoft.com/office/drawing/2014/chart" uri="{C3380CC4-5D6E-409C-BE32-E72D297353CC}">
              <c16:uniqueId val="{00000002-5ED5-4DD0-B6E6-9955DDAFE8C8}"/>
            </c:ext>
          </c:extLst>
        </c:ser>
        <c:ser>
          <c:idx val="3"/>
          <c:order val="3"/>
          <c:tx>
            <c:v>2015-2016</c:v>
          </c:tx>
          <c:spPr>
            <a:ln w="28575" cap="rnd">
              <a:solidFill>
                <a:schemeClr val="accent4"/>
              </a:solidFill>
              <a:round/>
            </a:ln>
            <a:effectLst/>
          </c:spPr>
          <c:marker>
            <c:symbol val="none"/>
          </c:marker>
          <c:cat>
            <c:strRef>
              <c:f>AN_1_isteki_durum_aylık!$B$21:$B$32</c:f>
              <c:strCache>
                <c:ptCount val="12"/>
                <c:pt idx="0">
                  <c:v>January</c:v>
                </c:pt>
                <c:pt idx="1">
                  <c:v>February </c:v>
                </c:pt>
                <c:pt idx="2">
                  <c:v>March </c:v>
                </c:pt>
                <c:pt idx="3">
                  <c:v>April</c:v>
                </c:pt>
                <c:pt idx="4">
                  <c:v>May </c:v>
                </c:pt>
                <c:pt idx="5">
                  <c:v>June</c:v>
                </c:pt>
                <c:pt idx="6">
                  <c:v>July</c:v>
                </c:pt>
                <c:pt idx="7">
                  <c:v>August</c:v>
                </c:pt>
                <c:pt idx="8">
                  <c:v>September</c:v>
                </c:pt>
                <c:pt idx="9">
                  <c:v>October</c:v>
                </c:pt>
                <c:pt idx="10">
                  <c:v>November</c:v>
                </c:pt>
                <c:pt idx="11">
                  <c:v>December</c:v>
                </c:pt>
              </c:strCache>
            </c:strRef>
          </c:cat>
          <c:val>
            <c:numRef>
              <c:f>'[2]Ücretli Kayıt dışık aylık16-17'!$J$21:$J$32</c:f>
              <c:numCache>
                <c:formatCode>General</c:formatCode>
                <c:ptCount val="12"/>
                <c:pt idx="0">
                  <c:v>-0.61832205302570464</c:v>
                </c:pt>
                <c:pt idx="1">
                  <c:v>0.13676143509608427</c:v>
                </c:pt>
                <c:pt idx="2">
                  <c:v>0.26853825182341801</c:v>
                </c:pt>
                <c:pt idx="3">
                  <c:v>0.27113593001230579</c:v>
                </c:pt>
                <c:pt idx="4">
                  <c:v>5.3502684212091506E-2</c:v>
                </c:pt>
                <c:pt idx="5">
                  <c:v>-0.24234469511830517</c:v>
                </c:pt>
                <c:pt idx="6">
                  <c:v>-0.51572430626970078</c:v>
                </c:pt>
                <c:pt idx="7">
                  <c:v>-0.56402586832041479</c:v>
                </c:pt>
                <c:pt idx="8">
                  <c:v>-0.80436767008920296</c:v>
                </c:pt>
                <c:pt idx="9">
                  <c:v>-0.23084373390975788</c:v>
                </c:pt>
                <c:pt idx="10">
                  <c:v>0.20994182198328201</c:v>
                </c:pt>
                <c:pt idx="11">
                  <c:v>0.5277209690846365</c:v>
                </c:pt>
              </c:numCache>
            </c:numRef>
          </c:val>
          <c:smooth val="0"/>
          <c:extLst>
            <c:ext xmlns:c16="http://schemas.microsoft.com/office/drawing/2014/chart" uri="{C3380CC4-5D6E-409C-BE32-E72D297353CC}">
              <c16:uniqueId val="{00000003-5ED5-4DD0-B6E6-9955DDAFE8C8}"/>
            </c:ext>
          </c:extLst>
        </c:ser>
        <c:ser>
          <c:idx val="4"/>
          <c:order val="4"/>
          <c:tx>
            <c:v>2016-2017</c:v>
          </c:tx>
          <c:spPr>
            <a:ln w="28575" cap="rnd">
              <a:solidFill>
                <a:schemeClr val="accent5"/>
              </a:solidFill>
              <a:round/>
            </a:ln>
            <a:effectLst/>
          </c:spPr>
          <c:marker>
            <c:symbol val="none"/>
          </c:marker>
          <c:cat>
            <c:strRef>
              <c:f>AN_1_isteki_durum_aylık!$B$21:$B$32</c:f>
              <c:strCache>
                <c:ptCount val="12"/>
                <c:pt idx="0">
                  <c:v>January</c:v>
                </c:pt>
                <c:pt idx="1">
                  <c:v>February </c:v>
                </c:pt>
                <c:pt idx="2">
                  <c:v>March </c:v>
                </c:pt>
                <c:pt idx="3">
                  <c:v>April</c:v>
                </c:pt>
                <c:pt idx="4">
                  <c:v>May </c:v>
                </c:pt>
                <c:pt idx="5">
                  <c:v>June</c:v>
                </c:pt>
                <c:pt idx="6">
                  <c:v>July</c:v>
                </c:pt>
                <c:pt idx="7">
                  <c:v>August</c:v>
                </c:pt>
                <c:pt idx="8">
                  <c:v>September</c:v>
                </c:pt>
                <c:pt idx="9">
                  <c:v>October</c:v>
                </c:pt>
                <c:pt idx="10">
                  <c:v>November</c:v>
                </c:pt>
                <c:pt idx="11">
                  <c:v>December</c:v>
                </c:pt>
              </c:strCache>
            </c:strRef>
          </c:cat>
          <c:val>
            <c:numRef>
              <c:f>'[1]TUİK Kayıt dışı aylık'!$K$21:$K$29</c:f>
              <c:numCache>
                <c:formatCode>General</c:formatCode>
                <c:ptCount val="9"/>
                <c:pt idx="0">
                  <c:v>0.61350792747496596</c:v>
                </c:pt>
                <c:pt idx="1">
                  <c:v>0.41046710503472333</c:v>
                </c:pt>
                <c:pt idx="2">
                  <c:v>8.3888234775400805E-2</c:v>
                </c:pt>
                <c:pt idx="3">
                  <c:v>-0.25310814009284932</c:v>
                </c:pt>
                <c:pt idx="4">
                  <c:v>-0.128647978367983</c:v>
                </c:pt>
                <c:pt idx="5">
                  <c:v>-0.2116287729043578</c:v>
                </c:pt>
                <c:pt idx="6">
                  <c:v>-4.3865920012706387E-2</c:v>
                </c:pt>
                <c:pt idx="7">
                  <c:v>-0.18148892946290127</c:v>
                </c:pt>
                <c:pt idx="8">
                  <c:v>-0.12322106749475402</c:v>
                </c:pt>
              </c:numCache>
            </c:numRef>
          </c:val>
          <c:smooth val="0"/>
          <c:extLst>
            <c:ext xmlns:c16="http://schemas.microsoft.com/office/drawing/2014/chart" uri="{C3380CC4-5D6E-409C-BE32-E72D297353CC}">
              <c16:uniqueId val="{00000004-5ED5-4DD0-B6E6-9955DDAFE8C8}"/>
            </c:ext>
          </c:extLst>
        </c:ser>
        <c:dLbls>
          <c:showLegendKey val="0"/>
          <c:showVal val="0"/>
          <c:showCatName val="0"/>
          <c:showSerName val="0"/>
          <c:showPercent val="0"/>
          <c:showBubbleSize val="0"/>
        </c:dLbls>
        <c:smooth val="0"/>
        <c:axId val="51967488"/>
        <c:axId val="51969024"/>
      </c:lineChart>
      <c:catAx>
        <c:axId val="51967488"/>
        <c:scaling>
          <c:orientation val="minMax"/>
        </c:scaling>
        <c:delete val="0"/>
        <c:axPos val="b"/>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lang="en-US" sz="10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tr-TR"/>
          </a:p>
        </c:txPr>
        <c:crossAx val="51969024"/>
        <c:crosses val="autoZero"/>
        <c:auto val="1"/>
        <c:lblAlgn val="ctr"/>
        <c:lblOffset val="100"/>
        <c:noMultiLvlLbl val="0"/>
      </c:catAx>
      <c:valAx>
        <c:axId val="51969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tr-TR"/>
          </a:p>
        </c:txPr>
        <c:crossAx val="51967488"/>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atin typeface="Palatino Linotype" panose="02040502050505030304" pitchFamily="18" charset="0"/>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2012-2013</c:v>
          </c:tx>
          <c:spPr>
            <a:ln w="28575" cap="rnd">
              <a:solidFill>
                <a:schemeClr val="accent1"/>
              </a:solidFill>
              <a:round/>
            </a:ln>
            <a:effectLst/>
          </c:spPr>
          <c:marker>
            <c:symbol val="none"/>
          </c:marker>
          <c:cat>
            <c:strRef>
              <c:f>AN_1_isteki_durum_aylık!$B$21:$B$32</c:f>
              <c:strCache>
                <c:ptCount val="12"/>
                <c:pt idx="0">
                  <c:v>January</c:v>
                </c:pt>
                <c:pt idx="1">
                  <c:v>February </c:v>
                </c:pt>
                <c:pt idx="2">
                  <c:v>March </c:v>
                </c:pt>
                <c:pt idx="3">
                  <c:v>April</c:v>
                </c:pt>
                <c:pt idx="4">
                  <c:v>May </c:v>
                </c:pt>
                <c:pt idx="5">
                  <c:v>June</c:v>
                </c:pt>
                <c:pt idx="6">
                  <c:v>July</c:v>
                </c:pt>
                <c:pt idx="7">
                  <c:v>August</c:v>
                </c:pt>
                <c:pt idx="8">
                  <c:v>September</c:v>
                </c:pt>
                <c:pt idx="9">
                  <c:v>October</c:v>
                </c:pt>
                <c:pt idx="10">
                  <c:v>November</c:v>
                </c:pt>
                <c:pt idx="11">
                  <c:v>December</c:v>
                </c:pt>
              </c:strCache>
            </c:strRef>
          </c:cat>
          <c:val>
            <c:numRef>
              <c:f>'[1]TUİK Kayıt dışı aylık'!$AF$21:$AF$32</c:f>
              <c:numCache>
                <c:formatCode>General</c:formatCode>
                <c:ptCount val="12"/>
                <c:pt idx="0">
                  <c:v>-3.2073337352929867</c:v>
                </c:pt>
                <c:pt idx="1">
                  <c:v>-2.8339310125663384</c:v>
                </c:pt>
                <c:pt idx="2">
                  <c:v>-2.6641328623965226</c:v>
                </c:pt>
                <c:pt idx="3">
                  <c:v>-2.5755701087284879</c:v>
                </c:pt>
                <c:pt idx="4">
                  <c:v>-1.0360696975597412</c:v>
                </c:pt>
                <c:pt idx="5">
                  <c:v>-1.5740655189052133</c:v>
                </c:pt>
                <c:pt idx="6">
                  <c:v>-2.9458330394162378</c:v>
                </c:pt>
                <c:pt idx="7">
                  <c:v>-4.9153045503572246</c:v>
                </c:pt>
                <c:pt idx="8">
                  <c:v>-4.2484677922821117</c:v>
                </c:pt>
                <c:pt idx="9">
                  <c:v>-4.6718832755292059</c:v>
                </c:pt>
                <c:pt idx="10">
                  <c:v>-4.4304548031423181</c:v>
                </c:pt>
                <c:pt idx="11">
                  <c:v>-5.0492435817664463</c:v>
                </c:pt>
              </c:numCache>
            </c:numRef>
          </c:val>
          <c:smooth val="0"/>
          <c:extLst>
            <c:ext xmlns:c16="http://schemas.microsoft.com/office/drawing/2014/chart" uri="{C3380CC4-5D6E-409C-BE32-E72D297353CC}">
              <c16:uniqueId val="{00000000-2D9B-483D-825D-911A1E56EBAE}"/>
            </c:ext>
          </c:extLst>
        </c:ser>
        <c:ser>
          <c:idx val="1"/>
          <c:order val="1"/>
          <c:tx>
            <c:v>2013-2014</c:v>
          </c:tx>
          <c:spPr>
            <a:ln w="28575" cap="rnd">
              <a:solidFill>
                <a:schemeClr val="accent2"/>
              </a:solidFill>
              <a:round/>
            </a:ln>
            <a:effectLst/>
          </c:spPr>
          <c:marker>
            <c:symbol val="none"/>
          </c:marker>
          <c:cat>
            <c:strRef>
              <c:f>AN_1_isteki_durum_aylık!$B$21:$B$32</c:f>
              <c:strCache>
                <c:ptCount val="12"/>
                <c:pt idx="0">
                  <c:v>January</c:v>
                </c:pt>
                <c:pt idx="1">
                  <c:v>February </c:v>
                </c:pt>
                <c:pt idx="2">
                  <c:v>March </c:v>
                </c:pt>
                <c:pt idx="3">
                  <c:v>April</c:v>
                </c:pt>
                <c:pt idx="4">
                  <c:v>May </c:v>
                </c:pt>
                <c:pt idx="5">
                  <c:v>June</c:v>
                </c:pt>
                <c:pt idx="6">
                  <c:v>July</c:v>
                </c:pt>
                <c:pt idx="7">
                  <c:v>August</c:v>
                </c:pt>
                <c:pt idx="8">
                  <c:v>September</c:v>
                </c:pt>
                <c:pt idx="9">
                  <c:v>October</c:v>
                </c:pt>
                <c:pt idx="10">
                  <c:v>November</c:v>
                </c:pt>
                <c:pt idx="11">
                  <c:v>December</c:v>
                </c:pt>
              </c:strCache>
            </c:strRef>
          </c:cat>
          <c:val>
            <c:numRef>
              <c:f>'[1]TUİK Kayıt dışı aylık'!$AG$21:$AG$32</c:f>
              <c:numCache>
                <c:formatCode>General</c:formatCode>
                <c:ptCount val="12"/>
                <c:pt idx="0">
                  <c:v>-1.2415913982367806</c:v>
                </c:pt>
                <c:pt idx="1">
                  <c:v>0.42731337373807354</c:v>
                </c:pt>
                <c:pt idx="2">
                  <c:v>-7.1284071250261233E-2</c:v>
                </c:pt>
                <c:pt idx="3">
                  <c:v>-2.1226499642233869</c:v>
                </c:pt>
                <c:pt idx="4">
                  <c:v>-2.1582946902630478</c:v>
                </c:pt>
                <c:pt idx="5">
                  <c:v>-1.9091146440911451</c:v>
                </c:pt>
                <c:pt idx="6">
                  <c:v>0.59085538931524906</c:v>
                </c:pt>
                <c:pt idx="7">
                  <c:v>0.50518296402990714</c:v>
                </c:pt>
                <c:pt idx="8">
                  <c:v>7.0163886450103533E-2</c:v>
                </c:pt>
                <c:pt idx="9">
                  <c:v>-1.0036168371535699</c:v>
                </c:pt>
                <c:pt idx="10">
                  <c:v>-1.047124893554862</c:v>
                </c:pt>
                <c:pt idx="11">
                  <c:v>-2.0792173857625326E-2</c:v>
                </c:pt>
              </c:numCache>
            </c:numRef>
          </c:val>
          <c:smooth val="0"/>
          <c:extLst>
            <c:ext xmlns:c16="http://schemas.microsoft.com/office/drawing/2014/chart" uri="{C3380CC4-5D6E-409C-BE32-E72D297353CC}">
              <c16:uniqueId val="{00000001-2D9B-483D-825D-911A1E56EBAE}"/>
            </c:ext>
          </c:extLst>
        </c:ser>
        <c:ser>
          <c:idx val="2"/>
          <c:order val="2"/>
          <c:tx>
            <c:v>2014-2015</c:v>
          </c:tx>
          <c:spPr>
            <a:ln w="28575" cap="rnd">
              <a:solidFill>
                <a:schemeClr val="accent3"/>
              </a:solidFill>
              <a:round/>
            </a:ln>
            <a:effectLst/>
          </c:spPr>
          <c:marker>
            <c:symbol val="none"/>
          </c:marker>
          <c:cat>
            <c:strRef>
              <c:f>AN_1_isteki_durum_aylık!$B$21:$B$32</c:f>
              <c:strCache>
                <c:ptCount val="12"/>
                <c:pt idx="0">
                  <c:v>January</c:v>
                </c:pt>
                <c:pt idx="1">
                  <c:v>February </c:v>
                </c:pt>
                <c:pt idx="2">
                  <c:v>March </c:v>
                </c:pt>
                <c:pt idx="3">
                  <c:v>April</c:v>
                </c:pt>
                <c:pt idx="4">
                  <c:v>May </c:v>
                </c:pt>
                <c:pt idx="5">
                  <c:v>June</c:v>
                </c:pt>
                <c:pt idx="6">
                  <c:v>July</c:v>
                </c:pt>
                <c:pt idx="7">
                  <c:v>August</c:v>
                </c:pt>
                <c:pt idx="8">
                  <c:v>September</c:v>
                </c:pt>
                <c:pt idx="9">
                  <c:v>October</c:v>
                </c:pt>
                <c:pt idx="10">
                  <c:v>November</c:v>
                </c:pt>
                <c:pt idx="11">
                  <c:v>December</c:v>
                </c:pt>
              </c:strCache>
            </c:strRef>
          </c:cat>
          <c:val>
            <c:numRef>
              <c:f>'[1]TUİK Kayıt dışı aylık'!$AH$21:$AH$32</c:f>
              <c:numCache>
                <c:formatCode>General</c:formatCode>
                <c:ptCount val="12"/>
                <c:pt idx="0">
                  <c:v>-2.7839640988716359</c:v>
                </c:pt>
                <c:pt idx="1">
                  <c:v>-3.9360439464837156</c:v>
                </c:pt>
                <c:pt idx="2">
                  <c:v>-3.3168759782962525</c:v>
                </c:pt>
                <c:pt idx="3">
                  <c:v>-2.1598746731798841</c:v>
                </c:pt>
                <c:pt idx="4">
                  <c:v>-2.7315766923736078</c:v>
                </c:pt>
                <c:pt idx="5">
                  <c:v>-2.7755523459186207</c:v>
                </c:pt>
                <c:pt idx="6">
                  <c:v>-1.9980010636051941</c:v>
                </c:pt>
                <c:pt idx="7">
                  <c:v>-1.394380111621685</c:v>
                </c:pt>
                <c:pt idx="8">
                  <c:v>-0.86928651059085904</c:v>
                </c:pt>
                <c:pt idx="9">
                  <c:v>-0.78873338490751921</c:v>
                </c:pt>
                <c:pt idx="10">
                  <c:v>0.51025521803971963</c:v>
                </c:pt>
                <c:pt idx="11">
                  <c:v>0.95665247853846491</c:v>
                </c:pt>
              </c:numCache>
            </c:numRef>
          </c:val>
          <c:smooth val="0"/>
          <c:extLst>
            <c:ext xmlns:c16="http://schemas.microsoft.com/office/drawing/2014/chart" uri="{C3380CC4-5D6E-409C-BE32-E72D297353CC}">
              <c16:uniqueId val="{00000002-2D9B-483D-825D-911A1E56EBAE}"/>
            </c:ext>
          </c:extLst>
        </c:ser>
        <c:ser>
          <c:idx val="3"/>
          <c:order val="3"/>
          <c:tx>
            <c:v>2015-2016</c:v>
          </c:tx>
          <c:spPr>
            <a:ln w="28575" cap="rnd">
              <a:solidFill>
                <a:schemeClr val="accent4"/>
              </a:solidFill>
              <a:round/>
            </a:ln>
            <a:effectLst/>
          </c:spPr>
          <c:marker>
            <c:symbol val="none"/>
          </c:marker>
          <c:cat>
            <c:strRef>
              <c:f>AN_1_isteki_durum_aylık!$B$21:$B$32</c:f>
              <c:strCache>
                <c:ptCount val="12"/>
                <c:pt idx="0">
                  <c:v>January</c:v>
                </c:pt>
                <c:pt idx="1">
                  <c:v>February </c:v>
                </c:pt>
                <c:pt idx="2">
                  <c:v>March </c:v>
                </c:pt>
                <c:pt idx="3">
                  <c:v>April</c:v>
                </c:pt>
                <c:pt idx="4">
                  <c:v>May </c:v>
                </c:pt>
                <c:pt idx="5">
                  <c:v>June</c:v>
                </c:pt>
                <c:pt idx="6">
                  <c:v>July</c:v>
                </c:pt>
                <c:pt idx="7">
                  <c:v>August</c:v>
                </c:pt>
                <c:pt idx="8">
                  <c:v>September</c:v>
                </c:pt>
                <c:pt idx="9">
                  <c:v>October</c:v>
                </c:pt>
                <c:pt idx="10">
                  <c:v>November</c:v>
                </c:pt>
                <c:pt idx="11">
                  <c:v>December</c:v>
                </c:pt>
              </c:strCache>
            </c:strRef>
          </c:cat>
          <c:val>
            <c:numRef>
              <c:f>'[1]TUİK Kayıt dışı aylık'!$AI$21:$AI$32</c:f>
              <c:numCache>
                <c:formatCode>General</c:formatCode>
                <c:ptCount val="12"/>
                <c:pt idx="0">
                  <c:v>2.3028886735236123</c:v>
                </c:pt>
                <c:pt idx="1">
                  <c:v>3.9136955671765818</c:v>
                </c:pt>
                <c:pt idx="2">
                  <c:v>3.8253375141846111</c:v>
                </c:pt>
                <c:pt idx="3">
                  <c:v>4.5059956683277198</c:v>
                </c:pt>
                <c:pt idx="4">
                  <c:v>3.6227901614142972</c:v>
                </c:pt>
                <c:pt idx="5">
                  <c:v>3.1330385271250609</c:v>
                </c:pt>
                <c:pt idx="6">
                  <c:v>2.6134070170670451</c:v>
                </c:pt>
                <c:pt idx="7">
                  <c:v>3.53213709439289</c:v>
                </c:pt>
                <c:pt idx="8">
                  <c:v>3.5331168725573696</c:v>
                </c:pt>
                <c:pt idx="9">
                  <c:v>2.518599317558877</c:v>
                </c:pt>
                <c:pt idx="10">
                  <c:v>1.2474215409172906</c:v>
                </c:pt>
                <c:pt idx="11">
                  <c:v>1.6818760611205441</c:v>
                </c:pt>
              </c:numCache>
            </c:numRef>
          </c:val>
          <c:smooth val="0"/>
          <c:extLst>
            <c:ext xmlns:c16="http://schemas.microsoft.com/office/drawing/2014/chart" uri="{C3380CC4-5D6E-409C-BE32-E72D297353CC}">
              <c16:uniqueId val="{00000003-2D9B-483D-825D-911A1E56EBAE}"/>
            </c:ext>
          </c:extLst>
        </c:ser>
        <c:ser>
          <c:idx val="4"/>
          <c:order val="4"/>
          <c:tx>
            <c:v>2016-2017</c:v>
          </c:tx>
          <c:spPr>
            <a:ln w="28575" cap="rnd">
              <a:solidFill>
                <a:schemeClr val="accent5"/>
              </a:solidFill>
              <a:round/>
            </a:ln>
            <a:effectLst/>
          </c:spPr>
          <c:marker>
            <c:symbol val="none"/>
          </c:marker>
          <c:cat>
            <c:strRef>
              <c:f>AN_1_isteki_durum_aylık!$B$21:$B$32</c:f>
              <c:strCache>
                <c:ptCount val="12"/>
                <c:pt idx="0">
                  <c:v>January</c:v>
                </c:pt>
                <c:pt idx="1">
                  <c:v>February </c:v>
                </c:pt>
                <c:pt idx="2">
                  <c:v>March </c:v>
                </c:pt>
                <c:pt idx="3">
                  <c:v>April</c:v>
                </c:pt>
                <c:pt idx="4">
                  <c:v>May </c:v>
                </c:pt>
                <c:pt idx="5">
                  <c:v>June</c:v>
                </c:pt>
                <c:pt idx="6">
                  <c:v>July</c:v>
                </c:pt>
                <c:pt idx="7">
                  <c:v>August</c:v>
                </c:pt>
                <c:pt idx="8">
                  <c:v>September</c:v>
                </c:pt>
                <c:pt idx="9">
                  <c:v>October</c:v>
                </c:pt>
                <c:pt idx="10">
                  <c:v>November</c:v>
                </c:pt>
                <c:pt idx="11">
                  <c:v>December</c:v>
                </c:pt>
              </c:strCache>
            </c:strRef>
          </c:cat>
          <c:val>
            <c:numRef>
              <c:f>'[1]TUİK Kayıt dışı aylık'!$AJ$21:$AJ$29</c:f>
              <c:numCache>
                <c:formatCode>General</c:formatCode>
                <c:ptCount val="9"/>
                <c:pt idx="0">
                  <c:v>1.5248114673881739</c:v>
                </c:pt>
                <c:pt idx="1">
                  <c:v>9.0052801145514491E-2</c:v>
                </c:pt>
                <c:pt idx="2">
                  <c:v>0.139111014374805</c:v>
                </c:pt>
                <c:pt idx="3">
                  <c:v>0.49234305594383798</c:v>
                </c:pt>
                <c:pt idx="4">
                  <c:v>2.2029674143432767</c:v>
                </c:pt>
                <c:pt idx="5">
                  <c:v>3.6145050125313332</c:v>
                </c:pt>
                <c:pt idx="6">
                  <c:v>2.3249404492391239</c:v>
                </c:pt>
                <c:pt idx="7">
                  <c:v>0.73024325968212378</c:v>
                </c:pt>
                <c:pt idx="8">
                  <c:v>-1.69391389107118</c:v>
                </c:pt>
              </c:numCache>
            </c:numRef>
          </c:val>
          <c:smooth val="0"/>
          <c:extLst>
            <c:ext xmlns:c16="http://schemas.microsoft.com/office/drawing/2014/chart" uri="{C3380CC4-5D6E-409C-BE32-E72D297353CC}">
              <c16:uniqueId val="{00000004-2D9B-483D-825D-911A1E56EBAE}"/>
            </c:ext>
          </c:extLst>
        </c:ser>
        <c:dLbls>
          <c:showLegendKey val="0"/>
          <c:showVal val="0"/>
          <c:showCatName val="0"/>
          <c:showSerName val="0"/>
          <c:showPercent val="0"/>
          <c:showBubbleSize val="0"/>
        </c:dLbls>
        <c:smooth val="0"/>
        <c:axId val="52143616"/>
        <c:axId val="52145152"/>
      </c:lineChart>
      <c:catAx>
        <c:axId val="52143616"/>
        <c:scaling>
          <c:orientation val="minMax"/>
        </c:scaling>
        <c:delete val="0"/>
        <c:axPos val="b"/>
        <c:numFmt formatCode="General" sourceLinked="1"/>
        <c:majorTickMark val="none"/>
        <c:minorTickMark val="none"/>
        <c:tickLblPos val="low"/>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lang="en-US" sz="1000" b="0" i="0" u="none" strike="noStrike" kern="1200" baseline="0">
                <a:solidFill>
                  <a:schemeClr val="tx1">
                    <a:lumMod val="65000"/>
                    <a:lumOff val="35000"/>
                  </a:schemeClr>
                </a:solidFill>
                <a:latin typeface="Palatino Linotype" panose="02040502050505030304" pitchFamily="18" charset="0"/>
                <a:ea typeface="+mn-ea"/>
                <a:cs typeface="Arial" panose="020B0604020202020204" pitchFamily="34" charset="0"/>
              </a:defRPr>
            </a:pPr>
            <a:endParaRPr lang="tr-TR"/>
          </a:p>
        </c:txPr>
        <c:crossAx val="52145152"/>
        <c:crosses val="autoZero"/>
        <c:auto val="1"/>
        <c:lblAlgn val="ctr"/>
        <c:lblOffset val="100"/>
        <c:noMultiLvlLbl val="0"/>
      </c:catAx>
      <c:valAx>
        <c:axId val="52145152"/>
        <c:scaling>
          <c:orientation val="minMax"/>
          <c:max val="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lumMod val="65000"/>
                    <a:lumOff val="35000"/>
                  </a:schemeClr>
                </a:solidFill>
                <a:latin typeface="Palatino Linotype" panose="02040502050505030304" pitchFamily="18" charset="0"/>
                <a:ea typeface="+mn-ea"/>
                <a:cs typeface="Arial" panose="020B0604020202020204" pitchFamily="34" charset="0"/>
              </a:defRPr>
            </a:pPr>
            <a:endParaRPr lang="tr-TR"/>
          </a:p>
        </c:txPr>
        <c:crossAx val="52143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Palatino Linotype" panose="02040502050505030304" pitchFamily="18" charset="0"/>
              <a:ea typeface="+mn-ea"/>
              <a:cs typeface="Arial" panose="020B0604020202020204" pitchFamily="34" charset="0"/>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000">
          <a:latin typeface="Palatino Linotype" panose="02040502050505030304" pitchFamily="18" charset="0"/>
          <a:cs typeface="Arial" panose="020B0604020202020204" pitchFamily="34" charset="0"/>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2012-2013</c:v>
          </c:tx>
          <c:spPr>
            <a:ln w="28575" cap="rnd">
              <a:solidFill>
                <a:schemeClr val="accent1"/>
              </a:solidFill>
              <a:round/>
            </a:ln>
            <a:effectLst/>
          </c:spPr>
          <c:marker>
            <c:symbol val="none"/>
          </c:marker>
          <c:cat>
            <c:strRef>
              <c:f>AN_1_isteki_durum_aylık!$B$21:$B$32</c:f>
              <c:strCache>
                <c:ptCount val="12"/>
                <c:pt idx="0">
                  <c:v>January</c:v>
                </c:pt>
                <c:pt idx="1">
                  <c:v>February </c:v>
                </c:pt>
                <c:pt idx="2">
                  <c:v>March </c:v>
                </c:pt>
                <c:pt idx="3">
                  <c:v>April</c:v>
                </c:pt>
                <c:pt idx="4">
                  <c:v>May </c:v>
                </c:pt>
                <c:pt idx="5">
                  <c:v>June</c:v>
                </c:pt>
                <c:pt idx="6">
                  <c:v>July</c:v>
                </c:pt>
                <c:pt idx="7">
                  <c:v>August</c:v>
                </c:pt>
                <c:pt idx="8">
                  <c:v>September</c:v>
                </c:pt>
                <c:pt idx="9">
                  <c:v>October</c:v>
                </c:pt>
                <c:pt idx="10">
                  <c:v>November</c:v>
                </c:pt>
                <c:pt idx="11">
                  <c:v>December</c:v>
                </c:pt>
              </c:strCache>
            </c:strRef>
          </c:cat>
          <c:val>
            <c:numRef>
              <c:f>'[1]TUİK Kayıt dışı aylık'!$BP$21:$BP$32</c:f>
              <c:numCache>
                <c:formatCode>General</c:formatCode>
                <c:ptCount val="12"/>
                <c:pt idx="0">
                  <c:v>-1.9300422728535713</c:v>
                </c:pt>
                <c:pt idx="1">
                  <c:v>-0.969509255796979</c:v>
                </c:pt>
                <c:pt idx="2">
                  <c:v>-0.11389782788950201</c:v>
                </c:pt>
                <c:pt idx="3">
                  <c:v>-3.244330684398735E-2</c:v>
                </c:pt>
                <c:pt idx="4">
                  <c:v>-0.72284438511484705</c:v>
                </c:pt>
                <c:pt idx="5">
                  <c:v>-2.2078018842767149</c:v>
                </c:pt>
                <c:pt idx="6">
                  <c:v>-1.86883577866476</c:v>
                </c:pt>
                <c:pt idx="7">
                  <c:v>-2.4378309574549588</c:v>
                </c:pt>
                <c:pt idx="8">
                  <c:v>-2.7589734035625932</c:v>
                </c:pt>
                <c:pt idx="9">
                  <c:v>-3.6386124337522223</c:v>
                </c:pt>
                <c:pt idx="10">
                  <c:v>-3.4897158580107259</c:v>
                </c:pt>
                <c:pt idx="11">
                  <c:v>-2.7730678792465153</c:v>
                </c:pt>
              </c:numCache>
            </c:numRef>
          </c:val>
          <c:smooth val="0"/>
          <c:extLst>
            <c:ext xmlns:c16="http://schemas.microsoft.com/office/drawing/2014/chart" uri="{C3380CC4-5D6E-409C-BE32-E72D297353CC}">
              <c16:uniqueId val="{00000000-9834-4352-A59C-1E2ADD98300B}"/>
            </c:ext>
          </c:extLst>
        </c:ser>
        <c:ser>
          <c:idx val="1"/>
          <c:order val="1"/>
          <c:tx>
            <c:v>2013-2014</c:v>
          </c:tx>
          <c:spPr>
            <a:ln w="28575" cap="rnd">
              <a:solidFill>
                <a:schemeClr val="accent2"/>
              </a:solidFill>
              <a:round/>
            </a:ln>
            <a:effectLst/>
          </c:spPr>
          <c:marker>
            <c:symbol val="none"/>
          </c:marker>
          <c:cat>
            <c:strRef>
              <c:f>AN_1_isteki_durum_aylık!$B$21:$B$32</c:f>
              <c:strCache>
                <c:ptCount val="12"/>
                <c:pt idx="0">
                  <c:v>January</c:v>
                </c:pt>
                <c:pt idx="1">
                  <c:v>February </c:v>
                </c:pt>
                <c:pt idx="2">
                  <c:v>March </c:v>
                </c:pt>
                <c:pt idx="3">
                  <c:v>April</c:v>
                </c:pt>
                <c:pt idx="4">
                  <c:v>May </c:v>
                </c:pt>
                <c:pt idx="5">
                  <c:v>June</c:v>
                </c:pt>
                <c:pt idx="6">
                  <c:v>July</c:v>
                </c:pt>
                <c:pt idx="7">
                  <c:v>August</c:v>
                </c:pt>
                <c:pt idx="8">
                  <c:v>September</c:v>
                </c:pt>
                <c:pt idx="9">
                  <c:v>October</c:v>
                </c:pt>
                <c:pt idx="10">
                  <c:v>November</c:v>
                </c:pt>
                <c:pt idx="11">
                  <c:v>December</c:v>
                </c:pt>
              </c:strCache>
            </c:strRef>
          </c:cat>
          <c:val>
            <c:numRef>
              <c:f>'[1]TUİK Kayıt dışı aylık'!$BQ$21:$BQ$32</c:f>
              <c:numCache>
                <c:formatCode>General</c:formatCode>
                <c:ptCount val="12"/>
                <c:pt idx="0">
                  <c:v>-4.1989845334414539</c:v>
                </c:pt>
                <c:pt idx="1">
                  <c:v>-2.6579344291059712</c:v>
                </c:pt>
                <c:pt idx="2">
                  <c:v>-2.8287660555298331</c:v>
                </c:pt>
                <c:pt idx="3">
                  <c:v>-3.2411104771063504</c:v>
                </c:pt>
                <c:pt idx="4">
                  <c:v>-2.2800436272705942</c:v>
                </c:pt>
                <c:pt idx="5">
                  <c:v>-1.0846953831148618</c:v>
                </c:pt>
                <c:pt idx="6">
                  <c:v>-1.1195345168695778</c:v>
                </c:pt>
                <c:pt idx="7">
                  <c:v>-0.42080394517167047</c:v>
                </c:pt>
                <c:pt idx="8">
                  <c:v>-1.0560727298332924</c:v>
                </c:pt>
                <c:pt idx="9">
                  <c:v>-0.21732791242529723</c:v>
                </c:pt>
                <c:pt idx="10">
                  <c:v>-0.76621148140515105</c:v>
                </c:pt>
                <c:pt idx="11">
                  <c:v>-1.292772053968392</c:v>
                </c:pt>
              </c:numCache>
            </c:numRef>
          </c:val>
          <c:smooth val="0"/>
          <c:extLst>
            <c:ext xmlns:c16="http://schemas.microsoft.com/office/drawing/2014/chart" uri="{C3380CC4-5D6E-409C-BE32-E72D297353CC}">
              <c16:uniqueId val="{00000001-9834-4352-A59C-1E2ADD98300B}"/>
            </c:ext>
          </c:extLst>
        </c:ser>
        <c:ser>
          <c:idx val="2"/>
          <c:order val="2"/>
          <c:tx>
            <c:v>2014-2015</c:v>
          </c:tx>
          <c:spPr>
            <a:ln w="28575" cap="rnd">
              <a:solidFill>
                <a:schemeClr val="accent3"/>
              </a:solidFill>
              <a:round/>
            </a:ln>
            <a:effectLst/>
          </c:spPr>
          <c:marker>
            <c:symbol val="none"/>
          </c:marker>
          <c:cat>
            <c:strRef>
              <c:f>AN_1_isteki_durum_aylık!$B$21:$B$32</c:f>
              <c:strCache>
                <c:ptCount val="12"/>
                <c:pt idx="0">
                  <c:v>January</c:v>
                </c:pt>
                <c:pt idx="1">
                  <c:v>February </c:v>
                </c:pt>
                <c:pt idx="2">
                  <c:v>March </c:v>
                </c:pt>
                <c:pt idx="3">
                  <c:v>April</c:v>
                </c:pt>
                <c:pt idx="4">
                  <c:v>May </c:v>
                </c:pt>
                <c:pt idx="5">
                  <c:v>June</c:v>
                </c:pt>
                <c:pt idx="6">
                  <c:v>July</c:v>
                </c:pt>
                <c:pt idx="7">
                  <c:v>August</c:v>
                </c:pt>
                <c:pt idx="8">
                  <c:v>September</c:v>
                </c:pt>
                <c:pt idx="9">
                  <c:v>October</c:v>
                </c:pt>
                <c:pt idx="10">
                  <c:v>November</c:v>
                </c:pt>
                <c:pt idx="11">
                  <c:v>December</c:v>
                </c:pt>
              </c:strCache>
            </c:strRef>
          </c:cat>
          <c:val>
            <c:numRef>
              <c:f>'[1]TUİK Kayıt dışı aylık'!$BR$21:$BR$32</c:f>
              <c:numCache>
                <c:formatCode>General</c:formatCode>
                <c:ptCount val="12"/>
                <c:pt idx="0">
                  <c:v>1.0524400885762213</c:v>
                </c:pt>
                <c:pt idx="1">
                  <c:v>-0.9835221667046089</c:v>
                </c:pt>
                <c:pt idx="2">
                  <c:v>-1.3033275748560993</c:v>
                </c:pt>
                <c:pt idx="3">
                  <c:v>-1.76088198327615</c:v>
                </c:pt>
                <c:pt idx="4">
                  <c:v>-1.7365743208284878</c:v>
                </c:pt>
                <c:pt idx="5">
                  <c:v>-1.1087444661235681</c:v>
                </c:pt>
                <c:pt idx="6">
                  <c:v>-0.63953251886625306</c:v>
                </c:pt>
                <c:pt idx="7">
                  <c:v>-1.1712108386857536</c:v>
                </c:pt>
                <c:pt idx="8">
                  <c:v>-0.86625780760361792</c:v>
                </c:pt>
                <c:pt idx="9">
                  <c:v>-0.95342383343257509</c:v>
                </c:pt>
                <c:pt idx="10">
                  <c:v>1.8890328151989901E-2</c:v>
                </c:pt>
                <c:pt idx="11">
                  <c:v>0.53314921490586265</c:v>
                </c:pt>
              </c:numCache>
            </c:numRef>
          </c:val>
          <c:smooth val="0"/>
          <c:extLst>
            <c:ext xmlns:c16="http://schemas.microsoft.com/office/drawing/2014/chart" uri="{C3380CC4-5D6E-409C-BE32-E72D297353CC}">
              <c16:uniqueId val="{00000002-9834-4352-A59C-1E2ADD98300B}"/>
            </c:ext>
          </c:extLst>
        </c:ser>
        <c:ser>
          <c:idx val="3"/>
          <c:order val="3"/>
          <c:tx>
            <c:v>2015-2016</c:v>
          </c:tx>
          <c:spPr>
            <a:ln w="28575" cap="rnd">
              <a:solidFill>
                <a:schemeClr val="accent4"/>
              </a:solidFill>
              <a:round/>
            </a:ln>
            <a:effectLst/>
          </c:spPr>
          <c:marker>
            <c:symbol val="none"/>
          </c:marker>
          <c:cat>
            <c:strRef>
              <c:f>AN_1_isteki_durum_aylık!$B$21:$B$32</c:f>
              <c:strCache>
                <c:ptCount val="12"/>
                <c:pt idx="0">
                  <c:v>January</c:v>
                </c:pt>
                <c:pt idx="1">
                  <c:v>February </c:v>
                </c:pt>
                <c:pt idx="2">
                  <c:v>March </c:v>
                </c:pt>
                <c:pt idx="3">
                  <c:v>April</c:v>
                </c:pt>
                <c:pt idx="4">
                  <c:v>May </c:v>
                </c:pt>
                <c:pt idx="5">
                  <c:v>June</c:v>
                </c:pt>
                <c:pt idx="6">
                  <c:v>July</c:v>
                </c:pt>
                <c:pt idx="7">
                  <c:v>August</c:v>
                </c:pt>
                <c:pt idx="8">
                  <c:v>September</c:v>
                </c:pt>
                <c:pt idx="9">
                  <c:v>October</c:v>
                </c:pt>
                <c:pt idx="10">
                  <c:v>November</c:v>
                </c:pt>
                <c:pt idx="11">
                  <c:v>December</c:v>
                </c:pt>
              </c:strCache>
            </c:strRef>
          </c:cat>
          <c:val>
            <c:numRef>
              <c:f>'[1]TUİK Kayıt dışı aylık'!$BS$21:$BS$32</c:f>
              <c:numCache>
                <c:formatCode>General</c:formatCode>
                <c:ptCount val="12"/>
                <c:pt idx="0">
                  <c:v>1.519219905161151</c:v>
                </c:pt>
                <c:pt idx="1">
                  <c:v>2.2739484129905141</c:v>
                </c:pt>
                <c:pt idx="2">
                  <c:v>2.5615980776031382</c:v>
                </c:pt>
                <c:pt idx="3">
                  <c:v>3.3138021081524158</c:v>
                </c:pt>
                <c:pt idx="4">
                  <c:v>2.4499034253405987</c:v>
                </c:pt>
                <c:pt idx="5">
                  <c:v>0.90645253993547159</c:v>
                </c:pt>
                <c:pt idx="6">
                  <c:v>-0.74805110541879694</c:v>
                </c:pt>
                <c:pt idx="7">
                  <c:v>0.28470463792000134</c:v>
                </c:pt>
                <c:pt idx="8">
                  <c:v>1.6627260577917371</c:v>
                </c:pt>
                <c:pt idx="9">
                  <c:v>2.1778842250548038</c:v>
                </c:pt>
                <c:pt idx="10">
                  <c:v>1.7131815914708139</c:v>
                </c:pt>
                <c:pt idx="11">
                  <c:v>0.9926860214098665</c:v>
                </c:pt>
              </c:numCache>
            </c:numRef>
          </c:val>
          <c:smooth val="0"/>
          <c:extLst>
            <c:ext xmlns:c16="http://schemas.microsoft.com/office/drawing/2014/chart" uri="{C3380CC4-5D6E-409C-BE32-E72D297353CC}">
              <c16:uniqueId val="{00000003-9834-4352-A59C-1E2ADD98300B}"/>
            </c:ext>
          </c:extLst>
        </c:ser>
        <c:ser>
          <c:idx val="4"/>
          <c:order val="4"/>
          <c:tx>
            <c:v>2016-2017</c:v>
          </c:tx>
          <c:spPr>
            <a:ln w="28575" cap="rnd">
              <a:solidFill>
                <a:schemeClr val="accent5"/>
              </a:solidFill>
              <a:round/>
            </a:ln>
            <a:effectLst/>
          </c:spPr>
          <c:marker>
            <c:symbol val="none"/>
          </c:marker>
          <c:cat>
            <c:strRef>
              <c:f>AN_1_isteki_durum_aylık!$B$21:$B$32</c:f>
              <c:strCache>
                <c:ptCount val="12"/>
                <c:pt idx="0">
                  <c:v>January</c:v>
                </c:pt>
                <c:pt idx="1">
                  <c:v>February </c:v>
                </c:pt>
                <c:pt idx="2">
                  <c:v>March </c:v>
                </c:pt>
                <c:pt idx="3">
                  <c:v>April</c:v>
                </c:pt>
                <c:pt idx="4">
                  <c:v>May </c:v>
                </c:pt>
                <c:pt idx="5">
                  <c:v>June</c:v>
                </c:pt>
                <c:pt idx="6">
                  <c:v>July</c:v>
                </c:pt>
                <c:pt idx="7">
                  <c:v>August</c:v>
                </c:pt>
                <c:pt idx="8">
                  <c:v>September</c:v>
                </c:pt>
                <c:pt idx="9">
                  <c:v>October</c:v>
                </c:pt>
                <c:pt idx="10">
                  <c:v>November</c:v>
                </c:pt>
                <c:pt idx="11">
                  <c:v>December</c:v>
                </c:pt>
              </c:strCache>
            </c:strRef>
          </c:cat>
          <c:val>
            <c:numRef>
              <c:f>'[1]TUİK Kayıt dışı aylık'!$BT$21:$BT$29</c:f>
              <c:numCache>
                <c:formatCode>General</c:formatCode>
                <c:ptCount val="9"/>
                <c:pt idx="0">
                  <c:v>0.27806306820343002</c:v>
                </c:pt>
                <c:pt idx="1">
                  <c:v>0.31004502505492598</c:v>
                </c:pt>
                <c:pt idx="2">
                  <c:v>0.68022076987708857</c:v>
                </c:pt>
                <c:pt idx="3">
                  <c:v>1.2510589001918664</c:v>
                </c:pt>
                <c:pt idx="4">
                  <c:v>1.2818541350887711</c:v>
                </c:pt>
                <c:pt idx="5">
                  <c:v>1.7614324086220139</c:v>
                </c:pt>
                <c:pt idx="6">
                  <c:v>3.2633432309709072</c:v>
                </c:pt>
                <c:pt idx="7">
                  <c:v>2.8316043735052099</c:v>
                </c:pt>
                <c:pt idx="8">
                  <c:v>2.3177823611721422</c:v>
                </c:pt>
              </c:numCache>
            </c:numRef>
          </c:val>
          <c:smooth val="0"/>
          <c:extLst>
            <c:ext xmlns:c16="http://schemas.microsoft.com/office/drawing/2014/chart" uri="{C3380CC4-5D6E-409C-BE32-E72D297353CC}">
              <c16:uniqueId val="{00000004-9834-4352-A59C-1E2ADD98300B}"/>
            </c:ext>
          </c:extLst>
        </c:ser>
        <c:dLbls>
          <c:showLegendKey val="0"/>
          <c:showVal val="0"/>
          <c:showCatName val="0"/>
          <c:showSerName val="0"/>
          <c:showPercent val="0"/>
          <c:showBubbleSize val="0"/>
        </c:dLbls>
        <c:smooth val="0"/>
        <c:axId val="52176384"/>
        <c:axId val="52177920"/>
      </c:lineChart>
      <c:catAx>
        <c:axId val="52176384"/>
        <c:scaling>
          <c:orientation val="minMax"/>
        </c:scaling>
        <c:delete val="0"/>
        <c:axPos val="b"/>
        <c:numFmt formatCode="General" sourceLinked="1"/>
        <c:majorTickMark val="none"/>
        <c:minorTickMark val="none"/>
        <c:tickLblPos val="low"/>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lang="en-US" sz="1000" b="0" i="0" u="none" strike="noStrike" kern="1200" baseline="0">
                <a:solidFill>
                  <a:schemeClr val="tx1">
                    <a:lumMod val="65000"/>
                    <a:lumOff val="35000"/>
                  </a:schemeClr>
                </a:solidFill>
                <a:latin typeface="Palatino Linotype" panose="02040502050505030304" pitchFamily="18" charset="0"/>
                <a:ea typeface="+mn-ea"/>
                <a:cs typeface="Arial" panose="020B0604020202020204" pitchFamily="34" charset="0"/>
              </a:defRPr>
            </a:pPr>
            <a:endParaRPr lang="tr-TR"/>
          </a:p>
        </c:txPr>
        <c:crossAx val="52177920"/>
        <c:crosses val="autoZero"/>
        <c:auto val="1"/>
        <c:lblAlgn val="ctr"/>
        <c:lblOffset val="100"/>
        <c:noMultiLvlLbl val="0"/>
      </c:catAx>
      <c:valAx>
        <c:axId val="52177920"/>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lumMod val="65000"/>
                    <a:lumOff val="35000"/>
                  </a:schemeClr>
                </a:solidFill>
                <a:latin typeface="Palatino Linotype" panose="02040502050505030304" pitchFamily="18" charset="0"/>
                <a:ea typeface="+mn-ea"/>
                <a:cs typeface="Arial" panose="020B0604020202020204" pitchFamily="34" charset="0"/>
              </a:defRPr>
            </a:pPr>
            <a:endParaRPr lang="tr-TR"/>
          </a:p>
        </c:txPr>
        <c:crossAx val="52176384"/>
        <c:crosses val="autoZero"/>
        <c:crossBetween val="between"/>
        <c:maj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Palatino Linotype" panose="02040502050505030304" pitchFamily="18" charset="0"/>
              <a:ea typeface="+mn-ea"/>
              <a:cs typeface="Arial" panose="020B0604020202020204" pitchFamily="34" charset="0"/>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000">
          <a:latin typeface="Palatino Linotype" panose="02040502050505030304" pitchFamily="18" charset="0"/>
          <a:cs typeface="Arial" panose="020B0604020202020204" pitchFamily="34" charset="0"/>
        </a:defRPr>
      </a:pPr>
      <a:endParaRPr lang="tr-T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2012-2013</c:v>
          </c:tx>
          <c:spPr>
            <a:ln w="28575" cap="rnd">
              <a:solidFill>
                <a:schemeClr val="accent1"/>
              </a:solidFill>
              <a:round/>
            </a:ln>
            <a:effectLst/>
          </c:spPr>
          <c:marker>
            <c:symbol val="none"/>
          </c:marker>
          <c:cat>
            <c:strRef>
              <c:f>AN_1_isteki_durum_aylık!$B$21:$B$32</c:f>
              <c:strCache>
                <c:ptCount val="12"/>
                <c:pt idx="0">
                  <c:v>January</c:v>
                </c:pt>
                <c:pt idx="1">
                  <c:v>February </c:v>
                </c:pt>
                <c:pt idx="2">
                  <c:v>March </c:v>
                </c:pt>
                <c:pt idx="3">
                  <c:v>April</c:v>
                </c:pt>
                <c:pt idx="4">
                  <c:v>May </c:v>
                </c:pt>
                <c:pt idx="5">
                  <c:v>June</c:v>
                </c:pt>
                <c:pt idx="6">
                  <c:v>July</c:v>
                </c:pt>
                <c:pt idx="7">
                  <c:v>August</c:v>
                </c:pt>
                <c:pt idx="8">
                  <c:v>September</c:v>
                </c:pt>
                <c:pt idx="9">
                  <c:v>October</c:v>
                </c:pt>
                <c:pt idx="10">
                  <c:v>November</c:v>
                </c:pt>
                <c:pt idx="11">
                  <c:v>December</c:v>
                </c:pt>
              </c:strCache>
            </c:strRef>
          </c:cat>
          <c:val>
            <c:numRef>
              <c:f>'[1]TUİK Kayıt dışı aylık'!$CC$21:$CC$32</c:f>
              <c:numCache>
                <c:formatCode>General</c:formatCode>
                <c:ptCount val="12"/>
                <c:pt idx="0">
                  <c:v>0.48858281020845673</c:v>
                </c:pt>
                <c:pt idx="1">
                  <c:v>0.57580543176709464</c:v>
                </c:pt>
                <c:pt idx="2">
                  <c:v>1.482771920283938</c:v>
                </c:pt>
                <c:pt idx="3">
                  <c:v>0.92825270829125206</c:v>
                </c:pt>
                <c:pt idx="4">
                  <c:v>3.3392239304518477E-2</c:v>
                </c:pt>
                <c:pt idx="5">
                  <c:v>-0.60039909342329334</c:v>
                </c:pt>
                <c:pt idx="6">
                  <c:v>0.74452783565989633</c:v>
                </c:pt>
                <c:pt idx="7">
                  <c:v>1.159865872845302</c:v>
                </c:pt>
                <c:pt idx="8">
                  <c:v>0.121577509826125</c:v>
                </c:pt>
                <c:pt idx="9">
                  <c:v>-0.51439555837154705</c:v>
                </c:pt>
                <c:pt idx="10">
                  <c:v>-1.1020914582710759</c:v>
                </c:pt>
                <c:pt idx="11">
                  <c:v>-0.34555122375431302</c:v>
                </c:pt>
              </c:numCache>
            </c:numRef>
          </c:val>
          <c:smooth val="0"/>
          <c:extLst>
            <c:ext xmlns:c16="http://schemas.microsoft.com/office/drawing/2014/chart" uri="{C3380CC4-5D6E-409C-BE32-E72D297353CC}">
              <c16:uniqueId val="{00000000-F3AC-436D-83D4-E80E0EFBADC9}"/>
            </c:ext>
          </c:extLst>
        </c:ser>
        <c:ser>
          <c:idx val="1"/>
          <c:order val="1"/>
          <c:tx>
            <c:v>2013-2014</c:v>
          </c:tx>
          <c:spPr>
            <a:ln w="28575" cap="rnd">
              <a:solidFill>
                <a:schemeClr val="accent2"/>
              </a:solidFill>
              <a:round/>
            </a:ln>
            <a:effectLst/>
          </c:spPr>
          <c:marker>
            <c:symbol val="none"/>
          </c:marker>
          <c:cat>
            <c:strRef>
              <c:f>AN_1_isteki_durum_aylık!$B$21:$B$32</c:f>
              <c:strCache>
                <c:ptCount val="12"/>
                <c:pt idx="0">
                  <c:v>January</c:v>
                </c:pt>
                <c:pt idx="1">
                  <c:v>February </c:v>
                </c:pt>
                <c:pt idx="2">
                  <c:v>March </c:v>
                </c:pt>
                <c:pt idx="3">
                  <c:v>April</c:v>
                </c:pt>
                <c:pt idx="4">
                  <c:v>May </c:v>
                </c:pt>
                <c:pt idx="5">
                  <c:v>June</c:v>
                </c:pt>
                <c:pt idx="6">
                  <c:v>July</c:v>
                </c:pt>
                <c:pt idx="7">
                  <c:v>August</c:v>
                </c:pt>
                <c:pt idx="8">
                  <c:v>September</c:v>
                </c:pt>
                <c:pt idx="9">
                  <c:v>October</c:v>
                </c:pt>
                <c:pt idx="10">
                  <c:v>November</c:v>
                </c:pt>
                <c:pt idx="11">
                  <c:v>December</c:v>
                </c:pt>
              </c:strCache>
            </c:strRef>
          </c:cat>
          <c:val>
            <c:numRef>
              <c:f>'[1]TUİK Kayıt dışı aylık'!$CD$21:$CD$32</c:f>
              <c:numCache>
                <c:formatCode>General</c:formatCode>
                <c:ptCount val="12"/>
                <c:pt idx="0">
                  <c:v>-5.1002040914063684</c:v>
                </c:pt>
                <c:pt idx="1">
                  <c:v>-4.4419739023125766</c:v>
                </c:pt>
                <c:pt idx="2">
                  <c:v>-5.1201725291098006</c:v>
                </c:pt>
                <c:pt idx="3">
                  <c:v>-4.6494103550576682</c:v>
                </c:pt>
                <c:pt idx="4">
                  <c:v>-2.6806944051123955</c:v>
                </c:pt>
                <c:pt idx="5">
                  <c:v>-1.3934617343794278</c:v>
                </c:pt>
                <c:pt idx="6">
                  <c:v>-1.9183152910715233</c:v>
                </c:pt>
                <c:pt idx="7">
                  <c:v>-2.3691412485221175</c:v>
                </c:pt>
                <c:pt idx="8">
                  <c:v>-1.5986222815306379</c:v>
                </c:pt>
                <c:pt idx="9">
                  <c:v>-1.3112177778565981</c:v>
                </c:pt>
                <c:pt idx="10">
                  <c:v>-0.90170054943359979</c:v>
                </c:pt>
                <c:pt idx="11">
                  <c:v>-1.5005500480868801</c:v>
                </c:pt>
              </c:numCache>
            </c:numRef>
          </c:val>
          <c:smooth val="0"/>
          <c:extLst>
            <c:ext xmlns:c16="http://schemas.microsoft.com/office/drawing/2014/chart" uri="{C3380CC4-5D6E-409C-BE32-E72D297353CC}">
              <c16:uniqueId val="{00000001-F3AC-436D-83D4-E80E0EFBADC9}"/>
            </c:ext>
          </c:extLst>
        </c:ser>
        <c:ser>
          <c:idx val="2"/>
          <c:order val="2"/>
          <c:tx>
            <c:v>2014-2015</c:v>
          </c:tx>
          <c:spPr>
            <a:ln w="28575" cap="rnd">
              <a:solidFill>
                <a:schemeClr val="accent3"/>
              </a:solidFill>
              <a:round/>
            </a:ln>
            <a:effectLst/>
          </c:spPr>
          <c:marker>
            <c:symbol val="none"/>
          </c:marker>
          <c:cat>
            <c:strRef>
              <c:f>AN_1_isteki_durum_aylık!$B$21:$B$32</c:f>
              <c:strCache>
                <c:ptCount val="12"/>
                <c:pt idx="0">
                  <c:v>January</c:v>
                </c:pt>
                <c:pt idx="1">
                  <c:v>February </c:v>
                </c:pt>
                <c:pt idx="2">
                  <c:v>March </c:v>
                </c:pt>
                <c:pt idx="3">
                  <c:v>April</c:v>
                </c:pt>
                <c:pt idx="4">
                  <c:v>May </c:v>
                </c:pt>
                <c:pt idx="5">
                  <c:v>June</c:v>
                </c:pt>
                <c:pt idx="6">
                  <c:v>July</c:v>
                </c:pt>
                <c:pt idx="7">
                  <c:v>August</c:v>
                </c:pt>
                <c:pt idx="8">
                  <c:v>September</c:v>
                </c:pt>
                <c:pt idx="9">
                  <c:v>October</c:v>
                </c:pt>
                <c:pt idx="10">
                  <c:v>November</c:v>
                </c:pt>
                <c:pt idx="11">
                  <c:v>December</c:v>
                </c:pt>
              </c:strCache>
            </c:strRef>
          </c:cat>
          <c:val>
            <c:numRef>
              <c:f>'[1]TUİK Kayıt dışı aylık'!$CE$21:$CE$32</c:f>
              <c:numCache>
                <c:formatCode>General</c:formatCode>
                <c:ptCount val="12"/>
                <c:pt idx="0">
                  <c:v>3.0624350769070801</c:v>
                </c:pt>
                <c:pt idx="1">
                  <c:v>2.8963195079701758</c:v>
                </c:pt>
                <c:pt idx="2">
                  <c:v>3.095386571516304</c:v>
                </c:pt>
                <c:pt idx="3">
                  <c:v>2.6426893484473815</c:v>
                </c:pt>
                <c:pt idx="4">
                  <c:v>0.66023306528180103</c:v>
                </c:pt>
                <c:pt idx="5">
                  <c:v>-0.67714104421777821</c:v>
                </c:pt>
                <c:pt idx="6">
                  <c:v>-0.72822183960096365</c:v>
                </c:pt>
                <c:pt idx="7">
                  <c:v>-0.232874601191597</c:v>
                </c:pt>
                <c:pt idx="8">
                  <c:v>-0.82197647048505562</c:v>
                </c:pt>
                <c:pt idx="9">
                  <c:v>-0.47583774818440433</c:v>
                </c:pt>
                <c:pt idx="10">
                  <c:v>-0.64133467771436903</c:v>
                </c:pt>
                <c:pt idx="11">
                  <c:v>0.35911843775296948</c:v>
                </c:pt>
              </c:numCache>
            </c:numRef>
          </c:val>
          <c:smooth val="0"/>
          <c:extLst>
            <c:ext xmlns:c16="http://schemas.microsoft.com/office/drawing/2014/chart" uri="{C3380CC4-5D6E-409C-BE32-E72D297353CC}">
              <c16:uniqueId val="{00000002-F3AC-436D-83D4-E80E0EFBADC9}"/>
            </c:ext>
          </c:extLst>
        </c:ser>
        <c:ser>
          <c:idx val="3"/>
          <c:order val="3"/>
          <c:tx>
            <c:v>2015-2016</c:v>
          </c:tx>
          <c:spPr>
            <a:ln w="28575" cap="rnd">
              <a:solidFill>
                <a:schemeClr val="accent4"/>
              </a:solidFill>
              <a:round/>
            </a:ln>
            <a:effectLst/>
          </c:spPr>
          <c:marker>
            <c:symbol val="none"/>
          </c:marker>
          <c:cat>
            <c:strRef>
              <c:f>AN_1_isteki_durum_aylık!$B$21:$B$32</c:f>
              <c:strCache>
                <c:ptCount val="12"/>
                <c:pt idx="0">
                  <c:v>January</c:v>
                </c:pt>
                <c:pt idx="1">
                  <c:v>February </c:v>
                </c:pt>
                <c:pt idx="2">
                  <c:v>March </c:v>
                </c:pt>
                <c:pt idx="3">
                  <c:v>April</c:v>
                </c:pt>
                <c:pt idx="4">
                  <c:v>May </c:v>
                </c:pt>
                <c:pt idx="5">
                  <c:v>June</c:v>
                </c:pt>
                <c:pt idx="6">
                  <c:v>July</c:v>
                </c:pt>
                <c:pt idx="7">
                  <c:v>August</c:v>
                </c:pt>
                <c:pt idx="8">
                  <c:v>September</c:v>
                </c:pt>
                <c:pt idx="9">
                  <c:v>October</c:v>
                </c:pt>
                <c:pt idx="10">
                  <c:v>November</c:v>
                </c:pt>
                <c:pt idx="11">
                  <c:v>December</c:v>
                </c:pt>
              </c:strCache>
            </c:strRef>
          </c:cat>
          <c:val>
            <c:numRef>
              <c:f>'[1]TUİK Kayıt dışı aylık'!$CF$21:$CF$32</c:f>
              <c:numCache>
                <c:formatCode>General</c:formatCode>
                <c:ptCount val="12"/>
                <c:pt idx="0">
                  <c:v>6.4131435173408094E-2</c:v>
                </c:pt>
                <c:pt idx="1">
                  <c:v>-0.31692429518700893</c:v>
                </c:pt>
                <c:pt idx="2">
                  <c:v>-0.33425521582535139</c:v>
                </c:pt>
                <c:pt idx="3">
                  <c:v>0.36193555608475902</c:v>
                </c:pt>
                <c:pt idx="4">
                  <c:v>1.4439695663427159</c:v>
                </c:pt>
                <c:pt idx="5">
                  <c:v>1.9042527916369654</c:v>
                </c:pt>
                <c:pt idx="6">
                  <c:v>1.4553083972878904</c:v>
                </c:pt>
                <c:pt idx="7">
                  <c:v>1.070463197286017</c:v>
                </c:pt>
                <c:pt idx="8">
                  <c:v>0.688118859968327</c:v>
                </c:pt>
                <c:pt idx="9">
                  <c:v>0.55690915419423004</c:v>
                </c:pt>
                <c:pt idx="10">
                  <c:v>0.82899866781171705</c:v>
                </c:pt>
                <c:pt idx="11">
                  <c:v>0.64400715563506605</c:v>
                </c:pt>
              </c:numCache>
            </c:numRef>
          </c:val>
          <c:smooth val="0"/>
          <c:extLst>
            <c:ext xmlns:c16="http://schemas.microsoft.com/office/drawing/2014/chart" uri="{C3380CC4-5D6E-409C-BE32-E72D297353CC}">
              <c16:uniqueId val="{00000003-F3AC-436D-83D4-E80E0EFBADC9}"/>
            </c:ext>
          </c:extLst>
        </c:ser>
        <c:ser>
          <c:idx val="4"/>
          <c:order val="4"/>
          <c:tx>
            <c:v>2016-2017</c:v>
          </c:tx>
          <c:spPr>
            <a:ln w="28575" cap="rnd">
              <a:solidFill>
                <a:schemeClr val="accent5"/>
              </a:solidFill>
              <a:round/>
            </a:ln>
            <a:effectLst/>
          </c:spPr>
          <c:marker>
            <c:symbol val="none"/>
          </c:marker>
          <c:cat>
            <c:strRef>
              <c:f>AN_1_isteki_durum_aylık!$B$21:$B$32</c:f>
              <c:strCache>
                <c:ptCount val="12"/>
                <c:pt idx="0">
                  <c:v>January</c:v>
                </c:pt>
                <c:pt idx="1">
                  <c:v>February </c:v>
                </c:pt>
                <c:pt idx="2">
                  <c:v>March </c:v>
                </c:pt>
                <c:pt idx="3">
                  <c:v>April</c:v>
                </c:pt>
                <c:pt idx="4">
                  <c:v>May </c:v>
                </c:pt>
                <c:pt idx="5">
                  <c:v>June</c:v>
                </c:pt>
                <c:pt idx="6">
                  <c:v>July</c:v>
                </c:pt>
                <c:pt idx="7">
                  <c:v>August</c:v>
                </c:pt>
                <c:pt idx="8">
                  <c:v>September</c:v>
                </c:pt>
                <c:pt idx="9">
                  <c:v>October</c:v>
                </c:pt>
                <c:pt idx="10">
                  <c:v>November</c:v>
                </c:pt>
                <c:pt idx="11">
                  <c:v>December</c:v>
                </c:pt>
              </c:strCache>
            </c:strRef>
          </c:cat>
          <c:val>
            <c:numRef>
              <c:f>'[1]TUİK Kayıt dışı aylık'!$CG$21:$CG$29</c:f>
              <c:numCache>
                <c:formatCode>General</c:formatCode>
                <c:ptCount val="9"/>
                <c:pt idx="0">
                  <c:v>-0.10536554402824613</c:v>
                </c:pt>
                <c:pt idx="1">
                  <c:v>0.62135936238144063</c:v>
                </c:pt>
                <c:pt idx="2">
                  <c:v>0.14799021700862616</c:v>
                </c:pt>
                <c:pt idx="3">
                  <c:v>0.40314124314555499</c:v>
                </c:pt>
                <c:pt idx="4">
                  <c:v>-0.58252069309632759</c:v>
                </c:pt>
                <c:pt idx="5">
                  <c:v>1.6049022468635619E-2</c:v>
                </c:pt>
                <c:pt idx="6">
                  <c:v>0.56574137610131592</c:v>
                </c:pt>
                <c:pt idx="7">
                  <c:v>0.64003079746505964</c:v>
                </c:pt>
                <c:pt idx="8">
                  <c:v>0.73469037958267491</c:v>
                </c:pt>
              </c:numCache>
            </c:numRef>
          </c:val>
          <c:smooth val="0"/>
          <c:extLst>
            <c:ext xmlns:c16="http://schemas.microsoft.com/office/drawing/2014/chart" uri="{C3380CC4-5D6E-409C-BE32-E72D297353CC}">
              <c16:uniqueId val="{00000004-F3AC-436D-83D4-E80E0EFBADC9}"/>
            </c:ext>
          </c:extLst>
        </c:ser>
        <c:dLbls>
          <c:showLegendKey val="0"/>
          <c:showVal val="0"/>
          <c:showCatName val="0"/>
          <c:showSerName val="0"/>
          <c:showPercent val="0"/>
          <c:showBubbleSize val="0"/>
        </c:dLbls>
        <c:smooth val="0"/>
        <c:axId val="52209152"/>
        <c:axId val="52210688"/>
      </c:lineChart>
      <c:catAx>
        <c:axId val="52209152"/>
        <c:scaling>
          <c:orientation val="minMax"/>
        </c:scaling>
        <c:delete val="0"/>
        <c:axPos val="b"/>
        <c:numFmt formatCode="General" sourceLinked="1"/>
        <c:majorTickMark val="none"/>
        <c:minorTickMark val="none"/>
        <c:tickLblPos val="low"/>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lang="en-US" sz="1000" b="0" i="0" u="none" strike="noStrike" kern="1200" baseline="0">
                <a:solidFill>
                  <a:schemeClr val="tx1">
                    <a:lumMod val="65000"/>
                    <a:lumOff val="35000"/>
                  </a:schemeClr>
                </a:solidFill>
                <a:latin typeface="Palatino Linotype" panose="02040502050505030304" pitchFamily="18" charset="0"/>
                <a:ea typeface="+mn-ea"/>
                <a:cs typeface="Arial" panose="020B0604020202020204" pitchFamily="34" charset="0"/>
              </a:defRPr>
            </a:pPr>
            <a:endParaRPr lang="tr-TR"/>
          </a:p>
        </c:txPr>
        <c:crossAx val="52210688"/>
        <c:crosses val="autoZero"/>
        <c:auto val="1"/>
        <c:lblAlgn val="ctr"/>
        <c:lblOffset val="100"/>
        <c:noMultiLvlLbl val="0"/>
      </c:catAx>
      <c:valAx>
        <c:axId val="52210688"/>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lumMod val="65000"/>
                    <a:lumOff val="35000"/>
                  </a:schemeClr>
                </a:solidFill>
                <a:latin typeface="Palatino Linotype" panose="02040502050505030304" pitchFamily="18" charset="0"/>
                <a:ea typeface="+mn-ea"/>
                <a:cs typeface="Arial" panose="020B0604020202020204" pitchFamily="34" charset="0"/>
              </a:defRPr>
            </a:pPr>
            <a:endParaRPr lang="tr-TR"/>
          </a:p>
        </c:txPr>
        <c:crossAx val="52209152"/>
        <c:crosses val="autoZero"/>
        <c:crossBetween val="between"/>
        <c:maj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Palatino Linotype" panose="02040502050505030304" pitchFamily="18" charset="0"/>
              <a:ea typeface="+mn-ea"/>
              <a:cs typeface="Arial" panose="020B0604020202020204" pitchFamily="34" charset="0"/>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000">
          <a:latin typeface="Palatino Linotype" panose="02040502050505030304" pitchFamily="18" charset="0"/>
          <a:cs typeface="Arial" panose="020B0604020202020204" pitchFamily="34" charset="0"/>
        </a:defRPr>
      </a:pPr>
      <a:endParaRPr lang="tr-T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1E5B0-A1C1-46D0-B89C-AFA47571B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3148</Words>
  <Characters>17950</Characters>
  <Application>Microsoft Office Word</Application>
  <DocSecurity>0</DocSecurity>
  <Lines>149</Lines>
  <Paragraphs>42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aysenur acar</dc:creator>
  <cp:lastModifiedBy>merve.akgul</cp:lastModifiedBy>
  <cp:revision>6</cp:revision>
  <cp:lastPrinted>2014-06-25T07:13:00Z</cp:lastPrinted>
  <dcterms:created xsi:type="dcterms:W3CDTF">2018-02-09T07:28:00Z</dcterms:created>
  <dcterms:modified xsi:type="dcterms:W3CDTF">2018-02-09T09:13:00Z</dcterms:modified>
</cp:coreProperties>
</file>