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ECED3" w14:textId="517B11F1" w:rsidR="008A0C5D" w:rsidRPr="00E70CEB" w:rsidRDefault="00E066EE" w:rsidP="00E066EE">
      <w:pPr>
        <w:rPr>
          <w:rFonts w:eastAsiaTheme="minorHAnsi"/>
          <w:lang w:eastAsia="en-US"/>
        </w:rPr>
      </w:pPr>
      <w:r w:rsidRPr="00EB5530">
        <w:rPr>
          <w:noProof/>
          <w:szCs w:val="22"/>
          <w:lang w:eastAsia="tr-TR"/>
        </w:rPr>
        <mc:AlternateContent>
          <mc:Choice Requires="wps">
            <w:drawing>
              <wp:anchor distT="0" distB="0" distL="114935" distR="114935" simplePos="0" relativeHeight="251656704" behindDoc="0" locked="0" layoutInCell="1" allowOverlap="1" wp14:anchorId="796C3B17" wp14:editId="4CBC7740">
                <wp:simplePos x="0" y="0"/>
                <wp:positionH relativeFrom="column">
                  <wp:posOffset>1528445</wp:posOffset>
                </wp:positionH>
                <wp:positionV relativeFrom="paragraph">
                  <wp:posOffset>-624205</wp:posOffset>
                </wp:positionV>
                <wp:extent cx="3981450" cy="619125"/>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6191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F51E6" w14:textId="3C7AA556" w:rsidR="00E066EE" w:rsidRPr="00E066EE" w:rsidRDefault="00E066EE" w:rsidP="00E066EE">
                            <w:pPr>
                              <w:pStyle w:val="Heading1"/>
                              <w:jc w:val="left"/>
                              <w:rPr>
                                <w:rFonts w:ascii="Palatino Linotype" w:hAnsi="Palatino Linotype"/>
                                <w:b/>
                                <w:sz w:val="52"/>
                                <w:szCs w:val="52"/>
                              </w:rPr>
                            </w:pPr>
                            <w:r w:rsidRPr="006F5907">
                              <w:rPr>
                                <w:sz w:val="52"/>
                                <w:szCs w:val="52"/>
                              </w:rPr>
                              <w:t xml:space="preserve">   </w:t>
                            </w:r>
                            <w:r w:rsidRPr="00E066EE">
                              <w:rPr>
                                <w:rFonts w:ascii="Palatino Linotype" w:hAnsi="Palatino Linotype"/>
                                <w:b/>
                                <w:color w:val="auto"/>
                                <w:sz w:val="52"/>
                                <w:szCs w:val="52"/>
                              </w:rPr>
                              <w:t>Araştırma Notu 18/22</w:t>
                            </w:r>
                            <w:r>
                              <w:rPr>
                                <w:rFonts w:ascii="Palatino Linotype" w:hAnsi="Palatino Linotype"/>
                                <w:b/>
                                <w:color w:val="auto"/>
                                <w:sz w:val="52"/>
                                <w:szCs w:val="52"/>
                              </w:rPr>
                              <w:t>2</w:t>
                            </w:r>
                          </w:p>
                          <w:p w14:paraId="5135A691" w14:textId="77777777" w:rsidR="00E066EE" w:rsidRPr="00B54C13" w:rsidRDefault="00E066EE" w:rsidP="00E066EE">
                            <w:pPr>
                              <w:pStyle w:val="Heading2"/>
                              <w:rPr>
                                <w:b w:val="0"/>
                                <w:bCs w:val="0"/>
                                <w:i/>
                                <w:iCs w:val="0"/>
                                <w:lang w:val="tr-T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C3B17" id="_x0000_t202" coordsize="21600,21600" o:spt="202" path="m,l,21600r21600,l21600,xe">
                <v:stroke joinstyle="miter"/>
                <v:path gradientshapeok="t" o:connecttype="rect"/>
              </v:shapetype>
              <v:shape id="Text Box 3" o:spid="_x0000_s1026" type="#_x0000_t202" style="position:absolute;left:0;text-align:left;margin-left:120.35pt;margin-top:-49.15pt;width:313.5pt;height:48.7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" stroked="f">
                <v:fill opacity="0"/>
                <v:textbox inset="0,0,0,0">
                  <w:txbxContent>
                    <w:p w14:paraId="0D3F51E6" w14:textId="3C7AA556" w:rsidR="00E066EE" w:rsidRPr="00E066EE" w:rsidRDefault="00E066EE" w:rsidP="00E066EE">
                      <w:pPr>
                        <w:pStyle w:val="Heading1"/>
                        <w:jc w:val="left"/>
                        <w:rPr>
                          <w:rFonts w:ascii="Palatino Linotype" w:hAnsi="Palatino Linotype"/>
                          <w:b/>
                          <w:sz w:val="52"/>
                          <w:szCs w:val="52"/>
                        </w:rPr>
                      </w:pPr>
                      <w:r w:rsidRPr="006F5907">
                        <w:rPr>
                          <w:sz w:val="52"/>
                          <w:szCs w:val="52"/>
                        </w:rPr>
                        <w:t xml:space="preserve">   </w:t>
                      </w:r>
                      <w:r w:rsidRPr="00E066EE">
                        <w:rPr>
                          <w:rFonts w:ascii="Palatino Linotype" w:hAnsi="Palatino Linotype"/>
                          <w:b/>
                          <w:color w:val="auto"/>
                          <w:sz w:val="52"/>
                          <w:szCs w:val="52"/>
                        </w:rPr>
                        <w:t>Araştırma Notu 18/22</w:t>
                      </w:r>
                      <w:r>
                        <w:rPr>
                          <w:rFonts w:ascii="Palatino Linotype" w:hAnsi="Palatino Linotype"/>
                          <w:b/>
                          <w:color w:val="auto"/>
                          <w:sz w:val="52"/>
                          <w:szCs w:val="52"/>
                        </w:rPr>
                        <w:t>2</w:t>
                      </w:r>
                    </w:p>
                    <w:p w14:paraId="5135A691" w14:textId="77777777" w:rsidR="00E066EE" w:rsidRPr="00B54C13" w:rsidRDefault="00E066EE" w:rsidP="00E066EE">
                      <w:pPr>
                        <w:pStyle w:val="Heading2"/>
                        <w:rPr>
                          <w:b w:val="0"/>
                          <w:bCs w:val="0"/>
                          <w:i/>
                          <w:iCs w:val="0"/>
                          <w:lang w:val="tr-TR"/>
                        </w:rPr>
                      </w:pPr>
                    </w:p>
                  </w:txbxContent>
                </v:textbox>
              </v:shape>
            </w:pict>
          </mc:Fallback>
        </mc:AlternateContent>
      </w:r>
      <w:r w:rsidR="008A0C5D" w:rsidRPr="00E70CEB">
        <w:rPr>
          <w:noProof/>
          <w:szCs w:val="22"/>
          <w:lang w:eastAsia="tr-TR"/>
        </w:rPr>
        <w:drawing>
          <wp:anchor distT="0" distB="0" distL="114300" distR="114300" simplePos="0" relativeHeight="251655680" behindDoc="1" locked="0" layoutInCell="1" allowOverlap="1" wp14:anchorId="13F635B1" wp14:editId="67768411">
            <wp:simplePos x="0" y="0"/>
            <wp:positionH relativeFrom="column">
              <wp:posOffset>-746150</wp:posOffset>
            </wp:positionH>
            <wp:positionV relativeFrom="paragraph">
              <wp:posOffset>-776046</wp:posOffset>
            </wp:positionV>
            <wp:extent cx="7229475" cy="1322213"/>
            <wp:effectExtent l="19050" t="0" r="9525" b="0"/>
            <wp:wrapNone/>
            <wp:docPr id="18"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7" cstate="print"/>
                    <a:srcRect/>
                    <a:stretch>
                      <a:fillRect/>
                    </a:stretch>
                  </pic:blipFill>
                  <pic:spPr bwMode="auto">
                    <a:xfrm>
                      <a:off x="0" y="0"/>
                      <a:ext cx="7229475" cy="1322213"/>
                    </a:xfrm>
                    <a:prstGeom prst="rect">
                      <a:avLst/>
                    </a:prstGeom>
                    <a:noFill/>
                  </pic:spPr>
                </pic:pic>
              </a:graphicData>
            </a:graphic>
          </wp:anchor>
        </w:drawing>
      </w:r>
      <w:r w:rsidR="00D37932">
        <w:rPr>
          <w:rFonts w:eastAsiaTheme="minorHAnsi"/>
          <w:lang w:eastAsia="en-US"/>
        </w:rPr>
        <w:tab/>
      </w:r>
    </w:p>
    <w:p w14:paraId="1461370B" w14:textId="47B106C5" w:rsidR="008A0C5D" w:rsidRPr="00E066EE" w:rsidRDefault="00E066EE" w:rsidP="00E066EE">
      <w:pPr>
        <w:jc w:val="right"/>
        <w:rPr>
          <w:rFonts w:ascii="Arial" w:eastAsiaTheme="minorHAnsi" w:hAnsi="Arial"/>
          <w:b/>
          <w:color w:val="FFFFFF" w:themeColor="background1"/>
          <w:lang w:eastAsia="en-US"/>
        </w:rPr>
      </w:pPr>
      <w:r>
        <w:rPr>
          <w:rFonts w:ascii="Arial" w:eastAsiaTheme="minorHAnsi" w:hAnsi="Arial"/>
          <w:b/>
          <w:color w:val="FFFFFF" w:themeColor="background1"/>
          <w:lang w:eastAsia="en-US"/>
        </w:rPr>
        <w:t xml:space="preserve">  </w:t>
      </w:r>
      <w:r>
        <w:rPr>
          <w:rFonts w:ascii="Arial" w:eastAsiaTheme="minorHAnsi" w:hAnsi="Arial"/>
          <w:b/>
          <w:color w:val="FFFFFF" w:themeColor="background1"/>
          <w:lang w:eastAsia="en-US"/>
        </w:rPr>
        <w:tab/>
      </w:r>
      <w:r>
        <w:rPr>
          <w:rFonts w:ascii="Arial" w:eastAsiaTheme="minorHAnsi" w:hAnsi="Arial"/>
          <w:b/>
          <w:color w:val="FFFFFF" w:themeColor="background1"/>
          <w:lang w:eastAsia="en-US"/>
        </w:rPr>
        <w:tab/>
        <w:t xml:space="preserve">     8 Şubat 2018</w:t>
      </w:r>
    </w:p>
    <w:p w14:paraId="708951EC" w14:textId="42142467" w:rsidR="008A0C5D" w:rsidRDefault="008A0C5D" w:rsidP="008A0C5D">
      <w:pPr>
        <w:jc w:val="center"/>
        <w:rPr>
          <w:b/>
          <w:sz w:val="32"/>
          <w:szCs w:val="32"/>
        </w:rPr>
      </w:pPr>
      <w:r w:rsidRPr="009F7268">
        <w:rPr>
          <w:b/>
          <w:sz w:val="32"/>
          <w:szCs w:val="32"/>
        </w:rPr>
        <w:t>Asgari ücret artışı</w:t>
      </w:r>
      <w:r w:rsidR="009F7268" w:rsidRPr="009F7268">
        <w:rPr>
          <w:b/>
          <w:sz w:val="32"/>
          <w:szCs w:val="32"/>
        </w:rPr>
        <w:t>nın</w:t>
      </w:r>
      <w:r w:rsidRPr="009F7268">
        <w:rPr>
          <w:b/>
          <w:sz w:val="32"/>
          <w:szCs w:val="32"/>
        </w:rPr>
        <w:t xml:space="preserve"> kayıt</w:t>
      </w:r>
      <w:r w:rsidR="00872E3C" w:rsidRPr="009F7268">
        <w:rPr>
          <w:b/>
          <w:sz w:val="32"/>
          <w:szCs w:val="32"/>
        </w:rPr>
        <w:t xml:space="preserve"> dışı</w:t>
      </w:r>
      <w:r w:rsidR="009F7268" w:rsidRPr="009F7268">
        <w:rPr>
          <w:b/>
          <w:sz w:val="32"/>
          <w:szCs w:val="32"/>
        </w:rPr>
        <w:t xml:space="preserve"> çalışmaya etkisi özellikle </w:t>
      </w:r>
      <w:r w:rsidR="00872E3C" w:rsidRPr="009F7268">
        <w:rPr>
          <w:b/>
          <w:sz w:val="32"/>
          <w:szCs w:val="32"/>
        </w:rPr>
        <w:t>düşük ücretli sektörlerde yoğunlaşıyor</w:t>
      </w:r>
    </w:p>
    <w:p w14:paraId="5F18BC06" w14:textId="77777777" w:rsidR="008A0C5D" w:rsidRPr="00E70CEB" w:rsidRDefault="008A0C5D" w:rsidP="008A0C5D">
      <w:pPr>
        <w:spacing w:before="120"/>
        <w:jc w:val="center"/>
        <w:rPr>
          <w:b/>
          <w:bCs/>
          <w:szCs w:val="22"/>
        </w:rPr>
      </w:pPr>
      <w:r w:rsidRPr="00E70CEB">
        <w:rPr>
          <w:b/>
          <w:bCs/>
          <w:szCs w:val="22"/>
        </w:rPr>
        <w:t>Seyfettin Gürsel</w:t>
      </w:r>
      <w:r w:rsidRPr="00E70CEB">
        <w:rPr>
          <w:rStyle w:val="FootnoteReference"/>
          <w:b/>
          <w:bCs/>
          <w:szCs w:val="22"/>
        </w:rPr>
        <w:footnoteReference w:customMarkFollows="1" w:id="1"/>
        <w:t>*</w:t>
      </w:r>
      <w:r w:rsidRPr="00E70CEB">
        <w:rPr>
          <w:b/>
          <w:bCs/>
          <w:szCs w:val="22"/>
        </w:rPr>
        <w:t>, Ozan Bakış</w:t>
      </w:r>
      <w:r w:rsidRPr="00E70CEB">
        <w:rPr>
          <w:rStyle w:val="FootnoteReference"/>
          <w:b/>
          <w:bCs/>
          <w:szCs w:val="22"/>
        </w:rPr>
        <w:footnoteReference w:customMarkFollows="1" w:id="2"/>
        <w:sym w:font="Symbol" w:char="F02A"/>
      </w:r>
      <w:r w:rsidRPr="00E70CEB">
        <w:rPr>
          <w:rStyle w:val="FootnoteReference"/>
          <w:b/>
          <w:bCs/>
          <w:szCs w:val="22"/>
        </w:rPr>
        <w:sym w:font="Symbol" w:char="F02A"/>
      </w:r>
      <w:r w:rsidRPr="00E70CEB">
        <w:rPr>
          <w:rStyle w:val="FootnoteReference"/>
          <w:b/>
          <w:bCs/>
          <w:szCs w:val="22"/>
        </w:rPr>
        <w:t xml:space="preserve"> </w:t>
      </w:r>
      <w:r w:rsidRPr="00E70CEB">
        <w:rPr>
          <w:b/>
          <w:bCs/>
          <w:szCs w:val="22"/>
        </w:rPr>
        <w:t>ve Yazgı Genç***</w:t>
      </w:r>
    </w:p>
    <w:p w14:paraId="52F22498" w14:textId="77777777" w:rsidR="008A0C5D" w:rsidRPr="00E70CEB" w:rsidRDefault="008A0C5D" w:rsidP="008A0C5D">
      <w:pPr>
        <w:pStyle w:val="Heading2"/>
        <w:jc w:val="center"/>
        <w:rPr>
          <w:lang w:val="tr-TR"/>
        </w:rPr>
      </w:pPr>
      <w:r w:rsidRPr="00E70CEB">
        <w:rPr>
          <w:lang w:val="tr-TR"/>
        </w:rPr>
        <w:t>Yönetici Özeti</w:t>
      </w:r>
    </w:p>
    <w:p w14:paraId="2E72C312" w14:textId="77777777" w:rsidR="00560348" w:rsidRPr="00A524A9" w:rsidRDefault="008A0C5D" w:rsidP="00E70CEB">
      <w:pPr>
        <w:ind w:left="567" w:right="567"/>
        <w:rPr>
          <w:rFonts w:eastAsiaTheme="minorHAnsi"/>
          <w:lang w:eastAsia="en-US"/>
        </w:rPr>
      </w:pPr>
      <w:r w:rsidRPr="00A524A9">
        <w:rPr>
          <w:rFonts w:eastAsiaTheme="minorHAnsi"/>
          <w:lang w:eastAsia="en-US"/>
        </w:rPr>
        <w:t xml:space="preserve">Daha önce yayınladığımız “Asgari ücret kayıt dışı istihdamı olumsuz etkiledi” </w:t>
      </w:r>
      <w:r w:rsidR="0077456C" w:rsidRPr="00A524A9">
        <w:rPr>
          <w:rFonts w:eastAsiaTheme="minorHAnsi"/>
          <w:lang w:eastAsia="en-US"/>
        </w:rPr>
        <w:t xml:space="preserve">(bkz. Betam Araştırma Notu 18/220) </w:t>
      </w:r>
      <w:r w:rsidRPr="00A524A9">
        <w:rPr>
          <w:rFonts w:eastAsiaTheme="minorHAnsi"/>
          <w:lang w:eastAsia="en-US"/>
        </w:rPr>
        <w:t xml:space="preserve">başlıklı araştırma notunda asgari ücret artışının kayıt dışı istihdama olan etkisini ücretli ve ücret dışı </w:t>
      </w:r>
      <w:r w:rsidR="0077456C" w:rsidRPr="00A524A9">
        <w:rPr>
          <w:rFonts w:eastAsiaTheme="minorHAnsi"/>
          <w:lang w:eastAsia="en-US"/>
        </w:rPr>
        <w:t xml:space="preserve">kesim (işveren, kendi hesabına çalışan ve ücretsiz aile işçisi) </w:t>
      </w:r>
      <w:r w:rsidRPr="00A524A9">
        <w:rPr>
          <w:rFonts w:eastAsiaTheme="minorHAnsi"/>
          <w:lang w:eastAsia="en-US"/>
        </w:rPr>
        <w:t>için incelemiş ve bu etkinin özellikle ücret dışı kesim için pozitif olduğu</w:t>
      </w:r>
      <w:r w:rsidR="00560348" w:rsidRPr="00A524A9">
        <w:rPr>
          <w:rFonts w:eastAsiaTheme="minorHAnsi"/>
          <w:lang w:eastAsia="en-US"/>
        </w:rPr>
        <w:t xml:space="preserve">nu </w:t>
      </w:r>
      <w:r w:rsidRPr="00A524A9">
        <w:rPr>
          <w:rFonts w:eastAsiaTheme="minorHAnsi"/>
          <w:lang w:eastAsia="en-US"/>
        </w:rPr>
        <w:t xml:space="preserve">gözlemlemiştik. </w:t>
      </w:r>
    </w:p>
    <w:p w14:paraId="03B259F1" w14:textId="4C09BF6C" w:rsidR="00E70CEB" w:rsidRPr="00560348" w:rsidRDefault="00646D4F" w:rsidP="00E70CEB">
      <w:pPr>
        <w:ind w:left="567" w:right="567"/>
        <w:rPr>
          <w:rFonts w:eastAsiaTheme="minorHAnsi"/>
          <w:lang w:eastAsia="en-US"/>
        </w:rPr>
      </w:pPr>
      <w:r w:rsidRPr="00A524A9">
        <w:rPr>
          <w:rFonts w:eastAsiaTheme="minorHAnsi"/>
          <w:lang w:eastAsia="en-US"/>
        </w:rPr>
        <w:t xml:space="preserve">Mevcut araştırma notumuzda ise </w:t>
      </w:r>
      <w:r w:rsidR="00560348" w:rsidRPr="00A524A9">
        <w:rPr>
          <w:rFonts w:eastAsiaTheme="minorHAnsi"/>
          <w:lang w:eastAsia="en-US"/>
        </w:rPr>
        <w:t xml:space="preserve">en güncel verileri </w:t>
      </w:r>
      <w:r w:rsidRPr="00A524A9">
        <w:rPr>
          <w:rFonts w:eastAsiaTheme="minorHAnsi"/>
          <w:lang w:eastAsia="en-US"/>
        </w:rPr>
        <w:t xml:space="preserve">kullanarak kayıt dışı istihdama olan asgari ücret etkisini sektörler </w:t>
      </w:r>
      <w:r w:rsidR="00F55140" w:rsidRPr="00A524A9">
        <w:rPr>
          <w:rFonts w:eastAsiaTheme="minorHAnsi"/>
          <w:lang w:eastAsia="en-US"/>
        </w:rPr>
        <w:t>düzeyinde</w:t>
      </w:r>
      <w:r w:rsidRPr="00A524A9">
        <w:rPr>
          <w:rFonts w:eastAsiaTheme="minorHAnsi"/>
          <w:lang w:eastAsia="en-US"/>
        </w:rPr>
        <w:t xml:space="preserve"> inceliyoruz. İlk bulgular</w:t>
      </w:r>
      <w:r w:rsidR="00560348" w:rsidRPr="00A524A9">
        <w:rPr>
          <w:rFonts w:eastAsiaTheme="minorHAnsi"/>
          <w:lang w:eastAsia="en-US"/>
        </w:rPr>
        <w:t xml:space="preserve"> </w:t>
      </w:r>
      <w:r w:rsidR="0077456C" w:rsidRPr="00A524A9">
        <w:rPr>
          <w:rFonts w:eastAsiaTheme="minorHAnsi"/>
          <w:lang w:eastAsia="en-US"/>
        </w:rPr>
        <w:t>2016 yılındaki</w:t>
      </w:r>
      <w:r w:rsidRPr="00A524A9">
        <w:rPr>
          <w:rFonts w:eastAsiaTheme="minorHAnsi"/>
          <w:lang w:eastAsia="en-US"/>
        </w:rPr>
        <w:t xml:space="preserve"> asgari ücret artışının</w:t>
      </w:r>
      <w:r w:rsidR="00560348" w:rsidRPr="00A524A9">
        <w:rPr>
          <w:rFonts w:eastAsiaTheme="minorHAnsi"/>
          <w:lang w:eastAsia="en-US"/>
        </w:rPr>
        <w:t xml:space="preserve"> hem 2016 hem de 2017 yılında kayıt dışı çalışmayı etkilediğini gösteriyor. Bununla beraber 2016 ile 2017 yılı arasındaki etkiler arasında bir fark</w:t>
      </w:r>
      <w:r w:rsidR="00313C5E" w:rsidRPr="00A524A9">
        <w:rPr>
          <w:rFonts w:eastAsiaTheme="minorHAnsi"/>
          <w:lang w:eastAsia="en-US"/>
        </w:rPr>
        <w:t>lılık dikkat çekiyo</w:t>
      </w:r>
      <w:r w:rsidR="00A524A9" w:rsidRPr="00A524A9">
        <w:rPr>
          <w:rFonts w:eastAsiaTheme="minorHAnsi"/>
          <w:lang w:eastAsia="en-US"/>
        </w:rPr>
        <w:t>r</w:t>
      </w:r>
      <w:r w:rsidR="00560348" w:rsidRPr="00A524A9">
        <w:rPr>
          <w:rFonts w:eastAsiaTheme="minorHAnsi"/>
          <w:lang w:eastAsia="en-US"/>
        </w:rPr>
        <w:t xml:space="preserve">. 2016 yılında özellikle </w:t>
      </w:r>
      <w:r w:rsidR="003A3623" w:rsidRPr="00A524A9">
        <w:rPr>
          <w:rFonts w:eastAsiaTheme="minorHAnsi"/>
          <w:lang w:eastAsia="en-US"/>
        </w:rPr>
        <w:t>asgari ücret ve altı kazanan</w:t>
      </w:r>
      <w:r w:rsidR="00313C5E" w:rsidRPr="00A524A9">
        <w:rPr>
          <w:rFonts w:eastAsiaTheme="minorHAnsi"/>
          <w:lang w:eastAsia="en-US"/>
        </w:rPr>
        <w:t>ların</w:t>
      </w:r>
      <w:r w:rsidR="003A3623" w:rsidRPr="00A524A9">
        <w:rPr>
          <w:rFonts w:eastAsiaTheme="minorHAnsi"/>
          <w:lang w:eastAsia="en-US"/>
        </w:rPr>
        <w:t xml:space="preserve"> </w:t>
      </w:r>
      <w:r w:rsidR="0077456C" w:rsidRPr="00A524A9">
        <w:rPr>
          <w:rFonts w:eastAsiaTheme="minorHAnsi"/>
          <w:lang w:eastAsia="en-US"/>
        </w:rPr>
        <w:t>(düşük ücretli)</w:t>
      </w:r>
      <w:r w:rsidR="00313C5E" w:rsidRPr="00A524A9">
        <w:rPr>
          <w:rFonts w:eastAsiaTheme="minorHAnsi"/>
          <w:lang w:eastAsia="en-US"/>
        </w:rPr>
        <w:t xml:space="preserve"> göreli olarak yoğun olduğu</w:t>
      </w:r>
      <w:r w:rsidR="0077456C" w:rsidRPr="00A524A9">
        <w:rPr>
          <w:rFonts w:eastAsiaTheme="minorHAnsi"/>
          <w:lang w:eastAsia="en-US"/>
        </w:rPr>
        <w:t xml:space="preserve"> </w:t>
      </w:r>
      <w:r w:rsidR="00313C5E" w:rsidRPr="00A524A9">
        <w:rPr>
          <w:rFonts w:eastAsiaTheme="minorHAnsi"/>
          <w:lang w:eastAsia="en-US"/>
        </w:rPr>
        <w:t xml:space="preserve">sektörlerde </w:t>
      </w:r>
      <w:r w:rsidRPr="00A524A9">
        <w:rPr>
          <w:rFonts w:eastAsiaTheme="minorHAnsi"/>
          <w:lang w:eastAsia="en-US"/>
        </w:rPr>
        <w:t>kayıt dışılı</w:t>
      </w:r>
      <w:r w:rsidR="00560348" w:rsidRPr="00A524A9">
        <w:rPr>
          <w:rFonts w:eastAsiaTheme="minorHAnsi"/>
          <w:lang w:eastAsia="en-US"/>
        </w:rPr>
        <w:t xml:space="preserve">k </w:t>
      </w:r>
      <w:r w:rsidR="00313C5E" w:rsidRPr="00A524A9">
        <w:rPr>
          <w:rFonts w:eastAsiaTheme="minorHAnsi"/>
          <w:lang w:eastAsia="en-US"/>
        </w:rPr>
        <w:t xml:space="preserve">etkisi </w:t>
      </w:r>
      <w:r w:rsidR="00560348" w:rsidRPr="00A524A9">
        <w:rPr>
          <w:rFonts w:eastAsiaTheme="minorHAnsi"/>
          <w:lang w:eastAsia="en-US"/>
        </w:rPr>
        <w:t xml:space="preserve">daha </w:t>
      </w:r>
      <w:r w:rsidR="00313C5E" w:rsidRPr="00A524A9">
        <w:rPr>
          <w:rFonts w:eastAsiaTheme="minorHAnsi"/>
          <w:lang w:eastAsia="en-US"/>
        </w:rPr>
        <w:t>belirgin olurken</w:t>
      </w:r>
      <w:r w:rsidR="00A524A9" w:rsidRPr="00A524A9">
        <w:rPr>
          <w:rFonts w:eastAsiaTheme="minorHAnsi"/>
          <w:lang w:eastAsia="en-US"/>
        </w:rPr>
        <w:t>,</w:t>
      </w:r>
      <w:r w:rsidR="00560348" w:rsidRPr="00A524A9">
        <w:rPr>
          <w:rFonts w:eastAsiaTheme="minorHAnsi"/>
          <w:lang w:eastAsia="en-US"/>
        </w:rPr>
        <w:t xml:space="preserve"> 2017 yılında </w:t>
      </w:r>
      <w:r w:rsidR="00313C5E" w:rsidRPr="00A524A9">
        <w:rPr>
          <w:rFonts w:eastAsiaTheme="minorHAnsi"/>
          <w:lang w:eastAsia="en-US"/>
        </w:rPr>
        <w:t>etkinin</w:t>
      </w:r>
      <w:r w:rsidR="00560348" w:rsidRPr="00A524A9">
        <w:rPr>
          <w:rFonts w:eastAsiaTheme="minorHAnsi"/>
          <w:lang w:eastAsia="en-US"/>
        </w:rPr>
        <w:t xml:space="preserve"> </w:t>
      </w:r>
      <w:r w:rsidR="00313C5E" w:rsidRPr="00A524A9">
        <w:rPr>
          <w:rFonts w:eastAsiaTheme="minorHAnsi"/>
          <w:lang w:eastAsia="en-US"/>
        </w:rPr>
        <w:t>pek farkl</w:t>
      </w:r>
      <w:r w:rsidR="00A524A9" w:rsidRPr="00A524A9">
        <w:rPr>
          <w:rFonts w:eastAsiaTheme="minorHAnsi"/>
          <w:lang w:eastAsia="en-US"/>
        </w:rPr>
        <w:t>ı</w:t>
      </w:r>
      <w:r w:rsidR="00313C5E" w:rsidRPr="00A524A9">
        <w:rPr>
          <w:rFonts w:eastAsiaTheme="minorHAnsi"/>
          <w:lang w:eastAsia="en-US"/>
        </w:rPr>
        <w:t xml:space="preserve">laşmadığı </w:t>
      </w:r>
      <w:r w:rsidR="00560348" w:rsidRPr="00A524A9">
        <w:rPr>
          <w:rFonts w:eastAsiaTheme="minorHAnsi"/>
          <w:lang w:eastAsia="en-US"/>
        </w:rPr>
        <w:t>dikkat çekiyor.</w:t>
      </w:r>
      <w:r w:rsidR="00560348" w:rsidRPr="00560348">
        <w:rPr>
          <w:rFonts w:eastAsiaTheme="minorHAnsi"/>
          <w:lang w:eastAsia="en-US"/>
        </w:rPr>
        <w:t xml:space="preserve"> </w:t>
      </w:r>
    </w:p>
    <w:p w14:paraId="6C312234" w14:textId="77777777" w:rsidR="00E70CEB" w:rsidRPr="00560348" w:rsidRDefault="00E70CEB" w:rsidP="00E70CEB">
      <w:pPr>
        <w:pStyle w:val="Heading2"/>
        <w:rPr>
          <w:rFonts w:eastAsiaTheme="minorHAnsi"/>
          <w:lang w:val="tr-TR" w:eastAsia="en-US"/>
        </w:rPr>
      </w:pPr>
      <w:r w:rsidRPr="00560348">
        <w:rPr>
          <w:rFonts w:eastAsiaTheme="minorHAnsi"/>
          <w:lang w:val="tr-TR" w:eastAsia="en-US"/>
        </w:rPr>
        <w:t>Giriş</w:t>
      </w:r>
    </w:p>
    <w:p w14:paraId="33FA12D0" w14:textId="77777777" w:rsidR="00560348" w:rsidRPr="00560348" w:rsidRDefault="007E551B" w:rsidP="00E70CEB">
      <w:pPr>
        <w:rPr>
          <w:rFonts w:eastAsiaTheme="minorHAnsi"/>
          <w:lang w:eastAsia="en-US"/>
        </w:rPr>
      </w:pPr>
      <w:r>
        <w:rPr>
          <w:rFonts w:eastAsiaTheme="minorHAnsi"/>
          <w:lang w:eastAsia="en-US"/>
        </w:rPr>
        <w:t>B</w:t>
      </w:r>
      <w:r w:rsidR="00FA7C7B" w:rsidRPr="00560348">
        <w:rPr>
          <w:rFonts w:eastAsiaTheme="minorHAnsi"/>
          <w:lang w:eastAsia="en-US"/>
        </w:rPr>
        <w:t>ir önceki araştırma notunda 2016 yılın</w:t>
      </w:r>
      <w:r w:rsidR="00560348" w:rsidRPr="00560348">
        <w:rPr>
          <w:rFonts w:eastAsiaTheme="minorHAnsi"/>
          <w:lang w:eastAsia="en-US"/>
        </w:rPr>
        <w:t xml:space="preserve">ın tüm verileri ile 2017 yılının ilk üç çeyrek verilerini kullanarak 2016 yılındaki yüksek asgari ücret artışının </w:t>
      </w:r>
      <w:r w:rsidR="00560348" w:rsidRPr="00560348">
        <w:rPr>
          <w:szCs w:val="22"/>
          <w:lang w:eastAsia="tr-TR"/>
        </w:rPr>
        <w:t>(1000 TL’den 1300 TL’ye)</w:t>
      </w:r>
      <w:r w:rsidR="00FA7C7B" w:rsidRPr="00560348">
        <w:rPr>
          <w:rFonts w:eastAsiaTheme="minorHAnsi"/>
          <w:lang w:eastAsia="en-US"/>
        </w:rPr>
        <w:t xml:space="preserve"> kayıt dışı istihdama olan etkileri ücretli ve ücret dışı kesim ayrımı yaparak incelemiş ve bu etkinin özellikle işveren, kendi hesabına ve ücretsiz aile işçisi gibi ücret dışı kesim için pozitif olduğu yönünde bulgular gözlemlemiş; genişletilmiş araştırmanın </w:t>
      </w:r>
      <w:r w:rsidR="003D5470" w:rsidRPr="00560348">
        <w:rPr>
          <w:rFonts w:eastAsiaTheme="minorHAnsi"/>
          <w:lang w:eastAsia="en-US"/>
        </w:rPr>
        <w:t>sonuçlarının sonraki iki</w:t>
      </w:r>
      <w:r w:rsidR="00FA7C7B" w:rsidRPr="00560348">
        <w:rPr>
          <w:rFonts w:eastAsiaTheme="minorHAnsi"/>
          <w:lang w:eastAsia="en-US"/>
        </w:rPr>
        <w:t xml:space="preserve"> araştırma notumuz</w:t>
      </w:r>
      <w:r>
        <w:rPr>
          <w:rFonts w:eastAsiaTheme="minorHAnsi"/>
          <w:lang w:eastAsia="en-US"/>
        </w:rPr>
        <w:t xml:space="preserve">da ele alacağımızı </w:t>
      </w:r>
      <w:r w:rsidR="00FA7C7B" w:rsidRPr="00560348">
        <w:rPr>
          <w:rFonts w:eastAsiaTheme="minorHAnsi"/>
          <w:lang w:eastAsia="en-US"/>
        </w:rPr>
        <w:t>belirtmiştik. (bkz.</w:t>
      </w:r>
      <w:r w:rsidR="00560348" w:rsidRPr="00560348">
        <w:rPr>
          <w:rFonts w:eastAsiaTheme="minorHAnsi"/>
          <w:lang w:eastAsia="en-US"/>
        </w:rPr>
        <w:t xml:space="preserve"> Betam Araştırma Notu 18/22</w:t>
      </w:r>
      <w:r w:rsidR="00FA7C7B" w:rsidRPr="00560348">
        <w:rPr>
          <w:rFonts w:eastAsiaTheme="minorHAnsi"/>
          <w:lang w:eastAsia="en-US"/>
        </w:rPr>
        <w:t>0 “Asgari ücret kayıt dışı istihdamı olumsuz etkiledi”)</w:t>
      </w:r>
      <w:r w:rsidR="007B0077" w:rsidRPr="00560348">
        <w:rPr>
          <w:rStyle w:val="FootnoteReference"/>
          <w:rFonts w:eastAsiaTheme="minorHAnsi"/>
          <w:lang w:eastAsia="en-US"/>
        </w:rPr>
        <w:footnoteReference w:id="3"/>
      </w:r>
      <w:r w:rsidR="00FA7C7B" w:rsidRPr="00560348">
        <w:rPr>
          <w:rFonts w:eastAsiaTheme="minorHAnsi"/>
          <w:lang w:eastAsia="en-US"/>
        </w:rPr>
        <w:t xml:space="preserve">. </w:t>
      </w:r>
    </w:p>
    <w:p w14:paraId="1BB07B06" w14:textId="59C5CE24" w:rsidR="00A5648A" w:rsidRDefault="00560348" w:rsidP="00E70CEB">
      <w:pPr>
        <w:rPr>
          <w:szCs w:val="22"/>
          <w:lang w:eastAsia="tr-TR"/>
        </w:rPr>
      </w:pPr>
      <w:r w:rsidRPr="00560348">
        <w:rPr>
          <w:rFonts w:eastAsiaTheme="minorHAnsi"/>
          <w:lang w:eastAsia="en-US"/>
        </w:rPr>
        <w:t xml:space="preserve">Elinizdeki araştırma notunda </w:t>
      </w:r>
      <w:r w:rsidR="007E551B" w:rsidRPr="00A524A9">
        <w:rPr>
          <w:rFonts w:eastAsiaTheme="minorHAnsi"/>
          <w:lang w:eastAsia="en-US"/>
        </w:rPr>
        <w:t xml:space="preserve">asgari ücret şokunun etkilerini </w:t>
      </w:r>
      <w:r w:rsidR="00FA7C7B" w:rsidRPr="00A524A9">
        <w:rPr>
          <w:rFonts w:eastAsiaTheme="minorHAnsi"/>
          <w:lang w:eastAsia="en-US"/>
        </w:rPr>
        <w:t xml:space="preserve">sektörler </w:t>
      </w:r>
      <w:r w:rsidR="007E551B" w:rsidRPr="00A524A9">
        <w:rPr>
          <w:rFonts w:eastAsiaTheme="minorHAnsi"/>
          <w:lang w:eastAsia="en-US"/>
        </w:rPr>
        <w:t>düzeyinde inceliyoruz.</w:t>
      </w:r>
      <w:r w:rsidR="00FA7C7B" w:rsidRPr="00A524A9">
        <w:rPr>
          <w:rFonts w:eastAsiaTheme="minorHAnsi"/>
          <w:lang w:eastAsia="en-US"/>
        </w:rPr>
        <w:t xml:space="preserve"> </w:t>
      </w:r>
      <w:r w:rsidR="00897164" w:rsidRPr="00A524A9">
        <w:rPr>
          <w:rFonts w:eastAsiaTheme="minorHAnsi"/>
          <w:lang w:eastAsia="en-US"/>
        </w:rPr>
        <w:t>Sektörler arası ücret dağılımının asgari ücret artışının kayıt dışı çalışmaya olan</w:t>
      </w:r>
      <w:r w:rsidR="00897164">
        <w:rPr>
          <w:rFonts w:eastAsiaTheme="minorHAnsi"/>
          <w:lang w:eastAsia="en-US"/>
        </w:rPr>
        <w:t xml:space="preserve"> etkisini ölçmek için </w:t>
      </w:r>
      <w:r w:rsidR="00897164" w:rsidRPr="00033DA7">
        <w:rPr>
          <w:rFonts w:eastAsiaTheme="minorHAnsi"/>
          <w:lang w:eastAsia="en-US"/>
        </w:rPr>
        <w:t xml:space="preserve">kullanılabileceği varsayımını esas alıyoruz. </w:t>
      </w:r>
      <w:r w:rsidR="00320E5C" w:rsidRPr="00033DA7">
        <w:rPr>
          <w:szCs w:val="22"/>
          <w:lang w:eastAsia="tr-TR"/>
        </w:rPr>
        <w:t>Bu</w:t>
      </w:r>
      <w:r w:rsidR="00897164" w:rsidRPr="00033DA7">
        <w:rPr>
          <w:szCs w:val="22"/>
          <w:lang w:eastAsia="tr-TR"/>
        </w:rPr>
        <w:t xml:space="preserve"> varsayımın ilk </w:t>
      </w:r>
      <w:r w:rsidR="007E551B" w:rsidRPr="00033DA7">
        <w:rPr>
          <w:szCs w:val="22"/>
          <w:lang w:eastAsia="tr-TR"/>
        </w:rPr>
        <w:lastRenderedPageBreak/>
        <w:t xml:space="preserve">aşamasında </w:t>
      </w:r>
      <w:r w:rsidR="00320E5C" w:rsidRPr="00033DA7">
        <w:rPr>
          <w:szCs w:val="22"/>
          <w:lang w:eastAsia="tr-TR"/>
        </w:rPr>
        <w:t xml:space="preserve">her sektörde </w:t>
      </w:r>
      <w:r w:rsidR="009F2ABF">
        <w:rPr>
          <w:lang w:eastAsia="tr-TR"/>
        </w:rPr>
        <w:t xml:space="preserve">asgari ücret civarı ve altı ücret </w:t>
      </w:r>
      <w:r w:rsidR="009F2ABF">
        <w:rPr>
          <w:szCs w:val="22"/>
          <w:lang w:eastAsia="tr-TR"/>
        </w:rPr>
        <w:t>(bundan sonra kısaca “</w:t>
      </w:r>
      <w:r w:rsidR="007E551B" w:rsidRPr="00033DA7">
        <w:rPr>
          <w:szCs w:val="22"/>
          <w:lang w:eastAsia="tr-TR"/>
        </w:rPr>
        <w:t xml:space="preserve">düşük </w:t>
      </w:r>
      <w:r w:rsidR="00A524A9" w:rsidRPr="00033DA7">
        <w:rPr>
          <w:szCs w:val="22"/>
          <w:lang w:eastAsia="tr-TR"/>
        </w:rPr>
        <w:t>ücret</w:t>
      </w:r>
      <w:r w:rsidR="009F2ABF">
        <w:rPr>
          <w:szCs w:val="22"/>
          <w:lang w:eastAsia="tr-TR"/>
        </w:rPr>
        <w:t xml:space="preserve">” denilecektir) </w:t>
      </w:r>
      <w:r w:rsidR="009F2ABF">
        <w:rPr>
          <w:lang w:eastAsia="tr-TR"/>
        </w:rPr>
        <w:t>elde eden</w:t>
      </w:r>
      <w:r w:rsidR="00A524A9" w:rsidRPr="00033DA7">
        <w:rPr>
          <w:szCs w:val="22"/>
          <w:lang w:eastAsia="tr-TR"/>
        </w:rPr>
        <w:t xml:space="preserve"> çalışanların</w:t>
      </w:r>
      <w:r w:rsidR="00320E5C" w:rsidRPr="00033DA7">
        <w:rPr>
          <w:szCs w:val="22"/>
          <w:lang w:eastAsia="tr-TR"/>
        </w:rPr>
        <w:t xml:space="preserve"> oranı</w:t>
      </w:r>
      <w:r w:rsidR="00897164" w:rsidRPr="00033DA7">
        <w:rPr>
          <w:szCs w:val="22"/>
          <w:lang w:eastAsia="tr-TR"/>
        </w:rPr>
        <w:t>nın</w:t>
      </w:r>
      <w:r w:rsidR="00320E5C" w:rsidRPr="00033DA7">
        <w:rPr>
          <w:szCs w:val="22"/>
          <w:lang w:eastAsia="tr-TR"/>
        </w:rPr>
        <w:t xml:space="preserve"> farklılık göster</w:t>
      </w:r>
      <w:r w:rsidR="00897164" w:rsidRPr="00033DA7">
        <w:rPr>
          <w:szCs w:val="22"/>
          <w:lang w:eastAsia="tr-TR"/>
        </w:rPr>
        <w:t xml:space="preserve">diğini tespit etmek oluşturuyor. </w:t>
      </w:r>
      <w:r w:rsidR="00320E5C" w:rsidRPr="00033DA7">
        <w:rPr>
          <w:szCs w:val="22"/>
          <w:lang w:eastAsia="tr-TR"/>
        </w:rPr>
        <w:t xml:space="preserve">Bu oran “asgari ücret artışının söz konusu sektörü etkileme gücü” olarak değerlendirilebilir. </w:t>
      </w:r>
      <w:r w:rsidR="00A524A9">
        <w:rPr>
          <w:szCs w:val="22"/>
          <w:lang w:eastAsia="tr-TR"/>
        </w:rPr>
        <w:t>İ</w:t>
      </w:r>
      <w:r w:rsidR="00033DA7" w:rsidRPr="00033DA7">
        <w:rPr>
          <w:szCs w:val="22"/>
          <w:lang w:eastAsia="tr-TR"/>
        </w:rPr>
        <w:t>kinci</w:t>
      </w:r>
      <w:r w:rsidR="007E551B" w:rsidRPr="00033DA7">
        <w:rPr>
          <w:szCs w:val="22"/>
          <w:lang w:eastAsia="tr-TR"/>
        </w:rPr>
        <w:t xml:space="preserve"> aşamada</w:t>
      </w:r>
      <w:r w:rsidR="00897164" w:rsidRPr="00033DA7">
        <w:rPr>
          <w:szCs w:val="22"/>
          <w:lang w:eastAsia="tr-TR"/>
        </w:rPr>
        <w:t xml:space="preserve"> yukarıdaki önermenin doğru</w:t>
      </w:r>
      <w:r w:rsidR="007E551B" w:rsidRPr="00033DA7">
        <w:rPr>
          <w:szCs w:val="22"/>
          <w:lang w:eastAsia="tr-TR"/>
        </w:rPr>
        <w:t>luğunu sınıyoruz.</w:t>
      </w:r>
      <w:r w:rsidR="00897164" w:rsidRPr="00033DA7">
        <w:rPr>
          <w:szCs w:val="22"/>
          <w:lang w:eastAsia="tr-TR"/>
        </w:rPr>
        <w:t xml:space="preserve"> </w:t>
      </w:r>
      <w:r w:rsidR="00320E5C" w:rsidRPr="00033DA7">
        <w:rPr>
          <w:szCs w:val="22"/>
          <w:lang w:eastAsia="tr-TR"/>
        </w:rPr>
        <w:t xml:space="preserve">Bu </w:t>
      </w:r>
      <w:r w:rsidR="00897164" w:rsidRPr="00033DA7">
        <w:rPr>
          <w:szCs w:val="22"/>
          <w:lang w:eastAsia="tr-TR"/>
        </w:rPr>
        <w:t xml:space="preserve">önerme </w:t>
      </w:r>
      <w:r w:rsidR="00320E5C" w:rsidRPr="00033DA7">
        <w:rPr>
          <w:szCs w:val="22"/>
          <w:lang w:eastAsia="tr-TR"/>
        </w:rPr>
        <w:t xml:space="preserve">doğru ise </w:t>
      </w:r>
      <w:r w:rsidR="007E551B" w:rsidRPr="00033DA7">
        <w:rPr>
          <w:szCs w:val="22"/>
          <w:lang w:eastAsia="tr-TR"/>
        </w:rPr>
        <w:t>düşük ücretlerin</w:t>
      </w:r>
      <w:r w:rsidR="00320E5C" w:rsidRPr="00033DA7">
        <w:rPr>
          <w:szCs w:val="22"/>
          <w:lang w:eastAsia="tr-TR"/>
        </w:rPr>
        <w:t xml:space="preserve"> yoğun olduğu sektörlerde asgari ücret artışı daha etkili olacak ve kayıt dışı çalışma diğer</w:t>
      </w:r>
      <w:r w:rsidR="00897164" w:rsidRPr="00033DA7">
        <w:rPr>
          <w:szCs w:val="22"/>
          <w:lang w:eastAsia="tr-TR"/>
        </w:rPr>
        <w:t xml:space="preserve"> sektörlere kıyasla artacaktır.</w:t>
      </w:r>
      <w:r w:rsidR="00897164">
        <w:rPr>
          <w:szCs w:val="22"/>
          <w:lang w:eastAsia="tr-TR"/>
        </w:rPr>
        <w:t xml:space="preserve"> </w:t>
      </w:r>
    </w:p>
    <w:p w14:paraId="5C6C5744" w14:textId="7B10055C" w:rsidR="00E70CEB" w:rsidRPr="00560348" w:rsidRDefault="00897164" w:rsidP="00E70CEB">
      <w:pPr>
        <w:rPr>
          <w:szCs w:val="22"/>
          <w:lang w:eastAsia="tr-TR"/>
        </w:rPr>
      </w:pPr>
      <w:r>
        <w:rPr>
          <w:szCs w:val="22"/>
          <w:lang w:eastAsia="tr-TR"/>
        </w:rPr>
        <w:t>Bu konu ile ilgili geçen sene yayınladığımız notta (bkz.</w:t>
      </w:r>
      <w:r w:rsidR="00320E5C" w:rsidRPr="00560348">
        <w:rPr>
          <w:szCs w:val="22"/>
          <w:lang w:eastAsia="tr-TR"/>
        </w:rPr>
        <w:t xml:space="preserve"> Betam Araştırma Notu 16/196</w:t>
      </w:r>
      <w:r>
        <w:rPr>
          <w:szCs w:val="22"/>
          <w:lang w:eastAsia="tr-TR"/>
        </w:rPr>
        <w:t>)</w:t>
      </w:r>
      <w:r w:rsidR="00320E5C" w:rsidRPr="00560348">
        <w:rPr>
          <w:szCs w:val="22"/>
          <w:lang w:eastAsia="tr-TR"/>
        </w:rPr>
        <w:t xml:space="preserve"> bu varsayımı </w:t>
      </w:r>
      <w:r>
        <w:rPr>
          <w:szCs w:val="22"/>
          <w:lang w:eastAsia="tr-TR"/>
        </w:rPr>
        <w:t xml:space="preserve">sınamış ve ilk bulguların bu varsayımı </w:t>
      </w:r>
      <w:r w:rsidR="00320E5C" w:rsidRPr="00560348">
        <w:rPr>
          <w:szCs w:val="22"/>
          <w:lang w:eastAsia="tr-TR"/>
        </w:rPr>
        <w:t xml:space="preserve">doğrular nitelikte </w:t>
      </w:r>
      <w:r>
        <w:rPr>
          <w:szCs w:val="22"/>
          <w:lang w:eastAsia="tr-TR"/>
        </w:rPr>
        <w:t>olduğunu belirtmiştik.</w:t>
      </w:r>
      <w:r w:rsidR="00320E5C" w:rsidRPr="00560348">
        <w:rPr>
          <w:szCs w:val="22"/>
          <w:lang w:eastAsia="tr-TR"/>
        </w:rPr>
        <w:t xml:space="preserve"> Bu araştırma </w:t>
      </w:r>
      <w:r>
        <w:rPr>
          <w:szCs w:val="22"/>
          <w:lang w:eastAsia="tr-TR"/>
        </w:rPr>
        <w:t xml:space="preserve">notu </w:t>
      </w:r>
      <w:r w:rsidR="00320E5C" w:rsidRPr="00560348">
        <w:rPr>
          <w:szCs w:val="22"/>
          <w:lang w:eastAsia="tr-TR"/>
        </w:rPr>
        <w:t>ise bu bulguyu</w:t>
      </w:r>
      <w:r w:rsidR="003D5470" w:rsidRPr="00560348">
        <w:rPr>
          <w:szCs w:val="22"/>
          <w:lang w:eastAsia="tr-TR"/>
        </w:rPr>
        <w:t xml:space="preserve"> </w:t>
      </w:r>
      <w:r w:rsidR="00600C19" w:rsidRPr="00033DA7">
        <w:rPr>
          <w:szCs w:val="22"/>
          <w:lang w:eastAsia="tr-TR"/>
        </w:rPr>
        <w:t>geçen zaman içinde açıklanan</w:t>
      </w:r>
      <w:r w:rsidR="00600C19">
        <w:rPr>
          <w:szCs w:val="22"/>
          <w:lang w:eastAsia="tr-TR"/>
        </w:rPr>
        <w:t xml:space="preserve"> </w:t>
      </w:r>
      <w:r w:rsidR="003D5470" w:rsidRPr="00560348">
        <w:rPr>
          <w:szCs w:val="22"/>
          <w:lang w:eastAsia="tr-TR"/>
        </w:rPr>
        <w:t>H</w:t>
      </w:r>
      <w:r>
        <w:rPr>
          <w:szCs w:val="22"/>
          <w:lang w:eastAsia="tr-TR"/>
        </w:rPr>
        <w:t>anehalkı İşgücü Anketi (HİA)</w:t>
      </w:r>
      <w:r w:rsidR="003D5470" w:rsidRPr="00560348">
        <w:rPr>
          <w:szCs w:val="22"/>
          <w:lang w:eastAsia="tr-TR"/>
        </w:rPr>
        <w:t xml:space="preserve"> </w:t>
      </w:r>
      <w:r w:rsidR="00600C19" w:rsidRPr="00033DA7">
        <w:rPr>
          <w:szCs w:val="22"/>
          <w:lang w:eastAsia="tr-TR"/>
        </w:rPr>
        <w:t>yeni</w:t>
      </w:r>
      <w:r w:rsidR="00600C19">
        <w:rPr>
          <w:szCs w:val="22"/>
          <w:lang w:eastAsia="tr-TR"/>
        </w:rPr>
        <w:t xml:space="preserve"> </w:t>
      </w:r>
      <w:r w:rsidR="003D5470" w:rsidRPr="00560348">
        <w:rPr>
          <w:szCs w:val="22"/>
          <w:lang w:eastAsia="tr-TR"/>
        </w:rPr>
        <w:t>verileri</w:t>
      </w:r>
      <w:r>
        <w:rPr>
          <w:szCs w:val="22"/>
          <w:lang w:eastAsia="tr-TR"/>
        </w:rPr>
        <w:t>ni (dönemsel ve yıllık) kullanarak</w:t>
      </w:r>
      <w:r w:rsidR="00320E5C" w:rsidRPr="00560348">
        <w:rPr>
          <w:szCs w:val="22"/>
          <w:lang w:eastAsia="tr-TR"/>
        </w:rPr>
        <w:t xml:space="preserve"> bir adım öteye götürüyor ve asgari ücret artışının etkisinin özellikle</w:t>
      </w:r>
      <w:r w:rsidR="00A5648A">
        <w:rPr>
          <w:szCs w:val="22"/>
          <w:lang w:eastAsia="tr-TR"/>
        </w:rPr>
        <w:t xml:space="preserve"> artışı izleyen ilk </w:t>
      </w:r>
      <w:r w:rsidR="00320E5C" w:rsidRPr="00560348">
        <w:rPr>
          <w:szCs w:val="22"/>
          <w:lang w:eastAsia="tr-TR"/>
        </w:rPr>
        <w:t xml:space="preserve">iki çeyrekte </w:t>
      </w:r>
      <w:r w:rsidR="00962B47" w:rsidRPr="00560348">
        <w:rPr>
          <w:szCs w:val="22"/>
          <w:lang w:eastAsia="tr-TR"/>
        </w:rPr>
        <w:t xml:space="preserve">düşük ücretli çalışanların yoğun olduğu sektörlerde </w:t>
      </w:r>
      <w:r w:rsidR="00A5648A">
        <w:rPr>
          <w:szCs w:val="22"/>
          <w:lang w:eastAsia="tr-TR"/>
        </w:rPr>
        <w:t>kayıt dışı çalışma oranını daha fazla artırdığını</w:t>
      </w:r>
      <w:r w:rsidR="002A2A9C">
        <w:rPr>
          <w:szCs w:val="22"/>
          <w:lang w:eastAsia="tr-TR"/>
        </w:rPr>
        <w:t>,</w:t>
      </w:r>
      <w:r w:rsidR="00A5648A">
        <w:rPr>
          <w:szCs w:val="22"/>
          <w:lang w:eastAsia="tr-TR"/>
        </w:rPr>
        <w:t xml:space="preserve"> 2016 yılının dördüncü çeyreği ve izleyen 2017 yılında ise </w:t>
      </w:r>
      <w:r w:rsidR="00320E5C" w:rsidRPr="00560348">
        <w:rPr>
          <w:szCs w:val="22"/>
          <w:lang w:eastAsia="tr-TR"/>
        </w:rPr>
        <w:t>bu etkinin</w:t>
      </w:r>
      <w:r w:rsidR="00A5648A">
        <w:rPr>
          <w:szCs w:val="22"/>
          <w:lang w:eastAsia="tr-TR"/>
        </w:rPr>
        <w:t xml:space="preserve"> devam etmekle birlikte </w:t>
      </w:r>
      <w:r w:rsidR="00962B47" w:rsidRPr="00560348">
        <w:rPr>
          <w:szCs w:val="22"/>
          <w:lang w:eastAsia="tr-TR"/>
        </w:rPr>
        <w:t xml:space="preserve">tüm sektörlere </w:t>
      </w:r>
      <w:r w:rsidR="00A5648A">
        <w:rPr>
          <w:szCs w:val="22"/>
          <w:lang w:eastAsia="tr-TR"/>
        </w:rPr>
        <w:t xml:space="preserve">görece eşit şekilde </w:t>
      </w:r>
      <w:r w:rsidR="00962B47" w:rsidRPr="00560348">
        <w:rPr>
          <w:szCs w:val="22"/>
          <w:lang w:eastAsia="tr-TR"/>
        </w:rPr>
        <w:t>dağıldığını</w:t>
      </w:r>
      <w:r w:rsidR="00320E5C" w:rsidRPr="00560348">
        <w:rPr>
          <w:szCs w:val="22"/>
          <w:lang w:eastAsia="tr-TR"/>
        </w:rPr>
        <w:t xml:space="preserve"> tespit ediyoruz.</w:t>
      </w:r>
      <w:r>
        <w:rPr>
          <w:szCs w:val="22"/>
          <w:lang w:eastAsia="tr-TR"/>
        </w:rPr>
        <w:t xml:space="preserve"> </w:t>
      </w:r>
    </w:p>
    <w:p w14:paraId="268B7838" w14:textId="00B2E20A" w:rsidR="00774E20" w:rsidRPr="00774E20" w:rsidRDefault="008342DA" w:rsidP="00774E20">
      <w:pPr>
        <w:pStyle w:val="Heading2"/>
        <w:rPr>
          <w:rFonts w:eastAsiaTheme="minorHAnsi"/>
          <w:lang w:val="tr-TR" w:eastAsia="en-US"/>
        </w:rPr>
      </w:pPr>
      <w:r w:rsidRPr="00E70CEB">
        <w:rPr>
          <w:rFonts w:eastAsiaTheme="minorHAnsi"/>
          <w:lang w:val="tr-TR" w:eastAsia="en-US"/>
        </w:rPr>
        <w:t>Kayıt dışılık artışı düşük ücretli sektörlerde daha belirgin</w:t>
      </w:r>
    </w:p>
    <w:p w14:paraId="02A6FE6D" w14:textId="6F7FFCF4" w:rsidR="006F62A7" w:rsidRPr="00924F54" w:rsidRDefault="00430421" w:rsidP="00354F13">
      <w:pPr>
        <w:rPr>
          <w:lang w:eastAsia="tr-TR"/>
        </w:rPr>
      </w:pPr>
      <w:r w:rsidRPr="000C47B4">
        <w:rPr>
          <w:lang w:eastAsia="tr-TR"/>
        </w:rPr>
        <w:t xml:space="preserve">10 Ocak 2018’de yayınladığımız </w:t>
      </w:r>
      <w:r w:rsidR="00354F13" w:rsidRPr="000C47B4">
        <w:rPr>
          <w:lang w:eastAsia="tr-TR"/>
        </w:rPr>
        <w:t>araştırma notumuzda</w:t>
      </w:r>
      <w:r w:rsidRPr="000C47B4">
        <w:rPr>
          <w:lang w:eastAsia="tr-TR"/>
        </w:rPr>
        <w:t>, ücretli kesimde</w:t>
      </w:r>
      <w:r w:rsidR="00354F13" w:rsidRPr="000C47B4">
        <w:rPr>
          <w:lang w:eastAsia="tr-TR"/>
        </w:rPr>
        <w:t xml:space="preserve"> kayıt dışı</w:t>
      </w:r>
      <w:r w:rsidRPr="000C47B4">
        <w:rPr>
          <w:lang w:eastAsia="tr-TR"/>
        </w:rPr>
        <w:t xml:space="preserve"> çalışma oranının incelediğimiz 2005 sonrası dönemde neredeyse düzenli şekilde azaldığını </w:t>
      </w:r>
      <w:r w:rsidR="006F62A7" w:rsidRPr="000C47B4">
        <w:rPr>
          <w:lang w:eastAsia="tr-TR"/>
        </w:rPr>
        <w:t xml:space="preserve">ve konumuz açısından önemli olan 2015’den 2016’ya geçişte </w:t>
      </w:r>
      <w:r w:rsidR="00EB6C16" w:rsidRPr="000C47B4">
        <w:rPr>
          <w:lang w:eastAsia="tr-TR"/>
        </w:rPr>
        <w:t>daha önceki eğilim</w:t>
      </w:r>
      <w:r w:rsidR="0034220A" w:rsidRPr="000C47B4">
        <w:rPr>
          <w:lang w:eastAsia="tr-TR"/>
        </w:rPr>
        <w:t xml:space="preserve">lere kıyasla kayıt dışı çalışma oranındaki azalışın çok düşük kaldığını (yalnızca 0,2 yüzde puan) belirtmiştik. </w:t>
      </w:r>
      <w:r w:rsidR="00354F13" w:rsidRPr="000C47B4">
        <w:rPr>
          <w:lang w:eastAsia="tr-TR"/>
        </w:rPr>
        <w:t>Ücret dışı kesimde ise 2016 öncesi genelde azalma eğilimi gösteren kayıt dışılık oranları</w:t>
      </w:r>
      <w:r w:rsidR="006F62A7" w:rsidRPr="000C47B4">
        <w:rPr>
          <w:lang w:eastAsia="tr-TR"/>
        </w:rPr>
        <w:t>nın</w:t>
      </w:r>
      <w:r w:rsidR="00354F13" w:rsidRPr="000C47B4">
        <w:rPr>
          <w:lang w:eastAsia="tr-TR"/>
        </w:rPr>
        <w:t xml:space="preserve"> 2015’ten 2016’ya artış göster</w:t>
      </w:r>
      <w:r w:rsidR="006F62A7" w:rsidRPr="000C47B4">
        <w:rPr>
          <w:lang w:eastAsia="tr-TR"/>
        </w:rPr>
        <w:t xml:space="preserve">erek genel eğilimden ayrıştığını ifade etmiştik. </w:t>
      </w:r>
      <w:r w:rsidR="0034220A" w:rsidRPr="000C47B4">
        <w:rPr>
          <w:lang w:eastAsia="tr-TR"/>
        </w:rPr>
        <w:t xml:space="preserve">Yukarıdaki saptamalar </w:t>
      </w:r>
      <w:r w:rsidR="00924F54" w:rsidRPr="000C47B4">
        <w:rPr>
          <w:lang w:eastAsia="tr-TR"/>
        </w:rPr>
        <w:t xml:space="preserve">hem ücretliler hem de toplam istihdam için </w:t>
      </w:r>
      <w:r w:rsidR="0034220A" w:rsidRPr="000C47B4">
        <w:rPr>
          <w:lang w:eastAsia="tr-TR"/>
        </w:rPr>
        <w:t>ekonominin tamamına ait oldu</w:t>
      </w:r>
      <w:r w:rsidR="00924F54" w:rsidRPr="000C47B4">
        <w:rPr>
          <w:lang w:eastAsia="tr-TR"/>
        </w:rPr>
        <w:t xml:space="preserve">kları için sektörel farklılıklar tespit edilememektedir. Düşük ücretlilerin yoğun olduğu sektörler ile diğer sektörler asgari ücret artışından farklı etkilenmiş olabilir ve bu etkiler </w:t>
      </w:r>
      <w:r w:rsidR="00E162EE" w:rsidRPr="000C47B4">
        <w:rPr>
          <w:lang w:eastAsia="tr-TR"/>
        </w:rPr>
        <w:t>pekâlâ</w:t>
      </w:r>
      <w:r w:rsidR="00924F54" w:rsidRPr="000C47B4">
        <w:rPr>
          <w:lang w:eastAsia="tr-TR"/>
        </w:rPr>
        <w:t xml:space="preserve"> birbirini gölgelemiş olabilir. Varsayımımızı </w:t>
      </w:r>
      <w:r w:rsidR="002A2A9C" w:rsidRPr="009F2ABF">
        <w:rPr>
          <w:lang w:eastAsia="tr-TR"/>
        </w:rPr>
        <w:t>sınamak</w:t>
      </w:r>
      <w:r w:rsidR="002A2A9C" w:rsidRPr="000C47B4">
        <w:rPr>
          <w:lang w:eastAsia="tr-TR"/>
        </w:rPr>
        <w:t xml:space="preserve"> </w:t>
      </w:r>
      <w:r w:rsidR="00924F54" w:rsidRPr="000C47B4">
        <w:rPr>
          <w:lang w:eastAsia="tr-TR"/>
        </w:rPr>
        <w:t>etmek için</w:t>
      </w:r>
      <w:r w:rsidR="0034220A" w:rsidRPr="000C47B4">
        <w:rPr>
          <w:lang w:eastAsia="tr-TR"/>
        </w:rPr>
        <w:t xml:space="preserve"> </w:t>
      </w:r>
      <w:r w:rsidR="00924F54" w:rsidRPr="000C47B4">
        <w:rPr>
          <w:lang w:eastAsia="tr-TR"/>
        </w:rPr>
        <w:t xml:space="preserve">daha ayrıntılı bir sektörel analize ihtiyaç vardır. </w:t>
      </w:r>
      <w:r w:rsidR="006F62A7" w:rsidRPr="000C47B4">
        <w:rPr>
          <w:lang w:eastAsia="tr-TR"/>
        </w:rPr>
        <w:t>Aşağıda bu konuya detaylı olarak değineceğiz.</w:t>
      </w:r>
      <w:r w:rsidR="006F62A7" w:rsidRPr="00924F54">
        <w:rPr>
          <w:lang w:eastAsia="tr-TR"/>
        </w:rPr>
        <w:t xml:space="preserve"> </w:t>
      </w:r>
    </w:p>
    <w:p w14:paraId="5B7B44CF" w14:textId="77777777" w:rsidR="008342DA" w:rsidRDefault="008342DA" w:rsidP="008342DA">
      <w:pPr>
        <w:pStyle w:val="Heading2"/>
        <w:rPr>
          <w:sz w:val="22"/>
          <w:szCs w:val="22"/>
          <w:lang w:val="tr-TR" w:eastAsia="tr-TR"/>
        </w:rPr>
      </w:pPr>
      <w:r w:rsidRPr="00E70CEB">
        <w:rPr>
          <w:sz w:val="22"/>
          <w:szCs w:val="22"/>
          <w:lang w:val="tr-TR" w:eastAsia="tr-TR"/>
        </w:rPr>
        <w:t xml:space="preserve">Veri ve yöntem </w:t>
      </w:r>
    </w:p>
    <w:p w14:paraId="230B8F4C" w14:textId="0405252F" w:rsidR="0002354A" w:rsidRPr="00E70CEB" w:rsidRDefault="0002354A" w:rsidP="0002354A">
      <w:pPr>
        <w:rPr>
          <w:szCs w:val="22"/>
          <w:lang w:eastAsia="tr-TR"/>
        </w:rPr>
      </w:pPr>
      <w:r w:rsidRPr="00E70CEB">
        <w:rPr>
          <w:szCs w:val="22"/>
          <w:lang w:eastAsia="tr-TR"/>
        </w:rPr>
        <w:t>Asgari ücret artışının kayıt dışı istihdamı ne ölçüde etkilediğini anlamak adına izlediğimiz yönt</w:t>
      </w:r>
      <w:r w:rsidR="002F636A">
        <w:rPr>
          <w:szCs w:val="22"/>
          <w:lang w:eastAsia="tr-TR"/>
        </w:rPr>
        <w:t>emi şöyle özetleyebiliriz: 2014</w:t>
      </w:r>
      <w:r w:rsidR="00D75577">
        <w:rPr>
          <w:szCs w:val="22"/>
          <w:lang w:eastAsia="tr-TR"/>
        </w:rPr>
        <w:t>-2016</w:t>
      </w:r>
      <w:r w:rsidRPr="00E70CEB">
        <w:rPr>
          <w:szCs w:val="22"/>
          <w:lang w:eastAsia="tr-TR"/>
        </w:rPr>
        <w:t xml:space="preserve"> </w:t>
      </w:r>
      <w:r w:rsidR="002F636A">
        <w:rPr>
          <w:szCs w:val="22"/>
          <w:lang w:eastAsia="tr-TR"/>
        </w:rPr>
        <w:t>v</w:t>
      </w:r>
      <w:r w:rsidRPr="00E70CEB">
        <w:rPr>
          <w:szCs w:val="22"/>
          <w:lang w:eastAsia="tr-TR"/>
        </w:rPr>
        <w:t xml:space="preserve">erilerini kullanarak </w:t>
      </w:r>
      <w:proofErr w:type="spellStart"/>
      <w:r w:rsidRPr="00E70CEB">
        <w:rPr>
          <w:szCs w:val="22"/>
          <w:lang w:eastAsia="tr-TR"/>
        </w:rPr>
        <w:t>sektörel</w:t>
      </w:r>
      <w:proofErr w:type="spellEnd"/>
      <w:r w:rsidRPr="00E70CEB">
        <w:rPr>
          <w:szCs w:val="22"/>
          <w:lang w:eastAsia="tr-TR"/>
        </w:rPr>
        <w:t xml:space="preserve"> düzeyde düşük ücret alan tam zamanlı </w:t>
      </w:r>
      <w:r w:rsidRPr="0086173D">
        <w:rPr>
          <w:szCs w:val="22"/>
          <w:lang w:eastAsia="tr-TR"/>
        </w:rPr>
        <w:t xml:space="preserve">çalışanların oranını hesaplıyoruz. Asgari ücret artışının kayıt dışı istihdama etkisi varsa bu etkinin </w:t>
      </w:r>
      <w:r w:rsidR="00BF18AC" w:rsidRPr="0086173D">
        <w:rPr>
          <w:szCs w:val="22"/>
          <w:lang w:eastAsia="tr-TR"/>
        </w:rPr>
        <w:t>düşük ücretlilerin</w:t>
      </w:r>
      <w:r w:rsidRPr="0086173D">
        <w:rPr>
          <w:szCs w:val="22"/>
          <w:lang w:eastAsia="tr-TR"/>
        </w:rPr>
        <w:t xml:space="preserve"> daha yoğun olduğu sektörlerde daha yüksek olması beklenir. O halde 201</w:t>
      </w:r>
      <w:r w:rsidR="00D75577">
        <w:rPr>
          <w:szCs w:val="22"/>
          <w:lang w:eastAsia="tr-TR"/>
        </w:rPr>
        <w:t xml:space="preserve">4-2016 </w:t>
      </w:r>
      <w:bookmarkStart w:id="0" w:name="_GoBack"/>
      <w:bookmarkEnd w:id="0"/>
      <w:r w:rsidRPr="0086173D">
        <w:rPr>
          <w:szCs w:val="22"/>
          <w:lang w:eastAsia="tr-TR"/>
        </w:rPr>
        <w:t xml:space="preserve">ve kısmen 2017 verileri ile sektörlerin kayıt dışı istihdam oranlarını karşılaştırarak kayıt dışı istihdam artışının yüksek olduğu sektörlerin aynı zamanda yüksek oranda </w:t>
      </w:r>
      <w:r w:rsidR="00BF18AC" w:rsidRPr="0086173D">
        <w:rPr>
          <w:szCs w:val="22"/>
          <w:lang w:eastAsia="tr-TR"/>
        </w:rPr>
        <w:t xml:space="preserve">düşük ücretli </w:t>
      </w:r>
      <w:r w:rsidRPr="0086173D">
        <w:rPr>
          <w:szCs w:val="22"/>
          <w:lang w:eastAsia="tr-TR"/>
        </w:rPr>
        <w:t>çalıştırıp çalıştırmadıklarını</w:t>
      </w:r>
      <w:r w:rsidRPr="00E70CEB">
        <w:rPr>
          <w:szCs w:val="22"/>
          <w:lang w:eastAsia="tr-TR"/>
        </w:rPr>
        <w:t xml:space="preserve"> test edebiliriz. </w:t>
      </w:r>
    </w:p>
    <w:p w14:paraId="0D8515C7" w14:textId="678300CE" w:rsidR="009001CB" w:rsidRPr="00C75054" w:rsidRDefault="00D91D4D" w:rsidP="009001CB">
      <w:pPr>
        <w:keepNext/>
        <w:rPr>
          <w:szCs w:val="22"/>
        </w:rPr>
      </w:pPr>
      <w:r w:rsidRPr="005A499F">
        <w:rPr>
          <w:szCs w:val="22"/>
        </w:rPr>
        <w:t xml:space="preserve">Daha önceki çalışma notumuzdaki bulguların asgari ücret şoklarının sadece ücretlilerde değil ücret dışı çalışan kesimlerde de etkili olabileceğini </w:t>
      </w:r>
      <w:r w:rsidR="00BF18AC" w:rsidRPr="005A499F">
        <w:rPr>
          <w:szCs w:val="22"/>
        </w:rPr>
        <w:t xml:space="preserve">gösterdiğini </w:t>
      </w:r>
      <w:r w:rsidRPr="005A499F">
        <w:rPr>
          <w:szCs w:val="22"/>
        </w:rPr>
        <w:t xml:space="preserve">düşünüyoruz. </w:t>
      </w:r>
      <w:r w:rsidR="009001CB" w:rsidRPr="005A499F">
        <w:rPr>
          <w:szCs w:val="22"/>
        </w:rPr>
        <w:t>Bu</w:t>
      </w:r>
      <w:r w:rsidR="00BF18AC" w:rsidRPr="005A499F">
        <w:rPr>
          <w:szCs w:val="22"/>
        </w:rPr>
        <w:t xml:space="preserve"> etkinin </w:t>
      </w:r>
      <w:r w:rsidR="009001CB" w:rsidRPr="005A499F">
        <w:rPr>
          <w:szCs w:val="22"/>
        </w:rPr>
        <w:t xml:space="preserve">hangi mekanizmalarla gerçekleşmiş olabileceği </w:t>
      </w:r>
      <w:r w:rsidR="00BF18AC" w:rsidRPr="005A499F">
        <w:rPr>
          <w:szCs w:val="22"/>
        </w:rPr>
        <w:t xml:space="preserve">araştırılması gereken bir konu. </w:t>
      </w:r>
      <w:r w:rsidR="009001CB" w:rsidRPr="005A499F">
        <w:rPr>
          <w:szCs w:val="22"/>
        </w:rPr>
        <w:lastRenderedPageBreak/>
        <w:t xml:space="preserve">Bununla beraber akla gelen ilk </w:t>
      </w:r>
      <w:r w:rsidR="00BF18AC" w:rsidRPr="005A499F">
        <w:rPr>
          <w:szCs w:val="22"/>
        </w:rPr>
        <w:t>neden</w:t>
      </w:r>
      <w:r w:rsidR="009001CB" w:rsidRPr="005A499F">
        <w:rPr>
          <w:szCs w:val="22"/>
        </w:rPr>
        <w:t xml:space="preserve"> artan sigorta primleri kendi hesabına çalışan ve işverenler için kayıtlı olmanın maliyetini artırmış olmasıdır. </w:t>
      </w:r>
      <w:r w:rsidR="00333CC3" w:rsidRPr="005A499F">
        <w:rPr>
          <w:szCs w:val="22"/>
        </w:rPr>
        <w:t xml:space="preserve">Özellikle yeni kurulan küçük aile şirketleri bir müddet kayıtsız çalışmayı tercih etmiş olabilir. </w:t>
      </w:r>
      <w:r w:rsidR="009001CB" w:rsidRPr="005A499F">
        <w:rPr>
          <w:szCs w:val="22"/>
        </w:rPr>
        <w:t>Düşük ücretli sektörlerde çalışan ücretlilerin artan maliyetler sebebiyle işini kaybetmesi ve küçük aile şirketinde kayıt dışı çalışmaya başlaması diğer bir olasılıktır.</w:t>
      </w:r>
      <w:r w:rsidR="009001CB">
        <w:rPr>
          <w:szCs w:val="22"/>
        </w:rPr>
        <w:t xml:space="preserve"> </w:t>
      </w:r>
    </w:p>
    <w:p w14:paraId="45A12B7D" w14:textId="472BA94A" w:rsidR="007A5DBB" w:rsidRDefault="009001CB" w:rsidP="002B61E5">
      <w:pPr>
        <w:rPr>
          <w:lang w:eastAsia="tr-TR"/>
        </w:rPr>
      </w:pPr>
      <w:r w:rsidRPr="003B2D33">
        <w:rPr>
          <w:lang w:eastAsia="tr-TR"/>
        </w:rPr>
        <w:t>Asgari ücret artışının sektörleri etkileme derecesi olarak asgari ücret artışı öncesi asgari ücret civarı ve altı ücret elde eden çalışanların</w:t>
      </w:r>
      <w:r w:rsidR="005A499F" w:rsidRPr="003B2D33">
        <w:rPr>
          <w:lang w:eastAsia="tr-TR"/>
        </w:rPr>
        <w:t xml:space="preserve"> </w:t>
      </w:r>
      <w:r w:rsidRPr="003B2D33">
        <w:rPr>
          <w:lang w:eastAsia="tr-TR"/>
        </w:rPr>
        <w:t xml:space="preserve">oranını kullanıyoruz. Bu bilgiyi HİA mikro verilerinden elde ediyoruz. </w:t>
      </w:r>
      <w:proofErr w:type="spellStart"/>
      <w:r w:rsidR="003D1DD0" w:rsidRPr="003B2D33">
        <w:rPr>
          <w:lang w:eastAsia="tr-TR"/>
        </w:rPr>
        <w:t>Card</w:t>
      </w:r>
      <w:proofErr w:type="spellEnd"/>
      <w:r w:rsidR="003D1DD0" w:rsidRPr="003B2D33">
        <w:rPr>
          <w:lang w:eastAsia="tr-TR"/>
        </w:rPr>
        <w:t xml:space="preserve"> (1992)</w:t>
      </w:r>
      <w:r w:rsidR="00246C2F" w:rsidRPr="003B2D33">
        <w:rPr>
          <w:lang w:eastAsia="tr-TR"/>
        </w:rPr>
        <w:t xml:space="preserve"> yaklaşımını kullanarak, bir sektö</w:t>
      </w:r>
      <w:r w:rsidR="007A5DBB" w:rsidRPr="003B2D33">
        <w:rPr>
          <w:lang w:eastAsia="tr-TR"/>
        </w:rPr>
        <w:t xml:space="preserve">rün </w:t>
      </w:r>
      <w:r w:rsidR="00223E97" w:rsidRPr="003B2D33">
        <w:rPr>
          <w:lang w:eastAsia="tr-TR"/>
        </w:rPr>
        <w:t>asgari ücret artışından nasıl etkilendiğini ölçmek için</w:t>
      </w:r>
      <w:r w:rsidR="007B02BB" w:rsidRPr="003B2D33">
        <w:rPr>
          <w:lang w:eastAsia="tr-TR"/>
        </w:rPr>
        <w:t xml:space="preserve"> </w:t>
      </w:r>
      <w:r w:rsidR="00246C2F" w:rsidRPr="003B2D33">
        <w:rPr>
          <w:lang w:eastAsia="tr-TR"/>
        </w:rPr>
        <w:t xml:space="preserve">o </w:t>
      </w:r>
      <w:r w:rsidR="007B02BB" w:rsidRPr="003B2D33">
        <w:rPr>
          <w:lang w:eastAsia="tr-TR"/>
        </w:rPr>
        <w:t>sektörde bir sonraki yıl</w:t>
      </w:r>
      <w:r w:rsidR="00246C2F" w:rsidRPr="003B2D33">
        <w:rPr>
          <w:lang w:eastAsia="tr-TR"/>
        </w:rPr>
        <w:t xml:space="preserve"> uygulanacak</w:t>
      </w:r>
      <w:r w:rsidR="007B02BB" w:rsidRPr="003B2D33">
        <w:rPr>
          <w:lang w:eastAsia="tr-TR"/>
        </w:rPr>
        <w:t xml:space="preserve"> </w:t>
      </w:r>
      <w:r w:rsidR="00223E97" w:rsidRPr="003B2D33">
        <w:rPr>
          <w:lang w:eastAsia="tr-TR"/>
        </w:rPr>
        <w:t>asgari ücret</w:t>
      </w:r>
      <w:r w:rsidR="007B02BB" w:rsidRPr="003B2D33">
        <w:rPr>
          <w:lang w:eastAsia="tr-TR"/>
        </w:rPr>
        <w:t xml:space="preserve"> seviy</w:t>
      </w:r>
      <w:r w:rsidR="00246C2F" w:rsidRPr="003B2D33">
        <w:rPr>
          <w:lang w:eastAsia="tr-TR"/>
        </w:rPr>
        <w:t xml:space="preserve">esine eşit veya daha </w:t>
      </w:r>
      <w:r w:rsidR="007B02BB" w:rsidRPr="003B2D33">
        <w:rPr>
          <w:lang w:eastAsia="tr-TR"/>
        </w:rPr>
        <w:t xml:space="preserve">düşük </w:t>
      </w:r>
      <w:r w:rsidR="00246C2F" w:rsidRPr="003B2D33">
        <w:rPr>
          <w:lang w:eastAsia="tr-TR"/>
        </w:rPr>
        <w:t xml:space="preserve">bir </w:t>
      </w:r>
      <w:r w:rsidR="007B02BB" w:rsidRPr="003B2D33">
        <w:rPr>
          <w:lang w:eastAsia="tr-TR"/>
        </w:rPr>
        <w:t xml:space="preserve">ücretle çalışanların </w:t>
      </w:r>
      <w:r w:rsidR="00223E97" w:rsidRPr="003B2D33">
        <w:rPr>
          <w:lang w:eastAsia="tr-TR"/>
        </w:rPr>
        <w:t>oranı</w:t>
      </w:r>
      <w:r w:rsidR="007A5DBB" w:rsidRPr="003B2D33">
        <w:rPr>
          <w:lang w:eastAsia="tr-TR"/>
        </w:rPr>
        <w:t>nı kullanıyoruz</w:t>
      </w:r>
      <w:r w:rsidR="00223E97" w:rsidRPr="003B2D33">
        <w:rPr>
          <w:lang w:eastAsia="tr-TR"/>
        </w:rPr>
        <w:t xml:space="preserve">. </w:t>
      </w:r>
      <w:proofErr w:type="spellStart"/>
      <w:r w:rsidR="00246C2F" w:rsidRPr="003B2D33">
        <w:rPr>
          <w:lang w:eastAsia="tr-TR"/>
        </w:rPr>
        <w:t>Card’ın</w:t>
      </w:r>
      <w:proofErr w:type="spellEnd"/>
      <w:r w:rsidR="00246C2F" w:rsidRPr="003B2D33">
        <w:rPr>
          <w:lang w:eastAsia="tr-TR"/>
        </w:rPr>
        <w:t xml:space="preserve"> (1992) makalesiyle kıyaslandığında tek fark yaptığımız enflasyon düzeltmesi. Somut bir örnekle açıklamak gerekirse, 2015 yılı ortalama asgari ücre</w:t>
      </w:r>
      <w:r w:rsidR="001D47A1" w:rsidRPr="003B2D33">
        <w:rPr>
          <w:lang w:eastAsia="tr-TR"/>
        </w:rPr>
        <w:t>t seviyesi 975 TL ve 2015 yılı enflasyon seviyesi yüzde 7,67 idi. Her ücret enflasyon oranında artmış olsaydı 905,5 TL seviyesindeki ücretlerin 2015’te 975 TL olması gerekecekti. Bu sebeple 2014 verisinden her sektörde 905,5 TL ve altı ücretle çalışanların sektördeki toplam ücretliler içindeki oranını hesaplıyoruz. Bu oran ne kadar yüksekse söz konusu sektör asgari ücret artışından o kadar çok etkilenecektir.</w:t>
      </w:r>
      <w:r w:rsidR="00246C2F" w:rsidRPr="003B2D33">
        <w:rPr>
          <w:rStyle w:val="FootnoteReference"/>
          <w:lang w:eastAsia="tr-TR"/>
        </w:rPr>
        <w:footnoteReference w:id="4"/>
      </w:r>
      <w:r w:rsidR="00246C2F" w:rsidRPr="003B2D33">
        <w:rPr>
          <w:lang w:eastAsia="tr-TR"/>
        </w:rPr>
        <w:t xml:space="preserve">  </w:t>
      </w:r>
      <w:r w:rsidR="00D214B9" w:rsidRPr="003B2D33">
        <w:rPr>
          <w:lang w:eastAsia="tr-TR"/>
        </w:rPr>
        <w:t xml:space="preserve">2016 </w:t>
      </w:r>
      <w:r w:rsidR="00667188" w:rsidRPr="003B2D33">
        <w:rPr>
          <w:lang w:eastAsia="tr-TR"/>
        </w:rPr>
        <w:t>yılı</w:t>
      </w:r>
      <w:r w:rsidR="0036531D" w:rsidRPr="003B2D33">
        <w:rPr>
          <w:lang w:eastAsia="tr-TR"/>
        </w:rPr>
        <w:t xml:space="preserve"> başında yüksek bir </w:t>
      </w:r>
      <w:r w:rsidR="00D214B9" w:rsidRPr="003B2D33">
        <w:rPr>
          <w:lang w:eastAsia="tr-TR"/>
        </w:rPr>
        <w:t>asgari ücret artışı olduğu için ilk akla gelen 2015 yılı için bu oranları hesaplamak</w:t>
      </w:r>
      <w:r w:rsidR="005A499F" w:rsidRPr="003B2D33">
        <w:rPr>
          <w:lang w:eastAsia="tr-TR"/>
        </w:rPr>
        <w:t>tır</w:t>
      </w:r>
      <w:r w:rsidR="00D214B9" w:rsidRPr="003B2D33">
        <w:rPr>
          <w:lang w:eastAsia="tr-TR"/>
        </w:rPr>
        <w:t xml:space="preserve">. </w:t>
      </w:r>
      <w:r w:rsidR="0036531D" w:rsidRPr="003B2D33">
        <w:rPr>
          <w:lang w:eastAsia="tr-TR"/>
        </w:rPr>
        <w:t xml:space="preserve">Eğer varsayımımız doğru ise kayıt dışı çalışmanın özellikle düşük ücretli sektörlerde artmasını bekleriz. </w:t>
      </w:r>
      <w:r w:rsidR="00D214B9" w:rsidRPr="003B2D33">
        <w:rPr>
          <w:lang w:eastAsia="tr-TR"/>
        </w:rPr>
        <w:t xml:space="preserve">Bununla beraber, varsayımımızın doğruluğunu sınamak için </w:t>
      </w:r>
      <w:r w:rsidR="0036531D" w:rsidRPr="003B2D33">
        <w:rPr>
          <w:lang w:eastAsia="tr-TR"/>
        </w:rPr>
        <w:t xml:space="preserve">düşük ücretli sektörlerin kayıt dışılığında </w:t>
      </w:r>
      <w:r w:rsidR="00D214B9" w:rsidRPr="003B2D33">
        <w:rPr>
          <w:lang w:eastAsia="tr-TR"/>
        </w:rPr>
        <w:t>2015</w:t>
      </w:r>
      <w:r w:rsidR="0036531D" w:rsidRPr="003B2D33">
        <w:rPr>
          <w:lang w:eastAsia="tr-TR"/>
        </w:rPr>
        <w:t>’te de benzer bir artış olmadığını göstermek gerekir. 2014-2016 arası sektörlerin düşük ücret ve kayıt dışılık oranları Tablo 1’de verilmiştir. Y</w:t>
      </w:r>
      <w:r w:rsidR="00D214B9" w:rsidRPr="003B2D33">
        <w:rPr>
          <w:lang w:eastAsia="tr-TR"/>
        </w:rPr>
        <w:t xml:space="preserve">ıllar arasında </w:t>
      </w:r>
      <w:r w:rsidR="000E4445" w:rsidRPr="003B2D33">
        <w:rPr>
          <w:lang w:eastAsia="tr-TR"/>
        </w:rPr>
        <w:t xml:space="preserve">düşük ücretli </w:t>
      </w:r>
      <w:r w:rsidR="0036531D" w:rsidRPr="003B2D33">
        <w:rPr>
          <w:lang w:eastAsia="tr-TR"/>
        </w:rPr>
        <w:t>seviyeler</w:t>
      </w:r>
      <w:r w:rsidR="000E4445" w:rsidRPr="003B2D33">
        <w:rPr>
          <w:lang w:eastAsia="tr-TR"/>
        </w:rPr>
        <w:t>inde</w:t>
      </w:r>
      <w:r w:rsidR="0036531D" w:rsidRPr="003B2D33">
        <w:rPr>
          <w:lang w:eastAsia="tr-TR"/>
        </w:rPr>
        <w:t xml:space="preserve"> büyük farklılık gö</w:t>
      </w:r>
      <w:r w:rsidR="000E4445" w:rsidRPr="003B2D33">
        <w:rPr>
          <w:lang w:eastAsia="tr-TR"/>
        </w:rPr>
        <w:t xml:space="preserve">rülmekle beraber özellikle sektörler arası sıralama 2014 ve 2015 yıllarında nerdeyse sabit kalmıştır </w:t>
      </w:r>
      <w:r w:rsidR="00D214B9" w:rsidRPr="003B2D33">
        <w:rPr>
          <w:lang w:eastAsia="tr-TR"/>
        </w:rPr>
        <w:t xml:space="preserve">(bkz. Tablo 1). </w:t>
      </w:r>
    </w:p>
    <w:p w14:paraId="530E3D17" w14:textId="6C85388F" w:rsidR="008342DA" w:rsidRDefault="008342DA" w:rsidP="008342DA">
      <w:pPr>
        <w:rPr>
          <w:color w:val="7030A0"/>
          <w:szCs w:val="22"/>
          <w:lang w:eastAsia="tr-TR"/>
        </w:rPr>
      </w:pPr>
      <w:r w:rsidRPr="002F636A">
        <w:rPr>
          <w:bCs/>
          <w:iCs/>
          <w:szCs w:val="22"/>
          <w:lang w:eastAsia="tr-TR"/>
        </w:rPr>
        <w:t>Sektörler düzeyinde analiz</w:t>
      </w:r>
      <w:r w:rsidR="00E137F5" w:rsidRPr="002F636A">
        <w:rPr>
          <w:bCs/>
          <w:iCs/>
          <w:szCs w:val="22"/>
          <w:lang w:eastAsia="tr-TR"/>
        </w:rPr>
        <w:t>de</w:t>
      </w:r>
      <w:r w:rsidRPr="002F636A">
        <w:rPr>
          <w:bCs/>
          <w:iCs/>
          <w:szCs w:val="22"/>
          <w:lang w:eastAsia="tr-TR"/>
        </w:rPr>
        <w:t xml:space="preserve"> iki temel veri kaynağımız söz konusu: Sektörleri ücret düzeyleri itibariyle ayrıştırmak amacıyla 2014</w:t>
      </w:r>
      <w:r w:rsidR="00C5629D">
        <w:rPr>
          <w:bCs/>
          <w:iCs/>
          <w:szCs w:val="22"/>
          <w:lang w:eastAsia="tr-TR"/>
        </w:rPr>
        <w:t>-2016</w:t>
      </w:r>
      <w:r w:rsidRPr="002F636A">
        <w:rPr>
          <w:bCs/>
          <w:iCs/>
          <w:szCs w:val="22"/>
          <w:lang w:eastAsia="tr-TR"/>
        </w:rPr>
        <w:t xml:space="preserve"> </w:t>
      </w:r>
      <w:r w:rsidR="001816CA" w:rsidRPr="002F636A">
        <w:rPr>
          <w:bCs/>
          <w:iCs/>
          <w:szCs w:val="22"/>
          <w:lang w:eastAsia="tr-TR"/>
        </w:rPr>
        <w:t>hane halkı</w:t>
      </w:r>
      <w:r w:rsidRPr="002F636A">
        <w:rPr>
          <w:bCs/>
          <w:iCs/>
          <w:szCs w:val="22"/>
          <w:lang w:eastAsia="tr-TR"/>
        </w:rPr>
        <w:t xml:space="preserve"> işgücü mikro veriler</w:t>
      </w:r>
      <w:r w:rsidR="00E137F5" w:rsidRPr="002F636A">
        <w:rPr>
          <w:bCs/>
          <w:iCs/>
          <w:szCs w:val="22"/>
          <w:lang w:eastAsia="tr-TR"/>
        </w:rPr>
        <w:t>ini</w:t>
      </w:r>
      <w:r w:rsidRPr="002F636A">
        <w:rPr>
          <w:bCs/>
          <w:iCs/>
          <w:szCs w:val="22"/>
          <w:lang w:eastAsia="tr-TR"/>
        </w:rPr>
        <w:t xml:space="preserve"> kullandık. Diğer veri kaynağımız ise sektör düzeyinde dönemsel kayıt dışı istihdam</w:t>
      </w:r>
      <w:r w:rsidRPr="00E70CEB">
        <w:rPr>
          <w:bCs/>
          <w:iCs/>
          <w:szCs w:val="22"/>
          <w:lang w:eastAsia="tr-TR"/>
        </w:rPr>
        <w:t xml:space="preserve"> oranlarını hesaplamak için çevrim içi işgücü istatistikleridir. Bu veriye ulaşmak için TUİK web sayfasında “İşgücü İstatistikleri” bölümünde yer alan “İstatistiksel Tablolar ve Dinamik Sorgulama” başlığındaki “Dinamik Sorgulama” bölümünde</w:t>
      </w:r>
      <w:r w:rsidRPr="00E70CEB">
        <w:rPr>
          <w:szCs w:val="22"/>
          <w:lang w:eastAsia="tr-TR"/>
        </w:rPr>
        <w:t xml:space="preserve"> “Şubat 2014 ve sonrası” adlı yeni seri bağlantısını kullanıyoruz.  </w:t>
      </w:r>
      <w:r w:rsidR="00FE211E" w:rsidRPr="00577114">
        <w:rPr>
          <w:szCs w:val="22"/>
          <w:lang w:eastAsia="tr-TR"/>
        </w:rPr>
        <w:t xml:space="preserve">Bu </w:t>
      </w:r>
      <w:r w:rsidR="00FE211E" w:rsidRPr="0097658A">
        <w:rPr>
          <w:szCs w:val="22"/>
          <w:lang w:eastAsia="tr-TR"/>
        </w:rPr>
        <w:t>sorgulama</w:t>
      </w:r>
      <w:r w:rsidR="00033DA7" w:rsidRPr="0097658A">
        <w:rPr>
          <w:szCs w:val="22"/>
          <w:lang w:eastAsia="tr-TR"/>
        </w:rPr>
        <w:t>da</w:t>
      </w:r>
      <w:r w:rsidR="00FE211E" w:rsidRPr="0097658A">
        <w:rPr>
          <w:szCs w:val="22"/>
          <w:lang w:eastAsia="tr-TR"/>
        </w:rPr>
        <w:t xml:space="preserve"> </w:t>
      </w:r>
      <w:r w:rsidR="00033DA7" w:rsidRPr="0097658A">
        <w:rPr>
          <w:szCs w:val="22"/>
          <w:lang w:eastAsia="tr-TR"/>
        </w:rPr>
        <w:t>sektör</w:t>
      </w:r>
      <w:r w:rsidR="00602ED8" w:rsidRPr="0097658A">
        <w:rPr>
          <w:szCs w:val="22"/>
          <w:lang w:eastAsia="tr-TR"/>
        </w:rPr>
        <w:t>ler düzeyinde</w:t>
      </w:r>
      <w:r w:rsidR="00033DA7" w:rsidRPr="0097658A">
        <w:rPr>
          <w:szCs w:val="22"/>
          <w:lang w:eastAsia="tr-TR"/>
        </w:rPr>
        <w:t xml:space="preserve"> (18 sektör) </w:t>
      </w:r>
      <w:r w:rsidR="00FE211E" w:rsidRPr="0097658A">
        <w:rPr>
          <w:szCs w:val="22"/>
          <w:lang w:eastAsia="tr-TR"/>
        </w:rPr>
        <w:t>kayıt dışı istihdam verilerin</w:t>
      </w:r>
      <w:r w:rsidR="00033DA7" w:rsidRPr="0097658A">
        <w:rPr>
          <w:szCs w:val="22"/>
          <w:lang w:eastAsia="tr-TR"/>
        </w:rPr>
        <w:t>de</w:t>
      </w:r>
      <w:r w:rsidR="00FE211E" w:rsidRPr="0097658A">
        <w:rPr>
          <w:szCs w:val="22"/>
          <w:lang w:eastAsia="tr-TR"/>
        </w:rPr>
        <w:t xml:space="preserve"> ücretli ve ücr</w:t>
      </w:r>
      <w:r w:rsidR="00FE211E" w:rsidRPr="00577114">
        <w:rPr>
          <w:szCs w:val="22"/>
          <w:lang w:eastAsia="tr-TR"/>
        </w:rPr>
        <w:t>et dışı kesim ayrım</w:t>
      </w:r>
      <w:r w:rsidR="00033DA7" w:rsidRPr="00577114">
        <w:rPr>
          <w:szCs w:val="22"/>
          <w:lang w:eastAsia="tr-TR"/>
        </w:rPr>
        <w:t>ı maalesef mevcut değil</w:t>
      </w:r>
      <w:r w:rsidR="00FE211E" w:rsidRPr="00577114">
        <w:rPr>
          <w:szCs w:val="22"/>
          <w:lang w:eastAsia="tr-TR"/>
        </w:rPr>
        <w:t xml:space="preserve">. Bu nedenle </w:t>
      </w:r>
      <w:r w:rsidR="00033DA7" w:rsidRPr="00577114">
        <w:rPr>
          <w:szCs w:val="22"/>
          <w:lang w:eastAsia="tr-TR"/>
        </w:rPr>
        <w:t xml:space="preserve">sektörel kayıt dışı istihdam oranlarını toplam istihdam için hesaplıyoruz. </w:t>
      </w:r>
    </w:p>
    <w:p w14:paraId="644A7DA9" w14:textId="77777777" w:rsidR="002F636A" w:rsidRPr="00E70CEB" w:rsidRDefault="002F636A" w:rsidP="008342DA">
      <w:pPr>
        <w:rPr>
          <w:szCs w:val="22"/>
          <w:lang w:eastAsia="tr-TR"/>
        </w:rPr>
      </w:pPr>
      <w:r w:rsidRPr="00E70CEB">
        <w:rPr>
          <w:szCs w:val="22"/>
          <w:lang w:eastAsia="tr-TR"/>
        </w:rPr>
        <w:lastRenderedPageBreak/>
        <w:t>Hanehalkı Bütçe Anketi çalışanları tam-zamanlı ve yarı-zamanlı olarak ayırırken esas işteki normal çalışma süresini dikkate almaktadır. Haftalık normal çalışma süresi 35 ve daha fazla olanlar tam-zamanlı çalışan olarak değerlendirilmektedir. Bu sebeple, biz de sektörlere göre düşük ücret alan çalışanların oranlarını hesaplarken pozitif ücretli, haftalık 35 saatin üzerinde çalışan (tam zamanlı), asgari ücret ve altında aylık geliri olan ücretli çalışanları dikkate aldık.</w:t>
      </w:r>
    </w:p>
    <w:p w14:paraId="18C3A23A" w14:textId="64BA6CF8" w:rsidR="008342DA" w:rsidRPr="00E70CEB" w:rsidRDefault="008342DA" w:rsidP="008342DA">
      <w:pPr>
        <w:rPr>
          <w:szCs w:val="22"/>
          <w:lang w:eastAsia="tr-TR"/>
        </w:rPr>
      </w:pPr>
      <w:r w:rsidRPr="00E70CEB">
        <w:rPr>
          <w:szCs w:val="22"/>
          <w:lang w:eastAsia="tr-TR"/>
        </w:rPr>
        <w:t xml:space="preserve">Aylık istihdam verilerinde mevsimsellik bulunduğu için analizlerimizi yıllık değişimler üzerinden yapıyoruz. Somut olarak 2015 ve 2016 yıllarının Şubat, Mayıs, Ağustos ve Kasım, 2017 yılının ise </w:t>
      </w:r>
      <w:r w:rsidRPr="00033DA7">
        <w:rPr>
          <w:szCs w:val="22"/>
          <w:lang w:eastAsia="tr-TR"/>
        </w:rPr>
        <w:t>Şubat, Mayıs ve Ağustos</w:t>
      </w:r>
      <w:r w:rsidR="002E4DE1" w:rsidRPr="00033DA7">
        <w:rPr>
          <w:szCs w:val="22"/>
          <w:lang w:eastAsia="tr-TR"/>
        </w:rPr>
        <w:t xml:space="preserve"> </w:t>
      </w:r>
      <w:r w:rsidRPr="00E70CEB">
        <w:rPr>
          <w:szCs w:val="22"/>
          <w:lang w:eastAsia="tr-TR"/>
        </w:rPr>
        <w:t>ayı istihdam verilerini kullanıyoruz. Bilindiği gibi HİA aylık veriler üç ayın ortalamalarıdır. Bu bakımdan Şubat, Mayıs, Ağustos ve Kasım verileri yılın 4 çeyreğinin verilerine karşılık gelmektedir. Hipotezimiz doğruysa iki değişken arasında pozitif bir korelasyon olmasını bekleriz. Buna karşılık 2014’ten 2015’e sektörlerde</w:t>
      </w:r>
      <w:r w:rsidR="00974D20" w:rsidRPr="00E70CEB">
        <w:rPr>
          <w:szCs w:val="22"/>
          <w:lang w:eastAsia="tr-TR"/>
        </w:rPr>
        <w:t xml:space="preserve"> </w:t>
      </w:r>
      <w:r w:rsidRPr="00E70CEB">
        <w:rPr>
          <w:szCs w:val="22"/>
          <w:lang w:eastAsia="tr-TR"/>
        </w:rPr>
        <w:t xml:space="preserve">bir asgari ücret şoku yaşanmadığı için 2014’ten 2015’e aynı aylar için sektörel kayıt dışı istihdam artışı ile düşük ücretlilerin sektördeki payı arasında pozitif bir korelasyon beklemeyiz. </w:t>
      </w:r>
    </w:p>
    <w:p w14:paraId="243338C7" w14:textId="77777777" w:rsidR="008342DA" w:rsidRPr="00E70CEB" w:rsidRDefault="008342DA" w:rsidP="008342DA">
      <w:pPr>
        <w:pStyle w:val="Heading2"/>
        <w:rPr>
          <w:rFonts w:eastAsiaTheme="minorHAnsi"/>
          <w:sz w:val="22"/>
          <w:szCs w:val="22"/>
          <w:lang w:val="tr-TR" w:eastAsia="en-US"/>
        </w:rPr>
      </w:pPr>
      <w:r w:rsidRPr="00E70CEB">
        <w:rPr>
          <w:rFonts w:eastAsiaTheme="minorHAnsi"/>
          <w:sz w:val="22"/>
          <w:szCs w:val="22"/>
          <w:lang w:val="tr-TR" w:eastAsia="en-US"/>
        </w:rPr>
        <w:t>Sektörlerde kayıt dışılık ve ücret dağılımı</w:t>
      </w:r>
    </w:p>
    <w:p w14:paraId="5C15FC7D" w14:textId="232EEA5B" w:rsidR="008342DA" w:rsidRPr="00E70CEB" w:rsidRDefault="008342DA" w:rsidP="008342DA">
      <w:pPr>
        <w:rPr>
          <w:szCs w:val="22"/>
          <w:lang w:eastAsia="tr-TR"/>
        </w:rPr>
      </w:pPr>
      <w:r w:rsidRPr="00E56500">
        <w:rPr>
          <w:szCs w:val="22"/>
          <w:lang w:eastAsia="tr-TR"/>
        </w:rPr>
        <w:t>Düşük ücretli çalışanların oranları ile kayıt dışı tüm çalışanların oranları 1</w:t>
      </w:r>
      <w:r w:rsidR="00813B4F">
        <w:rPr>
          <w:szCs w:val="22"/>
          <w:lang w:eastAsia="tr-TR"/>
        </w:rPr>
        <w:t>7</w:t>
      </w:r>
      <w:r w:rsidRPr="00E56500">
        <w:rPr>
          <w:szCs w:val="22"/>
          <w:lang w:eastAsia="tr-TR"/>
        </w:rPr>
        <w:t xml:space="preserve"> sektör için değerlendirildiğinde, görece yüksek kayıt dışılık gösteren sektörlerde düşük ücretli çalışanların oranlarının yüksek paya sahip olduğunu gözlemliyoruz</w:t>
      </w:r>
      <w:r w:rsidR="004B5D77" w:rsidRPr="00E56500">
        <w:rPr>
          <w:szCs w:val="22"/>
          <w:lang w:eastAsia="tr-TR"/>
        </w:rPr>
        <w:t xml:space="preserve"> (</w:t>
      </w:r>
      <w:r w:rsidR="00064354" w:rsidRPr="00E56500">
        <w:rPr>
          <w:szCs w:val="22"/>
          <w:lang w:eastAsia="tr-TR"/>
        </w:rPr>
        <w:t>Ek Şekil 1</w:t>
      </w:r>
      <w:r w:rsidRPr="00E56500">
        <w:rPr>
          <w:szCs w:val="22"/>
          <w:lang w:eastAsia="tr-TR"/>
        </w:rPr>
        <w:t>).</w:t>
      </w:r>
      <w:r w:rsidR="00E56500">
        <w:rPr>
          <w:szCs w:val="22"/>
          <w:lang w:eastAsia="tr-TR"/>
        </w:rPr>
        <w:t xml:space="preserve"> </w:t>
      </w:r>
      <w:r w:rsidR="000D3AAF" w:rsidRPr="00E56500">
        <w:rPr>
          <w:szCs w:val="22"/>
          <w:lang w:eastAsia="tr-TR"/>
        </w:rPr>
        <w:t xml:space="preserve">Burada, önemli bir hatırlatma yapmak gerekiyor. Tarım sektöründe gözlemlenen çok yüksek oranlı kayıt dışı çalışma </w:t>
      </w:r>
      <w:r w:rsidR="00E56500" w:rsidRPr="00E56500">
        <w:rPr>
          <w:szCs w:val="22"/>
          <w:lang w:eastAsia="tr-TR"/>
        </w:rPr>
        <w:t xml:space="preserve">nedeniyle </w:t>
      </w:r>
      <w:r w:rsidR="000D3AAF" w:rsidRPr="00E56500">
        <w:rPr>
          <w:szCs w:val="22"/>
          <w:lang w:eastAsia="tr-TR"/>
        </w:rPr>
        <w:t>analizlerimiz tarım sektörünü dışarda bıraktığı için</w:t>
      </w:r>
      <w:r w:rsidR="00813B4F">
        <w:rPr>
          <w:szCs w:val="22"/>
          <w:lang w:eastAsia="tr-TR"/>
        </w:rPr>
        <w:t xml:space="preserve"> 18 yerine</w:t>
      </w:r>
      <w:r w:rsidR="000D3AAF" w:rsidRPr="00E56500">
        <w:rPr>
          <w:szCs w:val="22"/>
          <w:lang w:eastAsia="tr-TR"/>
        </w:rPr>
        <w:t xml:space="preserve"> 17 sektör bilgileri kullanılmıştır</w:t>
      </w:r>
      <w:r w:rsidR="00B4482E">
        <w:rPr>
          <w:szCs w:val="22"/>
          <w:lang w:eastAsia="tr-TR"/>
        </w:rPr>
        <w:t>.</w:t>
      </w:r>
      <w:r w:rsidR="00813B4F">
        <w:rPr>
          <w:color w:val="FF0000"/>
          <w:szCs w:val="22"/>
          <w:lang w:eastAsia="tr-TR"/>
        </w:rPr>
        <w:t xml:space="preserve"> </w:t>
      </w:r>
      <w:r w:rsidR="000D3AAF" w:rsidRPr="00E56500">
        <w:rPr>
          <w:szCs w:val="22"/>
          <w:lang w:eastAsia="tr-TR"/>
        </w:rPr>
        <w:t>Bununla birlikte, sektörel analiz yıllık değişimlere odaklandığı için tarım sektörünün veriye dahil edilmesi sonuçlarımızı etkilememektedir.</w:t>
      </w:r>
      <w:r w:rsidR="000D3AAF" w:rsidRPr="000D3AAF">
        <w:rPr>
          <w:szCs w:val="22"/>
          <w:lang w:eastAsia="tr-TR"/>
        </w:rPr>
        <w:t xml:space="preserve"> </w:t>
      </w:r>
    </w:p>
    <w:p w14:paraId="52842B37" w14:textId="608D0071" w:rsidR="0086173D" w:rsidRPr="0086173D" w:rsidRDefault="00385AC2" w:rsidP="008342DA">
      <w:pPr>
        <w:rPr>
          <w:szCs w:val="22"/>
          <w:lang w:eastAsia="tr-TR"/>
        </w:rPr>
      </w:pPr>
      <w:r>
        <w:rPr>
          <w:szCs w:val="22"/>
          <w:lang w:eastAsia="tr-TR"/>
        </w:rPr>
        <w:t>Tablo 1’de k</w:t>
      </w:r>
      <w:r w:rsidR="008342DA" w:rsidRPr="00E70CEB">
        <w:rPr>
          <w:szCs w:val="22"/>
          <w:lang w:eastAsia="tr-TR"/>
        </w:rPr>
        <w:t>ayıt dışı</w:t>
      </w:r>
      <w:r w:rsidR="001E0F97">
        <w:rPr>
          <w:szCs w:val="22"/>
          <w:lang w:eastAsia="tr-TR"/>
        </w:rPr>
        <w:t xml:space="preserve"> </w:t>
      </w:r>
      <w:r w:rsidR="001E0F97" w:rsidRPr="008A2DAF">
        <w:rPr>
          <w:szCs w:val="22"/>
          <w:lang w:eastAsia="tr-TR"/>
        </w:rPr>
        <w:t>çalışanların oranı ile düşük ücret alanların oranı 1</w:t>
      </w:r>
      <w:r w:rsidR="00373358" w:rsidRPr="008A2DAF">
        <w:rPr>
          <w:szCs w:val="22"/>
          <w:lang w:eastAsia="tr-TR"/>
        </w:rPr>
        <w:t>7</w:t>
      </w:r>
      <w:r w:rsidR="001E0F97" w:rsidRPr="008A2DAF">
        <w:rPr>
          <w:szCs w:val="22"/>
          <w:lang w:eastAsia="tr-TR"/>
        </w:rPr>
        <w:t xml:space="preserve"> sektör detayında son üç yıl için verilmektedir.</w:t>
      </w:r>
      <w:r w:rsidR="00B54D20" w:rsidRPr="008A2DAF">
        <w:rPr>
          <w:szCs w:val="22"/>
          <w:lang w:eastAsia="tr-TR"/>
        </w:rPr>
        <w:t xml:space="preserve"> Sektörler arası büyük farklar göze çarpmaktadır.</w:t>
      </w:r>
      <w:r w:rsidR="001E0F97" w:rsidRPr="008A2DAF">
        <w:rPr>
          <w:szCs w:val="22"/>
          <w:lang w:eastAsia="tr-TR"/>
        </w:rPr>
        <w:t xml:space="preserve"> Kayıt dışı istihdam </w:t>
      </w:r>
      <w:r w:rsidR="008342DA" w:rsidRPr="008A2DAF">
        <w:rPr>
          <w:szCs w:val="22"/>
          <w:lang w:eastAsia="tr-TR"/>
        </w:rPr>
        <w:t>“Diğer Hizmet” sektör</w:t>
      </w:r>
      <w:r w:rsidR="0086173D" w:rsidRPr="008A2DAF">
        <w:rPr>
          <w:szCs w:val="22"/>
          <w:lang w:eastAsia="tr-TR"/>
        </w:rPr>
        <w:t>ünde</w:t>
      </w:r>
      <w:r w:rsidR="008342DA" w:rsidRPr="008A2DAF">
        <w:rPr>
          <w:szCs w:val="22"/>
          <w:lang w:eastAsia="tr-TR"/>
        </w:rPr>
        <w:t xml:space="preserve"> çok yüksektir (</w:t>
      </w:r>
      <w:r w:rsidR="00C44E5A" w:rsidRPr="008A2DAF">
        <w:rPr>
          <w:szCs w:val="22"/>
          <w:lang w:eastAsia="tr-TR"/>
        </w:rPr>
        <w:t xml:space="preserve">2016’da </w:t>
      </w:r>
      <w:r w:rsidR="008342DA" w:rsidRPr="008A2DAF">
        <w:rPr>
          <w:szCs w:val="22"/>
          <w:lang w:eastAsia="tr-TR"/>
        </w:rPr>
        <w:t>yüzde 5</w:t>
      </w:r>
      <w:r w:rsidR="00C44E5A" w:rsidRPr="008A2DAF">
        <w:rPr>
          <w:szCs w:val="22"/>
          <w:lang w:eastAsia="tr-TR"/>
        </w:rPr>
        <w:t>2,1</w:t>
      </w:r>
      <w:r w:rsidR="008342DA" w:rsidRPr="008A2DAF">
        <w:rPr>
          <w:szCs w:val="22"/>
          <w:lang w:eastAsia="tr-TR"/>
        </w:rPr>
        <w:t>). Buna karşın “Madencilik ve Taş Ocakçılığı”, “Kamu Yönetimi ve Savunma”, “Eğitim”, ve “Finans ve Sigorta Faaliyetleri” sektörlerinde kayıt dışı istihdam oranı düşüktür (</w:t>
      </w:r>
      <w:r w:rsidR="00C44E5A" w:rsidRPr="008A2DAF">
        <w:rPr>
          <w:szCs w:val="22"/>
          <w:lang w:eastAsia="tr-TR"/>
        </w:rPr>
        <w:t>2016’da</w:t>
      </w:r>
      <w:r w:rsidR="008342DA" w:rsidRPr="008A2DAF">
        <w:rPr>
          <w:szCs w:val="22"/>
          <w:lang w:eastAsia="tr-TR"/>
        </w:rPr>
        <w:t xml:space="preserve"> yüzde </w:t>
      </w:r>
      <w:r w:rsidR="00C44E5A" w:rsidRPr="008A2DAF">
        <w:rPr>
          <w:szCs w:val="22"/>
          <w:lang w:eastAsia="tr-TR"/>
        </w:rPr>
        <w:t>5</w:t>
      </w:r>
      <w:r w:rsidR="008342DA" w:rsidRPr="008A2DAF">
        <w:rPr>
          <w:szCs w:val="22"/>
          <w:lang w:eastAsia="tr-TR"/>
        </w:rPr>
        <w:t>,0 ve altı). 201</w:t>
      </w:r>
      <w:r w:rsidR="00413EEB" w:rsidRPr="008A2DAF">
        <w:rPr>
          <w:szCs w:val="22"/>
          <w:lang w:eastAsia="tr-TR"/>
        </w:rPr>
        <w:t>5</w:t>
      </w:r>
      <w:r w:rsidR="008342DA" w:rsidRPr="008A2DAF">
        <w:rPr>
          <w:szCs w:val="22"/>
          <w:lang w:eastAsia="tr-TR"/>
        </w:rPr>
        <w:t>’te bir önceki yıla göre kayıt dışı istihdam oranları neredeyse tüm sektörler</w:t>
      </w:r>
      <w:r w:rsidR="008342DA" w:rsidRPr="0086173D">
        <w:rPr>
          <w:szCs w:val="22"/>
          <w:lang w:eastAsia="tr-TR"/>
        </w:rPr>
        <w:t xml:space="preserve"> için azalırken, </w:t>
      </w:r>
      <w:r w:rsidR="008342DA" w:rsidRPr="00E70CEB">
        <w:rPr>
          <w:szCs w:val="22"/>
          <w:lang w:eastAsia="tr-TR"/>
        </w:rPr>
        <w:t xml:space="preserve">2016’da 2015’e kıyasla birçok sektör için bu oranlarda artış gözlenmiştir. </w:t>
      </w:r>
      <w:r w:rsidR="0061699D">
        <w:rPr>
          <w:szCs w:val="22"/>
          <w:lang w:eastAsia="tr-TR"/>
        </w:rPr>
        <w:t>Değişimin</w:t>
      </w:r>
      <w:r w:rsidR="008342DA" w:rsidRPr="00E70CEB">
        <w:rPr>
          <w:szCs w:val="22"/>
          <w:lang w:eastAsia="tr-TR"/>
        </w:rPr>
        <w:t xml:space="preserve"> en çarpıcı olduğu tarım dışı sektör kayıt dışı istihdamın yüksek olduğu “Diğer Hizmetler” sektörüdür: 2015’de 4,7 yüzde puan azalma gösterirken 2016’da yüzde 0,3 yüzde puan artış göstermiştir</w:t>
      </w:r>
      <w:r w:rsidR="0061699D">
        <w:rPr>
          <w:szCs w:val="22"/>
          <w:lang w:eastAsia="tr-TR"/>
        </w:rPr>
        <w:t xml:space="preserve"> (51,8’den 52,1’e)</w:t>
      </w:r>
      <w:r w:rsidR="008342DA" w:rsidRPr="00E70CEB">
        <w:rPr>
          <w:szCs w:val="22"/>
          <w:lang w:eastAsia="tr-TR"/>
        </w:rPr>
        <w:t xml:space="preserve">. Son olarak, sektörler arasında hacmi nedeni ile önemli yer tutan imalat sektöründe ise kayıt dışı istihdam 2014-2015 döneminde </w:t>
      </w:r>
      <w:r w:rsidR="0061699D">
        <w:rPr>
          <w:szCs w:val="22"/>
          <w:lang w:eastAsia="tr-TR"/>
        </w:rPr>
        <w:t>1,3</w:t>
      </w:r>
      <w:r w:rsidR="008342DA" w:rsidRPr="00E70CEB">
        <w:rPr>
          <w:szCs w:val="22"/>
          <w:lang w:eastAsia="tr-TR"/>
        </w:rPr>
        <w:t xml:space="preserve"> yüzde puan azalırken 2015-2016 döneminde 1,</w:t>
      </w:r>
      <w:r w:rsidR="0061699D">
        <w:rPr>
          <w:szCs w:val="22"/>
          <w:lang w:eastAsia="tr-TR"/>
        </w:rPr>
        <w:t xml:space="preserve">1 </w:t>
      </w:r>
      <w:r w:rsidR="008342DA" w:rsidRPr="00E70CEB">
        <w:rPr>
          <w:szCs w:val="22"/>
          <w:lang w:eastAsia="tr-TR"/>
        </w:rPr>
        <w:t xml:space="preserve">yüzde puan artış göstermiştir (18,9’dan 19,9’a).  </w:t>
      </w:r>
    </w:p>
    <w:p w14:paraId="11478F0A" w14:textId="1FCB35C3" w:rsidR="00227C7F" w:rsidRDefault="00EB5237" w:rsidP="00E53923">
      <w:pPr>
        <w:rPr>
          <w:szCs w:val="22"/>
          <w:lang w:eastAsia="tr-TR"/>
        </w:rPr>
      </w:pPr>
      <w:r>
        <w:rPr>
          <w:szCs w:val="22"/>
          <w:lang w:eastAsia="tr-TR"/>
        </w:rPr>
        <w:t xml:space="preserve">Tablo 1’den </w:t>
      </w:r>
      <w:r w:rsidRPr="008A2DAF">
        <w:rPr>
          <w:szCs w:val="22"/>
          <w:lang w:eastAsia="tr-TR"/>
        </w:rPr>
        <w:t xml:space="preserve">elde edilen diğer bilgi farklı sektörlerin her birindeki düşük ücretli istihdamın oranları ve </w:t>
      </w:r>
      <w:r w:rsidR="00910915" w:rsidRPr="008A2DAF">
        <w:rPr>
          <w:szCs w:val="22"/>
          <w:lang w:eastAsia="tr-TR"/>
        </w:rPr>
        <w:t>kayıt dışı istihdam oranı ile düşük ücretli çalışan oranı arasındaki ilişkidir. İki oran arasındaki pozitif korelasyon dikkat çekicidir</w:t>
      </w:r>
      <w:r w:rsidR="002F0E3B" w:rsidRPr="008A2DAF">
        <w:rPr>
          <w:szCs w:val="22"/>
          <w:lang w:eastAsia="tr-TR"/>
        </w:rPr>
        <w:t xml:space="preserve"> (bkz. Ek Şekil 1)</w:t>
      </w:r>
      <w:r w:rsidR="00910915" w:rsidRPr="008A2DAF">
        <w:rPr>
          <w:szCs w:val="22"/>
          <w:lang w:eastAsia="tr-TR"/>
        </w:rPr>
        <w:t>.</w:t>
      </w:r>
      <w:r w:rsidR="00931604" w:rsidRPr="008A2DAF">
        <w:rPr>
          <w:szCs w:val="22"/>
          <w:lang w:eastAsia="tr-TR"/>
        </w:rPr>
        <w:t xml:space="preserve"> Genelde düşük ücretli </w:t>
      </w:r>
      <w:r w:rsidR="00931604" w:rsidRPr="008A2DAF">
        <w:rPr>
          <w:szCs w:val="22"/>
          <w:lang w:eastAsia="tr-TR"/>
        </w:rPr>
        <w:lastRenderedPageBreak/>
        <w:t>sektörlerde kayıt dışı çalışan oranı daha yüksektir.</w:t>
      </w:r>
      <w:r w:rsidR="00076B58" w:rsidRPr="008A2DAF">
        <w:rPr>
          <w:szCs w:val="22"/>
          <w:lang w:eastAsia="tr-TR"/>
        </w:rPr>
        <w:t xml:space="preserve">  </w:t>
      </w:r>
      <w:r w:rsidRPr="008A2DAF">
        <w:rPr>
          <w:szCs w:val="22"/>
          <w:lang w:eastAsia="tr-TR"/>
        </w:rPr>
        <w:t>D</w:t>
      </w:r>
      <w:r w:rsidR="008342DA" w:rsidRPr="008A2DAF">
        <w:rPr>
          <w:szCs w:val="22"/>
          <w:lang w:eastAsia="tr-TR"/>
        </w:rPr>
        <w:t>üşük ücretli çalışan yoğunluğunun en yüksek olduğu sektörler</w:t>
      </w:r>
      <w:r w:rsidR="00931604" w:rsidRPr="008A2DAF">
        <w:rPr>
          <w:szCs w:val="22"/>
          <w:lang w:eastAsia="tr-TR"/>
        </w:rPr>
        <w:t xml:space="preserve">, 2016 yılı itibarı ile, </w:t>
      </w:r>
      <w:r w:rsidR="008342DA" w:rsidRPr="008A2DAF">
        <w:rPr>
          <w:szCs w:val="22"/>
          <w:lang w:eastAsia="tr-TR"/>
        </w:rPr>
        <w:t>“Diğer Hizmetler” ve “</w:t>
      </w:r>
      <w:r w:rsidR="00ED17A4" w:rsidRPr="008A2DAF">
        <w:rPr>
          <w:szCs w:val="22"/>
          <w:lang w:eastAsia="tr-TR"/>
        </w:rPr>
        <w:t>İnsan Sağlığı</w:t>
      </w:r>
      <w:r w:rsidR="008342DA" w:rsidRPr="008A2DAF">
        <w:rPr>
          <w:szCs w:val="22"/>
          <w:lang w:eastAsia="tr-TR"/>
        </w:rPr>
        <w:t xml:space="preserve">” </w:t>
      </w:r>
      <w:r w:rsidR="007F101F" w:rsidRPr="008A2DAF">
        <w:rPr>
          <w:szCs w:val="22"/>
          <w:lang w:eastAsia="tr-TR"/>
        </w:rPr>
        <w:t>sektörler</w:t>
      </w:r>
      <w:r w:rsidR="00400FD1" w:rsidRPr="008A2DAF">
        <w:rPr>
          <w:szCs w:val="22"/>
          <w:lang w:eastAsia="tr-TR"/>
        </w:rPr>
        <w:t>i</w:t>
      </w:r>
      <w:r w:rsidR="007F101F" w:rsidRPr="008A2DAF">
        <w:rPr>
          <w:szCs w:val="22"/>
          <w:lang w:eastAsia="tr-TR"/>
        </w:rPr>
        <w:t>dir</w:t>
      </w:r>
      <w:r w:rsidR="008342DA" w:rsidRPr="008A2DAF">
        <w:rPr>
          <w:szCs w:val="22"/>
          <w:lang w:eastAsia="tr-TR"/>
        </w:rPr>
        <w:t xml:space="preserve"> (</w:t>
      </w:r>
      <w:r w:rsidR="002E364A" w:rsidRPr="008A2DAF">
        <w:rPr>
          <w:szCs w:val="22"/>
          <w:lang w:eastAsia="tr-TR"/>
        </w:rPr>
        <w:t>sırasıyla yüzde</w:t>
      </w:r>
      <w:r w:rsidR="008342DA" w:rsidRPr="008A2DAF">
        <w:rPr>
          <w:szCs w:val="22"/>
          <w:lang w:eastAsia="tr-TR"/>
        </w:rPr>
        <w:t xml:space="preserve"> </w:t>
      </w:r>
      <w:r w:rsidR="00ED17A4" w:rsidRPr="008A2DAF">
        <w:rPr>
          <w:szCs w:val="22"/>
          <w:lang w:eastAsia="tr-TR"/>
        </w:rPr>
        <w:t>45,0</w:t>
      </w:r>
      <w:r w:rsidR="00931604" w:rsidRPr="008A2DAF">
        <w:rPr>
          <w:szCs w:val="22"/>
          <w:lang w:eastAsia="tr-TR"/>
        </w:rPr>
        <w:t xml:space="preserve"> ve </w:t>
      </w:r>
      <w:r w:rsidR="00ED17A4" w:rsidRPr="008A2DAF">
        <w:rPr>
          <w:szCs w:val="22"/>
          <w:lang w:eastAsia="tr-TR"/>
        </w:rPr>
        <w:t>28,9</w:t>
      </w:r>
      <w:r w:rsidR="008342DA" w:rsidRPr="008A2DAF">
        <w:rPr>
          <w:szCs w:val="22"/>
          <w:lang w:eastAsia="tr-TR"/>
        </w:rPr>
        <w:t xml:space="preserve">). </w:t>
      </w:r>
      <w:r w:rsidR="0094231D" w:rsidRPr="008A2DAF">
        <w:rPr>
          <w:szCs w:val="22"/>
          <w:lang w:eastAsia="tr-TR"/>
        </w:rPr>
        <w:t xml:space="preserve"> </w:t>
      </w:r>
      <w:r w:rsidR="00E91548" w:rsidRPr="008A2DAF">
        <w:rPr>
          <w:szCs w:val="22"/>
          <w:lang w:eastAsia="tr-TR"/>
        </w:rPr>
        <w:t xml:space="preserve">Düşük ücretli </w:t>
      </w:r>
      <w:r w:rsidR="008342DA" w:rsidRPr="008A2DAF">
        <w:rPr>
          <w:szCs w:val="22"/>
          <w:lang w:eastAsia="tr-TR"/>
        </w:rPr>
        <w:t>çalışan yoğunluğunun düşük olduğu sektörler ise “</w:t>
      </w:r>
      <w:r w:rsidR="005732CD" w:rsidRPr="008A2DAF">
        <w:rPr>
          <w:szCs w:val="22"/>
          <w:lang w:eastAsia="tr-TR"/>
        </w:rPr>
        <w:t>Finans ve Sigorta Faaliyetleri</w:t>
      </w:r>
      <w:r w:rsidR="008342DA" w:rsidRPr="008A2DAF">
        <w:rPr>
          <w:szCs w:val="22"/>
          <w:lang w:eastAsia="tr-TR"/>
        </w:rPr>
        <w:t>”</w:t>
      </w:r>
      <w:r w:rsidR="00931604" w:rsidRPr="008A2DAF">
        <w:rPr>
          <w:szCs w:val="22"/>
          <w:lang w:eastAsia="tr-TR"/>
        </w:rPr>
        <w:t xml:space="preserve"> (</w:t>
      </w:r>
      <w:r w:rsidR="002E364A" w:rsidRPr="008A2DAF">
        <w:rPr>
          <w:szCs w:val="22"/>
          <w:lang w:eastAsia="tr-TR"/>
        </w:rPr>
        <w:t xml:space="preserve">2016’da </w:t>
      </w:r>
      <w:r w:rsidR="00931604" w:rsidRPr="008A2DAF">
        <w:rPr>
          <w:szCs w:val="22"/>
          <w:lang w:eastAsia="tr-TR"/>
        </w:rPr>
        <w:t>yüzde 1,</w:t>
      </w:r>
      <w:r w:rsidR="00ED17A4" w:rsidRPr="008A2DAF">
        <w:rPr>
          <w:szCs w:val="22"/>
          <w:lang w:eastAsia="tr-TR"/>
        </w:rPr>
        <w:t>9</w:t>
      </w:r>
      <w:r w:rsidR="00931604" w:rsidRPr="008A2DAF">
        <w:rPr>
          <w:szCs w:val="22"/>
          <w:lang w:eastAsia="tr-TR"/>
        </w:rPr>
        <w:t>) ve</w:t>
      </w:r>
      <w:r w:rsidR="008342DA" w:rsidRPr="008A2DAF">
        <w:rPr>
          <w:szCs w:val="22"/>
          <w:lang w:eastAsia="tr-TR"/>
        </w:rPr>
        <w:t xml:space="preserve"> “</w:t>
      </w:r>
      <w:r w:rsidR="005732CD" w:rsidRPr="008A2DAF">
        <w:rPr>
          <w:szCs w:val="22"/>
          <w:lang w:eastAsia="tr-TR"/>
        </w:rPr>
        <w:t>Kamu yönetimi ve savunma</w:t>
      </w:r>
      <w:r w:rsidR="008342DA" w:rsidRPr="008A2DAF">
        <w:rPr>
          <w:szCs w:val="22"/>
          <w:lang w:eastAsia="tr-TR"/>
        </w:rPr>
        <w:t>”</w:t>
      </w:r>
      <w:r w:rsidR="005732CD" w:rsidRPr="008A2DAF">
        <w:rPr>
          <w:szCs w:val="22"/>
          <w:lang w:eastAsia="tr-TR"/>
        </w:rPr>
        <w:t xml:space="preserve"> </w:t>
      </w:r>
      <w:r w:rsidR="00931604" w:rsidRPr="008A2DAF">
        <w:rPr>
          <w:szCs w:val="22"/>
          <w:lang w:eastAsia="tr-TR"/>
        </w:rPr>
        <w:t>(</w:t>
      </w:r>
      <w:r w:rsidR="002E364A" w:rsidRPr="008A2DAF">
        <w:rPr>
          <w:szCs w:val="22"/>
          <w:lang w:eastAsia="tr-TR"/>
        </w:rPr>
        <w:t xml:space="preserve">2016’da </w:t>
      </w:r>
      <w:r w:rsidR="00931604" w:rsidRPr="008A2DAF">
        <w:rPr>
          <w:szCs w:val="22"/>
          <w:lang w:eastAsia="tr-TR"/>
        </w:rPr>
        <w:t xml:space="preserve">yüzde </w:t>
      </w:r>
      <w:r w:rsidR="00ED17A4" w:rsidRPr="008A2DAF">
        <w:rPr>
          <w:szCs w:val="22"/>
          <w:lang w:eastAsia="tr-TR"/>
        </w:rPr>
        <w:t>2,2</w:t>
      </w:r>
      <w:r w:rsidR="00931604" w:rsidRPr="008A2DAF">
        <w:rPr>
          <w:szCs w:val="22"/>
          <w:lang w:eastAsia="tr-TR"/>
        </w:rPr>
        <w:t>) sektörleridir.</w:t>
      </w:r>
      <w:r w:rsidR="008342DA" w:rsidRPr="00076B58">
        <w:rPr>
          <w:szCs w:val="22"/>
          <w:lang w:eastAsia="tr-TR"/>
        </w:rPr>
        <w:t xml:space="preserve"> </w:t>
      </w:r>
    </w:p>
    <w:p w14:paraId="337AB4B9" w14:textId="2DEF77E8" w:rsidR="0086173D" w:rsidRPr="00227C7F" w:rsidRDefault="00227C7F" w:rsidP="006249C9">
      <w:pPr>
        <w:rPr>
          <w:szCs w:val="22"/>
          <w:lang w:eastAsia="tr-TR"/>
        </w:rPr>
      </w:pPr>
      <w:r w:rsidRPr="008A2DAF">
        <w:rPr>
          <w:szCs w:val="22"/>
          <w:lang w:eastAsia="tr-TR"/>
        </w:rPr>
        <w:t>Ortalama d</w:t>
      </w:r>
      <w:r w:rsidR="003E2A4B" w:rsidRPr="008A2DAF">
        <w:rPr>
          <w:szCs w:val="22"/>
          <w:lang w:eastAsia="tr-TR"/>
        </w:rPr>
        <w:t>üşük ücret</w:t>
      </w:r>
      <w:r w:rsidRPr="008A2DAF">
        <w:rPr>
          <w:szCs w:val="22"/>
          <w:lang w:eastAsia="tr-TR"/>
        </w:rPr>
        <w:t>li</w:t>
      </w:r>
      <w:r w:rsidR="003E2A4B" w:rsidRPr="008A2DAF">
        <w:rPr>
          <w:szCs w:val="22"/>
          <w:lang w:eastAsia="tr-TR"/>
        </w:rPr>
        <w:t xml:space="preserve"> oranı 2014 ve 2015 yıllarında </w:t>
      </w:r>
      <w:r w:rsidR="00EA46F7" w:rsidRPr="008A2DAF">
        <w:rPr>
          <w:szCs w:val="22"/>
          <w:lang w:eastAsia="tr-TR"/>
        </w:rPr>
        <w:t xml:space="preserve">sırası ile </w:t>
      </w:r>
      <w:r w:rsidR="003E2A4B" w:rsidRPr="008A2DAF">
        <w:rPr>
          <w:szCs w:val="22"/>
          <w:lang w:eastAsia="tr-TR"/>
        </w:rPr>
        <w:t xml:space="preserve">yüzde </w:t>
      </w:r>
      <w:r w:rsidR="00EA46F7" w:rsidRPr="008A2DAF">
        <w:rPr>
          <w:szCs w:val="22"/>
          <w:lang w:eastAsia="tr-TR"/>
        </w:rPr>
        <w:t>29,4 ve yüzde 33,6 iken 2016’da bu oran yüzde 13,2’ye gerilemiştir. 2016 yılında düşük ücret oranında görülen büyük düşüşün sebebi 2017 yılındaki asgari ücret artış oranının (yüzde 7,9) 2017 yılı enflasyon oranından (yüzde 11,1) düşük olmasıdır. Tanımımıza göre 2016 yılında asgari ücret altı kazanan pek çok çalışan enflasyon oranı kadar ücret artışı elde ettiği takdirde 2017 yılındaki asgari ücret seviyesini geçeceğinden “düşük ücretli” sayılmamaktadır.</w:t>
      </w:r>
      <w:r w:rsidR="00EA46F7">
        <w:rPr>
          <w:szCs w:val="22"/>
          <w:lang w:eastAsia="tr-TR"/>
        </w:rPr>
        <w:t xml:space="preserve"> </w:t>
      </w:r>
    </w:p>
    <w:p w14:paraId="65FBD1F0" w14:textId="4C037473" w:rsidR="005A499F" w:rsidRPr="00871327" w:rsidRDefault="005A499F" w:rsidP="006249C9">
      <w:pPr>
        <w:rPr>
          <w:b/>
          <w:color w:val="FF0000"/>
        </w:rPr>
      </w:pPr>
      <w:r w:rsidRPr="005A499F">
        <w:rPr>
          <w:b/>
        </w:rPr>
        <w:t xml:space="preserve">Tablo </w:t>
      </w:r>
      <w:r w:rsidRPr="005A499F">
        <w:rPr>
          <w:b/>
        </w:rPr>
        <w:fldChar w:fldCharType="begin"/>
      </w:r>
      <w:r w:rsidRPr="005A499F">
        <w:rPr>
          <w:b/>
        </w:rPr>
        <w:instrText xml:space="preserve"> SEQ Tablo \* ARABIC </w:instrText>
      </w:r>
      <w:r w:rsidRPr="005A499F">
        <w:rPr>
          <w:b/>
        </w:rPr>
        <w:fldChar w:fldCharType="separate"/>
      </w:r>
      <w:r w:rsidRPr="005A499F">
        <w:rPr>
          <w:b/>
          <w:noProof/>
        </w:rPr>
        <w:t>1</w:t>
      </w:r>
      <w:r w:rsidRPr="005A499F">
        <w:rPr>
          <w:b/>
        </w:rPr>
        <w:fldChar w:fldCharType="end"/>
      </w:r>
      <w:r w:rsidRPr="005A499F">
        <w:rPr>
          <w:b/>
        </w:rPr>
        <w:t xml:space="preserve">: Sektörlere göre kayıt dışı ve </w:t>
      </w:r>
      <w:r w:rsidR="00871327">
        <w:rPr>
          <w:b/>
        </w:rPr>
        <w:t>düşük ücretli çalışanlar (yüzde)</w:t>
      </w:r>
    </w:p>
    <w:tbl>
      <w:tblPr>
        <w:tblW w:w="9700" w:type="dxa"/>
        <w:tblInd w:w="70" w:type="dxa"/>
        <w:tblCellMar>
          <w:left w:w="70" w:type="dxa"/>
          <w:right w:w="70" w:type="dxa"/>
        </w:tblCellMar>
        <w:tblLook w:val="04A0" w:firstRow="1" w:lastRow="0" w:firstColumn="1" w:lastColumn="0" w:noHBand="0" w:noVBand="1"/>
      </w:tblPr>
      <w:tblGrid>
        <w:gridCol w:w="2560"/>
        <w:gridCol w:w="1327"/>
        <w:gridCol w:w="1053"/>
        <w:gridCol w:w="1327"/>
        <w:gridCol w:w="1053"/>
        <w:gridCol w:w="1327"/>
        <w:gridCol w:w="1053"/>
      </w:tblGrid>
      <w:tr w:rsidR="00F61D8C" w:rsidRPr="00F61D8C" w14:paraId="3694266A" w14:textId="77777777" w:rsidTr="00F61D8C">
        <w:trPr>
          <w:trHeight w:val="300"/>
        </w:trPr>
        <w:tc>
          <w:tcPr>
            <w:tcW w:w="2560" w:type="dxa"/>
            <w:tcBorders>
              <w:top w:val="nil"/>
              <w:left w:val="nil"/>
              <w:bottom w:val="nil"/>
              <w:right w:val="nil"/>
            </w:tcBorders>
            <w:shd w:val="clear" w:color="000000" w:fill="FFFFFF"/>
            <w:noWrap/>
            <w:vAlign w:val="bottom"/>
            <w:hideMark/>
          </w:tcPr>
          <w:p w14:paraId="2C0A7058" w14:textId="77777777" w:rsidR="00F61D8C" w:rsidRPr="00F61D8C" w:rsidRDefault="00F61D8C" w:rsidP="00F61D8C">
            <w:pPr>
              <w:suppressAutoHyphens w:val="0"/>
              <w:spacing w:after="0" w:line="240" w:lineRule="auto"/>
              <w:jc w:val="left"/>
              <w:rPr>
                <w:rFonts w:ascii="Calibri" w:hAnsi="Calibri" w:cs="Times New Roman"/>
                <w:color w:val="000000"/>
                <w:sz w:val="18"/>
                <w:szCs w:val="18"/>
                <w:lang w:eastAsia="tr-TR"/>
              </w:rPr>
            </w:pPr>
            <w:r w:rsidRPr="00F61D8C">
              <w:rPr>
                <w:rFonts w:ascii="Calibri" w:hAnsi="Calibri" w:cs="Times New Roman"/>
                <w:color w:val="000000"/>
                <w:sz w:val="18"/>
                <w:szCs w:val="18"/>
                <w:lang w:eastAsia="tr-TR"/>
              </w:rPr>
              <w:t> </w:t>
            </w:r>
          </w:p>
        </w:tc>
        <w:tc>
          <w:tcPr>
            <w:tcW w:w="2380" w:type="dxa"/>
            <w:gridSpan w:val="2"/>
            <w:tcBorders>
              <w:top w:val="single" w:sz="4" w:space="0" w:color="auto"/>
              <w:left w:val="nil"/>
              <w:bottom w:val="single" w:sz="4" w:space="0" w:color="auto"/>
              <w:right w:val="nil"/>
            </w:tcBorders>
            <w:shd w:val="clear" w:color="000000" w:fill="FFFFFF"/>
            <w:noWrap/>
            <w:vAlign w:val="bottom"/>
            <w:hideMark/>
          </w:tcPr>
          <w:p w14:paraId="2784A8BA" w14:textId="77777777" w:rsidR="00F61D8C" w:rsidRPr="00F61D8C" w:rsidRDefault="00F61D8C" w:rsidP="00F61D8C">
            <w:pPr>
              <w:suppressAutoHyphens w:val="0"/>
              <w:spacing w:after="0" w:line="240" w:lineRule="auto"/>
              <w:jc w:val="center"/>
              <w:rPr>
                <w:color w:val="000000"/>
                <w:sz w:val="18"/>
                <w:szCs w:val="18"/>
                <w:lang w:eastAsia="tr-TR"/>
              </w:rPr>
            </w:pPr>
            <w:r w:rsidRPr="00F61D8C">
              <w:rPr>
                <w:color w:val="000000"/>
                <w:sz w:val="18"/>
                <w:szCs w:val="18"/>
                <w:lang w:eastAsia="tr-TR"/>
              </w:rPr>
              <w:t>2014</w:t>
            </w:r>
          </w:p>
        </w:tc>
        <w:tc>
          <w:tcPr>
            <w:tcW w:w="2380" w:type="dxa"/>
            <w:gridSpan w:val="2"/>
            <w:tcBorders>
              <w:top w:val="single" w:sz="4" w:space="0" w:color="auto"/>
              <w:left w:val="nil"/>
              <w:bottom w:val="single" w:sz="4" w:space="0" w:color="auto"/>
              <w:right w:val="nil"/>
            </w:tcBorders>
            <w:shd w:val="clear" w:color="000000" w:fill="FFFFFF"/>
            <w:noWrap/>
            <w:vAlign w:val="bottom"/>
            <w:hideMark/>
          </w:tcPr>
          <w:p w14:paraId="2749A95C" w14:textId="77777777" w:rsidR="00F61D8C" w:rsidRPr="00F61D8C" w:rsidRDefault="00F61D8C" w:rsidP="00F61D8C">
            <w:pPr>
              <w:suppressAutoHyphens w:val="0"/>
              <w:spacing w:after="0" w:line="240" w:lineRule="auto"/>
              <w:jc w:val="center"/>
              <w:rPr>
                <w:color w:val="000000"/>
                <w:sz w:val="18"/>
                <w:szCs w:val="18"/>
                <w:lang w:eastAsia="tr-TR"/>
              </w:rPr>
            </w:pPr>
            <w:r w:rsidRPr="00F61D8C">
              <w:rPr>
                <w:color w:val="000000"/>
                <w:sz w:val="18"/>
                <w:szCs w:val="18"/>
                <w:lang w:eastAsia="tr-TR"/>
              </w:rPr>
              <w:t>2015</w:t>
            </w:r>
          </w:p>
        </w:tc>
        <w:tc>
          <w:tcPr>
            <w:tcW w:w="2380" w:type="dxa"/>
            <w:gridSpan w:val="2"/>
            <w:tcBorders>
              <w:top w:val="single" w:sz="4" w:space="0" w:color="auto"/>
              <w:left w:val="nil"/>
              <w:bottom w:val="single" w:sz="4" w:space="0" w:color="auto"/>
              <w:right w:val="nil"/>
            </w:tcBorders>
            <w:shd w:val="clear" w:color="000000" w:fill="FFFFFF"/>
            <w:noWrap/>
            <w:vAlign w:val="bottom"/>
            <w:hideMark/>
          </w:tcPr>
          <w:p w14:paraId="4FF2F454" w14:textId="77777777" w:rsidR="00F61D8C" w:rsidRPr="00F61D8C" w:rsidRDefault="00F61D8C" w:rsidP="00F61D8C">
            <w:pPr>
              <w:suppressAutoHyphens w:val="0"/>
              <w:spacing w:after="0" w:line="240" w:lineRule="auto"/>
              <w:jc w:val="center"/>
              <w:rPr>
                <w:color w:val="000000"/>
                <w:sz w:val="18"/>
                <w:szCs w:val="18"/>
                <w:lang w:eastAsia="tr-TR"/>
              </w:rPr>
            </w:pPr>
            <w:r w:rsidRPr="00F61D8C">
              <w:rPr>
                <w:color w:val="000000"/>
                <w:sz w:val="18"/>
                <w:szCs w:val="18"/>
                <w:lang w:eastAsia="tr-TR"/>
              </w:rPr>
              <w:t>2016</w:t>
            </w:r>
          </w:p>
        </w:tc>
      </w:tr>
      <w:tr w:rsidR="00F61D8C" w:rsidRPr="00F61D8C" w14:paraId="4B3C34BE" w14:textId="77777777" w:rsidTr="00F61D8C">
        <w:trPr>
          <w:trHeight w:val="315"/>
        </w:trPr>
        <w:tc>
          <w:tcPr>
            <w:tcW w:w="2560" w:type="dxa"/>
            <w:tcBorders>
              <w:top w:val="single" w:sz="4" w:space="0" w:color="auto"/>
              <w:left w:val="nil"/>
              <w:bottom w:val="single" w:sz="4" w:space="0" w:color="auto"/>
              <w:right w:val="nil"/>
            </w:tcBorders>
            <w:shd w:val="clear" w:color="000000" w:fill="FFFFFF"/>
            <w:noWrap/>
            <w:vAlign w:val="bottom"/>
            <w:hideMark/>
          </w:tcPr>
          <w:p w14:paraId="6C92798F" w14:textId="77777777"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Sektör</w:t>
            </w:r>
          </w:p>
        </w:tc>
        <w:tc>
          <w:tcPr>
            <w:tcW w:w="1327" w:type="dxa"/>
            <w:tcBorders>
              <w:top w:val="nil"/>
              <w:left w:val="nil"/>
              <w:bottom w:val="single" w:sz="4" w:space="0" w:color="auto"/>
              <w:right w:val="nil"/>
            </w:tcBorders>
            <w:shd w:val="clear" w:color="000000" w:fill="FFFFFF"/>
            <w:noWrap/>
            <w:vAlign w:val="bottom"/>
            <w:hideMark/>
          </w:tcPr>
          <w:p w14:paraId="4A4E66F9" w14:textId="77777777"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Düşük Ücret</w:t>
            </w:r>
          </w:p>
        </w:tc>
        <w:tc>
          <w:tcPr>
            <w:tcW w:w="1053" w:type="dxa"/>
            <w:tcBorders>
              <w:top w:val="nil"/>
              <w:left w:val="nil"/>
              <w:bottom w:val="single" w:sz="4" w:space="0" w:color="auto"/>
              <w:right w:val="nil"/>
            </w:tcBorders>
            <w:shd w:val="clear" w:color="000000" w:fill="FFFFFF"/>
            <w:noWrap/>
            <w:vAlign w:val="bottom"/>
            <w:hideMark/>
          </w:tcPr>
          <w:p w14:paraId="3CD13A65"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 xml:space="preserve">Kayıt Dışı </w:t>
            </w:r>
          </w:p>
        </w:tc>
        <w:tc>
          <w:tcPr>
            <w:tcW w:w="1327" w:type="dxa"/>
            <w:tcBorders>
              <w:top w:val="nil"/>
              <w:left w:val="nil"/>
              <w:bottom w:val="single" w:sz="4" w:space="0" w:color="auto"/>
              <w:right w:val="nil"/>
            </w:tcBorders>
            <w:shd w:val="clear" w:color="000000" w:fill="FFFFFF"/>
            <w:noWrap/>
            <w:vAlign w:val="bottom"/>
            <w:hideMark/>
          </w:tcPr>
          <w:p w14:paraId="41BA09A9" w14:textId="77777777"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Düşük Ücret</w:t>
            </w:r>
          </w:p>
        </w:tc>
        <w:tc>
          <w:tcPr>
            <w:tcW w:w="1053" w:type="dxa"/>
            <w:tcBorders>
              <w:top w:val="nil"/>
              <w:left w:val="nil"/>
              <w:bottom w:val="single" w:sz="4" w:space="0" w:color="auto"/>
              <w:right w:val="nil"/>
            </w:tcBorders>
            <w:shd w:val="clear" w:color="000000" w:fill="FFFFFF"/>
            <w:noWrap/>
            <w:vAlign w:val="bottom"/>
            <w:hideMark/>
          </w:tcPr>
          <w:p w14:paraId="1911717D"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 xml:space="preserve">Kayıt Dışı </w:t>
            </w:r>
          </w:p>
        </w:tc>
        <w:tc>
          <w:tcPr>
            <w:tcW w:w="1327" w:type="dxa"/>
            <w:tcBorders>
              <w:top w:val="nil"/>
              <w:left w:val="nil"/>
              <w:bottom w:val="single" w:sz="4" w:space="0" w:color="auto"/>
              <w:right w:val="nil"/>
            </w:tcBorders>
            <w:shd w:val="clear" w:color="000000" w:fill="FFFFFF"/>
            <w:noWrap/>
            <w:vAlign w:val="bottom"/>
            <w:hideMark/>
          </w:tcPr>
          <w:p w14:paraId="4D3B7AC3" w14:textId="77777777"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Düşük Ücret</w:t>
            </w:r>
          </w:p>
        </w:tc>
        <w:tc>
          <w:tcPr>
            <w:tcW w:w="1053" w:type="dxa"/>
            <w:tcBorders>
              <w:top w:val="nil"/>
              <w:left w:val="nil"/>
              <w:bottom w:val="single" w:sz="4" w:space="0" w:color="auto"/>
              <w:right w:val="nil"/>
            </w:tcBorders>
            <w:shd w:val="clear" w:color="000000" w:fill="FFFFFF"/>
            <w:noWrap/>
            <w:vAlign w:val="bottom"/>
            <w:hideMark/>
          </w:tcPr>
          <w:p w14:paraId="7DE16713"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 xml:space="preserve">Kayıt Dışı </w:t>
            </w:r>
          </w:p>
        </w:tc>
      </w:tr>
      <w:tr w:rsidR="00F61D8C" w:rsidRPr="00F61D8C" w14:paraId="037A443A" w14:textId="77777777" w:rsidTr="00F61D8C">
        <w:trPr>
          <w:trHeight w:val="315"/>
        </w:trPr>
        <w:tc>
          <w:tcPr>
            <w:tcW w:w="2560" w:type="dxa"/>
            <w:tcBorders>
              <w:top w:val="nil"/>
              <w:left w:val="nil"/>
              <w:bottom w:val="nil"/>
              <w:right w:val="nil"/>
            </w:tcBorders>
            <w:shd w:val="clear" w:color="000000" w:fill="FFFFFF"/>
            <w:noWrap/>
            <w:vAlign w:val="bottom"/>
            <w:hideMark/>
          </w:tcPr>
          <w:p w14:paraId="4A92F0EF" w14:textId="77777777"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Finans ve Sigorta Faaliyetleri</w:t>
            </w:r>
          </w:p>
        </w:tc>
        <w:tc>
          <w:tcPr>
            <w:tcW w:w="1327" w:type="dxa"/>
            <w:tcBorders>
              <w:top w:val="nil"/>
              <w:left w:val="nil"/>
              <w:bottom w:val="nil"/>
              <w:right w:val="nil"/>
            </w:tcBorders>
            <w:shd w:val="clear" w:color="000000" w:fill="FFFFFF"/>
            <w:noWrap/>
            <w:vAlign w:val="bottom"/>
            <w:hideMark/>
          </w:tcPr>
          <w:p w14:paraId="0231D473"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7,6</w:t>
            </w:r>
          </w:p>
        </w:tc>
        <w:tc>
          <w:tcPr>
            <w:tcW w:w="1053" w:type="dxa"/>
            <w:tcBorders>
              <w:top w:val="nil"/>
              <w:left w:val="nil"/>
              <w:bottom w:val="nil"/>
              <w:right w:val="nil"/>
            </w:tcBorders>
            <w:shd w:val="clear" w:color="000000" w:fill="FFFFFF"/>
            <w:noWrap/>
            <w:vAlign w:val="bottom"/>
            <w:hideMark/>
          </w:tcPr>
          <w:p w14:paraId="4CAFE82A"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3,4</w:t>
            </w:r>
          </w:p>
        </w:tc>
        <w:tc>
          <w:tcPr>
            <w:tcW w:w="1327" w:type="dxa"/>
            <w:tcBorders>
              <w:top w:val="nil"/>
              <w:left w:val="nil"/>
              <w:bottom w:val="nil"/>
              <w:right w:val="nil"/>
            </w:tcBorders>
            <w:shd w:val="clear" w:color="000000" w:fill="FFFFFF"/>
            <w:noWrap/>
            <w:vAlign w:val="bottom"/>
            <w:hideMark/>
          </w:tcPr>
          <w:p w14:paraId="136A696E"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17,3</w:t>
            </w:r>
          </w:p>
        </w:tc>
        <w:tc>
          <w:tcPr>
            <w:tcW w:w="1053" w:type="dxa"/>
            <w:tcBorders>
              <w:top w:val="nil"/>
              <w:left w:val="nil"/>
              <w:bottom w:val="nil"/>
              <w:right w:val="nil"/>
            </w:tcBorders>
            <w:shd w:val="clear" w:color="000000" w:fill="FFFFFF"/>
            <w:noWrap/>
            <w:vAlign w:val="bottom"/>
            <w:hideMark/>
          </w:tcPr>
          <w:p w14:paraId="745B6717"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4,0</w:t>
            </w:r>
          </w:p>
        </w:tc>
        <w:tc>
          <w:tcPr>
            <w:tcW w:w="1327" w:type="dxa"/>
            <w:tcBorders>
              <w:top w:val="nil"/>
              <w:left w:val="nil"/>
              <w:bottom w:val="nil"/>
              <w:right w:val="nil"/>
            </w:tcBorders>
            <w:shd w:val="clear" w:color="000000" w:fill="FFFFFF"/>
            <w:noWrap/>
            <w:vAlign w:val="bottom"/>
            <w:hideMark/>
          </w:tcPr>
          <w:p w14:paraId="718EDE28"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1,9</w:t>
            </w:r>
          </w:p>
        </w:tc>
        <w:tc>
          <w:tcPr>
            <w:tcW w:w="1053" w:type="dxa"/>
            <w:tcBorders>
              <w:top w:val="nil"/>
              <w:left w:val="nil"/>
              <w:bottom w:val="nil"/>
              <w:right w:val="nil"/>
            </w:tcBorders>
            <w:shd w:val="clear" w:color="000000" w:fill="FFFFFF"/>
            <w:noWrap/>
            <w:vAlign w:val="bottom"/>
            <w:hideMark/>
          </w:tcPr>
          <w:p w14:paraId="10ED87AA"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3,3</w:t>
            </w:r>
          </w:p>
        </w:tc>
      </w:tr>
      <w:tr w:rsidR="00F61D8C" w:rsidRPr="00F61D8C" w14:paraId="484661D0" w14:textId="77777777" w:rsidTr="00F61D8C">
        <w:trPr>
          <w:trHeight w:val="315"/>
        </w:trPr>
        <w:tc>
          <w:tcPr>
            <w:tcW w:w="2560" w:type="dxa"/>
            <w:tcBorders>
              <w:top w:val="nil"/>
              <w:left w:val="nil"/>
              <w:bottom w:val="nil"/>
              <w:right w:val="nil"/>
            </w:tcBorders>
            <w:shd w:val="clear" w:color="000000" w:fill="FFFFFF"/>
            <w:noWrap/>
            <w:vAlign w:val="bottom"/>
            <w:hideMark/>
          </w:tcPr>
          <w:p w14:paraId="049812C8" w14:textId="77777777"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Eğitim</w:t>
            </w:r>
          </w:p>
        </w:tc>
        <w:tc>
          <w:tcPr>
            <w:tcW w:w="1327" w:type="dxa"/>
            <w:tcBorders>
              <w:top w:val="nil"/>
              <w:left w:val="nil"/>
              <w:bottom w:val="nil"/>
              <w:right w:val="nil"/>
            </w:tcBorders>
            <w:shd w:val="clear" w:color="000000" w:fill="FFFFFF"/>
            <w:noWrap/>
            <w:vAlign w:val="bottom"/>
            <w:hideMark/>
          </w:tcPr>
          <w:p w14:paraId="59152E7D"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11,9</w:t>
            </w:r>
          </w:p>
        </w:tc>
        <w:tc>
          <w:tcPr>
            <w:tcW w:w="1053" w:type="dxa"/>
            <w:tcBorders>
              <w:top w:val="nil"/>
              <w:left w:val="nil"/>
              <w:bottom w:val="nil"/>
              <w:right w:val="nil"/>
            </w:tcBorders>
            <w:shd w:val="clear" w:color="000000" w:fill="FFFFFF"/>
            <w:noWrap/>
            <w:vAlign w:val="bottom"/>
            <w:hideMark/>
          </w:tcPr>
          <w:p w14:paraId="1CA55538"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3,5</w:t>
            </w:r>
          </w:p>
        </w:tc>
        <w:tc>
          <w:tcPr>
            <w:tcW w:w="1327" w:type="dxa"/>
            <w:tcBorders>
              <w:top w:val="nil"/>
              <w:left w:val="nil"/>
              <w:bottom w:val="nil"/>
              <w:right w:val="nil"/>
            </w:tcBorders>
            <w:shd w:val="clear" w:color="000000" w:fill="FFFFFF"/>
            <w:noWrap/>
            <w:vAlign w:val="bottom"/>
            <w:hideMark/>
          </w:tcPr>
          <w:p w14:paraId="0DC2F6BA"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18,3</w:t>
            </w:r>
          </w:p>
        </w:tc>
        <w:tc>
          <w:tcPr>
            <w:tcW w:w="1053" w:type="dxa"/>
            <w:tcBorders>
              <w:top w:val="nil"/>
              <w:left w:val="nil"/>
              <w:bottom w:val="nil"/>
              <w:right w:val="nil"/>
            </w:tcBorders>
            <w:shd w:val="clear" w:color="000000" w:fill="FFFFFF"/>
            <w:noWrap/>
            <w:vAlign w:val="bottom"/>
            <w:hideMark/>
          </w:tcPr>
          <w:p w14:paraId="0B7FE596"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3,2</w:t>
            </w:r>
          </w:p>
        </w:tc>
        <w:tc>
          <w:tcPr>
            <w:tcW w:w="1327" w:type="dxa"/>
            <w:tcBorders>
              <w:top w:val="nil"/>
              <w:left w:val="nil"/>
              <w:bottom w:val="nil"/>
              <w:right w:val="nil"/>
            </w:tcBorders>
            <w:shd w:val="clear" w:color="000000" w:fill="FFFFFF"/>
            <w:noWrap/>
            <w:vAlign w:val="bottom"/>
            <w:hideMark/>
          </w:tcPr>
          <w:p w14:paraId="44975ED1"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4,9</w:t>
            </w:r>
          </w:p>
        </w:tc>
        <w:tc>
          <w:tcPr>
            <w:tcW w:w="1053" w:type="dxa"/>
            <w:tcBorders>
              <w:top w:val="nil"/>
              <w:left w:val="nil"/>
              <w:bottom w:val="nil"/>
              <w:right w:val="nil"/>
            </w:tcBorders>
            <w:shd w:val="clear" w:color="000000" w:fill="FFFFFF"/>
            <w:noWrap/>
            <w:vAlign w:val="bottom"/>
            <w:hideMark/>
          </w:tcPr>
          <w:p w14:paraId="7E1D6205"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3,6</w:t>
            </w:r>
          </w:p>
        </w:tc>
      </w:tr>
      <w:tr w:rsidR="00F61D8C" w:rsidRPr="00F61D8C" w14:paraId="55C7A18A" w14:textId="77777777" w:rsidTr="00F61D8C">
        <w:trPr>
          <w:trHeight w:val="315"/>
        </w:trPr>
        <w:tc>
          <w:tcPr>
            <w:tcW w:w="2560" w:type="dxa"/>
            <w:tcBorders>
              <w:top w:val="nil"/>
              <w:left w:val="nil"/>
              <w:bottom w:val="nil"/>
              <w:right w:val="nil"/>
            </w:tcBorders>
            <w:shd w:val="clear" w:color="000000" w:fill="FFFFFF"/>
            <w:noWrap/>
            <w:vAlign w:val="bottom"/>
            <w:hideMark/>
          </w:tcPr>
          <w:p w14:paraId="4F23361D" w14:textId="77777777"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Kamu Yönetimi ve Savunma</w:t>
            </w:r>
          </w:p>
        </w:tc>
        <w:tc>
          <w:tcPr>
            <w:tcW w:w="1327" w:type="dxa"/>
            <w:tcBorders>
              <w:top w:val="nil"/>
              <w:left w:val="nil"/>
              <w:bottom w:val="nil"/>
              <w:right w:val="nil"/>
            </w:tcBorders>
            <w:shd w:val="clear" w:color="000000" w:fill="FFFFFF"/>
            <w:noWrap/>
            <w:vAlign w:val="bottom"/>
            <w:hideMark/>
          </w:tcPr>
          <w:p w14:paraId="14DFD04D"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6,5</w:t>
            </w:r>
          </w:p>
        </w:tc>
        <w:tc>
          <w:tcPr>
            <w:tcW w:w="1053" w:type="dxa"/>
            <w:tcBorders>
              <w:top w:val="nil"/>
              <w:left w:val="nil"/>
              <w:bottom w:val="nil"/>
              <w:right w:val="nil"/>
            </w:tcBorders>
            <w:shd w:val="clear" w:color="000000" w:fill="FFFFFF"/>
            <w:noWrap/>
            <w:vAlign w:val="bottom"/>
            <w:hideMark/>
          </w:tcPr>
          <w:p w14:paraId="6946E4AD"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4,1</w:t>
            </w:r>
          </w:p>
        </w:tc>
        <w:tc>
          <w:tcPr>
            <w:tcW w:w="1327" w:type="dxa"/>
            <w:tcBorders>
              <w:top w:val="nil"/>
              <w:left w:val="nil"/>
              <w:bottom w:val="nil"/>
              <w:right w:val="nil"/>
            </w:tcBorders>
            <w:shd w:val="clear" w:color="000000" w:fill="FFFFFF"/>
            <w:noWrap/>
            <w:vAlign w:val="bottom"/>
            <w:hideMark/>
          </w:tcPr>
          <w:p w14:paraId="5FBF9E5B"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9,6</w:t>
            </w:r>
          </w:p>
        </w:tc>
        <w:tc>
          <w:tcPr>
            <w:tcW w:w="1053" w:type="dxa"/>
            <w:tcBorders>
              <w:top w:val="nil"/>
              <w:left w:val="nil"/>
              <w:bottom w:val="nil"/>
              <w:right w:val="nil"/>
            </w:tcBorders>
            <w:shd w:val="clear" w:color="000000" w:fill="FFFFFF"/>
            <w:noWrap/>
            <w:vAlign w:val="bottom"/>
            <w:hideMark/>
          </w:tcPr>
          <w:p w14:paraId="552AFD45"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4,0</w:t>
            </w:r>
          </w:p>
        </w:tc>
        <w:tc>
          <w:tcPr>
            <w:tcW w:w="1327" w:type="dxa"/>
            <w:tcBorders>
              <w:top w:val="nil"/>
              <w:left w:val="nil"/>
              <w:bottom w:val="nil"/>
              <w:right w:val="nil"/>
            </w:tcBorders>
            <w:shd w:val="clear" w:color="000000" w:fill="FFFFFF"/>
            <w:noWrap/>
            <w:vAlign w:val="bottom"/>
            <w:hideMark/>
          </w:tcPr>
          <w:p w14:paraId="6D4335B4"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2,2</w:t>
            </w:r>
          </w:p>
        </w:tc>
        <w:tc>
          <w:tcPr>
            <w:tcW w:w="1053" w:type="dxa"/>
            <w:tcBorders>
              <w:top w:val="nil"/>
              <w:left w:val="nil"/>
              <w:bottom w:val="nil"/>
              <w:right w:val="nil"/>
            </w:tcBorders>
            <w:shd w:val="clear" w:color="000000" w:fill="FFFFFF"/>
            <w:noWrap/>
            <w:vAlign w:val="bottom"/>
            <w:hideMark/>
          </w:tcPr>
          <w:p w14:paraId="46701AF9"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3,9</w:t>
            </w:r>
          </w:p>
        </w:tc>
      </w:tr>
      <w:tr w:rsidR="00F61D8C" w:rsidRPr="00F61D8C" w14:paraId="00470613" w14:textId="77777777" w:rsidTr="00F61D8C">
        <w:trPr>
          <w:trHeight w:val="315"/>
        </w:trPr>
        <w:tc>
          <w:tcPr>
            <w:tcW w:w="2560" w:type="dxa"/>
            <w:tcBorders>
              <w:top w:val="nil"/>
              <w:left w:val="nil"/>
              <w:bottom w:val="nil"/>
              <w:right w:val="nil"/>
            </w:tcBorders>
            <w:shd w:val="clear" w:color="000000" w:fill="FFFFFF"/>
            <w:noWrap/>
            <w:vAlign w:val="bottom"/>
            <w:hideMark/>
          </w:tcPr>
          <w:p w14:paraId="668D183A" w14:textId="77777777"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Madencilik ve Taş Ocakçılığı</w:t>
            </w:r>
          </w:p>
        </w:tc>
        <w:tc>
          <w:tcPr>
            <w:tcW w:w="1327" w:type="dxa"/>
            <w:tcBorders>
              <w:top w:val="nil"/>
              <w:left w:val="nil"/>
              <w:bottom w:val="nil"/>
              <w:right w:val="nil"/>
            </w:tcBorders>
            <w:shd w:val="clear" w:color="000000" w:fill="FFFFFF"/>
            <w:noWrap/>
            <w:vAlign w:val="bottom"/>
            <w:hideMark/>
          </w:tcPr>
          <w:p w14:paraId="4DE754E4"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19,0</w:t>
            </w:r>
          </w:p>
        </w:tc>
        <w:tc>
          <w:tcPr>
            <w:tcW w:w="1053" w:type="dxa"/>
            <w:tcBorders>
              <w:top w:val="nil"/>
              <w:left w:val="nil"/>
              <w:bottom w:val="nil"/>
              <w:right w:val="nil"/>
            </w:tcBorders>
            <w:shd w:val="clear" w:color="000000" w:fill="FFFFFF"/>
            <w:noWrap/>
            <w:vAlign w:val="bottom"/>
            <w:hideMark/>
          </w:tcPr>
          <w:p w14:paraId="3EB09747"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6,7</w:t>
            </w:r>
          </w:p>
        </w:tc>
        <w:tc>
          <w:tcPr>
            <w:tcW w:w="1327" w:type="dxa"/>
            <w:tcBorders>
              <w:top w:val="nil"/>
              <w:left w:val="nil"/>
              <w:bottom w:val="nil"/>
              <w:right w:val="nil"/>
            </w:tcBorders>
            <w:shd w:val="clear" w:color="000000" w:fill="FFFFFF"/>
            <w:noWrap/>
            <w:vAlign w:val="bottom"/>
            <w:hideMark/>
          </w:tcPr>
          <w:p w14:paraId="17A86094"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30,6</w:t>
            </w:r>
          </w:p>
        </w:tc>
        <w:tc>
          <w:tcPr>
            <w:tcW w:w="1053" w:type="dxa"/>
            <w:tcBorders>
              <w:top w:val="nil"/>
              <w:left w:val="nil"/>
              <w:bottom w:val="nil"/>
              <w:right w:val="nil"/>
            </w:tcBorders>
            <w:shd w:val="clear" w:color="000000" w:fill="FFFFFF"/>
            <w:noWrap/>
            <w:vAlign w:val="bottom"/>
            <w:hideMark/>
          </w:tcPr>
          <w:p w14:paraId="318DC2D1"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6,1</w:t>
            </w:r>
          </w:p>
        </w:tc>
        <w:tc>
          <w:tcPr>
            <w:tcW w:w="1327" w:type="dxa"/>
            <w:tcBorders>
              <w:top w:val="nil"/>
              <w:left w:val="nil"/>
              <w:bottom w:val="nil"/>
              <w:right w:val="nil"/>
            </w:tcBorders>
            <w:shd w:val="clear" w:color="000000" w:fill="FFFFFF"/>
            <w:noWrap/>
            <w:vAlign w:val="bottom"/>
            <w:hideMark/>
          </w:tcPr>
          <w:p w14:paraId="2677967B"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4,0</w:t>
            </w:r>
          </w:p>
        </w:tc>
        <w:tc>
          <w:tcPr>
            <w:tcW w:w="1053" w:type="dxa"/>
            <w:tcBorders>
              <w:top w:val="nil"/>
              <w:left w:val="nil"/>
              <w:bottom w:val="nil"/>
              <w:right w:val="nil"/>
            </w:tcBorders>
            <w:shd w:val="clear" w:color="000000" w:fill="FFFFFF"/>
            <w:noWrap/>
            <w:vAlign w:val="bottom"/>
            <w:hideMark/>
          </w:tcPr>
          <w:p w14:paraId="54D4BC42"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4,2</w:t>
            </w:r>
          </w:p>
        </w:tc>
      </w:tr>
      <w:tr w:rsidR="00F61D8C" w:rsidRPr="00F61D8C" w14:paraId="4E369529" w14:textId="77777777" w:rsidTr="00F61D8C">
        <w:trPr>
          <w:trHeight w:val="315"/>
        </w:trPr>
        <w:tc>
          <w:tcPr>
            <w:tcW w:w="2560" w:type="dxa"/>
            <w:tcBorders>
              <w:top w:val="nil"/>
              <w:left w:val="nil"/>
              <w:bottom w:val="nil"/>
              <w:right w:val="nil"/>
            </w:tcBorders>
            <w:shd w:val="clear" w:color="000000" w:fill="FFFFFF"/>
            <w:noWrap/>
            <w:vAlign w:val="bottom"/>
            <w:hideMark/>
          </w:tcPr>
          <w:p w14:paraId="3FC0AF10" w14:textId="5971F39B"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Mesleki, Bilimsel ve Teknik</w:t>
            </w:r>
          </w:p>
        </w:tc>
        <w:tc>
          <w:tcPr>
            <w:tcW w:w="1327" w:type="dxa"/>
            <w:tcBorders>
              <w:top w:val="nil"/>
              <w:left w:val="nil"/>
              <w:bottom w:val="nil"/>
              <w:right w:val="nil"/>
            </w:tcBorders>
            <w:shd w:val="clear" w:color="000000" w:fill="FFFFFF"/>
            <w:noWrap/>
            <w:vAlign w:val="bottom"/>
            <w:hideMark/>
          </w:tcPr>
          <w:p w14:paraId="5E08E070"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20,1</w:t>
            </w:r>
          </w:p>
        </w:tc>
        <w:tc>
          <w:tcPr>
            <w:tcW w:w="1053" w:type="dxa"/>
            <w:tcBorders>
              <w:top w:val="nil"/>
              <w:left w:val="nil"/>
              <w:bottom w:val="nil"/>
              <w:right w:val="nil"/>
            </w:tcBorders>
            <w:shd w:val="clear" w:color="000000" w:fill="FFFFFF"/>
            <w:noWrap/>
            <w:vAlign w:val="bottom"/>
            <w:hideMark/>
          </w:tcPr>
          <w:p w14:paraId="159718EF"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11,1</w:t>
            </w:r>
          </w:p>
        </w:tc>
        <w:tc>
          <w:tcPr>
            <w:tcW w:w="1327" w:type="dxa"/>
            <w:tcBorders>
              <w:top w:val="nil"/>
              <w:left w:val="nil"/>
              <w:bottom w:val="nil"/>
              <w:right w:val="nil"/>
            </w:tcBorders>
            <w:shd w:val="clear" w:color="000000" w:fill="FFFFFF"/>
            <w:noWrap/>
            <w:vAlign w:val="bottom"/>
            <w:hideMark/>
          </w:tcPr>
          <w:p w14:paraId="60A4400B"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30,9</w:t>
            </w:r>
          </w:p>
        </w:tc>
        <w:tc>
          <w:tcPr>
            <w:tcW w:w="1053" w:type="dxa"/>
            <w:tcBorders>
              <w:top w:val="nil"/>
              <w:left w:val="nil"/>
              <w:bottom w:val="nil"/>
              <w:right w:val="nil"/>
            </w:tcBorders>
            <w:shd w:val="clear" w:color="000000" w:fill="FFFFFF"/>
            <w:noWrap/>
            <w:vAlign w:val="bottom"/>
            <w:hideMark/>
          </w:tcPr>
          <w:p w14:paraId="1839E12E"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9,9</w:t>
            </w:r>
          </w:p>
        </w:tc>
        <w:tc>
          <w:tcPr>
            <w:tcW w:w="1327" w:type="dxa"/>
            <w:tcBorders>
              <w:top w:val="nil"/>
              <w:left w:val="nil"/>
              <w:bottom w:val="nil"/>
              <w:right w:val="nil"/>
            </w:tcBorders>
            <w:shd w:val="clear" w:color="000000" w:fill="FFFFFF"/>
            <w:noWrap/>
            <w:vAlign w:val="bottom"/>
            <w:hideMark/>
          </w:tcPr>
          <w:p w14:paraId="7F806CDC"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6,3</w:t>
            </w:r>
          </w:p>
        </w:tc>
        <w:tc>
          <w:tcPr>
            <w:tcW w:w="1053" w:type="dxa"/>
            <w:tcBorders>
              <w:top w:val="nil"/>
              <w:left w:val="nil"/>
              <w:bottom w:val="nil"/>
              <w:right w:val="nil"/>
            </w:tcBorders>
            <w:shd w:val="clear" w:color="000000" w:fill="FFFFFF"/>
            <w:noWrap/>
            <w:vAlign w:val="bottom"/>
            <w:hideMark/>
          </w:tcPr>
          <w:p w14:paraId="7CDD3B3D"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9,2</w:t>
            </w:r>
          </w:p>
        </w:tc>
      </w:tr>
      <w:tr w:rsidR="00F61D8C" w:rsidRPr="00F61D8C" w14:paraId="3CD3E1BA" w14:textId="77777777" w:rsidTr="00F61D8C">
        <w:trPr>
          <w:trHeight w:val="315"/>
        </w:trPr>
        <w:tc>
          <w:tcPr>
            <w:tcW w:w="2560" w:type="dxa"/>
            <w:tcBorders>
              <w:top w:val="nil"/>
              <w:left w:val="nil"/>
              <w:bottom w:val="nil"/>
              <w:right w:val="nil"/>
            </w:tcBorders>
            <w:shd w:val="clear" w:color="000000" w:fill="FFFFFF"/>
            <w:noWrap/>
            <w:vAlign w:val="bottom"/>
            <w:hideMark/>
          </w:tcPr>
          <w:p w14:paraId="1F05256E" w14:textId="77777777"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Bilgi ve İletişim</w:t>
            </w:r>
          </w:p>
        </w:tc>
        <w:tc>
          <w:tcPr>
            <w:tcW w:w="1327" w:type="dxa"/>
            <w:tcBorders>
              <w:top w:val="nil"/>
              <w:left w:val="nil"/>
              <w:bottom w:val="nil"/>
              <w:right w:val="nil"/>
            </w:tcBorders>
            <w:shd w:val="clear" w:color="000000" w:fill="FFFFFF"/>
            <w:noWrap/>
            <w:vAlign w:val="bottom"/>
            <w:hideMark/>
          </w:tcPr>
          <w:p w14:paraId="2379B724"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13,0</w:t>
            </w:r>
          </w:p>
        </w:tc>
        <w:tc>
          <w:tcPr>
            <w:tcW w:w="1053" w:type="dxa"/>
            <w:tcBorders>
              <w:top w:val="nil"/>
              <w:left w:val="nil"/>
              <w:bottom w:val="nil"/>
              <w:right w:val="nil"/>
            </w:tcBorders>
            <w:shd w:val="clear" w:color="000000" w:fill="FFFFFF"/>
            <w:noWrap/>
            <w:vAlign w:val="bottom"/>
            <w:hideMark/>
          </w:tcPr>
          <w:p w14:paraId="0F73B32D"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13,3</w:t>
            </w:r>
          </w:p>
        </w:tc>
        <w:tc>
          <w:tcPr>
            <w:tcW w:w="1327" w:type="dxa"/>
            <w:tcBorders>
              <w:top w:val="nil"/>
              <w:left w:val="nil"/>
              <w:bottom w:val="nil"/>
              <w:right w:val="nil"/>
            </w:tcBorders>
            <w:shd w:val="clear" w:color="000000" w:fill="FFFFFF"/>
            <w:noWrap/>
            <w:vAlign w:val="bottom"/>
            <w:hideMark/>
          </w:tcPr>
          <w:p w14:paraId="64AD89AE"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27,7</w:t>
            </w:r>
          </w:p>
        </w:tc>
        <w:tc>
          <w:tcPr>
            <w:tcW w:w="1053" w:type="dxa"/>
            <w:tcBorders>
              <w:top w:val="nil"/>
              <w:left w:val="nil"/>
              <w:bottom w:val="nil"/>
              <w:right w:val="nil"/>
            </w:tcBorders>
            <w:shd w:val="clear" w:color="000000" w:fill="FFFFFF"/>
            <w:noWrap/>
            <w:vAlign w:val="bottom"/>
            <w:hideMark/>
          </w:tcPr>
          <w:p w14:paraId="7087CB39"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13,0</w:t>
            </w:r>
          </w:p>
        </w:tc>
        <w:tc>
          <w:tcPr>
            <w:tcW w:w="1327" w:type="dxa"/>
            <w:tcBorders>
              <w:top w:val="nil"/>
              <w:left w:val="nil"/>
              <w:bottom w:val="nil"/>
              <w:right w:val="nil"/>
            </w:tcBorders>
            <w:shd w:val="clear" w:color="000000" w:fill="FFFFFF"/>
            <w:noWrap/>
            <w:vAlign w:val="bottom"/>
            <w:hideMark/>
          </w:tcPr>
          <w:p w14:paraId="248C42F1"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5,9</w:t>
            </w:r>
          </w:p>
        </w:tc>
        <w:tc>
          <w:tcPr>
            <w:tcW w:w="1053" w:type="dxa"/>
            <w:tcBorders>
              <w:top w:val="nil"/>
              <w:left w:val="nil"/>
              <w:bottom w:val="nil"/>
              <w:right w:val="nil"/>
            </w:tcBorders>
            <w:shd w:val="clear" w:color="000000" w:fill="FFFFFF"/>
            <w:noWrap/>
            <w:vAlign w:val="bottom"/>
            <w:hideMark/>
          </w:tcPr>
          <w:p w14:paraId="33F0ED7F"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12,6</w:t>
            </w:r>
          </w:p>
        </w:tc>
      </w:tr>
      <w:tr w:rsidR="00F61D8C" w:rsidRPr="00F61D8C" w14:paraId="7FBE09DB" w14:textId="77777777" w:rsidTr="00F61D8C">
        <w:trPr>
          <w:trHeight w:val="315"/>
        </w:trPr>
        <w:tc>
          <w:tcPr>
            <w:tcW w:w="2560" w:type="dxa"/>
            <w:tcBorders>
              <w:top w:val="nil"/>
              <w:left w:val="nil"/>
              <w:bottom w:val="nil"/>
              <w:right w:val="nil"/>
            </w:tcBorders>
            <w:shd w:val="clear" w:color="000000" w:fill="FFFFFF"/>
            <w:noWrap/>
            <w:vAlign w:val="bottom"/>
            <w:hideMark/>
          </w:tcPr>
          <w:p w14:paraId="27876614" w14:textId="77777777"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İdari ve Destek Hizmet</w:t>
            </w:r>
          </w:p>
        </w:tc>
        <w:tc>
          <w:tcPr>
            <w:tcW w:w="1327" w:type="dxa"/>
            <w:tcBorders>
              <w:top w:val="nil"/>
              <w:left w:val="nil"/>
              <w:bottom w:val="nil"/>
              <w:right w:val="nil"/>
            </w:tcBorders>
            <w:shd w:val="clear" w:color="000000" w:fill="FFFFFF"/>
            <w:noWrap/>
            <w:vAlign w:val="bottom"/>
            <w:hideMark/>
          </w:tcPr>
          <w:p w14:paraId="1063C803"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36,7</w:t>
            </w:r>
          </w:p>
        </w:tc>
        <w:tc>
          <w:tcPr>
            <w:tcW w:w="1053" w:type="dxa"/>
            <w:tcBorders>
              <w:top w:val="nil"/>
              <w:left w:val="nil"/>
              <w:bottom w:val="nil"/>
              <w:right w:val="nil"/>
            </w:tcBorders>
            <w:shd w:val="clear" w:color="000000" w:fill="FFFFFF"/>
            <w:noWrap/>
            <w:vAlign w:val="bottom"/>
            <w:hideMark/>
          </w:tcPr>
          <w:p w14:paraId="5EFCDE26"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15,3</w:t>
            </w:r>
          </w:p>
        </w:tc>
        <w:tc>
          <w:tcPr>
            <w:tcW w:w="1327" w:type="dxa"/>
            <w:tcBorders>
              <w:top w:val="nil"/>
              <w:left w:val="nil"/>
              <w:bottom w:val="nil"/>
              <w:right w:val="nil"/>
            </w:tcBorders>
            <w:shd w:val="clear" w:color="000000" w:fill="FFFFFF"/>
            <w:noWrap/>
            <w:vAlign w:val="bottom"/>
            <w:hideMark/>
          </w:tcPr>
          <w:p w14:paraId="25E34773"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60,4</w:t>
            </w:r>
          </w:p>
        </w:tc>
        <w:tc>
          <w:tcPr>
            <w:tcW w:w="1053" w:type="dxa"/>
            <w:tcBorders>
              <w:top w:val="nil"/>
              <w:left w:val="nil"/>
              <w:bottom w:val="nil"/>
              <w:right w:val="nil"/>
            </w:tcBorders>
            <w:shd w:val="clear" w:color="000000" w:fill="FFFFFF"/>
            <w:noWrap/>
            <w:vAlign w:val="bottom"/>
            <w:hideMark/>
          </w:tcPr>
          <w:p w14:paraId="1B38D2FB"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14,6</w:t>
            </w:r>
          </w:p>
        </w:tc>
        <w:tc>
          <w:tcPr>
            <w:tcW w:w="1327" w:type="dxa"/>
            <w:tcBorders>
              <w:top w:val="nil"/>
              <w:left w:val="nil"/>
              <w:bottom w:val="nil"/>
              <w:right w:val="nil"/>
            </w:tcBorders>
            <w:shd w:val="clear" w:color="000000" w:fill="FFFFFF"/>
            <w:noWrap/>
            <w:vAlign w:val="bottom"/>
            <w:hideMark/>
          </w:tcPr>
          <w:p w14:paraId="6E02B69B"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6,4</w:t>
            </w:r>
          </w:p>
        </w:tc>
        <w:tc>
          <w:tcPr>
            <w:tcW w:w="1053" w:type="dxa"/>
            <w:tcBorders>
              <w:top w:val="nil"/>
              <w:left w:val="nil"/>
              <w:bottom w:val="nil"/>
              <w:right w:val="nil"/>
            </w:tcBorders>
            <w:shd w:val="clear" w:color="000000" w:fill="FFFFFF"/>
            <w:noWrap/>
            <w:vAlign w:val="bottom"/>
            <w:hideMark/>
          </w:tcPr>
          <w:p w14:paraId="792446D3"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13,1</w:t>
            </w:r>
          </w:p>
        </w:tc>
      </w:tr>
      <w:tr w:rsidR="00F61D8C" w:rsidRPr="00F61D8C" w14:paraId="142D2752" w14:textId="77777777" w:rsidTr="00F61D8C">
        <w:trPr>
          <w:trHeight w:val="315"/>
        </w:trPr>
        <w:tc>
          <w:tcPr>
            <w:tcW w:w="2560" w:type="dxa"/>
            <w:tcBorders>
              <w:top w:val="nil"/>
              <w:left w:val="nil"/>
              <w:bottom w:val="nil"/>
              <w:right w:val="nil"/>
            </w:tcBorders>
            <w:shd w:val="clear" w:color="000000" w:fill="FFFFFF"/>
            <w:noWrap/>
            <w:vAlign w:val="bottom"/>
            <w:hideMark/>
          </w:tcPr>
          <w:p w14:paraId="388D047B" w14:textId="77777777"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Kültür Sanat</w:t>
            </w:r>
          </w:p>
        </w:tc>
        <w:tc>
          <w:tcPr>
            <w:tcW w:w="1327" w:type="dxa"/>
            <w:tcBorders>
              <w:top w:val="nil"/>
              <w:left w:val="nil"/>
              <w:bottom w:val="nil"/>
              <w:right w:val="nil"/>
            </w:tcBorders>
            <w:shd w:val="clear" w:color="000000" w:fill="FFFFFF"/>
            <w:noWrap/>
            <w:vAlign w:val="bottom"/>
            <w:hideMark/>
          </w:tcPr>
          <w:p w14:paraId="14F1A825"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18,9</w:t>
            </w:r>
          </w:p>
        </w:tc>
        <w:tc>
          <w:tcPr>
            <w:tcW w:w="1053" w:type="dxa"/>
            <w:tcBorders>
              <w:top w:val="nil"/>
              <w:left w:val="nil"/>
              <w:bottom w:val="nil"/>
              <w:right w:val="nil"/>
            </w:tcBorders>
            <w:shd w:val="clear" w:color="000000" w:fill="FFFFFF"/>
            <w:noWrap/>
            <w:vAlign w:val="bottom"/>
            <w:hideMark/>
          </w:tcPr>
          <w:p w14:paraId="15CC5588"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20,4</w:t>
            </w:r>
          </w:p>
        </w:tc>
        <w:tc>
          <w:tcPr>
            <w:tcW w:w="1327" w:type="dxa"/>
            <w:tcBorders>
              <w:top w:val="nil"/>
              <w:left w:val="nil"/>
              <w:bottom w:val="nil"/>
              <w:right w:val="nil"/>
            </w:tcBorders>
            <w:shd w:val="clear" w:color="000000" w:fill="FFFFFF"/>
            <w:noWrap/>
            <w:vAlign w:val="bottom"/>
            <w:hideMark/>
          </w:tcPr>
          <w:p w14:paraId="5AF9FDD3"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27,7</w:t>
            </w:r>
          </w:p>
        </w:tc>
        <w:tc>
          <w:tcPr>
            <w:tcW w:w="1053" w:type="dxa"/>
            <w:tcBorders>
              <w:top w:val="nil"/>
              <w:left w:val="nil"/>
              <w:bottom w:val="nil"/>
              <w:right w:val="nil"/>
            </w:tcBorders>
            <w:shd w:val="clear" w:color="000000" w:fill="FFFFFF"/>
            <w:noWrap/>
            <w:vAlign w:val="bottom"/>
            <w:hideMark/>
          </w:tcPr>
          <w:p w14:paraId="438B6311"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19,0</w:t>
            </w:r>
          </w:p>
        </w:tc>
        <w:tc>
          <w:tcPr>
            <w:tcW w:w="1327" w:type="dxa"/>
            <w:tcBorders>
              <w:top w:val="nil"/>
              <w:left w:val="nil"/>
              <w:bottom w:val="nil"/>
              <w:right w:val="nil"/>
            </w:tcBorders>
            <w:shd w:val="clear" w:color="000000" w:fill="FFFFFF"/>
            <w:noWrap/>
            <w:vAlign w:val="bottom"/>
            <w:hideMark/>
          </w:tcPr>
          <w:p w14:paraId="55644DBA"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8,2</w:t>
            </w:r>
          </w:p>
        </w:tc>
        <w:tc>
          <w:tcPr>
            <w:tcW w:w="1053" w:type="dxa"/>
            <w:tcBorders>
              <w:top w:val="nil"/>
              <w:left w:val="nil"/>
              <w:bottom w:val="nil"/>
              <w:right w:val="nil"/>
            </w:tcBorders>
            <w:shd w:val="clear" w:color="000000" w:fill="FFFFFF"/>
            <w:noWrap/>
            <w:vAlign w:val="bottom"/>
            <w:hideMark/>
          </w:tcPr>
          <w:p w14:paraId="0406CE83"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19,9</w:t>
            </w:r>
          </w:p>
        </w:tc>
      </w:tr>
      <w:tr w:rsidR="00F61D8C" w:rsidRPr="00F61D8C" w14:paraId="6A5BD2BE" w14:textId="77777777" w:rsidTr="00F61D8C">
        <w:trPr>
          <w:trHeight w:val="315"/>
        </w:trPr>
        <w:tc>
          <w:tcPr>
            <w:tcW w:w="2560" w:type="dxa"/>
            <w:tcBorders>
              <w:top w:val="nil"/>
              <w:left w:val="nil"/>
              <w:bottom w:val="nil"/>
              <w:right w:val="nil"/>
            </w:tcBorders>
            <w:shd w:val="clear" w:color="000000" w:fill="FFFFFF"/>
            <w:noWrap/>
            <w:vAlign w:val="bottom"/>
            <w:hideMark/>
          </w:tcPr>
          <w:p w14:paraId="234A4351" w14:textId="7986182A"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İmalat</w:t>
            </w:r>
          </w:p>
        </w:tc>
        <w:tc>
          <w:tcPr>
            <w:tcW w:w="1327" w:type="dxa"/>
            <w:tcBorders>
              <w:top w:val="nil"/>
              <w:left w:val="nil"/>
              <w:bottom w:val="nil"/>
              <w:right w:val="nil"/>
            </w:tcBorders>
            <w:shd w:val="clear" w:color="000000" w:fill="FFFFFF"/>
            <w:noWrap/>
            <w:vAlign w:val="bottom"/>
            <w:hideMark/>
          </w:tcPr>
          <w:p w14:paraId="73053BAF"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34,8</w:t>
            </w:r>
          </w:p>
        </w:tc>
        <w:tc>
          <w:tcPr>
            <w:tcW w:w="1053" w:type="dxa"/>
            <w:tcBorders>
              <w:top w:val="nil"/>
              <w:left w:val="nil"/>
              <w:bottom w:val="nil"/>
              <w:right w:val="nil"/>
            </w:tcBorders>
            <w:shd w:val="clear" w:color="000000" w:fill="FFFFFF"/>
            <w:noWrap/>
            <w:vAlign w:val="bottom"/>
            <w:hideMark/>
          </w:tcPr>
          <w:p w14:paraId="2ACFB0CC"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20,2</w:t>
            </w:r>
          </w:p>
        </w:tc>
        <w:tc>
          <w:tcPr>
            <w:tcW w:w="1327" w:type="dxa"/>
            <w:tcBorders>
              <w:top w:val="nil"/>
              <w:left w:val="nil"/>
              <w:bottom w:val="nil"/>
              <w:right w:val="nil"/>
            </w:tcBorders>
            <w:shd w:val="clear" w:color="000000" w:fill="FFFFFF"/>
            <w:noWrap/>
            <w:vAlign w:val="bottom"/>
            <w:hideMark/>
          </w:tcPr>
          <w:p w14:paraId="7CBE3E46"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55,6</w:t>
            </w:r>
          </w:p>
        </w:tc>
        <w:tc>
          <w:tcPr>
            <w:tcW w:w="1053" w:type="dxa"/>
            <w:tcBorders>
              <w:top w:val="nil"/>
              <w:left w:val="nil"/>
              <w:bottom w:val="nil"/>
              <w:right w:val="nil"/>
            </w:tcBorders>
            <w:shd w:val="clear" w:color="000000" w:fill="FFFFFF"/>
            <w:noWrap/>
            <w:vAlign w:val="bottom"/>
            <w:hideMark/>
          </w:tcPr>
          <w:p w14:paraId="2967FE2A"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18,9</w:t>
            </w:r>
          </w:p>
        </w:tc>
        <w:tc>
          <w:tcPr>
            <w:tcW w:w="1327" w:type="dxa"/>
            <w:tcBorders>
              <w:top w:val="nil"/>
              <w:left w:val="nil"/>
              <w:bottom w:val="nil"/>
              <w:right w:val="nil"/>
            </w:tcBorders>
            <w:shd w:val="clear" w:color="000000" w:fill="FFFFFF"/>
            <w:noWrap/>
            <w:vAlign w:val="bottom"/>
            <w:hideMark/>
          </w:tcPr>
          <w:p w14:paraId="158E591E"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11,3</w:t>
            </w:r>
          </w:p>
        </w:tc>
        <w:tc>
          <w:tcPr>
            <w:tcW w:w="1053" w:type="dxa"/>
            <w:tcBorders>
              <w:top w:val="nil"/>
              <w:left w:val="nil"/>
              <w:bottom w:val="nil"/>
              <w:right w:val="nil"/>
            </w:tcBorders>
            <w:shd w:val="clear" w:color="000000" w:fill="FFFFFF"/>
            <w:noWrap/>
            <w:vAlign w:val="bottom"/>
            <w:hideMark/>
          </w:tcPr>
          <w:p w14:paraId="10FD8ECC"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19,9</w:t>
            </w:r>
          </w:p>
        </w:tc>
      </w:tr>
      <w:tr w:rsidR="00F61D8C" w:rsidRPr="00F61D8C" w14:paraId="196A819E" w14:textId="77777777" w:rsidTr="00F61D8C">
        <w:trPr>
          <w:trHeight w:val="315"/>
        </w:trPr>
        <w:tc>
          <w:tcPr>
            <w:tcW w:w="2560" w:type="dxa"/>
            <w:tcBorders>
              <w:top w:val="nil"/>
              <w:left w:val="nil"/>
              <w:bottom w:val="nil"/>
              <w:right w:val="nil"/>
            </w:tcBorders>
            <w:shd w:val="clear" w:color="000000" w:fill="FFFFFF"/>
            <w:noWrap/>
            <w:vAlign w:val="bottom"/>
            <w:hideMark/>
          </w:tcPr>
          <w:p w14:paraId="5FB0AA6C" w14:textId="77777777"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Ulaştırma</w:t>
            </w:r>
          </w:p>
        </w:tc>
        <w:tc>
          <w:tcPr>
            <w:tcW w:w="1327" w:type="dxa"/>
            <w:tcBorders>
              <w:top w:val="nil"/>
              <w:left w:val="nil"/>
              <w:bottom w:val="nil"/>
              <w:right w:val="nil"/>
            </w:tcBorders>
            <w:shd w:val="clear" w:color="000000" w:fill="FFFFFF"/>
            <w:noWrap/>
            <w:vAlign w:val="bottom"/>
            <w:hideMark/>
          </w:tcPr>
          <w:p w14:paraId="1786E48D"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25,3</w:t>
            </w:r>
          </w:p>
        </w:tc>
        <w:tc>
          <w:tcPr>
            <w:tcW w:w="1053" w:type="dxa"/>
            <w:tcBorders>
              <w:top w:val="nil"/>
              <w:left w:val="nil"/>
              <w:bottom w:val="nil"/>
              <w:right w:val="nil"/>
            </w:tcBorders>
            <w:shd w:val="clear" w:color="000000" w:fill="FFFFFF"/>
            <w:noWrap/>
            <w:vAlign w:val="bottom"/>
            <w:hideMark/>
          </w:tcPr>
          <w:p w14:paraId="2CFABD9B"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24,8</w:t>
            </w:r>
          </w:p>
        </w:tc>
        <w:tc>
          <w:tcPr>
            <w:tcW w:w="1327" w:type="dxa"/>
            <w:tcBorders>
              <w:top w:val="nil"/>
              <w:left w:val="nil"/>
              <w:bottom w:val="nil"/>
              <w:right w:val="nil"/>
            </w:tcBorders>
            <w:shd w:val="clear" w:color="000000" w:fill="FFFFFF"/>
            <w:noWrap/>
            <w:vAlign w:val="bottom"/>
            <w:hideMark/>
          </w:tcPr>
          <w:p w14:paraId="2A48A89E"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43,2</w:t>
            </w:r>
          </w:p>
        </w:tc>
        <w:tc>
          <w:tcPr>
            <w:tcW w:w="1053" w:type="dxa"/>
            <w:tcBorders>
              <w:top w:val="nil"/>
              <w:left w:val="nil"/>
              <w:bottom w:val="nil"/>
              <w:right w:val="nil"/>
            </w:tcBorders>
            <w:shd w:val="clear" w:color="000000" w:fill="FFFFFF"/>
            <w:noWrap/>
            <w:vAlign w:val="bottom"/>
            <w:hideMark/>
          </w:tcPr>
          <w:p w14:paraId="40798FEA"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24,6</w:t>
            </w:r>
          </w:p>
        </w:tc>
        <w:tc>
          <w:tcPr>
            <w:tcW w:w="1327" w:type="dxa"/>
            <w:tcBorders>
              <w:top w:val="nil"/>
              <w:left w:val="nil"/>
              <w:bottom w:val="nil"/>
              <w:right w:val="nil"/>
            </w:tcBorders>
            <w:shd w:val="clear" w:color="000000" w:fill="FFFFFF"/>
            <w:noWrap/>
            <w:vAlign w:val="bottom"/>
            <w:hideMark/>
          </w:tcPr>
          <w:p w14:paraId="1292C7AC"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10,1</w:t>
            </w:r>
          </w:p>
        </w:tc>
        <w:tc>
          <w:tcPr>
            <w:tcW w:w="1053" w:type="dxa"/>
            <w:tcBorders>
              <w:top w:val="nil"/>
              <w:left w:val="nil"/>
              <w:bottom w:val="nil"/>
              <w:right w:val="nil"/>
            </w:tcBorders>
            <w:shd w:val="clear" w:color="000000" w:fill="FFFFFF"/>
            <w:noWrap/>
            <w:vAlign w:val="bottom"/>
            <w:hideMark/>
          </w:tcPr>
          <w:p w14:paraId="2402C5C9"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23,2</w:t>
            </w:r>
          </w:p>
        </w:tc>
      </w:tr>
      <w:tr w:rsidR="00F61D8C" w:rsidRPr="00F61D8C" w14:paraId="67EE5A05" w14:textId="77777777" w:rsidTr="00F61D8C">
        <w:trPr>
          <w:trHeight w:val="315"/>
        </w:trPr>
        <w:tc>
          <w:tcPr>
            <w:tcW w:w="2560" w:type="dxa"/>
            <w:tcBorders>
              <w:top w:val="nil"/>
              <w:left w:val="nil"/>
              <w:bottom w:val="nil"/>
              <w:right w:val="nil"/>
            </w:tcBorders>
            <w:shd w:val="clear" w:color="000000" w:fill="FFFFFF"/>
            <w:noWrap/>
            <w:vAlign w:val="bottom"/>
            <w:hideMark/>
          </w:tcPr>
          <w:p w14:paraId="25FB5CD2" w14:textId="77777777"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Gayrimenkul</w:t>
            </w:r>
          </w:p>
        </w:tc>
        <w:tc>
          <w:tcPr>
            <w:tcW w:w="1327" w:type="dxa"/>
            <w:tcBorders>
              <w:top w:val="nil"/>
              <w:left w:val="nil"/>
              <w:bottom w:val="nil"/>
              <w:right w:val="nil"/>
            </w:tcBorders>
            <w:shd w:val="clear" w:color="000000" w:fill="FFFFFF"/>
            <w:noWrap/>
            <w:vAlign w:val="bottom"/>
            <w:hideMark/>
          </w:tcPr>
          <w:p w14:paraId="3724B6A3"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38,3</w:t>
            </w:r>
          </w:p>
        </w:tc>
        <w:tc>
          <w:tcPr>
            <w:tcW w:w="1053" w:type="dxa"/>
            <w:tcBorders>
              <w:top w:val="nil"/>
              <w:left w:val="nil"/>
              <w:bottom w:val="nil"/>
              <w:right w:val="nil"/>
            </w:tcBorders>
            <w:shd w:val="clear" w:color="000000" w:fill="FFFFFF"/>
            <w:noWrap/>
            <w:vAlign w:val="bottom"/>
            <w:hideMark/>
          </w:tcPr>
          <w:p w14:paraId="167F5698"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26,3</w:t>
            </w:r>
          </w:p>
        </w:tc>
        <w:tc>
          <w:tcPr>
            <w:tcW w:w="1327" w:type="dxa"/>
            <w:tcBorders>
              <w:top w:val="nil"/>
              <w:left w:val="nil"/>
              <w:bottom w:val="nil"/>
              <w:right w:val="nil"/>
            </w:tcBorders>
            <w:shd w:val="clear" w:color="000000" w:fill="FFFFFF"/>
            <w:noWrap/>
            <w:vAlign w:val="bottom"/>
            <w:hideMark/>
          </w:tcPr>
          <w:p w14:paraId="2E29D4B8"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65,6</w:t>
            </w:r>
          </w:p>
        </w:tc>
        <w:tc>
          <w:tcPr>
            <w:tcW w:w="1053" w:type="dxa"/>
            <w:tcBorders>
              <w:top w:val="nil"/>
              <w:left w:val="nil"/>
              <w:bottom w:val="nil"/>
              <w:right w:val="nil"/>
            </w:tcBorders>
            <w:shd w:val="clear" w:color="000000" w:fill="FFFFFF"/>
            <w:noWrap/>
            <w:vAlign w:val="bottom"/>
            <w:hideMark/>
          </w:tcPr>
          <w:p w14:paraId="15D265F9"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20,9</w:t>
            </w:r>
          </w:p>
        </w:tc>
        <w:tc>
          <w:tcPr>
            <w:tcW w:w="1327" w:type="dxa"/>
            <w:tcBorders>
              <w:top w:val="nil"/>
              <w:left w:val="nil"/>
              <w:bottom w:val="nil"/>
              <w:right w:val="nil"/>
            </w:tcBorders>
            <w:shd w:val="clear" w:color="000000" w:fill="FFFFFF"/>
            <w:noWrap/>
            <w:vAlign w:val="bottom"/>
            <w:hideMark/>
          </w:tcPr>
          <w:p w14:paraId="439EADBD"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14,5</w:t>
            </w:r>
          </w:p>
        </w:tc>
        <w:tc>
          <w:tcPr>
            <w:tcW w:w="1053" w:type="dxa"/>
            <w:tcBorders>
              <w:top w:val="nil"/>
              <w:left w:val="nil"/>
              <w:bottom w:val="nil"/>
              <w:right w:val="nil"/>
            </w:tcBorders>
            <w:shd w:val="clear" w:color="000000" w:fill="FFFFFF"/>
            <w:noWrap/>
            <w:vAlign w:val="bottom"/>
            <w:hideMark/>
          </w:tcPr>
          <w:p w14:paraId="397C12E9"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23,7</w:t>
            </w:r>
          </w:p>
        </w:tc>
      </w:tr>
      <w:tr w:rsidR="00F61D8C" w:rsidRPr="00F61D8C" w14:paraId="5223DD25" w14:textId="77777777" w:rsidTr="00F61D8C">
        <w:trPr>
          <w:trHeight w:val="315"/>
        </w:trPr>
        <w:tc>
          <w:tcPr>
            <w:tcW w:w="2560" w:type="dxa"/>
            <w:tcBorders>
              <w:top w:val="nil"/>
              <w:left w:val="nil"/>
              <w:bottom w:val="nil"/>
              <w:right w:val="nil"/>
            </w:tcBorders>
            <w:shd w:val="clear" w:color="000000" w:fill="FFFFFF"/>
            <w:noWrap/>
            <w:vAlign w:val="bottom"/>
            <w:hideMark/>
          </w:tcPr>
          <w:p w14:paraId="3E0068CE" w14:textId="77777777"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Toptan ve Perakende</w:t>
            </w:r>
          </w:p>
        </w:tc>
        <w:tc>
          <w:tcPr>
            <w:tcW w:w="1327" w:type="dxa"/>
            <w:tcBorders>
              <w:top w:val="nil"/>
              <w:left w:val="nil"/>
              <w:bottom w:val="nil"/>
              <w:right w:val="nil"/>
            </w:tcBorders>
            <w:shd w:val="clear" w:color="000000" w:fill="FFFFFF"/>
            <w:noWrap/>
            <w:vAlign w:val="bottom"/>
            <w:hideMark/>
          </w:tcPr>
          <w:p w14:paraId="30C16B66"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37,2</w:t>
            </w:r>
          </w:p>
        </w:tc>
        <w:tc>
          <w:tcPr>
            <w:tcW w:w="1053" w:type="dxa"/>
            <w:tcBorders>
              <w:top w:val="nil"/>
              <w:left w:val="nil"/>
              <w:bottom w:val="nil"/>
              <w:right w:val="nil"/>
            </w:tcBorders>
            <w:shd w:val="clear" w:color="000000" w:fill="FFFFFF"/>
            <w:noWrap/>
            <w:vAlign w:val="bottom"/>
            <w:hideMark/>
          </w:tcPr>
          <w:p w14:paraId="0741E340"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26,5</w:t>
            </w:r>
          </w:p>
        </w:tc>
        <w:tc>
          <w:tcPr>
            <w:tcW w:w="1327" w:type="dxa"/>
            <w:tcBorders>
              <w:top w:val="nil"/>
              <w:left w:val="nil"/>
              <w:bottom w:val="nil"/>
              <w:right w:val="nil"/>
            </w:tcBorders>
            <w:shd w:val="clear" w:color="000000" w:fill="FFFFFF"/>
            <w:noWrap/>
            <w:vAlign w:val="bottom"/>
            <w:hideMark/>
          </w:tcPr>
          <w:p w14:paraId="05B7D4C3"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58,7</w:t>
            </w:r>
          </w:p>
        </w:tc>
        <w:tc>
          <w:tcPr>
            <w:tcW w:w="1053" w:type="dxa"/>
            <w:tcBorders>
              <w:top w:val="nil"/>
              <w:left w:val="nil"/>
              <w:bottom w:val="nil"/>
              <w:right w:val="nil"/>
            </w:tcBorders>
            <w:shd w:val="clear" w:color="000000" w:fill="FFFFFF"/>
            <w:noWrap/>
            <w:vAlign w:val="bottom"/>
            <w:hideMark/>
          </w:tcPr>
          <w:p w14:paraId="7869ED64"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25,9</w:t>
            </w:r>
          </w:p>
        </w:tc>
        <w:tc>
          <w:tcPr>
            <w:tcW w:w="1327" w:type="dxa"/>
            <w:tcBorders>
              <w:top w:val="nil"/>
              <w:left w:val="nil"/>
              <w:bottom w:val="nil"/>
              <w:right w:val="nil"/>
            </w:tcBorders>
            <w:shd w:val="clear" w:color="000000" w:fill="FFFFFF"/>
            <w:noWrap/>
            <w:vAlign w:val="bottom"/>
            <w:hideMark/>
          </w:tcPr>
          <w:p w14:paraId="12C50A25"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14,5</w:t>
            </w:r>
          </w:p>
        </w:tc>
        <w:tc>
          <w:tcPr>
            <w:tcW w:w="1053" w:type="dxa"/>
            <w:tcBorders>
              <w:top w:val="nil"/>
              <w:left w:val="nil"/>
              <w:bottom w:val="nil"/>
              <w:right w:val="nil"/>
            </w:tcBorders>
            <w:shd w:val="clear" w:color="000000" w:fill="FFFFFF"/>
            <w:noWrap/>
            <w:vAlign w:val="bottom"/>
            <w:hideMark/>
          </w:tcPr>
          <w:p w14:paraId="2C22E7D0"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27,1</w:t>
            </w:r>
          </w:p>
        </w:tc>
      </w:tr>
      <w:tr w:rsidR="00F61D8C" w:rsidRPr="00F61D8C" w14:paraId="01082B2A" w14:textId="77777777" w:rsidTr="00F61D8C">
        <w:trPr>
          <w:trHeight w:val="315"/>
        </w:trPr>
        <w:tc>
          <w:tcPr>
            <w:tcW w:w="2560" w:type="dxa"/>
            <w:tcBorders>
              <w:top w:val="nil"/>
              <w:left w:val="nil"/>
              <w:bottom w:val="nil"/>
              <w:right w:val="nil"/>
            </w:tcBorders>
            <w:shd w:val="clear" w:color="000000" w:fill="FFFFFF"/>
            <w:noWrap/>
            <w:vAlign w:val="bottom"/>
            <w:hideMark/>
          </w:tcPr>
          <w:p w14:paraId="44E7B254" w14:textId="77777777"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İnsan Sağlığı</w:t>
            </w:r>
          </w:p>
        </w:tc>
        <w:tc>
          <w:tcPr>
            <w:tcW w:w="1327" w:type="dxa"/>
            <w:tcBorders>
              <w:top w:val="nil"/>
              <w:left w:val="nil"/>
              <w:bottom w:val="nil"/>
              <w:right w:val="nil"/>
            </w:tcBorders>
            <w:shd w:val="clear" w:color="000000" w:fill="FFFFFF"/>
            <w:noWrap/>
            <w:vAlign w:val="bottom"/>
            <w:hideMark/>
          </w:tcPr>
          <w:p w14:paraId="07B10AD9"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33,9</w:t>
            </w:r>
          </w:p>
        </w:tc>
        <w:tc>
          <w:tcPr>
            <w:tcW w:w="1053" w:type="dxa"/>
            <w:tcBorders>
              <w:top w:val="nil"/>
              <w:left w:val="nil"/>
              <w:bottom w:val="nil"/>
              <w:right w:val="nil"/>
            </w:tcBorders>
            <w:shd w:val="clear" w:color="000000" w:fill="FFFFFF"/>
            <w:noWrap/>
            <w:vAlign w:val="bottom"/>
            <w:hideMark/>
          </w:tcPr>
          <w:p w14:paraId="2DF9E181"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24,7</w:t>
            </w:r>
          </w:p>
        </w:tc>
        <w:tc>
          <w:tcPr>
            <w:tcW w:w="1327" w:type="dxa"/>
            <w:tcBorders>
              <w:top w:val="nil"/>
              <w:left w:val="nil"/>
              <w:bottom w:val="nil"/>
              <w:right w:val="nil"/>
            </w:tcBorders>
            <w:shd w:val="clear" w:color="000000" w:fill="FFFFFF"/>
            <w:noWrap/>
            <w:vAlign w:val="bottom"/>
            <w:hideMark/>
          </w:tcPr>
          <w:p w14:paraId="664CCDF4"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43,4</w:t>
            </w:r>
          </w:p>
        </w:tc>
        <w:tc>
          <w:tcPr>
            <w:tcW w:w="1053" w:type="dxa"/>
            <w:tcBorders>
              <w:top w:val="nil"/>
              <w:left w:val="nil"/>
              <w:bottom w:val="nil"/>
              <w:right w:val="nil"/>
            </w:tcBorders>
            <w:shd w:val="clear" w:color="000000" w:fill="FFFFFF"/>
            <w:noWrap/>
            <w:vAlign w:val="bottom"/>
            <w:hideMark/>
          </w:tcPr>
          <w:p w14:paraId="2B85FD68"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27,2</w:t>
            </w:r>
          </w:p>
        </w:tc>
        <w:tc>
          <w:tcPr>
            <w:tcW w:w="1327" w:type="dxa"/>
            <w:tcBorders>
              <w:top w:val="nil"/>
              <w:left w:val="nil"/>
              <w:bottom w:val="nil"/>
              <w:right w:val="nil"/>
            </w:tcBorders>
            <w:shd w:val="clear" w:color="000000" w:fill="FFFFFF"/>
            <w:noWrap/>
            <w:vAlign w:val="bottom"/>
            <w:hideMark/>
          </w:tcPr>
          <w:p w14:paraId="4E574A9C"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28,9</w:t>
            </w:r>
          </w:p>
        </w:tc>
        <w:tc>
          <w:tcPr>
            <w:tcW w:w="1053" w:type="dxa"/>
            <w:tcBorders>
              <w:top w:val="nil"/>
              <w:left w:val="nil"/>
              <w:bottom w:val="nil"/>
              <w:right w:val="nil"/>
            </w:tcBorders>
            <w:shd w:val="clear" w:color="000000" w:fill="FFFFFF"/>
            <w:noWrap/>
            <w:vAlign w:val="bottom"/>
            <w:hideMark/>
          </w:tcPr>
          <w:p w14:paraId="05D6159F"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28,6</w:t>
            </w:r>
          </w:p>
        </w:tc>
      </w:tr>
      <w:tr w:rsidR="00F61D8C" w:rsidRPr="00F61D8C" w14:paraId="342682F1" w14:textId="77777777" w:rsidTr="00F61D8C">
        <w:trPr>
          <w:trHeight w:val="315"/>
        </w:trPr>
        <w:tc>
          <w:tcPr>
            <w:tcW w:w="2560" w:type="dxa"/>
            <w:tcBorders>
              <w:top w:val="nil"/>
              <w:left w:val="nil"/>
              <w:bottom w:val="nil"/>
              <w:right w:val="nil"/>
            </w:tcBorders>
            <w:shd w:val="clear" w:color="000000" w:fill="FFFFFF"/>
            <w:noWrap/>
            <w:vAlign w:val="bottom"/>
            <w:hideMark/>
          </w:tcPr>
          <w:p w14:paraId="316C98CA" w14:textId="77777777"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Konaklama</w:t>
            </w:r>
          </w:p>
        </w:tc>
        <w:tc>
          <w:tcPr>
            <w:tcW w:w="1327" w:type="dxa"/>
            <w:tcBorders>
              <w:top w:val="nil"/>
              <w:left w:val="nil"/>
              <w:bottom w:val="nil"/>
              <w:right w:val="nil"/>
            </w:tcBorders>
            <w:shd w:val="clear" w:color="000000" w:fill="FFFFFF"/>
            <w:noWrap/>
            <w:vAlign w:val="bottom"/>
            <w:hideMark/>
          </w:tcPr>
          <w:p w14:paraId="2E2E4F82"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39,1</w:t>
            </w:r>
          </w:p>
        </w:tc>
        <w:tc>
          <w:tcPr>
            <w:tcW w:w="1053" w:type="dxa"/>
            <w:tcBorders>
              <w:top w:val="nil"/>
              <w:left w:val="nil"/>
              <w:bottom w:val="nil"/>
              <w:right w:val="nil"/>
            </w:tcBorders>
            <w:shd w:val="clear" w:color="000000" w:fill="FFFFFF"/>
            <w:noWrap/>
            <w:vAlign w:val="bottom"/>
            <w:hideMark/>
          </w:tcPr>
          <w:p w14:paraId="41ACF033"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33,0</w:t>
            </w:r>
          </w:p>
        </w:tc>
        <w:tc>
          <w:tcPr>
            <w:tcW w:w="1327" w:type="dxa"/>
            <w:tcBorders>
              <w:top w:val="nil"/>
              <w:left w:val="nil"/>
              <w:bottom w:val="nil"/>
              <w:right w:val="nil"/>
            </w:tcBorders>
            <w:shd w:val="clear" w:color="000000" w:fill="FFFFFF"/>
            <w:noWrap/>
            <w:vAlign w:val="bottom"/>
            <w:hideMark/>
          </w:tcPr>
          <w:p w14:paraId="2287BF0A"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60,9</w:t>
            </w:r>
          </w:p>
        </w:tc>
        <w:tc>
          <w:tcPr>
            <w:tcW w:w="1053" w:type="dxa"/>
            <w:tcBorders>
              <w:top w:val="nil"/>
              <w:left w:val="nil"/>
              <w:bottom w:val="nil"/>
              <w:right w:val="nil"/>
            </w:tcBorders>
            <w:shd w:val="clear" w:color="000000" w:fill="FFFFFF"/>
            <w:noWrap/>
            <w:vAlign w:val="bottom"/>
            <w:hideMark/>
          </w:tcPr>
          <w:p w14:paraId="4CB8B102"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29,4</w:t>
            </w:r>
          </w:p>
        </w:tc>
        <w:tc>
          <w:tcPr>
            <w:tcW w:w="1327" w:type="dxa"/>
            <w:tcBorders>
              <w:top w:val="nil"/>
              <w:left w:val="nil"/>
              <w:bottom w:val="nil"/>
              <w:right w:val="nil"/>
            </w:tcBorders>
            <w:shd w:val="clear" w:color="000000" w:fill="FFFFFF"/>
            <w:noWrap/>
            <w:vAlign w:val="bottom"/>
            <w:hideMark/>
          </w:tcPr>
          <w:p w14:paraId="646B736A"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18,2</w:t>
            </w:r>
          </w:p>
        </w:tc>
        <w:tc>
          <w:tcPr>
            <w:tcW w:w="1053" w:type="dxa"/>
            <w:tcBorders>
              <w:top w:val="nil"/>
              <w:left w:val="nil"/>
              <w:bottom w:val="nil"/>
              <w:right w:val="nil"/>
            </w:tcBorders>
            <w:shd w:val="clear" w:color="000000" w:fill="FFFFFF"/>
            <w:noWrap/>
            <w:vAlign w:val="bottom"/>
            <w:hideMark/>
          </w:tcPr>
          <w:p w14:paraId="0937939C"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31,6</w:t>
            </w:r>
          </w:p>
        </w:tc>
      </w:tr>
      <w:tr w:rsidR="00F61D8C" w:rsidRPr="00F61D8C" w14:paraId="0219A24D" w14:textId="77777777" w:rsidTr="00F61D8C">
        <w:trPr>
          <w:trHeight w:val="315"/>
        </w:trPr>
        <w:tc>
          <w:tcPr>
            <w:tcW w:w="2560" w:type="dxa"/>
            <w:tcBorders>
              <w:top w:val="nil"/>
              <w:left w:val="nil"/>
              <w:bottom w:val="nil"/>
              <w:right w:val="nil"/>
            </w:tcBorders>
            <w:shd w:val="clear" w:color="000000" w:fill="FFFFFF"/>
            <w:noWrap/>
            <w:vAlign w:val="bottom"/>
            <w:hideMark/>
          </w:tcPr>
          <w:p w14:paraId="447A2507" w14:textId="77777777"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Elektrik+Su</w:t>
            </w:r>
          </w:p>
        </w:tc>
        <w:tc>
          <w:tcPr>
            <w:tcW w:w="1327" w:type="dxa"/>
            <w:tcBorders>
              <w:top w:val="nil"/>
              <w:left w:val="nil"/>
              <w:bottom w:val="nil"/>
              <w:right w:val="nil"/>
            </w:tcBorders>
            <w:shd w:val="clear" w:color="000000" w:fill="FFFFFF"/>
            <w:noWrap/>
            <w:vAlign w:val="bottom"/>
            <w:hideMark/>
          </w:tcPr>
          <w:p w14:paraId="1CEB5057"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16,3</w:t>
            </w:r>
          </w:p>
        </w:tc>
        <w:tc>
          <w:tcPr>
            <w:tcW w:w="1053" w:type="dxa"/>
            <w:tcBorders>
              <w:top w:val="nil"/>
              <w:left w:val="nil"/>
              <w:bottom w:val="nil"/>
              <w:right w:val="nil"/>
            </w:tcBorders>
            <w:shd w:val="clear" w:color="000000" w:fill="FFFFFF"/>
            <w:noWrap/>
            <w:vAlign w:val="bottom"/>
            <w:hideMark/>
          </w:tcPr>
          <w:p w14:paraId="0A75E86F"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29,9</w:t>
            </w:r>
          </w:p>
        </w:tc>
        <w:tc>
          <w:tcPr>
            <w:tcW w:w="1327" w:type="dxa"/>
            <w:tcBorders>
              <w:top w:val="nil"/>
              <w:left w:val="nil"/>
              <w:bottom w:val="nil"/>
              <w:right w:val="nil"/>
            </w:tcBorders>
            <w:shd w:val="clear" w:color="000000" w:fill="FFFFFF"/>
            <w:noWrap/>
            <w:vAlign w:val="bottom"/>
            <w:hideMark/>
          </w:tcPr>
          <w:p w14:paraId="6862A118"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29,5</w:t>
            </w:r>
          </w:p>
        </w:tc>
        <w:tc>
          <w:tcPr>
            <w:tcW w:w="1053" w:type="dxa"/>
            <w:tcBorders>
              <w:top w:val="nil"/>
              <w:left w:val="nil"/>
              <w:bottom w:val="nil"/>
              <w:right w:val="nil"/>
            </w:tcBorders>
            <w:shd w:val="clear" w:color="000000" w:fill="FFFFFF"/>
            <w:noWrap/>
            <w:vAlign w:val="bottom"/>
            <w:hideMark/>
          </w:tcPr>
          <w:p w14:paraId="2ACB0D75"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30,5</w:t>
            </w:r>
          </w:p>
        </w:tc>
        <w:tc>
          <w:tcPr>
            <w:tcW w:w="1327" w:type="dxa"/>
            <w:tcBorders>
              <w:top w:val="nil"/>
              <w:left w:val="nil"/>
              <w:bottom w:val="nil"/>
              <w:right w:val="nil"/>
            </w:tcBorders>
            <w:shd w:val="clear" w:color="000000" w:fill="FFFFFF"/>
            <w:noWrap/>
            <w:vAlign w:val="bottom"/>
            <w:hideMark/>
          </w:tcPr>
          <w:p w14:paraId="4ACFFF05"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7,2</w:t>
            </w:r>
          </w:p>
        </w:tc>
        <w:tc>
          <w:tcPr>
            <w:tcW w:w="1053" w:type="dxa"/>
            <w:tcBorders>
              <w:top w:val="nil"/>
              <w:left w:val="nil"/>
              <w:bottom w:val="nil"/>
              <w:right w:val="nil"/>
            </w:tcBorders>
            <w:shd w:val="clear" w:color="000000" w:fill="FFFFFF"/>
            <w:noWrap/>
            <w:vAlign w:val="bottom"/>
            <w:hideMark/>
          </w:tcPr>
          <w:p w14:paraId="28774187"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33,9</w:t>
            </w:r>
          </w:p>
        </w:tc>
      </w:tr>
      <w:tr w:rsidR="00F61D8C" w:rsidRPr="00F61D8C" w14:paraId="34F10175" w14:textId="77777777" w:rsidTr="00F61D8C">
        <w:trPr>
          <w:trHeight w:val="315"/>
        </w:trPr>
        <w:tc>
          <w:tcPr>
            <w:tcW w:w="2560" w:type="dxa"/>
            <w:tcBorders>
              <w:top w:val="nil"/>
              <w:left w:val="nil"/>
              <w:bottom w:val="nil"/>
              <w:right w:val="nil"/>
            </w:tcBorders>
            <w:shd w:val="clear" w:color="000000" w:fill="FFFFFF"/>
            <w:noWrap/>
            <w:vAlign w:val="bottom"/>
            <w:hideMark/>
          </w:tcPr>
          <w:p w14:paraId="2C7417AD" w14:textId="77777777"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İnşaat</w:t>
            </w:r>
          </w:p>
        </w:tc>
        <w:tc>
          <w:tcPr>
            <w:tcW w:w="1327" w:type="dxa"/>
            <w:tcBorders>
              <w:top w:val="nil"/>
              <w:left w:val="nil"/>
              <w:bottom w:val="nil"/>
              <w:right w:val="nil"/>
            </w:tcBorders>
            <w:shd w:val="clear" w:color="000000" w:fill="FFFFFF"/>
            <w:noWrap/>
            <w:vAlign w:val="bottom"/>
            <w:hideMark/>
          </w:tcPr>
          <w:p w14:paraId="7CBD080F"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28,0</w:t>
            </w:r>
          </w:p>
        </w:tc>
        <w:tc>
          <w:tcPr>
            <w:tcW w:w="1053" w:type="dxa"/>
            <w:tcBorders>
              <w:top w:val="nil"/>
              <w:left w:val="nil"/>
              <w:bottom w:val="nil"/>
              <w:right w:val="nil"/>
            </w:tcBorders>
            <w:shd w:val="clear" w:color="000000" w:fill="FFFFFF"/>
            <w:noWrap/>
            <w:vAlign w:val="bottom"/>
            <w:hideMark/>
          </w:tcPr>
          <w:p w14:paraId="7AEB31D7"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36,6</w:t>
            </w:r>
          </w:p>
        </w:tc>
        <w:tc>
          <w:tcPr>
            <w:tcW w:w="1327" w:type="dxa"/>
            <w:tcBorders>
              <w:top w:val="nil"/>
              <w:left w:val="nil"/>
              <w:bottom w:val="nil"/>
              <w:right w:val="nil"/>
            </w:tcBorders>
            <w:shd w:val="clear" w:color="000000" w:fill="FFFFFF"/>
            <w:noWrap/>
            <w:vAlign w:val="bottom"/>
            <w:hideMark/>
          </w:tcPr>
          <w:p w14:paraId="2BE3F1D4"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49,0</w:t>
            </w:r>
          </w:p>
        </w:tc>
        <w:tc>
          <w:tcPr>
            <w:tcW w:w="1053" w:type="dxa"/>
            <w:tcBorders>
              <w:top w:val="nil"/>
              <w:left w:val="nil"/>
              <w:bottom w:val="nil"/>
              <w:right w:val="nil"/>
            </w:tcBorders>
            <w:shd w:val="clear" w:color="000000" w:fill="FFFFFF"/>
            <w:noWrap/>
            <w:vAlign w:val="bottom"/>
            <w:hideMark/>
          </w:tcPr>
          <w:p w14:paraId="62C11B12"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35,6</w:t>
            </w:r>
          </w:p>
        </w:tc>
        <w:tc>
          <w:tcPr>
            <w:tcW w:w="1327" w:type="dxa"/>
            <w:tcBorders>
              <w:top w:val="nil"/>
              <w:left w:val="nil"/>
              <w:bottom w:val="nil"/>
              <w:right w:val="nil"/>
            </w:tcBorders>
            <w:shd w:val="clear" w:color="000000" w:fill="FFFFFF"/>
            <w:noWrap/>
            <w:vAlign w:val="bottom"/>
            <w:hideMark/>
          </w:tcPr>
          <w:p w14:paraId="25385F34"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18,4</w:t>
            </w:r>
          </w:p>
        </w:tc>
        <w:tc>
          <w:tcPr>
            <w:tcW w:w="1053" w:type="dxa"/>
            <w:tcBorders>
              <w:top w:val="nil"/>
              <w:left w:val="nil"/>
              <w:bottom w:val="nil"/>
              <w:right w:val="nil"/>
            </w:tcBorders>
            <w:shd w:val="clear" w:color="000000" w:fill="FFFFFF"/>
            <w:noWrap/>
            <w:vAlign w:val="bottom"/>
            <w:hideMark/>
          </w:tcPr>
          <w:p w14:paraId="7EA90350"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35,8</w:t>
            </w:r>
          </w:p>
        </w:tc>
      </w:tr>
      <w:tr w:rsidR="00F61D8C" w:rsidRPr="00F61D8C" w14:paraId="075653AE" w14:textId="77777777" w:rsidTr="00F61D8C">
        <w:trPr>
          <w:trHeight w:val="330"/>
        </w:trPr>
        <w:tc>
          <w:tcPr>
            <w:tcW w:w="2560" w:type="dxa"/>
            <w:tcBorders>
              <w:top w:val="nil"/>
              <w:left w:val="nil"/>
              <w:bottom w:val="double" w:sz="6" w:space="0" w:color="auto"/>
              <w:right w:val="nil"/>
            </w:tcBorders>
            <w:shd w:val="clear" w:color="000000" w:fill="FFFFFF"/>
            <w:noWrap/>
            <w:vAlign w:val="bottom"/>
            <w:hideMark/>
          </w:tcPr>
          <w:p w14:paraId="1CD1C6D7" w14:textId="77777777"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Diğer Hizmet</w:t>
            </w:r>
          </w:p>
        </w:tc>
        <w:tc>
          <w:tcPr>
            <w:tcW w:w="1327" w:type="dxa"/>
            <w:tcBorders>
              <w:top w:val="nil"/>
              <w:left w:val="nil"/>
              <w:bottom w:val="double" w:sz="6" w:space="0" w:color="auto"/>
              <w:right w:val="nil"/>
            </w:tcBorders>
            <w:shd w:val="clear" w:color="000000" w:fill="FFFFFF"/>
            <w:noWrap/>
            <w:vAlign w:val="bottom"/>
            <w:hideMark/>
          </w:tcPr>
          <w:p w14:paraId="36C5D7B5"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57,7</w:t>
            </w:r>
          </w:p>
        </w:tc>
        <w:tc>
          <w:tcPr>
            <w:tcW w:w="1053" w:type="dxa"/>
            <w:tcBorders>
              <w:top w:val="nil"/>
              <w:left w:val="nil"/>
              <w:bottom w:val="double" w:sz="6" w:space="0" w:color="auto"/>
              <w:right w:val="nil"/>
            </w:tcBorders>
            <w:shd w:val="clear" w:color="000000" w:fill="FFFFFF"/>
            <w:noWrap/>
            <w:vAlign w:val="bottom"/>
            <w:hideMark/>
          </w:tcPr>
          <w:p w14:paraId="5EF11E08"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56,4</w:t>
            </w:r>
          </w:p>
        </w:tc>
        <w:tc>
          <w:tcPr>
            <w:tcW w:w="1327" w:type="dxa"/>
            <w:tcBorders>
              <w:top w:val="nil"/>
              <w:left w:val="nil"/>
              <w:bottom w:val="double" w:sz="6" w:space="0" w:color="auto"/>
              <w:right w:val="nil"/>
            </w:tcBorders>
            <w:shd w:val="clear" w:color="000000" w:fill="FFFFFF"/>
            <w:noWrap/>
            <w:vAlign w:val="bottom"/>
            <w:hideMark/>
          </w:tcPr>
          <w:p w14:paraId="631A0C98"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74,4</w:t>
            </w:r>
          </w:p>
        </w:tc>
        <w:tc>
          <w:tcPr>
            <w:tcW w:w="1053" w:type="dxa"/>
            <w:tcBorders>
              <w:top w:val="nil"/>
              <w:left w:val="nil"/>
              <w:bottom w:val="double" w:sz="6" w:space="0" w:color="auto"/>
              <w:right w:val="nil"/>
            </w:tcBorders>
            <w:shd w:val="clear" w:color="000000" w:fill="FFFFFF"/>
            <w:noWrap/>
            <w:vAlign w:val="bottom"/>
            <w:hideMark/>
          </w:tcPr>
          <w:p w14:paraId="79620E70"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51,8</w:t>
            </w:r>
          </w:p>
        </w:tc>
        <w:tc>
          <w:tcPr>
            <w:tcW w:w="1327" w:type="dxa"/>
            <w:tcBorders>
              <w:top w:val="nil"/>
              <w:left w:val="nil"/>
              <w:bottom w:val="double" w:sz="6" w:space="0" w:color="auto"/>
              <w:right w:val="nil"/>
            </w:tcBorders>
            <w:shd w:val="clear" w:color="000000" w:fill="FFFFFF"/>
            <w:noWrap/>
            <w:vAlign w:val="bottom"/>
            <w:hideMark/>
          </w:tcPr>
          <w:p w14:paraId="41D0DC1E"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45,0</w:t>
            </w:r>
          </w:p>
        </w:tc>
        <w:tc>
          <w:tcPr>
            <w:tcW w:w="1053" w:type="dxa"/>
            <w:tcBorders>
              <w:top w:val="nil"/>
              <w:left w:val="nil"/>
              <w:bottom w:val="double" w:sz="6" w:space="0" w:color="auto"/>
              <w:right w:val="nil"/>
            </w:tcBorders>
            <w:shd w:val="clear" w:color="000000" w:fill="FFFFFF"/>
            <w:noWrap/>
            <w:vAlign w:val="bottom"/>
            <w:hideMark/>
          </w:tcPr>
          <w:p w14:paraId="04994770"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52,1</w:t>
            </w:r>
          </w:p>
        </w:tc>
      </w:tr>
      <w:tr w:rsidR="00F61D8C" w:rsidRPr="00F61D8C" w14:paraId="0F8CDE14" w14:textId="77777777" w:rsidTr="00F61D8C">
        <w:trPr>
          <w:trHeight w:val="330"/>
        </w:trPr>
        <w:tc>
          <w:tcPr>
            <w:tcW w:w="2560" w:type="dxa"/>
            <w:tcBorders>
              <w:top w:val="nil"/>
              <w:left w:val="nil"/>
              <w:bottom w:val="nil"/>
              <w:right w:val="nil"/>
            </w:tcBorders>
            <w:shd w:val="clear" w:color="auto" w:fill="auto"/>
            <w:noWrap/>
            <w:vAlign w:val="bottom"/>
            <w:hideMark/>
          </w:tcPr>
          <w:p w14:paraId="15D4F256" w14:textId="77777777"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Toplam</w:t>
            </w:r>
          </w:p>
        </w:tc>
        <w:tc>
          <w:tcPr>
            <w:tcW w:w="1327" w:type="dxa"/>
            <w:tcBorders>
              <w:top w:val="nil"/>
              <w:left w:val="nil"/>
              <w:bottom w:val="nil"/>
              <w:right w:val="nil"/>
            </w:tcBorders>
            <w:shd w:val="clear" w:color="auto" w:fill="auto"/>
            <w:noWrap/>
            <w:vAlign w:val="bottom"/>
            <w:hideMark/>
          </w:tcPr>
          <w:p w14:paraId="25618298"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29,4</w:t>
            </w:r>
          </w:p>
        </w:tc>
        <w:tc>
          <w:tcPr>
            <w:tcW w:w="1053" w:type="dxa"/>
            <w:tcBorders>
              <w:top w:val="nil"/>
              <w:left w:val="nil"/>
              <w:bottom w:val="nil"/>
              <w:right w:val="nil"/>
            </w:tcBorders>
            <w:shd w:val="clear" w:color="auto" w:fill="auto"/>
            <w:noWrap/>
            <w:vAlign w:val="bottom"/>
            <w:hideMark/>
          </w:tcPr>
          <w:p w14:paraId="28DBC149"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35,0</w:t>
            </w:r>
          </w:p>
        </w:tc>
        <w:tc>
          <w:tcPr>
            <w:tcW w:w="1327" w:type="dxa"/>
            <w:tcBorders>
              <w:top w:val="nil"/>
              <w:left w:val="nil"/>
              <w:bottom w:val="nil"/>
              <w:right w:val="nil"/>
            </w:tcBorders>
            <w:shd w:val="clear" w:color="auto" w:fill="auto"/>
            <w:noWrap/>
            <w:vAlign w:val="bottom"/>
            <w:hideMark/>
          </w:tcPr>
          <w:p w14:paraId="1192CC9D"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45,9</w:t>
            </w:r>
          </w:p>
        </w:tc>
        <w:tc>
          <w:tcPr>
            <w:tcW w:w="1053" w:type="dxa"/>
            <w:tcBorders>
              <w:top w:val="nil"/>
              <w:left w:val="nil"/>
              <w:bottom w:val="nil"/>
              <w:right w:val="nil"/>
            </w:tcBorders>
            <w:shd w:val="clear" w:color="auto" w:fill="auto"/>
            <w:noWrap/>
            <w:vAlign w:val="bottom"/>
            <w:hideMark/>
          </w:tcPr>
          <w:p w14:paraId="47C05443"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33,6</w:t>
            </w:r>
          </w:p>
        </w:tc>
        <w:tc>
          <w:tcPr>
            <w:tcW w:w="1327" w:type="dxa"/>
            <w:tcBorders>
              <w:top w:val="nil"/>
              <w:left w:val="nil"/>
              <w:bottom w:val="nil"/>
              <w:right w:val="nil"/>
            </w:tcBorders>
            <w:shd w:val="clear" w:color="auto" w:fill="auto"/>
            <w:noWrap/>
            <w:vAlign w:val="bottom"/>
            <w:hideMark/>
          </w:tcPr>
          <w:p w14:paraId="386D7524"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13,2</w:t>
            </w:r>
          </w:p>
        </w:tc>
        <w:tc>
          <w:tcPr>
            <w:tcW w:w="1053" w:type="dxa"/>
            <w:tcBorders>
              <w:top w:val="nil"/>
              <w:left w:val="nil"/>
              <w:bottom w:val="nil"/>
              <w:right w:val="nil"/>
            </w:tcBorders>
            <w:shd w:val="clear" w:color="auto" w:fill="auto"/>
            <w:noWrap/>
            <w:vAlign w:val="bottom"/>
            <w:hideMark/>
          </w:tcPr>
          <w:p w14:paraId="5A33C802"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33,5</w:t>
            </w:r>
          </w:p>
        </w:tc>
      </w:tr>
    </w:tbl>
    <w:p w14:paraId="46C7EBB2" w14:textId="77777777" w:rsidR="00ED17A4" w:rsidRDefault="00ED17A4" w:rsidP="00E94D2C">
      <w:pPr>
        <w:pStyle w:val="NoSpacing"/>
        <w:jc w:val="both"/>
        <w:rPr>
          <w:rFonts w:ascii="Palatino Linotype" w:hAnsi="Palatino Linotype"/>
          <w:b/>
          <w:sz w:val="20"/>
          <w:szCs w:val="20"/>
          <w:lang w:eastAsia="tr-TR"/>
        </w:rPr>
      </w:pPr>
    </w:p>
    <w:p w14:paraId="39CA5978" w14:textId="480F1B35" w:rsidR="005E340A" w:rsidRPr="009842CC" w:rsidRDefault="00AA1D5C" w:rsidP="00E94D2C">
      <w:pPr>
        <w:pStyle w:val="NoSpacing"/>
        <w:jc w:val="both"/>
        <w:rPr>
          <w:rFonts w:ascii="Palatino Linotype" w:hAnsi="Palatino Linotype"/>
          <w:sz w:val="20"/>
          <w:szCs w:val="20"/>
          <w:lang w:eastAsia="tr-TR"/>
        </w:rPr>
      </w:pPr>
      <w:r>
        <w:rPr>
          <w:rFonts w:ascii="Palatino Linotype" w:hAnsi="Palatino Linotype"/>
          <w:b/>
          <w:sz w:val="20"/>
          <w:szCs w:val="20"/>
          <w:lang w:eastAsia="tr-TR"/>
        </w:rPr>
        <w:t>K</w:t>
      </w:r>
      <w:r w:rsidR="008342DA" w:rsidRPr="005E340A">
        <w:rPr>
          <w:rFonts w:ascii="Palatino Linotype" w:hAnsi="Palatino Linotype"/>
          <w:b/>
          <w:sz w:val="20"/>
          <w:szCs w:val="20"/>
          <w:lang w:eastAsia="tr-TR"/>
        </w:rPr>
        <w:t>aynak</w:t>
      </w:r>
      <w:r w:rsidR="008342DA" w:rsidRPr="005E340A">
        <w:rPr>
          <w:rFonts w:ascii="Palatino Linotype" w:hAnsi="Palatino Linotype"/>
          <w:sz w:val="20"/>
          <w:szCs w:val="20"/>
          <w:lang w:eastAsia="tr-TR"/>
        </w:rPr>
        <w:t>:</w:t>
      </w:r>
      <w:r w:rsidR="006249C9">
        <w:rPr>
          <w:rFonts w:ascii="Palatino Linotype" w:hAnsi="Palatino Linotype"/>
          <w:sz w:val="20"/>
          <w:szCs w:val="20"/>
          <w:lang w:eastAsia="tr-TR"/>
        </w:rPr>
        <w:t xml:space="preserve"> TUİK</w:t>
      </w:r>
      <w:r w:rsidR="006249C9" w:rsidRPr="008A2DAF">
        <w:rPr>
          <w:rFonts w:ascii="Palatino Linotype" w:hAnsi="Palatino Linotype"/>
          <w:sz w:val="20"/>
          <w:szCs w:val="20"/>
          <w:lang w:eastAsia="tr-TR"/>
        </w:rPr>
        <w:t xml:space="preserve">, HİA 2014, 2015,2016 mikro veri ve İşgücü İstatistikleri (http://www.tuik.gov.tr, Erişim tarihi 06.11.2017) </w:t>
      </w:r>
      <w:r w:rsidR="006249C9" w:rsidRPr="008A2DAF">
        <w:rPr>
          <w:rFonts w:ascii="Palatino Linotype" w:hAnsi="Palatino Linotype"/>
          <w:b/>
          <w:sz w:val="20"/>
          <w:szCs w:val="20"/>
          <w:lang w:eastAsia="tr-TR"/>
        </w:rPr>
        <w:t>Not:</w:t>
      </w:r>
      <w:r w:rsidR="006249C9" w:rsidRPr="008A2DAF">
        <w:rPr>
          <w:rFonts w:ascii="Palatino Linotype" w:hAnsi="Palatino Linotype"/>
          <w:sz w:val="20"/>
          <w:szCs w:val="20"/>
          <w:lang w:eastAsia="tr-TR"/>
        </w:rPr>
        <w:t xml:space="preserve"> Düşük</w:t>
      </w:r>
      <w:r w:rsidR="008342DA" w:rsidRPr="008A2DAF">
        <w:rPr>
          <w:rFonts w:ascii="Palatino Linotype" w:hAnsi="Palatino Linotype"/>
          <w:sz w:val="20"/>
          <w:szCs w:val="20"/>
          <w:lang w:eastAsia="tr-TR"/>
        </w:rPr>
        <w:t xml:space="preserve"> ücretli çalışanlar</w:t>
      </w:r>
      <w:r w:rsidR="001E0F97" w:rsidRPr="008A2DAF">
        <w:rPr>
          <w:rFonts w:ascii="Palatino Linotype" w:hAnsi="Palatino Linotype"/>
          <w:sz w:val="20"/>
          <w:szCs w:val="20"/>
          <w:lang w:eastAsia="tr-TR"/>
        </w:rPr>
        <w:t xml:space="preserve">ın oranı hesaplanırken </w:t>
      </w:r>
      <w:r w:rsidR="00D63E7F" w:rsidRPr="008A2DAF">
        <w:rPr>
          <w:rFonts w:ascii="Palatino Linotype" w:hAnsi="Palatino Linotype"/>
          <w:sz w:val="20"/>
          <w:szCs w:val="20"/>
          <w:lang w:eastAsia="tr-TR"/>
        </w:rPr>
        <w:t xml:space="preserve">bir sonraki yılın enflasyonla düzeltilmiş asgari ücret seviyesi </w:t>
      </w:r>
      <w:r w:rsidR="001D2B3E" w:rsidRPr="008A2DAF">
        <w:rPr>
          <w:rFonts w:ascii="Palatino Linotype" w:hAnsi="Palatino Linotype"/>
          <w:sz w:val="20"/>
          <w:szCs w:val="20"/>
          <w:lang w:eastAsia="tr-TR"/>
        </w:rPr>
        <w:t xml:space="preserve">sınır değer olarak </w:t>
      </w:r>
      <w:r w:rsidR="00D63E7F" w:rsidRPr="008A2DAF">
        <w:rPr>
          <w:rFonts w:ascii="Palatino Linotype" w:hAnsi="Palatino Linotype"/>
          <w:sz w:val="20"/>
          <w:szCs w:val="20"/>
          <w:lang w:eastAsia="tr-TR"/>
        </w:rPr>
        <w:t>kullanılmıştır</w:t>
      </w:r>
      <w:r w:rsidR="00BF09EA" w:rsidRPr="008A2DAF">
        <w:rPr>
          <w:rFonts w:ascii="Palatino Linotype" w:hAnsi="Palatino Linotype"/>
          <w:sz w:val="20"/>
          <w:szCs w:val="20"/>
          <w:lang w:eastAsia="tr-TR"/>
        </w:rPr>
        <w:t xml:space="preserve"> (</w:t>
      </w:r>
      <w:r w:rsidR="00261A0E" w:rsidRPr="008A2DAF">
        <w:rPr>
          <w:rFonts w:ascii="Palatino Linotype" w:hAnsi="Palatino Linotype"/>
          <w:sz w:val="20"/>
          <w:szCs w:val="20"/>
          <w:lang w:eastAsia="tr-TR"/>
        </w:rPr>
        <w:t xml:space="preserve">bkz. </w:t>
      </w:r>
      <w:r w:rsidR="00644F46" w:rsidRPr="008A2DAF">
        <w:rPr>
          <w:rFonts w:ascii="Palatino Linotype" w:hAnsi="Palatino Linotype"/>
          <w:sz w:val="20"/>
          <w:szCs w:val="20"/>
          <w:lang w:eastAsia="tr-TR"/>
        </w:rPr>
        <w:t xml:space="preserve">Veri ve Yöntem bölümü ve </w:t>
      </w:r>
      <w:r w:rsidR="00BF09EA" w:rsidRPr="008A2DAF">
        <w:rPr>
          <w:rFonts w:ascii="Palatino Linotype" w:hAnsi="Palatino Linotype"/>
          <w:sz w:val="20"/>
          <w:szCs w:val="20"/>
          <w:lang w:eastAsia="tr-TR"/>
        </w:rPr>
        <w:t>Dipnot 2)</w:t>
      </w:r>
      <w:r w:rsidR="001E0F97" w:rsidRPr="008A2DAF">
        <w:rPr>
          <w:rFonts w:ascii="Palatino Linotype" w:hAnsi="Palatino Linotype"/>
          <w:sz w:val="20"/>
          <w:szCs w:val="20"/>
          <w:lang w:eastAsia="tr-TR"/>
        </w:rPr>
        <w:t>.</w:t>
      </w:r>
      <w:r w:rsidR="001E0F97">
        <w:rPr>
          <w:rFonts w:ascii="Palatino Linotype" w:hAnsi="Palatino Linotype"/>
          <w:sz w:val="20"/>
          <w:szCs w:val="20"/>
          <w:lang w:eastAsia="tr-TR"/>
        </w:rPr>
        <w:t xml:space="preserve"> </w:t>
      </w:r>
    </w:p>
    <w:p w14:paraId="22D71A7A" w14:textId="77777777" w:rsidR="008342DA" w:rsidRPr="009842CC" w:rsidRDefault="008342DA" w:rsidP="008342DA">
      <w:pPr>
        <w:suppressAutoHyphens w:val="0"/>
        <w:autoSpaceDE w:val="0"/>
        <w:autoSpaceDN w:val="0"/>
        <w:adjustRightInd w:val="0"/>
        <w:spacing w:after="120" w:line="240" w:lineRule="auto"/>
        <w:rPr>
          <w:sz w:val="20"/>
          <w:szCs w:val="20"/>
          <w:lang w:eastAsia="tr-TR"/>
        </w:rPr>
      </w:pPr>
    </w:p>
    <w:p w14:paraId="311F718B" w14:textId="47F279BE" w:rsidR="008342DA" w:rsidRPr="003B2D33" w:rsidRDefault="008342DA" w:rsidP="008342DA">
      <w:pPr>
        <w:rPr>
          <w:lang w:eastAsia="tr-TR"/>
        </w:rPr>
      </w:pPr>
      <w:r w:rsidRPr="008A2DAF">
        <w:rPr>
          <w:lang w:eastAsia="tr-TR"/>
        </w:rPr>
        <w:t xml:space="preserve">Daha önce belirttiğimiz hipotezimizi </w:t>
      </w:r>
      <w:r w:rsidR="00AB1DDB" w:rsidRPr="008A2DAF">
        <w:rPr>
          <w:lang w:eastAsia="tr-TR"/>
        </w:rPr>
        <w:t>sınamak</w:t>
      </w:r>
      <w:r w:rsidRPr="008A2DAF">
        <w:rPr>
          <w:lang w:eastAsia="tr-TR"/>
        </w:rPr>
        <w:t xml:space="preserve"> için önce 1</w:t>
      </w:r>
      <w:r w:rsidR="00A92D72" w:rsidRPr="008A2DAF">
        <w:rPr>
          <w:lang w:eastAsia="tr-TR"/>
        </w:rPr>
        <w:t>7</w:t>
      </w:r>
      <w:r w:rsidRPr="008A2DAF">
        <w:rPr>
          <w:lang w:eastAsia="tr-TR"/>
        </w:rPr>
        <w:t xml:space="preserve"> sektörün her birinde düşük ücretli çalışan oranını </w:t>
      </w:r>
      <w:r w:rsidR="003B2D33" w:rsidRPr="008A2DAF">
        <w:rPr>
          <w:lang w:eastAsia="tr-TR"/>
        </w:rPr>
        <w:t>2014, 2015 ve 2016</w:t>
      </w:r>
      <w:r w:rsidRPr="008A2DAF">
        <w:rPr>
          <w:lang w:eastAsia="tr-TR"/>
        </w:rPr>
        <w:t xml:space="preserve"> yıl</w:t>
      </w:r>
      <w:r w:rsidR="003B2D33" w:rsidRPr="008A2DAF">
        <w:rPr>
          <w:lang w:eastAsia="tr-TR"/>
        </w:rPr>
        <w:t>ları</w:t>
      </w:r>
      <w:r w:rsidRPr="008A2DAF">
        <w:rPr>
          <w:lang w:eastAsia="tr-TR"/>
        </w:rPr>
        <w:t xml:space="preserve"> için hesaplıyoruz</w:t>
      </w:r>
      <w:r w:rsidR="003B2D33" w:rsidRPr="008A2DAF">
        <w:rPr>
          <w:lang w:eastAsia="tr-TR"/>
        </w:rPr>
        <w:t>.</w:t>
      </w:r>
      <w:r w:rsidRPr="008A2DAF">
        <w:rPr>
          <w:lang w:eastAsia="tr-TR"/>
        </w:rPr>
        <w:t xml:space="preserve"> Düşük ücretli çalışan oranı</w:t>
      </w:r>
      <w:r w:rsidR="003A3623" w:rsidRPr="008A2DAF">
        <w:rPr>
          <w:lang w:eastAsia="tr-TR"/>
        </w:rPr>
        <w:t>nı</w:t>
      </w:r>
      <w:r w:rsidRPr="008A2DAF">
        <w:rPr>
          <w:lang w:eastAsia="tr-TR"/>
        </w:rPr>
        <w:t xml:space="preserve"> söz konusu sektörün asgari ücret artışından etkilenme derecesi olarak yorumluyoruz. Daha </w:t>
      </w:r>
      <w:r w:rsidRPr="008A2DAF">
        <w:rPr>
          <w:lang w:eastAsia="tr-TR"/>
        </w:rPr>
        <w:lastRenderedPageBreak/>
        <w:t xml:space="preserve">sonra 2014-2017 </w:t>
      </w:r>
      <w:r w:rsidR="003A3623" w:rsidRPr="008A2DAF">
        <w:rPr>
          <w:lang w:eastAsia="tr-TR"/>
        </w:rPr>
        <w:t xml:space="preserve">dönemini kapsayan, </w:t>
      </w:r>
      <w:r w:rsidRPr="008A2DAF">
        <w:rPr>
          <w:lang w:eastAsia="tr-TR"/>
        </w:rPr>
        <w:t>1</w:t>
      </w:r>
      <w:r w:rsidR="00A92D72" w:rsidRPr="008A2DAF">
        <w:rPr>
          <w:lang w:eastAsia="tr-TR"/>
        </w:rPr>
        <w:t>7</w:t>
      </w:r>
      <w:r w:rsidRPr="008A2DAF">
        <w:rPr>
          <w:lang w:eastAsia="tr-TR"/>
        </w:rPr>
        <w:t xml:space="preserve"> sektör</w:t>
      </w:r>
      <w:r w:rsidR="003A3623" w:rsidRPr="008A2DAF">
        <w:rPr>
          <w:lang w:eastAsia="tr-TR"/>
        </w:rPr>
        <w:t xml:space="preserve"> için</w:t>
      </w:r>
      <w:r w:rsidRPr="008A2DAF">
        <w:rPr>
          <w:lang w:eastAsia="tr-TR"/>
        </w:rPr>
        <w:t xml:space="preserve"> kayıt dışı </w:t>
      </w:r>
      <w:r w:rsidR="003A3623" w:rsidRPr="008A2DAF">
        <w:rPr>
          <w:lang w:eastAsia="tr-TR"/>
        </w:rPr>
        <w:t>istihdam</w:t>
      </w:r>
      <w:r w:rsidRPr="008A2DAF">
        <w:rPr>
          <w:lang w:eastAsia="tr-TR"/>
        </w:rPr>
        <w:t xml:space="preserve"> oranını hesaplıyoruz. Şekil </w:t>
      </w:r>
      <w:r w:rsidR="003A3623" w:rsidRPr="008A2DAF">
        <w:rPr>
          <w:lang w:eastAsia="tr-TR"/>
        </w:rPr>
        <w:t>1</w:t>
      </w:r>
      <w:r w:rsidRPr="008A2DAF">
        <w:rPr>
          <w:lang w:eastAsia="tr-TR"/>
        </w:rPr>
        <w:t xml:space="preserve">, Şekil </w:t>
      </w:r>
      <w:r w:rsidR="003A3623" w:rsidRPr="008A2DAF">
        <w:rPr>
          <w:lang w:eastAsia="tr-TR"/>
        </w:rPr>
        <w:t>2</w:t>
      </w:r>
      <w:r w:rsidRPr="008A2DAF">
        <w:rPr>
          <w:lang w:eastAsia="tr-TR"/>
        </w:rPr>
        <w:t xml:space="preserve"> ve Şekil </w:t>
      </w:r>
      <w:r w:rsidR="003A3623" w:rsidRPr="008A2DAF">
        <w:rPr>
          <w:lang w:eastAsia="tr-TR"/>
        </w:rPr>
        <w:t>3</w:t>
      </w:r>
      <w:r w:rsidRPr="008A2DAF">
        <w:rPr>
          <w:lang w:eastAsia="tr-TR"/>
        </w:rPr>
        <w:t xml:space="preserve"> sırası ile 2014’ten 2015’e, 2015’ten 2016’ya ve 2016’dan 2017’ye kayıt dışı çalışan oranındaki değişimi sektördeki düşük ücretli çalışan oranı ile ilişkilendirerek vermektedir.</w:t>
      </w:r>
      <w:r w:rsidRPr="003B2D33">
        <w:rPr>
          <w:lang w:eastAsia="tr-TR"/>
        </w:rPr>
        <w:t xml:space="preserve"> </w:t>
      </w:r>
    </w:p>
    <w:p w14:paraId="1E53B651" w14:textId="77777777" w:rsidR="008342DA" w:rsidRPr="00E70CEB" w:rsidRDefault="008342DA" w:rsidP="008342DA">
      <w:pPr>
        <w:rPr>
          <w:lang w:eastAsia="tr-TR"/>
        </w:rPr>
      </w:pPr>
      <w:r w:rsidRPr="00E70CEB">
        <w:rPr>
          <w:lang w:eastAsia="tr-TR"/>
        </w:rPr>
        <w:t xml:space="preserve">Şekil </w:t>
      </w:r>
      <w:r w:rsidR="003A3623">
        <w:rPr>
          <w:lang w:eastAsia="tr-TR"/>
        </w:rPr>
        <w:t>1</w:t>
      </w:r>
      <w:r w:rsidRPr="00E70CEB">
        <w:rPr>
          <w:lang w:eastAsia="tr-TR"/>
        </w:rPr>
        <w:t>’</w:t>
      </w:r>
      <w:r w:rsidR="003A3623">
        <w:rPr>
          <w:lang w:eastAsia="tr-TR"/>
        </w:rPr>
        <w:t>d</w:t>
      </w:r>
      <w:r w:rsidRPr="00E70CEB">
        <w:rPr>
          <w:lang w:eastAsia="tr-TR"/>
        </w:rPr>
        <w:t xml:space="preserve">e yüksek asgari ücret öncesi 2014’den 2015’e düşük ücretli çalışan oranları </w:t>
      </w:r>
      <w:r w:rsidR="003A3623">
        <w:rPr>
          <w:lang w:eastAsia="tr-TR"/>
        </w:rPr>
        <w:t xml:space="preserve">değişimi </w:t>
      </w:r>
      <w:r w:rsidRPr="00E70CEB">
        <w:rPr>
          <w:lang w:eastAsia="tr-TR"/>
        </w:rPr>
        <w:t>ile kayıt dışı</w:t>
      </w:r>
      <w:r w:rsidR="003A3623">
        <w:rPr>
          <w:lang w:eastAsia="tr-TR"/>
        </w:rPr>
        <w:t xml:space="preserve"> istihdam</w:t>
      </w:r>
      <w:r w:rsidRPr="00E70CEB">
        <w:rPr>
          <w:lang w:eastAsia="tr-TR"/>
        </w:rPr>
        <w:t xml:space="preserve"> oranlar</w:t>
      </w:r>
      <w:r w:rsidR="00A22C64">
        <w:rPr>
          <w:lang w:eastAsia="tr-TR"/>
        </w:rPr>
        <w:t>ı</w:t>
      </w:r>
      <w:r w:rsidRPr="00E70CEB">
        <w:rPr>
          <w:lang w:eastAsia="tr-TR"/>
        </w:rPr>
        <w:t xml:space="preserve"> değişim</w:t>
      </w:r>
      <w:r w:rsidR="00A22C64">
        <w:rPr>
          <w:lang w:eastAsia="tr-TR"/>
        </w:rPr>
        <w:t>i</w:t>
      </w:r>
      <w:r w:rsidRPr="00E70CEB">
        <w:rPr>
          <w:lang w:eastAsia="tr-TR"/>
        </w:rPr>
        <w:t xml:space="preserve"> arasındaki ilişki gösterilmektedir.</w:t>
      </w:r>
      <w:r w:rsidRPr="00E70CEB">
        <w:rPr>
          <w:color w:val="FF0000"/>
          <w:lang w:eastAsia="tr-TR"/>
        </w:rPr>
        <w:t xml:space="preserve"> </w:t>
      </w:r>
      <w:r w:rsidRPr="00E70CEB">
        <w:rPr>
          <w:lang w:eastAsia="tr-TR"/>
        </w:rPr>
        <w:t xml:space="preserve">Bu iki değişken arasında negatif bir korelasyon olduğu açıkça görülmektedir. Hemen her sektörde kayıt dışı çalışanların oranı bir önceki yıla kıyasla azalmakla beraber sektördeki düşük ücretli oranı ne kadar yüksekse kayıt dışı çalışma oranındaki azalışın da o kadar yüksek olduğu gözlemlenmektedir. </w:t>
      </w:r>
    </w:p>
    <w:p w14:paraId="4E1BB00B" w14:textId="77777777" w:rsidR="00CB5C5D" w:rsidRDefault="008342DA" w:rsidP="008342DA">
      <w:pPr>
        <w:rPr>
          <w:lang w:eastAsia="tr-TR"/>
        </w:rPr>
      </w:pPr>
      <w:r w:rsidRPr="00E70CEB">
        <w:rPr>
          <w:lang w:eastAsia="tr-TR"/>
        </w:rPr>
        <w:t>Yüksek asgari ücret artı</w:t>
      </w:r>
      <w:r w:rsidR="00D222ED">
        <w:rPr>
          <w:lang w:eastAsia="tr-TR"/>
        </w:rPr>
        <w:t xml:space="preserve">şının gerçekleştiği 2016 yılının özellikle ilk iki çeyreğinde </w:t>
      </w:r>
      <w:r w:rsidRPr="00E70CEB">
        <w:rPr>
          <w:lang w:eastAsia="tr-TR"/>
        </w:rPr>
        <w:t>iki değişken arasındaki negatif korelasyonun yerini pozitif korelasyona bıraktığı açıkça görülmektedir</w:t>
      </w:r>
      <w:r w:rsidR="00D222ED">
        <w:rPr>
          <w:lang w:eastAsia="tr-TR"/>
        </w:rPr>
        <w:t xml:space="preserve"> (Şekil 2)</w:t>
      </w:r>
      <w:r w:rsidRPr="00E70CEB">
        <w:rPr>
          <w:lang w:eastAsia="tr-TR"/>
        </w:rPr>
        <w:t>. Şubat ve Mayıs dönemleri</w:t>
      </w:r>
      <w:r w:rsidR="00D222ED">
        <w:rPr>
          <w:lang w:eastAsia="tr-TR"/>
        </w:rPr>
        <w:t>nde</w:t>
      </w:r>
      <w:r w:rsidRPr="00E70CEB">
        <w:rPr>
          <w:lang w:eastAsia="tr-TR"/>
        </w:rPr>
        <w:t xml:space="preserve"> düşük ücretli çalışan</w:t>
      </w:r>
      <w:r w:rsidR="00503E90">
        <w:rPr>
          <w:lang w:eastAsia="tr-TR"/>
        </w:rPr>
        <w:t>ların yoğun olduğu sektörlerdeki kayıt dışı çalışma oranındaki artış görece daha yüksektir.</w:t>
      </w:r>
      <w:r w:rsidR="00A22C64">
        <w:rPr>
          <w:lang w:eastAsia="tr-TR"/>
        </w:rPr>
        <w:t xml:space="preserve"> </w:t>
      </w:r>
      <w:r w:rsidRPr="00E70CEB">
        <w:rPr>
          <w:lang w:eastAsia="tr-TR"/>
        </w:rPr>
        <w:t>Yılın ikinci yarısını temsil eden Ağustos ve Kasım dönemlerinde ise kayıt dışı istihdam oranlarının düşük ücretli çalışan yoğunluğu ile değişmediği gözlenmiştir</w:t>
      </w:r>
      <w:r w:rsidR="00A22C64" w:rsidRPr="00503E90">
        <w:rPr>
          <w:lang w:eastAsia="tr-TR"/>
        </w:rPr>
        <w:t>. Bu anlamda yılın ikinci yarısında</w:t>
      </w:r>
      <w:r w:rsidR="00350C84" w:rsidRPr="00503E90">
        <w:rPr>
          <w:lang w:eastAsia="tr-TR"/>
        </w:rPr>
        <w:t xml:space="preserve">, düşük ücretli sektörler </w:t>
      </w:r>
      <w:r w:rsidR="00503E90" w:rsidRPr="00503E90">
        <w:rPr>
          <w:lang w:eastAsia="tr-TR"/>
        </w:rPr>
        <w:t xml:space="preserve">belirleyici </w:t>
      </w:r>
      <w:r w:rsidR="00350C84" w:rsidRPr="00503E90">
        <w:rPr>
          <w:lang w:eastAsia="tr-TR"/>
        </w:rPr>
        <w:t>parametre olmaktan çıkmış</w:t>
      </w:r>
      <w:r w:rsidR="00503E90" w:rsidRPr="00503E90">
        <w:rPr>
          <w:lang w:eastAsia="tr-TR"/>
        </w:rPr>
        <w:t>tır denebilir. A</w:t>
      </w:r>
      <w:r w:rsidR="00A22C64" w:rsidRPr="00503E90">
        <w:rPr>
          <w:lang w:eastAsia="tr-TR"/>
        </w:rPr>
        <w:t xml:space="preserve">sgari ücret artışı kayıt dışı istihdama etkisi tüm sektörlere </w:t>
      </w:r>
      <w:r w:rsidR="009E43AB" w:rsidRPr="00503E90">
        <w:rPr>
          <w:lang w:eastAsia="tr-TR"/>
        </w:rPr>
        <w:t xml:space="preserve">benzer </w:t>
      </w:r>
      <w:r w:rsidR="00503E90" w:rsidRPr="00503E90">
        <w:rPr>
          <w:lang w:eastAsia="tr-TR"/>
        </w:rPr>
        <w:t>şiddette</w:t>
      </w:r>
      <w:r w:rsidR="009E43AB" w:rsidRPr="00503E90">
        <w:rPr>
          <w:lang w:eastAsia="tr-TR"/>
        </w:rPr>
        <w:t xml:space="preserve"> yayılmıştır</w:t>
      </w:r>
      <w:r w:rsidR="00A22C64" w:rsidRPr="00503E90">
        <w:rPr>
          <w:lang w:eastAsia="tr-TR"/>
        </w:rPr>
        <w:t xml:space="preserve">. </w:t>
      </w:r>
      <w:r w:rsidRPr="00503E90">
        <w:rPr>
          <w:lang w:eastAsia="tr-TR"/>
        </w:rPr>
        <w:t xml:space="preserve">Buna </w:t>
      </w:r>
      <w:r w:rsidRPr="00E70CEB">
        <w:rPr>
          <w:lang w:eastAsia="tr-TR"/>
        </w:rPr>
        <w:t>rağmen üçüncü ve dördüncü çeyrekler arasında önemli bir fark bulunmaktadır. Üçüncü çeyrekte (Ağustos döneminde) ortalama değişim sıfıra yakın iken son çeyrekte</w:t>
      </w:r>
      <w:r w:rsidR="00164FF8">
        <w:rPr>
          <w:lang w:eastAsia="tr-TR"/>
        </w:rPr>
        <w:t xml:space="preserve"> (Kasım ayı)</w:t>
      </w:r>
      <w:r w:rsidRPr="00E70CEB">
        <w:rPr>
          <w:lang w:eastAsia="tr-TR"/>
        </w:rPr>
        <w:t xml:space="preserve"> pozitiftir. Dördüncü çeyrekte</w:t>
      </w:r>
      <w:r w:rsidR="00164FF8">
        <w:rPr>
          <w:lang w:eastAsia="tr-TR"/>
        </w:rPr>
        <w:t xml:space="preserve">, </w:t>
      </w:r>
      <w:r w:rsidRPr="00E70CEB">
        <w:rPr>
          <w:lang w:eastAsia="tr-TR"/>
        </w:rPr>
        <w:t xml:space="preserve">2015 ile kıyaslandığında, 2016 yılında hemen her sektörde düşük ücretli çalışan oranından bağımsız olarak kayıt dışı çalışma oranında bir artış gözlemlenmektedir. </w:t>
      </w:r>
    </w:p>
    <w:p w14:paraId="0C860C95" w14:textId="75DBF69F" w:rsidR="008342DA" w:rsidRPr="005656BB" w:rsidRDefault="008342DA" w:rsidP="008342DA">
      <w:pPr>
        <w:rPr>
          <w:color w:val="FF0000"/>
          <w:lang w:eastAsia="tr-TR"/>
        </w:rPr>
      </w:pPr>
      <w:r w:rsidRPr="00E70CEB">
        <w:rPr>
          <w:lang w:eastAsia="tr-TR"/>
        </w:rPr>
        <w:t xml:space="preserve">Son olarak, Şekil </w:t>
      </w:r>
      <w:r w:rsidR="00350C84">
        <w:rPr>
          <w:lang w:eastAsia="tr-TR"/>
        </w:rPr>
        <w:t>3</w:t>
      </w:r>
      <w:r w:rsidRPr="00E70CEB">
        <w:rPr>
          <w:lang w:eastAsia="tr-TR"/>
        </w:rPr>
        <w:t>’</w:t>
      </w:r>
      <w:r w:rsidR="00350C84">
        <w:rPr>
          <w:lang w:eastAsia="tr-TR"/>
        </w:rPr>
        <w:t>t</w:t>
      </w:r>
      <w:r w:rsidRPr="00E70CEB">
        <w:rPr>
          <w:lang w:eastAsia="tr-TR"/>
        </w:rPr>
        <w:t>e 2016-2</w:t>
      </w:r>
      <w:r w:rsidRPr="00503E90">
        <w:rPr>
          <w:lang w:eastAsia="tr-TR"/>
        </w:rPr>
        <w:t xml:space="preserve">017 kayıt dışı istihdam oranındaki değişim incelenmektedir. </w:t>
      </w:r>
      <w:r w:rsidR="0061362C">
        <w:rPr>
          <w:lang w:eastAsia="tr-TR"/>
        </w:rPr>
        <w:t xml:space="preserve">Şekil 3’teki her çeyrek ile </w:t>
      </w:r>
      <w:r w:rsidRPr="00503E90">
        <w:rPr>
          <w:lang w:eastAsia="tr-TR"/>
        </w:rPr>
        <w:t xml:space="preserve">Şekil </w:t>
      </w:r>
      <w:r w:rsidR="00350C84" w:rsidRPr="00503E90">
        <w:rPr>
          <w:lang w:eastAsia="tr-TR"/>
        </w:rPr>
        <w:t>2</w:t>
      </w:r>
      <w:r w:rsidRPr="00503E90">
        <w:rPr>
          <w:lang w:eastAsia="tr-TR"/>
        </w:rPr>
        <w:t>’d</w:t>
      </w:r>
      <w:r w:rsidR="00350C84" w:rsidRPr="00503E90">
        <w:rPr>
          <w:lang w:eastAsia="tr-TR"/>
        </w:rPr>
        <w:t>e</w:t>
      </w:r>
      <w:r w:rsidRPr="00503E90">
        <w:rPr>
          <w:lang w:eastAsia="tr-TR"/>
        </w:rPr>
        <w:t xml:space="preserve">ki </w:t>
      </w:r>
      <w:r w:rsidRPr="000F735B">
        <w:rPr>
          <w:lang w:eastAsia="tr-TR"/>
        </w:rPr>
        <w:t>dördüncü çeyre</w:t>
      </w:r>
      <w:r w:rsidR="0061362C">
        <w:rPr>
          <w:lang w:eastAsia="tr-TR"/>
        </w:rPr>
        <w:t xml:space="preserve">k arasındaki </w:t>
      </w:r>
      <w:r w:rsidRPr="000F735B">
        <w:rPr>
          <w:lang w:eastAsia="tr-TR"/>
        </w:rPr>
        <w:t xml:space="preserve">benzerlik dikkat </w:t>
      </w:r>
      <w:r w:rsidRPr="00503E90">
        <w:rPr>
          <w:lang w:eastAsia="tr-TR"/>
        </w:rPr>
        <w:t xml:space="preserve">çekicidir. </w:t>
      </w:r>
      <w:r w:rsidR="00252156">
        <w:rPr>
          <w:lang w:eastAsia="tr-TR"/>
        </w:rPr>
        <w:t>K</w:t>
      </w:r>
      <w:r w:rsidR="00503E90" w:rsidRPr="00503E90">
        <w:rPr>
          <w:lang w:eastAsia="tr-TR"/>
        </w:rPr>
        <w:t>ayıt dışı çalışma oranı</w:t>
      </w:r>
      <w:r w:rsidR="00252156">
        <w:rPr>
          <w:lang w:eastAsia="tr-TR"/>
        </w:rPr>
        <w:t>, 2017 yılında</w:t>
      </w:r>
      <w:r w:rsidR="00503E90" w:rsidRPr="00503E90">
        <w:rPr>
          <w:lang w:eastAsia="tr-TR"/>
        </w:rPr>
        <w:t xml:space="preserve"> 2016’ya kıyasla ortalama</w:t>
      </w:r>
      <w:r w:rsidR="00252156">
        <w:rPr>
          <w:lang w:eastAsia="tr-TR"/>
        </w:rPr>
        <w:t xml:space="preserve">da </w:t>
      </w:r>
      <w:r w:rsidR="00503E90" w:rsidRPr="00503E90">
        <w:rPr>
          <w:lang w:eastAsia="tr-TR"/>
        </w:rPr>
        <w:t>artmıştır. Bazı sektörlerde artış, diğerlerinde azalış görülmekle beraber bunun sistematik olarak düşük ücret oranı ile ilişkili olmadığı a</w:t>
      </w:r>
      <w:r w:rsidR="00252156">
        <w:rPr>
          <w:lang w:eastAsia="tr-TR"/>
        </w:rPr>
        <w:t>nlaşılmaktadır</w:t>
      </w:r>
      <w:r w:rsidR="00503E90" w:rsidRPr="00503E90">
        <w:rPr>
          <w:lang w:eastAsia="tr-TR"/>
        </w:rPr>
        <w:t xml:space="preserve">. </w:t>
      </w:r>
    </w:p>
    <w:p w14:paraId="1944883C" w14:textId="7B7E5FDD" w:rsidR="006306B6" w:rsidRPr="00414F5A" w:rsidRDefault="008342DA" w:rsidP="008342DA">
      <w:pPr>
        <w:rPr>
          <w:lang w:eastAsia="tr-TR"/>
        </w:rPr>
      </w:pPr>
      <w:r w:rsidRPr="00E70CEB">
        <w:rPr>
          <w:lang w:eastAsia="tr-TR"/>
        </w:rPr>
        <w:t xml:space="preserve">Tüm bu saptamalardan </w:t>
      </w:r>
      <w:r w:rsidRPr="001772C7">
        <w:rPr>
          <w:lang w:eastAsia="tr-TR"/>
        </w:rPr>
        <w:t>hareketle hipotezimizin</w:t>
      </w:r>
      <w:r w:rsidRPr="00E70CEB">
        <w:rPr>
          <w:lang w:eastAsia="tr-TR"/>
        </w:rPr>
        <w:t xml:space="preserve"> büyük ölçüde doğrulandığı görülmektedir. Düşük ücretli çalışanların yoğun olduğu sektörlerde asgari ücret artışının kayıt dışı çalışma oranına etkisi ilk başta (asgari ücret şokundan hemen sonra) daha </w:t>
      </w:r>
      <w:r w:rsidRPr="0004598A">
        <w:rPr>
          <w:lang w:eastAsia="tr-TR"/>
        </w:rPr>
        <w:t xml:space="preserve">yüksek </w:t>
      </w:r>
      <w:r w:rsidR="005656BB" w:rsidRPr="0004598A">
        <w:rPr>
          <w:lang w:eastAsia="tr-TR"/>
        </w:rPr>
        <w:t xml:space="preserve">olduğu görülmekte ancak </w:t>
      </w:r>
      <w:r w:rsidRPr="0004598A">
        <w:rPr>
          <w:lang w:eastAsia="tr-TR"/>
        </w:rPr>
        <w:t>izleyen dönemlerde tüm sektörlerin kayıt dışı çalışan istihdam oranında</w:t>
      </w:r>
      <w:r w:rsidRPr="00E70CEB">
        <w:rPr>
          <w:lang w:eastAsia="tr-TR"/>
        </w:rPr>
        <w:t xml:space="preserve"> benzer bir artış göze çarpmaktadır. Özetlemek gerekirse, 2014 yılından 2015’e ekonominin genelinde kayıt dışı çalışma oranında bir gerileme olduğu ve bu gerilemenin özellikle düşük ücretli çalışmanın yoğun olduğu sektörlerde yüksek olduğunu tespit ediyoruz. 2016’nın hemen başındaki yüksek asgari ücret artışının, kayıt dışı çalışma bağlamında, ilk aşamada görece asgari ve altında ücretli çalışanların oranının yüksek olduğu sektörleri etkilediği, daha sonra bu etkinin tüm sektörlere dağıldığına tanık oluyoruz. </w:t>
      </w:r>
    </w:p>
    <w:p w14:paraId="6B1416B1" w14:textId="632FD2ED" w:rsidR="008342DA" w:rsidRDefault="008342DA" w:rsidP="008342DA">
      <w:pPr>
        <w:rPr>
          <w:color w:val="FF0000"/>
          <w:lang w:eastAsia="tr-TR"/>
        </w:rPr>
      </w:pPr>
      <w:r w:rsidRPr="009842CC">
        <w:rPr>
          <w:lang w:eastAsia="tr-TR"/>
        </w:rPr>
        <w:lastRenderedPageBreak/>
        <w:t xml:space="preserve">Bu </w:t>
      </w:r>
      <w:r w:rsidR="00A92D72">
        <w:rPr>
          <w:lang w:eastAsia="tr-TR"/>
        </w:rPr>
        <w:t xml:space="preserve">araştırma notunda elde ettiğimiz </w:t>
      </w:r>
      <w:r w:rsidRPr="009842CC">
        <w:rPr>
          <w:lang w:eastAsia="tr-TR"/>
        </w:rPr>
        <w:t xml:space="preserve">sonuçlar, </w:t>
      </w:r>
      <w:r w:rsidR="00164FF8" w:rsidRPr="009842CC">
        <w:rPr>
          <w:lang w:eastAsia="tr-TR"/>
        </w:rPr>
        <w:t xml:space="preserve">bir önceki araştırma notumuzda (Araştırma Notu 220/18) </w:t>
      </w:r>
      <w:r w:rsidRPr="009842CC">
        <w:rPr>
          <w:lang w:eastAsia="tr-TR"/>
        </w:rPr>
        <w:t>incelenen ücretlilerin dönemsel kayıt dışı istihdam oranlarındaki eğilimler ile bariz bir paralellik göstermektedir. Ücretli çalışanlarda kayıt dışı çalışma oranı, 2015 ile 2016 kıyaslandığında ilk iki çeyrekte artış, üçüncü çeyrekte azalış son çeyrekte yine artış göstermişt</w:t>
      </w:r>
      <w:r w:rsidR="00164FF8" w:rsidRPr="009842CC">
        <w:rPr>
          <w:lang w:eastAsia="tr-TR"/>
        </w:rPr>
        <w:t>i</w:t>
      </w:r>
      <w:r w:rsidRPr="009842CC">
        <w:rPr>
          <w:lang w:eastAsia="tr-TR"/>
        </w:rPr>
        <w:t>. Buradan hareketle, ücretli çalışanlar toplam istihdamın yarısından fazlasını oluştur</w:t>
      </w:r>
      <w:r w:rsidR="00164FF8" w:rsidRPr="009842CC">
        <w:rPr>
          <w:lang w:eastAsia="tr-TR"/>
        </w:rPr>
        <w:t xml:space="preserve">duğu için </w:t>
      </w:r>
      <w:r w:rsidRPr="009842CC">
        <w:rPr>
          <w:lang w:eastAsia="tr-TR"/>
        </w:rPr>
        <w:t>temel eğilimler bu kesimde yaşanan değişimler çerçevesinde şekillenmektedir.</w:t>
      </w:r>
      <w:r w:rsidRPr="009842CC">
        <w:rPr>
          <w:color w:val="FF0000"/>
          <w:lang w:eastAsia="tr-TR"/>
        </w:rPr>
        <w:t xml:space="preserve"> </w:t>
      </w:r>
    </w:p>
    <w:p w14:paraId="3CBBB75F" w14:textId="7A043A2D" w:rsidR="00A550AF" w:rsidRPr="005656BB" w:rsidRDefault="00A550AF" w:rsidP="008342DA">
      <w:pPr>
        <w:rPr>
          <w:color w:val="FF0000"/>
          <w:lang w:eastAsia="tr-TR"/>
        </w:rPr>
      </w:pPr>
      <w:r w:rsidRPr="005656BB">
        <w:rPr>
          <w:lang w:eastAsia="tr-TR"/>
        </w:rPr>
        <w:t xml:space="preserve">Asgari ücret şokunun kayıt dışı istihdama olan etkisi bir sonraki notta kadın erkek ayrımı gözetilerek </w:t>
      </w:r>
      <w:r w:rsidR="005656BB" w:rsidRPr="005656BB">
        <w:rPr>
          <w:lang w:eastAsia="tr-TR"/>
        </w:rPr>
        <w:t>ayrıntılı</w:t>
      </w:r>
      <w:r w:rsidRPr="005656BB">
        <w:rPr>
          <w:lang w:eastAsia="tr-TR"/>
        </w:rPr>
        <w:t xml:space="preserve"> olarak incelenecektir. Bahsedilen notta elde edilen bulgular, mevcut not boyunca bahsedilen toplam etkinin erkeklerden kaynaklandığını göstermektedir. Çalışan kadınlar görece daha eğitimli oldukları için kadınlarda düşük ücretli çalışan sayısının erkeklere oranla çok daha düşük olduğu bilinmektedir. Bu durum kadınlarda, kayıt dışılığın en fazla görüldüğü, düşük eğitim seviyesine sahip çalışan sayısının erkeklere kıyasla daha az olmasından kaynaklanmaktadır. Tüm bunlar birlikte düşünüldüğünde asgari ücret artışının kadınlar için kayıt dışı çalışmayı arttırmaması aslında beklenen bir sonuçtur.</w:t>
      </w:r>
      <w:r w:rsidR="005656BB">
        <w:rPr>
          <w:lang w:eastAsia="tr-TR"/>
        </w:rPr>
        <w:t xml:space="preserve"> </w:t>
      </w:r>
    </w:p>
    <w:p w14:paraId="7CB77C2F" w14:textId="77777777" w:rsidR="008342DA" w:rsidRPr="00E70CEB" w:rsidRDefault="008342DA" w:rsidP="008342DA">
      <w:pPr>
        <w:pStyle w:val="Heading2"/>
        <w:rPr>
          <w:rFonts w:eastAsiaTheme="minorHAnsi"/>
          <w:lang w:val="tr-TR" w:eastAsia="en-US"/>
        </w:rPr>
      </w:pPr>
      <w:r w:rsidRPr="00E70CEB">
        <w:rPr>
          <w:rFonts w:eastAsiaTheme="minorHAnsi"/>
          <w:lang w:val="tr-TR" w:eastAsia="en-US"/>
        </w:rPr>
        <w:t>Sonuçlar ve uyarılar</w:t>
      </w:r>
    </w:p>
    <w:p w14:paraId="1B147B30" w14:textId="793E02DF" w:rsidR="008342DA" w:rsidRPr="00E70CEB" w:rsidRDefault="008342DA" w:rsidP="008342DA">
      <w:pPr>
        <w:rPr>
          <w:szCs w:val="22"/>
          <w:lang w:eastAsia="tr-TR"/>
        </w:rPr>
      </w:pPr>
      <w:r w:rsidRPr="00E70CEB">
        <w:rPr>
          <w:rFonts w:eastAsiaTheme="minorHAnsi"/>
          <w:lang w:eastAsia="en-US"/>
        </w:rPr>
        <w:t xml:space="preserve">Bu araştırma notunda elde edilen bulgular 1 Ocak 2016’da yürürlüğe giren </w:t>
      </w:r>
      <w:r w:rsidR="000E3E04">
        <w:rPr>
          <w:rFonts w:eastAsiaTheme="minorHAnsi"/>
          <w:lang w:eastAsia="en-US"/>
        </w:rPr>
        <w:t xml:space="preserve">yüksek </w:t>
      </w:r>
      <w:r w:rsidRPr="00E70CEB">
        <w:rPr>
          <w:rFonts w:eastAsiaTheme="minorHAnsi"/>
          <w:lang w:eastAsia="en-US"/>
        </w:rPr>
        <w:t xml:space="preserve">asgari ücret artışının </w:t>
      </w:r>
      <w:r w:rsidR="00F3228F">
        <w:rPr>
          <w:rFonts w:eastAsiaTheme="minorHAnsi"/>
          <w:lang w:eastAsia="en-US"/>
        </w:rPr>
        <w:t xml:space="preserve">özellikle düşük ücretli sektörlerde </w:t>
      </w:r>
      <w:r w:rsidRPr="00E70CEB">
        <w:rPr>
          <w:rFonts w:eastAsiaTheme="minorHAnsi"/>
          <w:lang w:eastAsia="en-US"/>
        </w:rPr>
        <w:t>kayıt dışı istihdamı arttırdığı savını doğrular niteliktedir.</w:t>
      </w:r>
      <w:r w:rsidR="0059696D">
        <w:rPr>
          <w:rFonts w:eastAsiaTheme="minorHAnsi"/>
          <w:lang w:eastAsia="en-US"/>
        </w:rPr>
        <w:t xml:space="preserve"> </w:t>
      </w:r>
      <w:r w:rsidRPr="00E70CEB">
        <w:rPr>
          <w:rFonts w:eastAsiaTheme="minorHAnsi"/>
          <w:lang w:eastAsia="en-US"/>
        </w:rPr>
        <w:t>Asgari ücret artışı</w:t>
      </w:r>
      <w:r w:rsidR="00C90F0B">
        <w:rPr>
          <w:rFonts w:eastAsiaTheme="minorHAnsi"/>
          <w:lang w:eastAsia="en-US"/>
        </w:rPr>
        <w:t>nın</w:t>
      </w:r>
      <w:r w:rsidRPr="00E70CEB">
        <w:rPr>
          <w:rFonts w:eastAsiaTheme="minorHAnsi"/>
          <w:lang w:eastAsia="en-US"/>
        </w:rPr>
        <w:t xml:space="preserve"> kayıt dışı istihdam</w:t>
      </w:r>
      <w:r w:rsidR="00C90F0B">
        <w:rPr>
          <w:rFonts w:eastAsiaTheme="minorHAnsi"/>
          <w:lang w:eastAsia="en-US"/>
        </w:rPr>
        <w:t>a etkisi ilk iki çeyrek özellikle düşük ücretli sektörlerde daha büyük olmuş, sonrasında düşük ücret yoğunluğundan bağımsızlaşmıştır.</w:t>
      </w:r>
      <w:r w:rsidR="0059696D">
        <w:rPr>
          <w:rFonts w:eastAsiaTheme="minorHAnsi"/>
          <w:lang w:eastAsia="en-US"/>
        </w:rPr>
        <w:t xml:space="preserve"> </w:t>
      </w:r>
      <w:r w:rsidR="001772C7">
        <w:rPr>
          <w:rFonts w:eastAsiaTheme="minorHAnsi"/>
          <w:lang w:eastAsia="en-US"/>
        </w:rPr>
        <w:t xml:space="preserve"> </w:t>
      </w:r>
      <w:r w:rsidR="00C90F0B">
        <w:rPr>
          <w:rFonts w:eastAsiaTheme="minorHAnsi"/>
          <w:lang w:eastAsia="en-US"/>
        </w:rPr>
        <w:t xml:space="preserve">Özellikle 2016 yılının son çeyreğinden itibaren kayıt dışılığı </w:t>
      </w:r>
      <w:r w:rsidR="00C90F0B" w:rsidRPr="00A51C3E">
        <w:rPr>
          <w:rFonts w:eastAsiaTheme="minorHAnsi"/>
          <w:lang w:eastAsia="en-US"/>
        </w:rPr>
        <w:t xml:space="preserve">arttırıcı </w:t>
      </w:r>
      <w:r w:rsidR="001772C7" w:rsidRPr="00A51C3E">
        <w:rPr>
          <w:lang w:eastAsia="tr-TR"/>
        </w:rPr>
        <w:t xml:space="preserve">bu etkinin </w:t>
      </w:r>
      <w:r w:rsidR="00274586" w:rsidRPr="00A51C3E">
        <w:rPr>
          <w:lang w:eastAsia="tr-TR"/>
        </w:rPr>
        <w:t>devam e</w:t>
      </w:r>
      <w:r w:rsidR="00C90F0B" w:rsidRPr="00A51C3E">
        <w:rPr>
          <w:lang w:eastAsia="tr-TR"/>
        </w:rPr>
        <w:t>tmekle birlikte tüm sektörleri paralel şekilde etkilediği sonucuna varıyoruz.</w:t>
      </w:r>
      <w:r w:rsidR="005656BB">
        <w:rPr>
          <w:lang w:eastAsia="tr-TR"/>
        </w:rPr>
        <w:t xml:space="preserve"> </w:t>
      </w:r>
      <w:r w:rsidRPr="00E70CEB">
        <w:rPr>
          <w:rFonts w:eastAsiaTheme="minorHAnsi"/>
          <w:lang w:eastAsia="en-US"/>
        </w:rPr>
        <w:t xml:space="preserve">Bu </w:t>
      </w:r>
      <w:r w:rsidR="00366A97">
        <w:rPr>
          <w:rFonts w:eastAsiaTheme="minorHAnsi"/>
          <w:lang w:eastAsia="en-US"/>
        </w:rPr>
        <w:t xml:space="preserve">ve daha önceki araştırma notumuzdan elde edilen </w:t>
      </w:r>
      <w:r w:rsidRPr="00E70CEB">
        <w:rPr>
          <w:rFonts w:eastAsiaTheme="minorHAnsi"/>
          <w:lang w:eastAsia="en-US"/>
        </w:rPr>
        <w:t>sonuçlar toplu veriler kullanılarak elde e</w:t>
      </w:r>
      <w:r w:rsidR="00366A97">
        <w:rPr>
          <w:rFonts w:eastAsiaTheme="minorHAnsi"/>
          <w:lang w:eastAsia="en-US"/>
        </w:rPr>
        <w:t xml:space="preserve">dildiği </w:t>
      </w:r>
      <w:r w:rsidRPr="00E70CEB">
        <w:rPr>
          <w:rFonts w:eastAsiaTheme="minorHAnsi"/>
          <w:lang w:eastAsia="en-US"/>
        </w:rPr>
        <w:t xml:space="preserve">için ihtiyatla karşılamak gerekir. Bu konu ile ilgili bir sonraki araştırma notumuzda kayıt dışılık-asgari ücret ilişkisini mikro veri </w:t>
      </w:r>
      <w:r w:rsidRPr="00430144">
        <w:rPr>
          <w:rFonts w:eastAsiaTheme="minorHAnsi"/>
          <w:lang w:eastAsia="en-US"/>
        </w:rPr>
        <w:t>seti ile</w:t>
      </w:r>
      <w:r w:rsidR="00321547">
        <w:rPr>
          <w:rFonts w:eastAsiaTheme="minorHAnsi"/>
          <w:lang w:eastAsia="en-US"/>
        </w:rPr>
        <w:t xml:space="preserve"> hem</w:t>
      </w:r>
      <w:r w:rsidRPr="00430144">
        <w:rPr>
          <w:rFonts w:eastAsiaTheme="minorHAnsi"/>
          <w:lang w:eastAsia="en-US"/>
        </w:rPr>
        <w:t xml:space="preserve"> </w:t>
      </w:r>
      <w:r w:rsidR="00A704FD" w:rsidRPr="00430144">
        <w:rPr>
          <w:rFonts w:eastAsiaTheme="minorHAnsi"/>
          <w:lang w:eastAsia="en-US"/>
        </w:rPr>
        <w:t xml:space="preserve">kadın-erkek ayrımında </w:t>
      </w:r>
      <w:r w:rsidR="00321547">
        <w:rPr>
          <w:rFonts w:eastAsiaTheme="minorHAnsi"/>
          <w:lang w:eastAsia="en-US"/>
        </w:rPr>
        <w:t xml:space="preserve">hem de ücretli-ücret dışı kesim ayrımında </w:t>
      </w:r>
      <w:r w:rsidRPr="00430144">
        <w:rPr>
          <w:rFonts w:eastAsiaTheme="minorHAnsi"/>
          <w:lang w:eastAsia="en-US"/>
        </w:rPr>
        <w:t xml:space="preserve">detaylı olarak inceleyeceğiz. </w:t>
      </w:r>
      <w:r w:rsidR="00C50739" w:rsidRPr="00430144">
        <w:rPr>
          <w:rFonts w:eastAsiaTheme="minorHAnsi"/>
          <w:lang w:eastAsia="en-US"/>
        </w:rPr>
        <w:t xml:space="preserve">O notta da göreceğimiz gibi </w:t>
      </w:r>
      <w:r w:rsidR="00C50739" w:rsidRPr="00430144">
        <w:rPr>
          <w:lang w:eastAsia="tr-TR"/>
        </w:rPr>
        <w:t xml:space="preserve">asgari ücret artışının kayıt dışı çalışmaya etkisi özellikle erkek çalışanlarda </w:t>
      </w:r>
      <w:r w:rsidR="00C50739" w:rsidRPr="0004598A">
        <w:rPr>
          <w:lang w:eastAsia="tr-TR"/>
        </w:rPr>
        <w:t>gözlemlen</w:t>
      </w:r>
      <w:r w:rsidR="00313597" w:rsidRPr="0004598A">
        <w:rPr>
          <w:lang w:eastAsia="tr-TR"/>
        </w:rPr>
        <w:t>diğini peşinen belirtelim.</w:t>
      </w:r>
    </w:p>
    <w:p w14:paraId="12029875" w14:textId="77777777" w:rsidR="001D4632" w:rsidRPr="00EB5530" w:rsidRDefault="001D4632" w:rsidP="001D4632">
      <w:pPr>
        <w:pStyle w:val="Heading2"/>
        <w:rPr>
          <w:rFonts w:eastAsiaTheme="minorHAnsi"/>
          <w:lang w:val="tr-TR" w:eastAsia="en-US"/>
        </w:rPr>
      </w:pPr>
      <w:r w:rsidRPr="00EB5530">
        <w:rPr>
          <w:rFonts w:eastAsiaTheme="minorHAnsi"/>
          <w:lang w:val="tr-TR" w:eastAsia="en-US"/>
        </w:rPr>
        <w:t>Kaynaklar</w:t>
      </w:r>
    </w:p>
    <w:p w14:paraId="52D620A8" w14:textId="3D206D6E" w:rsidR="003D1DD0" w:rsidRPr="00E70CEB" w:rsidRDefault="001D4632" w:rsidP="001D4632">
      <w:pPr>
        <w:rPr>
          <w:szCs w:val="22"/>
          <w:lang w:eastAsia="tr-TR"/>
        </w:rPr>
        <w:sectPr w:rsidR="003D1DD0" w:rsidRPr="00E70CEB" w:rsidSect="00E70CEB">
          <w:pgSz w:w="11906" w:h="16838"/>
          <w:pgMar w:top="1418" w:right="1418" w:bottom="1418" w:left="1418" w:header="709" w:footer="709" w:gutter="0"/>
          <w:cols w:space="708"/>
          <w:docGrid w:linePitch="360"/>
        </w:sectPr>
      </w:pPr>
      <w:r w:rsidRPr="00EB5530">
        <w:rPr>
          <w:szCs w:val="22"/>
          <w:lang w:eastAsia="tr-TR"/>
        </w:rPr>
        <w:t>[1]</w:t>
      </w:r>
      <w:r>
        <w:rPr>
          <w:szCs w:val="22"/>
          <w:lang w:eastAsia="tr-TR"/>
        </w:rPr>
        <w:t xml:space="preserve"> </w:t>
      </w:r>
      <w:proofErr w:type="spellStart"/>
      <w:r w:rsidR="003D1DD0">
        <w:rPr>
          <w:szCs w:val="22"/>
          <w:lang w:eastAsia="tr-TR"/>
        </w:rPr>
        <w:t>Card</w:t>
      </w:r>
      <w:proofErr w:type="spellEnd"/>
      <w:r w:rsidR="003D1DD0">
        <w:rPr>
          <w:szCs w:val="22"/>
          <w:lang w:eastAsia="tr-TR"/>
        </w:rPr>
        <w:t>, David (1992)</w:t>
      </w:r>
      <w:r w:rsidR="003D1DD0" w:rsidRPr="003D1DD0">
        <w:rPr>
          <w:szCs w:val="22"/>
          <w:lang w:eastAsia="tr-TR"/>
        </w:rPr>
        <w:t xml:space="preserve">. Using </w:t>
      </w:r>
      <w:proofErr w:type="spellStart"/>
      <w:r w:rsidR="003D1DD0" w:rsidRPr="003D1DD0">
        <w:rPr>
          <w:szCs w:val="22"/>
          <w:lang w:eastAsia="tr-TR"/>
        </w:rPr>
        <w:t>regional</w:t>
      </w:r>
      <w:proofErr w:type="spellEnd"/>
      <w:r w:rsidR="003D1DD0" w:rsidRPr="003D1DD0">
        <w:rPr>
          <w:szCs w:val="22"/>
          <w:lang w:eastAsia="tr-TR"/>
        </w:rPr>
        <w:t xml:space="preserve"> </w:t>
      </w:r>
      <w:proofErr w:type="spellStart"/>
      <w:r w:rsidR="003D1DD0" w:rsidRPr="003D1DD0">
        <w:rPr>
          <w:szCs w:val="22"/>
          <w:lang w:eastAsia="tr-TR"/>
        </w:rPr>
        <w:t>vari</w:t>
      </w:r>
      <w:r w:rsidR="003D1DD0">
        <w:rPr>
          <w:szCs w:val="22"/>
          <w:lang w:eastAsia="tr-TR"/>
        </w:rPr>
        <w:t>ation</w:t>
      </w:r>
      <w:proofErr w:type="spellEnd"/>
      <w:r w:rsidR="003D1DD0">
        <w:rPr>
          <w:szCs w:val="22"/>
          <w:lang w:eastAsia="tr-TR"/>
        </w:rPr>
        <w:t xml:space="preserve"> in </w:t>
      </w:r>
      <w:proofErr w:type="spellStart"/>
      <w:r w:rsidR="003D1DD0">
        <w:rPr>
          <w:szCs w:val="22"/>
          <w:lang w:eastAsia="tr-TR"/>
        </w:rPr>
        <w:t>wages</w:t>
      </w:r>
      <w:proofErr w:type="spellEnd"/>
      <w:r w:rsidR="003D1DD0">
        <w:rPr>
          <w:szCs w:val="22"/>
          <w:lang w:eastAsia="tr-TR"/>
        </w:rPr>
        <w:t xml:space="preserve"> </w:t>
      </w:r>
      <w:proofErr w:type="spellStart"/>
      <w:r w:rsidR="003D1DD0">
        <w:rPr>
          <w:szCs w:val="22"/>
          <w:lang w:eastAsia="tr-TR"/>
        </w:rPr>
        <w:t>to</w:t>
      </w:r>
      <w:proofErr w:type="spellEnd"/>
      <w:r w:rsidR="003D1DD0">
        <w:rPr>
          <w:szCs w:val="22"/>
          <w:lang w:eastAsia="tr-TR"/>
        </w:rPr>
        <w:t xml:space="preserve"> </w:t>
      </w:r>
      <w:proofErr w:type="spellStart"/>
      <w:r w:rsidR="003D1DD0">
        <w:rPr>
          <w:szCs w:val="22"/>
          <w:lang w:eastAsia="tr-TR"/>
        </w:rPr>
        <w:t>measure</w:t>
      </w:r>
      <w:proofErr w:type="spellEnd"/>
      <w:r w:rsidR="003D1DD0">
        <w:rPr>
          <w:szCs w:val="22"/>
          <w:lang w:eastAsia="tr-TR"/>
        </w:rPr>
        <w:t xml:space="preserve"> </w:t>
      </w:r>
      <w:proofErr w:type="spellStart"/>
      <w:r w:rsidR="003D1DD0">
        <w:rPr>
          <w:szCs w:val="22"/>
          <w:lang w:eastAsia="tr-TR"/>
        </w:rPr>
        <w:t>the</w:t>
      </w:r>
      <w:proofErr w:type="spellEnd"/>
      <w:r w:rsidR="003D1DD0">
        <w:rPr>
          <w:szCs w:val="22"/>
          <w:lang w:eastAsia="tr-TR"/>
        </w:rPr>
        <w:t xml:space="preserve"> </w:t>
      </w:r>
      <w:proofErr w:type="spellStart"/>
      <w:r w:rsidR="003D1DD0">
        <w:rPr>
          <w:szCs w:val="22"/>
          <w:lang w:eastAsia="tr-TR"/>
        </w:rPr>
        <w:t>effects</w:t>
      </w:r>
      <w:proofErr w:type="spellEnd"/>
      <w:r w:rsidR="003D1DD0">
        <w:rPr>
          <w:szCs w:val="22"/>
          <w:lang w:eastAsia="tr-TR"/>
        </w:rPr>
        <w:t xml:space="preserve"> of </w:t>
      </w:r>
      <w:proofErr w:type="spellStart"/>
      <w:r w:rsidR="003D1DD0" w:rsidRPr="003D1DD0">
        <w:rPr>
          <w:szCs w:val="22"/>
          <w:lang w:eastAsia="tr-TR"/>
        </w:rPr>
        <w:t>the</w:t>
      </w:r>
      <w:proofErr w:type="spellEnd"/>
      <w:r w:rsidR="003D1DD0" w:rsidRPr="003D1DD0">
        <w:rPr>
          <w:szCs w:val="22"/>
          <w:lang w:eastAsia="tr-TR"/>
        </w:rPr>
        <w:t xml:space="preserve"> federal minimum </w:t>
      </w:r>
      <w:proofErr w:type="spellStart"/>
      <w:r w:rsidR="003D1DD0" w:rsidRPr="003D1DD0">
        <w:rPr>
          <w:szCs w:val="22"/>
          <w:lang w:eastAsia="tr-TR"/>
        </w:rPr>
        <w:t>wage</w:t>
      </w:r>
      <w:proofErr w:type="spellEnd"/>
      <w:r>
        <w:rPr>
          <w:szCs w:val="22"/>
          <w:lang w:eastAsia="tr-TR"/>
        </w:rPr>
        <w:t xml:space="preserve">, </w:t>
      </w:r>
      <w:proofErr w:type="spellStart"/>
      <w:r w:rsidR="003D1DD0" w:rsidRPr="001D4632">
        <w:rPr>
          <w:i/>
          <w:szCs w:val="22"/>
          <w:lang w:eastAsia="tr-TR"/>
        </w:rPr>
        <w:t>Industrial</w:t>
      </w:r>
      <w:proofErr w:type="spellEnd"/>
      <w:r w:rsidR="003D1DD0" w:rsidRPr="001D4632">
        <w:rPr>
          <w:i/>
          <w:szCs w:val="22"/>
          <w:lang w:eastAsia="tr-TR"/>
        </w:rPr>
        <w:t xml:space="preserve"> </w:t>
      </w:r>
      <w:proofErr w:type="spellStart"/>
      <w:r w:rsidR="003D1DD0" w:rsidRPr="001D4632">
        <w:rPr>
          <w:i/>
          <w:szCs w:val="22"/>
          <w:lang w:eastAsia="tr-TR"/>
        </w:rPr>
        <w:t>and</w:t>
      </w:r>
      <w:proofErr w:type="spellEnd"/>
      <w:r w:rsidR="003D1DD0" w:rsidRPr="001D4632">
        <w:rPr>
          <w:i/>
          <w:szCs w:val="22"/>
          <w:lang w:eastAsia="tr-TR"/>
        </w:rPr>
        <w:t xml:space="preserve"> </w:t>
      </w:r>
      <w:proofErr w:type="spellStart"/>
      <w:r w:rsidR="003D1DD0" w:rsidRPr="001D4632">
        <w:rPr>
          <w:i/>
          <w:szCs w:val="22"/>
          <w:lang w:eastAsia="tr-TR"/>
        </w:rPr>
        <w:t>Labor</w:t>
      </w:r>
      <w:proofErr w:type="spellEnd"/>
      <w:r w:rsidR="003D1DD0" w:rsidRPr="001D4632">
        <w:rPr>
          <w:i/>
          <w:szCs w:val="22"/>
          <w:lang w:eastAsia="tr-TR"/>
        </w:rPr>
        <w:t xml:space="preserve"> </w:t>
      </w:r>
      <w:proofErr w:type="spellStart"/>
      <w:r w:rsidR="003D1DD0" w:rsidRPr="001D4632">
        <w:rPr>
          <w:i/>
          <w:szCs w:val="22"/>
          <w:lang w:eastAsia="tr-TR"/>
        </w:rPr>
        <w:t>Relations</w:t>
      </w:r>
      <w:proofErr w:type="spellEnd"/>
      <w:r w:rsidR="003D1DD0" w:rsidRPr="001D4632">
        <w:rPr>
          <w:i/>
          <w:szCs w:val="22"/>
          <w:lang w:eastAsia="tr-TR"/>
        </w:rPr>
        <w:t xml:space="preserve"> </w:t>
      </w:r>
      <w:proofErr w:type="spellStart"/>
      <w:r w:rsidR="003D1DD0" w:rsidRPr="001D4632">
        <w:rPr>
          <w:i/>
          <w:szCs w:val="22"/>
          <w:lang w:eastAsia="tr-TR"/>
        </w:rPr>
        <w:t>Review</w:t>
      </w:r>
      <w:proofErr w:type="spellEnd"/>
      <w:r w:rsidR="003D1DD0" w:rsidRPr="003D1DD0">
        <w:rPr>
          <w:szCs w:val="22"/>
          <w:lang w:eastAsia="tr-TR"/>
        </w:rPr>
        <w:t xml:space="preserve"> 46</w:t>
      </w:r>
      <w:r>
        <w:rPr>
          <w:szCs w:val="22"/>
          <w:lang w:eastAsia="tr-TR"/>
        </w:rPr>
        <w:t>,</w:t>
      </w:r>
      <w:r w:rsidR="003D1DD0" w:rsidRPr="003D1DD0">
        <w:rPr>
          <w:szCs w:val="22"/>
          <w:lang w:eastAsia="tr-TR"/>
        </w:rPr>
        <w:t xml:space="preserve"> 22-37.</w:t>
      </w:r>
    </w:p>
    <w:p w14:paraId="3FFB9169" w14:textId="763763D7" w:rsidR="008342DA" w:rsidRPr="00B830D0" w:rsidRDefault="00F62ED3" w:rsidP="00B830D0">
      <w:pPr>
        <w:suppressAutoHyphens w:val="0"/>
        <w:autoSpaceDE w:val="0"/>
        <w:autoSpaceDN w:val="0"/>
        <w:adjustRightInd w:val="0"/>
        <w:spacing w:after="120" w:line="240" w:lineRule="auto"/>
        <w:jc w:val="left"/>
        <w:rPr>
          <w:szCs w:val="22"/>
          <w:lang w:eastAsia="tr-TR"/>
        </w:rPr>
      </w:pPr>
      <w:r>
        <w:rPr>
          <w:noProof/>
          <w:szCs w:val="22"/>
          <w:lang w:eastAsia="tr-TR"/>
        </w:rPr>
        <w:lastRenderedPageBreak/>
        <w:drawing>
          <wp:anchor distT="0" distB="0" distL="114300" distR="114300" simplePos="0" relativeHeight="251657728" behindDoc="0" locked="0" layoutInCell="1" allowOverlap="1" wp14:anchorId="5D502B46" wp14:editId="75F5BD1E">
            <wp:simplePos x="0" y="0"/>
            <wp:positionH relativeFrom="column">
              <wp:posOffset>-718654</wp:posOffset>
            </wp:positionH>
            <wp:positionV relativeFrom="paragraph">
              <wp:posOffset>355572</wp:posOffset>
            </wp:positionV>
            <wp:extent cx="7119867" cy="6854024"/>
            <wp:effectExtent l="0" t="0" r="5080" b="4445"/>
            <wp:wrapThrough wrapText="bothSides">
              <wp:wrapPolygon edited="0">
                <wp:start x="10634" y="0"/>
                <wp:lineTo x="0" y="0"/>
                <wp:lineTo x="0" y="21554"/>
                <wp:lineTo x="21558" y="21554"/>
                <wp:lineTo x="21558" y="0"/>
                <wp:lineTo x="10634" y="0"/>
              </wp:wrapPolygon>
            </wp:wrapThrough>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9867" cy="6854024"/>
                    </a:xfrm>
                    <a:prstGeom prst="rect">
                      <a:avLst/>
                    </a:prstGeom>
                    <a:noFill/>
                  </pic:spPr>
                </pic:pic>
              </a:graphicData>
            </a:graphic>
            <wp14:sizeRelH relativeFrom="margin">
              <wp14:pctWidth>0</wp14:pctWidth>
            </wp14:sizeRelH>
            <wp14:sizeRelV relativeFrom="margin">
              <wp14:pctHeight>0</wp14:pctHeight>
            </wp14:sizeRelV>
          </wp:anchor>
        </w:drawing>
      </w:r>
      <w:r w:rsidRPr="00E70CEB">
        <w:rPr>
          <w:noProof/>
          <w:lang w:eastAsia="tr-TR"/>
        </w:rPr>
        <mc:AlternateContent>
          <mc:Choice Requires="wps">
            <w:drawing>
              <wp:inline distT="0" distB="0" distL="0" distR="0" wp14:anchorId="51A505F8" wp14:editId="625DEA18">
                <wp:extent cx="6186115" cy="214686"/>
                <wp:effectExtent l="0" t="0" r="5715" b="0"/>
                <wp:docPr id="3" name="Metin Kutusu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6115" cy="214686"/>
                        </a:xfrm>
                        <a:prstGeom prst="rect">
                          <a:avLst/>
                        </a:prstGeom>
                        <a:solidFill>
                          <a:prstClr val="white"/>
                        </a:solidFill>
                        <a:ln>
                          <a:noFill/>
                        </a:ln>
                      </wps:spPr>
                      <wps:txbx>
                        <w:txbxContent>
                          <w:p w14:paraId="43A8F4CC" w14:textId="77777777" w:rsidR="00F62ED3" w:rsidRPr="00AF35FE" w:rsidRDefault="00F62ED3" w:rsidP="00F62ED3">
                            <w:pPr>
                              <w:pStyle w:val="Caption"/>
                              <w:rPr>
                                <w:noProof/>
                                <w:sz w:val="22"/>
                              </w:rPr>
                            </w:pPr>
                            <w:r w:rsidRPr="00AF35FE">
                              <w:rPr>
                                <w:sz w:val="22"/>
                              </w:rPr>
                              <w:t xml:space="preserve">Şekil </w:t>
                            </w:r>
                            <w:r>
                              <w:rPr>
                                <w:sz w:val="22"/>
                              </w:rPr>
                              <w:t>1</w:t>
                            </w:r>
                            <w:r w:rsidRPr="00AF35FE">
                              <w:rPr>
                                <w:sz w:val="22"/>
                              </w:rPr>
                              <w:t xml:space="preserve">: </w:t>
                            </w:r>
                            <w:r>
                              <w:rPr>
                                <w:sz w:val="22"/>
                              </w:rPr>
                              <w:t>Düşük ücretlilerin</w:t>
                            </w:r>
                            <w:r w:rsidRPr="00AF35FE">
                              <w:rPr>
                                <w:sz w:val="22"/>
                              </w:rPr>
                              <w:t xml:space="preserve"> </w:t>
                            </w:r>
                            <w:r w:rsidRPr="00C44E5A">
                              <w:rPr>
                                <w:sz w:val="22"/>
                              </w:rPr>
                              <w:t>oranı ile toplam kayıt dışı</w:t>
                            </w:r>
                            <w:r w:rsidRPr="00AF35FE">
                              <w:rPr>
                                <w:sz w:val="22"/>
                              </w:rPr>
                              <w:t xml:space="preserve"> istihdamdaki değişim ilişkisi 2014-2015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51A505F8" id="Metin Kutusu 27" o:spid="_x0000_s1027" type="#_x0000_t202" style="width:487.1pt;height:1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" stroked="f">
                <v:textbox inset="0,0,0,0">
                  <w:txbxContent>
                    <w:p w14:paraId="43A8F4CC" w14:textId="77777777" w:rsidR="00F62ED3" w:rsidRPr="00AF35FE" w:rsidRDefault="00F62ED3" w:rsidP="00F62ED3">
                      <w:pPr>
                        <w:pStyle w:val="Caption"/>
                        <w:rPr>
                          <w:noProof/>
                          <w:sz w:val="22"/>
                        </w:rPr>
                      </w:pPr>
                      <w:r w:rsidRPr="00AF35FE">
                        <w:rPr>
                          <w:sz w:val="22"/>
                        </w:rPr>
                        <w:t xml:space="preserve">Şekil </w:t>
                      </w:r>
                      <w:r>
                        <w:rPr>
                          <w:sz w:val="22"/>
                        </w:rPr>
                        <w:t>1</w:t>
                      </w:r>
                      <w:r w:rsidRPr="00AF35FE">
                        <w:rPr>
                          <w:sz w:val="22"/>
                        </w:rPr>
                        <w:t xml:space="preserve">: </w:t>
                      </w:r>
                      <w:r>
                        <w:rPr>
                          <w:sz w:val="22"/>
                        </w:rPr>
                        <w:t>Düşük ücretlilerin</w:t>
                      </w:r>
                      <w:r w:rsidRPr="00AF35FE">
                        <w:rPr>
                          <w:sz w:val="22"/>
                        </w:rPr>
                        <w:t xml:space="preserve"> </w:t>
                      </w:r>
                      <w:r w:rsidRPr="00C44E5A">
                        <w:rPr>
                          <w:sz w:val="22"/>
                        </w:rPr>
                        <w:t>oranı ile toplam kayıt dışı</w:t>
                      </w:r>
                      <w:r w:rsidRPr="00AF35FE">
                        <w:rPr>
                          <w:sz w:val="22"/>
                        </w:rPr>
                        <w:t xml:space="preserve"> istihdamdaki değişim ilişkisi 2014-2015</w:t>
                      </w:r>
                    </w:p>
                  </w:txbxContent>
                </v:textbox>
                <w10:anchorlock/>
              </v:shape>
            </w:pict>
          </mc:Fallback>
        </mc:AlternateContent>
      </w:r>
    </w:p>
    <w:p w14:paraId="084F0B2E" w14:textId="26873A8B" w:rsidR="001B779A" w:rsidRDefault="008342DA" w:rsidP="00B830D0">
      <w:pPr>
        <w:suppressAutoHyphens w:val="0"/>
        <w:autoSpaceDE w:val="0"/>
        <w:autoSpaceDN w:val="0"/>
        <w:adjustRightInd w:val="0"/>
        <w:spacing w:after="0" w:line="240" w:lineRule="auto"/>
        <w:rPr>
          <w:sz w:val="20"/>
          <w:szCs w:val="20"/>
          <w:lang w:eastAsia="tr-TR"/>
        </w:rPr>
      </w:pPr>
      <w:r w:rsidRPr="00E70CEB">
        <w:rPr>
          <w:b/>
          <w:sz w:val="20"/>
          <w:szCs w:val="20"/>
          <w:lang w:eastAsia="tr-TR"/>
        </w:rPr>
        <w:t>Kaynak</w:t>
      </w:r>
      <w:r w:rsidRPr="00E70CEB">
        <w:rPr>
          <w:sz w:val="20"/>
          <w:szCs w:val="20"/>
          <w:lang w:eastAsia="tr-TR"/>
        </w:rPr>
        <w:t xml:space="preserve">: HİA 2014 </w:t>
      </w:r>
      <w:r w:rsidRPr="008A2DAF">
        <w:rPr>
          <w:sz w:val="20"/>
          <w:szCs w:val="20"/>
          <w:lang w:eastAsia="tr-TR"/>
        </w:rPr>
        <w:t>mikro veri ve İşgücü İstatistikleri (http://www.tuik.gov.tr, Erişim tarihi 06.11.2017.) Harflerin karşılık geldiği sektörler için bakınız Ek</w:t>
      </w:r>
      <w:r w:rsidR="00C22019" w:rsidRPr="008A2DAF">
        <w:rPr>
          <w:sz w:val="20"/>
          <w:szCs w:val="20"/>
          <w:lang w:eastAsia="tr-TR"/>
        </w:rPr>
        <w:t xml:space="preserve"> Tablo 2</w:t>
      </w:r>
      <w:r w:rsidR="00204BCE" w:rsidRPr="008A2DAF">
        <w:rPr>
          <w:sz w:val="20"/>
          <w:szCs w:val="20"/>
          <w:lang w:eastAsia="tr-TR"/>
        </w:rPr>
        <w:t xml:space="preserve">). </w:t>
      </w:r>
      <w:r w:rsidR="00204BCE" w:rsidRPr="008A2DAF">
        <w:rPr>
          <w:b/>
          <w:sz w:val="20"/>
          <w:szCs w:val="20"/>
          <w:lang w:eastAsia="tr-TR"/>
        </w:rPr>
        <w:t>Not 1:</w:t>
      </w:r>
      <w:r w:rsidR="00204BCE" w:rsidRPr="008A2DAF">
        <w:rPr>
          <w:sz w:val="20"/>
          <w:szCs w:val="20"/>
          <w:lang w:eastAsia="tr-TR"/>
        </w:rPr>
        <w:t xml:space="preserve"> Düşük ücretli çalışanların oranı hesaplanırken bir sonraki yılın enflasyonla düzeltilmiş asgari ücret seviyesi sınır değer olarak kullanılmıştır (bkz. Veri ve Yöntem bölümü ve Dipnot 2). </w:t>
      </w:r>
      <w:r w:rsidR="00E62394" w:rsidRPr="008A2DAF">
        <w:rPr>
          <w:sz w:val="20"/>
          <w:szCs w:val="20"/>
          <w:lang w:eastAsia="tr-TR"/>
        </w:rPr>
        <w:t xml:space="preserve">Dikey eksen ise </w:t>
      </w:r>
      <w:r w:rsidR="007F69C8" w:rsidRPr="008A2DAF">
        <w:rPr>
          <w:sz w:val="20"/>
          <w:szCs w:val="20"/>
          <w:lang w:eastAsia="tr-TR"/>
        </w:rPr>
        <w:t>her çeyrekte yıllara arası kayıt dışı çalışma oranındaki değişimi vermektedir.</w:t>
      </w:r>
      <w:r w:rsidRPr="008A2DAF">
        <w:rPr>
          <w:sz w:val="20"/>
          <w:szCs w:val="20"/>
          <w:lang w:eastAsia="tr-TR"/>
        </w:rPr>
        <w:t xml:space="preserve"> </w:t>
      </w:r>
      <w:r w:rsidRPr="008A2DAF">
        <w:rPr>
          <w:b/>
          <w:sz w:val="20"/>
          <w:szCs w:val="20"/>
          <w:lang w:eastAsia="tr-TR"/>
        </w:rPr>
        <w:t xml:space="preserve">Not 2: </w:t>
      </w:r>
      <w:r w:rsidRPr="008A2DAF">
        <w:rPr>
          <w:sz w:val="20"/>
          <w:szCs w:val="20"/>
          <w:lang w:eastAsia="tr-TR"/>
        </w:rPr>
        <w:t>Düşük ücretli çalışanların oranı ücretli çalışanlar için hesaplanmışken, kayıt dışı istihdam oranları tüm çalışanlar için hesaplanmıştır.</w:t>
      </w:r>
      <w:r w:rsidR="00E00E7D" w:rsidRPr="008A2DAF">
        <w:rPr>
          <w:sz w:val="20"/>
          <w:szCs w:val="20"/>
          <w:lang w:eastAsia="tr-TR"/>
        </w:rPr>
        <w:t xml:space="preserve"> Bunun sebebi, TÜİK’in 18 sektör için kayıt dışı istihdam verilerinde ücretli ve ücret dışı kesim</w:t>
      </w:r>
      <w:r w:rsidR="00E00E7D" w:rsidRPr="009842CC">
        <w:rPr>
          <w:sz w:val="20"/>
          <w:szCs w:val="20"/>
          <w:lang w:eastAsia="tr-TR"/>
        </w:rPr>
        <w:t xml:space="preserve"> ayrımı</w:t>
      </w:r>
      <w:r w:rsidR="00E00E7D">
        <w:rPr>
          <w:sz w:val="20"/>
          <w:szCs w:val="20"/>
          <w:lang w:eastAsia="tr-TR"/>
        </w:rPr>
        <w:t xml:space="preserve">nın bulunmayışıdır. </w:t>
      </w:r>
    </w:p>
    <w:p w14:paraId="49C4CDDE" w14:textId="77777777" w:rsidR="00F62ED3" w:rsidRPr="00B830D0" w:rsidRDefault="00F62ED3" w:rsidP="00B830D0">
      <w:pPr>
        <w:suppressAutoHyphens w:val="0"/>
        <w:autoSpaceDE w:val="0"/>
        <w:autoSpaceDN w:val="0"/>
        <w:adjustRightInd w:val="0"/>
        <w:spacing w:after="0" w:line="240" w:lineRule="auto"/>
        <w:rPr>
          <w:sz w:val="20"/>
          <w:szCs w:val="20"/>
          <w:lang w:eastAsia="tr-TR"/>
        </w:rPr>
      </w:pPr>
    </w:p>
    <w:p w14:paraId="64F11C3D" w14:textId="3A9E2F72" w:rsidR="008342DA" w:rsidRPr="00E70CEB" w:rsidRDefault="00F62ED3" w:rsidP="008342DA">
      <w:pPr>
        <w:rPr>
          <w:sz w:val="18"/>
          <w:szCs w:val="18"/>
          <w:lang w:eastAsia="tr-TR"/>
        </w:rPr>
      </w:pPr>
      <w:r>
        <w:rPr>
          <w:noProof/>
          <w:sz w:val="18"/>
          <w:szCs w:val="18"/>
          <w:lang w:eastAsia="tr-TR"/>
        </w:rPr>
        <w:lastRenderedPageBreak/>
        <w:drawing>
          <wp:anchor distT="0" distB="0" distL="114300" distR="114300" simplePos="0" relativeHeight="251658752" behindDoc="0" locked="0" layoutInCell="1" allowOverlap="1" wp14:anchorId="0F69ED61" wp14:editId="4B0A2C12">
            <wp:simplePos x="0" y="0"/>
            <wp:positionH relativeFrom="column">
              <wp:posOffset>-661615</wp:posOffset>
            </wp:positionH>
            <wp:positionV relativeFrom="paragraph">
              <wp:posOffset>641515</wp:posOffset>
            </wp:positionV>
            <wp:extent cx="7060758" cy="6512959"/>
            <wp:effectExtent l="0" t="0" r="6985" b="2540"/>
            <wp:wrapThrough wrapText="bothSides">
              <wp:wrapPolygon edited="0">
                <wp:start x="10315" y="0"/>
                <wp:lineTo x="0" y="0"/>
                <wp:lineTo x="0" y="10678"/>
                <wp:lineTo x="233" y="11120"/>
                <wp:lineTo x="233" y="21103"/>
                <wp:lineTo x="10315" y="21229"/>
                <wp:lineTo x="10315" y="21545"/>
                <wp:lineTo x="21563" y="21545"/>
                <wp:lineTo x="21563" y="10425"/>
                <wp:lineTo x="21388" y="0"/>
                <wp:lineTo x="10315"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0758" cy="6512959"/>
                    </a:xfrm>
                    <a:prstGeom prst="rect">
                      <a:avLst/>
                    </a:prstGeom>
                    <a:noFill/>
                  </pic:spPr>
                </pic:pic>
              </a:graphicData>
            </a:graphic>
            <wp14:sizeRelH relativeFrom="margin">
              <wp14:pctWidth>0</wp14:pctWidth>
            </wp14:sizeRelH>
            <wp14:sizeRelV relativeFrom="margin">
              <wp14:pctHeight>0</wp14:pctHeight>
            </wp14:sizeRelV>
          </wp:anchor>
        </w:drawing>
      </w:r>
      <w:r w:rsidR="008342DA" w:rsidRPr="00E70CEB">
        <w:rPr>
          <w:noProof/>
          <w:lang w:eastAsia="tr-TR"/>
        </w:rPr>
        <mc:AlternateContent>
          <mc:Choice Requires="wps">
            <w:drawing>
              <wp:inline distT="0" distB="0" distL="0" distR="0" wp14:anchorId="04A36B33" wp14:editId="38F36CCF">
                <wp:extent cx="6019138" cy="389614"/>
                <wp:effectExtent l="0" t="0" r="1270" b="0"/>
                <wp:docPr id="2" name="Metin Kutusu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9138" cy="389614"/>
                        </a:xfrm>
                        <a:prstGeom prst="rect">
                          <a:avLst/>
                        </a:prstGeom>
                        <a:solidFill>
                          <a:prstClr val="white"/>
                        </a:solidFill>
                        <a:ln>
                          <a:noFill/>
                        </a:ln>
                      </wps:spPr>
                      <wps:txbx>
                        <w:txbxContent>
                          <w:p w14:paraId="7BB65351" w14:textId="687529A7" w:rsidR="00246C2F" w:rsidRPr="00AF35FE" w:rsidRDefault="00246C2F" w:rsidP="008342DA">
                            <w:pPr>
                              <w:pStyle w:val="Caption"/>
                              <w:rPr>
                                <w:noProof/>
                                <w:sz w:val="22"/>
                                <w:szCs w:val="18"/>
                              </w:rPr>
                            </w:pPr>
                            <w:r w:rsidRPr="00AF35FE">
                              <w:rPr>
                                <w:sz w:val="22"/>
                              </w:rPr>
                              <w:t xml:space="preserve">Şekil </w:t>
                            </w:r>
                            <w:r>
                              <w:rPr>
                                <w:sz w:val="22"/>
                              </w:rPr>
                              <w:t>2</w:t>
                            </w:r>
                            <w:r w:rsidRPr="00AF35FE">
                              <w:rPr>
                                <w:sz w:val="22"/>
                              </w:rPr>
                              <w:t xml:space="preserve">: </w:t>
                            </w:r>
                            <w:r>
                              <w:rPr>
                                <w:sz w:val="22"/>
                              </w:rPr>
                              <w:t>Düşük ü</w:t>
                            </w:r>
                            <w:r w:rsidRPr="00AF35FE">
                              <w:rPr>
                                <w:sz w:val="22"/>
                              </w:rPr>
                              <w:t xml:space="preserve">cretlilerin </w:t>
                            </w:r>
                            <w:r w:rsidRPr="00C44E5A">
                              <w:rPr>
                                <w:sz w:val="22"/>
                              </w:rPr>
                              <w:t>oranı ile toplam kayıt dışı istihdamdaki</w:t>
                            </w:r>
                            <w:r w:rsidRPr="00AF35FE">
                              <w:rPr>
                                <w:sz w:val="22"/>
                              </w:rPr>
                              <w:t xml:space="preserve"> değişim ilişkisi 2015-2016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04A36B33" id="Metin Kutusu 28" o:spid="_x0000_s1028" type="#_x0000_t202" style="width:473.95pt;height:3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" stroked="f">
                <v:textbox inset="0,0,0,0">
                  <w:txbxContent>
                    <w:p w14:paraId="7BB65351" w14:textId="687529A7" w:rsidR="00246C2F" w:rsidRPr="00AF35FE" w:rsidRDefault="00246C2F" w:rsidP="008342DA">
                      <w:pPr>
                        <w:pStyle w:val="Caption"/>
                        <w:rPr>
                          <w:noProof/>
                          <w:sz w:val="22"/>
                          <w:szCs w:val="18"/>
                        </w:rPr>
                      </w:pPr>
                      <w:r w:rsidRPr="00AF35FE">
                        <w:rPr>
                          <w:sz w:val="22"/>
                        </w:rPr>
                        <w:t xml:space="preserve">Şekil </w:t>
                      </w:r>
                      <w:r>
                        <w:rPr>
                          <w:sz w:val="22"/>
                        </w:rPr>
                        <w:t>2</w:t>
                      </w:r>
                      <w:r w:rsidRPr="00AF35FE">
                        <w:rPr>
                          <w:sz w:val="22"/>
                        </w:rPr>
                        <w:t xml:space="preserve">: </w:t>
                      </w:r>
                      <w:r>
                        <w:rPr>
                          <w:sz w:val="22"/>
                        </w:rPr>
                        <w:t>Düşük ü</w:t>
                      </w:r>
                      <w:r w:rsidRPr="00AF35FE">
                        <w:rPr>
                          <w:sz w:val="22"/>
                        </w:rPr>
                        <w:t xml:space="preserve">cretlilerin </w:t>
                      </w:r>
                      <w:r w:rsidRPr="00C44E5A">
                        <w:rPr>
                          <w:sz w:val="22"/>
                        </w:rPr>
                        <w:t>oranı ile toplam kayıt dışı istihdamdaki</w:t>
                      </w:r>
                      <w:r w:rsidRPr="00AF35FE">
                        <w:rPr>
                          <w:sz w:val="22"/>
                        </w:rPr>
                        <w:t xml:space="preserve"> değişim ilişkisi 2015-2016</w:t>
                      </w:r>
                    </w:p>
                  </w:txbxContent>
                </v:textbox>
                <w10:anchorlock/>
              </v:shape>
            </w:pict>
          </mc:Fallback>
        </mc:AlternateContent>
      </w:r>
    </w:p>
    <w:p w14:paraId="2B880A5C" w14:textId="047C9649" w:rsidR="00BA46D9" w:rsidRDefault="00BA46D9" w:rsidP="00BA46D9">
      <w:pPr>
        <w:suppressAutoHyphens w:val="0"/>
        <w:autoSpaceDE w:val="0"/>
        <w:autoSpaceDN w:val="0"/>
        <w:adjustRightInd w:val="0"/>
        <w:spacing w:after="0" w:line="240" w:lineRule="auto"/>
        <w:rPr>
          <w:b/>
          <w:sz w:val="20"/>
          <w:szCs w:val="20"/>
          <w:lang w:eastAsia="tr-TR"/>
        </w:rPr>
      </w:pPr>
    </w:p>
    <w:p w14:paraId="1D024244" w14:textId="5990E05E" w:rsidR="00814238" w:rsidRDefault="00814238" w:rsidP="00BA46D9">
      <w:pPr>
        <w:suppressAutoHyphens w:val="0"/>
        <w:autoSpaceDE w:val="0"/>
        <w:autoSpaceDN w:val="0"/>
        <w:adjustRightInd w:val="0"/>
        <w:spacing w:after="0" w:line="240" w:lineRule="auto"/>
        <w:rPr>
          <w:b/>
          <w:sz w:val="20"/>
          <w:szCs w:val="20"/>
          <w:lang w:eastAsia="tr-TR"/>
        </w:rPr>
      </w:pPr>
    </w:p>
    <w:p w14:paraId="3D3843F7" w14:textId="4167B3BC" w:rsidR="00E00E7D" w:rsidRPr="00E70CEB" w:rsidRDefault="00BA46D9" w:rsidP="00E00E7D">
      <w:pPr>
        <w:suppressAutoHyphens w:val="0"/>
        <w:autoSpaceDE w:val="0"/>
        <w:autoSpaceDN w:val="0"/>
        <w:adjustRightInd w:val="0"/>
        <w:spacing w:after="0" w:line="240" w:lineRule="auto"/>
        <w:rPr>
          <w:sz w:val="20"/>
          <w:szCs w:val="20"/>
          <w:lang w:eastAsia="tr-TR"/>
        </w:rPr>
      </w:pPr>
      <w:r w:rsidRPr="00E70CEB">
        <w:rPr>
          <w:b/>
          <w:sz w:val="20"/>
          <w:szCs w:val="20"/>
          <w:lang w:eastAsia="tr-TR"/>
        </w:rPr>
        <w:t>Kaynak</w:t>
      </w:r>
      <w:r w:rsidRPr="00E70CEB">
        <w:rPr>
          <w:sz w:val="20"/>
          <w:szCs w:val="20"/>
          <w:lang w:eastAsia="tr-TR"/>
        </w:rPr>
        <w:t>: HİA 201</w:t>
      </w:r>
      <w:r w:rsidR="000065FB">
        <w:rPr>
          <w:sz w:val="20"/>
          <w:szCs w:val="20"/>
          <w:lang w:eastAsia="tr-TR"/>
        </w:rPr>
        <w:t>5</w:t>
      </w:r>
      <w:r w:rsidRPr="00E70CEB">
        <w:rPr>
          <w:sz w:val="20"/>
          <w:szCs w:val="20"/>
          <w:lang w:eastAsia="tr-TR"/>
        </w:rPr>
        <w:t xml:space="preserve"> mikro </w:t>
      </w:r>
      <w:r w:rsidRPr="008A2DAF">
        <w:rPr>
          <w:sz w:val="20"/>
          <w:szCs w:val="20"/>
          <w:lang w:eastAsia="tr-TR"/>
        </w:rPr>
        <w:t>veri ve İşgücü İstatistikleri (http://www.tuik.gov.tr, Erişim tarihi 06.11.2017.) Harflerin karşılık geldiği sektörler için bakınız Ek</w:t>
      </w:r>
      <w:r w:rsidR="00C22019" w:rsidRPr="008A2DAF">
        <w:rPr>
          <w:sz w:val="20"/>
          <w:szCs w:val="20"/>
          <w:lang w:eastAsia="tr-TR"/>
        </w:rPr>
        <w:t xml:space="preserve"> Tablo 2</w:t>
      </w:r>
      <w:r w:rsidRPr="008A2DAF">
        <w:rPr>
          <w:sz w:val="20"/>
          <w:szCs w:val="20"/>
          <w:lang w:eastAsia="tr-TR"/>
        </w:rPr>
        <w:t xml:space="preserve">. </w:t>
      </w:r>
      <w:r w:rsidR="00204BCE" w:rsidRPr="008A2DAF">
        <w:rPr>
          <w:b/>
          <w:sz w:val="20"/>
          <w:szCs w:val="20"/>
          <w:lang w:eastAsia="tr-TR"/>
        </w:rPr>
        <w:t>Not 1:</w:t>
      </w:r>
      <w:r w:rsidR="00204BCE" w:rsidRPr="008A2DAF">
        <w:rPr>
          <w:sz w:val="20"/>
          <w:szCs w:val="20"/>
          <w:lang w:eastAsia="tr-TR"/>
        </w:rPr>
        <w:t xml:space="preserve"> Düşük ücretli çalışanların oranı hesaplanırken bir sonraki yılın enflasyonla düzeltilmiş asgari ücret seviyesi sınır değer olarak kullanılmıştır (bkz. Veri ve Yöntem bölümü ve Dipnot 2). </w:t>
      </w:r>
      <w:r w:rsidRPr="008A2DAF">
        <w:rPr>
          <w:sz w:val="20"/>
          <w:szCs w:val="20"/>
          <w:lang w:eastAsia="tr-TR"/>
        </w:rPr>
        <w:t xml:space="preserve"> </w:t>
      </w:r>
      <w:r w:rsidRPr="008A2DAF">
        <w:rPr>
          <w:b/>
          <w:sz w:val="20"/>
          <w:szCs w:val="20"/>
          <w:lang w:eastAsia="tr-TR"/>
        </w:rPr>
        <w:t xml:space="preserve">Not 2: </w:t>
      </w:r>
      <w:r w:rsidR="00E00E7D" w:rsidRPr="008A2DAF">
        <w:rPr>
          <w:sz w:val="20"/>
          <w:szCs w:val="20"/>
          <w:lang w:eastAsia="tr-TR"/>
        </w:rPr>
        <w:t>Düşük ücretli çalışanların oranı ücretli çalışanlar için hesaplanmışken, kayıt dışı istihdam oranları tüm çalışanlar için hesaplanmıştır. Bunun sebebi, TÜİK’in 18 sektör için kayıt dışı istihdam verilerinde ücretli ve ücret dışı kesim ayrımının bulunmayışıdır.</w:t>
      </w:r>
      <w:r w:rsidR="00E00E7D">
        <w:rPr>
          <w:sz w:val="20"/>
          <w:szCs w:val="20"/>
          <w:lang w:eastAsia="tr-TR"/>
        </w:rPr>
        <w:t xml:space="preserve"> </w:t>
      </w:r>
    </w:p>
    <w:p w14:paraId="7AB4F22E" w14:textId="4630123B" w:rsidR="008342DA" w:rsidRPr="00AA0CDF" w:rsidRDefault="008342DA" w:rsidP="007F69C8">
      <w:pPr>
        <w:suppressAutoHyphens w:val="0"/>
        <w:autoSpaceDE w:val="0"/>
        <w:autoSpaceDN w:val="0"/>
        <w:adjustRightInd w:val="0"/>
        <w:spacing w:after="0" w:line="240" w:lineRule="auto"/>
        <w:rPr>
          <w:sz w:val="20"/>
          <w:szCs w:val="20"/>
          <w:lang w:eastAsia="tr-TR"/>
        </w:rPr>
        <w:sectPr w:rsidR="008342DA" w:rsidRPr="00AA0CDF" w:rsidSect="00E70CEB">
          <w:footerReference w:type="default" r:id="rId10"/>
          <w:pgSz w:w="11906" w:h="16838"/>
          <w:pgMar w:top="1418" w:right="1418" w:bottom="1418" w:left="1418" w:header="709" w:footer="709" w:gutter="0"/>
          <w:cols w:space="708"/>
          <w:docGrid w:linePitch="360"/>
        </w:sectPr>
      </w:pPr>
    </w:p>
    <w:p w14:paraId="0ABBD9DB" w14:textId="2C02941A" w:rsidR="008342DA" w:rsidRPr="00E70CEB" w:rsidRDefault="00F62ED3" w:rsidP="008342DA">
      <w:pPr>
        <w:pStyle w:val="NoSpacing"/>
        <w:jc w:val="both"/>
        <w:rPr>
          <w:rFonts w:ascii="Palatino Linotype" w:eastAsiaTheme="minorHAnsi" w:hAnsi="Palatino Linotype"/>
          <w:b/>
          <w:sz w:val="22"/>
          <w:szCs w:val="22"/>
          <w:lang w:eastAsia="en-US"/>
        </w:rPr>
      </w:pPr>
      <w:r>
        <w:rPr>
          <w:rFonts w:ascii="Palatino Linotype" w:eastAsiaTheme="minorHAnsi" w:hAnsi="Palatino Linotype"/>
          <w:b/>
          <w:noProof/>
          <w:sz w:val="22"/>
          <w:szCs w:val="22"/>
          <w:lang w:eastAsia="en-US"/>
        </w:rPr>
        <w:lastRenderedPageBreak/>
        <w:drawing>
          <wp:anchor distT="0" distB="0" distL="114300" distR="114300" simplePos="0" relativeHeight="251659776" behindDoc="0" locked="0" layoutInCell="1" allowOverlap="1" wp14:anchorId="6BEF44F9" wp14:editId="31C6ED21">
            <wp:simplePos x="0" y="0"/>
            <wp:positionH relativeFrom="column">
              <wp:posOffset>-605155</wp:posOffset>
            </wp:positionH>
            <wp:positionV relativeFrom="paragraph">
              <wp:posOffset>603885</wp:posOffset>
            </wp:positionV>
            <wp:extent cx="6951980" cy="6238875"/>
            <wp:effectExtent l="0" t="0" r="1270" b="9525"/>
            <wp:wrapThrough wrapText="bothSides">
              <wp:wrapPolygon edited="0">
                <wp:start x="0" y="0"/>
                <wp:lineTo x="0" y="10487"/>
                <wp:lineTo x="5209" y="10553"/>
                <wp:lineTo x="5209" y="21567"/>
                <wp:lineTo x="16691" y="21567"/>
                <wp:lineTo x="16691" y="10553"/>
                <wp:lineTo x="21545" y="10421"/>
                <wp:lineTo x="21545" y="0"/>
                <wp:lineTo x="0" y="0"/>
              </wp:wrapPolygon>
            </wp:wrapThrough>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1980" cy="6238875"/>
                    </a:xfrm>
                    <a:prstGeom prst="rect">
                      <a:avLst/>
                    </a:prstGeom>
                    <a:noFill/>
                  </pic:spPr>
                </pic:pic>
              </a:graphicData>
            </a:graphic>
            <wp14:sizeRelH relativeFrom="margin">
              <wp14:pctWidth>0</wp14:pctWidth>
            </wp14:sizeRelH>
            <wp14:sizeRelV relativeFrom="margin">
              <wp14:pctHeight>0</wp14:pctHeight>
            </wp14:sizeRelV>
          </wp:anchor>
        </w:drawing>
      </w:r>
      <w:r w:rsidR="008342DA" w:rsidRPr="00E70CEB">
        <w:rPr>
          <w:noProof/>
          <w:lang w:eastAsia="tr-TR"/>
        </w:rPr>
        <mc:AlternateContent>
          <mc:Choice Requires="wps">
            <w:drawing>
              <wp:inline distT="0" distB="0" distL="0" distR="0" wp14:anchorId="15227ACC" wp14:editId="48BA500F">
                <wp:extent cx="5971430" cy="445273"/>
                <wp:effectExtent l="0" t="0" r="0" b="0"/>
                <wp:docPr id="1"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1430" cy="445273"/>
                        </a:xfrm>
                        <a:prstGeom prst="rect">
                          <a:avLst/>
                        </a:prstGeom>
                        <a:solidFill>
                          <a:prstClr val="white"/>
                        </a:solidFill>
                        <a:ln>
                          <a:noFill/>
                        </a:ln>
                      </wps:spPr>
                      <wps:txbx>
                        <w:txbxContent>
                          <w:p w14:paraId="596DEE3B" w14:textId="56A53225" w:rsidR="00246C2F" w:rsidRPr="00AF35FE" w:rsidRDefault="00246C2F" w:rsidP="008342DA">
                            <w:pPr>
                              <w:pStyle w:val="Caption"/>
                              <w:rPr>
                                <w:rFonts w:eastAsiaTheme="minorHAnsi"/>
                                <w:noProof/>
                                <w:sz w:val="22"/>
                                <w:lang w:eastAsia="en-US"/>
                              </w:rPr>
                            </w:pPr>
                            <w:r w:rsidRPr="00AF35FE">
                              <w:rPr>
                                <w:sz w:val="22"/>
                              </w:rPr>
                              <w:t xml:space="preserve">Şekil </w:t>
                            </w:r>
                            <w:r>
                              <w:rPr>
                                <w:sz w:val="22"/>
                              </w:rPr>
                              <w:t>3</w:t>
                            </w:r>
                            <w:r w:rsidRPr="00AF35FE">
                              <w:rPr>
                                <w:sz w:val="22"/>
                              </w:rPr>
                              <w:t xml:space="preserve">: </w:t>
                            </w:r>
                            <w:r>
                              <w:rPr>
                                <w:sz w:val="22"/>
                              </w:rPr>
                              <w:t xml:space="preserve">Düşük ücretlilerin </w:t>
                            </w:r>
                            <w:r w:rsidRPr="00AF35FE">
                              <w:rPr>
                                <w:sz w:val="22"/>
                              </w:rPr>
                              <w:t xml:space="preserve">oranı </w:t>
                            </w:r>
                            <w:r w:rsidRPr="00C44E5A">
                              <w:rPr>
                                <w:sz w:val="22"/>
                              </w:rPr>
                              <w:t>ile toplam</w:t>
                            </w:r>
                            <w:r>
                              <w:rPr>
                                <w:sz w:val="22"/>
                              </w:rPr>
                              <w:t xml:space="preserve"> </w:t>
                            </w:r>
                            <w:r w:rsidRPr="00AF35FE">
                              <w:rPr>
                                <w:sz w:val="22"/>
                              </w:rPr>
                              <w:t>kayıt dışı istihdamdaki değişim ilişkisi 2016-2017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15227ACC" id="Metin Kutusu 29" o:spid="_x0000_s1029" type="#_x0000_t202" style="width:470.2pt;height:3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" stroked="f">
                <v:textbox inset="0,0,0,0">
                  <w:txbxContent>
                    <w:p w14:paraId="596DEE3B" w14:textId="56A53225" w:rsidR="00246C2F" w:rsidRPr="00AF35FE" w:rsidRDefault="00246C2F" w:rsidP="008342DA">
                      <w:pPr>
                        <w:pStyle w:val="Caption"/>
                        <w:rPr>
                          <w:rFonts w:eastAsiaTheme="minorHAnsi"/>
                          <w:noProof/>
                          <w:sz w:val="22"/>
                          <w:lang w:eastAsia="en-US"/>
                        </w:rPr>
                      </w:pPr>
                      <w:r w:rsidRPr="00AF35FE">
                        <w:rPr>
                          <w:sz w:val="22"/>
                        </w:rPr>
                        <w:t xml:space="preserve">Şekil </w:t>
                      </w:r>
                      <w:r>
                        <w:rPr>
                          <w:sz w:val="22"/>
                        </w:rPr>
                        <w:t>3</w:t>
                      </w:r>
                      <w:r w:rsidRPr="00AF35FE">
                        <w:rPr>
                          <w:sz w:val="22"/>
                        </w:rPr>
                        <w:t xml:space="preserve">: </w:t>
                      </w:r>
                      <w:r>
                        <w:rPr>
                          <w:sz w:val="22"/>
                        </w:rPr>
                        <w:t xml:space="preserve">Düşük ücretlilerin </w:t>
                      </w:r>
                      <w:r w:rsidRPr="00AF35FE">
                        <w:rPr>
                          <w:sz w:val="22"/>
                        </w:rPr>
                        <w:t xml:space="preserve">oranı </w:t>
                      </w:r>
                      <w:r w:rsidRPr="00C44E5A">
                        <w:rPr>
                          <w:sz w:val="22"/>
                        </w:rPr>
                        <w:t>ile toplam</w:t>
                      </w:r>
                      <w:r>
                        <w:rPr>
                          <w:sz w:val="22"/>
                        </w:rPr>
                        <w:t xml:space="preserve"> </w:t>
                      </w:r>
                      <w:r w:rsidRPr="00AF35FE">
                        <w:rPr>
                          <w:sz w:val="22"/>
                        </w:rPr>
                        <w:t>kayıt dışı istihdamdaki değişim ilişkisi 2016-2017</w:t>
                      </w:r>
                    </w:p>
                  </w:txbxContent>
                </v:textbox>
                <w10:anchorlock/>
              </v:shape>
            </w:pict>
          </mc:Fallback>
        </mc:AlternateContent>
      </w:r>
    </w:p>
    <w:p w14:paraId="63A165DF" w14:textId="6CA90A71" w:rsidR="008342DA" w:rsidRPr="00E70CEB" w:rsidRDefault="008342DA" w:rsidP="008342DA">
      <w:pPr>
        <w:pStyle w:val="NoSpacing"/>
        <w:jc w:val="both"/>
        <w:rPr>
          <w:rFonts w:ascii="Palatino Linotype" w:eastAsiaTheme="minorHAnsi" w:hAnsi="Palatino Linotype"/>
          <w:b/>
          <w:sz w:val="22"/>
          <w:szCs w:val="22"/>
          <w:lang w:eastAsia="en-US"/>
        </w:rPr>
      </w:pPr>
    </w:p>
    <w:p w14:paraId="41CE0882" w14:textId="12E58AEC" w:rsidR="008342DA" w:rsidRPr="00E70CEB" w:rsidRDefault="008342DA" w:rsidP="008342DA">
      <w:pPr>
        <w:rPr>
          <w:rFonts w:eastAsiaTheme="minorHAnsi"/>
          <w:lang w:eastAsia="en-US"/>
        </w:rPr>
      </w:pPr>
    </w:p>
    <w:p w14:paraId="18293DAB" w14:textId="1CC5591E" w:rsidR="008342DA" w:rsidRPr="00E70CEB" w:rsidRDefault="008342DA" w:rsidP="008342DA">
      <w:pPr>
        <w:rPr>
          <w:rFonts w:eastAsiaTheme="minorHAnsi"/>
          <w:lang w:eastAsia="en-US"/>
        </w:rPr>
      </w:pPr>
    </w:p>
    <w:p w14:paraId="012F85D1" w14:textId="5686D920" w:rsidR="008342DA" w:rsidRPr="00E70CEB" w:rsidRDefault="008342DA" w:rsidP="008342DA">
      <w:pPr>
        <w:jc w:val="center"/>
        <w:rPr>
          <w:rFonts w:eastAsiaTheme="minorHAnsi"/>
          <w:lang w:eastAsia="en-US"/>
        </w:rPr>
      </w:pPr>
    </w:p>
    <w:p w14:paraId="172D5B59" w14:textId="7BA5BD24" w:rsidR="008342DA" w:rsidRPr="00E70CEB" w:rsidRDefault="008342DA" w:rsidP="008342DA">
      <w:pPr>
        <w:rPr>
          <w:rFonts w:eastAsiaTheme="minorHAnsi"/>
          <w:lang w:eastAsia="en-US"/>
        </w:rPr>
      </w:pPr>
    </w:p>
    <w:p w14:paraId="4216368E" w14:textId="59BD2C4A" w:rsidR="008342DA" w:rsidRPr="00E70CEB" w:rsidRDefault="008342DA" w:rsidP="008342DA">
      <w:pPr>
        <w:rPr>
          <w:rFonts w:eastAsiaTheme="minorHAnsi"/>
          <w:lang w:eastAsia="en-US"/>
        </w:rPr>
      </w:pPr>
    </w:p>
    <w:p w14:paraId="6937C707" w14:textId="77777777" w:rsidR="008342DA" w:rsidRPr="00E70CEB" w:rsidRDefault="008342DA" w:rsidP="008342DA">
      <w:pPr>
        <w:rPr>
          <w:rFonts w:eastAsiaTheme="minorHAnsi"/>
          <w:lang w:eastAsia="en-US"/>
        </w:rPr>
      </w:pPr>
    </w:p>
    <w:p w14:paraId="1BDB4D2F" w14:textId="77777777" w:rsidR="008342DA" w:rsidRPr="00E70CEB" w:rsidRDefault="008342DA" w:rsidP="008342DA">
      <w:pPr>
        <w:rPr>
          <w:rFonts w:eastAsiaTheme="minorHAnsi"/>
          <w:lang w:eastAsia="en-US"/>
        </w:rPr>
      </w:pPr>
    </w:p>
    <w:p w14:paraId="472CBE4B" w14:textId="77777777" w:rsidR="008342DA" w:rsidRPr="00E70CEB" w:rsidRDefault="008342DA" w:rsidP="008342DA">
      <w:pPr>
        <w:suppressAutoHyphens w:val="0"/>
        <w:autoSpaceDE w:val="0"/>
        <w:autoSpaceDN w:val="0"/>
        <w:adjustRightInd w:val="0"/>
        <w:spacing w:after="0" w:line="240" w:lineRule="auto"/>
        <w:rPr>
          <w:b/>
          <w:sz w:val="20"/>
          <w:szCs w:val="18"/>
          <w:lang w:eastAsia="tr-TR"/>
        </w:rPr>
      </w:pPr>
    </w:p>
    <w:p w14:paraId="73C2DDD1" w14:textId="77777777" w:rsidR="004C3822" w:rsidRDefault="004C3822" w:rsidP="00E00E7D">
      <w:pPr>
        <w:suppressAutoHyphens w:val="0"/>
        <w:autoSpaceDE w:val="0"/>
        <w:autoSpaceDN w:val="0"/>
        <w:adjustRightInd w:val="0"/>
        <w:spacing w:after="0" w:line="240" w:lineRule="auto"/>
        <w:rPr>
          <w:b/>
          <w:sz w:val="20"/>
          <w:szCs w:val="18"/>
          <w:lang w:eastAsia="tr-TR"/>
        </w:rPr>
      </w:pPr>
    </w:p>
    <w:p w14:paraId="55953B50" w14:textId="77777777" w:rsidR="004C3822" w:rsidRDefault="004C3822" w:rsidP="00E00E7D">
      <w:pPr>
        <w:suppressAutoHyphens w:val="0"/>
        <w:autoSpaceDE w:val="0"/>
        <w:autoSpaceDN w:val="0"/>
        <w:adjustRightInd w:val="0"/>
        <w:spacing w:after="0" w:line="240" w:lineRule="auto"/>
        <w:rPr>
          <w:b/>
          <w:sz w:val="20"/>
          <w:szCs w:val="18"/>
          <w:lang w:eastAsia="tr-TR"/>
        </w:rPr>
      </w:pPr>
    </w:p>
    <w:p w14:paraId="7D0FA4F5" w14:textId="77777777" w:rsidR="004C3822" w:rsidRDefault="004C3822" w:rsidP="00E00E7D">
      <w:pPr>
        <w:suppressAutoHyphens w:val="0"/>
        <w:autoSpaceDE w:val="0"/>
        <w:autoSpaceDN w:val="0"/>
        <w:adjustRightInd w:val="0"/>
        <w:spacing w:after="0" w:line="240" w:lineRule="auto"/>
        <w:rPr>
          <w:b/>
          <w:sz w:val="20"/>
          <w:szCs w:val="18"/>
          <w:lang w:eastAsia="tr-TR"/>
        </w:rPr>
      </w:pPr>
    </w:p>
    <w:p w14:paraId="29BB5B74" w14:textId="77777777" w:rsidR="004C3822" w:rsidRDefault="004C3822" w:rsidP="00E00E7D">
      <w:pPr>
        <w:suppressAutoHyphens w:val="0"/>
        <w:autoSpaceDE w:val="0"/>
        <w:autoSpaceDN w:val="0"/>
        <w:adjustRightInd w:val="0"/>
        <w:spacing w:after="0" w:line="240" w:lineRule="auto"/>
        <w:rPr>
          <w:b/>
          <w:sz w:val="20"/>
          <w:szCs w:val="18"/>
          <w:lang w:eastAsia="tr-TR"/>
        </w:rPr>
      </w:pPr>
    </w:p>
    <w:p w14:paraId="7BB29C10" w14:textId="77777777" w:rsidR="008E21FB" w:rsidRDefault="008E21FB" w:rsidP="00E00E7D">
      <w:pPr>
        <w:suppressAutoHyphens w:val="0"/>
        <w:autoSpaceDE w:val="0"/>
        <w:autoSpaceDN w:val="0"/>
        <w:adjustRightInd w:val="0"/>
        <w:spacing w:after="0" w:line="240" w:lineRule="auto"/>
        <w:rPr>
          <w:b/>
          <w:sz w:val="20"/>
          <w:szCs w:val="18"/>
          <w:lang w:eastAsia="tr-TR"/>
        </w:rPr>
      </w:pPr>
    </w:p>
    <w:p w14:paraId="11871CFB" w14:textId="59A7213A" w:rsidR="00E00E7D" w:rsidRPr="00E70CEB" w:rsidRDefault="008342DA" w:rsidP="00E00E7D">
      <w:pPr>
        <w:suppressAutoHyphens w:val="0"/>
        <w:autoSpaceDE w:val="0"/>
        <w:autoSpaceDN w:val="0"/>
        <w:adjustRightInd w:val="0"/>
        <w:spacing w:after="0" w:line="240" w:lineRule="auto"/>
        <w:rPr>
          <w:sz w:val="20"/>
          <w:szCs w:val="20"/>
          <w:lang w:eastAsia="tr-TR"/>
        </w:rPr>
      </w:pPr>
      <w:r w:rsidRPr="00E70CEB">
        <w:rPr>
          <w:b/>
          <w:sz w:val="20"/>
          <w:szCs w:val="18"/>
          <w:lang w:eastAsia="tr-TR"/>
        </w:rPr>
        <w:t>Kaynak</w:t>
      </w:r>
      <w:r w:rsidRPr="00E70CEB">
        <w:rPr>
          <w:sz w:val="20"/>
          <w:szCs w:val="18"/>
          <w:lang w:eastAsia="tr-TR"/>
        </w:rPr>
        <w:t xml:space="preserve">: </w:t>
      </w:r>
      <w:r w:rsidRPr="008A2DAF">
        <w:rPr>
          <w:sz w:val="20"/>
          <w:szCs w:val="18"/>
          <w:lang w:eastAsia="tr-TR"/>
        </w:rPr>
        <w:t>HİA 201</w:t>
      </w:r>
      <w:r w:rsidR="000065FB" w:rsidRPr="008A2DAF">
        <w:rPr>
          <w:sz w:val="20"/>
          <w:szCs w:val="18"/>
          <w:lang w:eastAsia="tr-TR"/>
        </w:rPr>
        <w:t>6</w:t>
      </w:r>
      <w:r w:rsidRPr="008A2DAF">
        <w:rPr>
          <w:sz w:val="20"/>
          <w:szCs w:val="18"/>
          <w:lang w:eastAsia="tr-TR"/>
        </w:rPr>
        <w:t xml:space="preserve"> mikro veri ve İşgücü İstatistikleri (http://www.tuik.gov.tr, Erişim tarihi 28.12.2017.) Harflerin karşılık geldiği sektörler için bakınız Ek</w:t>
      </w:r>
      <w:r w:rsidR="00C22019" w:rsidRPr="008A2DAF">
        <w:rPr>
          <w:sz w:val="20"/>
          <w:szCs w:val="18"/>
          <w:lang w:eastAsia="tr-TR"/>
        </w:rPr>
        <w:t xml:space="preserve"> Tablo 2</w:t>
      </w:r>
      <w:r w:rsidRPr="008A2DAF">
        <w:rPr>
          <w:sz w:val="20"/>
          <w:szCs w:val="18"/>
          <w:lang w:eastAsia="tr-TR"/>
        </w:rPr>
        <w:t xml:space="preserve">. </w:t>
      </w:r>
      <w:r w:rsidR="00204BCE" w:rsidRPr="008A2DAF">
        <w:rPr>
          <w:b/>
          <w:sz w:val="20"/>
          <w:szCs w:val="20"/>
          <w:lang w:eastAsia="tr-TR"/>
        </w:rPr>
        <w:t>Not 1:</w:t>
      </w:r>
      <w:r w:rsidR="00204BCE" w:rsidRPr="008A2DAF">
        <w:rPr>
          <w:sz w:val="20"/>
          <w:szCs w:val="20"/>
          <w:lang w:eastAsia="tr-TR"/>
        </w:rPr>
        <w:t xml:space="preserve"> Düşük ücretli çalışanların oranı hesaplanırken bir sonraki yılın enflasyonla düzeltilmiş asgari ücret seviyesi sınır değer olarak kullanılmıştır (bkz. Veri ve Yöntem bölümü ve Dipnot 2). </w:t>
      </w:r>
      <w:r w:rsidR="007F69C8" w:rsidRPr="008A2DAF">
        <w:rPr>
          <w:sz w:val="20"/>
          <w:szCs w:val="20"/>
          <w:lang w:eastAsia="tr-TR"/>
        </w:rPr>
        <w:t xml:space="preserve"> </w:t>
      </w:r>
      <w:r w:rsidR="007F69C8" w:rsidRPr="008A2DAF">
        <w:rPr>
          <w:b/>
          <w:sz w:val="20"/>
          <w:szCs w:val="20"/>
          <w:lang w:eastAsia="tr-TR"/>
        </w:rPr>
        <w:t xml:space="preserve">Not 2: </w:t>
      </w:r>
      <w:r w:rsidR="00E00E7D" w:rsidRPr="008A2DAF">
        <w:rPr>
          <w:sz w:val="20"/>
          <w:szCs w:val="20"/>
          <w:lang w:eastAsia="tr-TR"/>
        </w:rPr>
        <w:t>Düşük ücretli çalışanların oranı ücretli çalışanlar için hesaplanmışken, kayıt dışı istihdam oranları tüm çalışanlar için hesaplanmıştır. Bunun sebebi, TÜİK’in 18 sektör için kayıt dışı istihdam verilerinde ücretli ve ücret dışı kesim ayrımının bulunmayışıdır.</w:t>
      </w:r>
      <w:r w:rsidR="00E00E7D">
        <w:rPr>
          <w:sz w:val="20"/>
          <w:szCs w:val="20"/>
          <w:lang w:eastAsia="tr-TR"/>
        </w:rPr>
        <w:t xml:space="preserve"> </w:t>
      </w:r>
    </w:p>
    <w:p w14:paraId="1A8D2242" w14:textId="50B02BA4" w:rsidR="008342DA" w:rsidRPr="00E70CEB" w:rsidRDefault="008342DA" w:rsidP="007F69C8">
      <w:pPr>
        <w:suppressAutoHyphens w:val="0"/>
        <w:autoSpaceDE w:val="0"/>
        <w:autoSpaceDN w:val="0"/>
        <w:adjustRightInd w:val="0"/>
        <w:spacing w:after="0" w:line="240" w:lineRule="auto"/>
        <w:rPr>
          <w:rFonts w:eastAsiaTheme="minorHAnsi"/>
          <w:lang w:eastAsia="en-US"/>
        </w:rPr>
        <w:sectPr w:rsidR="008342DA" w:rsidRPr="00E70CEB" w:rsidSect="00E70CEB">
          <w:pgSz w:w="11906" w:h="16838"/>
          <w:pgMar w:top="1418" w:right="1418" w:bottom="1418" w:left="1418" w:header="709" w:footer="709" w:gutter="0"/>
          <w:cols w:space="708"/>
          <w:docGrid w:linePitch="360"/>
        </w:sectPr>
      </w:pPr>
    </w:p>
    <w:p w14:paraId="7A083914" w14:textId="65C745BD" w:rsidR="00064354" w:rsidRPr="00E56500" w:rsidRDefault="00064354" w:rsidP="008342DA">
      <w:pPr>
        <w:pStyle w:val="Caption"/>
        <w:keepNext/>
        <w:rPr>
          <w:color w:val="FF0000"/>
          <w:sz w:val="22"/>
          <w:szCs w:val="22"/>
        </w:rPr>
      </w:pPr>
      <w:r>
        <w:rPr>
          <w:sz w:val="22"/>
          <w:szCs w:val="22"/>
        </w:rPr>
        <w:lastRenderedPageBreak/>
        <w:t>Ek Şekil 1: Sektörlere göre düşük ücretli çalışan oranı ile kayıt dışı istihdam oranı arasındaki ilişki (2014)</w:t>
      </w:r>
      <w:r w:rsidR="00E56500">
        <w:rPr>
          <w:sz w:val="22"/>
          <w:szCs w:val="22"/>
        </w:rPr>
        <w:t xml:space="preserve"> </w:t>
      </w:r>
    </w:p>
    <w:p w14:paraId="5407B679" w14:textId="5619BAB3" w:rsidR="00064354" w:rsidRDefault="00C97DA2" w:rsidP="00064354">
      <w:r>
        <w:rPr>
          <w:noProof/>
        </w:rPr>
        <w:drawing>
          <wp:inline distT="0" distB="0" distL="0" distR="0" wp14:anchorId="341C36ED" wp14:editId="64AD71A7">
            <wp:extent cx="5917996" cy="3547872"/>
            <wp:effectExtent l="0" t="0" r="6985" b="0"/>
            <wp:docPr id="4" name="Grafik 4">
              <a:extLst xmlns:a="http://schemas.openxmlformats.org/drawingml/2006/main">
                <a:ext uri="{FF2B5EF4-FFF2-40B4-BE49-F238E27FC236}">
                  <a16:creationId xmlns:a16="http://schemas.microsoft.com/office/drawing/2014/main" id="{A3470FEF-36FD-46C1-9E93-C8409F1AC7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CDB56A3" w14:textId="1167ADE3" w:rsidR="00064354" w:rsidRPr="002F36AF" w:rsidRDefault="002F36AF" w:rsidP="002F36AF">
      <w:pPr>
        <w:pStyle w:val="Caption"/>
        <w:keepNext/>
        <w:rPr>
          <w:b w:val="0"/>
          <w:sz w:val="20"/>
          <w:lang w:eastAsia="tr-TR"/>
        </w:rPr>
      </w:pPr>
      <w:r w:rsidRPr="008F4BA5">
        <w:rPr>
          <w:sz w:val="20"/>
          <w:lang w:eastAsia="tr-TR"/>
        </w:rPr>
        <w:t>Kaynak:</w:t>
      </w:r>
      <w:r w:rsidRPr="008F4BA5">
        <w:rPr>
          <w:b w:val="0"/>
          <w:sz w:val="20"/>
          <w:lang w:eastAsia="tr-TR"/>
        </w:rPr>
        <w:t xml:space="preserve"> TUİK</w:t>
      </w:r>
      <w:r w:rsidRPr="008A2DAF">
        <w:rPr>
          <w:b w:val="0"/>
          <w:sz w:val="20"/>
          <w:lang w:eastAsia="tr-TR"/>
        </w:rPr>
        <w:t>, HİA 2014 mikro veri ve İşgücü İstatistikleri (http://www.tuik.gov.tr, Erişim tarihi 06.11.2017)</w:t>
      </w:r>
      <w:r w:rsidR="00644F46" w:rsidRPr="008A2DAF">
        <w:rPr>
          <w:b w:val="0"/>
          <w:sz w:val="20"/>
          <w:lang w:eastAsia="tr-TR"/>
        </w:rPr>
        <w:t xml:space="preserve">. </w:t>
      </w:r>
      <w:r w:rsidR="00261A0E" w:rsidRPr="008A2DAF">
        <w:rPr>
          <w:sz w:val="20"/>
          <w:lang w:eastAsia="tr-TR"/>
        </w:rPr>
        <w:t>Not 1:</w:t>
      </w:r>
      <w:r w:rsidR="00644F46" w:rsidRPr="008A2DAF">
        <w:rPr>
          <w:b w:val="0"/>
          <w:sz w:val="20"/>
          <w:lang w:eastAsia="tr-TR"/>
        </w:rPr>
        <w:t xml:space="preserve"> Düşük ücretli çalışanların oranı hesaplanırken bir sonraki yılın enflasyonla düzeltilmiş asgari ücret seviyesi sınır değer olarak kullanılmıştır </w:t>
      </w:r>
      <w:r w:rsidR="00261A0E" w:rsidRPr="008A2DAF">
        <w:rPr>
          <w:b w:val="0"/>
          <w:sz w:val="20"/>
          <w:lang w:eastAsia="tr-TR"/>
        </w:rPr>
        <w:t xml:space="preserve">(bkz. Veri ve Yöntem bölümü ve Dipnot 2). </w:t>
      </w:r>
      <w:r w:rsidR="00064354" w:rsidRPr="008A2DAF">
        <w:rPr>
          <w:sz w:val="20"/>
          <w:lang w:eastAsia="tr-TR"/>
        </w:rPr>
        <w:t>Not</w:t>
      </w:r>
      <w:r w:rsidRPr="008A2DAF">
        <w:rPr>
          <w:sz w:val="20"/>
          <w:lang w:eastAsia="tr-TR"/>
        </w:rPr>
        <w:t xml:space="preserve"> 2</w:t>
      </w:r>
      <w:r w:rsidR="00064354" w:rsidRPr="008A2DAF">
        <w:rPr>
          <w:sz w:val="20"/>
          <w:lang w:eastAsia="tr-TR"/>
        </w:rPr>
        <w:t>:</w:t>
      </w:r>
      <w:r w:rsidR="00064354" w:rsidRPr="008A2DAF">
        <w:rPr>
          <w:b w:val="0"/>
          <w:sz w:val="20"/>
          <w:lang w:eastAsia="tr-TR"/>
        </w:rPr>
        <w:t xml:space="preserve"> </w:t>
      </w:r>
      <w:r w:rsidR="004B5D77" w:rsidRPr="008A2DAF">
        <w:rPr>
          <w:b w:val="0"/>
          <w:sz w:val="20"/>
          <w:lang w:eastAsia="tr-TR"/>
        </w:rPr>
        <w:t>Tablo 1 ve Ek Tablo 1 kullanılarak oluşturulmuştur.</w:t>
      </w:r>
      <w:r w:rsidR="00644EB2" w:rsidRPr="008A2DAF">
        <w:rPr>
          <w:b w:val="0"/>
          <w:sz w:val="20"/>
          <w:lang w:eastAsia="tr-TR"/>
        </w:rPr>
        <w:t xml:space="preserve"> </w:t>
      </w:r>
      <w:r w:rsidR="00644EB2" w:rsidRPr="008A2DAF">
        <w:rPr>
          <w:sz w:val="20"/>
          <w:lang w:eastAsia="tr-TR"/>
        </w:rPr>
        <w:t xml:space="preserve">Not </w:t>
      </w:r>
      <w:r w:rsidR="00644F46" w:rsidRPr="008A2DAF">
        <w:rPr>
          <w:sz w:val="20"/>
          <w:lang w:eastAsia="tr-TR"/>
        </w:rPr>
        <w:t>3</w:t>
      </w:r>
      <w:r w:rsidR="00644EB2" w:rsidRPr="008A2DAF">
        <w:rPr>
          <w:sz w:val="20"/>
          <w:lang w:eastAsia="tr-TR"/>
        </w:rPr>
        <w:t>:</w:t>
      </w:r>
      <w:r w:rsidR="00644EB2" w:rsidRPr="008A2DAF">
        <w:rPr>
          <w:b w:val="0"/>
          <w:sz w:val="20"/>
          <w:lang w:eastAsia="tr-TR"/>
        </w:rPr>
        <w:t xml:space="preserve"> 2015 ve 2016 yılı verileri yine çok benzer sonuçlar vermektedir.</w:t>
      </w:r>
    </w:p>
    <w:p w14:paraId="3FB47464" w14:textId="77777777" w:rsidR="00373358" w:rsidRDefault="00373358" w:rsidP="008342DA">
      <w:pPr>
        <w:pStyle w:val="Caption"/>
        <w:keepNext/>
        <w:rPr>
          <w:sz w:val="22"/>
          <w:szCs w:val="22"/>
        </w:rPr>
      </w:pPr>
    </w:p>
    <w:p w14:paraId="785840BF" w14:textId="77777777" w:rsidR="00373358" w:rsidRDefault="00373358" w:rsidP="008342DA">
      <w:pPr>
        <w:pStyle w:val="Caption"/>
        <w:keepNext/>
        <w:rPr>
          <w:sz w:val="22"/>
          <w:szCs w:val="22"/>
        </w:rPr>
      </w:pPr>
    </w:p>
    <w:p w14:paraId="7AC6A782" w14:textId="77777777" w:rsidR="00373358" w:rsidRDefault="00373358" w:rsidP="008342DA">
      <w:pPr>
        <w:pStyle w:val="Caption"/>
        <w:keepNext/>
        <w:rPr>
          <w:sz w:val="22"/>
          <w:szCs w:val="22"/>
        </w:rPr>
      </w:pPr>
    </w:p>
    <w:p w14:paraId="2DE74CF1" w14:textId="77777777" w:rsidR="00373358" w:rsidRDefault="00373358" w:rsidP="008342DA">
      <w:pPr>
        <w:pStyle w:val="Caption"/>
        <w:keepNext/>
        <w:rPr>
          <w:sz w:val="22"/>
          <w:szCs w:val="22"/>
        </w:rPr>
      </w:pPr>
    </w:p>
    <w:p w14:paraId="32FD5FE2" w14:textId="77777777" w:rsidR="00373358" w:rsidRDefault="00373358" w:rsidP="008342DA">
      <w:pPr>
        <w:pStyle w:val="Caption"/>
        <w:keepNext/>
        <w:rPr>
          <w:sz w:val="22"/>
          <w:szCs w:val="22"/>
        </w:rPr>
      </w:pPr>
    </w:p>
    <w:p w14:paraId="58EF1C06" w14:textId="77777777" w:rsidR="00373358" w:rsidRDefault="00373358" w:rsidP="008342DA">
      <w:pPr>
        <w:pStyle w:val="Caption"/>
        <w:keepNext/>
        <w:rPr>
          <w:sz w:val="22"/>
          <w:szCs w:val="22"/>
        </w:rPr>
      </w:pPr>
    </w:p>
    <w:p w14:paraId="6DC6C7AB" w14:textId="77777777" w:rsidR="00373358" w:rsidRDefault="00373358" w:rsidP="008342DA">
      <w:pPr>
        <w:pStyle w:val="Caption"/>
        <w:keepNext/>
        <w:rPr>
          <w:sz w:val="22"/>
          <w:szCs w:val="22"/>
        </w:rPr>
      </w:pPr>
    </w:p>
    <w:p w14:paraId="41B7D268" w14:textId="31146278" w:rsidR="00373358" w:rsidRDefault="00373358" w:rsidP="008342DA">
      <w:pPr>
        <w:pStyle w:val="Caption"/>
        <w:keepNext/>
        <w:rPr>
          <w:sz w:val="22"/>
          <w:szCs w:val="22"/>
        </w:rPr>
      </w:pPr>
    </w:p>
    <w:p w14:paraId="76126E3B" w14:textId="77777777" w:rsidR="00373358" w:rsidRPr="00373358" w:rsidRDefault="00373358" w:rsidP="00373358"/>
    <w:p w14:paraId="3367FDBE" w14:textId="11C8E0B4" w:rsidR="008342DA" w:rsidRDefault="008342DA" w:rsidP="008342DA">
      <w:pPr>
        <w:pStyle w:val="Caption"/>
        <w:keepNext/>
        <w:rPr>
          <w:sz w:val="22"/>
          <w:szCs w:val="22"/>
        </w:rPr>
      </w:pPr>
      <w:r w:rsidRPr="00E70CEB">
        <w:rPr>
          <w:sz w:val="22"/>
          <w:szCs w:val="22"/>
        </w:rPr>
        <w:lastRenderedPageBreak/>
        <w:t xml:space="preserve">Ek </w:t>
      </w:r>
      <w:r w:rsidR="00922C69">
        <w:rPr>
          <w:sz w:val="22"/>
          <w:szCs w:val="22"/>
        </w:rPr>
        <w:t xml:space="preserve">Tablo </w:t>
      </w:r>
      <w:r w:rsidRPr="00E70CEB">
        <w:rPr>
          <w:sz w:val="22"/>
          <w:szCs w:val="22"/>
        </w:rPr>
        <w:fldChar w:fldCharType="begin"/>
      </w:r>
      <w:r w:rsidRPr="00E70CEB">
        <w:rPr>
          <w:sz w:val="22"/>
          <w:szCs w:val="22"/>
        </w:rPr>
        <w:instrText xml:space="preserve"> SEQ Ek \* ARABIC </w:instrText>
      </w:r>
      <w:r w:rsidRPr="00E70CEB">
        <w:rPr>
          <w:sz w:val="22"/>
          <w:szCs w:val="22"/>
        </w:rPr>
        <w:fldChar w:fldCharType="separate"/>
      </w:r>
      <w:r w:rsidRPr="00E70CEB">
        <w:rPr>
          <w:sz w:val="22"/>
          <w:szCs w:val="22"/>
        </w:rPr>
        <w:t>1</w:t>
      </w:r>
      <w:r w:rsidRPr="00E70CEB">
        <w:rPr>
          <w:sz w:val="22"/>
          <w:szCs w:val="22"/>
        </w:rPr>
        <w:fldChar w:fldCharType="end"/>
      </w:r>
      <w:r w:rsidRPr="00E70CEB">
        <w:rPr>
          <w:sz w:val="22"/>
          <w:szCs w:val="22"/>
        </w:rPr>
        <w:t xml:space="preserve">: </w:t>
      </w:r>
      <w:r w:rsidRPr="00E70CEB">
        <w:rPr>
          <w:sz w:val="22"/>
        </w:rPr>
        <w:t>Ücretli</w:t>
      </w:r>
      <w:r w:rsidRPr="00E70CEB">
        <w:rPr>
          <w:sz w:val="22"/>
          <w:szCs w:val="22"/>
        </w:rPr>
        <w:t xml:space="preserve"> kesim için sektörlere göre kayıt dışı istihdam ve düşük ücretli çalışanlar</w:t>
      </w:r>
      <w:r w:rsidR="00774E20">
        <w:rPr>
          <w:sz w:val="22"/>
          <w:szCs w:val="22"/>
        </w:rPr>
        <w:t xml:space="preserve"> </w:t>
      </w:r>
      <w:r w:rsidRPr="00E70CEB">
        <w:rPr>
          <w:sz w:val="22"/>
          <w:szCs w:val="22"/>
        </w:rPr>
        <w:t>(%)</w:t>
      </w:r>
    </w:p>
    <w:tbl>
      <w:tblPr>
        <w:tblW w:w="9700" w:type="dxa"/>
        <w:tblInd w:w="70" w:type="dxa"/>
        <w:tblCellMar>
          <w:left w:w="70" w:type="dxa"/>
          <w:right w:w="70" w:type="dxa"/>
        </w:tblCellMar>
        <w:tblLook w:val="04A0" w:firstRow="1" w:lastRow="0" w:firstColumn="1" w:lastColumn="0" w:noHBand="0" w:noVBand="1"/>
      </w:tblPr>
      <w:tblGrid>
        <w:gridCol w:w="2560"/>
        <w:gridCol w:w="1327"/>
        <w:gridCol w:w="1053"/>
        <w:gridCol w:w="1327"/>
        <w:gridCol w:w="1053"/>
        <w:gridCol w:w="1327"/>
        <w:gridCol w:w="1053"/>
      </w:tblGrid>
      <w:tr w:rsidR="00F61D8C" w:rsidRPr="00F61D8C" w14:paraId="019EBF2F" w14:textId="77777777" w:rsidTr="00F61D8C">
        <w:trPr>
          <w:trHeight w:val="330"/>
        </w:trPr>
        <w:tc>
          <w:tcPr>
            <w:tcW w:w="2560" w:type="dxa"/>
            <w:tcBorders>
              <w:top w:val="nil"/>
              <w:left w:val="nil"/>
              <w:bottom w:val="nil"/>
              <w:right w:val="nil"/>
            </w:tcBorders>
            <w:shd w:val="clear" w:color="000000" w:fill="FFFFFF"/>
            <w:noWrap/>
            <w:vAlign w:val="bottom"/>
            <w:hideMark/>
          </w:tcPr>
          <w:p w14:paraId="0FCF2F0B" w14:textId="77777777"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 </w:t>
            </w:r>
          </w:p>
        </w:tc>
        <w:tc>
          <w:tcPr>
            <w:tcW w:w="2380" w:type="dxa"/>
            <w:gridSpan w:val="2"/>
            <w:tcBorders>
              <w:top w:val="single" w:sz="4" w:space="0" w:color="auto"/>
              <w:left w:val="nil"/>
              <w:bottom w:val="nil"/>
              <w:right w:val="nil"/>
            </w:tcBorders>
            <w:shd w:val="clear" w:color="000000" w:fill="FFFFFF"/>
            <w:noWrap/>
            <w:vAlign w:val="bottom"/>
            <w:hideMark/>
          </w:tcPr>
          <w:p w14:paraId="1A4C7D2F"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2014</w:t>
            </w:r>
          </w:p>
        </w:tc>
        <w:tc>
          <w:tcPr>
            <w:tcW w:w="2380" w:type="dxa"/>
            <w:gridSpan w:val="2"/>
            <w:tcBorders>
              <w:top w:val="single" w:sz="4" w:space="0" w:color="auto"/>
              <w:left w:val="nil"/>
              <w:bottom w:val="nil"/>
              <w:right w:val="nil"/>
            </w:tcBorders>
            <w:shd w:val="clear" w:color="000000" w:fill="FFFFFF"/>
            <w:noWrap/>
            <w:vAlign w:val="bottom"/>
            <w:hideMark/>
          </w:tcPr>
          <w:p w14:paraId="036B32CB"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2015</w:t>
            </w:r>
          </w:p>
        </w:tc>
        <w:tc>
          <w:tcPr>
            <w:tcW w:w="2380" w:type="dxa"/>
            <w:gridSpan w:val="2"/>
            <w:tcBorders>
              <w:top w:val="single" w:sz="4" w:space="0" w:color="auto"/>
              <w:left w:val="nil"/>
              <w:bottom w:val="nil"/>
              <w:right w:val="nil"/>
            </w:tcBorders>
            <w:shd w:val="clear" w:color="000000" w:fill="FFFFFF"/>
            <w:noWrap/>
            <w:vAlign w:val="bottom"/>
            <w:hideMark/>
          </w:tcPr>
          <w:p w14:paraId="42884A7F"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2016</w:t>
            </w:r>
          </w:p>
        </w:tc>
      </w:tr>
      <w:tr w:rsidR="00F61D8C" w:rsidRPr="00F61D8C" w14:paraId="7E133E03" w14:textId="77777777" w:rsidTr="00F61D8C">
        <w:trPr>
          <w:trHeight w:val="330"/>
        </w:trPr>
        <w:tc>
          <w:tcPr>
            <w:tcW w:w="2560" w:type="dxa"/>
            <w:tcBorders>
              <w:top w:val="single" w:sz="4" w:space="0" w:color="auto"/>
              <w:left w:val="nil"/>
              <w:bottom w:val="single" w:sz="4" w:space="0" w:color="auto"/>
              <w:right w:val="nil"/>
            </w:tcBorders>
            <w:shd w:val="clear" w:color="000000" w:fill="FFFFFF"/>
            <w:noWrap/>
            <w:vAlign w:val="bottom"/>
            <w:hideMark/>
          </w:tcPr>
          <w:p w14:paraId="421927C5" w14:textId="77777777"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Sektör</w:t>
            </w:r>
          </w:p>
        </w:tc>
        <w:tc>
          <w:tcPr>
            <w:tcW w:w="1327" w:type="dxa"/>
            <w:tcBorders>
              <w:top w:val="single" w:sz="4" w:space="0" w:color="auto"/>
              <w:left w:val="nil"/>
              <w:bottom w:val="single" w:sz="4" w:space="0" w:color="auto"/>
              <w:right w:val="nil"/>
            </w:tcBorders>
            <w:shd w:val="clear" w:color="000000" w:fill="FFFFFF"/>
            <w:noWrap/>
            <w:vAlign w:val="bottom"/>
            <w:hideMark/>
          </w:tcPr>
          <w:p w14:paraId="5A178529" w14:textId="77777777"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Düşük Ücret</w:t>
            </w:r>
          </w:p>
        </w:tc>
        <w:tc>
          <w:tcPr>
            <w:tcW w:w="1053" w:type="dxa"/>
            <w:tcBorders>
              <w:top w:val="single" w:sz="4" w:space="0" w:color="auto"/>
              <w:left w:val="nil"/>
              <w:bottom w:val="single" w:sz="4" w:space="0" w:color="auto"/>
              <w:right w:val="nil"/>
            </w:tcBorders>
            <w:shd w:val="clear" w:color="000000" w:fill="FFFFFF"/>
            <w:noWrap/>
            <w:vAlign w:val="bottom"/>
            <w:hideMark/>
          </w:tcPr>
          <w:p w14:paraId="535C5DF8"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 xml:space="preserve">Kayıt Dışı </w:t>
            </w:r>
          </w:p>
        </w:tc>
        <w:tc>
          <w:tcPr>
            <w:tcW w:w="1327" w:type="dxa"/>
            <w:tcBorders>
              <w:top w:val="single" w:sz="4" w:space="0" w:color="auto"/>
              <w:left w:val="nil"/>
              <w:bottom w:val="single" w:sz="4" w:space="0" w:color="auto"/>
              <w:right w:val="nil"/>
            </w:tcBorders>
            <w:shd w:val="clear" w:color="000000" w:fill="FFFFFF"/>
            <w:noWrap/>
            <w:vAlign w:val="bottom"/>
            <w:hideMark/>
          </w:tcPr>
          <w:p w14:paraId="198DD866" w14:textId="77777777"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Düşük Ücret</w:t>
            </w:r>
          </w:p>
        </w:tc>
        <w:tc>
          <w:tcPr>
            <w:tcW w:w="1053" w:type="dxa"/>
            <w:tcBorders>
              <w:top w:val="single" w:sz="4" w:space="0" w:color="auto"/>
              <w:left w:val="nil"/>
              <w:bottom w:val="single" w:sz="4" w:space="0" w:color="auto"/>
              <w:right w:val="nil"/>
            </w:tcBorders>
            <w:shd w:val="clear" w:color="000000" w:fill="FFFFFF"/>
            <w:noWrap/>
            <w:vAlign w:val="bottom"/>
            <w:hideMark/>
          </w:tcPr>
          <w:p w14:paraId="71B38AB5"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 xml:space="preserve">Kayıt Dışı </w:t>
            </w:r>
          </w:p>
        </w:tc>
        <w:tc>
          <w:tcPr>
            <w:tcW w:w="1327" w:type="dxa"/>
            <w:tcBorders>
              <w:top w:val="single" w:sz="4" w:space="0" w:color="auto"/>
              <w:left w:val="nil"/>
              <w:bottom w:val="single" w:sz="4" w:space="0" w:color="auto"/>
              <w:right w:val="nil"/>
            </w:tcBorders>
            <w:shd w:val="clear" w:color="000000" w:fill="FFFFFF"/>
            <w:noWrap/>
            <w:vAlign w:val="bottom"/>
            <w:hideMark/>
          </w:tcPr>
          <w:p w14:paraId="0FDD30CD" w14:textId="77777777"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Düşük Ücret</w:t>
            </w:r>
          </w:p>
        </w:tc>
        <w:tc>
          <w:tcPr>
            <w:tcW w:w="1053" w:type="dxa"/>
            <w:tcBorders>
              <w:top w:val="single" w:sz="4" w:space="0" w:color="auto"/>
              <w:left w:val="nil"/>
              <w:bottom w:val="single" w:sz="4" w:space="0" w:color="auto"/>
              <w:right w:val="nil"/>
            </w:tcBorders>
            <w:shd w:val="clear" w:color="000000" w:fill="FFFFFF"/>
            <w:noWrap/>
            <w:vAlign w:val="bottom"/>
            <w:hideMark/>
          </w:tcPr>
          <w:p w14:paraId="33A5E371"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 xml:space="preserve">Kayıt Dışı </w:t>
            </w:r>
          </w:p>
        </w:tc>
      </w:tr>
      <w:tr w:rsidR="00F61D8C" w:rsidRPr="00F61D8C" w14:paraId="42914E09" w14:textId="77777777" w:rsidTr="00F61D8C">
        <w:trPr>
          <w:trHeight w:val="330"/>
        </w:trPr>
        <w:tc>
          <w:tcPr>
            <w:tcW w:w="2560" w:type="dxa"/>
            <w:tcBorders>
              <w:top w:val="nil"/>
              <w:left w:val="nil"/>
              <w:bottom w:val="nil"/>
              <w:right w:val="nil"/>
            </w:tcBorders>
            <w:shd w:val="clear" w:color="000000" w:fill="FFFFFF"/>
            <w:noWrap/>
            <w:vAlign w:val="bottom"/>
            <w:hideMark/>
          </w:tcPr>
          <w:p w14:paraId="521F1CED" w14:textId="77777777"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Madencilik ve Taş Ocakçılığı</w:t>
            </w:r>
          </w:p>
        </w:tc>
        <w:tc>
          <w:tcPr>
            <w:tcW w:w="1327" w:type="dxa"/>
            <w:tcBorders>
              <w:top w:val="nil"/>
              <w:left w:val="nil"/>
              <w:bottom w:val="nil"/>
              <w:right w:val="nil"/>
            </w:tcBorders>
            <w:shd w:val="clear" w:color="000000" w:fill="FFFFFF"/>
            <w:noWrap/>
            <w:vAlign w:val="bottom"/>
            <w:hideMark/>
          </w:tcPr>
          <w:p w14:paraId="0EA58C7D"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19,0</w:t>
            </w:r>
          </w:p>
        </w:tc>
        <w:tc>
          <w:tcPr>
            <w:tcW w:w="1053" w:type="dxa"/>
            <w:tcBorders>
              <w:top w:val="nil"/>
              <w:left w:val="nil"/>
              <w:bottom w:val="nil"/>
              <w:right w:val="nil"/>
            </w:tcBorders>
            <w:shd w:val="clear" w:color="000000" w:fill="FFFFFF"/>
            <w:noWrap/>
            <w:vAlign w:val="bottom"/>
            <w:hideMark/>
          </w:tcPr>
          <w:p w14:paraId="000B4977"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6,7</w:t>
            </w:r>
          </w:p>
        </w:tc>
        <w:tc>
          <w:tcPr>
            <w:tcW w:w="1327" w:type="dxa"/>
            <w:tcBorders>
              <w:top w:val="nil"/>
              <w:left w:val="nil"/>
              <w:bottom w:val="nil"/>
              <w:right w:val="nil"/>
            </w:tcBorders>
            <w:shd w:val="clear" w:color="000000" w:fill="FFFFFF"/>
            <w:noWrap/>
            <w:vAlign w:val="bottom"/>
            <w:hideMark/>
          </w:tcPr>
          <w:p w14:paraId="4C0E1A98"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30,6</w:t>
            </w:r>
          </w:p>
        </w:tc>
        <w:tc>
          <w:tcPr>
            <w:tcW w:w="1053" w:type="dxa"/>
            <w:tcBorders>
              <w:top w:val="nil"/>
              <w:left w:val="nil"/>
              <w:bottom w:val="nil"/>
              <w:right w:val="nil"/>
            </w:tcBorders>
            <w:shd w:val="clear" w:color="000000" w:fill="FFFFFF"/>
            <w:noWrap/>
            <w:vAlign w:val="bottom"/>
            <w:hideMark/>
          </w:tcPr>
          <w:p w14:paraId="541F142F"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5,3</w:t>
            </w:r>
          </w:p>
        </w:tc>
        <w:tc>
          <w:tcPr>
            <w:tcW w:w="1327" w:type="dxa"/>
            <w:tcBorders>
              <w:top w:val="nil"/>
              <w:left w:val="nil"/>
              <w:bottom w:val="nil"/>
              <w:right w:val="nil"/>
            </w:tcBorders>
            <w:shd w:val="clear" w:color="000000" w:fill="FFFFFF"/>
            <w:noWrap/>
            <w:vAlign w:val="bottom"/>
            <w:hideMark/>
          </w:tcPr>
          <w:p w14:paraId="475623D1"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4,0</w:t>
            </w:r>
          </w:p>
        </w:tc>
        <w:tc>
          <w:tcPr>
            <w:tcW w:w="1053" w:type="dxa"/>
            <w:tcBorders>
              <w:top w:val="nil"/>
              <w:left w:val="nil"/>
              <w:bottom w:val="nil"/>
              <w:right w:val="nil"/>
            </w:tcBorders>
            <w:shd w:val="clear" w:color="000000" w:fill="FFFFFF"/>
            <w:noWrap/>
            <w:vAlign w:val="bottom"/>
            <w:hideMark/>
          </w:tcPr>
          <w:p w14:paraId="4EA8F379"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3,9</w:t>
            </w:r>
          </w:p>
        </w:tc>
      </w:tr>
      <w:tr w:rsidR="00F61D8C" w:rsidRPr="00F61D8C" w14:paraId="0F1C8C66" w14:textId="77777777" w:rsidTr="00F61D8C">
        <w:trPr>
          <w:trHeight w:val="330"/>
        </w:trPr>
        <w:tc>
          <w:tcPr>
            <w:tcW w:w="2560" w:type="dxa"/>
            <w:tcBorders>
              <w:top w:val="nil"/>
              <w:left w:val="nil"/>
              <w:bottom w:val="nil"/>
              <w:right w:val="nil"/>
            </w:tcBorders>
            <w:shd w:val="clear" w:color="000000" w:fill="FFFFFF"/>
            <w:noWrap/>
            <w:vAlign w:val="bottom"/>
            <w:hideMark/>
          </w:tcPr>
          <w:p w14:paraId="5B6B8A62" w14:textId="5CF1D0AF"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İmalat</w:t>
            </w:r>
          </w:p>
        </w:tc>
        <w:tc>
          <w:tcPr>
            <w:tcW w:w="1327" w:type="dxa"/>
            <w:tcBorders>
              <w:top w:val="nil"/>
              <w:left w:val="nil"/>
              <w:bottom w:val="nil"/>
              <w:right w:val="nil"/>
            </w:tcBorders>
            <w:shd w:val="clear" w:color="000000" w:fill="FFFFFF"/>
            <w:noWrap/>
            <w:vAlign w:val="bottom"/>
            <w:hideMark/>
          </w:tcPr>
          <w:p w14:paraId="47A8A6A5"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34,8</w:t>
            </w:r>
          </w:p>
        </w:tc>
        <w:tc>
          <w:tcPr>
            <w:tcW w:w="1053" w:type="dxa"/>
            <w:tcBorders>
              <w:top w:val="nil"/>
              <w:left w:val="nil"/>
              <w:bottom w:val="nil"/>
              <w:right w:val="nil"/>
            </w:tcBorders>
            <w:shd w:val="clear" w:color="000000" w:fill="FFFFFF"/>
            <w:noWrap/>
            <w:vAlign w:val="bottom"/>
            <w:hideMark/>
          </w:tcPr>
          <w:p w14:paraId="2C0DE800"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15,8</w:t>
            </w:r>
          </w:p>
        </w:tc>
        <w:tc>
          <w:tcPr>
            <w:tcW w:w="1327" w:type="dxa"/>
            <w:tcBorders>
              <w:top w:val="nil"/>
              <w:left w:val="nil"/>
              <w:bottom w:val="nil"/>
              <w:right w:val="nil"/>
            </w:tcBorders>
            <w:shd w:val="clear" w:color="000000" w:fill="FFFFFF"/>
            <w:noWrap/>
            <w:vAlign w:val="bottom"/>
            <w:hideMark/>
          </w:tcPr>
          <w:p w14:paraId="2C8A1C98"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55,6</w:t>
            </w:r>
          </w:p>
        </w:tc>
        <w:tc>
          <w:tcPr>
            <w:tcW w:w="1053" w:type="dxa"/>
            <w:tcBorders>
              <w:top w:val="nil"/>
              <w:left w:val="nil"/>
              <w:bottom w:val="nil"/>
              <w:right w:val="nil"/>
            </w:tcBorders>
            <w:shd w:val="clear" w:color="000000" w:fill="FFFFFF"/>
            <w:noWrap/>
            <w:vAlign w:val="bottom"/>
            <w:hideMark/>
          </w:tcPr>
          <w:p w14:paraId="4977CFD4"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14,6</w:t>
            </w:r>
          </w:p>
        </w:tc>
        <w:tc>
          <w:tcPr>
            <w:tcW w:w="1327" w:type="dxa"/>
            <w:tcBorders>
              <w:top w:val="nil"/>
              <w:left w:val="nil"/>
              <w:bottom w:val="nil"/>
              <w:right w:val="nil"/>
            </w:tcBorders>
            <w:shd w:val="clear" w:color="000000" w:fill="FFFFFF"/>
            <w:noWrap/>
            <w:vAlign w:val="bottom"/>
            <w:hideMark/>
          </w:tcPr>
          <w:p w14:paraId="146CE557"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11,3</w:t>
            </w:r>
          </w:p>
        </w:tc>
        <w:tc>
          <w:tcPr>
            <w:tcW w:w="1053" w:type="dxa"/>
            <w:tcBorders>
              <w:top w:val="nil"/>
              <w:left w:val="nil"/>
              <w:bottom w:val="nil"/>
              <w:right w:val="nil"/>
            </w:tcBorders>
            <w:shd w:val="clear" w:color="000000" w:fill="FFFFFF"/>
            <w:noWrap/>
            <w:vAlign w:val="bottom"/>
            <w:hideMark/>
          </w:tcPr>
          <w:p w14:paraId="30A6EE9B"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15,3</w:t>
            </w:r>
          </w:p>
        </w:tc>
      </w:tr>
      <w:tr w:rsidR="00F61D8C" w:rsidRPr="00F61D8C" w14:paraId="742AD281" w14:textId="77777777" w:rsidTr="00F61D8C">
        <w:trPr>
          <w:trHeight w:val="330"/>
        </w:trPr>
        <w:tc>
          <w:tcPr>
            <w:tcW w:w="2560" w:type="dxa"/>
            <w:tcBorders>
              <w:top w:val="nil"/>
              <w:left w:val="nil"/>
              <w:bottom w:val="nil"/>
              <w:right w:val="nil"/>
            </w:tcBorders>
            <w:shd w:val="clear" w:color="000000" w:fill="FFFFFF"/>
            <w:noWrap/>
            <w:vAlign w:val="bottom"/>
            <w:hideMark/>
          </w:tcPr>
          <w:p w14:paraId="5542E199" w14:textId="77777777"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Elektrik+Su</w:t>
            </w:r>
          </w:p>
        </w:tc>
        <w:tc>
          <w:tcPr>
            <w:tcW w:w="1327" w:type="dxa"/>
            <w:tcBorders>
              <w:top w:val="nil"/>
              <w:left w:val="nil"/>
              <w:bottom w:val="nil"/>
              <w:right w:val="nil"/>
            </w:tcBorders>
            <w:shd w:val="clear" w:color="000000" w:fill="FFFFFF"/>
            <w:noWrap/>
            <w:vAlign w:val="bottom"/>
            <w:hideMark/>
          </w:tcPr>
          <w:p w14:paraId="01D57B6F"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16,3</w:t>
            </w:r>
          </w:p>
        </w:tc>
        <w:tc>
          <w:tcPr>
            <w:tcW w:w="1053" w:type="dxa"/>
            <w:tcBorders>
              <w:top w:val="nil"/>
              <w:left w:val="nil"/>
              <w:bottom w:val="nil"/>
              <w:right w:val="nil"/>
            </w:tcBorders>
            <w:shd w:val="clear" w:color="000000" w:fill="FFFFFF"/>
            <w:noWrap/>
            <w:vAlign w:val="bottom"/>
            <w:hideMark/>
          </w:tcPr>
          <w:p w14:paraId="75ED046C"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6,0</w:t>
            </w:r>
          </w:p>
        </w:tc>
        <w:tc>
          <w:tcPr>
            <w:tcW w:w="1327" w:type="dxa"/>
            <w:tcBorders>
              <w:top w:val="nil"/>
              <w:left w:val="nil"/>
              <w:bottom w:val="nil"/>
              <w:right w:val="nil"/>
            </w:tcBorders>
            <w:shd w:val="clear" w:color="000000" w:fill="FFFFFF"/>
            <w:noWrap/>
            <w:vAlign w:val="bottom"/>
            <w:hideMark/>
          </w:tcPr>
          <w:p w14:paraId="20CF9ECC"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29,5</w:t>
            </w:r>
          </w:p>
        </w:tc>
        <w:tc>
          <w:tcPr>
            <w:tcW w:w="1053" w:type="dxa"/>
            <w:tcBorders>
              <w:top w:val="nil"/>
              <w:left w:val="nil"/>
              <w:bottom w:val="nil"/>
              <w:right w:val="nil"/>
            </w:tcBorders>
            <w:shd w:val="clear" w:color="000000" w:fill="FFFFFF"/>
            <w:noWrap/>
            <w:vAlign w:val="bottom"/>
            <w:hideMark/>
          </w:tcPr>
          <w:p w14:paraId="580BB061"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5,6</w:t>
            </w:r>
          </w:p>
        </w:tc>
        <w:tc>
          <w:tcPr>
            <w:tcW w:w="1327" w:type="dxa"/>
            <w:tcBorders>
              <w:top w:val="nil"/>
              <w:left w:val="nil"/>
              <w:bottom w:val="nil"/>
              <w:right w:val="nil"/>
            </w:tcBorders>
            <w:shd w:val="clear" w:color="000000" w:fill="FFFFFF"/>
            <w:noWrap/>
            <w:vAlign w:val="bottom"/>
            <w:hideMark/>
          </w:tcPr>
          <w:p w14:paraId="537A62E3"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7,2</w:t>
            </w:r>
          </w:p>
        </w:tc>
        <w:tc>
          <w:tcPr>
            <w:tcW w:w="1053" w:type="dxa"/>
            <w:tcBorders>
              <w:top w:val="nil"/>
              <w:left w:val="nil"/>
              <w:bottom w:val="nil"/>
              <w:right w:val="nil"/>
            </w:tcBorders>
            <w:shd w:val="clear" w:color="000000" w:fill="FFFFFF"/>
            <w:noWrap/>
            <w:vAlign w:val="bottom"/>
            <w:hideMark/>
          </w:tcPr>
          <w:p w14:paraId="19307CA7"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7,8</w:t>
            </w:r>
          </w:p>
        </w:tc>
      </w:tr>
      <w:tr w:rsidR="00F61D8C" w:rsidRPr="00F61D8C" w14:paraId="20F2767E" w14:textId="77777777" w:rsidTr="00F61D8C">
        <w:trPr>
          <w:trHeight w:val="330"/>
        </w:trPr>
        <w:tc>
          <w:tcPr>
            <w:tcW w:w="2560" w:type="dxa"/>
            <w:tcBorders>
              <w:top w:val="nil"/>
              <w:left w:val="nil"/>
              <w:bottom w:val="nil"/>
              <w:right w:val="nil"/>
            </w:tcBorders>
            <w:shd w:val="clear" w:color="000000" w:fill="FFFFFF"/>
            <w:noWrap/>
            <w:vAlign w:val="bottom"/>
            <w:hideMark/>
          </w:tcPr>
          <w:p w14:paraId="29DA95C7" w14:textId="77777777"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İnşaat</w:t>
            </w:r>
          </w:p>
        </w:tc>
        <w:tc>
          <w:tcPr>
            <w:tcW w:w="1327" w:type="dxa"/>
            <w:tcBorders>
              <w:top w:val="nil"/>
              <w:left w:val="nil"/>
              <w:bottom w:val="nil"/>
              <w:right w:val="nil"/>
            </w:tcBorders>
            <w:shd w:val="clear" w:color="000000" w:fill="FFFFFF"/>
            <w:noWrap/>
            <w:vAlign w:val="bottom"/>
            <w:hideMark/>
          </w:tcPr>
          <w:p w14:paraId="41B0B0F6"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28,0</w:t>
            </w:r>
          </w:p>
        </w:tc>
        <w:tc>
          <w:tcPr>
            <w:tcW w:w="1053" w:type="dxa"/>
            <w:tcBorders>
              <w:top w:val="nil"/>
              <w:left w:val="nil"/>
              <w:bottom w:val="nil"/>
              <w:right w:val="nil"/>
            </w:tcBorders>
            <w:shd w:val="clear" w:color="000000" w:fill="FFFFFF"/>
            <w:noWrap/>
            <w:vAlign w:val="bottom"/>
            <w:hideMark/>
          </w:tcPr>
          <w:p w14:paraId="328193A7"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35,6</w:t>
            </w:r>
          </w:p>
        </w:tc>
        <w:tc>
          <w:tcPr>
            <w:tcW w:w="1327" w:type="dxa"/>
            <w:tcBorders>
              <w:top w:val="nil"/>
              <w:left w:val="nil"/>
              <w:bottom w:val="nil"/>
              <w:right w:val="nil"/>
            </w:tcBorders>
            <w:shd w:val="clear" w:color="000000" w:fill="FFFFFF"/>
            <w:noWrap/>
            <w:vAlign w:val="bottom"/>
            <w:hideMark/>
          </w:tcPr>
          <w:p w14:paraId="300A2FAE"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49,0</w:t>
            </w:r>
          </w:p>
        </w:tc>
        <w:tc>
          <w:tcPr>
            <w:tcW w:w="1053" w:type="dxa"/>
            <w:tcBorders>
              <w:top w:val="nil"/>
              <w:left w:val="nil"/>
              <w:bottom w:val="nil"/>
              <w:right w:val="nil"/>
            </w:tcBorders>
            <w:shd w:val="clear" w:color="000000" w:fill="FFFFFF"/>
            <w:noWrap/>
            <w:vAlign w:val="bottom"/>
            <w:hideMark/>
          </w:tcPr>
          <w:p w14:paraId="11D40107"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34,1</w:t>
            </w:r>
          </w:p>
        </w:tc>
        <w:tc>
          <w:tcPr>
            <w:tcW w:w="1327" w:type="dxa"/>
            <w:tcBorders>
              <w:top w:val="nil"/>
              <w:left w:val="nil"/>
              <w:bottom w:val="nil"/>
              <w:right w:val="nil"/>
            </w:tcBorders>
            <w:shd w:val="clear" w:color="000000" w:fill="FFFFFF"/>
            <w:noWrap/>
            <w:vAlign w:val="bottom"/>
            <w:hideMark/>
          </w:tcPr>
          <w:p w14:paraId="0D3822B7"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18,4</w:t>
            </w:r>
          </w:p>
        </w:tc>
        <w:tc>
          <w:tcPr>
            <w:tcW w:w="1053" w:type="dxa"/>
            <w:tcBorders>
              <w:top w:val="nil"/>
              <w:left w:val="nil"/>
              <w:bottom w:val="nil"/>
              <w:right w:val="nil"/>
            </w:tcBorders>
            <w:shd w:val="clear" w:color="000000" w:fill="FFFFFF"/>
            <w:noWrap/>
            <w:vAlign w:val="bottom"/>
            <w:hideMark/>
          </w:tcPr>
          <w:p w14:paraId="3D9890A9"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34,3</w:t>
            </w:r>
          </w:p>
        </w:tc>
      </w:tr>
      <w:tr w:rsidR="00F61D8C" w:rsidRPr="00F61D8C" w14:paraId="7D695D5A" w14:textId="77777777" w:rsidTr="00F61D8C">
        <w:trPr>
          <w:trHeight w:val="330"/>
        </w:trPr>
        <w:tc>
          <w:tcPr>
            <w:tcW w:w="2560" w:type="dxa"/>
            <w:tcBorders>
              <w:top w:val="nil"/>
              <w:left w:val="nil"/>
              <w:bottom w:val="nil"/>
              <w:right w:val="nil"/>
            </w:tcBorders>
            <w:shd w:val="clear" w:color="000000" w:fill="FFFFFF"/>
            <w:noWrap/>
            <w:vAlign w:val="bottom"/>
            <w:hideMark/>
          </w:tcPr>
          <w:p w14:paraId="10B8841C" w14:textId="77777777"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Toptan ve Perakende</w:t>
            </w:r>
          </w:p>
        </w:tc>
        <w:tc>
          <w:tcPr>
            <w:tcW w:w="1327" w:type="dxa"/>
            <w:tcBorders>
              <w:top w:val="nil"/>
              <w:left w:val="nil"/>
              <w:bottom w:val="nil"/>
              <w:right w:val="nil"/>
            </w:tcBorders>
            <w:shd w:val="clear" w:color="000000" w:fill="FFFFFF"/>
            <w:noWrap/>
            <w:vAlign w:val="bottom"/>
            <w:hideMark/>
          </w:tcPr>
          <w:p w14:paraId="11B0F2D4"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37,2</w:t>
            </w:r>
          </w:p>
        </w:tc>
        <w:tc>
          <w:tcPr>
            <w:tcW w:w="1053" w:type="dxa"/>
            <w:tcBorders>
              <w:top w:val="nil"/>
              <w:left w:val="nil"/>
              <w:bottom w:val="nil"/>
              <w:right w:val="nil"/>
            </w:tcBorders>
            <w:shd w:val="clear" w:color="000000" w:fill="FFFFFF"/>
            <w:noWrap/>
            <w:vAlign w:val="bottom"/>
            <w:hideMark/>
          </w:tcPr>
          <w:p w14:paraId="4C605B86"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17,6</w:t>
            </w:r>
          </w:p>
        </w:tc>
        <w:tc>
          <w:tcPr>
            <w:tcW w:w="1327" w:type="dxa"/>
            <w:tcBorders>
              <w:top w:val="nil"/>
              <w:left w:val="nil"/>
              <w:bottom w:val="nil"/>
              <w:right w:val="nil"/>
            </w:tcBorders>
            <w:shd w:val="clear" w:color="000000" w:fill="FFFFFF"/>
            <w:noWrap/>
            <w:vAlign w:val="bottom"/>
            <w:hideMark/>
          </w:tcPr>
          <w:p w14:paraId="27A3F979"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58,7</w:t>
            </w:r>
          </w:p>
        </w:tc>
        <w:tc>
          <w:tcPr>
            <w:tcW w:w="1053" w:type="dxa"/>
            <w:tcBorders>
              <w:top w:val="nil"/>
              <w:left w:val="nil"/>
              <w:bottom w:val="nil"/>
              <w:right w:val="nil"/>
            </w:tcBorders>
            <w:shd w:val="clear" w:color="000000" w:fill="FFFFFF"/>
            <w:noWrap/>
            <w:vAlign w:val="bottom"/>
            <w:hideMark/>
          </w:tcPr>
          <w:p w14:paraId="58A66FF8"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16,6</w:t>
            </w:r>
          </w:p>
        </w:tc>
        <w:tc>
          <w:tcPr>
            <w:tcW w:w="1327" w:type="dxa"/>
            <w:tcBorders>
              <w:top w:val="nil"/>
              <w:left w:val="nil"/>
              <w:bottom w:val="nil"/>
              <w:right w:val="nil"/>
            </w:tcBorders>
            <w:shd w:val="clear" w:color="000000" w:fill="FFFFFF"/>
            <w:noWrap/>
            <w:vAlign w:val="bottom"/>
            <w:hideMark/>
          </w:tcPr>
          <w:p w14:paraId="04227535"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14,5</w:t>
            </w:r>
          </w:p>
        </w:tc>
        <w:tc>
          <w:tcPr>
            <w:tcW w:w="1053" w:type="dxa"/>
            <w:tcBorders>
              <w:top w:val="nil"/>
              <w:left w:val="nil"/>
              <w:bottom w:val="nil"/>
              <w:right w:val="nil"/>
            </w:tcBorders>
            <w:shd w:val="clear" w:color="000000" w:fill="FFFFFF"/>
            <w:noWrap/>
            <w:vAlign w:val="bottom"/>
            <w:hideMark/>
          </w:tcPr>
          <w:p w14:paraId="38F72C40"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17,0</w:t>
            </w:r>
          </w:p>
        </w:tc>
      </w:tr>
      <w:tr w:rsidR="00F61D8C" w:rsidRPr="00F61D8C" w14:paraId="7E7A968B" w14:textId="77777777" w:rsidTr="00F61D8C">
        <w:trPr>
          <w:trHeight w:val="330"/>
        </w:trPr>
        <w:tc>
          <w:tcPr>
            <w:tcW w:w="2560" w:type="dxa"/>
            <w:tcBorders>
              <w:top w:val="nil"/>
              <w:left w:val="nil"/>
              <w:bottom w:val="nil"/>
              <w:right w:val="nil"/>
            </w:tcBorders>
            <w:shd w:val="clear" w:color="000000" w:fill="FFFFFF"/>
            <w:noWrap/>
            <w:vAlign w:val="bottom"/>
            <w:hideMark/>
          </w:tcPr>
          <w:p w14:paraId="4E2F382F" w14:textId="77777777"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Ulaştırma</w:t>
            </w:r>
          </w:p>
        </w:tc>
        <w:tc>
          <w:tcPr>
            <w:tcW w:w="1327" w:type="dxa"/>
            <w:tcBorders>
              <w:top w:val="nil"/>
              <w:left w:val="nil"/>
              <w:bottom w:val="nil"/>
              <w:right w:val="nil"/>
            </w:tcBorders>
            <w:shd w:val="clear" w:color="000000" w:fill="FFFFFF"/>
            <w:noWrap/>
            <w:vAlign w:val="bottom"/>
            <w:hideMark/>
          </w:tcPr>
          <w:p w14:paraId="048B51E6"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25,3</w:t>
            </w:r>
          </w:p>
        </w:tc>
        <w:tc>
          <w:tcPr>
            <w:tcW w:w="1053" w:type="dxa"/>
            <w:tcBorders>
              <w:top w:val="nil"/>
              <w:left w:val="nil"/>
              <w:bottom w:val="nil"/>
              <w:right w:val="nil"/>
            </w:tcBorders>
            <w:shd w:val="clear" w:color="000000" w:fill="FFFFFF"/>
            <w:noWrap/>
            <w:vAlign w:val="bottom"/>
            <w:hideMark/>
          </w:tcPr>
          <w:p w14:paraId="6FD18A77"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19,9</w:t>
            </w:r>
          </w:p>
        </w:tc>
        <w:tc>
          <w:tcPr>
            <w:tcW w:w="1327" w:type="dxa"/>
            <w:tcBorders>
              <w:top w:val="nil"/>
              <w:left w:val="nil"/>
              <w:bottom w:val="nil"/>
              <w:right w:val="nil"/>
            </w:tcBorders>
            <w:shd w:val="clear" w:color="000000" w:fill="FFFFFF"/>
            <w:noWrap/>
            <w:vAlign w:val="bottom"/>
            <w:hideMark/>
          </w:tcPr>
          <w:p w14:paraId="54B9F3FC"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43,2</w:t>
            </w:r>
          </w:p>
        </w:tc>
        <w:tc>
          <w:tcPr>
            <w:tcW w:w="1053" w:type="dxa"/>
            <w:tcBorders>
              <w:top w:val="nil"/>
              <w:left w:val="nil"/>
              <w:bottom w:val="nil"/>
              <w:right w:val="nil"/>
            </w:tcBorders>
            <w:shd w:val="clear" w:color="000000" w:fill="FFFFFF"/>
            <w:noWrap/>
            <w:vAlign w:val="bottom"/>
            <w:hideMark/>
          </w:tcPr>
          <w:p w14:paraId="7CD1F504"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20,4</w:t>
            </w:r>
          </w:p>
        </w:tc>
        <w:tc>
          <w:tcPr>
            <w:tcW w:w="1327" w:type="dxa"/>
            <w:tcBorders>
              <w:top w:val="nil"/>
              <w:left w:val="nil"/>
              <w:bottom w:val="nil"/>
              <w:right w:val="nil"/>
            </w:tcBorders>
            <w:shd w:val="clear" w:color="000000" w:fill="FFFFFF"/>
            <w:noWrap/>
            <w:vAlign w:val="bottom"/>
            <w:hideMark/>
          </w:tcPr>
          <w:p w14:paraId="1DB19EEE"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10,1</w:t>
            </w:r>
          </w:p>
        </w:tc>
        <w:tc>
          <w:tcPr>
            <w:tcW w:w="1053" w:type="dxa"/>
            <w:tcBorders>
              <w:top w:val="nil"/>
              <w:left w:val="nil"/>
              <w:bottom w:val="nil"/>
              <w:right w:val="nil"/>
            </w:tcBorders>
            <w:shd w:val="clear" w:color="000000" w:fill="FFFFFF"/>
            <w:noWrap/>
            <w:vAlign w:val="bottom"/>
            <w:hideMark/>
          </w:tcPr>
          <w:p w14:paraId="422AC955"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18,5</w:t>
            </w:r>
          </w:p>
        </w:tc>
      </w:tr>
      <w:tr w:rsidR="00F61D8C" w:rsidRPr="00F61D8C" w14:paraId="1E199708" w14:textId="77777777" w:rsidTr="00F61D8C">
        <w:trPr>
          <w:trHeight w:val="330"/>
        </w:trPr>
        <w:tc>
          <w:tcPr>
            <w:tcW w:w="2560" w:type="dxa"/>
            <w:tcBorders>
              <w:top w:val="nil"/>
              <w:left w:val="nil"/>
              <w:bottom w:val="nil"/>
              <w:right w:val="nil"/>
            </w:tcBorders>
            <w:shd w:val="clear" w:color="000000" w:fill="FFFFFF"/>
            <w:noWrap/>
            <w:vAlign w:val="bottom"/>
            <w:hideMark/>
          </w:tcPr>
          <w:p w14:paraId="3FEE5C70" w14:textId="77777777"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Konaklama</w:t>
            </w:r>
          </w:p>
        </w:tc>
        <w:tc>
          <w:tcPr>
            <w:tcW w:w="1327" w:type="dxa"/>
            <w:tcBorders>
              <w:top w:val="nil"/>
              <w:left w:val="nil"/>
              <w:bottom w:val="nil"/>
              <w:right w:val="nil"/>
            </w:tcBorders>
            <w:shd w:val="clear" w:color="000000" w:fill="FFFFFF"/>
            <w:noWrap/>
            <w:vAlign w:val="bottom"/>
            <w:hideMark/>
          </w:tcPr>
          <w:p w14:paraId="365D1DF6"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39,1</w:t>
            </w:r>
          </w:p>
        </w:tc>
        <w:tc>
          <w:tcPr>
            <w:tcW w:w="1053" w:type="dxa"/>
            <w:tcBorders>
              <w:top w:val="nil"/>
              <w:left w:val="nil"/>
              <w:bottom w:val="nil"/>
              <w:right w:val="nil"/>
            </w:tcBorders>
            <w:shd w:val="clear" w:color="000000" w:fill="FFFFFF"/>
            <w:noWrap/>
            <w:vAlign w:val="bottom"/>
            <w:hideMark/>
          </w:tcPr>
          <w:p w14:paraId="2D534813"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29,5</w:t>
            </w:r>
          </w:p>
        </w:tc>
        <w:tc>
          <w:tcPr>
            <w:tcW w:w="1327" w:type="dxa"/>
            <w:tcBorders>
              <w:top w:val="nil"/>
              <w:left w:val="nil"/>
              <w:bottom w:val="nil"/>
              <w:right w:val="nil"/>
            </w:tcBorders>
            <w:shd w:val="clear" w:color="000000" w:fill="FFFFFF"/>
            <w:noWrap/>
            <w:vAlign w:val="bottom"/>
            <w:hideMark/>
          </w:tcPr>
          <w:p w14:paraId="6F00D558"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60,9</w:t>
            </w:r>
          </w:p>
        </w:tc>
        <w:tc>
          <w:tcPr>
            <w:tcW w:w="1053" w:type="dxa"/>
            <w:tcBorders>
              <w:top w:val="nil"/>
              <w:left w:val="nil"/>
              <w:bottom w:val="nil"/>
              <w:right w:val="nil"/>
            </w:tcBorders>
            <w:shd w:val="clear" w:color="000000" w:fill="FFFFFF"/>
            <w:noWrap/>
            <w:vAlign w:val="bottom"/>
            <w:hideMark/>
          </w:tcPr>
          <w:p w14:paraId="0E058603"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26,6</w:t>
            </w:r>
          </w:p>
        </w:tc>
        <w:tc>
          <w:tcPr>
            <w:tcW w:w="1327" w:type="dxa"/>
            <w:tcBorders>
              <w:top w:val="nil"/>
              <w:left w:val="nil"/>
              <w:bottom w:val="nil"/>
              <w:right w:val="nil"/>
            </w:tcBorders>
            <w:shd w:val="clear" w:color="000000" w:fill="FFFFFF"/>
            <w:noWrap/>
            <w:vAlign w:val="bottom"/>
            <w:hideMark/>
          </w:tcPr>
          <w:p w14:paraId="04F2CA14"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18,2</w:t>
            </w:r>
          </w:p>
        </w:tc>
        <w:tc>
          <w:tcPr>
            <w:tcW w:w="1053" w:type="dxa"/>
            <w:tcBorders>
              <w:top w:val="nil"/>
              <w:left w:val="nil"/>
              <w:bottom w:val="nil"/>
              <w:right w:val="nil"/>
            </w:tcBorders>
            <w:shd w:val="clear" w:color="000000" w:fill="FFFFFF"/>
            <w:noWrap/>
            <w:vAlign w:val="bottom"/>
            <w:hideMark/>
          </w:tcPr>
          <w:p w14:paraId="713F2273"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27,1</w:t>
            </w:r>
          </w:p>
        </w:tc>
      </w:tr>
      <w:tr w:rsidR="00F61D8C" w:rsidRPr="00F61D8C" w14:paraId="1C151D60" w14:textId="77777777" w:rsidTr="00F61D8C">
        <w:trPr>
          <w:trHeight w:val="330"/>
        </w:trPr>
        <w:tc>
          <w:tcPr>
            <w:tcW w:w="2560" w:type="dxa"/>
            <w:tcBorders>
              <w:top w:val="nil"/>
              <w:left w:val="nil"/>
              <w:bottom w:val="nil"/>
              <w:right w:val="nil"/>
            </w:tcBorders>
            <w:shd w:val="clear" w:color="000000" w:fill="FFFFFF"/>
            <w:noWrap/>
            <w:vAlign w:val="bottom"/>
            <w:hideMark/>
          </w:tcPr>
          <w:p w14:paraId="56C3CE1E" w14:textId="77777777"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Bilgi ve İletişim</w:t>
            </w:r>
          </w:p>
        </w:tc>
        <w:tc>
          <w:tcPr>
            <w:tcW w:w="1327" w:type="dxa"/>
            <w:tcBorders>
              <w:top w:val="nil"/>
              <w:left w:val="nil"/>
              <w:bottom w:val="nil"/>
              <w:right w:val="nil"/>
            </w:tcBorders>
            <w:shd w:val="clear" w:color="000000" w:fill="FFFFFF"/>
            <w:noWrap/>
            <w:vAlign w:val="bottom"/>
            <w:hideMark/>
          </w:tcPr>
          <w:p w14:paraId="30C7484A"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13,0</w:t>
            </w:r>
          </w:p>
        </w:tc>
        <w:tc>
          <w:tcPr>
            <w:tcW w:w="1053" w:type="dxa"/>
            <w:tcBorders>
              <w:top w:val="nil"/>
              <w:left w:val="nil"/>
              <w:bottom w:val="nil"/>
              <w:right w:val="nil"/>
            </w:tcBorders>
            <w:shd w:val="clear" w:color="000000" w:fill="FFFFFF"/>
            <w:noWrap/>
            <w:vAlign w:val="bottom"/>
            <w:hideMark/>
          </w:tcPr>
          <w:p w14:paraId="682D0E3B"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8,6</w:t>
            </w:r>
          </w:p>
        </w:tc>
        <w:tc>
          <w:tcPr>
            <w:tcW w:w="1327" w:type="dxa"/>
            <w:tcBorders>
              <w:top w:val="nil"/>
              <w:left w:val="nil"/>
              <w:bottom w:val="nil"/>
              <w:right w:val="nil"/>
            </w:tcBorders>
            <w:shd w:val="clear" w:color="000000" w:fill="FFFFFF"/>
            <w:noWrap/>
            <w:vAlign w:val="bottom"/>
            <w:hideMark/>
          </w:tcPr>
          <w:p w14:paraId="2387D4FD"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27,7</w:t>
            </w:r>
          </w:p>
        </w:tc>
        <w:tc>
          <w:tcPr>
            <w:tcW w:w="1053" w:type="dxa"/>
            <w:tcBorders>
              <w:top w:val="nil"/>
              <w:left w:val="nil"/>
              <w:bottom w:val="nil"/>
              <w:right w:val="nil"/>
            </w:tcBorders>
            <w:shd w:val="clear" w:color="000000" w:fill="FFFFFF"/>
            <w:noWrap/>
            <w:vAlign w:val="bottom"/>
            <w:hideMark/>
          </w:tcPr>
          <w:p w14:paraId="2D02A270"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7,8</w:t>
            </w:r>
          </w:p>
        </w:tc>
        <w:tc>
          <w:tcPr>
            <w:tcW w:w="1327" w:type="dxa"/>
            <w:tcBorders>
              <w:top w:val="nil"/>
              <w:left w:val="nil"/>
              <w:bottom w:val="nil"/>
              <w:right w:val="nil"/>
            </w:tcBorders>
            <w:shd w:val="clear" w:color="000000" w:fill="FFFFFF"/>
            <w:noWrap/>
            <w:vAlign w:val="bottom"/>
            <w:hideMark/>
          </w:tcPr>
          <w:p w14:paraId="591E62D3"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5,9</w:t>
            </w:r>
          </w:p>
        </w:tc>
        <w:tc>
          <w:tcPr>
            <w:tcW w:w="1053" w:type="dxa"/>
            <w:tcBorders>
              <w:top w:val="nil"/>
              <w:left w:val="nil"/>
              <w:bottom w:val="nil"/>
              <w:right w:val="nil"/>
            </w:tcBorders>
            <w:shd w:val="clear" w:color="000000" w:fill="FFFFFF"/>
            <w:noWrap/>
            <w:vAlign w:val="bottom"/>
            <w:hideMark/>
          </w:tcPr>
          <w:p w14:paraId="7DC22512"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7,0</w:t>
            </w:r>
          </w:p>
        </w:tc>
      </w:tr>
      <w:tr w:rsidR="00F61D8C" w:rsidRPr="00F61D8C" w14:paraId="6CA021C2" w14:textId="77777777" w:rsidTr="00F61D8C">
        <w:trPr>
          <w:trHeight w:val="330"/>
        </w:trPr>
        <w:tc>
          <w:tcPr>
            <w:tcW w:w="2560" w:type="dxa"/>
            <w:tcBorders>
              <w:top w:val="nil"/>
              <w:left w:val="nil"/>
              <w:bottom w:val="nil"/>
              <w:right w:val="nil"/>
            </w:tcBorders>
            <w:shd w:val="clear" w:color="000000" w:fill="FFFFFF"/>
            <w:noWrap/>
            <w:vAlign w:val="bottom"/>
            <w:hideMark/>
          </w:tcPr>
          <w:p w14:paraId="7114ACD6" w14:textId="77777777"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Finans ve Sigorta Faaliyetleri</w:t>
            </w:r>
          </w:p>
        </w:tc>
        <w:tc>
          <w:tcPr>
            <w:tcW w:w="1327" w:type="dxa"/>
            <w:tcBorders>
              <w:top w:val="nil"/>
              <w:left w:val="nil"/>
              <w:bottom w:val="nil"/>
              <w:right w:val="nil"/>
            </w:tcBorders>
            <w:shd w:val="clear" w:color="000000" w:fill="FFFFFF"/>
            <w:noWrap/>
            <w:vAlign w:val="bottom"/>
            <w:hideMark/>
          </w:tcPr>
          <w:p w14:paraId="41377A17"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7,6</w:t>
            </w:r>
          </w:p>
        </w:tc>
        <w:tc>
          <w:tcPr>
            <w:tcW w:w="1053" w:type="dxa"/>
            <w:tcBorders>
              <w:top w:val="nil"/>
              <w:left w:val="nil"/>
              <w:bottom w:val="nil"/>
              <w:right w:val="nil"/>
            </w:tcBorders>
            <w:shd w:val="clear" w:color="000000" w:fill="FFFFFF"/>
            <w:noWrap/>
            <w:vAlign w:val="bottom"/>
            <w:hideMark/>
          </w:tcPr>
          <w:p w14:paraId="08539103"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2,2</w:t>
            </w:r>
          </w:p>
        </w:tc>
        <w:tc>
          <w:tcPr>
            <w:tcW w:w="1327" w:type="dxa"/>
            <w:tcBorders>
              <w:top w:val="nil"/>
              <w:left w:val="nil"/>
              <w:bottom w:val="nil"/>
              <w:right w:val="nil"/>
            </w:tcBorders>
            <w:shd w:val="clear" w:color="000000" w:fill="FFFFFF"/>
            <w:noWrap/>
            <w:vAlign w:val="bottom"/>
            <w:hideMark/>
          </w:tcPr>
          <w:p w14:paraId="08EECC9A"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17,3</w:t>
            </w:r>
          </w:p>
        </w:tc>
        <w:tc>
          <w:tcPr>
            <w:tcW w:w="1053" w:type="dxa"/>
            <w:tcBorders>
              <w:top w:val="nil"/>
              <w:left w:val="nil"/>
              <w:bottom w:val="nil"/>
              <w:right w:val="nil"/>
            </w:tcBorders>
            <w:shd w:val="clear" w:color="000000" w:fill="FFFFFF"/>
            <w:noWrap/>
            <w:vAlign w:val="bottom"/>
            <w:hideMark/>
          </w:tcPr>
          <w:p w14:paraId="4C2BDF60"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2,6</w:t>
            </w:r>
          </w:p>
        </w:tc>
        <w:tc>
          <w:tcPr>
            <w:tcW w:w="1327" w:type="dxa"/>
            <w:tcBorders>
              <w:top w:val="nil"/>
              <w:left w:val="nil"/>
              <w:bottom w:val="nil"/>
              <w:right w:val="nil"/>
            </w:tcBorders>
            <w:shd w:val="clear" w:color="000000" w:fill="FFFFFF"/>
            <w:noWrap/>
            <w:vAlign w:val="bottom"/>
            <w:hideMark/>
          </w:tcPr>
          <w:p w14:paraId="4A253EE4"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1,9</w:t>
            </w:r>
          </w:p>
        </w:tc>
        <w:tc>
          <w:tcPr>
            <w:tcW w:w="1053" w:type="dxa"/>
            <w:tcBorders>
              <w:top w:val="nil"/>
              <w:left w:val="nil"/>
              <w:bottom w:val="nil"/>
              <w:right w:val="nil"/>
            </w:tcBorders>
            <w:shd w:val="clear" w:color="000000" w:fill="FFFFFF"/>
            <w:noWrap/>
            <w:vAlign w:val="bottom"/>
            <w:hideMark/>
          </w:tcPr>
          <w:p w14:paraId="11EA8294"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1,9</w:t>
            </w:r>
          </w:p>
        </w:tc>
      </w:tr>
      <w:tr w:rsidR="00F61D8C" w:rsidRPr="00F61D8C" w14:paraId="12ED0EFC" w14:textId="77777777" w:rsidTr="00F61D8C">
        <w:trPr>
          <w:trHeight w:val="330"/>
        </w:trPr>
        <w:tc>
          <w:tcPr>
            <w:tcW w:w="2560" w:type="dxa"/>
            <w:tcBorders>
              <w:top w:val="nil"/>
              <w:left w:val="nil"/>
              <w:bottom w:val="nil"/>
              <w:right w:val="nil"/>
            </w:tcBorders>
            <w:shd w:val="clear" w:color="000000" w:fill="FFFFFF"/>
            <w:noWrap/>
            <w:vAlign w:val="bottom"/>
            <w:hideMark/>
          </w:tcPr>
          <w:p w14:paraId="563BFFF1" w14:textId="77777777"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Gayrimenkul</w:t>
            </w:r>
          </w:p>
        </w:tc>
        <w:tc>
          <w:tcPr>
            <w:tcW w:w="1327" w:type="dxa"/>
            <w:tcBorders>
              <w:top w:val="nil"/>
              <w:left w:val="nil"/>
              <w:bottom w:val="nil"/>
              <w:right w:val="nil"/>
            </w:tcBorders>
            <w:shd w:val="clear" w:color="000000" w:fill="FFFFFF"/>
            <w:noWrap/>
            <w:vAlign w:val="bottom"/>
            <w:hideMark/>
          </w:tcPr>
          <w:p w14:paraId="56D6B31D"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38,3</w:t>
            </w:r>
          </w:p>
        </w:tc>
        <w:tc>
          <w:tcPr>
            <w:tcW w:w="1053" w:type="dxa"/>
            <w:tcBorders>
              <w:top w:val="nil"/>
              <w:left w:val="nil"/>
              <w:bottom w:val="nil"/>
              <w:right w:val="nil"/>
            </w:tcBorders>
            <w:shd w:val="clear" w:color="000000" w:fill="FFFFFF"/>
            <w:noWrap/>
            <w:vAlign w:val="bottom"/>
            <w:hideMark/>
          </w:tcPr>
          <w:p w14:paraId="05A25554"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20,5</w:t>
            </w:r>
          </w:p>
        </w:tc>
        <w:tc>
          <w:tcPr>
            <w:tcW w:w="1327" w:type="dxa"/>
            <w:tcBorders>
              <w:top w:val="nil"/>
              <w:left w:val="nil"/>
              <w:bottom w:val="nil"/>
              <w:right w:val="nil"/>
            </w:tcBorders>
            <w:shd w:val="clear" w:color="000000" w:fill="FFFFFF"/>
            <w:noWrap/>
            <w:vAlign w:val="bottom"/>
            <w:hideMark/>
          </w:tcPr>
          <w:p w14:paraId="3FB0194F"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65,6</w:t>
            </w:r>
          </w:p>
        </w:tc>
        <w:tc>
          <w:tcPr>
            <w:tcW w:w="1053" w:type="dxa"/>
            <w:tcBorders>
              <w:top w:val="nil"/>
              <w:left w:val="nil"/>
              <w:bottom w:val="nil"/>
              <w:right w:val="nil"/>
            </w:tcBorders>
            <w:shd w:val="clear" w:color="000000" w:fill="FFFFFF"/>
            <w:noWrap/>
            <w:vAlign w:val="bottom"/>
            <w:hideMark/>
          </w:tcPr>
          <w:p w14:paraId="61C7C277"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16,6</w:t>
            </w:r>
          </w:p>
        </w:tc>
        <w:tc>
          <w:tcPr>
            <w:tcW w:w="1327" w:type="dxa"/>
            <w:tcBorders>
              <w:top w:val="nil"/>
              <w:left w:val="nil"/>
              <w:bottom w:val="nil"/>
              <w:right w:val="nil"/>
            </w:tcBorders>
            <w:shd w:val="clear" w:color="000000" w:fill="FFFFFF"/>
            <w:noWrap/>
            <w:vAlign w:val="bottom"/>
            <w:hideMark/>
          </w:tcPr>
          <w:p w14:paraId="477C361B"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14,5</w:t>
            </w:r>
          </w:p>
        </w:tc>
        <w:tc>
          <w:tcPr>
            <w:tcW w:w="1053" w:type="dxa"/>
            <w:tcBorders>
              <w:top w:val="nil"/>
              <w:left w:val="nil"/>
              <w:bottom w:val="nil"/>
              <w:right w:val="nil"/>
            </w:tcBorders>
            <w:shd w:val="clear" w:color="000000" w:fill="FFFFFF"/>
            <w:noWrap/>
            <w:vAlign w:val="bottom"/>
            <w:hideMark/>
          </w:tcPr>
          <w:p w14:paraId="033492B6"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18,0</w:t>
            </w:r>
          </w:p>
        </w:tc>
      </w:tr>
      <w:tr w:rsidR="00F61D8C" w:rsidRPr="00F61D8C" w14:paraId="0FA387DB" w14:textId="77777777" w:rsidTr="00F61D8C">
        <w:trPr>
          <w:trHeight w:val="330"/>
        </w:trPr>
        <w:tc>
          <w:tcPr>
            <w:tcW w:w="2560" w:type="dxa"/>
            <w:tcBorders>
              <w:top w:val="nil"/>
              <w:left w:val="nil"/>
              <w:bottom w:val="nil"/>
              <w:right w:val="nil"/>
            </w:tcBorders>
            <w:shd w:val="clear" w:color="000000" w:fill="FFFFFF"/>
            <w:noWrap/>
            <w:vAlign w:val="bottom"/>
            <w:hideMark/>
          </w:tcPr>
          <w:p w14:paraId="2B649C3D" w14:textId="377626F9"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Mesleki, Bilimsel ve Teknik</w:t>
            </w:r>
          </w:p>
        </w:tc>
        <w:tc>
          <w:tcPr>
            <w:tcW w:w="1327" w:type="dxa"/>
            <w:tcBorders>
              <w:top w:val="nil"/>
              <w:left w:val="nil"/>
              <w:bottom w:val="nil"/>
              <w:right w:val="nil"/>
            </w:tcBorders>
            <w:shd w:val="clear" w:color="000000" w:fill="FFFFFF"/>
            <w:noWrap/>
            <w:vAlign w:val="bottom"/>
            <w:hideMark/>
          </w:tcPr>
          <w:p w14:paraId="4DCA8D9A"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20,1</w:t>
            </w:r>
          </w:p>
        </w:tc>
        <w:tc>
          <w:tcPr>
            <w:tcW w:w="1053" w:type="dxa"/>
            <w:tcBorders>
              <w:top w:val="nil"/>
              <w:left w:val="nil"/>
              <w:bottom w:val="nil"/>
              <w:right w:val="nil"/>
            </w:tcBorders>
            <w:shd w:val="clear" w:color="000000" w:fill="FFFFFF"/>
            <w:noWrap/>
            <w:vAlign w:val="bottom"/>
            <w:hideMark/>
          </w:tcPr>
          <w:p w14:paraId="6EA724AF"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9,4</w:t>
            </w:r>
          </w:p>
        </w:tc>
        <w:tc>
          <w:tcPr>
            <w:tcW w:w="1327" w:type="dxa"/>
            <w:tcBorders>
              <w:top w:val="nil"/>
              <w:left w:val="nil"/>
              <w:bottom w:val="nil"/>
              <w:right w:val="nil"/>
            </w:tcBorders>
            <w:shd w:val="clear" w:color="000000" w:fill="FFFFFF"/>
            <w:noWrap/>
            <w:vAlign w:val="bottom"/>
            <w:hideMark/>
          </w:tcPr>
          <w:p w14:paraId="1D374251"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30,9</w:t>
            </w:r>
          </w:p>
        </w:tc>
        <w:tc>
          <w:tcPr>
            <w:tcW w:w="1053" w:type="dxa"/>
            <w:tcBorders>
              <w:top w:val="nil"/>
              <w:left w:val="nil"/>
              <w:bottom w:val="nil"/>
              <w:right w:val="nil"/>
            </w:tcBorders>
            <w:shd w:val="clear" w:color="000000" w:fill="FFFFFF"/>
            <w:noWrap/>
            <w:vAlign w:val="bottom"/>
            <w:hideMark/>
          </w:tcPr>
          <w:p w14:paraId="6BF7D0E6"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7,6</w:t>
            </w:r>
          </w:p>
        </w:tc>
        <w:tc>
          <w:tcPr>
            <w:tcW w:w="1327" w:type="dxa"/>
            <w:tcBorders>
              <w:top w:val="nil"/>
              <w:left w:val="nil"/>
              <w:bottom w:val="nil"/>
              <w:right w:val="nil"/>
            </w:tcBorders>
            <w:shd w:val="clear" w:color="000000" w:fill="FFFFFF"/>
            <w:noWrap/>
            <w:vAlign w:val="bottom"/>
            <w:hideMark/>
          </w:tcPr>
          <w:p w14:paraId="1D15FF98"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6,3</w:t>
            </w:r>
          </w:p>
        </w:tc>
        <w:tc>
          <w:tcPr>
            <w:tcW w:w="1053" w:type="dxa"/>
            <w:tcBorders>
              <w:top w:val="nil"/>
              <w:left w:val="nil"/>
              <w:bottom w:val="nil"/>
              <w:right w:val="nil"/>
            </w:tcBorders>
            <w:shd w:val="clear" w:color="000000" w:fill="FFFFFF"/>
            <w:noWrap/>
            <w:vAlign w:val="bottom"/>
            <w:hideMark/>
          </w:tcPr>
          <w:p w14:paraId="6FFB1D64"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6,5</w:t>
            </w:r>
          </w:p>
        </w:tc>
      </w:tr>
      <w:tr w:rsidR="00F61D8C" w:rsidRPr="00F61D8C" w14:paraId="30D483E8" w14:textId="77777777" w:rsidTr="00F61D8C">
        <w:trPr>
          <w:trHeight w:val="330"/>
        </w:trPr>
        <w:tc>
          <w:tcPr>
            <w:tcW w:w="2560" w:type="dxa"/>
            <w:tcBorders>
              <w:top w:val="nil"/>
              <w:left w:val="nil"/>
              <w:bottom w:val="nil"/>
              <w:right w:val="nil"/>
            </w:tcBorders>
            <w:shd w:val="clear" w:color="000000" w:fill="FFFFFF"/>
            <w:noWrap/>
            <w:vAlign w:val="bottom"/>
            <w:hideMark/>
          </w:tcPr>
          <w:p w14:paraId="0F9FA039" w14:textId="77777777"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İdari ve Destek Hizmet</w:t>
            </w:r>
          </w:p>
        </w:tc>
        <w:tc>
          <w:tcPr>
            <w:tcW w:w="1327" w:type="dxa"/>
            <w:tcBorders>
              <w:top w:val="nil"/>
              <w:left w:val="nil"/>
              <w:bottom w:val="nil"/>
              <w:right w:val="nil"/>
            </w:tcBorders>
            <w:shd w:val="clear" w:color="000000" w:fill="FFFFFF"/>
            <w:noWrap/>
            <w:vAlign w:val="bottom"/>
            <w:hideMark/>
          </w:tcPr>
          <w:p w14:paraId="79D25F01"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36,7</w:t>
            </w:r>
          </w:p>
        </w:tc>
        <w:tc>
          <w:tcPr>
            <w:tcW w:w="1053" w:type="dxa"/>
            <w:tcBorders>
              <w:top w:val="nil"/>
              <w:left w:val="nil"/>
              <w:bottom w:val="nil"/>
              <w:right w:val="nil"/>
            </w:tcBorders>
            <w:shd w:val="clear" w:color="000000" w:fill="FFFFFF"/>
            <w:noWrap/>
            <w:vAlign w:val="bottom"/>
            <w:hideMark/>
          </w:tcPr>
          <w:p w14:paraId="1693A154"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7,0</w:t>
            </w:r>
          </w:p>
        </w:tc>
        <w:tc>
          <w:tcPr>
            <w:tcW w:w="1327" w:type="dxa"/>
            <w:tcBorders>
              <w:top w:val="nil"/>
              <w:left w:val="nil"/>
              <w:bottom w:val="nil"/>
              <w:right w:val="nil"/>
            </w:tcBorders>
            <w:shd w:val="clear" w:color="000000" w:fill="FFFFFF"/>
            <w:noWrap/>
            <w:vAlign w:val="bottom"/>
            <w:hideMark/>
          </w:tcPr>
          <w:p w14:paraId="38A0BFA6"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60,4</w:t>
            </w:r>
          </w:p>
        </w:tc>
        <w:tc>
          <w:tcPr>
            <w:tcW w:w="1053" w:type="dxa"/>
            <w:tcBorders>
              <w:top w:val="nil"/>
              <w:left w:val="nil"/>
              <w:bottom w:val="nil"/>
              <w:right w:val="nil"/>
            </w:tcBorders>
            <w:shd w:val="clear" w:color="000000" w:fill="FFFFFF"/>
            <w:noWrap/>
            <w:vAlign w:val="bottom"/>
            <w:hideMark/>
          </w:tcPr>
          <w:p w14:paraId="09E51C9F"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6,4</w:t>
            </w:r>
          </w:p>
        </w:tc>
        <w:tc>
          <w:tcPr>
            <w:tcW w:w="1327" w:type="dxa"/>
            <w:tcBorders>
              <w:top w:val="nil"/>
              <w:left w:val="nil"/>
              <w:bottom w:val="nil"/>
              <w:right w:val="nil"/>
            </w:tcBorders>
            <w:shd w:val="clear" w:color="000000" w:fill="FFFFFF"/>
            <w:noWrap/>
            <w:vAlign w:val="bottom"/>
            <w:hideMark/>
          </w:tcPr>
          <w:p w14:paraId="3587C705"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6,4</w:t>
            </w:r>
          </w:p>
        </w:tc>
        <w:tc>
          <w:tcPr>
            <w:tcW w:w="1053" w:type="dxa"/>
            <w:tcBorders>
              <w:top w:val="nil"/>
              <w:left w:val="nil"/>
              <w:bottom w:val="nil"/>
              <w:right w:val="nil"/>
            </w:tcBorders>
            <w:shd w:val="clear" w:color="000000" w:fill="FFFFFF"/>
            <w:noWrap/>
            <w:vAlign w:val="bottom"/>
            <w:hideMark/>
          </w:tcPr>
          <w:p w14:paraId="34EADAB1"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4,9</w:t>
            </w:r>
          </w:p>
        </w:tc>
      </w:tr>
      <w:tr w:rsidR="00F61D8C" w:rsidRPr="00F61D8C" w14:paraId="17B961BC" w14:textId="77777777" w:rsidTr="00F61D8C">
        <w:trPr>
          <w:trHeight w:val="330"/>
        </w:trPr>
        <w:tc>
          <w:tcPr>
            <w:tcW w:w="2560" w:type="dxa"/>
            <w:tcBorders>
              <w:top w:val="nil"/>
              <w:left w:val="nil"/>
              <w:bottom w:val="nil"/>
              <w:right w:val="nil"/>
            </w:tcBorders>
            <w:shd w:val="clear" w:color="000000" w:fill="FFFFFF"/>
            <w:noWrap/>
            <w:vAlign w:val="bottom"/>
            <w:hideMark/>
          </w:tcPr>
          <w:p w14:paraId="63D51952" w14:textId="77777777"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Kamu Yönetimi ve Savunma</w:t>
            </w:r>
          </w:p>
        </w:tc>
        <w:tc>
          <w:tcPr>
            <w:tcW w:w="1327" w:type="dxa"/>
            <w:tcBorders>
              <w:top w:val="nil"/>
              <w:left w:val="nil"/>
              <w:bottom w:val="nil"/>
              <w:right w:val="nil"/>
            </w:tcBorders>
            <w:shd w:val="clear" w:color="000000" w:fill="FFFFFF"/>
            <w:noWrap/>
            <w:vAlign w:val="bottom"/>
            <w:hideMark/>
          </w:tcPr>
          <w:p w14:paraId="013947EB"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6,5</w:t>
            </w:r>
          </w:p>
        </w:tc>
        <w:tc>
          <w:tcPr>
            <w:tcW w:w="1053" w:type="dxa"/>
            <w:tcBorders>
              <w:top w:val="nil"/>
              <w:left w:val="nil"/>
              <w:bottom w:val="nil"/>
              <w:right w:val="nil"/>
            </w:tcBorders>
            <w:shd w:val="clear" w:color="000000" w:fill="FFFFFF"/>
            <w:noWrap/>
            <w:vAlign w:val="bottom"/>
            <w:hideMark/>
          </w:tcPr>
          <w:p w14:paraId="0D88AFC8"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4,1</w:t>
            </w:r>
          </w:p>
        </w:tc>
        <w:tc>
          <w:tcPr>
            <w:tcW w:w="1327" w:type="dxa"/>
            <w:tcBorders>
              <w:top w:val="nil"/>
              <w:left w:val="nil"/>
              <w:bottom w:val="nil"/>
              <w:right w:val="nil"/>
            </w:tcBorders>
            <w:shd w:val="clear" w:color="000000" w:fill="FFFFFF"/>
            <w:noWrap/>
            <w:vAlign w:val="bottom"/>
            <w:hideMark/>
          </w:tcPr>
          <w:p w14:paraId="4FCC41FB"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9,6</w:t>
            </w:r>
          </w:p>
        </w:tc>
        <w:tc>
          <w:tcPr>
            <w:tcW w:w="1053" w:type="dxa"/>
            <w:tcBorders>
              <w:top w:val="nil"/>
              <w:left w:val="nil"/>
              <w:bottom w:val="nil"/>
              <w:right w:val="nil"/>
            </w:tcBorders>
            <w:shd w:val="clear" w:color="000000" w:fill="FFFFFF"/>
            <w:noWrap/>
            <w:vAlign w:val="bottom"/>
            <w:hideMark/>
          </w:tcPr>
          <w:p w14:paraId="6A0C139C"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4,0</w:t>
            </w:r>
          </w:p>
        </w:tc>
        <w:tc>
          <w:tcPr>
            <w:tcW w:w="1327" w:type="dxa"/>
            <w:tcBorders>
              <w:top w:val="nil"/>
              <w:left w:val="nil"/>
              <w:bottom w:val="nil"/>
              <w:right w:val="nil"/>
            </w:tcBorders>
            <w:shd w:val="clear" w:color="000000" w:fill="FFFFFF"/>
            <w:noWrap/>
            <w:vAlign w:val="bottom"/>
            <w:hideMark/>
          </w:tcPr>
          <w:p w14:paraId="6C592C86"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2,2</w:t>
            </w:r>
          </w:p>
        </w:tc>
        <w:tc>
          <w:tcPr>
            <w:tcW w:w="1053" w:type="dxa"/>
            <w:tcBorders>
              <w:top w:val="nil"/>
              <w:left w:val="nil"/>
              <w:bottom w:val="nil"/>
              <w:right w:val="nil"/>
            </w:tcBorders>
            <w:shd w:val="clear" w:color="000000" w:fill="FFFFFF"/>
            <w:noWrap/>
            <w:vAlign w:val="bottom"/>
            <w:hideMark/>
          </w:tcPr>
          <w:p w14:paraId="340DFD40"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3,9</w:t>
            </w:r>
          </w:p>
        </w:tc>
      </w:tr>
      <w:tr w:rsidR="00F61D8C" w:rsidRPr="00F61D8C" w14:paraId="0DA26445" w14:textId="77777777" w:rsidTr="00F61D8C">
        <w:trPr>
          <w:trHeight w:val="330"/>
        </w:trPr>
        <w:tc>
          <w:tcPr>
            <w:tcW w:w="2560" w:type="dxa"/>
            <w:tcBorders>
              <w:top w:val="nil"/>
              <w:left w:val="nil"/>
              <w:bottom w:val="nil"/>
              <w:right w:val="nil"/>
            </w:tcBorders>
            <w:shd w:val="clear" w:color="000000" w:fill="FFFFFF"/>
            <w:noWrap/>
            <w:vAlign w:val="bottom"/>
            <w:hideMark/>
          </w:tcPr>
          <w:p w14:paraId="3DE728D6" w14:textId="77777777"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Eğitim</w:t>
            </w:r>
          </w:p>
        </w:tc>
        <w:tc>
          <w:tcPr>
            <w:tcW w:w="1327" w:type="dxa"/>
            <w:tcBorders>
              <w:top w:val="nil"/>
              <w:left w:val="nil"/>
              <w:bottom w:val="nil"/>
              <w:right w:val="nil"/>
            </w:tcBorders>
            <w:shd w:val="clear" w:color="000000" w:fill="FFFFFF"/>
            <w:noWrap/>
            <w:vAlign w:val="bottom"/>
            <w:hideMark/>
          </w:tcPr>
          <w:p w14:paraId="681674C7"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11,9</w:t>
            </w:r>
          </w:p>
        </w:tc>
        <w:tc>
          <w:tcPr>
            <w:tcW w:w="1053" w:type="dxa"/>
            <w:tcBorders>
              <w:top w:val="nil"/>
              <w:left w:val="nil"/>
              <w:bottom w:val="nil"/>
              <w:right w:val="nil"/>
            </w:tcBorders>
            <w:shd w:val="clear" w:color="000000" w:fill="FFFFFF"/>
            <w:noWrap/>
            <w:vAlign w:val="bottom"/>
            <w:hideMark/>
          </w:tcPr>
          <w:p w14:paraId="408AEABB"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2,8</w:t>
            </w:r>
          </w:p>
        </w:tc>
        <w:tc>
          <w:tcPr>
            <w:tcW w:w="1327" w:type="dxa"/>
            <w:tcBorders>
              <w:top w:val="nil"/>
              <w:left w:val="nil"/>
              <w:bottom w:val="nil"/>
              <w:right w:val="nil"/>
            </w:tcBorders>
            <w:shd w:val="clear" w:color="000000" w:fill="FFFFFF"/>
            <w:noWrap/>
            <w:vAlign w:val="bottom"/>
            <w:hideMark/>
          </w:tcPr>
          <w:p w14:paraId="2C5BEC1D"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18,3</w:t>
            </w:r>
          </w:p>
        </w:tc>
        <w:tc>
          <w:tcPr>
            <w:tcW w:w="1053" w:type="dxa"/>
            <w:tcBorders>
              <w:top w:val="nil"/>
              <w:left w:val="nil"/>
              <w:bottom w:val="nil"/>
              <w:right w:val="nil"/>
            </w:tcBorders>
            <w:shd w:val="clear" w:color="000000" w:fill="FFFFFF"/>
            <w:noWrap/>
            <w:vAlign w:val="bottom"/>
            <w:hideMark/>
          </w:tcPr>
          <w:p w14:paraId="5D7DE8C1"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2,6</w:t>
            </w:r>
          </w:p>
        </w:tc>
        <w:tc>
          <w:tcPr>
            <w:tcW w:w="1327" w:type="dxa"/>
            <w:tcBorders>
              <w:top w:val="nil"/>
              <w:left w:val="nil"/>
              <w:bottom w:val="nil"/>
              <w:right w:val="nil"/>
            </w:tcBorders>
            <w:shd w:val="clear" w:color="000000" w:fill="FFFFFF"/>
            <w:noWrap/>
            <w:vAlign w:val="bottom"/>
            <w:hideMark/>
          </w:tcPr>
          <w:p w14:paraId="4257143F"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4,9</w:t>
            </w:r>
          </w:p>
        </w:tc>
        <w:tc>
          <w:tcPr>
            <w:tcW w:w="1053" w:type="dxa"/>
            <w:tcBorders>
              <w:top w:val="nil"/>
              <w:left w:val="nil"/>
              <w:bottom w:val="nil"/>
              <w:right w:val="nil"/>
            </w:tcBorders>
            <w:shd w:val="clear" w:color="000000" w:fill="FFFFFF"/>
            <w:noWrap/>
            <w:vAlign w:val="bottom"/>
            <w:hideMark/>
          </w:tcPr>
          <w:p w14:paraId="21B09074"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3,0</w:t>
            </w:r>
          </w:p>
        </w:tc>
      </w:tr>
      <w:tr w:rsidR="00F61D8C" w:rsidRPr="00F61D8C" w14:paraId="464FD495" w14:textId="77777777" w:rsidTr="00F61D8C">
        <w:trPr>
          <w:trHeight w:val="330"/>
        </w:trPr>
        <w:tc>
          <w:tcPr>
            <w:tcW w:w="2560" w:type="dxa"/>
            <w:tcBorders>
              <w:top w:val="nil"/>
              <w:left w:val="nil"/>
              <w:bottom w:val="nil"/>
              <w:right w:val="nil"/>
            </w:tcBorders>
            <w:shd w:val="clear" w:color="000000" w:fill="FFFFFF"/>
            <w:noWrap/>
            <w:vAlign w:val="bottom"/>
            <w:hideMark/>
          </w:tcPr>
          <w:p w14:paraId="29ED7266" w14:textId="77777777"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İnsan Sağlığı</w:t>
            </w:r>
          </w:p>
        </w:tc>
        <w:tc>
          <w:tcPr>
            <w:tcW w:w="1327" w:type="dxa"/>
            <w:tcBorders>
              <w:top w:val="nil"/>
              <w:left w:val="nil"/>
              <w:bottom w:val="nil"/>
              <w:right w:val="nil"/>
            </w:tcBorders>
            <w:shd w:val="clear" w:color="000000" w:fill="FFFFFF"/>
            <w:noWrap/>
            <w:vAlign w:val="bottom"/>
            <w:hideMark/>
          </w:tcPr>
          <w:p w14:paraId="154A89E6"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33,9</w:t>
            </w:r>
          </w:p>
        </w:tc>
        <w:tc>
          <w:tcPr>
            <w:tcW w:w="1053" w:type="dxa"/>
            <w:tcBorders>
              <w:top w:val="nil"/>
              <w:left w:val="nil"/>
              <w:bottom w:val="nil"/>
              <w:right w:val="nil"/>
            </w:tcBorders>
            <w:shd w:val="clear" w:color="000000" w:fill="FFFFFF"/>
            <w:noWrap/>
            <w:vAlign w:val="bottom"/>
            <w:hideMark/>
          </w:tcPr>
          <w:p w14:paraId="67990409"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24,9</w:t>
            </w:r>
          </w:p>
        </w:tc>
        <w:tc>
          <w:tcPr>
            <w:tcW w:w="1327" w:type="dxa"/>
            <w:tcBorders>
              <w:top w:val="nil"/>
              <w:left w:val="nil"/>
              <w:bottom w:val="nil"/>
              <w:right w:val="nil"/>
            </w:tcBorders>
            <w:shd w:val="clear" w:color="000000" w:fill="FFFFFF"/>
            <w:noWrap/>
            <w:vAlign w:val="bottom"/>
            <w:hideMark/>
          </w:tcPr>
          <w:p w14:paraId="743CB20C"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43,4</w:t>
            </w:r>
          </w:p>
        </w:tc>
        <w:tc>
          <w:tcPr>
            <w:tcW w:w="1053" w:type="dxa"/>
            <w:tcBorders>
              <w:top w:val="nil"/>
              <w:left w:val="nil"/>
              <w:bottom w:val="nil"/>
              <w:right w:val="nil"/>
            </w:tcBorders>
            <w:shd w:val="clear" w:color="000000" w:fill="FFFFFF"/>
            <w:noWrap/>
            <w:vAlign w:val="bottom"/>
            <w:hideMark/>
          </w:tcPr>
          <w:p w14:paraId="57875BF6"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27,2</w:t>
            </w:r>
          </w:p>
        </w:tc>
        <w:tc>
          <w:tcPr>
            <w:tcW w:w="1327" w:type="dxa"/>
            <w:tcBorders>
              <w:top w:val="nil"/>
              <w:left w:val="nil"/>
              <w:bottom w:val="nil"/>
              <w:right w:val="nil"/>
            </w:tcBorders>
            <w:shd w:val="clear" w:color="000000" w:fill="FFFFFF"/>
            <w:noWrap/>
            <w:vAlign w:val="bottom"/>
            <w:hideMark/>
          </w:tcPr>
          <w:p w14:paraId="7EDFD1E4"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28,9</w:t>
            </w:r>
          </w:p>
        </w:tc>
        <w:tc>
          <w:tcPr>
            <w:tcW w:w="1053" w:type="dxa"/>
            <w:tcBorders>
              <w:top w:val="nil"/>
              <w:left w:val="nil"/>
              <w:bottom w:val="nil"/>
              <w:right w:val="nil"/>
            </w:tcBorders>
            <w:shd w:val="clear" w:color="000000" w:fill="FFFFFF"/>
            <w:noWrap/>
            <w:vAlign w:val="bottom"/>
            <w:hideMark/>
          </w:tcPr>
          <w:p w14:paraId="6B841CC0"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28,4</w:t>
            </w:r>
          </w:p>
        </w:tc>
      </w:tr>
      <w:tr w:rsidR="00F61D8C" w:rsidRPr="00F61D8C" w14:paraId="5888F83B" w14:textId="77777777" w:rsidTr="00F61D8C">
        <w:trPr>
          <w:trHeight w:val="330"/>
        </w:trPr>
        <w:tc>
          <w:tcPr>
            <w:tcW w:w="2560" w:type="dxa"/>
            <w:tcBorders>
              <w:top w:val="nil"/>
              <w:left w:val="nil"/>
              <w:bottom w:val="nil"/>
              <w:right w:val="nil"/>
            </w:tcBorders>
            <w:shd w:val="clear" w:color="000000" w:fill="FFFFFF"/>
            <w:noWrap/>
            <w:vAlign w:val="bottom"/>
            <w:hideMark/>
          </w:tcPr>
          <w:p w14:paraId="7F9B2214" w14:textId="77777777"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Kültür Sanat</w:t>
            </w:r>
          </w:p>
        </w:tc>
        <w:tc>
          <w:tcPr>
            <w:tcW w:w="1327" w:type="dxa"/>
            <w:tcBorders>
              <w:top w:val="nil"/>
              <w:left w:val="nil"/>
              <w:bottom w:val="nil"/>
              <w:right w:val="nil"/>
            </w:tcBorders>
            <w:shd w:val="clear" w:color="000000" w:fill="FFFFFF"/>
            <w:noWrap/>
            <w:vAlign w:val="bottom"/>
            <w:hideMark/>
          </w:tcPr>
          <w:p w14:paraId="7D77642E"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18,9</w:t>
            </w:r>
          </w:p>
        </w:tc>
        <w:tc>
          <w:tcPr>
            <w:tcW w:w="1053" w:type="dxa"/>
            <w:tcBorders>
              <w:top w:val="nil"/>
              <w:left w:val="nil"/>
              <w:bottom w:val="nil"/>
              <w:right w:val="nil"/>
            </w:tcBorders>
            <w:shd w:val="clear" w:color="000000" w:fill="FFFFFF"/>
            <w:noWrap/>
            <w:vAlign w:val="bottom"/>
            <w:hideMark/>
          </w:tcPr>
          <w:p w14:paraId="684B2FEB"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15,6</w:t>
            </w:r>
          </w:p>
        </w:tc>
        <w:tc>
          <w:tcPr>
            <w:tcW w:w="1327" w:type="dxa"/>
            <w:tcBorders>
              <w:top w:val="nil"/>
              <w:left w:val="nil"/>
              <w:bottom w:val="nil"/>
              <w:right w:val="nil"/>
            </w:tcBorders>
            <w:shd w:val="clear" w:color="000000" w:fill="FFFFFF"/>
            <w:noWrap/>
            <w:vAlign w:val="bottom"/>
            <w:hideMark/>
          </w:tcPr>
          <w:p w14:paraId="277A4A47"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27,7</w:t>
            </w:r>
          </w:p>
        </w:tc>
        <w:tc>
          <w:tcPr>
            <w:tcW w:w="1053" w:type="dxa"/>
            <w:tcBorders>
              <w:top w:val="nil"/>
              <w:left w:val="nil"/>
              <w:bottom w:val="nil"/>
              <w:right w:val="nil"/>
            </w:tcBorders>
            <w:shd w:val="clear" w:color="000000" w:fill="FFFFFF"/>
            <w:noWrap/>
            <w:vAlign w:val="bottom"/>
            <w:hideMark/>
          </w:tcPr>
          <w:p w14:paraId="19803B98"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13,8</w:t>
            </w:r>
          </w:p>
        </w:tc>
        <w:tc>
          <w:tcPr>
            <w:tcW w:w="1327" w:type="dxa"/>
            <w:tcBorders>
              <w:top w:val="nil"/>
              <w:left w:val="nil"/>
              <w:bottom w:val="nil"/>
              <w:right w:val="nil"/>
            </w:tcBorders>
            <w:shd w:val="clear" w:color="000000" w:fill="FFFFFF"/>
            <w:noWrap/>
            <w:vAlign w:val="bottom"/>
            <w:hideMark/>
          </w:tcPr>
          <w:p w14:paraId="677AF9BA"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8,2</w:t>
            </w:r>
          </w:p>
        </w:tc>
        <w:tc>
          <w:tcPr>
            <w:tcW w:w="1053" w:type="dxa"/>
            <w:tcBorders>
              <w:top w:val="nil"/>
              <w:left w:val="nil"/>
              <w:bottom w:val="nil"/>
              <w:right w:val="nil"/>
            </w:tcBorders>
            <w:shd w:val="clear" w:color="000000" w:fill="FFFFFF"/>
            <w:noWrap/>
            <w:vAlign w:val="bottom"/>
            <w:hideMark/>
          </w:tcPr>
          <w:p w14:paraId="73CB47A8"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13,2</w:t>
            </w:r>
          </w:p>
        </w:tc>
      </w:tr>
      <w:tr w:rsidR="00F61D8C" w:rsidRPr="00F61D8C" w14:paraId="098D2F16" w14:textId="77777777" w:rsidTr="00F61D8C">
        <w:trPr>
          <w:trHeight w:val="330"/>
        </w:trPr>
        <w:tc>
          <w:tcPr>
            <w:tcW w:w="2560" w:type="dxa"/>
            <w:tcBorders>
              <w:top w:val="nil"/>
              <w:left w:val="nil"/>
              <w:bottom w:val="double" w:sz="6" w:space="0" w:color="auto"/>
              <w:right w:val="nil"/>
            </w:tcBorders>
            <w:shd w:val="clear" w:color="000000" w:fill="FFFFFF"/>
            <w:noWrap/>
            <w:vAlign w:val="bottom"/>
            <w:hideMark/>
          </w:tcPr>
          <w:p w14:paraId="19A7E78C" w14:textId="77777777"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Diğer Hizmet</w:t>
            </w:r>
          </w:p>
        </w:tc>
        <w:tc>
          <w:tcPr>
            <w:tcW w:w="1327" w:type="dxa"/>
            <w:tcBorders>
              <w:top w:val="nil"/>
              <w:left w:val="nil"/>
              <w:bottom w:val="double" w:sz="6" w:space="0" w:color="auto"/>
              <w:right w:val="nil"/>
            </w:tcBorders>
            <w:shd w:val="clear" w:color="000000" w:fill="FFFFFF"/>
            <w:noWrap/>
            <w:vAlign w:val="bottom"/>
            <w:hideMark/>
          </w:tcPr>
          <w:p w14:paraId="596A9FDA"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57,7</w:t>
            </w:r>
          </w:p>
        </w:tc>
        <w:tc>
          <w:tcPr>
            <w:tcW w:w="1053" w:type="dxa"/>
            <w:tcBorders>
              <w:top w:val="nil"/>
              <w:left w:val="nil"/>
              <w:bottom w:val="double" w:sz="6" w:space="0" w:color="auto"/>
              <w:right w:val="nil"/>
            </w:tcBorders>
            <w:shd w:val="clear" w:color="000000" w:fill="FFFFFF"/>
            <w:noWrap/>
            <w:vAlign w:val="bottom"/>
            <w:hideMark/>
          </w:tcPr>
          <w:p w14:paraId="6A835EA9"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62,0</w:t>
            </w:r>
          </w:p>
        </w:tc>
        <w:tc>
          <w:tcPr>
            <w:tcW w:w="1327" w:type="dxa"/>
            <w:tcBorders>
              <w:top w:val="nil"/>
              <w:left w:val="nil"/>
              <w:bottom w:val="double" w:sz="6" w:space="0" w:color="auto"/>
              <w:right w:val="nil"/>
            </w:tcBorders>
            <w:shd w:val="clear" w:color="000000" w:fill="FFFFFF"/>
            <w:noWrap/>
            <w:vAlign w:val="bottom"/>
            <w:hideMark/>
          </w:tcPr>
          <w:p w14:paraId="4CD36BE2"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74,4</w:t>
            </w:r>
          </w:p>
        </w:tc>
        <w:tc>
          <w:tcPr>
            <w:tcW w:w="1053" w:type="dxa"/>
            <w:tcBorders>
              <w:top w:val="nil"/>
              <w:left w:val="nil"/>
              <w:bottom w:val="double" w:sz="6" w:space="0" w:color="auto"/>
              <w:right w:val="nil"/>
            </w:tcBorders>
            <w:shd w:val="clear" w:color="000000" w:fill="FFFFFF"/>
            <w:noWrap/>
            <w:vAlign w:val="bottom"/>
            <w:hideMark/>
          </w:tcPr>
          <w:p w14:paraId="65DEABEB"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57,3</w:t>
            </w:r>
          </w:p>
        </w:tc>
        <w:tc>
          <w:tcPr>
            <w:tcW w:w="1327" w:type="dxa"/>
            <w:tcBorders>
              <w:top w:val="nil"/>
              <w:left w:val="nil"/>
              <w:bottom w:val="double" w:sz="6" w:space="0" w:color="auto"/>
              <w:right w:val="nil"/>
            </w:tcBorders>
            <w:shd w:val="clear" w:color="000000" w:fill="FFFFFF"/>
            <w:noWrap/>
            <w:vAlign w:val="bottom"/>
            <w:hideMark/>
          </w:tcPr>
          <w:p w14:paraId="2A764903"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45,0</w:t>
            </w:r>
          </w:p>
        </w:tc>
        <w:tc>
          <w:tcPr>
            <w:tcW w:w="1053" w:type="dxa"/>
            <w:tcBorders>
              <w:top w:val="nil"/>
              <w:left w:val="nil"/>
              <w:bottom w:val="double" w:sz="6" w:space="0" w:color="auto"/>
              <w:right w:val="nil"/>
            </w:tcBorders>
            <w:shd w:val="clear" w:color="000000" w:fill="FFFFFF"/>
            <w:noWrap/>
            <w:vAlign w:val="bottom"/>
            <w:hideMark/>
          </w:tcPr>
          <w:p w14:paraId="16DBCE7C"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55,9</w:t>
            </w:r>
          </w:p>
        </w:tc>
      </w:tr>
      <w:tr w:rsidR="00F61D8C" w:rsidRPr="00F61D8C" w14:paraId="60546804" w14:textId="77777777" w:rsidTr="00F61D8C">
        <w:trPr>
          <w:trHeight w:val="330"/>
        </w:trPr>
        <w:tc>
          <w:tcPr>
            <w:tcW w:w="2560" w:type="dxa"/>
            <w:tcBorders>
              <w:top w:val="nil"/>
              <w:left w:val="nil"/>
              <w:bottom w:val="nil"/>
              <w:right w:val="nil"/>
            </w:tcBorders>
            <w:shd w:val="clear" w:color="auto" w:fill="auto"/>
            <w:noWrap/>
            <w:vAlign w:val="bottom"/>
            <w:hideMark/>
          </w:tcPr>
          <w:p w14:paraId="08540FC6" w14:textId="77777777" w:rsidR="00F61D8C" w:rsidRPr="00F61D8C" w:rsidRDefault="00F61D8C" w:rsidP="00F61D8C">
            <w:pPr>
              <w:suppressAutoHyphens w:val="0"/>
              <w:spacing w:after="0" w:line="240" w:lineRule="auto"/>
              <w:jc w:val="left"/>
              <w:rPr>
                <w:rFonts w:cs="Times New Roman"/>
                <w:color w:val="000000"/>
                <w:sz w:val="18"/>
                <w:szCs w:val="18"/>
                <w:lang w:eastAsia="tr-TR"/>
              </w:rPr>
            </w:pPr>
            <w:r w:rsidRPr="00F61D8C">
              <w:rPr>
                <w:rFonts w:cs="Times New Roman"/>
                <w:color w:val="000000"/>
                <w:sz w:val="18"/>
                <w:szCs w:val="18"/>
                <w:lang w:eastAsia="tr-TR"/>
              </w:rPr>
              <w:t>Toplam</w:t>
            </w:r>
          </w:p>
        </w:tc>
        <w:tc>
          <w:tcPr>
            <w:tcW w:w="1327" w:type="dxa"/>
            <w:tcBorders>
              <w:top w:val="nil"/>
              <w:left w:val="nil"/>
              <w:bottom w:val="nil"/>
              <w:right w:val="nil"/>
            </w:tcBorders>
            <w:shd w:val="clear" w:color="auto" w:fill="auto"/>
            <w:noWrap/>
            <w:vAlign w:val="bottom"/>
            <w:hideMark/>
          </w:tcPr>
          <w:p w14:paraId="1BEDDBED"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29,4</w:t>
            </w:r>
          </w:p>
        </w:tc>
        <w:tc>
          <w:tcPr>
            <w:tcW w:w="1053" w:type="dxa"/>
            <w:tcBorders>
              <w:top w:val="nil"/>
              <w:left w:val="nil"/>
              <w:bottom w:val="nil"/>
              <w:right w:val="nil"/>
            </w:tcBorders>
            <w:shd w:val="clear" w:color="auto" w:fill="auto"/>
            <w:noWrap/>
            <w:vAlign w:val="bottom"/>
            <w:hideMark/>
          </w:tcPr>
          <w:p w14:paraId="0F1AC108"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19,6</w:t>
            </w:r>
          </w:p>
        </w:tc>
        <w:tc>
          <w:tcPr>
            <w:tcW w:w="1327" w:type="dxa"/>
            <w:tcBorders>
              <w:top w:val="nil"/>
              <w:left w:val="nil"/>
              <w:bottom w:val="nil"/>
              <w:right w:val="nil"/>
            </w:tcBorders>
            <w:shd w:val="clear" w:color="auto" w:fill="auto"/>
            <w:noWrap/>
            <w:vAlign w:val="bottom"/>
            <w:hideMark/>
          </w:tcPr>
          <w:p w14:paraId="106C10A6"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45,9</w:t>
            </w:r>
          </w:p>
        </w:tc>
        <w:tc>
          <w:tcPr>
            <w:tcW w:w="1053" w:type="dxa"/>
            <w:tcBorders>
              <w:top w:val="nil"/>
              <w:left w:val="nil"/>
              <w:bottom w:val="nil"/>
              <w:right w:val="nil"/>
            </w:tcBorders>
            <w:shd w:val="clear" w:color="auto" w:fill="auto"/>
            <w:noWrap/>
            <w:vAlign w:val="bottom"/>
            <w:hideMark/>
          </w:tcPr>
          <w:p w14:paraId="1CC76163"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18,3</w:t>
            </w:r>
          </w:p>
        </w:tc>
        <w:tc>
          <w:tcPr>
            <w:tcW w:w="1327" w:type="dxa"/>
            <w:tcBorders>
              <w:top w:val="nil"/>
              <w:left w:val="nil"/>
              <w:bottom w:val="nil"/>
              <w:right w:val="nil"/>
            </w:tcBorders>
            <w:shd w:val="clear" w:color="auto" w:fill="auto"/>
            <w:noWrap/>
            <w:vAlign w:val="bottom"/>
            <w:hideMark/>
          </w:tcPr>
          <w:p w14:paraId="27EFC578"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13,2</w:t>
            </w:r>
          </w:p>
        </w:tc>
        <w:tc>
          <w:tcPr>
            <w:tcW w:w="1053" w:type="dxa"/>
            <w:tcBorders>
              <w:top w:val="nil"/>
              <w:left w:val="nil"/>
              <w:bottom w:val="nil"/>
              <w:right w:val="nil"/>
            </w:tcBorders>
            <w:shd w:val="clear" w:color="auto" w:fill="auto"/>
            <w:noWrap/>
            <w:vAlign w:val="bottom"/>
            <w:hideMark/>
          </w:tcPr>
          <w:p w14:paraId="34775068" w14:textId="77777777" w:rsidR="00F61D8C" w:rsidRPr="00F61D8C" w:rsidRDefault="00F61D8C" w:rsidP="00F61D8C">
            <w:pPr>
              <w:suppressAutoHyphens w:val="0"/>
              <w:spacing w:after="0" w:line="240" w:lineRule="auto"/>
              <w:jc w:val="center"/>
              <w:rPr>
                <w:rFonts w:cs="Times New Roman"/>
                <w:color w:val="000000"/>
                <w:sz w:val="18"/>
                <w:szCs w:val="18"/>
                <w:lang w:eastAsia="tr-TR"/>
              </w:rPr>
            </w:pPr>
            <w:r w:rsidRPr="00F61D8C">
              <w:rPr>
                <w:rFonts w:cs="Times New Roman"/>
                <w:color w:val="000000"/>
                <w:sz w:val="18"/>
                <w:szCs w:val="18"/>
                <w:lang w:eastAsia="tr-TR"/>
              </w:rPr>
              <w:t>18,2</w:t>
            </w:r>
          </w:p>
        </w:tc>
      </w:tr>
    </w:tbl>
    <w:p w14:paraId="04D683C2" w14:textId="77777777" w:rsidR="00F61D8C" w:rsidRDefault="00F61D8C" w:rsidP="000513AE">
      <w:pPr>
        <w:pStyle w:val="NoSpacing"/>
        <w:jc w:val="both"/>
        <w:rPr>
          <w:rFonts w:ascii="Palatino Linotype" w:hAnsi="Palatino Linotype"/>
          <w:b/>
          <w:sz w:val="20"/>
        </w:rPr>
      </w:pPr>
    </w:p>
    <w:p w14:paraId="3D587082" w14:textId="08CEE93D" w:rsidR="000513AE" w:rsidRPr="009842CC" w:rsidRDefault="000513AE" w:rsidP="000513AE">
      <w:pPr>
        <w:pStyle w:val="NoSpacing"/>
        <w:jc w:val="both"/>
        <w:rPr>
          <w:rFonts w:ascii="Palatino Linotype" w:hAnsi="Palatino Linotype"/>
          <w:sz w:val="20"/>
          <w:szCs w:val="20"/>
          <w:lang w:eastAsia="tr-TR"/>
        </w:rPr>
      </w:pPr>
      <w:r>
        <w:rPr>
          <w:rFonts w:ascii="Palatino Linotype" w:hAnsi="Palatino Linotype"/>
          <w:b/>
          <w:sz w:val="20"/>
          <w:szCs w:val="20"/>
          <w:lang w:eastAsia="tr-TR"/>
        </w:rPr>
        <w:t>K</w:t>
      </w:r>
      <w:r w:rsidRPr="005E340A">
        <w:rPr>
          <w:rFonts w:ascii="Palatino Linotype" w:hAnsi="Palatino Linotype"/>
          <w:b/>
          <w:sz w:val="20"/>
          <w:szCs w:val="20"/>
          <w:lang w:eastAsia="tr-TR"/>
        </w:rPr>
        <w:t>aynak</w:t>
      </w:r>
      <w:r w:rsidRPr="005E340A">
        <w:rPr>
          <w:rFonts w:ascii="Palatino Linotype" w:hAnsi="Palatino Linotype"/>
          <w:sz w:val="20"/>
          <w:szCs w:val="20"/>
          <w:lang w:eastAsia="tr-TR"/>
        </w:rPr>
        <w:t>:</w:t>
      </w:r>
      <w:r>
        <w:rPr>
          <w:rFonts w:ascii="Palatino Linotype" w:hAnsi="Palatino Linotype"/>
          <w:sz w:val="20"/>
          <w:szCs w:val="20"/>
          <w:lang w:eastAsia="tr-TR"/>
        </w:rPr>
        <w:t xml:space="preserve"> </w:t>
      </w:r>
      <w:r w:rsidRPr="008A2DAF">
        <w:rPr>
          <w:rFonts w:ascii="Palatino Linotype" w:hAnsi="Palatino Linotype"/>
          <w:sz w:val="20"/>
          <w:szCs w:val="20"/>
          <w:lang w:eastAsia="tr-TR"/>
        </w:rPr>
        <w:t xml:space="preserve">TUİK, HİA 2014, 2015,2016 mikro veri ve İşgücü İstatistikleri (http://www.tuik.gov.tr, Erişim tarihi 06.11.2017) </w:t>
      </w:r>
      <w:r w:rsidRPr="008A2DAF">
        <w:rPr>
          <w:rFonts w:ascii="Palatino Linotype" w:hAnsi="Palatino Linotype"/>
          <w:b/>
          <w:sz w:val="20"/>
          <w:szCs w:val="20"/>
          <w:lang w:eastAsia="tr-TR"/>
        </w:rPr>
        <w:t>Not:</w:t>
      </w:r>
      <w:r w:rsidRPr="008A2DAF">
        <w:rPr>
          <w:rFonts w:ascii="Palatino Linotype" w:hAnsi="Palatino Linotype"/>
          <w:sz w:val="20"/>
          <w:szCs w:val="20"/>
          <w:lang w:eastAsia="tr-TR"/>
        </w:rPr>
        <w:t xml:space="preserve"> Düşük ücretli çalışanların oranı hesaplanırken bir sonraki yılın enflasyonla düzeltilmiş asgari ücret seviyesi sınır değer olarak kullanılmıştır (bkz. Veri ve Yöntem bölümü ve Dipnot 2).</w:t>
      </w:r>
      <w:r>
        <w:rPr>
          <w:rFonts w:ascii="Palatino Linotype" w:hAnsi="Palatino Linotype"/>
          <w:sz w:val="20"/>
          <w:szCs w:val="20"/>
          <w:lang w:eastAsia="tr-TR"/>
        </w:rPr>
        <w:t xml:space="preserve"> </w:t>
      </w:r>
    </w:p>
    <w:p w14:paraId="6A682B77" w14:textId="31883A26" w:rsidR="00986DC0" w:rsidRPr="009842CC" w:rsidRDefault="00986DC0" w:rsidP="00986DC0">
      <w:pPr>
        <w:pStyle w:val="NoSpacing"/>
        <w:jc w:val="both"/>
        <w:rPr>
          <w:rFonts w:ascii="Palatino Linotype" w:hAnsi="Palatino Linotype"/>
          <w:sz w:val="20"/>
          <w:szCs w:val="20"/>
          <w:lang w:eastAsia="tr-TR"/>
        </w:rPr>
      </w:pPr>
      <w:r w:rsidRPr="009842CC">
        <w:rPr>
          <w:rFonts w:ascii="Palatino Linotype" w:hAnsi="Palatino Linotype"/>
          <w:sz w:val="20"/>
          <w:szCs w:val="20"/>
          <w:lang w:eastAsia="tr-TR"/>
        </w:rPr>
        <w:t xml:space="preserve"> </w:t>
      </w:r>
    </w:p>
    <w:p w14:paraId="05A8DB5A" w14:textId="77777777" w:rsidR="0071649C" w:rsidRDefault="0071649C" w:rsidP="00B23113">
      <w:pPr>
        <w:pStyle w:val="Caption"/>
        <w:keepNext/>
        <w:rPr>
          <w:sz w:val="22"/>
        </w:rPr>
      </w:pPr>
    </w:p>
    <w:p w14:paraId="39F3CA30" w14:textId="77777777" w:rsidR="0071649C" w:rsidRDefault="0071649C" w:rsidP="00B23113">
      <w:pPr>
        <w:pStyle w:val="Caption"/>
        <w:keepNext/>
        <w:rPr>
          <w:sz w:val="22"/>
        </w:rPr>
      </w:pPr>
    </w:p>
    <w:p w14:paraId="58A059A5" w14:textId="77777777" w:rsidR="0071649C" w:rsidRDefault="0071649C" w:rsidP="0071649C"/>
    <w:p w14:paraId="1A9BF05A" w14:textId="77777777" w:rsidR="0071649C" w:rsidRDefault="0071649C" w:rsidP="0071649C"/>
    <w:p w14:paraId="6B606544" w14:textId="77777777" w:rsidR="0071649C" w:rsidRDefault="0071649C" w:rsidP="0071649C"/>
    <w:p w14:paraId="6C19C0DC" w14:textId="77777777" w:rsidR="0071649C" w:rsidRDefault="0071649C" w:rsidP="0071649C"/>
    <w:p w14:paraId="3308AC23" w14:textId="77777777" w:rsidR="0071649C" w:rsidRDefault="0071649C" w:rsidP="0071649C"/>
    <w:p w14:paraId="604EB1AE" w14:textId="77777777" w:rsidR="0071649C" w:rsidRPr="00E70CEB" w:rsidRDefault="0071649C" w:rsidP="008342DA">
      <w:pPr>
        <w:rPr>
          <w:szCs w:val="22"/>
        </w:rPr>
      </w:pPr>
    </w:p>
    <w:p w14:paraId="460339D3" w14:textId="6905DA3A" w:rsidR="008342DA" w:rsidRPr="00E70CEB" w:rsidRDefault="008342DA" w:rsidP="008342DA">
      <w:pPr>
        <w:pStyle w:val="Caption"/>
        <w:keepNext/>
        <w:rPr>
          <w:sz w:val="22"/>
          <w:szCs w:val="22"/>
        </w:rPr>
      </w:pPr>
      <w:r w:rsidRPr="00E70CEB">
        <w:rPr>
          <w:sz w:val="22"/>
          <w:szCs w:val="22"/>
        </w:rPr>
        <w:lastRenderedPageBreak/>
        <w:t xml:space="preserve">Ek </w:t>
      </w:r>
      <w:r w:rsidR="00A66359">
        <w:rPr>
          <w:sz w:val="22"/>
          <w:szCs w:val="22"/>
        </w:rPr>
        <w:t xml:space="preserve">Tablo </w:t>
      </w:r>
      <w:r w:rsidR="00C22019">
        <w:rPr>
          <w:sz w:val="22"/>
          <w:szCs w:val="22"/>
        </w:rPr>
        <w:t>2</w:t>
      </w:r>
      <w:r w:rsidRPr="00E70CEB">
        <w:rPr>
          <w:sz w:val="22"/>
          <w:szCs w:val="22"/>
        </w:rPr>
        <w:t xml:space="preserve">: Sektörlerin </w:t>
      </w:r>
      <w:r w:rsidRPr="00E70CEB">
        <w:rPr>
          <w:sz w:val="22"/>
        </w:rPr>
        <w:t>karşılık</w:t>
      </w:r>
      <w:r w:rsidRPr="00E70CEB">
        <w:rPr>
          <w:sz w:val="22"/>
          <w:szCs w:val="22"/>
        </w:rPr>
        <w:t xml:space="preserve"> geldiği harfler</w:t>
      </w:r>
    </w:p>
    <w:tbl>
      <w:tblPr>
        <w:tblW w:w="4815" w:type="dxa"/>
        <w:tblCellMar>
          <w:left w:w="70" w:type="dxa"/>
          <w:right w:w="70" w:type="dxa"/>
        </w:tblCellMar>
        <w:tblLook w:val="04A0" w:firstRow="1" w:lastRow="0" w:firstColumn="1" w:lastColumn="0" w:noHBand="0" w:noVBand="1"/>
      </w:tblPr>
      <w:tblGrid>
        <w:gridCol w:w="990"/>
        <w:gridCol w:w="3825"/>
      </w:tblGrid>
      <w:tr w:rsidR="008342DA" w:rsidRPr="00E70CEB" w14:paraId="2469953F" w14:textId="77777777" w:rsidTr="00E70CEB">
        <w:trPr>
          <w:trHeight w:val="268"/>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E36C9" w14:textId="77777777" w:rsidR="008342DA" w:rsidRPr="00E70CEB" w:rsidRDefault="008342DA" w:rsidP="00E70CEB">
            <w:pPr>
              <w:suppressAutoHyphens w:val="0"/>
              <w:spacing w:after="0" w:line="240" w:lineRule="auto"/>
              <w:jc w:val="center"/>
              <w:rPr>
                <w:rFonts w:cs="Times New Roman"/>
                <w:color w:val="000000"/>
                <w:szCs w:val="22"/>
                <w:lang w:eastAsia="tr-TR"/>
              </w:rPr>
            </w:pPr>
            <w:r w:rsidRPr="00E70CEB">
              <w:rPr>
                <w:rFonts w:cs="Times New Roman"/>
                <w:color w:val="000000"/>
                <w:szCs w:val="22"/>
                <w:lang w:eastAsia="tr-TR"/>
              </w:rPr>
              <w:t>Kod</w:t>
            </w:r>
          </w:p>
        </w:tc>
        <w:tc>
          <w:tcPr>
            <w:tcW w:w="3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87C68" w14:textId="77777777" w:rsidR="008342DA" w:rsidRPr="00E70CEB" w:rsidRDefault="008342DA" w:rsidP="00E70CEB">
            <w:pPr>
              <w:suppressAutoHyphens w:val="0"/>
              <w:spacing w:after="0" w:line="240" w:lineRule="auto"/>
              <w:rPr>
                <w:rFonts w:cs="Times New Roman"/>
                <w:color w:val="000000"/>
                <w:szCs w:val="22"/>
                <w:lang w:eastAsia="tr-TR"/>
              </w:rPr>
            </w:pPr>
            <w:r w:rsidRPr="00E70CEB">
              <w:rPr>
                <w:rFonts w:cs="Times New Roman"/>
                <w:color w:val="000000"/>
                <w:szCs w:val="22"/>
                <w:lang w:eastAsia="tr-TR"/>
              </w:rPr>
              <w:t>Sektör</w:t>
            </w:r>
          </w:p>
        </w:tc>
      </w:tr>
      <w:tr w:rsidR="008342DA" w:rsidRPr="00E70CEB" w14:paraId="23176CF2" w14:textId="77777777" w:rsidTr="00E70CEB">
        <w:trPr>
          <w:trHeight w:val="256"/>
        </w:trPr>
        <w:tc>
          <w:tcPr>
            <w:tcW w:w="990" w:type="dxa"/>
            <w:tcBorders>
              <w:top w:val="single" w:sz="4" w:space="0" w:color="auto"/>
              <w:left w:val="single" w:sz="4" w:space="0" w:color="auto"/>
              <w:bottom w:val="nil"/>
              <w:right w:val="single" w:sz="4" w:space="0" w:color="auto"/>
            </w:tcBorders>
            <w:shd w:val="clear" w:color="auto" w:fill="auto"/>
            <w:noWrap/>
            <w:vAlign w:val="bottom"/>
            <w:hideMark/>
          </w:tcPr>
          <w:p w14:paraId="018F6848" w14:textId="77777777" w:rsidR="008342DA" w:rsidRPr="00E70CEB" w:rsidRDefault="008342DA" w:rsidP="00E70CEB">
            <w:pPr>
              <w:suppressAutoHyphens w:val="0"/>
              <w:spacing w:after="0" w:line="240" w:lineRule="auto"/>
              <w:jc w:val="center"/>
              <w:rPr>
                <w:rFonts w:cs="Times New Roman"/>
                <w:color w:val="000000"/>
                <w:szCs w:val="22"/>
                <w:lang w:eastAsia="tr-TR"/>
              </w:rPr>
            </w:pPr>
            <w:r w:rsidRPr="00E70CEB">
              <w:rPr>
                <w:rFonts w:cs="Times New Roman"/>
                <w:color w:val="000000"/>
                <w:szCs w:val="22"/>
                <w:lang w:eastAsia="tr-TR"/>
              </w:rPr>
              <w:t>A</w:t>
            </w:r>
          </w:p>
        </w:tc>
        <w:tc>
          <w:tcPr>
            <w:tcW w:w="3825" w:type="dxa"/>
            <w:tcBorders>
              <w:top w:val="single" w:sz="4" w:space="0" w:color="auto"/>
              <w:left w:val="single" w:sz="4" w:space="0" w:color="auto"/>
              <w:bottom w:val="nil"/>
              <w:right w:val="single" w:sz="4" w:space="0" w:color="auto"/>
            </w:tcBorders>
            <w:shd w:val="clear" w:color="auto" w:fill="auto"/>
            <w:noWrap/>
            <w:vAlign w:val="bottom"/>
            <w:hideMark/>
          </w:tcPr>
          <w:p w14:paraId="75A05630" w14:textId="77777777" w:rsidR="008342DA" w:rsidRPr="00E70CEB" w:rsidRDefault="008342DA" w:rsidP="00E70CEB">
            <w:pPr>
              <w:suppressAutoHyphens w:val="0"/>
              <w:spacing w:after="0" w:line="240" w:lineRule="auto"/>
              <w:rPr>
                <w:color w:val="000000"/>
                <w:szCs w:val="22"/>
                <w:lang w:eastAsia="tr-TR"/>
              </w:rPr>
            </w:pPr>
            <w:r w:rsidRPr="00E70CEB">
              <w:rPr>
                <w:color w:val="000000"/>
                <w:szCs w:val="22"/>
                <w:lang w:eastAsia="tr-TR"/>
              </w:rPr>
              <w:t>Tarım</w:t>
            </w:r>
          </w:p>
        </w:tc>
      </w:tr>
      <w:tr w:rsidR="008342DA" w:rsidRPr="00E70CEB" w14:paraId="56ED5F8E" w14:textId="77777777" w:rsidTr="00E70CEB">
        <w:trPr>
          <w:trHeight w:val="268"/>
        </w:trPr>
        <w:tc>
          <w:tcPr>
            <w:tcW w:w="990" w:type="dxa"/>
            <w:tcBorders>
              <w:top w:val="nil"/>
              <w:left w:val="single" w:sz="4" w:space="0" w:color="auto"/>
              <w:bottom w:val="nil"/>
              <w:right w:val="single" w:sz="4" w:space="0" w:color="auto"/>
            </w:tcBorders>
            <w:shd w:val="clear" w:color="auto" w:fill="auto"/>
            <w:noWrap/>
            <w:vAlign w:val="bottom"/>
            <w:hideMark/>
          </w:tcPr>
          <w:p w14:paraId="54BB4885" w14:textId="77777777" w:rsidR="008342DA" w:rsidRPr="00E70CEB" w:rsidRDefault="008342DA" w:rsidP="00E70CEB">
            <w:pPr>
              <w:suppressAutoHyphens w:val="0"/>
              <w:spacing w:after="0" w:line="240" w:lineRule="auto"/>
              <w:jc w:val="center"/>
              <w:rPr>
                <w:rFonts w:cs="Times New Roman"/>
                <w:color w:val="000000"/>
                <w:szCs w:val="22"/>
                <w:lang w:eastAsia="tr-TR"/>
              </w:rPr>
            </w:pPr>
            <w:r w:rsidRPr="00E70CEB">
              <w:rPr>
                <w:rFonts w:cs="Times New Roman"/>
                <w:color w:val="000000"/>
                <w:szCs w:val="22"/>
                <w:lang w:eastAsia="tr-TR"/>
              </w:rPr>
              <w:t>B</w:t>
            </w:r>
          </w:p>
        </w:tc>
        <w:tc>
          <w:tcPr>
            <w:tcW w:w="3825" w:type="dxa"/>
            <w:tcBorders>
              <w:top w:val="nil"/>
              <w:left w:val="single" w:sz="4" w:space="0" w:color="auto"/>
              <w:bottom w:val="nil"/>
              <w:right w:val="single" w:sz="4" w:space="0" w:color="auto"/>
            </w:tcBorders>
            <w:shd w:val="clear" w:color="auto" w:fill="auto"/>
            <w:noWrap/>
            <w:vAlign w:val="bottom"/>
            <w:hideMark/>
          </w:tcPr>
          <w:p w14:paraId="2FD9F088" w14:textId="77777777" w:rsidR="008342DA" w:rsidRPr="00E70CEB" w:rsidRDefault="008342DA" w:rsidP="00E70CEB">
            <w:pPr>
              <w:suppressAutoHyphens w:val="0"/>
              <w:spacing w:after="0" w:line="240" w:lineRule="auto"/>
              <w:rPr>
                <w:color w:val="000000"/>
                <w:szCs w:val="22"/>
                <w:lang w:eastAsia="tr-TR"/>
              </w:rPr>
            </w:pPr>
            <w:r w:rsidRPr="00E70CEB">
              <w:rPr>
                <w:color w:val="000000"/>
                <w:szCs w:val="22"/>
                <w:lang w:eastAsia="tr-TR"/>
              </w:rPr>
              <w:t>Madencilik ve Taş Ocakçılığı</w:t>
            </w:r>
          </w:p>
        </w:tc>
      </w:tr>
      <w:tr w:rsidR="008342DA" w:rsidRPr="00E70CEB" w14:paraId="5B05AC46" w14:textId="77777777" w:rsidTr="00E70CEB">
        <w:trPr>
          <w:trHeight w:val="268"/>
        </w:trPr>
        <w:tc>
          <w:tcPr>
            <w:tcW w:w="990" w:type="dxa"/>
            <w:tcBorders>
              <w:top w:val="nil"/>
              <w:left w:val="single" w:sz="4" w:space="0" w:color="auto"/>
              <w:bottom w:val="nil"/>
              <w:right w:val="single" w:sz="4" w:space="0" w:color="auto"/>
            </w:tcBorders>
            <w:shd w:val="clear" w:color="auto" w:fill="auto"/>
            <w:noWrap/>
            <w:vAlign w:val="bottom"/>
            <w:hideMark/>
          </w:tcPr>
          <w:p w14:paraId="6B77B5BB" w14:textId="77777777" w:rsidR="008342DA" w:rsidRPr="00E70CEB" w:rsidRDefault="008342DA" w:rsidP="00E70CEB">
            <w:pPr>
              <w:suppressAutoHyphens w:val="0"/>
              <w:spacing w:after="0" w:line="240" w:lineRule="auto"/>
              <w:jc w:val="center"/>
              <w:rPr>
                <w:rFonts w:cs="Times New Roman"/>
                <w:color w:val="000000"/>
                <w:szCs w:val="22"/>
                <w:lang w:eastAsia="tr-TR"/>
              </w:rPr>
            </w:pPr>
            <w:r w:rsidRPr="00E70CEB">
              <w:rPr>
                <w:rFonts w:cs="Times New Roman"/>
                <w:color w:val="000000"/>
                <w:szCs w:val="22"/>
                <w:lang w:eastAsia="tr-TR"/>
              </w:rPr>
              <w:t>C</w:t>
            </w:r>
          </w:p>
        </w:tc>
        <w:tc>
          <w:tcPr>
            <w:tcW w:w="3825" w:type="dxa"/>
            <w:tcBorders>
              <w:top w:val="nil"/>
              <w:left w:val="single" w:sz="4" w:space="0" w:color="auto"/>
              <w:bottom w:val="nil"/>
              <w:right w:val="single" w:sz="4" w:space="0" w:color="auto"/>
            </w:tcBorders>
            <w:shd w:val="clear" w:color="auto" w:fill="auto"/>
            <w:noWrap/>
            <w:vAlign w:val="bottom"/>
            <w:hideMark/>
          </w:tcPr>
          <w:p w14:paraId="6A83BD65" w14:textId="77777777" w:rsidR="008342DA" w:rsidRPr="00E70CEB" w:rsidRDefault="008342DA" w:rsidP="00E70CEB">
            <w:pPr>
              <w:suppressAutoHyphens w:val="0"/>
              <w:spacing w:after="0" w:line="240" w:lineRule="auto"/>
              <w:rPr>
                <w:color w:val="000000"/>
                <w:szCs w:val="22"/>
                <w:lang w:eastAsia="tr-TR"/>
              </w:rPr>
            </w:pPr>
            <w:r w:rsidRPr="00E70CEB">
              <w:rPr>
                <w:color w:val="000000"/>
                <w:szCs w:val="22"/>
                <w:lang w:eastAsia="tr-TR"/>
              </w:rPr>
              <w:t>İmalat</w:t>
            </w:r>
          </w:p>
        </w:tc>
      </w:tr>
      <w:tr w:rsidR="008342DA" w:rsidRPr="00E70CEB" w14:paraId="7E87E980" w14:textId="77777777" w:rsidTr="00E70CEB">
        <w:trPr>
          <w:trHeight w:val="256"/>
        </w:trPr>
        <w:tc>
          <w:tcPr>
            <w:tcW w:w="990" w:type="dxa"/>
            <w:tcBorders>
              <w:top w:val="nil"/>
              <w:left w:val="single" w:sz="4" w:space="0" w:color="auto"/>
              <w:bottom w:val="nil"/>
              <w:right w:val="single" w:sz="4" w:space="0" w:color="auto"/>
            </w:tcBorders>
            <w:shd w:val="clear" w:color="auto" w:fill="auto"/>
            <w:noWrap/>
            <w:vAlign w:val="bottom"/>
            <w:hideMark/>
          </w:tcPr>
          <w:p w14:paraId="03AED871" w14:textId="77777777" w:rsidR="008342DA" w:rsidRPr="00E70CEB" w:rsidRDefault="008342DA" w:rsidP="00E70CEB">
            <w:pPr>
              <w:suppressAutoHyphens w:val="0"/>
              <w:spacing w:after="0" w:line="240" w:lineRule="auto"/>
              <w:jc w:val="center"/>
              <w:rPr>
                <w:rFonts w:cs="Times New Roman"/>
                <w:color w:val="000000"/>
                <w:szCs w:val="22"/>
                <w:lang w:eastAsia="tr-TR"/>
              </w:rPr>
            </w:pPr>
            <w:r w:rsidRPr="00E70CEB">
              <w:rPr>
                <w:rFonts w:cs="Times New Roman"/>
                <w:color w:val="000000"/>
                <w:szCs w:val="22"/>
                <w:lang w:eastAsia="tr-TR"/>
              </w:rPr>
              <w:t>DE</w:t>
            </w:r>
          </w:p>
        </w:tc>
        <w:tc>
          <w:tcPr>
            <w:tcW w:w="3825" w:type="dxa"/>
            <w:tcBorders>
              <w:top w:val="nil"/>
              <w:left w:val="single" w:sz="4" w:space="0" w:color="auto"/>
              <w:bottom w:val="nil"/>
              <w:right w:val="single" w:sz="4" w:space="0" w:color="auto"/>
            </w:tcBorders>
            <w:shd w:val="clear" w:color="auto" w:fill="auto"/>
            <w:noWrap/>
            <w:vAlign w:val="bottom"/>
            <w:hideMark/>
          </w:tcPr>
          <w:p w14:paraId="65B226D0" w14:textId="77777777" w:rsidR="008342DA" w:rsidRPr="00E70CEB" w:rsidRDefault="008342DA" w:rsidP="00E70CEB">
            <w:pPr>
              <w:suppressAutoHyphens w:val="0"/>
              <w:spacing w:after="0" w:line="240" w:lineRule="auto"/>
              <w:rPr>
                <w:color w:val="000000"/>
                <w:szCs w:val="22"/>
                <w:lang w:eastAsia="tr-TR"/>
              </w:rPr>
            </w:pPr>
            <w:r w:rsidRPr="00E70CEB">
              <w:rPr>
                <w:color w:val="000000"/>
                <w:szCs w:val="22"/>
                <w:lang w:eastAsia="tr-TR"/>
              </w:rPr>
              <w:t>Elektrik+Su</w:t>
            </w:r>
          </w:p>
        </w:tc>
      </w:tr>
      <w:tr w:rsidR="008342DA" w:rsidRPr="00E70CEB" w14:paraId="4AD5204C" w14:textId="77777777" w:rsidTr="00E70CEB">
        <w:trPr>
          <w:trHeight w:val="256"/>
        </w:trPr>
        <w:tc>
          <w:tcPr>
            <w:tcW w:w="990" w:type="dxa"/>
            <w:tcBorders>
              <w:top w:val="nil"/>
              <w:left w:val="single" w:sz="4" w:space="0" w:color="auto"/>
              <w:bottom w:val="nil"/>
              <w:right w:val="single" w:sz="4" w:space="0" w:color="auto"/>
            </w:tcBorders>
            <w:shd w:val="clear" w:color="auto" w:fill="auto"/>
            <w:noWrap/>
            <w:vAlign w:val="bottom"/>
            <w:hideMark/>
          </w:tcPr>
          <w:p w14:paraId="3F15E1F0" w14:textId="77777777" w:rsidR="008342DA" w:rsidRPr="00E70CEB" w:rsidRDefault="008342DA" w:rsidP="00E70CEB">
            <w:pPr>
              <w:suppressAutoHyphens w:val="0"/>
              <w:spacing w:after="0" w:line="240" w:lineRule="auto"/>
              <w:jc w:val="center"/>
              <w:rPr>
                <w:rFonts w:cs="Times New Roman"/>
                <w:color w:val="000000"/>
                <w:szCs w:val="22"/>
                <w:lang w:eastAsia="tr-TR"/>
              </w:rPr>
            </w:pPr>
            <w:r w:rsidRPr="00E70CEB">
              <w:rPr>
                <w:rFonts w:cs="Times New Roman"/>
                <w:color w:val="000000"/>
                <w:szCs w:val="22"/>
                <w:lang w:eastAsia="tr-TR"/>
              </w:rPr>
              <w:t>F</w:t>
            </w:r>
          </w:p>
        </w:tc>
        <w:tc>
          <w:tcPr>
            <w:tcW w:w="3825" w:type="dxa"/>
            <w:tcBorders>
              <w:top w:val="nil"/>
              <w:left w:val="single" w:sz="4" w:space="0" w:color="auto"/>
              <w:bottom w:val="nil"/>
              <w:right w:val="single" w:sz="4" w:space="0" w:color="auto"/>
            </w:tcBorders>
            <w:shd w:val="clear" w:color="auto" w:fill="auto"/>
            <w:noWrap/>
            <w:vAlign w:val="bottom"/>
            <w:hideMark/>
          </w:tcPr>
          <w:p w14:paraId="45899991" w14:textId="77777777" w:rsidR="008342DA" w:rsidRPr="00E70CEB" w:rsidRDefault="008342DA" w:rsidP="00E70CEB">
            <w:pPr>
              <w:suppressAutoHyphens w:val="0"/>
              <w:spacing w:after="0" w:line="240" w:lineRule="auto"/>
              <w:rPr>
                <w:color w:val="000000"/>
                <w:szCs w:val="22"/>
                <w:lang w:eastAsia="tr-TR"/>
              </w:rPr>
            </w:pPr>
            <w:r w:rsidRPr="00E70CEB">
              <w:rPr>
                <w:color w:val="000000"/>
                <w:szCs w:val="22"/>
                <w:lang w:eastAsia="tr-TR"/>
              </w:rPr>
              <w:t>İnşaat</w:t>
            </w:r>
          </w:p>
        </w:tc>
      </w:tr>
      <w:tr w:rsidR="008342DA" w:rsidRPr="00E70CEB" w14:paraId="26E7A264" w14:textId="77777777" w:rsidTr="00E70CEB">
        <w:trPr>
          <w:trHeight w:val="268"/>
        </w:trPr>
        <w:tc>
          <w:tcPr>
            <w:tcW w:w="990" w:type="dxa"/>
            <w:tcBorders>
              <w:top w:val="nil"/>
              <w:left w:val="single" w:sz="4" w:space="0" w:color="auto"/>
              <w:bottom w:val="nil"/>
              <w:right w:val="single" w:sz="4" w:space="0" w:color="auto"/>
            </w:tcBorders>
            <w:shd w:val="clear" w:color="auto" w:fill="auto"/>
            <w:noWrap/>
            <w:vAlign w:val="bottom"/>
            <w:hideMark/>
          </w:tcPr>
          <w:p w14:paraId="6D44EE88" w14:textId="77777777" w:rsidR="008342DA" w:rsidRPr="00E70CEB" w:rsidRDefault="008342DA" w:rsidP="00E70CEB">
            <w:pPr>
              <w:suppressAutoHyphens w:val="0"/>
              <w:spacing w:after="0" w:line="240" w:lineRule="auto"/>
              <w:jc w:val="center"/>
              <w:rPr>
                <w:rFonts w:cs="Times New Roman"/>
                <w:color w:val="000000"/>
                <w:szCs w:val="22"/>
                <w:lang w:eastAsia="tr-TR"/>
              </w:rPr>
            </w:pPr>
            <w:r w:rsidRPr="00E70CEB">
              <w:rPr>
                <w:rFonts w:cs="Times New Roman"/>
                <w:color w:val="000000"/>
                <w:szCs w:val="22"/>
                <w:lang w:eastAsia="tr-TR"/>
              </w:rPr>
              <w:t>G</w:t>
            </w:r>
          </w:p>
        </w:tc>
        <w:tc>
          <w:tcPr>
            <w:tcW w:w="3825" w:type="dxa"/>
            <w:tcBorders>
              <w:top w:val="nil"/>
              <w:left w:val="single" w:sz="4" w:space="0" w:color="auto"/>
              <w:bottom w:val="nil"/>
              <w:right w:val="single" w:sz="4" w:space="0" w:color="auto"/>
            </w:tcBorders>
            <w:shd w:val="clear" w:color="auto" w:fill="auto"/>
            <w:noWrap/>
            <w:vAlign w:val="bottom"/>
            <w:hideMark/>
          </w:tcPr>
          <w:p w14:paraId="087FB8F7" w14:textId="77777777" w:rsidR="008342DA" w:rsidRPr="00E70CEB" w:rsidRDefault="008342DA" w:rsidP="00E70CEB">
            <w:pPr>
              <w:suppressAutoHyphens w:val="0"/>
              <w:spacing w:after="0" w:line="240" w:lineRule="auto"/>
              <w:rPr>
                <w:color w:val="000000"/>
                <w:szCs w:val="22"/>
                <w:lang w:eastAsia="tr-TR"/>
              </w:rPr>
            </w:pPr>
            <w:r w:rsidRPr="00E70CEB">
              <w:rPr>
                <w:color w:val="000000"/>
                <w:szCs w:val="22"/>
                <w:lang w:eastAsia="tr-TR"/>
              </w:rPr>
              <w:t>Toptan ve Perakende</w:t>
            </w:r>
          </w:p>
        </w:tc>
      </w:tr>
      <w:tr w:rsidR="008342DA" w:rsidRPr="00E70CEB" w14:paraId="5193A38B" w14:textId="77777777" w:rsidTr="00E70CEB">
        <w:trPr>
          <w:trHeight w:val="268"/>
        </w:trPr>
        <w:tc>
          <w:tcPr>
            <w:tcW w:w="990" w:type="dxa"/>
            <w:tcBorders>
              <w:top w:val="nil"/>
              <w:left w:val="single" w:sz="4" w:space="0" w:color="auto"/>
              <w:bottom w:val="nil"/>
              <w:right w:val="single" w:sz="4" w:space="0" w:color="auto"/>
            </w:tcBorders>
            <w:shd w:val="clear" w:color="auto" w:fill="auto"/>
            <w:noWrap/>
            <w:vAlign w:val="bottom"/>
            <w:hideMark/>
          </w:tcPr>
          <w:p w14:paraId="1F4D94D2" w14:textId="77777777" w:rsidR="008342DA" w:rsidRPr="00E70CEB" w:rsidRDefault="008342DA" w:rsidP="00E70CEB">
            <w:pPr>
              <w:suppressAutoHyphens w:val="0"/>
              <w:spacing w:after="0" w:line="240" w:lineRule="auto"/>
              <w:jc w:val="center"/>
              <w:rPr>
                <w:rFonts w:cs="Times New Roman"/>
                <w:color w:val="000000"/>
                <w:szCs w:val="22"/>
                <w:lang w:eastAsia="tr-TR"/>
              </w:rPr>
            </w:pPr>
            <w:r w:rsidRPr="00E70CEB">
              <w:rPr>
                <w:rFonts w:cs="Times New Roman"/>
                <w:color w:val="000000"/>
                <w:szCs w:val="22"/>
                <w:lang w:eastAsia="tr-TR"/>
              </w:rPr>
              <w:t>H</w:t>
            </w:r>
          </w:p>
        </w:tc>
        <w:tc>
          <w:tcPr>
            <w:tcW w:w="3825" w:type="dxa"/>
            <w:tcBorders>
              <w:top w:val="nil"/>
              <w:left w:val="single" w:sz="4" w:space="0" w:color="auto"/>
              <w:bottom w:val="nil"/>
              <w:right w:val="single" w:sz="4" w:space="0" w:color="auto"/>
            </w:tcBorders>
            <w:shd w:val="clear" w:color="auto" w:fill="auto"/>
            <w:noWrap/>
            <w:vAlign w:val="bottom"/>
            <w:hideMark/>
          </w:tcPr>
          <w:p w14:paraId="7E53027E" w14:textId="77777777" w:rsidR="008342DA" w:rsidRPr="00E70CEB" w:rsidRDefault="008342DA" w:rsidP="00E70CEB">
            <w:pPr>
              <w:suppressAutoHyphens w:val="0"/>
              <w:spacing w:after="0" w:line="240" w:lineRule="auto"/>
              <w:rPr>
                <w:color w:val="000000"/>
                <w:szCs w:val="22"/>
                <w:lang w:eastAsia="tr-TR"/>
              </w:rPr>
            </w:pPr>
            <w:r w:rsidRPr="00E70CEB">
              <w:rPr>
                <w:color w:val="000000"/>
                <w:szCs w:val="22"/>
                <w:lang w:eastAsia="tr-TR"/>
              </w:rPr>
              <w:t>Ulaştırma</w:t>
            </w:r>
          </w:p>
        </w:tc>
      </w:tr>
      <w:tr w:rsidR="008342DA" w:rsidRPr="00E70CEB" w14:paraId="54143BF6" w14:textId="77777777" w:rsidTr="00E70CEB">
        <w:trPr>
          <w:trHeight w:val="268"/>
        </w:trPr>
        <w:tc>
          <w:tcPr>
            <w:tcW w:w="990" w:type="dxa"/>
            <w:tcBorders>
              <w:top w:val="nil"/>
              <w:left w:val="single" w:sz="4" w:space="0" w:color="auto"/>
              <w:bottom w:val="nil"/>
              <w:right w:val="single" w:sz="4" w:space="0" w:color="auto"/>
            </w:tcBorders>
            <w:shd w:val="clear" w:color="auto" w:fill="auto"/>
            <w:noWrap/>
            <w:vAlign w:val="bottom"/>
            <w:hideMark/>
          </w:tcPr>
          <w:p w14:paraId="27F5EA6F" w14:textId="77777777" w:rsidR="008342DA" w:rsidRPr="00E70CEB" w:rsidRDefault="008342DA" w:rsidP="00E70CEB">
            <w:pPr>
              <w:suppressAutoHyphens w:val="0"/>
              <w:spacing w:after="0" w:line="240" w:lineRule="auto"/>
              <w:jc w:val="center"/>
              <w:rPr>
                <w:rFonts w:cs="Times New Roman"/>
                <w:color w:val="000000"/>
                <w:szCs w:val="22"/>
                <w:lang w:eastAsia="tr-TR"/>
              </w:rPr>
            </w:pPr>
            <w:r w:rsidRPr="00E70CEB">
              <w:rPr>
                <w:rFonts w:cs="Times New Roman"/>
                <w:color w:val="000000"/>
                <w:szCs w:val="22"/>
                <w:lang w:eastAsia="tr-TR"/>
              </w:rPr>
              <w:t>I</w:t>
            </w:r>
          </w:p>
        </w:tc>
        <w:tc>
          <w:tcPr>
            <w:tcW w:w="3825" w:type="dxa"/>
            <w:tcBorders>
              <w:top w:val="nil"/>
              <w:left w:val="single" w:sz="4" w:space="0" w:color="auto"/>
              <w:bottom w:val="nil"/>
              <w:right w:val="single" w:sz="4" w:space="0" w:color="auto"/>
            </w:tcBorders>
            <w:shd w:val="clear" w:color="auto" w:fill="auto"/>
            <w:noWrap/>
            <w:vAlign w:val="bottom"/>
            <w:hideMark/>
          </w:tcPr>
          <w:p w14:paraId="202F5D1F" w14:textId="77777777" w:rsidR="008342DA" w:rsidRPr="00E70CEB" w:rsidRDefault="008342DA" w:rsidP="00E70CEB">
            <w:pPr>
              <w:suppressAutoHyphens w:val="0"/>
              <w:spacing w:after="0" w:line="240" w:lineRule="auto"/>
              <w:rPr>
                <w:color w:val="000000"/>
                <w:szCs w:val="22"/>
                <w:lang w:eastAsia="tr-TR"/>
              </w:rPr>
            </w:pPr>
            <w:r w:rsidRPr="00E70CEB">
              <w:rPr>
                <w:color w:val="000000"/>
                <w:szCs w:val="22"/>
                <w:lang w:eastAsia="tr-TR"/>
              </w:rPr>
              <w:t>Konaklama</w:t>
            </w:r>
          </w:p>
        </w:tc>
      </w:tr>
      <w:tr w:rsidR="008342DA" w:rsidRPr="00E70CEB" w14:paraId="620A3342" w14:textId="77777777" w:rsidTr="00E70CEB">
        <w:trPr>
          <w:trHeight w:val="268"/>
        </w:trPr>
        <w:tc>
          <w:tcPr>
            <w:tcW w:w="990" w:type="dxa"/>
            <w:tcBorders>
              <w:top w:val="nil"/>
              <w:left w:val="single" w:sz="4" w:space="0" w:color="auto"/>
              <w:bottom w:val="nil"/>
              <w:right w:val="single" w:sz="4" w:space="0" w:color="auto"/>
            </w:tcBorders>
            <w:shd w:val="clear" w:color="auto" w:fill="auto"/>
            <w:noWrap/>
            <w:vAlign w:val="bottom"/>
            <w:hideMark/>
          </w:tcPr>
          <w:p w14:paraId="274D3412" w14:textId="77777777" w:rsidR="008342DA" w:rsidRPr="00E70CEB" w:rsidRDefault="008342DA" w:rsidP="00E70CEB">
            <w:pPr>
              <w:suppressAutoHyphens w:val="0"/>
              <w:spacing w:after="0" w:line="240" w:lineRule="auto"/>
              <w:jc w:val="center"/>
              <w:rPr>
                <w:rFonts w:cs="Times New Roman"/>
                <w:color w:val="000000"/>
                <w:szCs w:val="22"/>
                <w:lang w:eastAsia="tr-TR"/>
              </w:rPr>
            </w:pPr>
            <w:r w:rsidRPr="00E70CEB">
              <w:rPr>
                <w:rFonts w:cs="Times New Roman"/>
                <w:color w:val="000000"/>
                <w:szCs w:val="22"/>
                <w:lang w:eastAsia="tr-TR"/>
              </w:rPr>
              <w:t>J</w:t>
            </w:r>
          </w:p>
        </w:tc>
        <w:tc>
          <w:tcPr>
            <w:tcW w:w="3825" w:type="dxa"/>
            <w:tcBorders>
              <w:top w:val="nil"/>
              <w:left w:val="single" w:sz="4" w:space="0" w:color="auto"/>
              <w:bottom w:val="nil"/>
              <w:right w:val="single" w:sz="4" w:space="0" w:color="auto"/>
            </w:tcBorders>
            <w:shd w:val="clear" w:color="auto" w:fill="auto"/>
            <w:noWrap/>
            <w:vAlign w:val="bottom"/>
            <w:hideMark/>
          </w:tcPr>
          <w:p w14:paraId="57D35900" w14:textId="77777777" w:rsidR="008342DA" w:rsidRPr="00E70CEB" w:rsidRDefault="008342DA" w:rsidP="00E70CEB">
            <w:pPr>
              <w:suppressAutoHyphens w:val="0"/>
              <w:spacing w:after="0" w:line="240" w:lineRule="auto"/>
              <w:rPr>
                <w:color w:val="000000"/>
                <w:szCs w:val="22"/>
                <w:lang w:eastAsia="tr-TR"/>
              </w:rPr>
            </w:pPr>
            <w:r w:rsidRPr="00E70CEB">
              <w:rPr>
                <w:color w:val="000000"/>
                <w:szCs w:val="22"/>
                <w:lang w:eastAsia="tr-TR"/>
              </w:rPr>
              <w:t>Bilgi ve İletişim</w:t>
            </w:r>
          </w:p>
        </w:tc>
      </w:tr>
      <w:tr w:rsidR="008342DA" w:rsidRPr="00E70CEB" w14:paraId="26C399C4" w14:textId="77777777" w:rsidTr="00E70CEB">
        <w:trPr>
          <w:trHeight w:val="268"/>
        </w:trPr>
        <w:tc>
          <w:tcPr>
            <w:tcW w:w="990" w:type="dxa"/>
            <w:tcBorders>
              <w:top w:val="nil"/>
              <w:left w:val="single" w:sz="4" w:space="0" w:color="auto"/>
              <w:bottom w:val="nil"/>
              <w:right w:val="single" w:sz="4" w:space="0" w:color="auto"/>
            </w:tcBorders>
            <w:shd w:val="clear" w:color="auto" w:fill="auto"/>
            <w:noWrap/>
            <w:vAlign w:val="bottom"/>
            <w:hideMark/>
          </w:tcPr>
          <w:p w14:paraId="3C5D5826" w14:textId="77777777" w:rsidR="008342DA" w:rsidRPr="00E70CEB" w:rsidRDefault="008342DA" w:rsidP="00E70CEB">
            <w:pPr>
              <w:suppressAutoHyphens w:val="0"/>
              <w:spacing w:after="0" w:line="240" w:lineRule="auto"/>
              <w:jc w:val="center"/>
              <w:rPr>
                <w:rFonts w:cs="Times New Roman"/>
                <w:color w:val="000000"/>
                <w:szCs w:val="22"/>
                <w:lang w:eastAsia="tr-TR"/>
              </w:rPr>
            </w:pPr>
            <w:r w:rsidRPr="00E70CEB">
              <w:rPr>
                <w:rFonts w:cs="Times New Roman"/>
                <w:color w:val="000000"/>
                <w:szCs w:val="22"/>
                <w:lang w:eastAsia="tr-TR"/>
              </w:rPr>
              <w:t>K</w:t>
            </w:r>
          </w:p>
        </w:tc>
        <w:tc>
          <w:tcPr>
            <w:tcW w:w="3825" w:type="dxa"/>
            <w:tcBorders>
              <w:top w:val="nil"/>
              <w:left w:val="single" w:sz="4" w:space="0" w:color="auto"/>
              <w:bottom w:val="nil"/>
              <w:right w:val="single" w:sz="4" w:space="0" w:color="auto"/>
            </w:tcBorders>
            <w:shd w:val="clear" w:color="auto" w:fill="auto"/>
            <w:noWrap/>
            <w:vAlign w:val="bottom"/>
            <w:hideMark/>
          </w:tcPr>
          <w:p w14:paraId="640B763B" w14:textId="77777777" w:rsidR="008342DA" w:rsidRPr="00E70CEB" w:rsidRDefault="008342DA" w:rsidP="00E70CEB">
            <w:pPr>
              <w:suppressAutoHyphens w:val="0"/>
              <w:spacing w:after="0" w:line="240" w:lineRule="auto"/>
              <w:rPr>
                <w:color w:val="000000"/>
                <w:szCs w:val="22"/>
                <w:lang w:eastAsia="tr-TR"/>
              </w:rPr>
            </w:pPr>
            <w:r w:rsidRPr="00E70CEB">
              <w:rPr>
                <w:color w:val="000000"/>
                <w:szCs w:val="22"/>
                <w:lang w:eastAsia="tr-TR"/>
              </w:rPr>
              <w:t>Finans ve Sigorta Faaliyetleri</w:t>
            </w:r>
          </w:p>
        </w:tc>
      </w:tr>
      <w:tr w:rsidR="008342DA" w:rsidRPr="00E70CEB" w14:paraId="0C5B945C" w14:textId="77777777" w:rsidTr="00E70CEB">
        <w:trPr>
          <w:trHeight w:val="268"/>
        </w:trPr>
        <w:tc>
          <w:tcPr>
            <w:tcW w:w="990" w:type="dxa"/>
            <w:tcBorders>
              <w:top w:val="nil"/>
              <w:left w:val="single" w:sz="4" w:space="0" w:color="auto"/>
              <w:bottom w:val="nil"/>
              <w:right w:val="single" w:sz="4" w:space="0" w:color="auto"/>
            </w:tcBorders>
            <w:shd w:val="clear" w:color="auto" w:fill="auto"/>
            <w:noWrap/>
            <w:vAlign w:val="bottom"/>
            <w:hideMark/>
          </w:tcPr>
          <w:p w14:paraId="38EEAFFF" w14:textId="77777777" w:rsidR="008342DA" w:rsidRPr="00E70CEB" w:rsidRDefault="008342DA" w:rsidP="00E70CEB">
            <w:pPr>
              <w:suppressAutoHyphens w:val="0"/>
              <w:spacing w:after="0" w:line="240" w:lineRule="auto"/>
              <w:jc w:val="center"/>
              <w:rPr>
                <w:rFonts w:cs="Times New Roman"/>
                <w:color w:val="000000"/>
                <w:szCs w:val="22"/>
                <w:lang w:eastAsia="tr-TR"/>
              </w:rPr>
            </w:pPr>
            <w:r w:rsidRPr="00E70CEB">
              <w:rPr>
                <w:rFonts w:cs="Times New Roman"/>
                <w:color w:val="000000"/>
                <w:szCs w:val="22"/>
                <w:lang w:eastAsia="tr-TR"/>
              </w:rPr>
              <w:t>L</w:t>
            </w:r>
          </w:p>
        </w:tc>
        <w:tc>
          <w:tcPr>
            <w:tcW w:w="3825" w:type="dxa"/>
            <w:tcBorders>
              <w:top w:val="nil"/>
              <w:left w:val="single" w:sz="4" w:space="0" w:color="auto"/>
              <w:bottom w:val="nil"/>
              <w:right w:val="single" w:sz="4" w:space="0" w:color="auto"/>
            </w:tcBorders>
            <w:shd w:val="clear" w:color="auto" w:fill="auto"/>
            <w:noWrap/>
            <w:vAlign w:val="bottom"/>
            <w:hideMark/>
          </w:tcPr>
          <w:p w14:paraId="37E2A187" w14:textId="77777777" w:rsidR="008342DA" w:rsidRPr="00E70CEB" w:rsidRDefault="008342DA" w:rsidP="00E70CEB">
            <w:pPr>
              <w:suppressAutoHyphens w:val="0"/>
              <w:spacing w:after="0" w:line="240" w:lineRule="auto"/>
              <w:rPr>
                <w:color w:val="000000"/>
                <w:szCs w:val="22"/>
                <w:lang w:eastAsia="tr-TR"/>
              </w:rPr>
            </w:pPr>
            <w:r w:rsidRPr="00E70CEB">
              <w:rPr>
                <w:color w:val="000000"/>
                <w:szCs w:val="22"/>
                <w:lang w:eastAsia="tr-TR"/>
              </w:rPr>
              <w:t>Gayrimenkul</w:t>
            </w:r>
          </w:p>
        </w:tc>
      </w:tr>
      <w:tr w:rsidR="008342DA" w:rsidRPr="00E70CEB" w14:paraId="600BFBB4" w14:textId="77777777" w:rsidTr="00E70CEB">
        <w:trPr>
          <w:trHeight w:val="268"/>
        </w:trPr>
        <w:tc>
          <w:tcPr>
            <w:tcW w:w="990" w:type="dxa"/>
            <w:tcBorders>
              <w:top w:val="nil"/>
              <w:left w:val="single" w:sz="4" w:space="0" w:color="auto"/>
              <w:bottom w:val="nil"/>
              <w:right w:val="single" w:sz="4" w:space="0" w:color="auto"/>
            </w:tcBorders>
            <w:shd w:val="clear" w:color="auto" w:fill="auto"/>
            <w:noWrap/>
            <w:vAlign w:val="bottom"/>
            <w:hideMark/>
          </w:tcPr>
          <w:p w14:paraId="30573882" w14:textId="77777777" w:rsidR="008342DA" w:rsidRPr="00E70CEB" w:rsidRDefault="008342DA" w:rsidP="00E70CEB">
            <w:pPr>
              <w:suppressAutoHyphens w:val="0"/>
              <w:spacing w:after="0" w:line="240" w:lineRule="auto"/>
              <w:jc w:val="center"/>
              <w:rPr>
                <w:rFonts w:cs="Times New Roman"/>
                <w:color w:val="000000"/>
                <w:szCs w:val="22"/>
                <w:lang w:eastAsia="tr-TR"/>
              </w:rPr>
            </w:pPr>
            <w:r w:rsidRPr="00E70CEB">
              <w:rPr>
                <w:rFonts w:cs="Times New Roman"/>
                <w:color w:val="000000"/>
                <w:szCs w:val="22"/>
                <w:lang w:eastAsia="tr-TR"/>
              </w:rPr>
              <w:t>M</w:t>
            </w:r>
          </w:p>
        </w:tc>
        <w:tc>
          <w:tcPr>
            <w:tcW w:w="3825" w:type="dxa"/>
            <w:tcBorders>
              <w:top w:val="nil"/>
              <w:left w:val="single" w:sz="4" w:space="0" w:color="auto"/>
              <w:bottom w:val="nil"/>
              <w:right w:val="single" w:sz="4" w:space="0" w:color="auto"/>
            </w:tcBorders>
            <w:shd w:val="clear" w:color="auto" w:fill="auto"/>
            <w:noWrap/>
            <w:vAlign w:val="bottom"/>
            <w:hideMark/>
          </w:tcPr>
          <w:p w14:paraId="1D1F97B7" w14:textId="77777777" w:rsidR="008342DA" w:rsidRPr="00E70CEB" w:rsidRDefault="008342DA" w:rsidP="00E70CEB">
            <w:pPr>
              <w:suppressAutoHyphens w:val="0"/>
              <w:spacing w:after="0" w:line="240" w:lineRule="auto"/>
              <w:rPr>
                <w:color w:val="000000"/>
                <w:szCs w:val="22"/>
                <w:lang w:eastAsia="tr-TR"/>
              </w:rPr>
            </w:pPr>
            <w:r w:rsidRPr="00E70CEB">
              <w:rPr>
                <w:color w:val="000000"/>
                <w:szCs w:val="22"/>
                <w:lang w:eastAsia="tr-TR"/>
              </w:rPr>
              <w:t>Mesleki, Bilimsel ve Teknik</w:t>
            </w:r>
          </w:p>
        </w:tc>
      </w:tr>
      <w:tr w:rsidR="008342DA" w:rsidRPr="00E70CEB" w14:paraId="0762AC6B" w14:textId="77777777" w:rsidTr="00E70CEB">
        <w:trPr>
          <w:trHeight w:val="256"/>
        </w:trPr>
        <w:tc>
          <w:tcPr>
            <w:tcW w:w="990" w:type="dxa"/>
            <w:tcBorders>
              <w:top w:val="nil"/>
              <w:left w:val="single" w:sz="4" w:space="0" w:color="auto"/>
              <w:bottom w:val="nil"/>
              <w:right w:val="single" w:sz="4" w:space="0" w:color="auto"/>
            </w:tcBorders>
            <w:shd w:val="clear" w:color="auto" w:fill="auto"/>
            <w:noWrap/>
            <w:vAlign w:val="bottom"/>
            <w:hideMark/>
          </w:tcPr>
          <w:p w14:paraId="46C41962" w14:textId="77777777" w:rsidR="008342DA" w:rsidRPr="00E70CEB" w:rsidRDefault="008342DA" w:rsidP="00E70CEB">
            <w:pPr>
              <w:suppressAutoHyphens w:val="0"/>
              <w:spacing w:after="0" w:line="240" w:lineRule="auto"/>
              <w:jc w:val="center"/>
              <w:rPr>
                <w:rFonts w:cs="Times New Roman"/>
                <w:color w:val="000000"/>
                <w:szCs w:val="22"/>
                <w:lang w:eastAsia="tr-TR"/>
              </w:rPr>
            </w:pPr>
            <w:r w:rsidRPr="00E70CEB">
              <w:rPr>
                <w:rFonts w:cs="Times New Roman"/>
                <w:color w:val="000000"/>
                <w:szCs w:val="22"/>
                <w:lang w:eastAsia="tr-TR"/>
              </w:rPr>
              <w:t>N</w:t>
            </w:r>
          </w:p>
        </w:tc>
        <w:tc>
          <w:tcPr>
            <w:tcW w:w="3825" w:type="dxa"/>
            <w:tcBorders>
              <w:top w:val="nil"/>
              <w:left w:val="single" w:sz="4" w:space="0" w:color="auto"/>
              <w:bottom w:val="nil"/>
              <w:right w:val="single" w:sz="4" w:space="0" w:color="auto"/>
            </w:tcBorders>
            <w:shd w:val="clear" w:color="auto" w:fill="auto"/>
            <w:noWrap/>
            <w:vAlign w:val="bottom"/>
            <w:hideMark/>
          </w:tcPr>
          <w:p w14:paraId="6C0E9B24" w14:textId="77777777" w:rsidR="008342DA" w:rsidRPr="00E70CEB" w:rsidRDefault="008342DA" w:rsidP="00E70CEB">
            <w:pPr>
              <w:suppressAutoHyphens w:val="0"/>
              <w:spacing w:after="0" w:line="240" w:lineRule="auto"/>
              <w:rPr>
                <w:color w:val="000000"/>
                <w:szCs w:val="22"/>
                <w:lang w:eastAsia="tr-TR"/>
              </w:rPr>
            </w:pPr>
            <w:r w:rsidRPr="00E70CEB">
              <w:rPr>
                <w:color w:val="000000"/>
                <w:szCs w:val="22"/>
                <w:lang w:eastAsia="tr-TR"/>
              </w:rPr>
              <w:t>İdari ve Destek Hizmet</w:t>
            </w:r>
          </w:p>
        </w:tc>
      </w:tr>
      <w:tr w:rsidR="008342DA" w:rsidRPr="00E70CEB" w14:paraId="118AEFA6" w14:textId="77777777" w:rsidTr="00E70CEB">
        <w:trPr>
          <w:trHeight w:val="256"/>
        </w:trPr>
        <w:tc>
          <w:tcPr>
            <w:tcW w:w="990" w:type="dxa"/>
            <w:tcBorders>
              <w:top w:val="nil"/>
              <w:left w:val="single" w:sz="4" w:space="0" w:color="auto"/>
              <w:bottom w:val="nil"/>
              <w:right w:val="single" w:sz="4" w:space="0" w:color="auto"/>
            </w:tcBorders>
            <w:shd w:val="clear" w:color="auto" w:fill="auto"/>
            <w:noWrap/>
            <w:vAlign w:val="bottom"/>
            <w:hideMark/>
          </w:tcPr>
          <w:p w14:paraId="6F7D2D8E" w14:textId="77777777" w:rsidR="008342DA" w:rsidRPr="00E70CEB" w:rsidRDefault="008342DA" w:rsidP="00E70CEB">
            <w:pPr>
              <w:suppressAutoHyphens w:val="0"/>
              <w:spacing w:after="0" w:line="240" w:lineRule="auto"/>
              <w:jc w:val="center"/>
              <w:rPr>
                <w:rFonts w:cs="Times New Roman"/>
                <w:color w:val="000000"/>
                <w:szCs w:val="22"/>
                <w:lang w:eastAsia="tr-TR"/>
              </w:rPr>
            </w:pPr>
            <w:r w:rsidRPr="00E70CEB">
              <w:rPr>
                <w:rFonts w:cs="Times New Roman"/>
                <w:color w:val="000000"/>
                <w:szCs w:val="22"/>
                <w:lang w:eastAsia="tr-TR"/>
              </w:rPr>
              <w:t>O</w:t>
            </w:r>
          </w:p>
        </w:tc>
        <w:tc>
          <w:tcPr>
            <w:tcW w:w="3825" w:type="dxa"/>
            <w:tcBorders>
              <w:top w:val="nil"/>
              <w:left w:val="single" w:sz="4" w:space="0" w:color="auto"/>
              <w:bottom w:val="nil"/>
              <w:right w:val="single" w:sz="4" w:space="0" w:color="auto"/>
            </w:tcBorders>
            <w:shd w:val="clear" w:color="auto" w:fill="auto"/>
            <w:noWrap/>
            <w:vAlign w:val="bottom"/>
            <w:hideMark/>
          </w:tcPr>
          <w:p w14:paraId="304992A1" w14:textId="77777777" w:rsidR="008342DA" w:rsidRPr="00E70CEB" w:rsidRDefault="008342DA" w:rsidP="00E70CEB">
            <w:pPr>
              <w:suppressAutoHyphens w:val="0"/>
              <w:spacing w:after="0" w:line="240" w:lineRule="auto"/>
              <w:rPr>
                <w:color w:val="000000"/>
                <w:szCs w:val="22"/>
                <w:lang w:eastAsia="tr-TR"/>
              </w:rPr>
            </w:pPr>
            <w:r w:rsidRPr="00E70CEB">
              <w:rPr>
                <w:color w:val="000000"/>
                <w:szCs w:val="22"/>
                <w:lang w:eastAsia="tr-TR"/>
              </w:rPr>
              <w:t>Kamu Yönetimi ve Savunma</w:t>
            </w:r>
          </w:p>
        </w:tc>
      </w:tr>
      <w:tr w:rsidR="008342DA" w:rsidRPr="00E70CEB" w14:paraId="3C3B7947" w14:textId="77777777" w:rsidTr="00E70CEB">
        <w:trPr>
          <w:trHeight w:val="256"/>
        </w:trPr>
        <w:tc>
          <w:tcPr>
            <w:tcW w:w="990" w:type="dxa"/>
            <w:tcBorders>
              <w:top w:val="nil"/>
              <w:left w:val="single" w:sz="4" w:space="0" w:color="auto"/>
              <w:bottom w:val="nil"/>
              <w:right w:val="single" w:sz="4" w:space="0" w:color="auto"/>
            </w:tcBorders>
            <w:shd w:val="clear" w:color="auto" w:fill="auto"/>
            <w:noWrap/>
            <w:vAlign w:val="bottom"/>
            <w:hideMark/>
          </w:tcPr>
          <w:p w14:paraId="1A187FE2" w14:textId="77777777" w:rsidR="008342DA" w:rsidRPr="00E70CEB" w:rsidRDefault="008342DA" w:rsidP="00E70CEB">
            <w:pPr>
              <w:suppressAutoHyphens w:val="0"/>
              <w:spacing w:after="0" w:line="240" w:lineRule="auto"/>
              <w:jc w:val="center"/>
              <w:rPr>
                <w:rFonts w:cs="Times New Roman"/>
                <w:color w:val="000000"/>
                <w:szCs w:val="22"/>
                <w:lang w:eastAsia="tr-TR"/>
              </w:rPr>
            </w:pPr>
            <w:r w:rsidRPr="00E70CEB">
              <w:rPr>
                <w:rFonts w:cs="Times New Roman"/>
                <w:color w:val="000000"/>
                <w:szCs w:val="22"/>
                <w:lang w:eastAsia="tr-TR"/>
              </w:rPr>
              <w:t>P</w:t>
            </w:r>
          </w:p>
        </w:tc>
        <w:tc>
          <w:tcPr>
            <w:tcW w:w="3825" w:type="dxa"/>
            <w:tcBorders>
              <w:top w:val="nil"/>
              <w:left w:val="single" w:sz="4" w:space="0" w:color="auto"/>
              <w:bottom w:val="nil"/>
              <w:right w:val="single" w:sz="4" w:space="0" w:color="auto"/>
            </w:tcBorders>
            <w:shd w:val="clear" w:color="auto" w:fill="auto"/>
            <w:noWrap/>
            <w:vAlign w:val="bottom"/>
            <w:hideMark/>
          </w:tcPr>
          <w:p w14:paraId="38EECD01" w14:textId="77777777" w:rsidR="008342DA" w:rsidRPr="00E70CEB" w:rsidRDefault="008342DA" w:rsidP="00E70CEB">
            <w:pPr>
              <w:suppressAutoHyphens w:val="0"/>
              <w:spacing w:after="0" w:line="240" w:lineRule="auto"/>
              <w:rPr>
                <w:color w:val="000000"/>
                <w:szCs w:val="22"/>
                <w:lang w:eastAsia="tr-TR"/>
              </w:rPr>
            </w:pPr>
            <w:r w:rsidRPr="00E70CEB">
              <w:rPr>
                <w:color w:val="000000"/>
                <w:szCs w:val="22"/>
                <w:lang w:eastAsia="tr-TR"/>
              </w:rPr>
              <w:t>Eğitim</w:t>
            </w:r>
          </w:p>
        </w:tc>
      </w:tr>
      <w:tr w:rsidR="008342DA" w:rsidRPr="00E70CEB" w14:paraId="532F89D1" w14:textId="77777777" w:rsidTr="00E70CEB">
        <w:trPr>
          <w:trHeight w:val="256"/>
        </w:trPr>
        <w:tc>
          <w:tcPr>
            <w:tcW w:w="990" w:type="dxa"/>
            <w:tcBorders>
              <w:top w:val="nil"/>
              <w:left w:val="single" w:sz="4" w:space="0" w:color="auto"/>
              <w:bottom w:val="nil"/>
              <w:right w:val="single" w:sz="4" w:space="0" w:color="auto"/>
            </w:tcBorders>
            <w:shd w:val="clear" w:color="auto" w:fill="auto"/>
            <w:noWrap/>
            <w:vAlign w:val="bottom"/>
            <w:hideMark/>
          </w:tcPr>
          <w:p w14:paraId="50A8716F" w14:textId="77777777" w:rsidR="008342DA" w:rsidRPr="00E70CEB" w:rsidRDefault="008342DA" w:rsidP="00E70CEB">
            <w:pPr>
              <w:suppressAutoHyphens w:val="0"/>
              <w:spacing w:after="0" w:line="240" w:lineRule="auto"/>
              <w:jc w:val="center"/>
              <w:rPr>
                <w:rFonts w:cs="Times New Roman"/>
                <w:color w:val="000000"/>
                <w:szCs w:val="22"/>
                <w:lang w:eastAsia="tr-TR"/>
              </w:rPr>
            </w:pPr>
            <w:r w:rsidRPr="00E70CEB">
              <w:rPr>
                <w:rFonts w:cs="Times New Roman"/>
                <w:color w:val="000000"/>
                <w:szCs w:val="22"/>
                <w:lang w:eastAsia="tr-TR"/>
              </w:rPr>
              <w:t>Q</w:t>
            </w:r>
          </w:p>
        </w:tc>
        <w:tc>
          <w:tcPr>
            <w:tcW w:w="3825" w:type="dxa"/>
            <w:tcBorders>
              <w:top w:val="nil"/>
              <w:left w:val="single" w:sz="4" w:space="0" w:color="auto"/>
              <w:bottom w:val="nil"/>
              <w:right w:val="single" w:sz="4" w:space="0" w:color="auto"/>
            </w:tcBorders>
            <w:shd w:val="clear" w:color="auto" w:fill="auto"/>
            <w:noWrap/>
            <w:vAlign w:val="bottom"/>
            <w:hideMark/>
          </w:tcPr>
          <w:p w14:paraId="69148497" w14:textId="77777777" w:rsidR="008342DA" w:rsidRPr="00E70CEB" w:rsidRDefault="008342DA" w:rsidP="00E70CEB">
            <w:pPr>
              <w:suppressAutoHyphens w:val="0"/>
              <w:spacing w:after="0" w:line="240" w:lineRule="auto"/>
              <w:rPr>
                <w:color w:val="000000"/>
                <w:szCs w:val="22"/>
                <w:lang w:eastAsia="tr-TR"/>
              </w:rPr>
            </w:pPr>
            <w:r w:rsidRPr="00E70CEB">
              <w:rPr>
                <w:color w:val="000000"/>
                <w:szCs w:val="22"/>
                <w:lang w:eastAsia="tr-TR"/>
              </w:rPr>
              <w:t>İnsan Sağlığı</w:t>
            </w:r>
          </w:p>
        </w:tc>
      </w:tr>
      <w:tr w:rsidR="008342DA" w:rsidRPr="00E70CEB" w14:paraId="4334DE7A" w14:textId="77777777" w:rsidTr="00E70CEB">
        <w:trPr>
          <w:trHeight w:val="268"/>
        </w:trPr>
        <w:tc>
          <w:tcPr>
            <w:tcW w:w="990" w:type="dxa"/>
            <w:tcBorders>
              <w:top w:val="nil"/>
              <w:left w:val="single" w:sz="4" w:space="0" w:color="auto"/>
              <w:bottom w:val="nil"/>
              <w:right w:val="single" w:sz="4" w:space="0" w:color="auto"/>
            </w:tcBorders>
            <w:shd w:val="clear" w:color="auto" w:fill="auto"/>
            <w:noWrap/>
            <w:vAlign w:val="bottom"/>
            <w:hideMark/>
          </w:tcPr>
          <w:p w14:paraId="61C70585" w14:textId="77777777" w:rsidR="008342DA" w:rsidRPr="00E70CEB" w:rsidRDefault="008342DA" w:rsidP="00E70CEB">
            <w:pPr>
              <w:suppressAutoHyphens w:val="0"/>
              <w:spacing w:after="0" w:line="240" w:lineRule="auto"/>
              <w:jc w:val="center"/>
              <w:rPr>
                <w:rFonts w:cs="Times New Roman"/>
                <w:color w:val="000000"/>
                <w:szCs w:val="22"/>
                <w:lang w:eastAsia="tr-TR"/>
              </w:rPr>
            </w:pPr>
            <w:r w:rsidRPr="00E70CEB">
              <w:rPr>
                <w:rFonts w:cs="Times New Roman"/>
                <w:color w:val="000000"/>
                <w:szCs w:val="22"/>
                <w:lang w:eastAsia="tr-TR"/>
              </w:rPr>
              <w:t>R</w:t>
            </w:r>
          </w:p>
        </w:tc>
        <w:tc>
          <w:tcPr>
            <w:tcW w:w="3825" w:type="dxa"/>
            <w:tcBorders>
              <w:top w:val="nil"/>
              <w:left w:val="single" w:sz="4" w:space="0" w:color="auto"/>
              <w:bottom w:val="nil"/>
              <w:right w:val="single" w:sz="4" w:space="0" w:color="auto"/>
            </w:tcBorders>
            <w:shd w:val="clear" w:color="auto" w:fill="auto"/>
            <w:noWrap/>
            <w:vAlign w:val="bottom"/>
            <w:hideMark/>
          </w:tcPr>
          <w:p w14:paraId="2B2B9D0E" w14:textId="77777777" w:rsidR="008342DA" w:rsidRPr="00E70CEB" w:rsidRDefault="008342DA" w:rsidP="00E70CEB">
            <w:pPr>
              <w:suppressAutoHyphens w:val="0"/>
              <w:spacing w:after="0" w:line="240" w:lineRule="auto"/>
              <w:rPr>
                <w:color w:val="000000"/>
                <w:szCs w:val="22"/>
                <w:lang w:eastAsia="tr-TR"/>
              </w:rPr>
            </w:pPr>
            <w:r w:rsidRPr="00E70CEB">
              <w:rPr>
                <w:color w:val="000000"/>
                <w:szCs w:val="22"/>
                <w:lang w:eastAsia="tr-TR"/>
              </w:rPr>
              <w:t>Kültür Sanat</w:t>
            </w:r>
          </w:p>
        </w:tc>
      </w:tr>
      <w:tr w:rsidR="008342DA" w:rsidRPr="00E70CEB" w14:paraId="3B372F8B" w14:textId="77777777" w:rsidTr="00E70CEB">
        <w:trPr>
          <w:trHeight w:val="26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E47D798" w14:textId="77777777" w:rsidR="008342DA" w:rsidRPr="00E70CEB" w:rsidRDefault="008342DA" w:rsidP="00E70CEB">
            <w:pPr>
              <w:suppressAutoHyphens w:val="0"/>
              <w:spacing w:after="0" w:line="240" w:lineRule="auto"/>
              <w:jc w:val="center"/>
              <w:rPr>
                <w:rFonts w:cs="Times New Roman"/>
                <w:color w:val="000000"/>
                <w:szCs w:val="22"/>
                <w:lang w:eastAsia="tr-TR"/>
              </w:rPr>
            </w:pPr>
            <w:r w:rsidRPr="00E70CEB">
              <w:rPr>
                <w:rFonts w:cs="Times New Roman"/>
                <w:color w:val="000000"/>
                <w:szCs w:val="22"/>
                <w:lang w:eastAsia="tr-TR"/>
              </w:rPr>
              <w:t>STU</w:t>
            </w:r>
          </w:p>
        </w:tc>
        <w:tc>
          <w:tcPr>
            <w:tcW w:w="3825" w:type="dxa"/>
            <w:tcBorders>
              <w:top w:val="nil"/>
              <w:left w:val="single" w:sz="4" w:space="0" w:color="auto"/>
              <w:bottom w:val="single" w:sz="4" w:space="0" w:color="auto"/>
              <w:right w:val="single" w:sz="4" w:space="0" w:color="auto"/>
            </w:tcBorders>
            <w:shd w:val="clear" w:color="auto" w:fill="auto"/>
            <w:noWrap/>
            <w:vAlign w:val="bottom"/>
            <w:hideMark/>
          </w:tcPr>
          <w:p w14:paraId="0526C3EE" w14:textId="77777777" w:rsidR="008342DA" w:rsidRPr="00E70CEB" w:rsidRDefault="008342DA" w:rsidP="00E70CEB">
            <w:pPr>
              <w:suppressAutoHyphens w:val="0"/>
              <w:spacing w:after="0" w:line="240" w:lineRule="auto"/>
              <w:rPr>
                <w:color w:val="000000"/>
                <w:szCs w:val="22"/>
                <w:lang w:eastAsia="tr-TR"/>
              </w:rPr>
            </w:pPr>
            <w:r w:rsidRPr="00E70CEB">
              <w:rPr>
                <w:color w:val="000000"/>
                <w:szCs w:val="22"/>
                <w:lang w:eastAsia="tr-TR"/>
              </w:rPr>
              <w:t>Diğer Hizmet</w:t>
            </w:r>
          </w:p>
        </w:tc>
      </w:tr>
    </w:tbl>
    <w:p w14:paraId="4F27B62C" w14:textId="77777777" w:rsidR="008342DA" w:rsidRPr="00E70CEB" w:rsidRDefault="008342DA" w:rsidP="008342DA">
      <w:pPr>
        <w:keepNext/>
        <w:rPr>
          <w:color w:val="1F497D"/>
          <w:sz w:val="20"/>
          <w:szCs w:val="22"/>
        </w:rPr>
      </w:pPr>
      <w:r w:rsidRPr="00E70CEB">
        <w:rPr>
          <w:b/>
          <w:sz w:val="20"/>
          <w:szCs w:val="22"/>
          <w:lang w:eastAsia="tr-TR"/>
        </w:rPr>
        <w:t>Kaynak:</w:t>
      </w:r>
      <w:r w:rsidRPr="00E70CEB">
        <w:rPr>
          <w:sz w:val="20"/>
          <w:szCs w:val="22"/>
          <w:lang w:eastAsia="tr-TR"/>
        </w:rPr>
        <w:t xml:space="preserve"> TUİK İşgücü İstatistikleri (http://www.tuik.gov.tr, Erişim tarihi 30.11.2017)</w:t>
      </w:r>
    </w:p>
    <w:p w14:paraId="4184852F" w14:textId="77777777" w:rsidR="00F95EAD" w:rsidRPr="00E70CEB" w:rsidRDefault="00F95EAD"/>
    <w:sectPr w:rsidR="00F95EAD" w:rsidRPr="00E70C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CB32B" w14:textId="77777777" w:rsidR="008831D9" w:rsidRDefault="008831D9" w:rsidP="008342DA">
      <w:pPr>
        <w:spacing w:after="0" w:line="240" w:lineRule="auto"/>
      </w:pPr>
      <w:r>
        <w:separator/>
      </w:r>
    </w:p>
  </w:endnote>
  <w:endnote w:type="continuationSeparator" w:id="0">
    <w:p w14:paraId="24446791" w14:textId="77777777" w:rsidR="008831D9" w:rsidRDefault="008831D9" w:rsidP="00834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269765"/>
      <w:docPartObj>
        <w:docPartGallery w:val="Page Numbers (Bottom of Page)"/>
        <w:docPartUnique/>
      </w:docPartObj>
    </w:sdtPr>
    <w:sdtEndPr/>
    <w:sdtContent>
      <w:p w14:paraId="4D3018CF" w14:textId="5659C5D3" w:rsidR="00246C2F" w:rsidRDefault="00246C2F" w:rsidP="00373358">
        <w:pPr>
          <w:pStyle w:val="Footer"/>
          <w:jc w:val="right"/>
        </w:pPr>
        <w:r>
          <w:fldChar w:fldCharType="begin"/>
        </w:r>
        <w:r>
          <w:instrText>PAGE   \* MERGEFORMAT</w:instrText>
        </w:r>
        <w:r>
          <w:fldChar w:fldCharType="separate"/>
        </w:r>
        <w:r w:rsidR="00D75577">
          <w:rPr>
            <w:noProof/>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68BF4" w14:textId="77777777" w:rsidR="008831D9" w:rsidRDefault="008831D9" w:rsidP="008342DA">
      <w:pPr>
        <w:spacing w:after="0" w:line="240" w:lineRule="auto"/>
      </w:pPr>
      <w:r>
        <w:separator/>
      </w:r>
    </w:p>
  </w:footnote>
  <w:footnote w:type="continuationSeparator" w:id="0">
    <w:p w14:paraId="1A4D99AA" w14:textId="77777777" w:rsidR="008831D9" w:rsidRDefault="008831D9" w:rsidP="008342DA">
      <w:pPr>
        <w:spacing w:after="0" w:line="240" w:lineRule="auto"/>
      </w:pPr>
      <w:r>
        <w:continuationSeparator/>
      </w:r>
    </w:p>
  </w:footnote>
  <w:footnote w:id="1">
    <w:p w14:paraId="77ED7D87" w14:textId="77777777" w:rsidR="00246C2F" w:rsidRPr="00E137F5" w:rsidRDefault="00246C2F" w:rsidP="008A0C5D">
      <w:pPr>
        <w:pStyle w:val="FootnoteText"/>
        <w:spacing w:after="0" w:line="240" w:lineRule="auto"/>
        <w:rPr>
          <w:rFonts w:ascii="Palatino Linotype" w:hAnsi="Palatino Linotype"/>
          <w:sz w:val="16"/>
          <w:szCs w:val="16"/>
        </w:rPr>
      </w:pPr>
      <w:r w:rsidRPr="00E137F5">
        <w:rPr>
          <w:rStyle w:val="FootnoteReference"/>
          <w:rFonts w:ascii="Palatino Linotype" w:hAnsi="Palatino Linotype"/>
          <w:b/>
          <w:bCs/>
          <w:sz w:val="16"/>
          <w:szCs w:val="16"/>
        </w:rPr>
        <w:t>*</w:t>
      </w:r>
      <w:r w:rsidRPr="00E137F5">
        <w:rPr>
          <w:rFonts w:ascii="Palatino Linotype" w:hAnsi="Palatino Linotype" w:cs="Arial"/>
          <w:sz w:val="16"/>
          <w:szCs w:val="16"/>
        </w:rPr>
        <w:t xml:space="preserve">Prof. Dr. Seyfettin Gürsel, Betam, Direktör, </w:t>
      </w:r>
      <w:hyperlink r:id="rId1" w:history="1">
        <w:r w:rsidRPr="00E137F5">
          <w:rPr>
            <w:rStyle w:val="Hyperlink"/>
            <w:rFonts w:ascii="Palatino Linotype" w:hAnsi="Palatino Linotype"/>
            <w:sz w:val="16"/>
            <w:szCs w:val="16"/>
          </w:rPr>
          <w:t>seyfettin.gursel@eas.bau.edu.tr</w:t>
        </w:r>
      </w:hyperlink>
    </w:p>
  </w:footnote>
  <w:footnote w:id="2">
    <w:p w14:paraId="6CF597F4" w14:textId="77777777" w:rsidR="00246C2F" w:rsidRPr="00E137F5" w:rsidRDefault="00246C2F" w:rsidP="008A0C5D">
      <w:pPr>
        <w:pStyle w:val="FootnoteText"/>
        <w:spacing w:after="0" w:line="240" w:lineRule="auto"/>
        <w:rPr>
          <w:rFonts w:ascii="Palatino Linotype" w:hAnsi="Palatino Linotype" w:cs="Arial"/>
          <w:sz w:val="16"/>
          <w:szCs w:val="16"/>
        </w:rPr>
      </w:pPr>
      <w:r w:rsidRPr="00E137F5">
        <w:rPr>
          <w:rStyle w:val="FootnoteReference"/>
          <w:rFonts w:ascii="Palatino Linotype" w:hAnsi="Palatino Linotype"/>
          <w:sz w:val="16"/>
          <w:szCs w:val="16"/>
        </w:rPr>
        <w:sym w:font="Symbol" w:char="F02A"/>
      </w:r>
      <w:r w:rsidRPr="00E137F5">
        <w:rPr>
          <w:rStyle w:val="FootnoteReference"/>
          <w:rFonts w:ascii="Palatino Linotype" w:hAnsi="Palatino Linotype"/>
          <w:sz w:val="16"/>
          <w:szCs w:val="16"/>
        </w:rPr>
        <w:sym w:font="Symbol" w:char="F02A"/>
      </w:r>
      <w:r w:rsidRPr="00E137F5">
        <w:rPr>
          <w:rFonts w:ascii="Palatino Linotype" w:hAnsi="Palatino Linotype" w:cs="Arial"/>
          <w:sz w:val="16"/>
          <w:szCs w:val="16"/>
        </w:rPr>
        <w:t xml:space="preserve"> Ozan Bakış, Betam, Kıdemli Araştırmacı, </w:t>
      </w:r>
      <w:hyperlink r:id="rId2" w:history="1">
        <w:r w:rsidRPr="00E137F5">
          <w:rPr>
            <w:rStyle w:val="Hyperlink"/>
            <w:rFonts w:ascii="Palatino Linotype" w:hAnsi="Palatino Linotype"/>
            <w:sz w:val="16"/>
            <w:szCs w:val="16"/>
          </w:rPr>
          <w:t>ozan.bakis@eas.bau.edu.tr</w:t>
        </w:r>
      </w:hyperlink>
    </w:p>
    <w:p w14:paraId="24D36BD8" w14:textId="77777777" w:rsidR="00246C2F" w:rsidRPr="00E137F5" w:rsidRDefault="00246C2F" w:rsidP="008A0C5D">
      <w:pPr>
        <w:pStyle w:val="FootnoteText"/>
        <w:spacing w:after="0" w:line="240" w:lineRule="auto"/>
        <w:rPr>
          <w:rFonts w:ascii="Palatino Linotype" w:hAnsi="Palatino Linotype" w:cs="Arial"/>
          <w:sz w:val="16"/>
          <w:szCs w:val="16"/>
        </w:rPr>
      </w:pPr>
      <w:r w:rsidRPr="00E137F5">
        <w:rPr>
          <w:rFonts w:ascii="Palatino Linotype" w:hAnsi="Palatino Linotype" w:cs="Arial"/>
          <w:sz w:val="16"/>
          <w:szCs w:val="16"/>
        </w:rPr>
        <w:t xml:space="preserve">*** Yazgı Genç, Betam, Araştırma Görevlisi, </w:t>
      </w:r>
      <w:hyperlink r:id="rId3" w:history="1">
        <w:r w:rsidRPr="00E137F5">
          <w:rPr>
            <w:rStyle w:val="Hyperlink"/>
            <w:rFonts w:ascii="Palatino Linotype" w:hAnsi="Palatino Linotype"/>
            <w:sz w:val="16"/>
            <w:szCs w:val="16"/>
          </w:rPr>
          <w:t>yazgi.genc@eas.bau.edu.tr</w:t>
        </w:r>
      </w:hyperlink>
      <w:r w:rsidRPr="00E137F5">
        <w:rPr>
          <w:rFonts w:ascii="Palatino Linotype" w:hAnsi="Palatino Linotype" w:cs="Arial"/>
          <w:sz w:val="16"/>
          <w:szCs w:val="16"/>
        </w:rPr>
        <w:t xml:space="preserve"> </w:t>
      </w:r>
    </w:p>
  </w:footnote>
  <w:footnote w:id="3">
    <w:p w14:paraId="5DDD0F37" w14:textId="77777777" w:rsidR="00246C2F" w:rsidRPr="00E137F5" w:rsidRDefault="00246C2F">
      <w:pPr>
        <w:pStyle w:val="FootnoteText"/>
        <w:rPr>
          <w:rFonts w:ascii="Palatino Linotype" w:hAnsi="Palatino Linotype"/>
          <w:sz w:val="16"/>
          <w:szCs w:val="16"/>
        </w:rPr>
      </w:pPr>
      <w:r w:rsidRPr="00560348">
        <w:rPr>
          <w:rStyle w:val="FootnoteReference"/>
          <w:rFonts w:ascii="Palatino Linotype" w:hAnsi="Palatino Linotype"/>
          <w:sz w:val="16"/>
          <w:szCs w:val="16"/>
        </w:rPr>
        <w:footnoteRef/>
      </w:r>
      <w:r w:rsidRPr="00560348">
        <w:rPr>
          <w:rFonts w:ascii="Palatino Linotype" w:hAnsi="Palatino Linotype"/>
          <w:sz w:val="16"/>
          <w:szCs w:val="16"/>
        </w:rPr>
        <w:t xml:space="preserve"> Bkz. </w:t>
      </w:r>
      <w:hyperlink r:id="rId4" w:history="1">
        <w:r w:rsidRPr="00560348">
          <w:rPr>
            <w:rStyle w:val="Hyperlink"/>
            <w:rFonts w:ascii="Palatino Linotype" w:hAnsi="Palatino Linotype"/>
            <w:color w:val="auto"/>
            <w:sz w:val="16"/>
            <w:szCs w:val="16"/>
          </w:rPr>
          <w:t>http://betam.bahcesehir.edu.tr/2018/01/asgari-ucret-artisi-kayitli-istihdami-olumsuz-etkiledi/</w:t>
        </w:r>
      </w:hyperlink>
    </w:p>
  </w:footnote>
  <w:footnote w:id="4">
    <w:p w14:paraId="7E824BC7" w14:textId="28CA36FF" w:rsidR="00246C2F" w:rsidRPr="005E340A" w:rsidRDefault="00246C2F" w:rsidP="00246C2F">
      <w:pPr>
        <w:pStyle w:val="FootnoteText"/>
        <w:rPr>
          <w:rFonts w:ascii="Palatino Linotype" w:hAnsi="Palatino Linotype"/>
        </w:rPr>
      </w:pPr>
      <w:r w:rsidRPr="005E340A">
        <w:rPr>
          <w:rStyle w:val="FootnoteReference"/>
          <w:rFonts w:ascii="Palatino Linotype" w:hAnsi="Palatino Linotype"/>
        </w:rPr>
        <w:footnoteRef/>
      </w:r>
      <w:r w:rsidRPr="005E340A">
        <w:rPr>
          <w:rFonts w:ascii="Palatino Linotype" w:hAnsi="Palatino Linotype"/>
        </w:rPr>
        <w:t xml:space="preserve"> </w:t>
      </w:r>
      <w:r w:rsidRPr="003B2D33">
        <w:rPr>
          <w:rFonts w:ascii="Palatino Linotype" w:hAnsi="Palatino Linotype"/>
        </w:rPr>
        <w:t xml:space="preserve">2014’te Ocak ve Temmuz net aylık asgari ücretleri sırası ile 846 TL ve 891 TL’dir. 2015’te bu rakamlar sırası ile 849 ve 1000 TL olmuştur. Yıllık veride dönem bilgisi olmadığı için bu yılların asgari ücretini hesaplarken Ocak ve Temmuz asgari ücretlerinin ortalamaları esas alınmıştır (2014 için 865,5 TL ve 2015 için 975 TL). </w:t>
      </w:r>
      <w:r w:rsidR="00242E05" w:rsidRPr="003B2D33">
        <w:rPr>
          <w:rFonts w:ascii="Palatino Linotype" w:hAnsi="Palatino Linotype"/>
        </w:rPr>
        <w:t>2016 ve 2017 yılında tek asgari ücret seviyesi bulunmaktadır ve sırası ile 1301 ve 1404 TL’dir.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2DA"/>
    <w:rsid w:val="00004599"/>
    <w:rsid w:val="000054F3"/>
    <w:rsid w:val="000065FB"/>
    <w:rsid w:val="000155D8"/>
    <w:rsid w:val="0002354A"/>
    <w:rsid w:val="00023990"/>
    <w:rsid w:val="00033DA7"/>
    <w:rsid w:val="00041514"/>
    <w:rsid w:val="0004598A"/>
    <w:rsid w:val="000513AE"/>
    <w:rsid w:val="00063376"/>
    <w:rsid w:val="00063C78"/>
    <w:rsid w:val="00064354"/>
    <w:rsid w:val="00064E24"/>
    <w:rsid w:val="00076B58"/>
    <w:rsid w:val="000B3714"/>
    <w:rsid w:val="000C47B4"/>
    <w:rsid w:val="000D0A72"/>
    <w:rsid w:val="000D1B8C"/>
    <w:rsid w:val="000D3AAF"/>
    <w:rsid w:val="000D515E"/>
    <w:rsid w:val="000D534F"/>
    <w:rsid w:val="000E3E04"/>
    <w:rsid w:val="000E4445"/>
    <w:rsid w:val="000F42D5"/>
    <w:rsid w:val="000F735B"/>
    <w:rsid w:val="00113ADA"/>
    <w:rsid w:val="00114A4D"/>
    <w:rsid w:val="00126086"/>
    <w:rsid w:val="00127F70"/>
    <w:rsid w:val="00141C63"/>
    <w:rsid w:val="00145AA4"/>
    <w:rsid w:val="00163019"/>
    <w:rsid w:val="00164FF8"/>
    <w:rsid w:val="00170577"/>
    <w:rsid w:val="001744F2"/>
    <w:rsid w:val="001772C7"/>
    <w:rsid w:val="001816CA"/>
    <w:rsid w:val="001A0C4D"/>
    <w:rsid w:val="001A4683"/>
    <w:rsid w:val="001B779A"/>
    <w:rsid w:val="001D102F"/>
    <w:rsid w:val="001D2B3E"/>
    <w:rsid w:val="001D4632"/>
    <w:rsid w:val="001D47A1"/>
    <w:rsid w:val="001E0F97"/>
    <w:rsid w:val="00202311"/>
    <w:rsid w:val="00204BCE"/>
    <w:rsid w:val="00210F8F"/>
    <w:rsid w:val="00223E97"/>
    <w:rsid w:val="00226815"/>
    <w:rsid w:val="00227C7F"/>
    <w:rsid w:val="002303B9"/>
    <w:rsid w:val="0023667F"/>
    <w:rsid w:val="00242E05"/>
    <w:rsid w:val="00246C2F"/>
    <w:rsid w:val="00252156"/>
    <w:rsid w:val="00253C7B"/>
    <w:rsid w:val="00261A0E"/>
    <w:rsid w:val="00267B82"/>
    <w:rsid w:val="00274586"/>
    <w:rsid w:val="002A2A9C"/>
    <w:rsid w:val="002B61E5"/>
    <w:rsid w:val="002D6B80"/>
    <w:rsid w:val="002E364A"/>
    <w:rsid w:val="002E4DE1"/>
    <w:rsid w:val="002F0E3B"/>
    <w:rsid w:val="002F36AF"/>
    <w:rsid w:val="002F636A"/>
    <w:rsid w:val="00302E1B"/>
    <w:rsid w:val="00306296"/>
    <w:rsid w:val="00313597"/>
    <w:rsid w:val="00313C5E"/>
    <w:rsid w:val="00320E5C"/>
    <w:rsid w:val="00321547"/>
    <w:rsid w:val="00326636"/>
    <w:rsid w:val="00333108"/>
    <w:rsid w:val="00333CC3"/>
    <w:rsid w:val="0034220A"/>
    <w:rsid w:val="00350C84"/>
    <w:rsid w:val="00354F13"/>
    <w:rsid w:val="0036245D"/>
    <w:rsid w:val="0036531D"/>
    <w:rsid w:val="00366A97"/>
    <w:rsid w:val="00366E29"/>
    <w:rsid w:val="00373358"/>
    <w:rsid w:val="003747A5"/>
    <w:rsid w:val="00377122"/>
    <w:rsid w:val="00385AC2"/>
    <w:rsid w:val="00387940"/>
    <w:rsid w:val="00392975"/>
    <w:rsid w:val="003A0F26"/>
    <w:rsid w:val="003A3623"/>
    <w:rsid w:val="003A4F82"/>
    <w:rsid w:val="003A77F9"/>
    <w:rsid w:val="003B2D33"/>
    <w:rsid w:val="003C4FB4"/>
    <w:rsid w:val="003C783B"/>
    <w:rsid w:val="003D1DD0"/>
    <w:rsid w:val="003D5469"/>
    <w:rsid w:val="003D5470"/>
    <w:rsid w:val="003E139E"/>
    <w:rsid w:val="003E2A4B"/>
    <w:rsid w:val="003F0D69"/>
    <w:rsid w:val="00400FD1"/>
    <w:rsid w:val="00411EB1"/>
    <w:rsid w:val="00413EEB"/>
    <w:rsid w:val="00414F5A"/>
    <w:rsid w:val="0042516E"/>
    <w:rsid w:val="00430144"/>
    <w:rsid w:val="00430421"/>
    <w:rsid w:val="00462319"/>
    <w:rsid w:val="00465AAC"/>
    <w:rsid w:val="0047488E"/>
    <w:rsid w:val="004B5D77"/>
    <w:rsid w:val="004C3822"/>
    <w:rsid w:val="004C4497"/>
    <w:rsid w:val="004C55C1"/>
    <w:rsid w:val="00503E90"/>
    <w:rsid w:val="0051071F"/>
    <w:rsid w:val="00512D59"/>
    <w:rsid w:val="0052543B"/>
    <w:rsid w:val="005465D2"/>
    <w:rsid w:val="00560348"/>
    <w:rsid w:val="005656BB"/>
    <w:rsid w:val="005675A5"/>
    <w:rsid w:val="005732CD"/>
    <w:rsid w:val="0057413E"/>
    <w:rsid w:val="00576BDD"/>
    <w:rsid w:val="00577114"/>
    <w:rsid w:val="0059696D"/>
    <w:rsid w:val="005A14DF"/>
    <w:rsid w:val="005A499F"/>
    <w:rsid w:val="005B1CAC"/>
    <w:rsid w:val="005E340A"/>
    <w:rsid w:val="00600C19"/>
    <w:rsid w:val="00602ED8"/>
    <w:rsid w:val="00603512"/>
    <w:rsid w:val="00604749"/>
    <w:rsid w:val="00613596"/>
    <w:rsid w:val="0061362C"/>
    <w:rsid w:val="0061699D"/>
    <w:rsid w:val="00617F88"/>
    <w:rsid w:val="006249C9"/>
    <w:rsid w:val="006306B6"/>
    <w:rsid w:val="00630C57"/>
    <w:rsid w:val="00641935"/>
    <w:rsid w:val="00641974"/>
    <w:rsid w:val="00644EB2"/>
    <w:rsid w:val="00644F46"/>
    <w:rsid w:val="00646D4F"/>
    <w:rsid w:val="00657C2A"/>
    <w:rsid w:val="0066549B"/>
    <w:rsid w:val="00667188"/>
    <w:rsid w:val="0066776A"/>
    <w:rsid w:val="00692B2F"/>
    <w:rsid w:val="006B0FB2"/>
    <w:rsid w:val="006F40A7"/>
    <w:rsid w:val="006F62A7"/>
    <w:rsid w:val="006F7909"/>
    <w:rsid w:val="00702BA5"/>
    <w:rsid w:val="00702DFC"/>
    <w:rsid w:val="00705572"/>
    <w:rsid w:val="0071649C"/>
    <w:rsid w:val="007212FD"/>
    <w:rsid w:val="00722FFE"/>
    <w:rsid w:val="007437D1"/>
    <w:rsid w:val="0077456C"/>
    <w:rsid w:val="00774E20"/>
    <w:rsid w:val="00790B12"/>
    <w:rsid w:val="007A00AC"/>
    <w:rsid w:val="007A5DBB"/>
    <w:rsid w:val="007B0077"/>
    <w:rsid w:val="007B02BB"/>
    <w:rsid w:val="007B304C"/>
    <w:rsid w:val="007D6D32"/>
    <w:rsid w:val="007E551B"/>
    <w:rsid w:val="007F101F"/>
    <w:rsid w:val="007F69C8"/>
    <w:rsid w:val="00813B4F"/>
    <w:rsid w:val="00814238"/>
    <w:rsid w:val="008342DA"/>
    <w:rsid w:val="008378BE"/>
    <w:rsid w:val="0086173D"/>
    <w:rsid w:val="00871327"/>
    <w:rsid w:val="00872E3C"/>
    <w:rsid w:val="00876F23"/>
    <w:rsid w:val="008831D9"/>
    <w:rsid w:val="00890782"/>
    <w:rsid w:val="00897164"/>
    <w:rsid w:val="008A0C5D"/>
    <w:rsid w:val="008A190E"/>
    <w:rsid w:val="008A2DAF"/>
    <w:rsid w:val="008B22F2"/>
    <w:rsid w:val="008B3E30"/>
    <w:rsid w:val="008B61C1"/>
    <w:rsid w:val="008D0871"/>
    <w:rsid w:val="008E21FB"/>
    <w:rsid w:val="008F4BA5"/>
    <w:rsid w:val="009001CB"/>
    <w:rsid w:val="00910915"/>
    <w:rsid w:val="0092012D"/>
    <w:rsid w:val="00922C69"/>
    <w:rsid w:val="00924F54"/>
    <w:rsid w:val="00930009"/>
    <w:rsid w:val="00931604"/>
    <w:rsid w:val="00931F27"/>
    <w:rsid w:val="0094231D"/>
    <w:rsid w:val="00957763"/>
    <w:rsid w:val="00962B47"/>
    <w:rsid w:val="00970DC4"/>
    <w:rsid w:val="00974D20"/>
    <w:rsid w:val="0097658A"/>
    <w:rsid w:val="009842CC"/>
    <w:rsid w:val="00986DC0"/>
    <w:rsid w:val="00995A03"/>
    <w:rsid w:val="009B7984"/>
    <w:rsid w:val="009E43AB"/>
    <w:rsid w:val="009F015C"/>
    <w:rsid w:val="009F2ABF"/>
    <w:rsid w:val="009F7268"/>
    <w:rsid w:val="00A22C64"/>
    <w:rsid w:val="00A25191"/>
    <w:rsid w:val="00A51C3E"/>
    <w:rsid w:val="00A524A9"/>
    <w:rsid w:val="00A550AF"/>
    <w:rsid w:val="00A5648A"/>
    <w:rsid w:val="00A66359"/>
    <w:rsid w:val="00A704FD"/>
    <w:rsid w:val="00A71734"/>
    <w:rsid w:val="00A92D72"/>
    <w:rsid w:val="00AA0CDF"/>
    <w:rsid w:val="00AA1D5C"/>
    <w:rsid w:val="00AA4414"/>
    <w:rsid w:val="00AB1DDB"/>
    <w:rsid w:val="00AD086E"/>
    <w:rsid w:val="00AE5C02"/>
    <w:rsid w:val="00AF0A23"/>
    <w:rsid w:val="00B23113"/>
    <w:rsid w:val="00B32C6A"/>
    <w:rsid w:val="00B4482E"/>
    <w:rsid w:val="00B52BE2"/>
    <w:rsid w:val="00B54D20"/>
    <w:rsid w:val="00B800F5"/>
    <w:rsid w:val="00B830D0"/>
    <w:rsid w:val="00BA46D9"/>
    <w:rsid w:val="00BA7E34"/>
    <w:rsid w:val="00BB3A54"/>
    <w:rsid w:val="00BB5287"/>
    <w:rsid w:val="00BC2628"/>
    <w:rsid w:val="00BF09EA"/>
    <w:rsid w:val="00BF18AC"/>
    <w:rsid w:val="00C22019"/>
    <w:rsid w:val="00C3319D"/>
    <w:rsid w:val="00C44E5A"/>
    <w:rsid w:val="00C50739"/>
    <w:rsid w:val="00C53D35"/>
    <w:rsid w:val="00C5629D"/>
    <w:rsid w:val="00C747FB"/>
    <w:rsid w:val="00C7662C"/>
    <w:rsid w:val="00C90F0B"/>
    <w:rsid w:val="00C978D2"/>
    <w:rsid w:val="00C97DA2"/>
    <w:rsid w:val="00CB45B3"/>
    <w:rsid w:val="00CB5C5D"/>
    <w:rsid w:val="00CC28BE"/>
    <w:rsid w:val="00CE0BB7"/>
    <w:rsid w:val="00CF6B02"/>
    <w:rsid w:val="00D032AC"/>
    <w:rsid w:val="00D214B9"/>
    <w:rsid w:val="00D222ED"/>
    <w:rsid w:val="00D34E16"/>
    <w:rsid w:val="00D37932"/>
    <w:rsid w:val="00D63E7F"/>
    <w:rsid w:val="00D75577"/>
    <w:rsid w:val="00D91D4D"/>
    <w:rsid w:val="00DC0DBF"/>
    <w:rsid w:val="00DC21F6"/>
    <w:rsid w:val="00DC3A86"/>
    <w:rsid w:val="00DE4EA2"/>
    <w:rsid w:val="00E00E7D"/>
    <w:rsid w:val="00E066EE"/>
    <w:rsid w:val="00E137F5"/>
    <w:rsid w:val="00E162EE"/>
    <w:rsid w:val="00E16552"/>
    <w:rsid w:val="00E2008C"/>
    <w:rsid w:val="00E53923"/>
    <w:rsid w:val="00E56500"/>
    <w:rsid w:val="00E62394"/>
    <w:rsid w:val="00E70CEB"/>
    <w:rsid w:val="00E763B0"/>
    <w:rsid w:val="00E77166"/>
    <w:rsid w:val="00E80AEF"/>
    <w:rsid w:val="00E91548"/>
    <w:rsid w:val="00E94D2C"/>
    <w:rsid w:val="00EA13DA"/>
    <w:rsid w:val="00EA46F7"/>
    <w:rsid w:val="00EA7787"/>
    <w:rsid w:val="00EB5237"/>
    <w:rsid w:val="00EB6C16"/>
    <w:rsid w:val="00EB7692"/>
    <w:rsid w:val="00ED17A4"/>
    <w:rsid w:val="00ED6477"/>
    <w:rsid w:val="00F252C2"/>
    <w:rsid w:val="00F3228F"/>
    <w:rsid w:val="00F55140"/>
    <w:rsid w:val="00F611EB"/>
    <w:rsid w:val="00F61D8C"/>
    <w:rsid w:val="00F62ED3"/>
    <w:rsid w:val="00F740ED"/>
    <w:rsid w:val="00F95EAD"/>
    <w:rsid w:val="00F96E99"/>
    <w:rsid w:val="00FA25BD"/>
    <w:rsid w:val="00FA7C7B"/>
    <w:rsid w:val="00FB717B"/>
    <w:rsid w:val="00FC391F"/>
    <w:rsid w:val="00FD5037"/>
    <w:rsid w:val="00FE1593"/>
    <w:rsid w:val="00FE21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3F66"/>
  <w15:docId w15:val="{9E5A2113-51B6-4F66-B262-1D37F36B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2DA"/>
    <w:pPr>
      <w:suppressAutoHyphens/>
      <w:spacing w:after="240"/>
      <w:jc w:val="both"/>
    </w:pPr>
    <w:rPr>
      <w:rFonts w:ascii="Palatino Linotype" w:eastAsia="Times New Roman" w:hAnsi="Palatino Linotype" w:cs="Arial"/>
      <w:szCs w:val="16"/>
      <w:lang w:eastAsia="ar-SA"/>
    </w:rPr>
  </w:style>
  <w:style w:type="paragraph" w:styleId="Heading1">
    <w:name w:val="heading 1"/>
    <w:basedOn w:val="Normal"/>
    <w:next w:val="Normal"/>
    <w:link w:val="Heading1Char"/>
    <w:uiPriority w:val="9"/>
    <w:qFormat/>
    <w:rsid w:val="00E066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8342DA"/>
    <w:pPr>
      <w:keepNext/>
      <w:spacing w:before="240" w:after="60"/>
      <w:outlineLvl w:val="1"/>
    </w:pPr>
    <w:rPr>
      <w:b/>
      <w:bCs/>
      <w:iCs/>
      <w:sz w:val="2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342DA"/>
    <w:rPr>
      <w:rFonts w:ascii="Palatino Linotype" w:eastAsia="Times New Roman" w:hAnsi="Palatino Linotype" w:cs="Arial"/>
      <w:b/>
      <w:bCs/>
      <w:iCs/>
      <w:sz w:val="26"/>
      <w:szCs w:val="28"/>
      <w:lang w:val="en-GB" w:eastAsia="ar-SA"/>
    </w:rPr>
  </w:style>
  <w:style w:type="paragraph" w:styleId="Caption">
    <w:name w:val="caption"/>
    <w:basedOn w:val="Normal"/>
    <w:next w:val="Normal"/>
    <w:uiPriority w:val="35"/>
    <w:qFormat/>
    <w:rsid w:val="008342DA"/>
    <w:rPr>
      <w:b/>
      <w:bCs/>
      <w:sz w:val="18"/>
      <w:szCs w:val="20"/>
    </w:rPr>
  </w:style>
  <w:style w:type="character" w:styleId="FootnoteReference">
    <w:name w:val="footnote reference"/>
    <w:basedOn w:val="DefaultParagraphFont"/>
    <w:uiPriority w:val="99"/>
    <w:semiHidden/>
    <w:rsid w:val="008342DA"/>
    <w:rPr>
      <w:vertAlign w:val="superscript"/>
    </w:rPr>
  </w:style>
  <w:style w:type="paragraph" w:styleId="FootnoteText">
    <w:name w:val="footnote text"/>
    <w:basedOn w:val="Normal"/>
    <w:link w:val="FootnoteTextChar"/>
    <w:uiPriority w:val="99"/>
    <w:semiHidden/>
    <w:rsid w:val="008342DA"/>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8342DA"/>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8342DA"/>
    <w:pPr>
      <w:tabs>
        <w:tab w:val="center" w:pos="4703"/>
        <w:tab w:val="right" w:pos="9406"/>
      </w:tabs>
    </w:pPr>
  </w:style>
  <w:style w:type="character" w:customStyle="1" w:styleId="FooterChar">
    <w:name w:val="Footer Char"/>
    <w:basedOn w:val="DefaultParagraphFont"/>
    <w:link w:val="Footer"/>
    <w:uiPriority w:val="99"/>
    <w:rsid w:val="008342DA"/>
    <w:rPr>
      <w:rFonts w:ascii="Palatino Linotype" w:eastAsia="Times New Roman" w:hAnsi="Palatino Linotype" w:cs="Arial"/>
      <w:szCs w:val="16"/>
      <w:lang w:eastAsia="ar-SA"/>
    </w:rPr>
  </w:style>
  <w:style w:type="paragraph" w:styleId="NoSpacing">
    <w:name w:val="No Spacing"/>
    <w:uiPriority w:val="1"/>
    <w:qFormat/>
    <w:rsid w:val="008342DA"/>
    <w:pPr>
      <w:suppressAutoHyphens/>
      <w:spacing w:after="0" w:line="240" w:lineRule="auto"/>
    </w:pPr>
    <w:rPr>
      <w:rFonts w:ascii="Arial" w:eastAsia="Times New Roman" w:hAnsi="Arial" w:cs="Arial"/>
      <w:sz w:val="16"/>
      <w:szCs w:val="16"/>
      <w:lang w:eastAsia="ar-SA"/>
    </w:rPr>
  </w:style>
  <w:style w:type="character" w:styleId="Hyperlink">
    <w:name w:val="Hyperlink"/>
    <w:basedOn w:val="DefaultParagraphFont"/>
    <w:uiPriority w:val="99"/>
    <w:unhideWhenUsed/>
    <w:rsid w:val="008A0C5D"/>
    <w:rPr>
      <w:color w:val="0000FF"/>
      <w:u w:val="single"/>
    </w:rPr>
  </w:style>
  <w:style w:type="character" w:styleId="Emphasis">
    <w:name w:val="Emphasis"/>
    <w:basedOn w:val="DefaultParagraphFont"/>
    <w:uiPriority w:val="20"/>
    <w:qFormat/>
    <w:rsid w:val="00354F13"/>
    <w:rPr>
      <w:i/>
      <w:iCs/>
    </w:rPr>
  </w:style>
  <w:style w:type="character" w:customStyle="1" w:styleId="zmlenmeyenBahsetme1">
    <w:name w:val="Çözümlenmeyen Bahsetme1"/>
    <w:basedOn w:val="DefaultParagraphFont"/>
    <w:uiPriority w:val="99"/>
    <w:semiHidden/>
    <w:unhideWhenUsed/>
    <w:rsid w:val="007B0077"/>
    <w:rPr>
      <w:color w:val="808080"/>
      <w:shd w:val="clear" w:color="auto" w:fill="E6E6E6"/>
    </w:rPr>
  </w:style>
  <w:style w:type="character" w:styleId="FollowedHyperlink">
    <w:name w:val="FollowedHyperlink"/>
    <w:basedOn w:val="DefaultParagraphFont"/>
    <w:uiPriority w:val="99"/>
    <w:semiHidden/>
    <w:unhideWhenUsed/>
    <w:rsid w:val="007B0077"/>
    <w:rPr>
      <w:color w:val="800080" w:themeColor="followedHyperlink"/>
      <w:u w:val="single"/>
    </w:rPr>
  </w:style>
  <w:style w:type="paragraph" w:styleId="Header">
    <w:name w:val="header"/>
    <w:basedOn w:val="Normal"/>
    <w:link w:val="HeaderChar"/>
    <w:uiPriority w:val="99"/>
    <w:unhideWhenUsed/>
    <w:rsid w:val="00BA46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46D9"/>
    <w:rPr>
      <w:rFonts w:ascii="Palatino Linotype" w:eastAsia="Times New Roman" w:hAnsi="Palatino Linotype" w:cs="Arial"/>
      <w:szCs w:val="16"/>
      <w:lang w:eastAsia="ar-SA"/>
    </w:rPr>
  </w:style>
  <w:style w:type="character" w:styleId="CommentReference">
    <w:name w:val="annotation reference"/>
    <w:basedOn w:val="DefaultParagraphFont"/>
    <w:uiPriority w:val="99"/>
    <w:semiHidden/>
    <w:unhideWhenUsed/>
    <w:rsid w:val="00EB5237"/>
    <w:rPr>
      <w:sz w:val="16"/>
      <w:szCs w:val="16"/>
    </w:rPr>
  </w:style>
  <w:style w:type="paragraph" w:styleId="CommentText">
    <w:name w:val="annotation text"/>
    <w:basedOn w:val="Normal"/>
    <w:link w:val="CommentTextChar"/>
    <w:uiPriority w:val="99"/>
    <w:semiHidden/>
    <w:unhideWhenUsed/>
    <w:rsid w:val="00EB5237"/>
    <w:pPr>
      <w:spacing w:line="240" w:lineRule="auto"/>
    </w:pPr>
    <w:rPr>
      <w:sz w:val="20"/>
      <w:szCs w:val="20"/>
    </w:rPr>
  </w:style>
  <w:style w:type="character" w:customStyle="1" w:styleId="CommentTextChar">
    <w:name w:val="Comment Text Char"/>
    <w:basedOn w:val="DefaultParagraphFont"/>
    <w:link w:val="CommentText"/>
    <w:uiPriority w:val="99"/>
    <w:semiHidden/>
    <w:rsid w:val="00EB5237"/>
    <w:rPr>
      <w:rFonts w:ascii="Palatino Linotype" w:eastAsia="Times New Roman" w:hAnsi="Palatino Linotype" w:cs="Arial"/>
      <w:sz w:val="20"/>
      <w:szCs w:val="20"/>
      <w:lang w:eastAsia="ar-SA"/>
    </w:rPr>
  </w:style>
  <w:style w:type="paragraph" w:styleId="CommentSubject">
    <w:name w:val="annotation subject"/>
    <w:basedOn w:val="CommentText"/>
    <w:next w:val="CommentText"/>
    <w:link w:val="CommentSubjectChar"/>
    <w:uiPriority w:val="99"/>
    <w:semiHidden/>
    <w:unhideWhenUsed/>
    <w:rsid w:val="00EB5237"/>
    <w:rPr>
      <w:b/>
      <w:bCs/>
    </w:rPr>
  </w:style>
  <w:style w:type="character" w:customStyle="1" w:styleId="CommentSubjectChar">
    <w:name w:val="Comment Subject Char"/>
    <w:basedOn w:val="CommentTextChar"/>
    <w:link w:val="CommentSubject"/>
    <w:uiPriority w:val="99"/>
    <w:semiHidden/>
    <w:rsid w:val="00EB5237"/>
    <w:rPr>
      <w:rFonts w:ascii="Palatino Linotype" w:eastAsia="Times New Roman" w:hAnsi="Palatino Linotype" w:cs="Arial"/>
      <w:b/>
      <w:bCs/>
      <w:sz w:val="20"/>
      <w:szCs w:val="20"/>
      <w:lang w:eastAsia="ar-SA"/>
    </w:rPr>
  </w:style>
  <w:style w:type="paragraph" w:styleId="BalloonText">
    <w:name w:val="Balloon Text"/>
    <w:basedOn w:val="Normal"/>
    <w:link w:val="BalloonTextChar"/>
    <w:uiPriority w:val="99"/>
    <w:semiHidden/>
    <w:unhideWhenUsed/>
    <w:rsid w:val="00EB5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237"/>
    <w:rPr>
      <w:rFonts w:ascii="Segoe UI" w:eastAsia="Times New Roman" w:hAnsi="Segoe UI" w:cs="Segoe UI"/>
      <w:sz w:val="18"/>
      <w:szCs w:val="18"/>
      <w:lang w:eastAsia="ar-SA"/>
    </w:rPr>
  </w:style>
  <w:style w:type="character" w:customStyle="1" w:styleId="Heading1Char">
    <w:name w:val="Heading 1 Char"/>
    <w:basedOn w:val="DefaultParagraphFont"/>
    <w:link w:val="Heading1"/>
    <w:uiPriority w:val="9"/>
    <w:rsid w:val="00E066EE"/>
    <w:rPr>
      <w:rFonts w:asciiTheme="majorHAnsi" w:eastAsiaTheme="majorEastAsia" w:hAnsiTheme="majorHAnsi" w:cstheme="majorBidi"/>
      <w:color w:val="365F91"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77386">
      <w:bodyDiv w:val="1"/>
      <w:marLeft w:val="0"/>
      <w:marRight w:val="0"/>
      <w:marTop w:val="0"/>
      <w:marBottom w:val="0"/>
      <w:divBdr>
        <w:top w:val="none" w:sz="0" w:space="0" w:color="auto"/>
        <w:left w:val="none" w:sz="0" w:space="0" w:color="auto"/>
        <w:bottom w:val="none" w:sz="0" w:space="0" w:color="auto"/>
        <w:right w:val="none" w:sz="0" w:space="0" w:color="auto"/>
      </w:divBdr>
    </w:div>
    <w:div w:id="96482307">
      <w:bodyDiv w:val="1"/>
      <w:marLeft w:val="0"/>
      <w:marRight w:val="0"/>
      <w:marTop w:val="0"/>
      <w:marBottom w:val="0"/>
      <w:divBdr>
        <w:top w:val="none" w:sz="0" w:space="0" w:color="auto"/>
        <w:left w:val="none" w:sz="0" w:space="0" w:color="auto"/>
        <w:bottom w:val="none" w:sz="0" w:space="0" w:color="auto"/>
        <w:right w:val="none" w:sz="0" w:space="0" w:color="auto"/>
      </w:divBdr>
    </w:div>
    <w:div w:id="212426493">
      <w:bodyDiv w:val="1"/>
      <w:marLeft w:val="0"/>
      <w:marRight w:val="0"/>
      <w:marTop w:val="0"/>
      <w:marBottom w:val="0"/>
      <w:divBdr>
        <w:top w:val="none" w:sz="0" w:space="0" w:color="auto"/>
        <w:left w:val="none" w:sz="0" w:space="0" w:color="auto"/>
        <w:bottom w:val="none" w:sz="0" w:space="0" w:color="auto"/>
        <w:right w:val="none" w:sz="0" w:space="0" w:color="auto"/>
      </w:divBdr>
    </w:div>
    <w:div w:id="538593965">
      <w:bodyDiv w:val="1"/>
      <w:marLeft w:val="0"/>
      <w:marRight w:val="0"/>
      <w:marTop w:val="0"/>
      <w:marBottom w:val="0"/>
      <w:divBdr>
        <w:top w:val="none" w:sz="0" w:space="0" w:color="auto"/>
        <w:left w:val="none" w:sz="0" w:space="0" w:color="auto"/>
        <w:bottom w:val="none" w:sz="0" w:space="0" w:color="auto"/>
        <w:right w:val="none" w:sz="0" w:space="0" w:color="auto"/>
      </w:divBdr>
    </w:div>
    <w:div w:id="589631045">
      <w:bodyDiv w:val="1"/>
      <w:marLeft w:val="0"/>
      <w:marRight w:val="0"/>
      <w:marTop w:val="0"/>
      <w:marBottom w:val="0"/>
      <w:divBdr>
        <w:top w:val="none" w:sz="0" w:space="0" w:color="auto"/>
        <w:left w:val="none" w:sz="0" w:space="0" w:color="auto"/>
        <w:bottom w:val="none" w:sz="0" w:space="0" w:color="auto"/>
        <w:right w:val="none" w:sz="0" w:space="0" w:color="auto"/>
      </w:divBdr>
    </w:div>
    <w:div w:id="829711537">
      <w:bodyDiv w:val="1"/>
      <w:marLeft w:val="0"/>
      <w:marRight w:val="0"/>
      <w:marTop w:val="0"/>
      <w:marBottom w:val="0"/>
      <w:divBdr>
        <w:top w:val="none" w:sz="0" w:space="0" w:color="auto"/>
        <w:left w:val="none" w:sz="0" w:space="0" w:color="auto"/>
        <w:bottom w:val="none" w:sz="0" w:space="0" w:color="auto"/>
        <w:right w:val="none" w:sz="0" w:space="0" w:color="auto"/>
      </w:divBdr>
    </w:div>
    <w:div w:id="862204129">
      <w:bodyDiv w:val="1"/>
      <w:marLeft w:val="0"/>
      <w:marRight w:val="0"/>
      <w:marTop w:val="0"/>
      <w:marBottom w:val="0"/>
      <w:divBdr>
        <w:top w:val="none" w:sz="0" w:space="0" w:color="auto"/>
        <w:left w:val="none" w:sz="0" w:space="0" w:color="auto"/>
        <w:bottom w:val="none" w:sz="0" w:space="0" w:color="auto"/>
        <w:right w:val="none" w:sz="0" w:space="0" w:color="auto"/>
      </w:divBdr>
    </w:div>
    <w:div w:id="906888376">
      <w:bodyDiv w:val="1"/>
      <w:marLeft w:val="0"/>
      <w:marRight w:val="0"/>
      <w:marTop w:val="0"/>
      <w:marBottom w:val="0"/>
      <w:divBdr>
        <w:top w:val="none" w:sz="0" w:space="0" w:color="auto"/>
        <w:left w:val="none" w:sz="0" w:space="0" w:color="auto"/>
        <w:bottom w:val="none" w:sz="0" w:space="0" w:color="auto"/>
        <w:right w:val="none" w:sz="0" w:space="0" w:color="auto"/>
      </w:divBdr>
    </w:div>
    <w:div w:id="996763290">
      <w:bodyDiv w:val="1"/>
      <w:marLeft w:val="0"/>
      <w:marRight w:val="0"/>
      <w:marTop w:val="0"/>
      <w:marBottom w:val="0"/>
      <w:divBdr>
        <w:top w:val="none" w:sz="0" w:space="0" w:color="auto"/>
        <w:left w:val="none" w:sz="0" w:space="0" w:color="auto"/>
        <w:bottom w:val="none" w:sz="0" w:space="0" w:color="auto"/>
        <w:right w:val="none" w:sz="0" w:space="0" w:color="auto"/>
      </w:divBdr>
    </w:div>
    <w:div w:id="1113750282">
      <w:bodyDiv w:val="1"/>
      <w:marLeft w:val="0"/>
      <w:marRight w:val="0"/>
      <w:marTop w:val="0"/>
      <w:marBottom w:val="0"/>
      <w:divBdr>
        <w:top w:val="none" w:sz="0" w:space="0" w:color="auto"/>
        <w:left w:val="none" w:sz="0" w:space="0" w:color="auto"/>
        <w:bottom w:val="none" w:sz="0" w:space="0" w:color="auto"/>
        <w:right w:val="none" w:sz="0" w:space="0" w:color="auto"/>
      </w:divBdr>
    </w:div>
    <w:div w:id="1320500215">
      <w:bodyDiv w:val="1"/>
      <w:marLeft w:val="0"/>
      <w:marRight w:val="0"/>
      <w:marTop w:val="0"/>
      <w:marBottom w:val="0"/>
      <w:divBdr>
        <w:top w:val="none" w:sz="0" w:space="0" w:color="auto"/>
        <w:left w:val="none" w:sz="0" w:space="0" w:color="auto"/>
        <w:bottom w:val="none" w:sz="0" w:space="0" w:color="auto"/>
        <w:right w:val="none" w:sz="0" w:space="0" w:color="auto"/>
      </w:divBdr>
    </w:div>
    <w:div w:id="1404139559">
      <w:bodyDiv w:val="1"/>
      <w:marLeft w:val="0"/>
      <w:marRight w:val="0"/>
      <w:marTop w:val="0"/>
      <w:marBottom w:val="0"/>
      <w:divBdr>
        <w:top w:val="none" w:sz="0" w:space="0" w:color="auto"/>
        <w:left w:val="none" w:sz="0" w:space="0" w:color="auto"/>
        <w:bottom w:val="none" w:sz="0" w:space="0" w:color="auto"/>
        <w:right w:val="none" w:sz="0" w:space="0" w:color="auto"/>
      </w:divBdr>
    </w:div>
    <w:div w:id="1406806617">
      <w:bodyDiv w:val="1"/>
      <w:marLeft w:val="0"/>
      <w:marRight w:val="0"/>
      <w:marTop w:val="0"/>
      <w:marBottom w:val="0"/>
      <w:divBdr>
        <w:top w:val="none" w:sz="0" w:space="0" w:color="auto"/>
        <w:left w:val="none" w:sz="0" w:space="0" w:color="auto"/>
        <w:bottom w:val="none" w:sz="0" w:space="0" w:color="auto"/>
        <w:right w:val="none" w:sz="0" w:space="0" w:color="auto"/>
      </w:divBdr>
    </w:div>
    <w:div w:id="1603564602">
      <w:bodyDiv w:val="1"/>
      <w:marLeft w:val="0"/>
      <w:marRight w:val="0"/>
      <w:marTop w:val="0"/>
      <w:marBottom w:val="0"/>
      <w:divBdr>
        <w:top w:val="none" w:sz="0" w:space="0" w:color="auto"/>
        <w:left w:val="none" w:sz="0" w:space="0" w:color="auto"/>
        <w:bottom w:val="none" w:sz="0" w:space="0" w:color="auto"/>
        <w:right w:val="none" w:sz="0" w:space="0" w:color="auto"/>
      </w:divBdr>
    </w:div>
    <w:div w:id="1610547485">
      <w:bodyDiv w:val="1"/>
      <w:marLeft w:val="0"/>
      <w:marRight w:val="0"/>
      <w:marTop w:val="0"/>
      <w:marBottom w:val="0"/>
      <w:divBdr>
        <w:top w:val="none" w:sz="0" w:space="0" w:color="auto"/>
        <w:left w:val="none" w:sz="0" w:space="0" w:color="auto"/>
        <w:bottom w:val="none" w:sz="0" w:space="0" w:color="auto"/>
        <w:right w:val="none" w:sz="0" w:space="0" w:color="auto"/>
      </w:divBdr>
    </w:div>
    <w:div w:id="1843809727">
      <w:bodyDiv w:val="1"/>
      <w:marLeft w:val="0"/>
      <w:marRight w:val="0"/>
      <w:marTop w:val="0"/>
      <w:marBottom w:val="0"/>
      <w:divBdr>
        <w:top w:val="none" w:sz="0" w:space="0" w:color="auto"/>
        <w:left w:val="none" w:sz="0" w:space="0" w:color="auto"/>
        <w:bottom w:val="none" w:sz="0" w:space="0" w:color="auto"/>
        <w:right w:val="none" w:sz="0" w:space="0" w:color="auto"/>
      </w:divBdr>
    </w:div>
    <w:div w:id="1852985096">
      <w:bodyDiv w:val="1"/>
      <w:marLeft w:val="0"/>
      <w:marRight w:val="0"/>
      <w:marTop w:val="0"/>
      <w:marBottom w:val="0"/>
      <w:divBdr>
        <w:top w:val="none" w:sz="0" w:space="0" w:color="auto"/>
        <w:left w:val="none" w:sz="0" w:space="0" w:color="auto"/>
        <w:bottom w:val="none" w:sz="0" w:space="0" w:color="auto"/>
        <w:right w:val="none" w:sz="0" w:space="0" w:color="auto"/>
      </w:divBdr>
    </w:div>
    <w:div w:id="202192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yazgi.genc@eas.bau.edu.tr" TargetMode="External"/><Relationship Id="rId2" Type="http://schemas.openxmlformats.org/officeDocument/2006/relationships/hyperlink" Target="mailto:ozan.bakis@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4" Type="http://schemas.openxmlformats.org/officeDocument/2006/relationships/hyperlink" Target="http://betam.bahcesehir.edu.tr/2018/01/asgari-ucret-artisi-kayitli-istihdami-olumsuz-etkiledi/"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yazgi.genc\Dropbox\informality%20and%20mw_yazgi\Arastima_notu\AN_descriptiv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'an_2_TAB1-EK_TAB1_NEW'!$K$28</c:f>
              <c:strCache>
                <c:ptCount val="1"/>
                <c:pt idx="0">
                  <c:v>KD (ücretli)</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'an_2_TAB1-EK_TAB1_NEW'!$J$30:$J$46</c:f>
              <c:numCache>
                <c:formatCode>#,#00</c:formatCode>
                <c:ptCount val="17"/>
                <c:pt idx="0">
                  <c:v>18.982217788696289</c:v>
                </c:pt>
                <c:pt idx="1">
                  <c:v>34.778427124023438</c:v>
                </c:pt>
                <c:pt idx="2">
                  <c:v>16.324222564697266</c:v>
                </c:pt>
                <c:pt idx="3">
                  <c:v>27.981359481811523</c:v>
                </c:pt>
                <c:pt idx="4">
                  <c:v>37.212730407714844</c:v>
                </c:pt>
                <c:pt idx="5">
                  <c:v>25.279407501220703</c:v>
                </c:pt>
                <c:pt idx="6">
                  <c:v>39.140155792236328</c:v>
                </c:pt>
                <c:pt idx="7">
                  <c:v>12.964508056640625</c:v>
                </c:pt>
                <c:pt idx="8">
                  <c:v>7.6356449127197266</c:v>
                </c:pt>
                <c:pt idx="9">
                  <c:v>38.267131805419922</c:v>
                </c:pt>
                <c:pt idx="10">
                  <c:v>20.065584182739258</c:v>
                </c:pt>
                <c:pt idx="11">
                  <c:v>36.719402313232422</c:v>
                </c:pt>
                <c:pt idx="12">
                  <c:v>6.4503722190856934</c:v>
                </c:pt>
                <c:pt idx="13">
                  <c:v>11.881791114807129</c:v>
                </c:pt>
                <c:pt idx="14">
                  <c:v>33.918594360351563</c:v>
                </c:pt>
                <c:pt idx="15">
                  <c:v>18.916284561157227</c:v>
                </c:pt>
                <c:pt idx="16">
                  <c:v>57.730476379394531</c:v>
                </c:pt>
              </c:numCache>
            </c:numRef>
          </c:xVal>
          <c:yVal>
            <c:numRef>
              <c:f>'an_2_TAB1-EK_TAB1_NEW'!$K$30:$K$46</c:f>
              <c:numCache>
                <c:formatCode>#,#00</c:formatCode>
                <c:ptCount val="17"/>
                <c:pt idx="0">
                  <c:v>6.66</c:v>
                </c:pt>
                <c:pt idx="1">
                  <c:v>15.8</c:v>
                </c:pt>
                <c:pt idx="2">
                  <c:v>6.04</c:v>
                </c:pt>
                <c:pt idx="3">
                  <c:v>35.57</c:v>
                </c:pt>
                <c:pt idx="4">
                  <c:v>17.61</c:v>
                </c:pt>
                <c:pt idx="5">
                  <c:v>19.91</c:v>
                </c:pt>
                <c:pt idx="6">
                  <c:v>29.48</c:v>
                </c:pt>
                <c:pt idx="7">
                  <c:v>8.59</c:v>
                </c:pt>
                <c:pt idx="8">
                  <c:v>2.19</c:v>
                </c:pt>
                <c:pt idx="9">
                  <c:v>20.45</c:v>
                </c:pt>
                <c:pt idx="10">
                  <c:v>9.3699999999999992</c:v>
                </c:pt>
                <c:pt idx="11">
                  <c:v>7.02</c:v>
                </c:pt>
                <c:pt idx="12">
                  <c:v>4.13</c:v>
                </c:pt>
                <c:pt idx="13">
                  <c:v>2.78</c:v>
                </c:pt>
                <c:pt idx="14">
                  <c:v>24.89</c:v>
                </c:pt>
                <c:pt idx="15">
                  <c:v>15.59</c:v>
                </c:pt>
                <c:pt idx="16">
                  <c:v>61.95</c:v>
                </c:pt>
              </c:numCache>
            </c:numRef>
          </c:yVal>
          <c:smooth val="0"/>
          <c:extLst>
            <c:ext xmlns:c16="http://schemas.microsoft.com/office/drawing/2014/chart" uri="{C3380CC4-5D6E-409C-BE32-E72D297353CC}">
              <c16:uniqueId val="{00000001-5EB1-4EC6-B9C0-0F3A91B3E513}"/>
            </c:ext>
          </c:extLst>
        </c:ser>
        <c:ser>
          <c:idx val="1"/>
          <c:order val="1"/>
          <c:tx>
            <c:strRef>
              <c:f>'an_2_TAB1-EK_TAB1_NEW'!$L$28</c:f>
              <c:strCache>
                <c:ptCount val="1"/>
                <c:pt idx="0">
                  <c:v>KD (toplam)</c:v>
                </c:pt>
              </c:strCache>
            </c:strRef>
          </c:tx>
          <c:spPr>
            <a:ln w="19050" cap="rnd">
              <a:noFill/>
              <a:round/>
            </a:ln>
            <a:effectLst/>
          </c:spPr>
          <c:marker>
            <c:symbol val="x"/>
            <c:size val="7"/>
            <c:spPr>
              <a:noFill/>
              <a:ln w="9525">
                <a:solidFill>
                  <a:schemeClr val="accent2"/>
                </a:solidFill>
              </a:ln>
              <a:effectLst/>
            </c:spPr>
          </c:marker>
          <c:trendline>
            <c:spPr>
              <a:ln w="19050" cap="rnd">
                <a:solidFill>
                  <a:schemeClr val="accent2"/>
                </a:solidFill>
                <a:prstDash val="sysDot"/>
              </a:ln>
              <a:effectLst/>
            </c:spPr>
            <c:trendlineType val="linear"/>
            <c:dispRSqr val="0"/>
            <c:dispEq val="0"/>
          </c:trendline>
          <c:xVal>
            <c:numRef>
              <c:f>'an_2_TAB1-EK_TAB1_NEW'!$J$30:$J$46</c:f>
              <c:numCache>
                <c:formatCode>#,#00</c:formatCode>
                <c:ptCount val="17"/>
                <c:pt idx="0">
                  <c:v>18.982217788696289</c:v>
                </c:pt>
                <c:pt idx="1">
                  <c:v>34.778427124023438</c:v>
                </c:pt>
                <c:pt idx="2">
                  <c:v>16.324222564697266</c:v>
                </c:pt>
                <c:pt idx="3">
                  <c:v>27.981359481811523</c:v>
                </c:pt>
                <c:pt idx="4">
                  <c:v>37.212730407714844</c:v>
                </c:pt>
                <c:pt idx="5">
                  <c:v>25.279407501220703</c:v>
                </c:pt>
                <c:pt idx="6">
                  <c:v>39.140155792236328</c:v>
                </c:pt>
                <c:pt idx="7">
                  <c:v>12.964508056640625</c:v>
                </c:pt>
                <c:pt idx="8">
                  <c:v>7.6356449127197266</c:v>
                </c:pt>
                <c:pt idx="9">
                  <c:v>38.267131805419922</c:v>
                </c:pt>
                <c:pt idx="10">
                  <c:v>20.065584182739258</c:v>
                </c:pt>
                <c:pt idx="11">
                  <c:v>36.719402313232422</c:v>
                </c:pt>
                <c:pt idx="12">
                  <c:v>6.4503722190856934</c:v>
                </c:pt>
                <c:pt idx="13">
                  <c:v>11.881791114807129</c:v>
                </c:pt>
                <c:pt idx="14">
                  <c:v>33.918594360351563</c:v>
                </c:pt>
                <c:pt idx="15">
                  <c:v>18.916284561157227</c:v>
                </c:pt>
                <c:pt idx="16">
                  <c:v>57.730476379394531</c:v>
                </c:pt>
              </c:numCache>
            </c:numRef>
          </c:xVal>
          <c:yVal>
            <c:numRef>
              <c:f>'an_2_TAB1-EK_TAB1_NEW'!$L$30:$L$46</c:f>
              <c:numCache>
                <c:formatCode>#,#00</c:formatCode>
                <c:ptCount val="17"/>
                <c:pt idx="0">
                  <c:v>6.7</c:v>
                </c:pt>
                <c:pt idx="1">
                  <c:v>20.149999999999999</c:v>
                </c:pt>
                <c:pt idx="2">
                  <c:v>29.94</c:v>
                </c:pt>
                <c:pt idx="3">
                  <c:v>36.6</c:v>
                </c:pt>
                <c:pt idx="4">
                  <c:v>26.54</c:v>
                </c:pt>
                <c:pt idx="5">
                  <c:v>24.79</c:v>
                </c:pt>
                <c:pt idx="6">
                  <c:v>32.99</c:v>
                </c:pt>
                <c:pt idx="7">
                  <c:v>13.28</c:v>
                </c:pt>
                <c:pt idx="8">
                  <c:v>3.44</c:v>
                </c:pt>
                <c:pt idx="9">
                  <c:v>26.32</c:v>
                </c:pt>
                <c:pt idx="10">
                  <c:v>11.11</c:v>
                </c:pt>
                <c:pt idx="11">
                  <c:v>15.25</c:v>
                </c:pt>
                <c:pt idx="12">
                  <c:v>4.13</c:v>
                </c:pt>
                <c:pt idx="13">
                  <c:v>3.47</c:v>
                </c:pt>
                <c:pt idx="14">
                  <c:v>24.74</c:v>
                </c:pt>
                <c:pt idx="15">
                  <c:v>20.39</c:v>
                </c:pt>
                <c:pt idx="16">
                  <c:v>56.44</c:v>
                </c:pt>
              </c:numCache>
            </c:numRef>
          </c:yVal>
          <c:smooth val="0"/>
          <c:extLst>
            <c:ext xmlns:c16="http://schemas.microsoft.com/office/drawing/2014/chart" uri="{C3380CC4-5D6E-409C-BE32-E72D297353CC}">
              <c16:uniqueId val="{00000003-5EB1-4EC6-B9C0-0F3A91B3E513}"/>
            </c:ext>
          </c:extLst>
        </c:ser>
        <c:dLbls>
          <c:showLegendKey val="0"/>
          <c:showVal val="0"/>
          <c:showCatName val="0"/>
          <c:showSerName val="0"/>
          <c:showPercent val="0"/>
          <c:showBubbleSize val="0"/>
        </c:dLbls>
        <c:axId val="419463040"/>
        <c:axId val="419463368"/>
      </c:scatterChart>
      <c:valAx>
        <c:axId val="41946304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Palatino Linotype" panose="02040502050505030304" pitchFamily="18" charset="0"/>
                    <a:ea typeface="+mn-ea"/>
                    <a:cs typeface="+mn-cs"/>
                  </a:defRPr>
                </a:pPr>
                <a:r>
                  <a:rPr lang="tr-TR" b="1"/>
                  <a:t>Düşük ücretli çalışanların oranı, 2014 (%)</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tr-TR"/>
            </a:p>
          </c:txPr>
        </c:title>
        <c:numFmt formatCode="#,#00" sourceLinked="1"/>
        <c:majorTickMark val="none"/>
        <c:minorTickMark val="none"/>
        <c:tickLblPos val="low"/>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tr-TR"/>
          </a:p>
        </c:txPr>
        <c:crossAx val="419463368"/>
        <c:crosses val="autoZero"/>
        <c:crossBetween val="midCat"/>
      </c:valAx>
      <c:valAx>
        <c:axId val="419463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Palatino Linotype" panose="02040502050505030304" pitchFamily="18" charset="0"/>
                    <a:ea typeface="+mn-ea"/>
                    <a:cs typeface="+mn-cs"/>
                  </a:defRPr>
                </a:pPr>
                <a:r>
                  <a:rPr lang="tr-TR" b="1"/>
                  <a:t>Kayıt dışı istihdam oranı, 2014 (%) </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tr-TR"/>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tr-TR"/>
          </a:p>
        </c:txPr>
        <c:crossAx val="41946304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Palatino Linotype" panose="02040502050505030304" pitchFamily="18" charset="0"/>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9E6CC-87BD-43F6-92E7-DE2FAC4F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3554</Words>
  <Characters>20259</Characters>
  <Application>Microsoft Office Word</Application>
  <DocSecurity>0</DocSecurity>
  <Lines>168</Lines>
  <Paragraphs>47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Yazgi GENC</dc:creator>
  <cp:keywords/>
  <dc:description/>
  <cp:lastModifiedBy>Ozan BAKIS</cp:lastModifiedBy>
  <cp:revision>17</cp:revision>
  <dcterms:created xsi:type="dcterms:W3CDTF">2018-02-01T11:15:00Z</dcterms:created>
  <dcterms:modified xsi:type="dcterms:W3CDTF">2018-02-08T08:29:00Z</dcterms:modified>
</cp:coreProperties>
</file>