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tr-TR"/>
        </w:rPr>
        <mc:AlternateContent>
          <mc:Choice Requires="wps">
            <w:drawing>
              <wp:anchor distT="0" distB="0" distL="114935" distR="114935" simplePos="0" relativeHeight="251661824" behindDoc="0" locked="0" layoutInCell="1" allowOverlap="1" wp14:anchorId="690A72DB" wp14:editId="50E534B8">
                <wp:simplePos x="0" y="0"/>
                <wp:positionH relativeFrom="column">
                  <wp:posOffset>5100955</wp:posOffset>
                </wp:positionH>
                <wp:positionV relativeFrom="paragraph">
                  <wp:posOffset>33020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5288C" w14:textId="77777777" w:rsidR="00D07713" w:rsidRPr="00D07713" w:rsidRDefault="001537D8"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sidR="003E0902">
                              <w:rPr>
                                <w:rFonts w:ascii="Arial" w:eastAsia="Times New Roman" w:hAnsi="Arial" w:cs="Arial"/>
                                <w:b/>
                                <w:bCs/>
                                <w:color w:val="FFFFFF"/>
                                <w:sz w:val="22"/>
                                <w:szCs w:val="22"/>
                                <w:lang w:eastAsia="ar-SA"/>
                              </w:rPr>
                              <w:t>December</w:t>
                            </w:r>
                            <w:r w:rsidR="00D07713" w:rsidRPr="00D07713">
                              <w:rPr>
                                <w:rFonts w:ascii="Arial" w:eastAsia="Times New Roman" w:hAnsi="Arial" w:cs="Arial"/>
                                <w:b/>
                                <w:bCs/>
                                <w:color w:val="FFFFFF"/>
                                <w:sz w:val="22"/>
                                <w:szCs w:val="22"/>
                                <w:lang w:eastAsia="ar-SA"/>
                              </w:rPr>
                              <w:t xml:space="preserve"> 2017</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72DB" id="_x0000_t202" coordsize="21600,21600" o:spt="202" path="m,l,21600r21600,l21600,xe">
                <v:stroke joinstyle="miter"/>
                <v:path gradientshapeok="t" o:connecttype="rect"/>
              </v:shapetype>
              <v:shape id="Text Box 3" o:spid="_x0000_s1026" type="#_x0000_t202" style="position:absolute;margin-left:401.65pt;margin-top:2.6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" stroked="f">
                <v:fill opacity="0"/>
                <v:textbox inset="0,0,0,0">
                  <w:txbxContent>
                    <w:p w14:paraId="2685288C" w14:textId="77777777" w:rsidR="00D07713" w:rsidRPr="00D07713" w:rsidRDefault="001537D8"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sidR="003E0902">
                        <w:rPr>
                          <w:rFonts w:ascii="Arial" w:eastAsia="Times New Roman" w:hAnsi="Arial" w:cs="Arial"/>
                          <w:b/>
                          <w:bCs/>
                          <w:color w:val="FFFFFF"/>
                          <w:sz w:val="22"/>
                          <w:szCs w:val="22"/>
                          <w:lang w:eastAsia="ar-SA"/>
                        </w:rPr>
                        <w:t>December</w:t>
                      </w:r>
                      <w:r w:rsidR="00D07713" w:rsidRPr="00D07713">
                        <w:rPr>
                          <w:rFonts w:ascii="Arial" w:eastAsia="Times New Roman" w:hAnsi="Arial" w:cs="Arial"/>
                          <w:b/>
                          <w:bCs/>
                          <w:color w:val="FFFFFF"/>
                          <w:sz w:val="22"/>
                          <w:szCs w:val="22"/>
                          <w:lang w:eastAsia="ar-SA"/>
                        </w:rPr>
                        <w:t xml:space="preserve"> 2017</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tr-TR"/>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Balk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77777777" w:rsidR="00D07713" w:rsidRPr="00526178" w:rsidRDefault="001537D8" w:rsidP="00D07713">
                            <w:pPr>
                              <w:pStyle w:val="Balk1"/>
                              <w:rPr>
                                <w:b w:val="0"/>
                                <w:bCs w:val="0"/>
                                <w:i/>
                                <w:iCs/>
                              </w:rPr>
                            </w:pPr>
                            <w:r>
                              <w:rPr>
                                <w:rFonts w:ascii="Times New Roman" w:hAnsi="Times New Roman" w:cs="Times New Roman"/>
                                <w:sz w:val="40"/>
                                <w:szCs w:val="40"/>
                              </w:rPr>
                              <w:t xml:space="preserve">2017 </w:t>
                            </w:r>
                            <w:r w:rsidR="008C6F06">
                              <w:rPr>
                                <w:rFonts w:ascii="Times New Roman" w:hAnsi="Times New Roman" w:cs="Times New Roman"/>
                                <w:sz w:val="40"/>
                                <w:szCs w:val="40"/>
                              </w:rPr>
                              <w:t>3</w:t>
                            </w:r>
                            <w:r w:rsidR="008C6F06">
                              <w:rPr>
                                <w:rFonts w:ascii="Times New Roman" w:hAnsi="Times New Roman" w:cs="Times New Roman"/>
                                <w:sz w:val="40"/>
                                <w:szCs w:val="40"/>
                                <w:vertAlign w:val="superscript"/>
                              </w:rPr>
                              <w:t>RD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Balk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77777777" w:rsidR="00D07713" w:rsidRPr="00526178" w:rsidRDefault="001537D8" w:rsidP="00D07713">
                      <w:pPr>
                        <w:pStyle w:val="Balk1"/>
                        <w:rPr>
                          <w:b w:val="0"/>
                          <w:bCs w:val="0"/>
                          <w:i/>
                          <w:iCs/>
                        </w:rPr>
                      </w:pPr>
                      <w:r>
                        <w:rPr>
                          <w:rFonts w:ascii="Times New Roman" w:hAnsi="Times New Roman" w:cs="Times New Roman"/>
                          <w:sz w:val="40"/>
                          <w:szCs w:val="40"/>
                        </w:rPr>
                        <w:t xml:space="preserve">2017 </w:t>
                      </w:r>
                      <w:r w:rsidR="008C6F06">
                        <w:rPr>
                          <w:rFonts w:ascii="Times New Roman" w:hAnsi="Times New Roman" w:cs="Times New Roman"/>
                          <w:sz w:val="40"/>
                          <w:szCs w:val="40"/>
                        </w:rPr>
                        <w:t>3</w:t>
                      </w:r>
                      <w:r w:rsidR="008C6F06">
                        <w:rPr>
                          <w:rFonts w:ascii="Times New Roman" w:hAnsi="Times New Roman" w:cs="Times New Roman"/>
                          <w:sz w:val="40"/>
                          <w:szCs w:val="40"/>
                          <w:vertAlign w:val="superscript"/>
                        </w:rPr>
                        <w:t>RD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tr-TR"/>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2DEAC26B" w14:textId="6E21D18A" w:rsidR="00D07713" w:rsidRPr="00924CD9" w:rsidRDefault="00414150" w:rsidP="00924CD9">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3</w:t>
      </w:r>
      <w:r>
        <w:rPr>
          <w:rFonts w:ascii="Palatino Linotype" w:hAnsi="Palatino Linotype" w:cstheme="minorHAnsi"/>
          <w:b/>
          <w:bCs/>
          <w:sz w:val="28"/>
          <w:szCs w:val="28"/>
          <w:vertAlign w:val="superscript"/>
        </w:rPr>
        <w:t>RD</w:t>
      </w:r>
      <w:r>
        <w:rPr>
          <w:rFonts w:ascii="Palatino Linotype" w:hAnsi="Palatino Linotype" w:cstheme="minorHAnsi"/>
          <w:b/>
          <w:bCs/>
          <w:sz w:val="28"/>
          <w:szCs w:val="28"/>
        </w:rPr>
        <w:t xml:space="preserve"> QUARTER </w:t>
      </w:r>
      <w:r w:rsidRPr="007D787D">
        <w:rPr>
          <w:rFonts w:ascii="Palatino Linotype" w:hAnsi="Palatino Linotype" w:cstheme="minorHAnsi"/>
          <w:b/>
          <w:bCs/>
          <w:sz w:val="28"/>
          <w:szCs w:val="28"/>
        </w:rPr>
        <w:t xml:space="preserve">GROWTH </w:t>
      </w:r>
      <w:r w:rsidR="006703B7" w:rsidRPr="007D787D">
        <w:rPr>
          <w:rFonts w:ascii="Palatino Linotype" w:hAnsi="Palatino Linotype" w:cstheme="minorHAnsi"/>
          <w:b/>
          <w:bCs/>
          <w:sz w:val="28"/>
          <w:szCs w:val="28"/>
        </w:rPr>
        <w:t xml:space="preserve">HIGHER </w:t>
      </w:r>
      <w:r w:rsidRPr="007D787D">
        <w:rPr>
          <w:rFonts w:ascii="Palatino Linotype" w:hAnsi="Palatino Linotype" w:cstheme="minorHAnsi"/>
          <w:b/>
          <w:bCs/>
          <w:sz w:val="28"/>
          <w:szCs w:val="28"/>
        </w:rPr>
        <w:t>THAN</w:t>
      </w:r>
      <w:r>
        <w:rPr>
          <w:rFonts w:ascii="Palatino Linotype" w:hAnsi="Palatino Linotype" w:cstheme="minorHAnsi"/>
          <w:b/>
          <w:bCs/>
          <w:sz w:val="28"/>
          <w:szCs w:val="28"/>
        </w:rPr>
        <w:t xml:space="preserve"> EXPECTED</w:t>
      </w:r>
    </w:p>
    <w:p w14:paraId="22314509" w14:textId="77777777"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Pr="00924CD9">
        <w:rPr>
          <w:rStyle w:val="DipnotBavurusu"/>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Ozan Bakış</w:t>
      </w:r>
      <w:r w:rsidR="00C32789" w:rsidRPr="00924CD9">
        <w:rPr>
          <w:rStyle w:val="DipnotBavurusu"/>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w:t>
      </w:r>
      <w:r w:rsidR="008C6F06">
        <w:rPr>
          <w:rFonts w:ascii="Palatino Linotype" w:hAnsi="Palatino Linotype" w:cstheme="minorHAnsi"/>
          <w:b/>
          <w:bCs/>
          <w:sz w:val="22"/>
          <w:szCs w:val="22"/>
        </w:rPr>
        <w:t>and</w:t>
      </w:r>
      <w:r w:rsidR="001537D8">
        <w:rPr>
          <w:rFonts w:ascii="Palatino Linotype" w:hAnsi="Palatino Linotype" w:cstheme="minorHAnsi"/>
          <w:b/>
          <w:bCs/>
          <w:sz w:val="22"/>
          <w:szCs w:val="22"/>
        </w:rPr>
        <w:t xml:space="preserve"> Uğurcan Acar</w:t>
      </w:r>
      <w:r w:rsidR="001537D8">
        <w:rPr>
          <w:rStyle w:val="DipnotBavurusu"/>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14:paraId="57322CA8" w14:textId="77777777" w:rsidR="00D07713" w:rsidRPr="00924CD9" w:rsidRDefault="00D07713">
      <w:pPr>
        <w:rPr>
          <w:rFonts w:ascii="Palatino Linotype" w:hAnsi="Palatino Linotype" w:cstheme="minorHAnsi"/>
        </w:rPr>
      </w:pPr>
    </w:p>
    <w:p w14:paraId="3AE80053" w14:textId="77777777" w:rsidR="00D257C1" w:rsidRPr="00AE59EE" w:rsidRDefault="00414150" w:rsidP="007B70AD">
      <w:pPr>
        <w:jc w:val="center"/>
        <w:rPr>
          <w:rFonts w:ascii="Palatino Linotype" w:hAnsi="Palatino Linotype" w:cstheme="minorHAnsi"/>
          <w:b/>
          <w:sz w:val="22"/>
          <w:szCs w:val="22"/>
        </w:rPr>
      </w:pPr>
      <w:r w:rsidRPr="00DE4D69">
        <w:rPr>
          <w:rFonts w:ascii="Arial" w:hAnsi="Arial" w:cs="Arial"/>
          <w:b/>
          <w:bCs/>
          <w:sz w:val="22"/>
          <w:szCs w:val="22"/>
        </w:rPr>
        <w:t>Executive Summary</w:t>
      </w:r>
    </w:p>
    <w:p w14:paraId="71613B14" w14:textId="77777777" w:rsidR="00414150" w:rsidRDefault="00414150" w:rsidP="001F7BC7">
      <w:pPr>
        <w:spacing w:after="120"/>
        <w:ind w:left="567" w:right="567"/>
        <w:jc w:val="both"/>
        <w:rPr>
          <w:rFonts w:ascii="Palatino Linotype" w:hAnsi="Palatino Linotype" w:cstheme="minorHAnsi"/>
          <w:sz w:val="22"/>
          <w:szCs w:val="22"/>
        </w:rPr>
      </w:pPr>
    </w:p>
    <w:p w14:paraId="3A2460AF" w14:textId="5E97584B" w:rsidR="00414150" w:rsidRPr="007D787D" w:rsidRDefault="00414150" w:rsidP="001F7BC7">
      <w:pPr>
        <w:spacing w:after="120"/>
        <w:ind w:left="567" w:right="567"/>
        <w:jc w:val="both"/>
        <w:rPr>
          <w:rFonts w:ascii="Palatino Linotype" w:hAnsi="Palatino Linotype" w:cstheme="minorHAnsi"/>
          <w:sz w:val="22"/>
          <w:szCs w:val="22"/>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third quarter of 2017,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data, </w:t>
      </w:r>
      <w:r w:rsidRPr="007D787D">
        <w:rPr>
          <w:rFonts w:ascii="Palatino Linotype" w:hAnsi="Palatino Linotype" w:cstheme="minorHAnsi"/>
          <w:sz w:val="22"/>
          <w:szCs w:val="22"/>
        </w:rPr>
        <w:t xml:space="preserve">Gross Domestic Product (GDP) increased by 1.2 percent compared to the previous quarter and by 11.1 percent compared to the third quarter of last year. The highest contribution to </w:t>
      </w:r>
      <w:r w:rsidR="00D30DDE" w:rsidRPr="007D787D">
        <w:rPr>
          <w:rFonts w:ascii="Palatino Linotype" w:hAnsi="Palatino Linotype" w:cstheme="minorHAnsi"/>
          <w:sz w:val="22"/>
          <w:szCs w:val="22"/>
        </w:rPr>
        <w:t>annually economic growth</w:t>
      </w:r>
      <w:r w:rsidRPr="007D787D">
        <w:rPr>
          <w:rFonts w:ascii="Palatino Linotype" w:hAnsi="Palatino Linotype" w:cstheme="minorHAnsi"/>
          <w:sz w:val="22"/>
          <w:szCs w:val="22"/>
        </w:rPr>
        <w:t xml:space="preserve"> </w:t>
      </w:r>
      <w:r w:rsidR="006703B7" w:rsidRPr="007D787D">
        <w:rPr>
          <w:rFonts w:ascii="Palatino Linotype" w:hAnsi="Palatino Linotype" w:cstheme="minorHAnsi"/>
          <w:sz w:val="22"/>
          <w:szCs w:val="22"/>
        </w:rPr>
        <w:t xml:space="preserve">has been provided by </w:t>
      </w:r>
      <w:r w:rsidRPr="007D787D">
        <w:rPr>
          <w:rFonts w:ascii="Palatino Linotype" w:hAnsi="Palatino Linotype" w:cstheme="minorHAnsi"/>
          <w:sz w:val="22"/>
          <w:szCs w:val="22"/>
        </w:rPr>
        <w:t>private consumption, growing by 11.7% (6.9 percentage points</w:t>
      </w:r>
      <w:r w:rsidR="00D30DDE" w:rsidRPr="007D787D">
        <w:rPr>
          <w:rFonts w:ascii="Palatino Linotype" w:hAnsi="Palatino Linotype" w:cstheme="minorHAnsi"/>
          <w:sz w:val="22"/>
          <w:szCs w:val="22"/>
        </w:rPr>
        <w:t xml:space="preserve"> contribution</w:t>
      </w:r>
      <w:r w:rsidRPr="007D787D">
        <w:rPr>
          <w:rFonts w:ascii="Palatino Linotype" w:hAnsi="Palatino Linotype" w:cstheme="minorHAnsi"/>
          <w:sz w:val="22"/>
          <w:szCs w:val="22"/>
        </w:rPr>
        <w:t xml:space="preserve">). The contribution of investments that grew by more than 12 percent was 3.5 percentage points. Since </w:t>
      </w:r>
      <w:r w:rsidR="006703B7" w:rsidRPr="007D787D">
        <w:rPr>
          <w:rFonts w:ascii="Palatino Linotype" w:hAnsi="Palatino Linotype" w:cstheme="minorHAnsi"/>
          <w:sz w:val="22"/>
          <w:szCs w:val="22"/>
        </w:rPr>
        <w:t xml:space="preserve">contributions of </w:t>
      </w:r>
      <w:r w:rsidRPr="007D787D">
        <w:rPr>
          <w:rFonts w:ascii="Palatino Linotype" w:hAnsi="Palatino Linotype" w:cstheme="minorHAnsi"/>
          <w:sz w:val="22"/>
          <w:szCs w:val="22"/>
        </w:rPr>
        <w:t xml:space="preserve">exports and imports are in opposite directions and almost </w:t>
      </w:r>
      <w:r w:rsidR="006703B7" w:rsidRPr="007D787D">
        <w:rPr>
          <w:rFonts w:ascii="Palatino Linotype" w:hAnsi="Palatino Linotype" w:cstheme="minorHAnsi"/>
          <w:sz w:val="22"/>
          <w:szCs w:val="22"/>
        </w:rPr>
        <w:t xml:space="preserve">of </w:t>
      </w:r>
      <w:r w:rsidRPr="007D787D">
        <w:rPr>
          <w:rFonts w:ascii="Palatino Linotype" w:hAnsi="Palatino Linotype" w:cstheme="minorHAnsi"/>
          <w:sz w:val="22"/>
          <w:szCs w:val="22"/>
        </w:rPr>
        <w:t>equal</w:t>
      </w:r>
      <w:r w:rsidR="006703B7" w:rsidRPr="007D787D">
        <w:rPr>
          <w:rFonts w:ascii="Palatino Linotype" w:hAnsi="Palatino Linotype" w:cstheme="minorHAnsi"/>
          <w:sz w:val="22"/>
          <w:szCs w:val="22"/>
        </w:rPr>
        <w:t xml:space="preserve"> size</w:t>
      </w:r>
      <w:r w:rsidRPr="007D787D">
        <w:rPr>
          <w:rFonts w:ascii="Palatino Linotype" w:hAnsi="Palatino Linotype" w:cstheme="minorHAnsi"/>
          <w:sz w:val="22"/>
          <w:szCs w:val="22"/>
        </w:rPr>
        <w:t xml:space="preserve">, it </w:t>
      </w:r>
      <w:r w:rsidR="00D30DDE" w:rsidRPr="007D787D">
        <w:rPr>
          <w:rFonts w:ascii="Palatino Linotype" w:hAnsi="Palatino Linotype" w:cstheme="minorHAnsi"/>
          <w:sz w:val="22"/>
          <w:szCs w:val="22"/>
        </w:rPr>
        <w:t>may be said that</w:t>
      </w:r>
      <w:r w:rsidRPr="007D787D">
        <w:rPr>
          <w:rFonts w:ascii="Palatino Linotype" w:hAnsi="Palatino Linotype" w:cstheme="minorHAnsi"/>
          <w:sz w:val="22"/>
          <w:szCs w:val="22"/>
        </w:rPr>
        <w:t xml:space="preserve"> net foreign trade</w:t>
      </w:r>
      <w:r w:rsidR="00D30DDE" w:rsidRPr="007D787D">
        <w:rPr>
          <w:rFonts w:ascii="Palatino Linotype" w:hAnsi="Palatino Linotype" w:cstheme="minorHAnsi"/>
          <w:sz w:val="22"/>
          <w:szCs w:val="22"/>
        </w:rPr>
        <w:t xml:space="preserve"> did not make</w:t>
      </w:r>
      <w:r w:rsidRPr="007D787D">
        <w:rPr>
          <w:rFonts w:ascii="Palatino Linotype" w:hAnsi="Palatino Linotype" w:cstheme="minorHAnsi"/>
          <w:sz w:val="22"/>
          <w:szCs w:val="22"/>
        </w:rPr>
        <w:t xml:space="preserve"> </w:t>
      </w:r>
      <w:r w:rsidR="002D5820" w:rsidRPr="007D787D">
        <w:rPr>
          <w:rFonts w:ascii="Palatino Linotype" w:hAnsi="Palatino Linotype" w:cstheme="minorHAnsi"/>
          <w:sz w:val="22"/>
          <w:szCs w:val="22"/>
        </w:rPr>
        <w:t xml:space="preserve">any </w:t>
      </w:r>
      <w:r w:rsidRPr="007D787D">
        <w:rPr>
          <w:rFonts w:ascii="Palatino Linotype" w:hAnsi="Palatino Linotype" w:cstheme="minorHAnsi"/>
          <w:sz w:val="22"/>
          <w:szCs w:val="22"/>
        </w:rPr>
        <w:t>contribution</w:t>
      </w:r>
      <w:r w:rsidR="002D5820" w:rsidRPr="007D787D">
        <w:rPr>
          <w:rFonts w:ascii="Palatino Linotype" w:hAnsi="Palatino Linotype" w:cstheme="minorHAnsi"/>
          <w:sz w:val="22"/>
          <w:szCs w:val="22"/>
        </w:rPr>
        <w:t xml:space="preserve"> to growth</w:t>
      </w:r>
      <w:r w:rsidRPr="007D787D">
        <w:rPr>
          <w:rFonts w:ascii="Palatino Linotype" w:hAnsi="Palatino Linotype" w:cstheme="minorHAnsi"/>
          <w:sz w:val="22"/>
          <w:szCs w:val="22"/>
        </w:rPr>
        <w:t>. On the contrary, the contribution of public consumption and stock change remained very small</w:t>
      </w:r>
      <w:r w:rsidR="002D5820" w:rsidRPr="007D787D">
        <w:rPr>
          <w:rFonts w:ascii="Palatino Linotype" w:hAnsi="Palatino Linotype" w:cstheme="minorHAnsi"/>
          <w:sz w:val="22"/>
          <w:szCs w:val="22"/>
        </w:rPr>
        <w:t xml:space="preserve"> but</w:t>
      </w:r>
      <w:r w:rsidRPr="007D787D">
        <w:rPr>
          <w:rFonts w:ascii="Palatino Linotype" w:hAnsi="Palatino Linotype" w:cstheme="minorHAnsi"/>
          <w:sz w:val="22"/>
          <w:szCs w:val="22"/>
        </w:rPr>
        <w:t xml:space="preserve"> positive.</w:t>
      </w:r>
    </w:p>
    <w:p w14:paraId="209DDB24" w14:textId="77777777" w:rsidR="002D5820" w:rsidRDefault="002D5820" w:rsidP="001F7BC7">
      <w:pPr>
        <w:spacing w:after="120"/>
        <w:ind w:left="567" w:right="567"/>
        <w:jc w:val="both"/>
        <w:rPr>
          <w:rFonts w:ascii="Palatino Linotype" w:hAnsi="Palatino Linotype" w:cstheme="minorHAnsi"/>
          <w:sz w:val="22"/>
          <w:szCs w:val="22"/>
        </w:rPr>
      </w:pPr>
      <w:r w:rsidRPr="007D787D">
        <w:rPr>
          <w:rFonts w:ascii="Palatino Linotype" w:hAnsi="Palatino Linotype" w:cstheme="minorHAnsi"/>
          <w:sz w:val="22"/>
          <w:szCs w:val="22"/>
        </w:rPr>
        <w:t>Third quarter growth figures have largely guaranteed that the 5.5 percent GDP growth for 2017 projected in the 2018-2020 Medium Term Programme (OVP) will be exceeded. It is understood that the Credit Guarantee Fund and other incentives were effective in this success. Assuming that these incentives that support domestic demand will not continue in the same way over the next few</w:t>
      </w:r>
      <w:r w:rsidRPr="002D5820">
        <w:rPr>
          <w:rFonts w:ascii="Palatino Linotype" w:hAnsi="Palatino Linotype" w:cstheme="minorHAnsi"/>
          <w:sz w:val="22"/>
          <w:szCs w:val="22"/>
        </w:rPr>
        <w:t xml:space="preserve"> years, policies that will ensure sustainable (and good quality) growth in order to meet the 5.5 percent growth target foreseen in the OVP for the coming years should be considered.</w:t>
      </w:r>
    </w:p>
    <w:p w14:paraId="36A74DEA" w14:textId="77777777" w:rsidR="00B53557" w:rsidRDefault="00B53557" w:rsidP="00B53557">
      <w:pPr>
        <w:keepNext/>
        <w:ind w:right="77"/>
        <w:jc w:val="both"/>
        <w:rPr>
          <w:rFonts w:ascii="Palatino Linotype" w:hAnsi="Palatino Linotype" w:cstheme="minorHAnsi"/>
          <w:b/>
          <w:bCs/>
          <w:sz w:val="22"/>
          <w:szCs w:val="22"/>
        </w:rPr>
      </w:pPr>
      <w:r>
        <w:rPr>
          <w:rFonts w:ascii="Palatino Linotype" w:hAnsi="Palatino Linotype" w:cstheme="minorHAnsi"/>
          <w:b/>
          <w:bCs/>
          <w:sz w:val="22"/>
          <w:szCs w:val="22"/>
        </w:rPr>
        <w:t xml:space="preserve">Figure 1: </w:t>
      </w:r>
      <w:r w:rsidRPr="00D56304">
        <w:rPr>
          <w:rFonts w:ascii="Palatino Linotype" w:hAnsi="Palatino Linotype" w:cstheme="minorHAnsi"/>
          <w:b/>
          <w:bCs/>
          <w:sz w:val="22"/>
          <w:szCs w:val="22"/>
        </w:rPr>
        <w:t xml:space="preserve">Change in GDP components from the third quarter of last year 2016-Q3 </w:t>
      </w:r>
      <w:r w:rsidRPr="00924CD9">
        <w:rPr>
          <w:rFonts w:ascii="Palatino Linotype" w:hAnsi="Palatino Linotype" w:cstheme="minorHAnsi"/>
          <w:b/>
          <w:bCs/>
          <w:sz w:val="22"/>
          <w:szCs w:val="22"/>
        </w:rPr>
        <w:t>(</w:t>
      </w:r>
      <w:r>
        <w:rPr>
          <w:rFonts w:ascii="Palatino Linotype" w:hAnsi="Palatino Linotype" w:cstheme="minorHAnsi"/>
          <w:b/>
          <w:bCs/>
          <w:sz w:val="22"/>
          <w:szCs w:val="22"/>
        </w:rPr>
        <w:t>right</w:t>
      </w:r>
      <w:r w:rsidRPr="00924CD9">
        <w:rPr>
          <w:rFonts w:ascii="Palatino Linotype" w:hAnsi="Palatino Linotype" w:cstheme="minorHAnsi"/>
          <w:b/>
          <w:bCs/>
          <w:sz w:val="22"/>
          <w:szCs w:val="22"/>
        </w:rPr>
        <w:t xml:space="preserve">) </w:t>
      </w:r>
      <w:r>
        <w:rPr>
          <w:rFonts w:ascii="Palatino Linotype" w:hAnsi="Palatino Linotype" w:cstheme="minorHAnsi"/>
          <w:b/>
          <w:bCs/>
          <w:sz w:val="22"/>
          <w:szCs w:val="22"/>
        </w:rPr>
        <w:t xml:space="preserve">and </w:t>
      </w:r>
      <w:r w:rsidRPr="00D56304">
        <w:rPr>
          <w:rFonts w:ascii="Palatino Linotype" w:hAnsi="Palatino Linotype" w:cstheme="minorHAnsi"/>
          <w:b/>
          <w:bCs/>
          <w:sz w:val="22"/>
          <w:szCs w:val="22"/>
        </w:rPr>
        <w:t>Contributions of GDP components to 2017-Q3 GDP growth</w:t>
      </w:r>
      <w:r w:rsidRPr="00924CD9">
        <w:rPr>
          <w:rFonts w:ascii="Palatino Linotype" w:hAnsi="Palatino Linotype" w:cstheme="minorHAnsi"/>
          <w:b/>
          <w:bCs/>
          <w:sz w:val="22"/>
          <w:szCs w:val="22"/>
        </w:rPr>
        <w:t xml:space="preserve"> (</w:t>
      </w:r>
      <w:r>
        <w:rPr>
          <w:rFonts w:ascii="Palatino Linotype" w:hAnsi="Palatino Linotype" w:cstheme="minorHAnsi"/>
          <w:b/>
          <w:bCs/>
          <w:sz w:val="22"/>
          <w:szCs w:val="22"/>
        </w:rPr>
        <w:t>left</w:t>
      </w:r>
      <w:r w:rsidRPr="00924CD9">
        <w:rPr>
          <w:rFonts w:ascii="Palatino Linotype" w:hAnsi="Palatino Linotype" w:cstheme="minorHAnsi"/>
          <w:b/>
          <w:bCs/>
          <w:sz w:val="22"/>
          <w:szCs w:val="22"/>
        </w:rPr>
        <w:t>)</w:t>
      </w:r>
    </w:p>
    <w:p w14:paraId="4B64CFD7" w14:textId="77777777" w:rsidR="00B53557" w:rsidRPr="00236056" w:rsidRDefault="00B53557" w:rsidP="00B53557">
      <w:pPr>
        <w:keepNext/>
        <w:ind w:right="77"/>
        <w:jc w:val="both"/>
        <w:rPr>
          <w:rFonts w:ascii="Palatino Linotype" w:hAnsi="Palatino Linotype" w:cstheme="minorHAnsi"/>
          <w:b/>
          <w:bCs/>
          <w:sz w:val="22"/>
          <w:szCs w:val="22"/>
        </w:rPr>
      </w:pPr>
    </w:p>
    <w:p w14:paraId="75865008" w14:textId="77777777" w:rsidR="00B53557" w:rsidRPr="00924CD9" w:rsidRDefault="00B53557" w:rsidP="00B53557">
      <w:pPr>
        <w:keepNext/>
        <w:ind w:left="-567" w:right="-567"/>
        <w:rPr>
          <w:rFonts w:ascii="Palatino Linotype" w:hAnsi="Palatino Linotype" w:cstheme="minorHAnsi"/>
        </w:rPr>
      </w:pPr>
      <w:r>
        <w:rPr>
          <w:noProof/>
          <w:lang w:val="tr-TR"/>
        </w:rPr>
        <w:drawing>
          <wp:inline distT="0" distB="0" distL="0" distR="0" wp14:anchorId="286A90DA" wp14:editId="3C33851D">
            <wp:extent cx="3238500" cy="1838325"/>
            <wp:effectExtent l="0" t="0" r="0" b="9525"/>
            <wp:docPr id="2" name="Grafik 2">
              <a:extLst xmlns:a="http://schemas.openxmlformats.org/drawingml/2006/main">
                <a:ext uri="{FF2B5EF4-FFF2-40B4-BE49-F238E27FC236}">
                  <a16:creationId xmlns:a16="http://schemas.microsoft.com/office/drawing/2014/main" id="{0937F89A-252C-47ED-A70B-9047FEDB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56304">
        <w:rPr>
          <w:noProof/>
        </w:rPr>
        <w:t xml:space="preserve"> </w:t>
      </w:r>
      <w:r>
        <w:rPr>
          <w:noProof/>
          <w:lang w:val="tr-TR"/>
        </w:rPr>
        <w:drawing>
          <wp:inline distT="0" distB="0" distL="0" distR="0" wp14:anchorId="11794CAA" wp14:editId="6F9BA699">
            <wp:extent cx="2924175" cy="1847850"/>
            <wp:effectExtent l="0" t="0" r="9525" b="0"/>
            <wp:docPr id="3" name="Grafik 3">
              <a:extLst xmlns:a="http://schemas.openxmlformats.org/drawingml/2006/main">
                <a:ext uri="{FF2B5EF4-FFF2-40B4-BE49-F238E27FC236}">
                  <a16:creationId xmlns:a16="http://schemas.microsoft.com/office/drawing/2014/main" id="{33835137-C931-4EAC-B56D-E6F7FC3A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7777777" w:rsidR="00B53557" w:rsidRPr="00924CD9" w:rsidRDefault="00B53557" w:rsidP="00B53557">
      <w:pPr>
        <w:keepNext/>
        <w:rPr>
          <w:rFonts w:ascii="Palatino Linotype" w:hAnsi="Palatino Linotype" w:cstheme="minorHAnsi"/>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T</w:t>
      </w:r>
      <w:r>
        <w:rPr>
          <w:rFonts w:ascii="Palatino Linotype" w:hAnsi="Palatino Linotype" w:cstheme="minorHAnsi"/>
          <w:sz w:val="18"/>
          <w:szCs w:val="18"/>
        </w:rPr>
        <w:t>urkStat</w:t>
      </w:r>
      <w:r w:rsidRPr="003E1EED">
        <w:rPr>
          <w:rFonts w:ascii="Palatino Linotype" w:hAnsi="Palatino Linotype" w:cstheme="minorHAnsi"/>
          <w:sz w:val="18"/>
          <w:szCs w:val="18"/>
        </w:rPr>
        <w:t>, Betam</w:t>
      </w:r>
      <w:r w:rsidRPr="00924CD9">
        <w:rPr>
          <w:rFonts w:ascii="Palatino Linotype" w:hAnsi="Palatino Linotype" w:cstheme="minorHAnsi"/>
          <w:sz w:val="16"/>
          <w:szCs w:val="16"/>
        </w:rPr>
        <w:t xml:space="preserve">. </w:t>
      </w:r>
    </w:p>
    <w:p w14:paraId="62ECA514" w14:textId="77777777" w:rsidR="00CC79C0" w:rsidRPr="00AE59EE" w:rsidRDefault="00CC79C0" w:rsidP="001F7BC7">
      <w:pPr>
        <w:spacing w:after="120"/>
        <w:ind w:left="567" w:right="567"/>
        <w:jc w:val="both"/>
        <w:rPr>
          <w:rFonts w:ascii="Palatino Linotype" w:hAnsi="Palatino Linotype" w:cstheme="minorHAnsi"/>
          <w:sz w:val="22"/>
          <w:szCs w:val="22"/>
        </w:rPr>
      </w:pPr>
    </w:p>
    <w:p w14:paraId="33964760" w14:textId="77777777" w:rsidR="00982F71" w:rsidRPr="00982F71" w:rsidRDefault="00982F71" w:rsidP="00982F71">
      <w:pPr>
        <w:spacing w:line="360" w:lineRule="auto"/>
        <w:jc w:val="both"/>
        <w:rPr>
          <w:rFonts w:ascii="Palatino Linotype" w:hAnsi="Palatino Linotype" w:cstheme="minorHAnsi"/>
          <w:b/>
          <w:bCs/>
          <w:sz w:val="22"/>
          <w:szCs w:val="22"/>
        </w:rPr>
      </w:pPr>
      <w:r w:rsidRPr="00982F71">
        <w:rPr>
          <w:rFonts w:ascii="Palatino Linotype" w:hAnsi="Palatino Linotype" w:cstheme="minorHAnsi"/>
          <w:b/>
          <w:bCs/>
          <w:sz w:val="22"/>
          <w:szCs w:val="22"/>
        </w:rPr>
        <w:lastRenderedPageBreak/>
        <w:t>Strong support from private consumption</w:t>
      </w:r>
    </w:p>
    <w:p w14:paraId="273CF5E2" w14:textId="3298A78A" w:rsidR="00236056" w:rsidRPr="00982F71" w:rsidRDefault="00982F71" w:rsidP="00236056">
      <w:pPr>
        <w:spacing w:line="360" w:lineRule="auto"/>
        <w:jc w:val="both"/>
        <w:rPr>
          <w:rFonts w:ascii="Palatino Linotype" w:hAnsi="Palatino Linotype" w:cstheme="minorHAnsi"/>
          <w:sz w:val="22"/>
          <w:szCs w:val="22"/>
        </w:rPr>
      </w:pPr>
      <w:r w:rsidRPr="00982F71">
        <w:rPr>
          <w:rFonts w:ascii="Palatino Linotype" w:hAnsi="Palatino Linotype" w:cstheme="minorHAnsi"/>
          <w:sz w:val="22"/>
          <w:szCs w:val="22"/>
        </w:rPr>
        <w:t xml:space="preserve">According to the same quarter of last year, consumption which grew by 3.1 percent in the second quarter, jumped by 11.7 percent in the third quarter. The contribution to growth </w:t>
      </w:r>
      <w:r>
        <w:rPr>
          <w:rFonts w:ascii="Palatino Linotype" w:hAnsi="Palatino Linotype" w:cstheme="minorHAnsi"/>
          <w:sz w:val="22"/>
          <w:szCs w:val="22"/>
        </w:rPr>
        <w:t xml:space="preserve">has increased </w:t>
      </w:r>
      <w:r w:rsidRPr="00982F71">
        <w:rPr>
          <w:rFonts w:ascii="Palatino Linotype" w:hAnsi="Palatino Linotype" w:cstheme="minorHAnsi"/>
          <w:sz w:val="22"/>
          <w:szCs w:val="22"/>
        </w:rPr>
        <w:t>very strong</w:t>
      </w:r>
      <w:r>
        <w:rPr>
          <w:rFonts w:ascii="Palatino Linotype" w:hAnsi="Palatino Linotype" w:cstheme="minorHAnsi"/>
          <w:sz w:val="22"/>
          <w:szCs w:val="22"/>
        </w:rPr>
        <w:t>ly, from</w:t>
      </w:r>
      <w:r w:rsidR="0011258F">
        <w:rPr>
          <w:rFonts w:ascii="Palatino Linotype" w:hAnsi="Palatino Linotype" w:cstheme="minorHAnsi"/>
          <w:sz w:val="22"/>
          <w:szCs w:val="22"/>
        </w:rPr>
        <w:t xml:space="preserve"> 1.8 per</w:t>
      </w:r>
      <w:r w:rsidRPr="00982F71">
        <w:rPr>
          <w:rFonts w:ascii="Palatino Linotype" w:hAnsi="Palatino Linotype" w:cstheme="minorHAnsi"/>
          <w:sz w:val="22"/>
          <w:szCs w:val="22"/>
        </w:rPr>
        <w:t>cent</w:t>
      </w:r>
      <w:r w:rsidR="0011258F">
        <w:rPr>
          <w:rFonts w:ascii="Palatino Linotype" w:hAnsi="Palatino Linotype" w:cstheme="minorHAnsi"/>
          <w:sz w:val="22"/>
          <w:szCs w:val="22"/>
        </w:rPr>
        <w:t>age</w:t>
      </w:r>
      <w:r w:rsidRPr="00982F71">
        <w:rPr>
          <w:rFonts w:ascii="Palatino Linotype" w:hAnsi="Palatino Linotype" w:cstheme="minorHAnsi"/>
          <w:sz w:val="22"/>
          <w:szCs w:val="22"/>
        </w:rPr>
        <w:t xml:space="preserve"> </w:t>
      </w:r>
      <w:r>
        <w:rPr>
          <w:rFonts w:ascii="Palatino Linotype" w:hAnsi="Palatino Linotype" w:cstheme="minorHAnsi"/>
          <w:sz w:val="22"/>
          <w:szCs w:val="22"/>
        </w:rPr>
        <w:t>points to</w:t>
      </w:r>
      <w:r w:rsidRPr="00982F71">
        <w:rPr>
          <w:rFonts w:ascii="Palatino Linotype" w:hAnsi="Palatino Linotype" w:cstheme="minorHAnsi"/>
          <w:sz w:val="22"/>
          <w:szCs w:val="22"/>
        </w:rPr>
        <w:t xml:space="preserve"> 6.9 </w:t>
      </w:r>
      <w:r>
        <w:rPr>
          <w:rFonts w:ascii="Palatino Linotype" w:hAnsi="Palatino Linotype" w:cstheme="minorHAnsi"/>
          <w:sz w:val="22"/>
          <w:szCs w:val="22"/>
        </w:rPr>
        <w:t>points</w:t>
      </w:r>
      <w:r w:rsidRPr="00982F71">
        <w:rPr>
          <w:rFonts w:ascii="Palatino Linotype" w:hAnsi="Palatino Linotype" w:cstheme="minorHAnsi"/>
          <w:sz w:val="22"/>
          <w:szCs w:val="22"/>
        </w:rPr>
        <w:t xml:space="preserve">. (Table 1). However, we see that there is a different trend when we look at the </w:t>
      </w:r>
      <w:r w:rsidRPr="007D787D">
        <w:rPr>
          <w:rFonts w:ascii="Palatino Linotype" w:hAnsi="Palatino Linotype" w:cstheme="minorHAnsi"/>
          <w:sz w:val="22"/>
          <w:szCs w:val="22"/>
        </w:rPr>
        <w:t xml:space="preserve">seasonally and calendar day adjusted figures. As we move from the second quarter to the third quarter, </w:t>
      </w:r>
      <w:r w:rsidR="0011258F" w:rsidRPr="007D787D">
        <w:rPr>
          <w:rFonts w:ascii="Palatino Linotype" w:hAnsi="Palatino Linotype" w:cstheme="minorHAnsi"/>
          <w:sz w:val="22"/>
          <w:szCs w:val="22"/>
        </w:rPr>
        <w:t xml:space="preserve">it appears </w:t>
      </w:r>
      <w:r w:rsidRPr="007D787D">
        <w:rPr>
          <w:rFonts w:ascii="Palatino Linotype" w:hAnsi="Palatino Linotype" w:cstheme="minorHAnsi"/>
          <w:sz w:val="22"/>
          <w:szCs w:val="22"/>
        </w:rPr>
        <w:t xml:space="preserve">that both the growth rate and the contribution to growth are decreasing (Table 2). We can say that the </w:t>
      </w:r>
      <w:r w:rsidR="00A160F5" w:rsidRPr="007D787D">
        <w:rPr>
          <w:rFonts w:ascii="Palatino Linotype" w:hAnsi="Palatino Linotype" w:cstheme="minorHAnsi"/>
          <w:sz w:val="22"/>
          <w:szCs w:val="22"/>
        </w:rPr>
        <w:t>special consumption tax (ÖTV)</w:t>
      </w:r>
      <w:r w:rsidRPr="007D787D">
        <w:rPr>
          <w:rFonts w:ascii="Palatino Linotype" w:hAnsi="Palatino Linotype" w:cstheme="minorHAnsi"/>
          <w:sz w:val="22"/>
          <w:szCs w:val="22"/>
        </w:rPr>
        <w:t xml:space="preserve"> reductions on consumption </w:t>
      </w:r>
      <w:r w:rsidR="0011258F" w:rsidRPr="007D787D">
        <w:rPr>
          <w:rFonts w:ascii="Palatino Linotype" w:hAnsi="Palatino Linotype" w:cstheme="minorHAnsi"/>
          <w:sz w:val="22"/>
          <w:szCs w:val="22"/>
        </w:rPr>
        <w:t xml:space="preserve">has been </w:t>
      </w:r>
      <w:r w:rsidRPr="007D787D">
        <w:rPr>
          <w:rFonts w:ascii="Palatino Linotype" w:hAnsi="Palatino Linotype" w:cstheme="minorHAnsi"/>
          <w:sz w:val="22"/>
          <w:szCs w:val="22"/>
        </w:rPr>
        <w:t>particularly</w:t>
      </w:r>
      <w:r w:rsidRPr="00982F71">
        <w:rPr>
          <w:rFonts w:ascii="Palatino Linotype" w:hAnsi="Palatino Linotype" w:cstheme="minorHAnsi"/>
          <w:sz w:val="22"/>
          <w:szCs w:val="22"/>
        </w:rPr>
        <w:t xml:space="preserve"> effective in the second quarter.</w:t>
      </w:r>
    </w:p>
    <w:p w14:paraId="68B1A7EE" w14:textId="77777777" w:rsidR="00A160F5"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sidR="00A160F5">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sidR="00A160F5">
        <w:rPr>
          <w:rFonts w:ascii="Palatino Linotype" w:hAnsi="Palatino Linotype" w:cstheme="minorHAnsi"/>
          <w:b/>
          <w:bCs/>
          <w:sz w:val="22"/>
          <w:szCs w:val="22"/>
        </w:rPr>
        <w:t>Growth rates and contributions to growth of GDP components in 2017 Q2-Q3 compared to same quarters of last year</w:t>
      </w:r>
    </w:p>
    <w:p w14:paraId="02844495" w14:textId="77777777" w:rsidR="009D3CEB" w:rsidRDefault="009D3CEB" w:rsidP="006C3EE6">
      <w:pPr>
        <w:keepNext/>
        <w:ind w:right="77"/>
        <w:jc w:val="both"/>
        <w:rPr>
          <w:rFonts w:ascii="Palatino Linotype" w:hAnsi="Palatino Linotype" w:cstheme="minorHAnsi"/>
          <w:bCs/>
          <w:sz w:val="22"/>
          <w:szCs w:val="22"/>
        </w:rPr>
      </w:pPr>
    </w:p>
    <w:tbl>
      <w:tblPr>
        <w:tblW w:w="7868" w:type="dxa"/>
        <w:tblInd w:w="70" w:type="dxa"/>
        <w:tblCellMar>
          <w:left w:w="70" w:type="dxa"/>
          <w:right w:w="70" w:type="dxa"/>
        </w:tblCellMar>
        <w:tblLook w:val="04A0" w:firstRow="1" w:lastRow="0" w:firstColumn="1" w:lastColumn="0" w:noHBand="0" w:noVBand="1"/>
      </w:tblPr>
      <w:tblGrid>
        <w:gridCol w:w="2219"/>
        <w:gridCol w:w="1145"/>
        <w:gridCol w:w="1669"/>
        <w:gridCol w:w="1193"/>
        <w:gridCol w:w="1642"/>
      </w:tblGrid>
      <w:tr w:rsidR="003D44CE" w:rsidRPr="003D44CE" w14:paraId="03484CA8"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2747C9EB" w14:textId="77777777"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281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81A0249" w14:textId="77777777"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2017Q2</w:t>
            </w:r>
          </w:p>
        </w:tc>
        <w:tc>
          <w:tcPr>
            <w:tcW w:w="2835" w:type="dxa"/>
            <w:gridSpan w:val="2"/>
            <w:tcBorders>
              <w:top w:val="single" w:sz="4" w:space="0" w:color="auto"/>
              <w:left w:val="nil"/>
              <w:bottom w:val="single" w:sz="4" w:space="0" w:color="auto"/>
              <w:right w:val="nil"/>
            </w:tcBorders>
            <w:shd w:val="clear" w:color="000000" w:fill="FFFFFF"/>
            <w:noWrap/>
            <w:vAlign w:val="bottom"/>
            <w:hideMark/>
          </w:tcPr>
          <w:p w14:paraId="68D660B1" w14:textId="77777777"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2017Q3</w:t>
            </w:r>
          </w:p>
        </w:tc>
      </w:tr>
      <w:tr w:rsidR="00A550B2" w:rsidRPr="003D44CE" w14:paraId="79FC2211"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07B18128" w14:textId="77777777" w:rsidR="00A160F5" w:rsidRPr="003D44CE" w:rsidRDefault="00A160F5" w:rsidP="00A160F5">
            <w:pPr>
              <w:rPr>
                <w:rFonts w:ascii="Calibri" w:hAnsi="Calibri" w:cs="Calibri"/>
                <w:b/>
                <w:bCs/>
                <w:color w:val="000000"/>
                <w:sz w:val="20"/>
                <w:szCs w:val="20"/>
              </w:rPr>
            </w:pPr>
            <w:r w:rsidRPr="003D44CE">
              <w:rPr>
                <w:rFonts w:ascii="Calibri" w:hAnsi="Calibri" w:cs="Calibri"/>
                <w:b/>
                <w:bCs/>
                <w:color w:val="000000"/>
                <w:sz w:val="20"/>
                <w:szCs w:val="20"/>
              </w:rPr>
              <w:t> </w:t>
            </w:r>
          </w:p>
        </w:tc>
        <w:tc>
          <w:tcPr>
            <w:tcW w:w="1145" w:type="dxa"/>
            <w:tcBorders>
              <w:top w:val="nil"/>
              <w:left w:val="single" w:sz="4" w:space="0" w:color="auto"/>
              <w:bottom w:val="single" w:sz="4" w:space="0" w:color="auto"/>
              <w:right w:val="nil"/>
            </w:tcBorders>
            <w:shd w:val="clear" w:color="000000" w:fill="FFFFFF"/>
            <w:noWrap/>
            <w:vAlign w:val="bottom"/>
            <w:hideMark/>
          </w:tcPr>
          <w:p w14:paraId="3FB490E2" w14:textId="77777777" w:rsidR="00A160F5" w:rsidRPr="003D44CE" w:rsidRDefault="00A160F5" w:rsidP="00A160F5">
            <w:pPr>
              <w:jc w:val="center"/>
              <w:rPr>
                <w:rFonts w:ascii="Calibri" w:hAnsi="Calibri" w:cs="Calibri"/>
                <w:b/>
                <w:bCs/>
                <w:color w:val="000000"/>
                <w:sz w:val="20"/>
                <w:szCs w:val="20"/>
              </w:rPr>
            </w:pPr>
            <w:r>
              <w:rPr>
                <w:rFonts w:ascii="Calibri" w:hAnsi="Calibri" w:cs="Calibri"/>
                <w:b/>
                <w:bCs/>
                <w:color w:val="000000"/>
                <w:sz w:val="20"/>
                <w:szCs w:val="20"/>
              </w:rPr>
              <w:t>Change</w:t>
            </w:r>
            <w:r w:rsidRPr="003D44CE">
              <w:rPr>
                <w:rFonts w:ascii="Calibri" w:hAnsi="Calibri" w:cs="Calibri"/>
                <w:b/>
                <w:bCs/>
                <w:color w:val="000000"/>
                <w:sz w:val="20"/>
                <w:szCs w:val="20"/>
              </w:rPr>
              <w:t xml:space="preserve"> (%)</w:t>
            </w:r>
          </w:p>
        </w:tc>
        <w:tc>
          <w:tcPr>
            <w:tcW w:w="1669" w:type="dxa"/>
            <w:tcBorders>
              <w:top w:val="nil"/>
              <w:left w:val="nil"/>
              <w:bottom w:val="nil"/>
              <w:right w:val="single" w:sz="4" w:space="0" w:color="auto"/>
            </w:tcBorders>
            <w:shd w:val="clear" w:color="000000" w:fill="FFFFFF"/>
            <w:noWrap/>
            <w:vAlign w:val="bottom"/>
            <w:hideMark/>
          </w:tcPr>
          <w:p w14:paraId="0D27052A" w14:textId="77777777" w:rsidR="00A160F5" w:rsidRPr="003D44CE" w:rsidRDefault="00A160F5" w:rsidP="00A160F5">
            <w:pPr>
              <w:jc w:val="center"/>
              <w:rPr>
                <w:rFonts w:ascii="Calibri" w:hAnsi="Calibri" w:cs="Calibri"/>
                <w:b/>
                <w:bCs/>
                <w:color w:val="000000"/>
                <w:sz w:val="20"/>
                <w:szCs w:val="20"/>
              </w:rPr>
            </w:pPr>
            <w:r>
              <w:rPr>
                <w:rFonts w:ascii="Calibri" w:hAnsi="Calibri" w:cs="Calibri"/>
                <w:b/>
                <w:bCs/>
                <w:color w:val="000000"/>
                <w:sz w:val="20"/>
                <w:szCs w:val="20"/>
              </w:rPr>
              <w:t>Contribution (%)</w:t>
            </w:r>
          </w:p>
        </w:tc>
        <w:tc>
          <w:tcPr>
            <w:tcW w:w="1193" w:type="dxa"/>
            <w:tcBorders>
              <w:top w:val="nil"/>
              <w:left w:val="nil"/>
              <w:bottom w:val="nil"/>
              <w:right w:val="nil"/>
            </w:tcBorders>
            <w:shd w:val="clear" w:color="000000" w:fill="FFFFFF"/>
            <w:noWrap/>
            <w:vAlign w:val="bottom"/>
            <w:hideMark/>
          </w:tcPr>
          <w:p w14:paraId="2CFDC2FF" w14:textId="77777777" w:rsidR="00A160F5" w:rsidRPr="003D44CE" w:rsidRDefault="00A160F5" w:rsidP="00A160F5">
            <w:pPr>
              <w:jc w:val="center"/>
              <w:rPr>
                <w:rFonts w:ascii="Calibri" w:hAnsi="Calibri" w:cs="Calibri"/>
                <w:b/>
                <w:bCs/>
                <w:color w:val="000000"/>
                <w:sz w:val="20"/>
                <w:szCs w:val="20"/>
              </w:rPr>
            </w:pPr>
            <w:r>
              <w:rPr>
                <w:rFonts w:ascii="Calibri" w:hAnsi="Calibri" w:cs="Calibri"/>
                <w:b/>
                <w:bCs/>
                <w:color w:val="000000"/>
                <w:sz w:val="20"/>
                <w:szCs w:val="20"/>
              </w:rPr>
              <w:t>Change</w:t>
            </w:r>
            <w:r w:rsidRPr="003D44CE">
              <w:rPr>
                <w:rFonts w:ascii="Calibri" w:hAnsi="Calibri" w:cs="Calibri"/>
                <w:b/>
                <w:bCs/>
                <w:color w:val="000000"/>
                <w:sz w:val="20"/>
                <w:szCs w:val="20"/>
              </w:rPr>
              <w:t xml:space="preserve"> (%)</w:t>
            </w:r>
          </w:p>
        </w:tc>
        <w:tc>
          <w:tcPr>
            <w:tcW w:w="1642" w:type="dxa"/>
            <w:tcBorders>
              <w:top w:val="nil"/>
              <w:left w:val="nil"/>
              <w:bottom w:val="nil"/>
              <w:right w:val="nil"/>
            </w:tcBorders>
            <w:shd w:val="clear" w:color="000000" w:fill="FFFFFF"/>
            <w:noWrap/>
            <w:vAlign w:val="bottom"/>
            <w:hideMark/>
          </w:tcPr>
          <w:p w14:paraId="1E2E86F5" w14:textId="77777777" w:rsidR="00A160F5" w:rsidRPr="003D44CE" w:rsidRDefault="00A160F5" w:rsidP="00A160F5">
            <w:pPr>
              <w:jc w:val="center"/>
              <w:rPr>
                <w:rFonts w:ascii="Calibri" w:hAnsi="Calibri" w:cs="Calibri"/>
                <w:b/>
                <w:bCs/>
                <w:color w:val="000000"/>
                <w:sz w:val="20"/>
                <w:szCs w:val="20"/>
              </w:rPr>
            </w:pPr>
            <w:r>
              <w:rPr>
                <w:rFonts w:ascii="Calibri" w:hAnsi="Calibri" w:cs="Calibri"/>
                <w:b/>
                <w:bCs/>
                <w:color w:val="000000"/>
                <w:sz w:val="20"/>
                <w:szCs w:val="20"/>
              </w:rPr>
              <w:t>Contribution (%)</w:t>
            </w:r>
          </w:p>
        </w:tc>
      </w:tr>
      <w:tr w:rsidR="003D44CE" w:rsidRPr="003D44CE" w14:paraId="3CDE1EC4" w14:textId="77777777" w:rsidTr="00A550B2">
        <w:trPr>
          <w:trHeight w:hRule="exact" w:val="267"/>
        </w:trPr>
        <w:tc>
          <w:tcPr>
            <w:tcW w:w="2219" w:type="dxa"/>
            <w:tcBorders>
              <w:top w:val="single" w:sz="4" w:space="0" w:color="auto"/>
              <w:left w:val="nil"/>
              <w:bottom w:val="nil"/>
              <w:right w:val="nil"/>
            </w:tcBorders>
            <w:shd w:val="clear" w:color="000000" w:fill="FFFFFF"/>
            <w:noWrap/>
            <w:vAlign w:val="bottom"/>
            <w:hideMark/>
          </w:tcPr>
          <w:p w14:paraId="58B3E7CD" w14:textId="77777777" w:rsidR="003D44CE" w:rsidRPr="003D44CE" w:rsidRDefault="00A160F5" w:rsidP="003D44CE">
            <w:pPr>
              <w:rPr>
                <w:rFonts w:ascii="Calibri" w:hAnsi="Calibri" w:cs="Calibri"/>
                <w:b/>
                <w:bCs/>
                <w:color w:val="000000"/>
                <w:sz w:val="20"/>
                <w:szCs w:val="20"/>
              </w:rPr>
            </w:pPr>
            <w:r>
              <w:rPr>
                <w:rFonts w:ascii="Calibri" w:hAnsi="Calibri" w:cs="Calibri"/>
                <w:b/>
                <w:bCs/>
                <w:color w:val="000000"/>
                <w:sz w:val="20"/>
                <w:szCs w:val="20"/>
              </w:rPr>
              <w:t>Consumption</w:t>
            </w:r>
          </w:p>
        </w:tc>
        <w:tc>
          <w:tcPr>
            <w:tcW w:w="1145" w:type="dxa"/>
            <w:tcBorders>
              <w:top w:val="nil"/>
              <w:left w:val="single" w:sz="4" w:space="0" w:color="auto"/>
              <w:bottom w:val="nil"/>
              <w:right w:val="nil"/>
            </w:tcBorders>
            <w:shd w:val="clear" w:color="000000" w:fill="FFFFFF"/>
            <w:noWrap/>
            <w:vAlign w:val="bottom"/>
            <w:hideMark/>
          </w:tcPr>
          <w:p w14:paraId="08D0869B"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3.1</w:t>
            </w:r>
          </w:p>
        </w:tc>
        <w:tc>
          <w:tcPr>
            <w:tcW w:w="1669" w:type="dxa"/>
            <w:tcBorders>
              <w:top w:val="single" w:sz="4" w:space="0" w:color="auto"/>
              <w:left w:val="nil"/>
              <w:bottom w:val="nil"/>
              <w:right w:val="single" w:sz="4" w:space="0" w:color="auto"/>
            </w:tcBorders>
            <w:shd w:val="clear" w:color="000000" w:fill="FFFFFF"/>
            <w:noWrap/>
            <w:vAlign w:val="bottom"/>
            <w:hideMark/>
          </w:tcPr>
          <w:p w14:paraId="42C8A7B3"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1.8</w:t>
            </w:r>
          </w:p>
        </w:tc>
        <w:tc>
          <w:tcPr>
            <w:tcW w:w="1193" w:type="dxa"/>
            <w:tcBorders>
              <w:top w:val="single" w:sz="4" w:space="0" w:color="auto"/>
              <w:left w:val="nil"/>
              <w:bottom w:val="nil"/>
              <w:right w:val="nil"/>
            </w:tcBorders>
            <w:shd w:val="clear" w:color="000000" w:fill="FFFFFF"/>
            <w:noWrap/>
            <w:vAlign w:val="bottom"/>
            <w:hideMark/>
          </w:tcPr>
          <w:p w14:paraId="26D64B21"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11.7</w:t>
            </w:r>
          </w:p>
        </w:tc>
        <w:tc>
          <w:tcPr>
            <w:tcW w:w="1642" w:type="dxa"/>
            <w:tcBorders>
              <w:top w:val="single" w:sz="4" w:space="0" w:color="auto"/>
              <w:left w:val="nil"/>
              <w:bottom w:val="nil"/>
              <w:right w:val="nil"/>
            </w:tcBorders>
            <w:shd w:val="clear" w:color="000000" w:fill="FFFFFF"/>
            <w:noWrap/>
            <w:vAlign w:val="bottom"/>
            <w:hideMark/>
          </w:tcPr>
          <w:p w14:paraId="060D074F"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6.9</w:t>
            </w:r>
          </w:p>
        </w:tc>
      </w:tr>
      <w:tr w:rsidR="003D44CE" w:rsidRPr="003D44CE" w14:paraId="7578BD8F"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304F2078" w14:textId="77777777" w:rsidR="003D44CE" w:rsidRPr="003D44CE" w:rsidRDefault="00A160F5" w:rsidP="003D44CE">
            <w:pPr>
              <w:rPr>
                <w:rFonts w:ascii="Calibri" w:hAnsi="Calibri" w:cs="Calibri"/>
                <w:b/>
                <w:bCs/>
                <w:color w:val="000000"/>
                <w:sz w:val="20"/>
                <w:szCs w:val="20"/>
              </w:rPr>
            </w:pPr>
            <w:r>
              <w:rPr>
                <w:rFonts w:ascii="Calibri" w:hAnsi="Calibri" w:cs="Calibri"/>
                <w:b/>
                <w:bCs/>
                <w:color w:val="000000"/>
                <w:sz w:val="20"/>
                <w:szCs w:val="20"/>
              </w:rPr>
              <w:t>Government Spending</w:t>
            </w:r>
          </w:p>
        </w:tc>
        <w:tc>
          <w:tcPr>
            <w:tcW w:w="1145" w:type="dxa"/>
            <w:tcBorders>
              <w:top w:val="nil"/>
              <w:left w:val="single" w:sz="4" w:space="0" w:color="auto"/>
              <w:bottom w:val="nil"/>
              <w:right w:val="nil"/>
            </w:tcBorders>
            <w:shd w:val="clear" w:color="000000" w:fill="FFFFFF"/>
            <w:noWrap/>
            <w:vAlign w:val="bottom"/>
            <w:hideMark/>
          </w:tcPr>
          <w:p w14:paraId="669D5835"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-2.1</w:t>
            </w:r>
          </w:p>
        </w:tc>
        <w:tc>
          <w:tcPr>
            <w:tcW w:w="1669" w:type="dxa"/>
            <w:tcBorders>
              <w:top w:val="nil"/>
              <w:left w:val="nil"/>
              <w:bottom w:val="nil"/>
              <w:right w:val="single" w:sz="4" w:space="0" w:color="auto"/>
            </w:tcBorders>
            <w:shd w:val="clear" w:color="000000" w:fill="FFFFFF"/>
            <w:noWrap/>
            <w:vAlign w:val="bottom"/>
            <w:hideMark/>
          </w:tcPr>
          <w:p w14:paraId="3D4DE76F"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-0.3</w:t>
            </w:r>
          </w:p>
        </w:tc>
        <w:tc>
          <w:tcPr>
            <w:tcW w:w="1193" w:type="dxa"/>
            <w:tcBorders>
              <w:top w:val="nil"/>
              <w:left w:val="nil"/>
              <w:bottom w:val="nil"/>
              <w:right w:val="nil"/>
            </w:tcBorders>
            <w:shd w:val="clear" w:color="000000" w:fill="FFFFFF"/>
            <w:noWrap/>
            <w:vAlign w:val="bottom"/>
            <w:hideMark/>
          </w:tcPr>
          <w:p w14:paraId="70B462AA"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2.8</w:t>
            </w:r>
          </w:p>
        </w:tc>
        <w:tc>
          <w:tcPr>
            <w:tcW w:w="1642" w:type="dxa"/>
            <w:tcBorders>
              <w:top w:val="nil"/>
              <w:left w:val="nil"/>
              <w:bottom w:val="nil"/>
              <w:right w:val="nil"/>
            </w:tcBorders>
            <w:shd w:val="clear" w:color="000000" w:fill="FFFFFF"/>
            <w:noWrap/>
            <w:vAlign w:val="bottom"/>
            <w:hideMark/>
          </w:tcPr>
          <w:p w14:paraId="533A0FB0"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r>
      <w:tr w:rsidR="003D44CE" w:rsidRPr="003D44CE" w14:paraId="24573CCD"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340D02FF" w14:textId="77777777" w:rsidR="003D44CE" w:rsidRPr="003D44CE" w:rsidRDefault="00236056" w:rsidP="003D44CE">
            <w:pPr>
              <w:rPr>
                <w:rFonts w:ascii="Calibri" w:hAnsi="Calibri" w:cs="Calibri"/>
                <w:b/>
                <w:bCs/>
                <w:color w:val="000000"/>
                <w:sz w:val="20"/>
                <w:szCs w:val="20"/>
              </w:rPr>
            </w:pPr>
            <w:r>
              <w:rPr>
                <w:rFonts w:ascii="Calibri" w:hAnsi="Calibri" w:cs="Calibri"/>
                <w:b/>
                <w:bCs/>
                <w:color w:val="000000"/>
                <w:sz w:val="20"/>
                <w:szCs w:val="20"/>
              </w:rPr>
              <w:t>Investment</w:t>
            </w:r>
          </w:p>
        </w:tc>
        <w:tc>
          <w:tcPr>
            <w:tcW w:w="1145" w:type="dxa"/>
            <w:tcBorders>
              <w:top w:val="nil"/>
              <w:left w:val="single" w:sz="4" w:space="0" w:color="auto"/>
              <w:bottom w:val="nil"/>
              <w:right w:val="nil"/>
            </w:tcBorders>
            <w:shd w:val="clear" w:color="000000" w:fill="FFFFFF"/>
            <w:noWrap/>
            <w:vAlign w:val="bottom"/>
            <w:hideMark/>
          </w:tcPr>
          <w:p w14:paraId="7238C7C7"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8.0</w:t>
            </w:r>
          </w:p>
        </w:tc>
        <w:tc>
          <w:tcPr>
            <w:tcW w:w="1669" w:type="dxa"/>
            <w:tcBorders>
              <w:top w:val="nil"/>
              <w:left w:val="nil"/>
              <w:bottom w:val="nil"/>
              <w:right w:val="single" w:sz="4" w:space="0" w:color="auto"/>
            </w:tcBorders>
            <w:shd w:val="clear" w:color="000000" w:fill="FFFFFF"/>
            <w:noWrap/>
            <w:vAlign w:val="bottom"/>
            <w:hideMark/>
          </w:tcPr>
          <w:p w14:paraId="075500A7"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2.4</w:t>
            </w:r>
          </w:p>
        </w:tc>
        <w:tc>
          <w:tcPr>
            <w:tcW w:w="1193" w:type="dxa"/>
            <w:tcBorders>
              <w:top w:val="nil"/>
              <w:left w:val="nil"/>
              <w:bottom w:val="nil"/>
              <w:right w:val="nil"/>
            </w:tcBorders>
            <w:shd w:val="clear" w:color="000000" w:fill="FFFFFF"/>
            <w:noWrap/>
            <w:vAlign w:val="bottom"/>
            <w:hideMark/>
          </w:tcPr>
          <w:p w14:paraId="6306B4BF"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12.4</w:t>
            </w:r>
          </w:p>
        </w:tc>
        <w:tc>
          <w:tcPr>
            <w:tcW w:w="1642" w:type="dxa"/>
            <w:tcBorders>
              <w:top w:val="nil"/>
              <w:left w:val="nil"/>
              <w:bottom w:val="nil"/>
              <w:right w:val="nil"/>
            </w:tcBorders>
            <w:shd w:val="clear" w:color="000000" w:fill="FFFFFF"/>
            <w:noWrap/>
            <w:vAlign w:val="bottom"/>
            <w:hideMark/>
          </w:tcPr>
          <w:p w14:paraId="1350F86E" w14:textId="77777777"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3.5</w:t>
            </w:r>
          </w:p>
        </w:tc>
      </w:tr>
      <w:tr w:rsidR="007D787D" w:rsidRPr="007D787D" w14:paraId="3A116C40"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41C437B9" w14:textId="77777777" w:rsidR="003D44CE" w:rsidRPr="007D787D" w:rsidRDefault="00236056" w:rsidP="003D44CE">
            <w:pPr>
              <w:rPr>
                <w:rFonts w:ascii="Calibri" w:hAnsi="Calibri" w:cs="Calibri"/>
                <w:b/>
                <w:bCs/>
                <w:sz w:val="20"/>
                <w:szCs w:val="20"/>
              </w:rPr>
            </w:pPr>
            <w:r w:rsidRPr="007D787D">
              <w:rPr>
                <w:rFonts w:ascii="Calibri" w:hAnsi="Calibri" w:cs="Calibri"/>
                <w:b/>
                <w:bCs/>
                <w:sz w:val="20"/>
                <w:szCs w:val="20"/>
              </w:rPr>
              <w:t>Change in Stock</w:t>
            </w:r>
          </w:p>
        </w:tc>
        <w:tc>
          <w:tcPr>
            <w:tcW w:w="1145" w:type="dxa"/>
            <w:tcBorders>
              <w:top w:val="nil"/>
              <w:left w:val="single" w:sz="4" w:space="0" w:color="auto"/>
              <w:bottom w:val="nil"/>
              <w:right w:val="nil"/>
            </w:tcBorders>
            <w:shd w:val="clear" w:color="000000" w:fill="FFFFFF"/>
            <w:noWrap/>
            <w:vAlign w:val="bottom"/>
            <w:hideMark/>
          </w:tcPr>
          <w:p w14:paraId="1F9A9757"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 </w:t>
            </w:r>
          </w:p>
        </w:tc>
        <w:tc>
          <w:tcPr>
            <w:tcW w:w="1669" w:type="dxa"/>
            <w:tcBorders>
              <w:top w:val="nil"/>
              <w:left w:val="nil"/>
              <w:bottom w:val="nil"/>
              <w:right w:val="single" w:sz="4" w:space="0" w:color="auto"/>
            </w:tcBorders>
            <w:shd w:val="clear" w:color="000000" w:fill="FFFFFF"/>
            <w:noWrap/>
            <w:vAlign w:val="bottom"/>
            <w:hideMark/>
          </w:tcPr>
          <w:p w14:paraId="08ACA400"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-0.5</w:t>
            </w:r>
          </w:p>
        </w:tc>
        <w:tc>
          <w:tcPr>
            <w:tcW w:w="1193" w:type="dxa"/>
            <w:tcBorders>
              <w:top w:val="nil"/>
              <w:left w:val="nil"/>
              <w:bottom w:val="nil"/>
              <w:right w:val="nil"/>
            </w:tcBorders>
            <w:shd w:val="clear" w:color="000000" w:fill="FFFFFF"/>
            <w:noWrap/>
            <w:vAlign w:val="bottom"/>
            <w:hideMark/>
          </w:tcPr>
          <w:p w14:paraId="621C3ABC"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 </w:t>
            </w:r>
          </w:p>
        </w:tc>
        <w:tc>
          <w:tcPr>
            <w:tcW w:w="1642" w:type="dxa"/>
            <w:tcBorders>
              <w:top w:val="nil"/>
              <w:left w:val="nil"/>
              <w:bottom w:val="nil"/>
              <w:right w:val="nil"/>
            </w:tcBorders>
            <w:shd w:val="clear" w:color="000000" w:fill="FFFFFF"/>
            <w:noWrap/>
            <w:vAlign w:val="bottom"/>
            <w:hideMark/>
          </w:tcPr>
          <w:p w14:paraId="70063AFA"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0.1</w:t>
            </w:r>
          </w:p>
        </w:tc>
      </w:tr>
      <w:tr w:rsidR="007D787D" w:rsidRPr="007D787D" w14:paraId="3842516D"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4972AE96" w14:textId="77777777" w:rsidR="003D44CE" w:rsidRPr="007D787D" w:rsidRDefault="00236056" w:rsidP="003D44CE">
            <w:pPr>
              <w:rPr>
                <w:rFonts w:ascii="Calibri" w:hAnsi="Calibri" w:cs="Calibri"/>
                <w:b/>
                <w:bCs/>
                <w:sz w:val="20"/>
                <w:szCs w:val="20"/>
              </w:rPr>
            </w:pPr>
            <w:r w:rsidRPr="007D787D">
              <w:rPr>
                <w:rFonts w:ascii="Calibri" w:hAnsi="Calibri" w:cs="Calibri"/>
                <w:b/>
                <w:bCs/>
                <w:sz w:val="20"/>
                <w:szCs w:val="20"/>
              </w:rPr>
              <w:t>Import</w:t>
            </w:r>
          </w:p>
        </w:tc>
        <w:tc>
          <w:tcPr>
            <w:tcW w:w="1145" w:type="dxa"/>
            <w:tcBorders>
              <w:top w:val="nil"/>
              <w:left w:val="single" w:sz="4" w:space="0" w:color="auto"/>
              <w:bottom w:val="nil"/>
              <w:right w:val="nil"/>
            </w:tcBorders>
            <w:shd w:val="clear" w:color="000000" w:fill="FFFFFF"/>
            <w:noWrap/>
            <w:vAlign w:val="bottom"/>
            <w:hideMark/>
          </w:tcPr>
          <w:p w14:paraId="4FA09A71"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10.7</w:t>
            </w:r>
          </w:p>
        </w:tc>
        <w:tc>
          <w:tcPr>
            <w:tcW w:w="1669" w:type="dxa"/>
            <w:tcBorders>
              <w:top w:val="nil"/>
              <w:left w:val="nil"/>
              <w:bottom w:val="nil"/>
              <w:right w:val="single" w:sz="4" w:space="0" w:color="auto"/>
            </w:tcBorders>
            <w:shd w:val="clear" w:color="000000" w:fill="FFFFFF"/>
            <w:noWrap/>
            <w:vAlign w:val="bottom"/>
            <w:hideMark/>
          </w:tcPr>
          <w:p w14:paraId="5F51B4BE"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2.4</w:t>
            </w:r>
          </w:p>
        </w:tc>
        <w:tc>
          <w:tcPr>
            <w:tcW w:w="1193" w:type="dxa"/>
            <w:tcBorders>
              <w:top w:val="nil"/>
              <w:left w:val="nil"/>
              <w:bottom w:val="nil"/>
              <w:right w:val="nil"/>
            </w:tcBorders>
            <w:shd w:val="clear" w:color="000000" w:fill="FFFFFF"/>
            <w:noWrap/>
            <w:vAlign w:val="bottom"/>
            <w:hideMark/>
          </w:tcPr>
          <w:p w14:paraId="5C8FD91A"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17.2</w:t>
            </w:r>
          </w:p>
        </w:tc>
        <w:tc>
          <w:tcPr>
            <w:tcW w:w="1642" w:type="dxa"/>
            <w:tcBorders>
              <w:top w:val="nil"/>
              <w:left w:val="nil"/>
              <w:bottom w:val="nil"/>
              <w:right w:val="nil"/>
            </w:tcBorders>
            <w:shd w:val="clear" w:color="000000" w:fill="FFFFFF"/>
            <w:noWrap/>
            <w:vAlign w:val="bottom"/>
            <w:hideMark/>
          </w:tcPr>
          <w:p w14:paraId="1588B2DC"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3.7</w:t>
            </w:r>
          </w:p>
        </w:tc>
      </w:tr>
      <w:tr w:rsidR="007D787D" w:rsidRPr="007D787D" w14:paraId="3A627705" w14:textId="77777777" w:rsidTr="00A550B2">
        <w:trPr>
          <w:trHeight w:hRule="exact" w:val="267"/>
        </w:trPr>
        <w:tc>
          <w:tcPr>
            <w:tcW w:w="2219" w:type="dxa"/>
            <w:tcBorders>
              <w:top w:val="nil"/>
              <w:left w:val="nil"/>
              <w:bottom w:val="nil"/>
              <w:right w:val="nil"/>
            </w:tcBorders>
            <w:shd w:val="clear" w:color="000000" w:fill="FFFFFF"/>
            <w:noWrap/>
            <w:vAlign w:val="bottom"/>
            <w:hideMark/>
          </w:tcPr>
          <w:p w14:paraId="633AA294" w14:textId="77777777" w:rsidR="003D44CE" w:rsidRPr="007D787D" w:rsidRDefault="00236056" w:rsidP="003D44CE">
            <w:pPr>
              <w:rPr>
                <w:rFonts w:ascii="Calibri" w:hAnsi="Calibri" w:cs="Calibri"/>
                <w:b/>
                <w:bCs/>
                <w:sz w:val="20"/>
                <w:szCs w:val="20"/>
              </w:rPr>
            </w:pPr>
            <w:r w:rsidRPr="007D787D">
              <w:rPr>
                <w:rFonts w:ascii="Calibri" w:hAnsi="Calibri" w:cs="Calibri"/>
                <w:b/>
                <w:bCs/>
                <w:sz w:val="20"/>
                <w:szCs w:val="20"/>
              </w:rPr>
              <w:t>Export</w:t>
            </w:r>
          </w:p>
        </w:tc>
        <w:tc>
          <w:tcPr>
            <w:tcW w:w="1145" w:type="dxa"/>
            <w:tcBorders>
              <w:top w:val="nil"/>
              <w:left w:val="single" w:sz="4" w:space="0" w:color="auto"/>
              <w:bottom w:val="nil"/>
              <w:right w:val="nil"/>
            </w:tcBorders>
            <w:shd w:val="clear" w:color="000000" w:fill="FFFFFF"/>
            <w:noWrap/>
            <w:vAlign w:val="bottom"/>
            <w:hideMark/>
          </w:tcPr>
          <w:p w14:paraId="5B7BFBC1"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1.8</w:t>
            </w:r>
          </w:p>
        </w:tc>
        <w:tc>
          <w:tcPr>
            <w:tcW w:w="1669" w:type="dxa"/>
            <w:tcBorders>
              <w:top w:val="nil"/>
              <w:left w:val="nil"/>
              <w:bottom w:val="nil"/>
              <w:right w:val="single" w:sz="4" w:space="0" w:color="auto"/>
            </w:tcBorders>
            <w:shd w:val="clear" w:color="000000" w:fill="FFFFFF"/>
            <w:noWrap/>
            <w:vAlign w:val="bottom"/>
            <w:hideMark/>
          </w:tcPr>
          <w:p w14:paraId="3E75FBD9"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-0.4</w:t>
            </w:r>
          </w:p>
        </w:tc>
        <w:tc>
          <w:tcPr>
            <w:tcW w:w="1193" w:type="dxa"/>
            <w:tcBorders>
              <w:top w:val="nil"/>
              <w:left w:val="nil"/>
              <w:bottom w:val="nil"/>
              <w:right w:val="nil"/>
            </w:tcBorders>
            <w:shd w:val="clear" w:color="000000" w:fill="FFFFFF"/>
            <w:noWrap/>
            <w:vAlign w:val="bottom"/>
            <w:hideMark/>
          </w:tcPr>
          <w:p w14:paraId="4F4B7A6A"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14.5</w:t>
            </w:r>
          </w:p>
        </w:tc>
        <w:tc>
          <w:tcPr>
            <w:tcW w:w="1642" w:type="dxa"/>
            <w:tcBorders>
              <w:top w:val="nil"/>
              <w:left w:val="nil"/>
              <w:bottom w:val="nil"/>
              <w:right w:val="nil"/>
            </w:tcBorders>
            <w:shd w:val="clear" w:color="000000" w:fill="FFFFFF"/>
            <w:noWrap/>
            <w:vAlign w:val="bottom"/>
            <w:hideMark/>
          </w:tcPr>
          <w:p w14:paraId="1DA41265"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-3.5</w:t>
            </w:r>
          </w:p>
        </w:tc>
      </w:tr>
      <w:tr w:rsidR="007D787D" w:rsidRPr="007D787D" w14:paraId="3239EBF6" w14:textId="77777777" w:rsidTr="00A550B2">
        <w:trPr>
          <w:trHeight w:hRule="exact" w:val="267"/>
        </w:trPr>
        <w:tc>
          <w:tcPr>
            <w:tcW w:w="2219" w:type="dxa"/>
            <w:tcBorders>
              <w:top w:val="nil"/>
              <w:left w:val="nil"/>
              <w:bottom w:val="double" w:sz="6" w:space="0" w:color="auto"/>
              <w:right w:val="nil"/>
            </w:tcBorders>
            <w:shd w:val="clear" w:color="000000" w:fill="FFFFFF"/>
            <w:noWrap/>
            <w:vAlign w:val="bottom"/>
            <w:hideMark/>
          </w:tcPr>
          <w:p w14:paraId="6E7CDBD9" w14:textId="77777777" w:rsidR="003D44CE" w:rsidRPr="007D787D" w:rsidRDefault="00236056" w:rsidP="003D44CE">
            <w:pPr>
              <w:rPr>
                <w:rFonts w:ascii="Calibri" w:hAnsi="Calibri" w:cs="Calibri"/>
                <w:b/>
                <w:bCs/>
                <w:sz w:val="20"/>
                <w:szCs w:val="20"/>
              </w:rPr>
            </w:pPr>
            <w:r w:rsidRPr="007D787D">
              <w:rPr>
                <w:rFonts w:ascii="Calibri" w:hAnsi="Calibri" w:cs="Calibri"/>
                <w:b/>
                <w:bCs/>
                <w:sz w:val="20"/>
                <w:szCs w:val="20"/>
              </w:rPr>
              <w:t>GDP</w:t>
            </w:r>
          </w:p>
        </w:tc>
        <w:tc>
          <w:tcPr>
            <w:tcW w:w="1145" w:type="dxa"/>
            <w:tcBorders>
              <w:top w:val="nil"/>
              <w:left w:val="single" w:sz="4" w:space="0" w:color="auto"/>
              <w:bottom w:val="double" w:sz="6" w:space="0" w:color="auto"/>
              <w:right w:val="nil"/>
            </w:tcBorders>
            <w:shd w:val="clear" w:color="000000" w:fill="FFFFFF"/>
            <w:noWrap/>
            <w:vAlign w:val="bottom"/>
            <w:hideMark/>
          </w:tcPr>
          <w:p w14:paraId="470AF64A"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5.4</w:t>
            </w:r>
          </w:p>
        </w:tc>
        <w:tc>
          <w:tcPr>
            <w:tcW w:w="1669" w:type="dxa"/>
            <w:tcBorders>
              <w:top w:val="nil"/>
              <w:left w:val="nil"/>
              <w:bottom w:val="double" w:sz="6" w:space="0" w:color="auto"/>
              <w:right w:val="single" w:sz="4" w:space="0" w:color="auto"/>
            </w:tcBorders>
            <w:shd w:val="clear" w:color="000000" w:fill="FFFFFF"/>
            <w:noWrap/>
            <w:vAlign w:val="bottom"/>
            <w:hideMark/>
          </w:tcPr>
          <w:p w14:paraId="0A974270"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 </w:t>
            </w:r>
          </w:p>
        </w:tc>
        <w:tc>
          <w:tcPr>
            <w:tcW w:w="1193" w:type="dxa"/>
            <w:tcBorders>
              <w:top w:val="nil"/>
              <w:left w:val="nil"/>
              <w:bottom w:val="double" w:sz="6" w:space="0" w:color="auto"/>
              <w:right w:val="nil"/>
            </w:tcBorders>
            <w:shd w:val="clear" w:color="000000" w:fill="FFFFFF"/>
            <w:noWrap/>
            <w:vAlign w:val="bottom"/>
            <w:hideMark/>
          </w:tcPr>
          <w:p w14:paraId="67DC7616"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11.1</w:t>
            </w:r>
          </w:p>
        </w:tc>
        <w:tc>
          <w:tcPr>
            <w:tcW w:w="1642" w:type="dxa"/>
            <w:tcBorders>
              <w:top w:val="nil"/>
              <w:left w:val="nil"/>
              <w:bottom w:val="double" w:sz="6" w:space="0" w:color="auto"/>
              <w:right w:val="nil"/>
            </w:tcBorders>
            <w:shd w:val="clear" w:color="000000" w:fill="FFFFFF"/>
            <w:noWrap/>
            <w:vAlign w:val="bottom"/>
            <w:hideMark/>
          </w:tcPr>
          <w:p w14:paraId="0FAB1B10" w14:textId="77777777" w:rsidR="003D44CE" w:rsidRPr="007D787D" w:rsidRDefault="003D44CE" w:rsidP="003D44CE">
            <w:pPr>
              <w:jc w:val="center"/>
              <w:rPr>
                <w:rFonts w:ascii="Calibri" w:hAnsi="Calibri" w:cs="Calibri"/>
                <w:sz w:val="20"/>
                <w:szCs w:val="20"/>
              </w:rPr>
            </w:pPr>
            <w:r w:rsidRPr="007D787D">
              <w:rPr>
                <w:rFonts w:ascii="Calibri" w:hAnsi="Calibri" w:cs="Calibri"/>
                <w:sz w:val="20"/>
                <w:szCs w:val="20"/>
              </w:rPr>
              <w:t> </w:t>
            </w:r>
          </w:p>
        </w:tc>
      </w:tr>
    </w:tbl>
    <w:p w14:paraId="1D61EF22" w14:textId="47804762" w:rsidR="00236056" w:rsidRPr="007D787D" w:rsidRDefault="009D3CEB" w:rsidP="002F6884">
      <w:pPr>
        <w:keepNext/>
        <w:rPr>
          <w:rFonts w:ascii="Palatino Linotype" w:hAnsi="Palatino Linotype" w:cstheme="minorHAnsi"/>
          <w:sz w:val="18"/>
          <w:szCs w:val="18"/>
        </w:rPr>
      </w:pPr>
      <w:r w:rsidRPr="007D787D">
        <w:rPr>
          <w:rFonts w:ascii="Palatino Linotype" w:hAnsi="Palatino Linotype" w:cstheme="minorHAnsi"/>
          <w:b/>
          <w:sz w:val="18"/>
          <w:szCs w:val="18"/>
        </w:rPr>
        <w:t xml:space="preserve">   </w:t>
      </w:r>
      <w:r w:rsidR="00236056" w:rsidRPr="007D787D">
        <w:rPr>
          <w:rFonts w:ascii="Palatino Linotype" w:hAnsi="Palatino Linotype" w:cstheme="minorHAnsi"/>
          <w:b/>
          <w:sz w:val="18"/>
          <w:szCs w:val="18"/>
        </w:rPr>
        <w:t>Source:</w:t>
      </w:r>
      <w:r w:rsidR="00236056" w:rsidRPr="007D787D">
        <w:rPr>
          <w:rFonts w:ascii="Palatino Linotype" w:hAnsi="Palatino Linotype" w:cstheme="minorHAnsi"/>
          <w:sz w:val="18"/>
          <w:szCs w:val="18"/>
        </w:rPr>
        <w:t xml:space="preserve"> TurkStat, Betam</w:t>
      </w:r>
      <w:r w:rsidR="00236056" w:rsidRPr="007D787D">
        <w:rPr>
          <w:rFonts w:ascii="Palatino Linotype" w:hAnsi="Palatino Linotype" w:cstheme="minorHAnsi"/>
          <w:sz w:val="18"/>
          <w:szCs w:val="18"/>
        </w:rPr>
        <w:br/>
      </w:r>
      <w:r w:rsidR="00236056" w:rsidRPr="007D787D">
        <w:rPr>
          <w:rFonts w:ascii="Palatino Linotype" w:hAnsi="Palatino Linotype" w:cstheme="minorHAnsi"/>
          <w:sz w:val="18"/>
          <w:szCs w:val="18"/>
        </w:rPr>
        <w:br/>
      </w:r>
    </w:p>
    <w:p w14:paraId="511FB1EF" w14:textId="77777777" w:rsidR="00A550B2" w:rsidRPr="007D787D" w:rsidRDefault="00A550B2" w:rsidP="00A550B2">
      <w:pPr>
        <w:keepNext/>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Table 2: Growth rates and contributions to growth of GDP components in 2017 Q2-Q3 compared to previous quarters</w:t>
      </w:r>
    </w:p>
    <w:p w14:paraId="47F9FBB6" w14:textId="77777777" w:rsidR="00A550B2" w:rsidRPr="007D787D" w:rsidRDefault="00A550B2" w:rsidP="00A550B2">
      <w:pPr>
        <w:keepNext/>
        <w:ind w:right="77"/>
        <w:jc w:val="both"/>
        <w:rPr>
          <w:rFonts w:ascii="Palatino Linotype" w:hAnsi="Palatino Linotype" w:cstheme="minorHAnsi"/>
          <w:b/>
          <w:bCs/>
          <w:sz w:val="22"/>
          <w:szCs w:val="22"/>
        </w:rPr>
      </w:pPr>
    </w:p>
    <w:tbl>
      <w:tblPr>
        <w:tblW w:w="8010" w:type="dxa"/>
        <w:tblInd w:w="70" w:type="dxa"/>
        <w:tblCellMar>
          <w:left w:w="70" w:type="dxa"/>
          <w:right w:w="70" w:type="dxa"/>
        </w:tblCellMar>
        <w:tblLook w:val="04A0" w:firstRow="1" w:lastRow="0" w:firstColumn="1" w:lastColumn="0" w:noHBand="0" w:noVBand="1"/>
      </w:tblPr>
      <w:tblGrid>
        <w:gridCol w:w="2198"/>
        <w:gridCol w:w="1370"/>
        <w:gridCol w:w="1607"/>
        <w:gridCol w:w="1285"/>
        <w:gridCol w:w="1550"/>
      </w:tblGrid>
      <w:tr w:rsidR="007D787D" w:rsidRPr="007D787D" w14:paraId="163A546A"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5C3A3F72" w14:textId="77777777" w:rsidR="00236056" w:rsidRPr="007D787D" w:rsidRDefault="00236056" w:rsidP="000A267B">
            <w:pPr>
              <w:rPr>
                <w:rFonts w:ascii="Calibri" w:hAnsi="Calibri" w:cs="Calibri"/>
                <w:b/>
                <w:bCs/>
                <w:sz w:val="20"/>
                <w:szCs w:val="20"/>
              </w:rPr>
            </w:pPr>
            <w:r w:rsidRPr="007D787D">
              <w:rPr>
                <w:rFonts w:ascii="Calibri" w:hAnsi="Calibri" w:cs="Calibri"/>
                <w:b/>
                <w:bCs/>
                <w:sz w:val="20"/>
                <w:szCs w:val="20"/>
              </w:rPr>
              <w:t> </w:t>
            </w:r>
          </w:p>
        </w:tc>
        <w:tc>
          <w:tcPr>
            <w:tcW w:w="297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A0D972" w14:textId="77777777" w:rsidR="00236056" w:rsidRPr="007D787D" w:rsidRDefault="00236056" w:rsidP="000A267B">
            <w:pPr>
              <w:jc w:val="center"/>
              <w:rPr>
                <w:rFonts w:ascii="Calibri" w:hAnsi="Calibri" w:cs="Calibri"/>
                <w:b/>
                <w:bCs/>
                <w:sz w:val="20"/>
                <w:szCs w:val="20"/>
              </w:rPr>
            </w:pPr>
            <w:r w:rsidRPr="007D787D">
              <w:rPr>
                <w:rFonts w:ascii="Calibri" w:hAnsi="Calibri" w:cs="Calibri"/>
                <w:b/>
                <w:bCs/>
                <w:sz w:val="20"/>
                <w:szCs w:val="20"/>
              </w:rPr>
              <w:t>2017Q2</w:t>
            </w:r>
          </w:p>
        </w:tc>
        <w:tc>
          <w:tcPr>
            <w:tcW w:w="2835" w:type="dxa"/>
            <w:gridSpan w:val="2"/>
            <w:tcBorders>
              <w:top w:val="single" w:sz="4" w:space="0" w:color="auto"/>
              <w:left w:val="nil"/>
              <w:bottom w:val="single" w:sz="4" w:space="0" w:color="auto"/>
              <w:right w:val="nil"/>
            </w:tcBorders>
            <w:shd w:val="clear" w:color="000000" w:fill="FFFFFF"/>
            <w:noWrap/>
            <w:vAlign w:val="bottom"/>
            <w:hideMark/>
          </w:tcPr>
          <w:p w14:paraId="52C2CCDE" w14:textId="77777777" w:rsidR="00236056" w:rsidRPr="007D787D" w:rsidRDefault="00236056" w:rsidP="000A267B">
            <w:pPr>
              <w:jc w:val="center"/>
              <w:rPr>
                <w:rFonts w:ascii="Calibri" w:hAnsi="Calibri" w:cs="Calibri"/>
                <w:b/>
                <w:bCs/>
                <w:sz w:val="20"/>
                <w:szCs w:val="20"/>
              </w:rPr>
            </w:pPr>
            <w:r w:rsidRPr="007D787D">
              <w:rPr>
                <w:rFonts w:ascii="Calibri" w:hAnsi="Calibri" w:cs="Calibri"/>
                <w:b/>
                <w:bCs/>
                <w:sz w:val="20"/>
                <w:szCs w:val="20"/>
              </w:rPr>
              <w:t>2017Q3</w:t>
            </w:r>
          </w:p>
        </w:tc>
      </w:tr>
      <w:tr w:rsidR="007D787D" w:rsidRPr="007D787D" w14:paraId="000503E6"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56C53256"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 </w:t>
            </w:r>
          </w:p>
        </w:tc>
        <w:tc>
          <w:tcPr>
            <w:tcW w:w="1370" w:type="dxa"/>
            <w:tcBorders>
              <w:top w:val="nil"/>
              <w:left w:val="single" w:sz="4" w:space="0" w:color="auto"/>
              <w:bottom w:val="nil"/>
              <w:right w:val="nil"/>
            </w:tcBorders>
            <w:shd w:val="clear" w:color="000000" w:fill="FFFFFF"/>
            <w:noWrap/>
            <w:vAlign w:val="bottom"/>
            <w:hideMark/>
          </w:tcPr>
          <w:p w14:paraId="6628E030" w14:textId="77777777" w:rsidR="00A550B2" w:rsidRPr="007D787D" w:rsidRDefault="00A550B2" w:rsidP="00A550B2">
            <w:pPr>
              <w:jc w:val="center"/>
              <w:rPr>
                <w:rFonts w:ascii="Calibri" w:hAnsi="Calibri" w:cs="Calibri"/>
                <w:b/>
                <w:bCs/>
                <w:sz w:val="20"/>
                <w:szCs w:val="20"/>
              </w:rPr>
            </w:pPr>
            <w:r w:rsidRPr="007D787D">
              <w:rPr>
                <w:rFonts w:ascii="Calibri" w:hAnsi="Calibri" w:cs="Calibri"/>
                <w:b/>
                <w:bCs/>
                <w:sz w:val="20"/>
                <w:szCs w:val="20"/>
              </w:rPr>
              <w:t>Change (%)</w:t>
            </w:r>
          </w:p>
        </w:tc>
        <w:tc>
          <w:tcPr>
            <w:tcW w:w="1607" w:type="dxa"/>
            <w:tcBorders>
              <w:top w:val="nil"/>
              <w:left w:val="nil"/>
              <w:bottom w:val="nil"/>
              <w:right w:val="single" w:sz="4" w:space="0" w:color="auto"/>
            </w:tcBorders>
            <w:shd w:val="clear" w:color="000000" w:fill="FFFFFF"/>
            <w:noWrap/>
            <w:vAlign w:val="bottom"/>
            <w:hideMark/>
          </w:tcPr>
          <w:p w14:paraId="492D6E33" w14:textId="77777777" w:rsidR="00A550B2" w:rsidRPr="007D787D" w:rsidRDefault="00A550B2" w:rsidP="00A550B2">
            <w:pPr>
              <w:jc w:val="center"/>
              <w:rPr>
                <w:rFonts w:ascii="Calibri" w:hAnsi="Calibri" w:cs="Calibri"/>
                <w:b/>
                <w:bCs/>
                <w:sz w:val="20"/>
                <w:szCs w:val="20"/>
              </w:rPr>
            </w:pPr>
            <w:r w:rsidRPr="007D787D">
              <w:rPr>
                <w:rFonts w:ascii="Calibri" w:hAnsi="Calibri" w:cs="Calibri"/>
                <w:b/>
                <w:bCs/>
                <w:sz w:val="20"/>
                <w:szCs w:val="20"/>
              </w:rPr>
              <w:t>Contribution (%)</w:t>
            </w:r>
          </w:p>
        </w:tc>
        <w:tc>
          <w:tcPr>
            <w:tcW w:w="1285" w:type="dxa"/>
            <w:tcBorders>
              <w:top w:val="nil"/>
              <w:left w:val="nil"/>
              <w:bottom w:val="nil"/>
              <w:right w:val="nil"/>
            </w:tcBorders>
            <w:shd w:val="clear" w:color="000000" w:fill="FFFFFF"/>
            <w:noWrap/>
            <w:vAlign w:val="bottom"/>
            <w:hideMark/>
          </w:tcPr>
          <w:p w14:paraId="6EE96F6B" w14:textId="77777777" w:rsidR="00A550B2" w:rsidRPr="007D787D" w:rsidRDefault="00A550B2" w:rsidP="00A550B2">
            <w:pPr>
              <w:jc w:val="center"/>
              <w:rPr>
                <w:rFonts w:ascii="Calibri" w:hAnsi="Calibri" w:cs="Calibri"/>
                <w:b/>
                <w:bCs/>
                <w:sz w:val="20"/>
                <w:szCs w:val="20"/>
              </w:rPr>
            </w:pPr>
            <w:r w:rsidRPr="007D787D">
              <w:rPr>
                <w:rFonts w:ascii="Calibri" w:hAnsi="Calibri" w:cs="Calibri"/>
                <w:b/>
                <w:bCs/>
                <w:sz w:val="20"/>
                <w:szCs w:val="20"/>
              </w:rPr>
              <w:t>Change (%)</w:t>
            </w:r>
          </w:p>
        </w:tc>
        <w:tc>
          <w:tcPr>
            <w:tcW w:w="1550" w:type="dxa"/>
            <w:tcBorders>
              <w:top w:val="nil"/>
              <w:left w:val="nil"/>
              <w:bottom w:val="nil"/>
              <w:right w:val="nil"/>
            </w:tcBorders>
            <w:shd w:val="clear" w:color="000000" w:fill="FFFFFF"/>
            <w:noWrap/>
            <w:vAlign w:val="bottom"/>
            <w:hideMark/>
          </w:tcPr>
          <w:p w14:paraId="0C64545C" w14:textId="77777777" w:rsidR="00A550B2" w:rsidRPr="007D787D" w:rsidRDefault="00A550B2" w:rsidP="00A550B2">
            <w:pPr>
              <w:jc w:val="center"/>
              <w:rPr>
                <w:rFonts w:ascii="Calibri" w:hAnsi="Calibri" w:cs="Calibri"/>
                <w:b/>
                <w:bCs/>
                <w:sz w:val="20"/>
                <w:szCs w:val="20"/>
              </w:rPr>
            </w:pPr>
            <w:r w:rsidRPr="007D787D">
              <w:rPr>
                <w:rFonts w:ascii="Calibri" w:hAnsi="Calibri" w:cs="Calibri"/>
                <w:b/>
                <w:bCs/>
                <w:sz w:val="20"/>
                <w:szCs w:val="20"/>
              </w:rPr>
              <w:t>Contribution (%) (%)</w:t>
            </w:r>
          </w:p>
        </w:tc>
      </w:tr>
      <w:tr w:rsidR="007D787D" w:rsidRPr="007D787D" w14:paraId="0833644A" w14:textId="77777777" w:rsidTr="00A550B2">
        <w:trPr>
          <w:trHeight w:hRule="exact" w:val="295"/>
        </w:trPr>
        <w:tc>
          <w:tcPr>
            <w:tcW w:w="2198" w:type="dxa"/>
            <w:tcBorders>
              <w:top w:val="single" w:sz="4" w:space="0" w:color="auto"/>
              <w:left w:val="nil"/>
              <w:bottom w:val="nil"/>
              <w:right w:val="nil"/>
            </w:tcBorders>
            <w:shd w:val="clear" w:color="000000" w:fill="FFFFFF"/>
            <w:noWrap/>
            <w:vAlign w:val="bottom"/>
            <w:hideMark/>
          </w:tcPr>
          <w:p w14:paraId="5B73440D"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Consumption</w:t>
            </w:r>
          </w:p>
        </w:tc>
        <w:tc>
          <w:tcPr>
            <w:tcW w:w="1370" w:type="dxa"/>
            <w:tcBorders>
              <w:top w:val="single" w:sz="4" w:space="0" w:color="auto"/>
              <w:left w:val="single" w:sz="4" w:space="0" w:color="auto"/>
              <w:bottom w:val="nil"/>
              <w:right w:val="nil"/>
            </w:tcBorders>
            <w:shd w:val="clear" w:color="000000" w:fill="FFFFFF"/>
            <w:noWrap/>
            <w:vAlign w:val="bottom"/>
            <w:hideMark/>
          </w:tcPr>
          <w:p w14:paraId="70069B16"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2.2</w:t>
            </w:r>
          </w:p>
        </w:tc>
        <w:tc>
          <w:tcPr>
            <w:tcW w:w="1607" w:type="dxa"/>
            <w:tcBorders>
              <w:top w:val="single" w:sz="4" w:space="0" w:color="auto"/>
              <w:left w:val="nil"/>
              <w:bottom w:val="nil"/>
              <w:right w:val="single" w:sz="4" w:space="0" w:color="auto"/>
            </w:tcBorders>
            <w:shd w:val="clear" w:color="000000" w:fill="FFFFFF"/>
            <w:noWrap/>
            <w:vAlign w:val="bottom"/>
            <w:hideMark/>
          </w:tcPr>
          <w:p w14:paraId="48788611"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1.3</w:t>
            </w:r>
          </w:p>
        </w:tc>
        <w:tc>
          <w:tcPr>
            <w:tcW w:w="1285" w:type="dxa"/>
            <w:tcBorders>
              <w:top w:val="single" w:sz="4" w:space="0" w:color="auto"/>
              <w:left w:val="nil"/>
              <w:bottom w:val="nil"/>
              <w:right w:val="nil"/>
            </w:tcBorders>
            <w:shd w:val="clear" w:color="000000" w:fill="FFFFFF"/>
            <w:noWrap/>
            <w:vAlign w:val="bottom"/>
            <w:hideMark/>
          </w:tcPr>
          <w:p w14:paraId="52BC0361"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1.7</w:t>
            </w:r>
          </w:p>
        </w:tc>
        <w:tc>
          <w:tcPr>
            <w:tcW w:w="1550" w:type="dxa"/>
            <w:tcBorders>
              <w:top w:val="single" w:sz="4" w:space="0" w:color="auto"/>
              <w:left w:val="nil"/>
              <w:bottom w:val="nil"/>
              <w:right w:val="nil"/>
            </w:tcBorders>
            <w:shd w:val="clear" w:color="000000" w:fill="FFFFFF"/>
            <w:noWrap/>
            <w:vAlign w:val="bottom"/>
            <w:hideMark/>
          </w:tcPr>
          <w:p w14:paraId="11DA8BD7"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1.0</w:t>
            </w:r>
          </w:p>
        </w:tc>
      </w:tr>
      <w:tr w:rsidR="007D787D" w:rsidRPr="007D787D" w14:paraId="780B73D2"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369B32AA"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Government Spending</w:t>
            </w:r>
          </w:p>
        </w:tc>
        <w:tc>
          <w:tcPr>
            <w:tcW w:w="1370" w:type="dxa"/>
            <w:tcBorders>
              <w:top w:val="nil"/>
              <w:left w:val="single" w:sz="4" w:space="0" w:color="auto"/>
              <w:bottom w:val="nil"/>
              <w:right w:val="nil"/>
            </w:tcBorders>
            <w:shd w:val="clear" w:color="000000" w:fill="FFFFFF"/>
            <w:noWrap/>
            <w:vAlign w:val="bottom"/>
            <w:hideMark/>
          </w:tcPr>
          <w:p w14:paraId="7AF37E0B"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0.8</w:t>
            </w:r>
          </w:p>
        </w:tc>
        <w:tc>
          <w:tcPr>
            <w:tcW w:w="1607" w:type="dxa"/>
            <w:tcBorders>
              <w:top w:val="nil"/>
              <w:left w:val="nil"/>
              <w:bottom w:val="nil"/>
              <w:right w:val="single" w:sz="4" w:space="0" w:color="auto"/>
            </w:tcBorders>
            <w:shd w:val="clear" w:color="000000" w:fill="FFFFFF"/>
            <w:noWrap/>
            <w:vAlign w:val="bottom"/>
            <w:hideMark/>
          </w:tcPr>
          <w:p w14:paraId="6A37677A"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0.1</w:t>
            </w:r>
          </w:p>
        </w:tc>
        <w:tc>
          <w:tcPr>
            <w:tcW w:w="1285" w:type="dxa"/>
            <w:tcBorders>
              <w:top w:val="nil"/>
              <w:left w:val="nil"/>
              <w:bottom w:val="nil"/>
              <w:right w:val="nil"/>
            </w:tcBorders>
            <w:shd w:val="clear" w:color="000000" w:fill="FFFFFF"/>
            <w:noWrap/>
            <w:vAlign w:val="bottom"/>
            <w:hideMark/>
          </w:tcPr>
          <w:p w14:paraId="6A899A58"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-2.1</w:t>
            </w:r>
          </w:p>
        </w:tc>
        <w:tc>
          <w:tcPr>
            <w:tcW w:w="1550" w:type="dxa"/>
            <w:tcBorders>
              <w:top w:val="nil"/>
              <w:left w:val="nil"/>
              <w:bottom w:val="nil"/>
              <w:right w:val="nil"/>
            </w:tcBorders>
            <w:shd w:val="clear" w:color="000000" w:fill="FFFFFF"/>
            <w:noWrap/>
            <w:vAlign w:val="bottom"/>
            <w:hideMark/>
          </w:tcPr>
          <w:p w14:paraId="3BF318CE"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-0.3</w:t>
            </w:r>
          </w:p>
        </w:tc>
      </w:tr>
      <w:tr w:rsidR="007D787D" w:rsidRPr="007D787D" w14:paraId="47C61FA1"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6A672916"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Investment</w:t>
            </w:r>
          </w:p>
        </w:tc>
        <w:tc>
          <w:tcPr>
            <w:tcW w:w="1370" w:type="dxa"/>
            <w:tcBorders>
              <w:top w:val="nil"/>
              <w:left w:val="single" w:sz="4" w:space="0" w:color="auto"/>
              <w:bottom w:val="nil"/>
              <w:right w:val="nil"/>
            </w:tcBorders>
            <w:shd w:val="clear" w:color="000000" w:fill="FFFFFF"/>
            <w:noWrap/>
            <w:vAlign w:val="bottom"/>
            <w:hideMark/>
          </w:tcPr>
          <w:p w14:paraId="12A01D1E"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4.8</w:t>
            </w:r>
          </w:p>
        </w:tc>
        <w:tc>
          <w:tcPr>
            <w:tcW w:w="1607" w:type="dxa"/>
            <w:tcBorders>
              <w:top w:val="nil"/>
              <w:left w:val="nil"/>
              <w:bottom w:val="nil"/>
              <w:right w:val="single" w:sz="4" w:space="0" w:color="auto"/>
            </w:tcBorders>
            <w:shd w:val="clear" w:color="000000" w:fill="FFFFFF"/>
            <w:noWrap/>
            <w:vAlign w:val="bottom"/>
            <w:hideMark/>
          </w:tcPr>
          <w:p w14:paraId="2389BF7F"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1.4</w:t>
            </w:r>
          </w:p>
        </w:tc>
        <w:tc>
          <w:tcPr>
            <w:tcW w:w="1285" w:type="dxa"/>
            <w:tcBorders>
              <w:top w:val="nil"/>
              <w:left w:val="nil"/>
              <w:bottom w:val="nil"/>
              <w:right w:val="nil"/>
            </w:tcBorders>
            <w:shd w:val="clear" w:color="000000" w:fill="FFFFFF"/>
            <w:noWrap/>
            <w:vAlign w:val="bottom"/>
            <w:hideMark/>
          </w:tcPr>
          <w:p w14:paraId="76843C6E"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4.0</w:t>
            </w:r>
          </w:p>
        </w:tc>
        <w:tc>
          <w:tcPr>
            <w:tcW w:w="1550" w:type="dxa"/>
            <w:tcBorders>
              <w:top w:val="nil"/>
              <w:left w:val="nil"/>
              <w:bottom w:val="nil"/>
              <w:right w:val="nil"/>
            </w:tcBorders>
            <w:shd w:val="clear" w:color="000000" w:fill="FFFFFF"/>
            <w:noWrap/>
            <w:vAlign w:val="bottom"/>
            <w:hideMark/>
          </w:tcPr>
          <w:p w14:paraId="4A0F4B3C"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1.2</w:t>
            </w:r>
          </w:p>
        </w:tc>
      </w:tr>
      <w:tr w:rsidR="007D787D" w:rsidRPr="007D787D" w14:paraId="78F8C0D8"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16B82D5F"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Change in Stock</w:t>
            </w:r>
          </w:p>
        </w:tc>
        <w:tc>
          <w:tcPr>
            <w:tcW w:w="1370" w:type="dxa"/>
            <w:tcBorders>
              <w:top w:val="nil"/>
              <w:left w:val="single" w:sz="4" w:space="0" w:color="auto"/>
              <w:bottom w:val="nil"/>
              <w:right w:val="nil"/>
            </w:tcBorders>
            <w:shd w:val="clear" w:color="000000" w:fill="FFFFFF"/>
            <w:noWrap/>
            <w:vAlign w:val="bottom"/>
            <w:hideMark/>
          </w:tcPr>
          <w:p w14:paraId="32B14CBC"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 </w:t>
            </w:r>
          </w:p>
        </w:tc>
        <w:tc>
          <w:tcPr>
            <w:tcW w:w="1607" w:type="dxa"/>
            <w:tcBorders>
              <w:top w:val="nil"/>
              <w:left w:val="nil"/>
              <w:bottom w:val="nil"/>
              <w:right w:val="single" w:sz="4" w:space="0" w:color="auto"/>
            </w:tcBorders>
            <w:shd w:val="clear" w:color="000000" w:fill="FFFFFF"/>
            <w:noWrap/>
            <w:vAlign w:val="bottom"/>
            <w:hideMark/>
          </w:tcPr>
          <w:p w14:paraId="56D99D1D"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0.4</w:t>
            </w:r>
          </w:p>
        </w:tc>
        <w:tc>
          <w:tcPr>
            <w:tcW w:w="1285" w:type="dxa"/>
            <w:tcBorders>
              <w:top w:val="nil"/>
              <w:left w:val="nil"/>
              <w:bottom w:val="nil"/>
              <w:right w:val="nil"/>
            </w:tcBorders>
            <w:shd w:val="clear" w:color="000000" w:fill="FFFFFF"/>
            <w:noWrap/>
            <w:vAlign w:val="bottom"/>
            <w:hideMark/>
          </w:tcPr>
          <w:p w14:paraId="756D530C"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 </w:t>
            </w:r>
          </w:p>
        </w:tc>
        <w:tc>
          <w:tcPr>
            <w:tcW w:w="1550" w:type="dxa"/>
            <w:tcBorders>
              <w:top w:val="nil"/>
              <w:left w:val="nil"/>
              <w:bottom w:val="nil"/>
              <w:right w:val="nil"/>
            </w:tcBorders>
            <w:shd w:val="clear" w:color="000000" w:fill="FFFFFF"/>
            <w:noWrap/>
            <w:vAlign w:val="bottom"/>
            <w:hideMark/>
          </w:tcPr>
          <w:p w14:paraId="7E17FAAD"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0.4</w:t>
            </w:r>
          </w:p>
        </w:tc>
      </w:tr>
      <w:tr w:rsidR="007D787D" w:rsidRPr="007D787D" w14:paraId="115EAEB4"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7A0B245D" w14:textId="77777777" w:rsidR="00A550B2" w:rsidRPr="007D787D" w:rsidRDefault="00A550B2" w:rsidP="00A550B2">
            <w:pPr>
              <w:rPr>
                <w:rFonts w:ascii="Calibri" w:hAnsi="Calibri" w:cs="Calibri"/>
                <w:b/>
                <w:bCs/>
                <w:sz w:val="20"/>
                <w:szCs w:val="20"/>
              </w:rPr>
            </w:pPr>
            <w:r w:rsidRPr="007D787D">
              <w:rPr>
                <w:rFonts w:ascii="Calibri" w:hAnsi="Calibri" w:cs="Calibri"/>
                <w:b/>
                <w:bCs/>
                <w:sz w:val="20"/>
                <w:szCs w:val="20"/>
              </w:rPr>
              <w:t>Import</w:t>
            </w:r>
          </w:p>
        </w:tc>
        <w:tc>
          <w:tcPr>
            <w:tcW w:w="1370" w:type="dxa"/>
            <w:tcBorders>
              <w:top w:val="nil"/>
              <w:left w:val="single" w:sz="4" w:space="0" w:color="auto"/>
              <w:bottom w:val="nil"/>
              <w:right w:val="nil"/>
            </w:tcBorders>
            <w:shd w:val="clear" w:color="000000" w:fill="FFFFFF"/>
            <w:noWrap/>
            <w:vAlign w:val="bottom"/>
            <w:hideMark/>
          </w:tcPr>
          <w:p w14:paraId="187EF468"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0.6</w:t>
            </w:r>
          </w:p>
        </w:tc>
        <w:tc>
          <w:tcPr>
            <w:tcW w:w="1607" w:type="dxa"/>
            <w:tcBorders>
              <w:top w:val="nil"/>
              <w:left w:val="nil"/>
              <w:bottom w:val="nil"/>
              <w:right w:val="single" w:sz="4" w:space="0" w:color="auto"/>
            </w:tcBorders>
            <w:shd w:val="clear" w:color="000000" w:fill="FFFFFF"/>
            <w:noWrap/>
            <w:vAlign w:val="bottom"/>
            <w:hideMark/>
          </w:tcPr>
          <w:p w14:paraId="5972ED8E"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0.1</w:t>
            </w:r>
          </w:p>
        </w:tc>
        <w:tc>
          <w:tcPr>
            <w:tcW w:w="1285" w:type="dxa"/>
            <w:tcBorders>
              <w:top w:val="nil"/>
              <w:left w:val="nil"/>
              <w:bottom w:val="nil"/>
              <w:right w:val="nil"/>
            </w:tcBorders>
            <w:shd w:val="clear" w:color="000000" w:fill="FFFFFF"/>
            <w:noWrap/>
            <w:vAlign w:val="bottom"/>
            <w:hideMark/>
          </w:tcPr>
          <w:p w14:paraId="29104E22"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-0.6</w:t>
            </w:r>
          </w:p>
        </w:tc>
        <w:tc>
          <w:tcPr>
            <w:tcW w:w="1550" w:type="dxa"/>
            <w:tcBorders>
              <w:top w:val="nil"/>
              <w:left w:val="nil"/>
              <w:bottom w:val="nil"/>
              <w:right w:val="nil"/>
            </w:tcBorders>
            <w:shd w:val="clear" w:color="000000" w:fill="FFFFFF"/>
            <w:noWrap/>
            <w:vAlign w:val="bottom"/>
            <w:hideMark/>
          </w:tcPr>
          <w:p w14:paraId="71923741" w14:textId="77777777" w:rsidR="00A550B2" w:rsidRPr="007D787D" w:rsidRDefault="00A550B2" w:rsidP="00A550B2">
            <w:pPr>
              <w:jc w:val="center"/>
              <w:rPr>
                <w:rFonts w:ascii="Calibri" w:hAnsi="Calibri" w:cs="Calibri"/>
                <w:sz w:val="20"/>
                <w:szCs w:val="20"/>
              </w:rPr>
            </w:pPr>
            <w:r w:rsidRPr="007D787D">
              <w:rPr>
                <w:rFonts w:ascii="Calibri" w:hAnsi="Calibri" w:cs="Calibri"/>
                <w:sz w:val="20"/>
                <w:szCs w:val="20"/>
              </w:rPr>
              <w:t>-0.1</w:t>
            </w:r>
          </w:p>
        </w:tc>
      </w:tr>
      <w:tr w:rsidR="00A550B2" w:rsidRPr="003D44CE" w14:paraId="03793037" w14:textId="77777777" w:rsidTr="00A550B2">
        <w:trPr>
          <w:trHeight w:hRule="exact" w:val="295"/>
        </w:trPr>
        <w:tc>
          <w:tcPr>
            <w:tcW w:w="2198" w:type="dxa"/>
            <w:tcBorders>
              <w:top w:val="nil"/>
              <w:left w:val="nil"/>
              <w:bottom w:val="nil"/>
              <w:right w:val="nil"/>
            </w:tcBorders>
            <w:shd w:val="clear" w:color="000000" w:fill="FFFFFF"/>
            <w:noWrap/>
            <w:vAlign w:val="bottom"/>
            <w:hideMark/>
          </w:tcPr>
          <w:p w14:paraId="7860ED0E" w14:textId="77777777" w:rsidR="00A550B2" w:rsidRPr="003D44CE" w:rsidRDefault="00A550B2" w:rsidP="00A550B2">
            <w:pPr>
              <w:rPr>
                <w:rFonts w:ascii="Calibri" w:hAnsi="Calibri" w:cs="Calibri"/>
                <w:b/>
                <w:bCs/>
                <w:color w:val="000000"/>
                <w:sz w:val="20"/>
                <w:szCs w:val="20"/>
              </w:rPr>
            </w:pPr>
            <w:r>
              <w:rPr>
                <w:rFonts w:ascii="Calibri" w:hAnsi="Calibri" w:cs="Calibri"/>
                <w:b/>
                <w:bCs/>
                <w:color w:val="000000"/>
                <w:sz w:val="20"/>
                <w:szCs w:val="20"/>
              </w:rPr>
              <w:t>Export</w:t>
            </w:r>
          </w:p>
        </w:tc>
        <w:tc>
          <w:tcPr>
            <w:tcW w:w="1370" w:type="dxa"/>
            <w:tcBorders>
              <w:top w:val="nil"/>
              <w:left w:val="single" w:sz="4" w:space="0" w:color="auto"/>
              <w:bottom w:val="nil"/>
              <w:right w:val="nil"/>
            </w:tcBorders>
            <w:shd w:val="clear" w:color="000000" w:fill="FFFFFF"/>
            <w:noWrap/>
            <w:vAlign w:val="bottom"/>
            <w:hideMark/>
          </w:tcPr>
          <w:p w14:paraId="39731EBC"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4.6</w:t>
            </w:r>
          </w:p>
        </w:tc>
        <w:tc>
          <w:tcPr>
            <w:tcW w:w="1607" w:type="dxa"/>
            <w:tcBorders>
              <w:top w:val="nil"/>
              <w:left w:val="nil"/>
              <w:bottom w:val="nil"/>
              <w:right w:val="single" w:sz="4" w:space="0" w:color="auto"/>
            </w:tcBorders>
            <w:shd w:val="clear" w:color="000000" w:fill="FFFFFF"/>
            <w:noWrap/>
            <w:vAlign w:val="bottom"/>
            <w:hideMark/>
          </w:tcPr>
          <w:p w14:paraId="106ED476"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-1.1</w:t>
            </w:r>
          </w:p>
        </w:tc>
        <w:tc>
          <w:tcPr>
            <w:tcW w:w="1285" w:type="dxa"/>
            <w:tcBorders>
              <w:top w:val="nil"/>
              <w:left w:val="nil"/>
              <w:bottom w:val="nil"/>
              <w:right w:val="nil"/>
            </w:tcBorders>
            <w:shd w:val="clear" w:color="000000" w:fill="FFFFFF"/>
            <w:noWrap/>
            <w:vAlign w:val="bottom"/>
            <w:hideMark/>
          </w:tcPr>
          <w:p w14:paraId="06D97542"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3.9</w:t>
            </w:r>
          </w:p>
        </w:tc>
        <w:tc>
          <w:tcPr>
            <w:tcW w:w="1550" w:type="dxa"/>
            <w:tcBorders>
              <w:top w:val="nil"/>
              <w:left w:val="nil"/>
              <w:bottom w:val="nil"/>
              <w:right w:val="nil"/>
            </w:tcBorders>
            <w:shd w:val="clear" w:color="000000" w:fill="FFFFFF"/>
            <w:noWrap/>
            <w:vAlign w:val="bottom"/>
            <w:hideMark/>
          </w:tcPr>
          <w:p w14:paraId="5F7415E7"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-1.0</w:t>
            </w:r>
          </w:p>
        </w:tc>
      </w:tr>
      <w:tr w:rsidR="00A550B2" w:rsidRPr="003D44CE" w14:paraId="57ED039C" w14:textId="77777777" w:rsidTr="00A550B2">
        <w:trPr>
          <w:trHeight w:hRule="exact" w:val="295"/>
        </w:trPr>
        <w:tc>
          <w:tcPr>
            <w:tcW w:w="2198" w:type="dxa"/>
            <w:tcBorders>
              <w:top w:val="nil"/>
              <w:left w:val="nil"/>
              <w:bottom w:val="double" w:sz="6" w:space="0" w:color="auto"/>
              <w:right w:val="nil"/>
            </w:tcBorders>
            <w:shd w:val="clear" w:color="000000" w:fill="FFFFFF"/>
            <w:noWrap/>
            <w:vAlign w:val="bottom"/>
            <w:hideMark/>
          </w:tcPr>
          <w:p w14:paraId="5B3B53AB" w14:textId="77777777" w:rsidR="00A550B2" w:rsidRPr="003D44CE" w:rsidRDefault="00A550B2" w:rsidP="00A550B2">
            <w:pPr>
              <w:rPr>
                <w:rFonts w:ascii="Calibri" w:hAnsi="Calibri" w:cs="Calibri"/>
                <w:b/>
                <w:bCs/>
                <w:color w:val="000000"/>
                <w:sz w:val="20"/>
                <w:szCs w:val="20"/>
              </w:rPr>
            </w:pPr>
            <w:r>
              <w:rPr>
                <w:rFonts w:ascii="Calibri" w:hAnsi="Calibri" w:cs="Calibri"/>
                <w:b/>
                <w:bCs/>
                <w:color w:val="000000"/>
                <w:sz w:val="20"/>
                <w:szCs w:val="20"/>
              </w:rPr>
              <w:t>GDP</w:t>
            </w:r>
          </w:p>
        </w:tc>
        <w:tc>
          <w:tcPr>
            <w:tcW w:w="1370" w:type="dxa"/>
            <w:tcBorders>
              <w:top w:val="nil"/>
              <w:left w:val="single" w:sz="4" w:space="0" w:color="auto"/>
              <w:bottom w:val="double" w:sz="6" w:space="0" w:color="auto"/>
              <w:right w:val="nil"/>
            </w:tcBorders>
            <w:shd w:val="clear" w:color="000000" w:fill="FFFFFF"/>
            <w:noWrap/>
            <w:vAlign w:val="bottom"/>
            <w:hideMark/>
          </w:tcPr>
          <w:p w14:paraId="0E05AEFA"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2.2</w:t>
            </w:r>
          </w:p>
        </w:tc>
        <w:tc>
          <w:tcPr>
            <w:tcW w:w="1607" w:type="dxa"/>
            <w:tcBorders>
              <w:top w:val="nil"/>
              <w:left w:val="nil"/>
              <w:bottom w:val="double" w:sz="6" w:space="0" w:color="auto"/>
              <w:right w:val="single" w:sz="4" w:space="0" w:color="auto"/>
            </w:tcBorders>
            <w:shd w:val="clear" w:color="000000" w:fill="FFFFFF"/>
            <w:noWrap/>
            <w:vAlign w:val="bottom"/>
            <w:hideMark/>
          </w:tcPr>
          <w:p w14:paraId="0B1656DC"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 </w:t>
            </w:r>
          </w:p>
        </w:tc>
        <w:tc>
          <w:tcPr>
            <w:tcW w:w="1285" w:type="dxa"/>
            <w:tcBorders>
              <w:top w:val="nil"/>
              <w:left w:val="nil"/>
              <w:bottom w:val="double" w:sz="6" w:space="0" w:color="auto"/>
              <w:right w:val="nil"/>
            </w:tcBorders>
            <w:shd w:val="clear" w:color="000000" w:fill="FFFFFF"/>
            <w:noWrap/>
            <w:vAlign w:val="bottom"/>
            <w:hideMark/>
          </w:tcPr>
          <w:p w14:paraId="730EE593"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1.2</w:t>
            </w:r>
          </w:p>
        </w:tc>
        <w:tc>
          <w:tcPr>
            <w:tcW w:w="1550" w:type="dxa"/>
            <w:tcBorders>
              <w:top w:val="nil"/>
              <w:left w:val="nil"/>
              <w:bottom w:val="double" w:sz="6" w:space="0" w:color="auto"/>
              <w:right w:val="nil"/>
            </w:tcBorders>
            <w:shd w:val="clear" w:color="000000" w:fill="FFFFFF"/>
            <w:noWrap/>
            <w:vAlign w:val="bottom"/>
            <w:hideMark/>
          </w:tcPr>
          <w:p w14:paraId="1D8A2653" w14:textId="77777777" w:rsidR="00A550B2" w:rsidRPr="003D44CE" w:rsidRDefault="00A550B2" w:rsidP="00A550B2">
            <w:pPr>
              <w:jc w:val="center"/>
              <w:rPr>
                <w:rFonts w:ascii="Calibri" w:hAnsi="Calibri" w:cs="Calibri"/>
                <w:color w:val="000000"/>
                <w:sz w:val="20"/>
                <w:szCs w:val="20"/>
              </w:rPr>
            </w:pPr>
            <w:r w:rsidRPr="003D44CE">
              <w:rPr>
                <w:rFonts w:ascii="Calibri" w:hAnsi="Calibri" w:cs="Calibri"/>
                <w:color w:val="000000"/>
                <w:sz w:val="20"/>
                <w:szCs w:val="20"/>
              </w:rPr>
              <w:t> </w:t>
            </w:r>
          </w:p>
        </w:tc>
      </w:tr>
    </w:tbl>
    <w:p w14:paraId="2073590C" w14:textId="5C189EE7" w:rsidR="002F6884" w:rsidRPr="002F6884" w:rsidRDefault="00A550B2" w:rsidP="002F6884">
      <w:pPr>
        <w:pStyle w:val="NormalWeb"/>
        <w:spacing w:before="0" w:beforeAutospacing="0" w:after="0" w:afterAutospacing="0" w:line="360" w:lineRule="auto"/>
        <w:ind w:right="77"/>
        <w:rPr>
          <w:rFonts w:ascii="Palatino Linotype" w:hAnsi="Palatino Linotype" w:cstheme="minorHAnsi"/>
          <w:sz w:val="18"/>
          <w:szCs w:val="18"/>
        </w:rPr>
      </w:pPr>
      <w:r w:rsidRPr="00236056">
        <w:rPr>
          <w:rFonts w:ascii="Palatino Linotype" w:hAnsi="Palatino Linotype" w:cstheme="minorHAnsi"/>
          <w:b/>
          <w:sz w:val="18"/>
          <w:szCs w:val="18"/>
        </w:rPr>
        <w:t>Source:</w:t>
      </w:r>
      <w:r>
        <w:rPr>
          <w:rFonts w:ascii="Palatino Linotype" w:hAnsi="Palatino Linotype" w:cstheme="minorHAnsi"/>
          <w:sz w:val="18"/>
          <w:szCs w:val="18"/>
        </w:rPr>
        <w:t xml:space="preserve"> TurkStat, Betam</w:t>
      </w:r>
      <w:r w:rsidR="002F6884">
        <w:rPr>
          <w:rFonts w:ascii="Palatino Linotype" w:hAnsi="Palatino Linotype" w:cstheme="minorHAnsi"/>
          <w:sz w:val="18"/>
          <w:szCs w:val="18"/>
        </w:rPr>
        <w:br/>
      </w:r>
    </w:p>
    <w:p w14:paraId="0C2DBCCA" w14:textId="25602C61" w:rsidR="002F6884" w:rsidRPr="007D787D" w:rsidRDefault="0044231D" w:rsidP="002F6884">
      <w:pPr>
        <w:pStyle w:val="NormalWeb"/>
        <w:ind w:right="77"/>
        <w:rPr>
          <w:rFonts w:ascii="Palatino Linotype" w:hAnsi="Palatino Linotype" w:cstheme="minorHAnsi"/>
          <w:strike/>
          <w:sz w:val="22"/>
          <w:szCs w:val="22"/>
        </w:rPr>
      </w:pPr>
      <w:r w:rsidRPr="0044231D">
        <w:rPr>
          <w:rFonts w:ascii="Palatino Linotype" w:hAnsi="Palatino Linotype" w:cstheme="minorHAnsi"/>
          <w:b/>
          <w:sz w:val="22"/>
          <w:szCs w:val="22"/>
        </w:rPr>
        <w:t xml:space="preserve">Investments continue to </w:t>
      </w:r>
      <w:r w:rsidR="00A71F3D" w:rsidRPr="007D787D">
        <w:rPr>
          <w:rFonts w:ascii="Palatino Linotype" w:hAnsi="Palatino Linotype" w:cstheme="minorHAnsi"/>
          <w:b/>
          <w:sz w:val="22"/>
          <w:szCs w:val="22"/>
        </w:rPr>
        <w:t>support</w:t>
      </w:r>
      <w:r w:rsidRPr="007D787D">
        <w:rPr>
          <w:rFonts w:ascii="Palatino Linotype" w:hAnsi="Palatino Linotype" w:cstheme="minorHAnsi"/>
          <w:b/>
          <w:sz w:val="22"/>
          <w:szCs w:val="22"/>
        </w:rPr>
        <w:t xml:space="preserve"> </w:t>
      </w:r>
      <w:r w:rsidR="00B808FF" w:rsidRPr="007D787D">
        <w:rPr>
          <w:rFonts w:ascii="Palatino Linotype" w:hAnsi="Palatino Linotype" w:cstheme="minorHAnsi"/>
          <w:b/>
          <w:sz w:val="22"/>
          <w:szCs w:val="22"/>
        </w:rPr>
        <w:t>the growth</w:t>
      </w:r>
    </w:p>
    <w:p w14:paraId="75D1EC68" w14:textId="05E5776B" w:rsidR="0044231D" w:rsidRPr="007D787D" w:rsidRDefault="00DD6027" w:rsidP="002F6884">
      <w:pPr>
        <w:pStyle w:val="NormalWeb"/>
        <w:spacing w:line="360" w:lineRule="auto"/>
        <w:ind w:right="77"/>
        <w:jc w:val="both"/>
        <w:rPr>
          <w:rFonts w:ascii="Palatino Linotype" w:hAnsi="Palatino Linotype" w:cstheme="minorHAnsi"/>
          <w:sz w:val="22"/>
          <w:szCs w:val="22"/>
        </w:rPr>
      </w:pPr>
      <w:r w:rsidRPr="007D787D">
        <w:rPr>
          <w:rFonts w:ascii="Palatino Linotype" w:hAnsi="Palatino Linotype" w:cstheme="minorHAnsi"/>
          <w:sz w:val="22"/>
          <w:szCs w:val="22"/>
        </w:rPr>
        <w:t>W</w:t>
      </w:r>
      <w:r w:rsidR="0044231D" w:rsidRPr="007D787D">
        <w:rPr>
          <w:rFonts w:ascii="Palatino Linotype" w:hAnsi="Palatino Linotype" w:cstheme="minorHAnsi"/>
          <w:sz w:val="22"/>
          <w:szCs w:val="22"/>
        </w:rPr>
        <w:t>e see that the investments that made a</w:t>
      </w:r>
      <w:r w:rsidRPr="007D787D">
        <w:rPr>
          <w:rFonts w:ascii="Palatino Linotype" w:hAnsi="Palatino Linotype" w:cstheme="minorHAnsi"/>
          <w:sz w:val="22"/>
          <w:szCs w:val="22"/>
        </w:rPr>
        <w:t>n</w:t>
      </w:r>
      <w:r w:rsidR="0044231D" w:rsidRPr="007D787D">
        <w:rPr>
          <w:rFonts w:ascii="Palatino Linotype" w:hAnsi="Palatino Linotype" w:cstheme="minorHAnsi"/>
          <w:sz w:val="22"/>
          <w:szCs w:val="22"/>
        </w:rPr>
        <w:t xml:space="preserve"> </w:t>
      </w:r>
      <w:r w:rsidRPr="007D787D">
        <w:rPr>
          <w:rFonts w:ascii="Palatino Linotype" w:hAnsi="Palatino Linotype" w:cstheme="minorHAnsi"/>
          <w:sz w:val="22"/>
          <w:szCs w:val="22"/>
        </w:rPr>
        <w:t>important</w:t>
      </w:r>
      <w:r w:rsidR="0044231D" w:rsidRPr="00DD6027">
        <w:rPr>
          <w:rFonts w:ascii="Palatino Linotype" w:hAnsi="Palatino Linotype" w:cstheme="minorHAnsi"/>
          <w:sz w:val="22"/>
          <w:szCs w:val="22"/>
        </w:rPr>
        <w:t xml:space="preserve"> contribution to growth</w:t>
      </w:r>
      <w:r>
        <w:rPr>
          <w:rFonts w:ascii="Palatino Linotype" w:hAnsi="Palatino Linotype" w:cstheme="minorHAnsi"/>
          <w:sz w:val="22"/>
          <w:szCs w:val="22"/>
        </w:rPr>
        <w:t xml:space="preserve"> i</w:t>
      </w:r>
      <w:r w:rsidRPr="00DD6027">
        <w:rPr>
          <w:rFonts w:ascii="Palatino Linotype" w:hAnsi="Palatino Linotype" w:cstheme="minorHAnsi"/>
          <w:sz w:val="22"/>
          <w:szCs w:val="22"/>
        </w:rPr>
        <w:t>n the second quarter of 2017</w:t>
      </w:r>
      <w:r w:rsidR="0044231D" w:rsidRPr="00DD6027">
        <w:rPr>
          <w:rFonts w:ascii="Palatino Linotype" w:hAnsi="Palatino Linotype" w:cstheme="minorHAnsi"/>
          <w:sz w:val="22"/>
          <w:szCs w:val="22"/>
        </w:rPr>
        <w:t xml:space="preserve"> have furthered the growth in the third quarter. While the contribution of </w:t>
      </w:r>
      <w:r w:rsidR="0044231D" w:rsidRPr="00DD6027">
        <w:rPr>
          <w:rFonts w:ascii="Palatino Linotype" w:hAnsi="Palatino Linotype" w:cstheme="minorHAnsi"/>
          <w:sz w:val="22"/>
          <w:szCs w:val="22"/>
        </w:rPr>
        <w:lastRenderedPageBreak/>
        <w:t xml:space="preserve">investments to annual growth was 2.4 percentage </w:t>
      </w:r>
      <w:r w:rsidR="0044231D" w:rsidRPr="007D787D">
        <w:rPr>
          <w:rFonts w:ascii="Palatino Linotype" w:hAnsi="Palatino Linotype" w:cstheme="minorHAnsi"/>
          <w:sz w:val="22"/>
          <w:szCs w:val="22"/>
        </w:rPr>
        <w:t xml:space="preserve">points in the second quarter, this contribution </w:t>
      </w:r>
      <w:r w:rsidRPr="007D787D">
        <w:rPr>
          <w:rFonts w:ascii="Palatino Linotype" w:hAnsi="Palatino Linotype" w:cstheme="minorHAnsi"/>
          <w:sz w:val="22"/>
          <w:szCs w:val="22"/>
        </w:rPr>
        <w:t>increased to</w:t>
      </w:r>
      <w:r w:rsidR="0044231D" w:rsidRPr="007D787D">
        <w:rPr>
          <w:rFonts w:ascii="Palatino Linotype" w:hAnsi="Palatino Linotype" w:cstheme="minorHAnsi"/>
          <w:sz w:val="22"/>
          <w:szCs w:val="22"/>
        </w:rPr>
        <w:t xml:space="preserve"> 3.5 percentage points in the third quarter. We emphasize</w:t>
      </w:r>
      <w:r w:rsidR="00B808FF" w:rsidRPr="007D787D">
        <w:rPr>
          <w:rFonts w:ascii="Palatino Linotype" w:hAnsi="Palatino Linotype" w:cstheme="minorHAnsi"/>
          <w:sz w:val="22"/>
          <w:szCs w:val="22"/>
        </w:rPr>
        <w:t>d</w:t>
      </w:r>
      <w:r w:rsidRPr="007D787D">
        <w:rPr>
          <w:rFonts w:ascii="Palatino Linotype" w:hAnsi="Palatino Linotype" w:cstheme="minorHAnsi"/>
          <w:sz w:val="22"/>
          <w:szCs w:val="22"/>
        </w:rPr>
        <w:t xml:space="preserve"> in our recent research note, "Economic Growth and Forecasts",</w:t>
      </w:r>
      <w:r w:rsidR="0044231D" w:rsidRPr="007D787D">
        <w:rPr>
          <w:rFonts w:ascii="Palatino Linotype" w:hAnsi="Palatino Linotype" w:cstheme="minorHAnsi"/>
          <w:sz w:val="22"/>
          <w:szCs w:val="22"/>
        </w:rPr>
        <w:t xml:space="preserve"> that commercial loans are systematically exploding and </w:t>
      </w:r>
      <w:r w:rsidRPr="007D787D">
        <w:rPr>
          <w:rFonts w:ascii="Palatino Linotype" w:hAnsi="Palatino Linotype" w:cstheme="minorHAnsi"/>
          <w:sz w:val="22"/>
          <w:szCs w:val="22"/>
        </w:rPr>
        <w:t xml:space="preserve">increasing the </w:t>
      </w:r>
      <w:r w:rsidR="0044231D" w:rsidRPr="007D787D">
        <w:rPr>
          <w:rFonts w:ascii="Palatino Linotype" w:hAnsi="Palatino Linotype" w:cstheme="minorHAnsi"/>
          <w:sz w:val="22"/>
          <w:szCs w:val="22"/>
        </w:rPr>
        <w:t>invest</w:t>
      </w:r>
      <w:r w:rsidRPr="007D787D">
        <w:rPr>
          <w:rFonts w:ascii="Palatino Linotype" w:hAnsi="Palatino Linotype" w:cstheme="minorHAnsi"/>
          <w:sz w:val="22"/>
          <w:szCs w:val="22"/>
        </w:rPr>
        <w:t xml:space="preserve">ments. </w:t>
      </w:r>
      <w:r w:rsidR="0044231D" w:rsidRPr="007D787D">
        <w:rPr>
          <w:rFonts w:ascii="Palatino Linotype" w:hAnsi="Palatino Linotype" w:cstheme="minorHAnsi"/>
          <w:sz w:val="22"/>
          <w:szCs w:val="22"/>
        </w:rPr>
        <w:t xml:space="preserve">We understand that these findings are confirmed. </w:t>
      </w:r>
      <w:r w:rsidR="00A71F3D" w:rsidRPr="007D787D">
        <w:rPr>
          <w:rFonts w:ascii="Palatino Linotype" w:hAnsi="Palatino Linotype" w:cstheme="minorHAnsi"/>
          <w:sz w:val="22"/>
          <w:szCs w:val="22"/>
        </w:rPr>
        <w:t>As noted in the previous growth evaluation note, the impact of the Credit Guarantee Fund (KGF) lies behind the high investment growth.</w:t>
      </w:r>
      <w:r w:rsidR="00A71F3D" w:rsidRPr="007D787D">
        <w:rPr>
          <w:rStyle w:val="DipnotBavurusu"/>
          <w:rFonts w:ascii="Palatino Linotype" w:hAnsi="Palatino Linotype" w:cstheme="minorHAnsi"/>
          <w:sz w:val="22"/>
          <w:szCs w:val="22"/>
        </w:rPr>
        <w:footnoteReference w:id="4"/>
      </w:r>
    </w:p>
    <w:p w14:paraId="3EE554C7" w14:textId="44772E30" w:rsidR="002F6884" w:rsidRPr="007D787D" w:rsidRDefault="00C34FEA" w:rsidP="002F6884">
      <w:pPr>
        <w:pStyle w:val="NormalWeb"/>
        <w:ind w:right="77"/>
        <w:jc w:val="both"/>
        <w:rPr>
          <w:rFonts w:ascii="Palatino Linotype" w:hAnsi="Palatino Linotype" w:cstheme="minorHAnsi"/>
          <w:b/>
          <w:color w:val="FF0000"/>
          <w:sz w:val="22"/>
          <w:szCs w:val="22"/>
        </w:rPr>
      </w:pPr>
      <w:r w:rsidRPr="007D787D">
        <w:rPr>
          <w:rFonts w:ascii="Palatino Linotype" w:hAnsi="Palatino Linotype" w:cstheme="minorHAnsi"/>
          <w:b/>
          <w:sz w:val="22"/>
          <w:szCs w:val="22"/>
        </w:rPr>
        <w:t xml:space="preserve">The contribution of stock changes is </w:t>
      </w:r>
      <w:r w:rsidR="007D787D" w:rsidRPr="007D787D">
        <w:rPr>
          <w:rFonts w:ascii="Palatino Linotype" w:hAnsi="Palatino Linotype" w:cstheme="minorHAnsi"/>
          <w:b/>
          <w:sz w:val="22"/>
          <w:szCs w:val="22"/>
        </w:rPr>
        <w:t>positive</w:t>
      </w:r>
    </w:p>
    <w:p w14:paraId="5A8BEB95" w14:textId="549133D8" w:rsidR="008F030E" w:rsidRPr="007D787D" w:rsidRDefault="00C34FEA" w:rsidP="007D787D">
      <w:pPr>
        <w:pStyle w:val="NormalWeb"/>
        <w:spacing w:line="360" w:lineRule="auto"/>
        <w:ind w:right="77"/>
        <w:jc w:val="both"/>
        <w:rPr>
          <w:rFonts w:ascii="Palatino Linotype" w:hAnsi="Palatino Linotype" w:cstheme="minorHAnsi"/>
          <w:sz w:val="22"/>
          <w:szCs w:val="22"/>
        </w:rPr>
      </w:pPr>
      <w:r w:rsidRPr="007D787D">
        <w:rPr>
          <w:rFonts w:ascii="Palatino Linotype" w:hAnsi="Palatino Linotype" w:cstheme="minorHAnsi"/>
          <w:sz w:val="22"/>
          <w:szCs w:val="22"/>
        </w:rPr>
        <w:t xml:space="preserve">While the contribution to </w:t>
      </w:r>
      <w:r w:rsidR="00490E51" w:rsidRPr="007D787D">
        <w:rPr>
          <w:rFonts w:ascii="Palatino Linotype" w:hAnsi="Palatino Linotype" w:cstheme="minorHAnsi"/>
          <w:sz w:val="22"/>
          <w:szCs w:val="22"/>
        </w:rPr>
        <w:t xml:space="preserve">yearly </w:t>
      </w:r>
      <w:r w:rsidRPr="007D787D">
        <w:rPr>
          <w:rFonts w:ascii="Palatino Linotype" w:hAnsi="Palatino Linotype" w:cstheme="minorHAnsi"/>
          <w:sz w:val="22"/>
          <w:szCs w:val="22"/>
        </w:rPr>
        <w:t>growth of stock changes was negative and almost 0.5 percent in the second quarter of 2017, it is almost zero in the third quarter (Table 1). The contribution of seasonally and calendar day adjusted stock changes to quarterly growth is positive and relatively high with 0.4 percentage points (Table 2).</w:t>
      </w:r>
    </w:p>
    <w:p w14:paraId="08CB29F8" w14:textId="75935782" w:rsidR="00D31197" w:rsidRPr="00D31197" w:rsidRDefault="002F6884" w:rsidP="008F030E">
      <w:pPr>
        <w:pStyle w:val="NormalWeb"/>
        <w:spacing w:line="360" w:lineRule="auto"/>
        <w:ind w:right="77"/>
        <w:jc w:val="both"/>
        <w:rPr>
          <w:rFonts w:ascii="Palatino Linotype" w:hAnsi="Palatino Linotype" w:cstheme="minorHAnsi"/>
          <w:sz w:val="22"/>
          <w:szCs w:val="22"/>
        </w:rPr>
      </w:pPr>
      <w:r w:rsidRPr="007D787D">
        <w:rPr>
          <w:rFonts w:ascii="Palatino Linotype" w:hAnsi="Palatino Linotype" w:cstheme="minorHAnsi"/>
          <w:b/>
          <w:sz w:val="22"/>
          <w:szCs w:val="22"/>
        </w:rPr>
        <w:br/>
      </w:r>
      <w:bookmarkStart w:id="0" w:name="_Hlk501449844"/>
      <w:r w:rsidR="003A0146" w:rsidRPr="007D787D">
        <w:rPr>
          <w:rFonts w:ascii="Palatino Linotype" w:hAnsi="Palatino Linotype" w:cstheme="minorHAnsi"/>
          <w:sz w:val="22"/>
          <w:szCs w:val="22"/>
        </w:rPr>
        <w:t>Let’s remind at this point that</w:t>
      </w:r>
      <w:r w:rsidR="00C34FEA" w:rsidRPr="007D787D">
        <w:rPr>
          <w:rFonts w:ascii="Palatino Linotype" w:hAnsi="Palatino Linotype" w:cstheme="minorHAnsi"/>
          <w:sz w:val="22"/>
          <w:szCs w:val="22"/>
        </w:rPr>
        <w:t xml:space="preserve"> TurkStat uses the chained volume index method when calculating new national income series. The contribution to growth of the stock change </w:t>
      </w:r>
      <w:r w:rsidR="00247739" w:rsidRPr="007D787D">
        <w:rPr>
          <w:rFonts w:ascii="Palatino Linotype" w:hAnsi="Palatino Linotype" w:cstheme="minorHAnsi"/>
          <w:sz w:val="22"/>
          <w:szCs w:val="22"/>
        </w:rPr>
        <w:t>cannot</w:t>
      </w:r>
      <w:r w:rsidR="00C34FEA" w:rsidRPr="007D787D">
        <w:rPr>
          <w:rFonts w:ascii="Palatino Linotype" w:hAnsi="Palatino Linotype" w:cstheme="minorHAnsi"/>
          <w:sz w:val="22"/>
          <w:szCs w:val="22"/>
        </w:rPr>
        <w:t xml:space="preserve"> be easily calculated because there is a</w:t>
      </w:r>
      <w:r w:rsidR="00D31197" w:rsidRPr="007D787D">
        <w:rPr>
          <w:rFonts w:ascii="Palatino Linotype" w:hAnsi="Palatino Linotype" w:cstheme="minorHAnsi"/>
          <w:sz w:val="22"/>
          <w:szCs w:val="22"/>
        </w:rPr>
        <w:t>n additivity</w:t>
      </w:r>
      <w:r w:rsidR="00C34FEA" w:rsidRPr="007D787D">
        <w:rPr>
          <w:rFonts w:ascii="Palatino Linotype" w:hAnsi="Palatino Linotype" w:cstheme="minorHAnsi"/>
          <w:sz w:val="22"/>
          <w:szCs w:val="22"/>
        </w:rPr>
        <w:t xml:space="preserve"> problem in the chain method and a chain index </w:t>
      </w:r>
      <w:r w:rsidR="00247739" w:rsidRPr="007D787D">
        <w:rPr>
          <w:rFonts w:ascii="Palatino Linotype" w:hAnsi="Palatino Linotype" w:cstheme="minorHAnsi"/>
          <w:sz w:val="22"/>
          <w:szCs w:val="22"/>
        </w:rPr>
        <w:t>cannot</w:t>
      </w:r>
      <w:r w:rsidR="00C34FEA" w:rsidRPr="007D787D">
        <w:rPr>
          <w:rFonts w:ascii="Palatino Linotype" w:hAnsi="Palatino Linotype" w:cstheme="minorHAnsi"/>
          <w:sz w:val="22"/>
          <w:szCs w:val="22"/>
        </w:rPr>
        <w:t xml:space="preserve"> be derived for the "changes in stock"</w:t>
      </w:r>
      <w:r w:rsidR="00247739" w:rsidRPr="007D787D">
        <w:rPr>
          <w:rFonts w:ascii="Palatino Linotype" w:hAnsi="Palatino Linotype" w:cstheme="minorHAnsi"/>
          <w:sz w:val="22"/>
          <w:szCs w:val="22"/>
        </w:rPr>
        <w:t xml:space="preserve">. </w:t>
      </w:r>
      <w:r w:rsidR="00C34FEA" w:rsidRPr="007D787D">
        <w:rPr>
          <w:rFonts w:ascii="Palatino Linotype" w:hAnsi="Palatino Linotype" w:cstheme="minorHAnsi"/>
          <w:sz w:val="22"/>
          <w:szCs w:val="22"/>
        </w:rPr>
        <w:t>We discussed in detail in the research note that we recently published how to account for the contribution</w:t>
      </w:r>
      <w:r w:rsidR="00C34FEA" w:rsidRPr="00C34FEA">
        <w:rPr>
          <w:rFonts w:ascii="Palatino Linotype" w:hAnsi="Palatino Linotype" w:cstheme="minorHAnsi"/>
          <w:sz w:val="22"/>
          <w:szCs w:val="22"/>
        </w:rPr>
        <w:t xml:space="preserve"> of stock change to growth </w:t>
      </w:r>
      <w:r w:rsidR="00247739">
        <w:rPr>
          <w:rFonts w:ascii="Palatino Linotype" w:hAnsi="Palatino Linotype" w:cstheme="minorHAnsi"/>
          <w:sz w:val="22"/>
          <w:szCs w:val="22"/>
        </w:rPr>
        <w:t>in</w:t>
      </w:r>
      <w:r w:rsidR="00C34FEA" w:rsidRPr="00C34FEA">
        <w:rPr>
          <w:rFonts w:ascii="Palatino Linotype" w:hAnsi="Palatino Linotype" w:cstheme="minorHAnsi"/>
          <w:sz w:val="22"/>
          <w:szCs w:val="22"/>
        </w:rPr>
        <w:t xml:space="preserve"> the chain-volume index approach (see Betam Research Note 17/217).</w:t>
      </w:r>
      <w:bookmarkEnd w:id="0"/>
    </w:p>
    <w:p w14:paraId="5BDFCE49" w14:textId="63E1D75C" w:rsidR="002F6884" w:rsidRDefault="00247739" w:rsidP="002F6884">
      <w:pPr>
        <w:pStyle w:val="NormalWeb"/>
        <w:ind w:right="77"/>
        <w:jc w:val="both"/>
        <w:rPr>
          <w:rFonts w:ascii="Palatino Linotype" w:hAnsi="Palatino Linotype" w:cstheme="minorHAnsi"/>
          <w:b/>
          <w:sz w:val="22"/>
          <w:szCs w:val="22"/>
        </w:rPr>
      </w:pPr>
      <w:r w:rsidRPr="00247739">
        <w:rPr>
          <w:rFonts w:ascii="Palatino Linotype" w:hAnsi="Palatino Linotype" w:cstheme="minorHAnsi"/>
          <w:b/>
          <w:sz w:val="22"/>
          <w:szCs w:val="22"/>
        </w:rPr>
        <w:t>High contribution</w:t>
      </w:r>
      <w:r>
        <w:rPr>
          <w:rFonts w:ascii="Palatino Linotype" w:hAnsi="Palatino Linotype" w:cstheme="minorHAnsi"/>
          <w:b/>
          <w:sz w:val="22"/>
          <w:szCs w:val="22"/>
        </w:rPr>
        <w:t xml:space="preserve"> of export</w:t>
      </w:r>
      <w:r w:rsidR="00D31197">
        <w:rPr>
          <w:rFonts w:ascii="Palatino Linotype" w:hAnsi="Palatino Linotype" w:cstheme="minorHAnsi"/>
          <w:b/>
          <w:sz w:val="22"/>
          <w:szCs w:val="22"/>
        </w:rPr>
        <w:t>s</w:t>
      </w:r>
      <w:r w:rsidRPr="00247739">
        <w:rPr>
          <w:rFonts w:ascii="Palatino Linotype" w:hAnsi="Palatino Linotype" w:cstheme="minorHAnsi"/>
          <w:b/>
          <w:sz w:val="22"/>
          <w:szCs w:val="22"/>
        </w:rPr>
        <w:t xml:space="preserve"> </w:t>
      </w:r>
    </w:p>
    <w:p w14:paraId="7E6575E8" w14:textId="45E030B2" w:rsidR="00247739" w:rsidRPr="007D787D" w:rsidRDefault="00247739" w:rsidP="002F6884">
      <w:pPr>
        <w:pStyle w:val="NormalWeb"/>
        <w:spacing w:line="360" w:lineRule="auto"/>
        <w:ind w:right="77"/>
        <w:jc w:val="both"/>
        <w:rPr>
          <w:rFonts w:ascii="Palatino Linotype" w:hAnsi="Palatino Linotype" w:cstheme="minorHAnsi"/>
          <w:b/>
          <w:sz w:val="22"/>
          <w:szCs w:val="22"/>
        </w:rPr>
      </w:pPr>
      <w:r w:rsidRPr="00247739">
        <w:rPr>
          <w:rFonts w:ascii="Palatino Linotype" w:hAnsi="Palatino Linotype" w:cstheme="minorHAnsi"/>
          <w:sz w:val="22"/>
          <w:szCs w:val="22"/>
        </w:rPr>
        <w:t xml:space="preserve">Compared to the same quarter of the previous year, net foreign trade contribution </w:t>
      </w:r>
      <w:r>
        <w:rPr>
          <w:rFonts w:ascii="Palatino Linotype" w:hAnsi="Palatino Linotype" w:cstheme="minorHAnsi"/>
          <w:sz w:val="22"/>
          <w:szCs w:val="22"/>
        </w:rPr>
        <w:t xml:space="preserve">is </w:t>
      </w:r>
      <w:r w:rsidRPr="00247739">
        <w:rPr>
          <w:rFonts w:ascii="Palatino Linotype" w:hAnsi="Palatino Linotype" w:cstheme="minorHAnsi"/>
          <w:sz w:val="22"/>
          <w:szCs w:val="22"/>
        </w:rPr>
        <w:t xml:space="preserve">almost zero in the third quarter. </w:t>
      </w:r>
      <w:r>
        <w:rPr>
          <w:rFonts w:ascii="Palatino Linotype" w:hAnsi="Palatino Linotype" w:cstheme="minorHAnsi"/>
          <w:sz w:val="22"/>
          <w:szCs w:val="22"/>
        </w:rPr>
        <w:t>There is</w:t>
      </w:r>
      <w:r w:rsidRPr="00247739">
        <w:rPr>
          <w:rFonts w:ascii="Palatino Linotype" w:hAnsi="Palatino Linotype" w:cstheme="minorHAnsi"/>
          <w:sz w:val="22"/>
          <w:szCs w:val="22"/>
        </w:rPr>
        <w:t xml:space="preserve"> </w:t>
      </w:r>
      <w:r>
        <w:rPr>
          <w:rFonts w:ascii="Palatino Linotype" w:hAnsi="Palatino Linotype" w:cstheme="minorHAnsi"/>
          <w:sz w:val="22"/>
          <w:szCs w:val="22"/>
        </w:rPr>
        <w:t xml:space="preserve">(minus) </w:t>
      </w:r>
      <w:r w:rsidRPr="00247739">
        <w:rPr>
          <w:rFonts w:ascii="Palatino Linotype" w:hAnsi="Palatino Linotype" w:cstheme="minorHAnsi"/>
          <w:sz w:val="22"/>
          <w:szCs w:val="22"/>
        </w:rPr>
        <w:t xml:space="preserve">3.5 percentage points contribution of </w:t>
      </w:r>
      <w:r>
        <w:rPr>
          <w:rFonts w:ascii="Palatino Linotype" w:hAnsi="Palatino Linotype" w:cstheme="minorHAnsi"/>
          <w:sz w:val="22"/>
          <w:szCs w:val="22"/>
        </w:rPr>
        <w:t xml:space="preserve">import </w:t>
      </w:r>
      <w:r w:rsidRPr="00247739">
        <w:rPr>
          <w:rFonts w:ascii="Palatino Linotype" w:hAnsi="Palatino Linotype" w:cstheme="minorHAnsi"/>
          <w:sz w:val="22"/>
          <w:szCs w:val="22"/>
        </w:rPr>
        <w:t>which eliminates 3.7 percentage points contribution of</w:t>
      </w:r>
      <w:r>
        <w:rPr>
          <w:rFonts w:ascii="Palatino Linotype" w:hAnsi="Palatino Linotype" w:cstheme="minorHAnsi"/>
          <w:sz w:val="22"/>
          <w:szCs w:val="22"/>
        </w:rPr>
        <w:t xml:space="preserve"> </w:t>
      </w:r>
      <w:r w:rsidRPr="00247739">
        <w:rPr>
          <w:rFonts w:ascii="Palatino Linotype" w:hAnsi="Palatino Linotype" w:cstheme="minorHAnsi"/>
          <w:sz w:val="22"/>
          <w:szCs w:val="22"/>
        </w:rPr>
        <w:t>export. The negative contribution of imports in the second quarter was more limited (Table 1). It is necessary to mention that the import contribution is negative and relatively high, while the export contribution is almost zero in the seasonal</w:t>
      </w:r>
      <w:r>
        <w:rPr>
          <w:rFonts w:ascii="Palatino Linotype" w:hAnsi="Palatino Linotype" w:cstheme="minorHAnsi"/>
          <w:sz w:val="22"/>
          <w:szCs w:val="22"/>
        </w:rPr>
        <w:t>ly</w:t>
      </w:r>
      <w:r w:rsidRPr="00247739">
        <w:rPr>
          <w:rFonts w:ascii="Palatino Linotype" w:hAnsi="Palatino Linotype" w:cstheme="minorHAnsi"/>
          <w:sz w:val="22"/>
          <w:szCs w:val="22"/>
        </w:rPr>
        <w:t xml:space="preserve"> and calendar</w:t>
      </w:r>
      <w:r>
        <w:rPr>
          <w:rFonts w:ascii="Palatino Linotype" w:hAnsi="Palatino Linotype" w:cstheme="minorHAnsi"/>
          <w:sz w:val="22"/>
          <w:szCs w:val="22"/>
        </w:rPr>
        <w:t xml:space="preserve"> day adjusted</w:t>
      </w:r>
      <w:r w:rsidRPr="00247739">
        <w:rPr>
          <w:rFonts w:ascii="Palatino Linotype" w:hAnsi="Palatino Linotype" w:cstheme="minorHAnsi"/>
          <w:sz w:val="22"/>
          <w:szCs w:val="22"/>
        </w:rPr>
        <w:t xml:space="preserve"> </w:t>
      </w:r>
      <w:r w:rsidR="00070F11" w:rsidRPr="00247739">
        <w:rPr>
          <w:rFonts w:ascii="Palatino Linotype" w:hAnsi="Palatino Linotype" w:cstheme="minorHAnsi"/>
          <w:sz w:val="22"/>
          <w:szCs w:val="22"/>
        </w:rPr>
        <w:t xml:space="preserve">quarterly changes </w:t>
      </w:r>
      <w:r w:rsidRPr="00247739">
        <w:rPr>
          <w:rFonts w:ascii="Palatino Linotype" w:hAnsi="Palatino Linotype" w:cstheme="minorHAnsi"/>
          <w:sz w:val="22"/>
          <w:szCs w:val="22"/>
        </w:rPr>
        <w:t xml:space="preserve">(Table 2). Even though </w:t>
      </w:r>
      <w:r w:rsidR="00317618" w:rsidRPr="007D787D">
        <w:rPr>
          <w:rFonts w:ascii="Palatino Linotype" w:hAnsi="Palatino Linotype" w:cstheme="minorHAnsi"/>
          <w:sz w:val="22"/>
          <w:szCs w:val="22"/>
        </w:rPr>
        <w:lastRenderedPageBreak/>
        <w:t>Turkish Lira</w:t>
      </w:r>
      <w:r w:rsidRPr="007D787D">
        <w:rPr>
          <w:rFonts w:ascii="Palatino Linotype" w:hAnsi="Palatino Linotype" w:cstheme="minorHAnsi"/>
          <w:sz w:val="22"/>
          <w:szCs w:val="22"/>
        </w:rPr>
        <w:t xml:space="preserve"> </w:t>
      </w:r>
      <w:r w:rsidR="006D0B7D" w:rsidRPr="007D787D">
        <w:rPr>
          <w:rFonts w:ascii="Palatino Linotype" w:hAnsi="Palatino Linotype" w:cstheme="minorHAnsi"/>
          <w:sz w:val="22"/>
          <w:szCs w:val="22"/>
        </w:rPr>
        <w:t>did not appreciate</w:t>
      </w:r>
      <w:r w:rsidR="003E5A3D" w:rsidRPr="007D787D">
        <w:rPr>
          <w:rFonts w:ascii="Palatino Linotype" w:hAnsi="Palatino Linotype" w:cstheme="minorHAnsi"/>
          <w:sz w:val="22"/>
          <w:szCs w:val="22"/>
        </w:rPr>
        <w:t>,</w:t>
      </w:r>
      <w:r w:rsidR="006D0B7D" w:rsidRPr="007D787D">
        <w:rPr>
          <w:rFonts w:ascii="Palatino Linotype" w:hAnsi="Palatino Linotype" w:cstheme="minorHAnsi"/>
          <w:sz w:val="22"/>
          <w:szCs w:val="22"/>
        </w:rPr>
        <w:t xml:space="preserve"> the reason why imports increased </w:t>
      </w:r>
      <w:r w:rsidR="003E5A3D" w:rsidRPr="007D787D">
        <w:rPr>
          <w:rFonts w:ascii="Palatino Linotype" w:hAnsi="Palatino Linotype" w:cstheme="minorHAnsi"/>
          <w:sz w:val="22"/>
          <w:szCs w:val="22"/>
        </w:rPr>
        <w:t xml:space="preserve">so </w:t>
      </w:r>
      <w:r w:rsidR="006D0B7D" w:rsidRPr="007D787D">
        <w:rPr>
          <w:rFonts w:ascii="Palatino Linotype" w:hAnsi="Palatino Linotype" w:cstheme="minorHAnsi"/>
          <w:sz w:val="22"/>
          <w:szCs w:val="22"/>
        </w:rPr>
        <w:t xml:space="preserve">strongly might be attributed </w:t>
      </w:r>
      <w:r w:rsidR="003E5A3D" w:rsidRPr="007D787D">
        <w:rPr>
          <w:rFonts w:ascii="Palatino Linotype" w:hAnsi="Palatino Linotype" w:cstheme="minorHAnsi"/>
          <w:sz w:val="22"/>
          <w:szCs w:val="22"/>
        </w:rPr>
        <w:t xml:space="preserve">to the explosion in domestic demand </w:t>
      </w:r>
    </w:p>
    <w:p w14:paraId="14D66F5A" w14:textId="05E0AE93" w:rsidR="002F6884" w:rsidRPr="007D787D" w:rsidRDefault="003E5A3D" w:rsidP="002F6884">
      <w:pPr>
        <w:pStyle w:val="NormalWeb"/>
        <w:ind w:right="77"/>
        <w:rPr>
          <w:rFonts w:ascii="Palatino Linotype" w:hAnsi="Palatino Linotype" w:cstheme="minorHAnsi"/>
          <w:b/>
          <w:bCs/>
          <w:sz w:val="22"/>
          <w:szCs w:val="22"/>
        </w:rPr>
      </w:pPr>
      <w:r w:rsidRPr="007D787D">
        <w:rPr>
          <w:rFonts w:ascii="Palatino Linotype" w:hAnsi="Palatino Linotype" w:cstheme="minorHAnsi"/>
          <w:b/>
          <w:bCs/>
          <w:sz w:val="22"/>
          <w:szCs w:val="22"/>
        </w:rPr>
        <w:t>Weak c</w:t>
      </w:r>
      <w:r w:rsidR="00317618" w:rsidRPr="007D787D">
        <w:rPr>
          <w:rFonts w:ascii="Palatino Linotype" w:hAnsi="Palatino Linotype" w:cstheme="minorHAnsi"/>
          <w:b/>
          <w:bCs/>
          <w:sz w:val="22"/>
          <w:szCs w:val="22"/>
        </w:rPr>
        <w:t xml:space="preserve">ontribution of public spending </w:t>
      </w:r>
    </w:p>
    <w:p w14:paraId="1569360D" w14:textId="530A4B5C" w:rsidR="00317618" w:rsidRPr="007D787D" w:rsidRDefault="00317618" w:rsidP="002F6884">
      <w:pPr>
        <w:pStyle w:val="NormalWeb"/>
        <w:spacing w:line="360" w:lineRule="auto"/>
        <w:ind w:right="77"/>
        <w:jc w:val="both"/>
        <w:rPr>
          <w:rFonts w:ascii="Palatino Linotype" w:hAnsi="Palatino Linotype" w:cstheme="minorHAnsi"/>
          <w:sz w:val="22"/>
          <w:szCs w:val="22"/>
        </w:rPr>
      </w:pPr>
      <w:r w:rsidRPr="007D787D">
        <w:rPr>
          <w:rFonts w:ascii="Palatino Linotype" w:hAnsi="Palatino Linotype" w:cstheme="minorHAnsi"/>
          <w:sz w:val="22"/>
          <w:szCs w:val="22"/>
        </w:rPr>
        <w:t>The contribution</w:t>
      </w:r>
      <w:r w:rsidR="00294F61" w:rsidRPr="007D787D">
        <w:rPr>
          <w:rFonts w:ascii="Palatino Linotype" w:hAnsi="Palatino Linotype" w:cstheme="minorHAnsi"/>
          <w:sz w:val="22"/>
          <w:szCs w:val="22"/>
        </w:rPr>
        <w:t>s</w:t>
      </w:r>
      <w:r w:rsidRPr="007D787D">
        <w:rPr>
          <w:rFonts w:ascii="Palatino Linotype" w:hAnsi="Palatino Linotype" w:cstheme="minorHAnsi"/>
          <w:sz w:val="22"/>
          <w:szCs w:val="22"/>
        </w:rPr>
        <w:t xml:space="preserve"> of the </w:t>
      </w:r>
      <w:r w:rsidR="00070F11" w:rsidRPr="007D787D">
        <w:rPr>
          <w:rFonts w:ascii="Palatino Linotype" w:hAnsi="Palatino Linotype" w:cstheme="minorHAnsi"/>
          <w:sz w:val="22"/>
          <w:szCs w:val="22"/>
        </w:rPr>
        <w:t>government</w:t>
      </w:r>
      <w:r w:rsidRPr="007D787D">
        <w:rPr>
          <w:rFonts w:ascii="Palatino Linotype" w:hAnsi="Palatino Linotype" w:cstheme="minorHAnsi"/>
          <w:sz w:val="22"/>
          <w:szCs w:val="22"/>
        </w:rPr>
        <w:t xml:space="preserve"> consumption expenditure to annual</w:t>
      </w:r>
      <w:r w:rsidR="00227A08" w:rsidRPr="007D787D">
        <w:rPr>
          <w:rFonts w:ascii="Palatino Linotype" w:hAnsi="Palatino Linotype" w:cstheme="minorHAnsi"/>
          <w:sz w:val="22"/>
          <w:szCs w:val="22"/>
        </w:rPr>
        <w:t>ly</w:t>
      </w:r>
      <w:r w:rsidRPr="007D787D">
        <w:rPr>
          <w:rFonts w:ascii="Palatino Linotype" w:hAnsi="Palatino Linotype" w:cstheme="minorHAnsi"/>
          <w:sz w:val="22"/>
          <w:szCs w:val="22"/>
        </w:rPr>
        <w:t xml:space="preserve"> </w:t>
      </w:r>
      <w:r w:rsidR="00294F61" w:rsidRPr="007D787D">
        <w:rPr>
          <w:rFonts w:ascii="Palatino Linotype" w:hAnsi="Palatino Linotype" w:cstheme="minorHAnsi"/>
          <w:sz w:val="22"/>
          <w:szCs w:val="22"/>
        </w:rPr>
        <w:t xml:space="preserve">as well to quarterly </w:t>
      </w:r>
      <w:r w:rsidRPr="007D787D">
        <w:rPr>
          <w:rFonts w:ascii="Palatino Linotype" w:hAnsi="Palatino Linotype" w:cstheme="minorHAnsi"/>
          <w:sz w:val="22"/>
          <w:szCs w:val="22"/>
        </w:rPr>
        <w:t xml:space="preserve">growth </w:t>
      </w:r>
      <w:r w:rsidR="00294F61" w:rsidRPr="007D787D">
        <w:rPr>
          <w:rFonts w:ascii="Palatino Linotype" w:hAnsi="Palatino Linotype" w:cstheme="minorHAnsi"/>
          <w:sz w:val="22"/>
          <w:szCs w:val="22"/>
        </w:rPr>
        <w:t xml:space="preserve">are </w:t>
      </w:r>
      <w:r w:rsidRPr="007D787D">
        <w:rPr>
          <w:rFonts w:ascii="Palatino Linotype" w:hAnsi="Palatino Linotype" w:cstheme="minorHAnsi"/>
          <w:sz w:val="22"/>
          <w:szCs w:val="22"/>
        </w:rPr>
        <w:t>negligible</w:t>
      </w:r>
      <w:r w:rsidR="00294F61" w:rsidRPr="007D787D">
        <w:rPr>
          <w:rFonts w:ascii="Palatino Linotype" w:hAnsi="Palatino Linotype" w:cstheme="minorHAnsi"/>
          <w:sz w:val="22"/>
          <w:szCs w:val="22"/>
        </w:rPr>
        <w:t xml:space="preserve"> we may notice that there is a </w:t>
      </w:r>
      <w:r w:rsidR="007D787D" w:rsidRPr="007D787D">
        <w:rPr>
          <w:rFonts w:ascii="Palatino Linotype" w:hAnsi="Palatino Linotype" w:cstheme="minorHAnsi"/>
          <w:sz w:val="22"/>
          <w:szCs w:val="22"/>
        </w:rPr>
        <w:t>change in</w:t>
      </w:r>
      <w:bookmarkStart w:id="1" w:name="_GoBack"/>
      <w:bookmarkEnd w:id="1"/>
      <w:r w:rsidRPr="007D787D">
        <w:rPr>
          <w:rFonts w:ascii="Palatino Linotype" w:hAnsi="Palatino Linotype" w:cstheme="minorHAnsi"/>
          <w:sz w:val="22"/>
          <w:szCs w:val="22"/>
        </w:rPr>
        <w:t xml:space="preserve"> sign</w:t>
      </w:r>
      <w:r w:rsidR="00294F61" w:rsidRPr="007D787D">
        <w:rPr>
          <w:rFonts w:ascii="Palatino Linotype" w:hAnsi="Palatino Linotype" w:cstheme="minorHAnsi"/>
          <w:sz w:val="22"/>
          <w:szCs w:val="22"/>
        </w:rPr>
        <w:t xml:space="preserve"> regarding the contribution in quarterly growth</w:t>
      </w:r>
      <w:r w:rsidRPr="007D787D">
        <w:rPr>
          <w:rFonts w:ascii="Palatino Linotype" w:hAnsi="Palatino Linotype" w:cstheme="minorHAnsi"/>
          <w:sz w:val="22"/>
          <w:szCs w:val="22"/>
        </w:rPr>
        <w:t xml:space="preserve">. While the contribution to annual changes is positive (Table 1), we see that the quarterly </w:t>
      </w:r>
      <w:r w:rsidR="0015026C" w:rsidRPr="007D787D">
        <w:rPr>
          <w:rFonts w:ascii="Palatino Linotype" w:hAnsi="Palatino Linotype" w:cstheme="minorHAnsi"/>
          <w:sz w:val="22"/>
          <w:szCs w:val="22"/>
        </w:rPr>
        <w:t xml:space="preserve">seasonally and calendar day adjusted </w:t>
      </w:r>
      <w:r w:rsidRPr="007D787D">
        <w:rPr>
          <w:rFonts w:ascii="Palatino Linotype" w:hAnsi="Palatino Linotype" w:cstheme="minorHAnsi"/>
          <w:sz w:val="22"/>
          <w:szCs w:val="22"/>
        </w:rPr>
        <w:t>contribution is negative (Table 2).</w:t>
      </w:r>
    </w:p>
    <w:p w14:paraId="6BF39CF7" w14:textId="77777777" w:rsidR="002F6884" w:rsidRPr="007D787D" w:rsidRDefault="00935809" w:rsidP="002F6884">
      <w:pPr>
        <w:pStyle w:val="NormalWeb"/>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Our forecast performance is changing with TurkStat’s revisions</w:t>
      </w:r>
    </w:p>
    <w:p w14:paraId="2B32E5E9" w14:textId="62952FB8" w:rsidR="002A7673" w:rsidRPr="007D787D" w:rsidRDefault="00935809" w:rsidP="00B53557">
      <w:pPr>
        <w:pStyle w:val="NormalWeb"/>
        <w:spacing w:line="360" w:lineRule="auto"/>
        <w:ind w:right="77"/>
        <w:jc w:val="both"/>
        <w:rPr>
          <w:rFonts w:ascii="Palatino Linotype" w:hAnsi="Palatino Linotype" w:cstheme="minorHAnsi"/>
          <w:b/>
          <w:bCs/>
          <w:sz w:val="22"/>
          <w:szCs w:val="22"/>
        </w:rPr>
      </w:pPr>
      <w:r w:rsidRPr="007D787D">
        <w:rPr>
          <w:rFonts w:ascii="Palatino Linotype" w:hAnsi="Palatino Linotype" w:cstheme="minorHAnsi"/>
          <w:sz w:val="22"/>
          <w:szCs w:val="22"/>
        </w:rPr>
        <w:t>Betam's annual growth forecast for 2017 was 5.0 percent for the first quarter and 6.2 percent for the second quarter. TurkStat firstly announced the first quarter growth as 5.0 percent on January 12. Then, on September 11, while the first quarter growth rate was revised to 5.2 percent, the second quarter growth rate was announced as 5.1 percent. Finally, on December 11, the first and second quarter growth rates were updated to 5.3 percent and 5.4 percent respectively</w:t>
      </w:r>
      <w:r w:rsidR="002A7673" w:rsidRPr="007D787D">
        <w:rPr>
          <w:rFonts w:ascii="Palatino Linotype" w:hAnsi="Palatino Linotype" w:cstheme="minorHAnsi"/>
          <w:sz w:val="22"/>
          <w:szCs w:val="22"/>
        </w:rPr>
        <w:t>. We</w:t>
      </w:r>
      <w:r w:rsidRPr="007D787D">
        <w:rPr>
          <w:rFonts w:ascii="Palatino Linotype" w:hAnsi="Palatino Linotype" w:cstheme="minorHAnsi"/>
          <w:sz w:val="22"/>
          <w:szCs w:val="22"/>
        </w:rPr>
        <w:t xml:space="preserve"> need to mention that these revisions are much larger. It is difficult to talk about prediction success or failure </w:t>
      </w:r>
      <w:r w:rsidR="00294F61" w:rsidRPr="007D787D">
        <w:rPr>
          <w:rFonts w:ascii="Palatino Linotype" w:hAnsi="Palatino Linotype" w:cstheme="minorHAnsi"/>
          <w:sz w:val="22"/>
          <w:szCs w:val="22"/>
        </w:rPr>
        <w:t xml:space="preserve">when </w:t>
      </w:r>
      <w:r w:rsidRPr="007D787D">
        <w:rPr>
          <w:rFonts w:ascii="Palatino Linotype" w:hAnsi="Palatino Linotype" w:cstheme="minorHAnsi"/>
          <w:sz w:val="22"/>
          <w:szCs w:val="22"/>
        </w:rPr>
        <w:t xml:space="preserve">the growth figures change so often with revisions. We will take a closer look at this issue in </w:t>
      </w:r>
      <w:r w:rsidR="00294F61" w:rsidRPr="007D787D">
        <w:rPr>
          <w:rFonts w:ascii="Palatino Linotype" w:hAnsi="Palatino Linotype" w:cstheme="minorHAnsi"/>
          <w:sz w:val="22"/>
          <w:szCs w:val="22"/>
        </w:rPr>
        <w:t>a coming research brief</w:t>
      </w:r>
      <w:r w:rsidRPr="007D787D">
        <w:rPr>
          <w:rFonts w:ascii="Palatino Linotype" w:hAnsi="Palatino Linotype" w:cstheme="minorHAnsi"/>
          <w:sz w:val="22"/>
          <w:szCs w:val="22"/>
        </w:rPr>
        <w:t>.</w:t>
      </w:r>
    </w:p>
    <w:p w14:paraId="785752FE" w14:textId="3CDE8C49" w:rsidR="00113E0A" w:rsidRPr="007D787D" w:rsidRDefault="00113E0A" w:rsidP="002F6884">
      <w:pPr>
        <w:pStyle w:val="NormalWeb"/>
        <w:spacing w:before="0" w:beforeAutospacing="0" w:after="0" w:afterAutospacing="0"/>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r w:rsidR="002F6884" w:rsidRPr="007D787D">
        <w:rPr>
          <w:rFonts w:ascii="Palatino Linotype" w:hAnsi="Palatino Linotype" w:cstheme="minorHAnsi"/>
          <w:b/>
          <w:bCs/>
          <w:sz w:val="22"/>
          <w:szCs w:val="22"/>
        </w:rPr>
        <w:br/>
      </w:r>
    </w:p>
    <w:p w14:paraId="1C67CCB0" w14:textId="3C9FB8F8" w:rsidR="00A97679" w:rsidRDefault="00113E0A" w:rsidP="00A97679">
      <w:pPr>
        <w:pStyle w:val="NormalWeb"/>
        <w:spacing w:before="0" w:beforeAutospacing="0" w:after="0" w:afterAutospacing="0" w:line="360" w:lineRule="auto"/>
        <w:ind w:right="79"/>
        <w:jc w:val="both"/>
        <w:rPr>
          <w:rFonts w:ascii="Palatino Linotype" w:hAnsi="Palatino Linotype" w:cstheme="minorHAnsi"/>
          <w:b/>
          <w:bCs/>
          <w:sz w:val="22"/>
          <w:szCs w:val="22"/>
        </w:rPr>
      </w:pPr>
      <w:r w:rsidRPr="007D787D">
        <w:rPr>
          <w:rFonts w:ascii="Palatino Linotype" w:hAnsi="Palatino Linotype" w:cstheme="minorHAnsi"/>
          <w:bCs/>
          <w:sz w:val="22"/>
          <w:szCs w:val="22"/>
        </w:rPr>
        <w:t xml:space="preserve">The annual growth rate was expected to be high due to the base effect created by </w:t>
      </w:r>
      <w:r w:rsidR="00294F61" w:rsidRPr="007D787D">
        <w:rPr>
          <w:rFonts w:ascii="Palatino Linotype" w:hAnsi="Palatino Linotype" w:cstheme="minorHAnsi"/>
          <w:bCs/>
          <w:sz w:val="22"/>
          <w:szCs w:val="22"/>
        </w:rPr>
        <w:t xml:space="preserve">the contraction of Turkish economy </w:t>
      </w:r>
      <w:r w:rsidRPr="007D787D">
        <w:rPr>
          <w:rFonts w:ascii="Palatino Linotype" w:hAnsi="Palatino Linotype" w:cstheme="minorHAnsi"/>
          <w:bCs/>
          <w:sz w:val="22"/>
          <w:szCs w:val="22"/>
        </w:rPr>
        <w:t xml:space="preserve">in the third quarter of 2016, but it </w:t>
      </w:r>
      <w:r w:rsidR="00E9568F" w:rsidRPr="007D787D">
        <w:rPr>
          <w:rFonts w:ascii="Palatino Linotype" w:hAnsi="Palatino Linotype" w:cstheme="minorHAnsi"/>
          <w:bCs/>
          <w:sz w:val="22"/>
          <w:szCs w:val="22"/>
        </w:rPr>
        <w:t xml:space="preserve">finally announced much higher than </w:t>
      </w:r>
      <w:r w:rsidRPr="007D787D">
        <w:rPr>
          <w:rFonts w:ascii="Palatino Linotype" w:hAnsi="Palatino Linotype" w:cstheme="minorHAnsi"/>
          <w:bCs/>
          <w:sz w:val="22"/>
          <w:szCs w:val="22"/>
        </w:rPr>
        <w:t xml:space="preserve">expectations. However, as seen in Figure 2, seasonally and calendar day adjusted quarterly growth figures show a downward trend. We will share our first forecast of the annual growth rate </w:t>
      </w:r>
      <w:r w:rsidR="00E9568F" w:rsidRPr="007D787D">
        <w:rPr>
          <w:rFonts w:ascii="Palatino Linotype" w:hAnsi="Palatino Linotype" w:cstheme="minorHAnsi"/>
          <w:bCs/>
          <w:sz w:val="22"/>
          <w:szCs w:val="22"/>
        </w:rPr>
        <w:t>for</w:t>
      </w:r>
      <w:r w:rsidRPr="007D787D">
        <w:rPr>
          <w:rFonts w:ascii="Palatino Linotype" w:hAnsi="Palatino Linotype" w:cstheme="minorHAnsi"/>
          <w:bCs/>
          <w:sz w:val="22"/>
          <w:szCs w:val="22"/>
        </w:rPr>
        <w:t xml:space="preserve"> the last quarter next week. Although the annual growth rate </w:t>
      </w:r>
      <w:r w:rsidR="00E9568F" w:rsidRPr="007D787D">
        <w:rPr>
          <w:rFonts w:ascii="Palatino Linotype" w:hAnsi="Palatino Linotype" w:cstheme="minorHAnsi"/>
          <w:bCs/>
          <w:sz w:val="22"/>
          <w:szCs w:val="22"/>
        </w:rPr>
        <w:t xml:space="preserve">in the last quarter </w:t>
      </w:r>
      <w:r w:rsidRPr="007D787D">
        <w:rPr>
          <w:rFonts w:ascii="Palatino Linotype" w:hAnsi="Palatino Linotype" w:cstheme="minorHAnsi"/>
          <w:bCs/>
          <w:sz w:val="22"/>
          <w:szCs w:val="22"/>
        </w:rPr>
        <w:t xml:space="preserve">is </w:t>
      </w:r>
      <w:r w:rsidR="00E9568F" w:rsidRPr="007D787D">
        <w:rPr>
          <w:rFonts w:ascii="Palatino Linotype" w:hAnsi="Palatino Linotype" w:cstheme="minorHAnsi"/>
          <w:bCs/>
          <w:sz w:val="22"/>
          <w:szCs w:val="22"/>
        </w:rPr>
        <w:t xml:space="preserve">revealed </w:t>
      </w:r>
      <w:r w:rsidRPr="007D787D">
        <w:rPr>
          <w:rFonts w:ascii="Palatino Linotype" w:hAnsi="Palatino Linotype" w:cstheme="minorHAnsi"/>
          <w:bCs/>
          <w:sz w:val="22"/>
          <w:szCs w:val="22"/>
        </w:rPr>
        <w:t xml:space="preserve">relatively low, it is not difficult to predict that the 2017 total annual growth will be well above 5.5 percent in the OVP. </w:t>
      </w:r>
      <w:r w:rsidR="00321431" w:rsidRPr="007D787D">
        <w:rPr>
          <w:rFonts w:ascii="Palatino Linotype" w:hAnsi="Palatino Linotype" w:cstheme="minorHAnsi"/>
          <w:bCs/>
          <w:sz w:val="22"/>
          <w:szCs w:val="22"/>
        </w:rPr>
        <w:t>Since</w:t>
      </w:r>
      <w:r w:rsidRPr="007D787D">
        <w:rPr>
          <w:rFonts w:ascii="Palatino Linotype" w:hAnsi="Palatino Linotype" w:cstheme="minorHAnsi"/>
          <w:bCs/>
          <w:sz w:val="22"/>
          <w:szCs w:val="22"/>
        </w:rPr>
        <w:t xml:space="preserve"> this high growth </w:t>
      </w:r>
      <w:r w:rsidR="00321431" w:rsidRPr="007D787D">
        <w:rPr>
          <w:rFonts w:ascii="Palatino Linotype" w:hAnsi="Palatino Linotype" w:cstheme="minorHAnsi"/>
          <w:bCs/>
          <w:sz w:val="22"/>
          <w:szCs w:val="22"/>
        </w:rPr>
        <w:t xml:space="preserve">mostly </w:t>
      </w:r>
      <w:r w:rsidRPr="007D787D">
        <w:rPr>
          <w:rFonts w:ascii="Palatino Linotype" w:hAnsi="Palatino Linotype" w:cstheme="minorHAnsi"/>
          <w:bCs/>
          <w:sz w:val="22"/>
          <w:szCs w:val="22"/>
        </w:rPr>
        <w:t xml:space="preserve">depends on </w:t>
      </w:r>
      <w:r w:rsidR="00321431" w:rsidRPr="007D787D">
        <w:rPr>
          <w:rFonts w:ascii="Palatino Linotype" w:hAnsi="Palatino Linotype" w:cstheme="minorHAnsi"/>
          <w:bCs/>
          <w:sz w:val="22"/>
          <w:szCs w:val="22"/>
        </w:rPr>
        <w:t xml:space="preserve">incentives which stimulate the </w:t>
      </w:r>
      <w:r w:rsidR="00E9568F" w:rsidRPr="007D787D">
        <w:rPr>
          <w:rFonts w:ascii="Palatino Linotype" w:hAnsi="Palatino Linotype" w:cstheme="minorHAnsi"/>
          <w:bCs/>
          <w:sz w:val="22"/>
          <w:szCs w:val="22"/>
        </w:rPr>
        <w:t xml:space="preserve">domestic </w:t>
      </w:r>
      <w:r w:rsidR="00321431" w:rsidRPr="007D787D">
        <w:rPr>
          <w:rFonts w:ascii="Palatino Linotype" w:hAnsi="Palatino Linotype" w:cstheme="minorHAnsi"/>
          <w:bCs/>
          <w:sz w:val="22"/>
          <w:szCs w:val="22"/>
        </w:rPr>
        <w:t>demand</w:t>
      </w:r>
      <w:r w:rsidRPr="007D787D">
        <w:rPr>
          <w:rFonts w:ascii="Palatino Linotype" w:hAnsi="Palatino Linotype" w:cstheme="minorHAnsi"/>
          <w:bCs/>
          <w:sz w:val="22"/>
          <w:szCs w:val="22"/>
        </w:rPr>
        <w:t xml:space="preserve"> and they cannot be sustained </w:t>
      </w:r>
      <w:r w:rsidR="00E9568F" w:rsidRPr="007D787D">
        <w:rPr>
          <w:rFonts w:ascii="Palatino Linotype" w:hAnsi="Palatino Linotype" w:cstheme="minorHAnsi"/>
          <w:bCs/>
          <w:sz w:val="22"/>
          <w:szCs w:val="22"/>
        </w:rPr>
        <w:t>at</w:t>
      </w:r>
      <w:r w:rsidRPr="007D787D">
        <w:rPr>
          <w:rFonts w:ascii="Palatino Linotype" w:hAnsi="Palatino Linotype" w:cstheme="minorHAnsi"/>
          <w:bCs/>
          <w:sz w:val="22"/>
          <w:szCs w:val="22"/>
        </w:rPr>
        <w:t xml:space="preserve"> the same extent due to financial discipline concerns, we can say that the 5.5 percent growth targeted in the OVP for 2018-2020 </w:t>
      </w:r>
      <w:r w:rsidR="00E9568F" w:rsidRPr="007D787D">
        <w:rPr>
          <w:rFonts w:ascii="Palatino Linotype" w:hAnsi="Palatino Linotype" w:cstheme="minorHAnsi"/>
          <w:bCs/>
          <w:sz w:val="22"/>
          <w:szCs w:val="22"/>
        </w:rPr>
        <w:t>cannot be taken for granted</w:t>
      </w:r>
      <w:r w:rsidRPr="007D787D">
        <w:rPr>
          <w:rFonts w:ascii="Palatino Linotype" w:hAnsi="Palatino Linotype" w:cstheme="minorHAnsi"/>
          <w:bCs/>
          <w:sz w:val="22"/>
          <w:szCs w:val="22"/>
        </w:rPr>
        <w:t xml:space="preserve">. </w:t>
      </w:r>
      <w:r w:rsidR="00E9568F" w:rsidRPr="007D787D">
        <w:rPr>
          <w:rFonts w:ascii="Palatino Linotype" w:hAnsi="Palatino Linotype" w:cstheme="minorHAnsi"/>
          <w:bCs/>
          <w:sz w:val="22"/>
          <w:szCs w:val="22"/>
        </w:rPr>
        <w:t>Achieving this</w:t>
      </w:r>
      <w:r w:rsidR="00E9568F">
        <w:rPr>
          <w:rFonts w:ascii="Palatino Linotype" w:hAnsi="Palatino Linotype" w:cstheme="minorHAnsi"/>
          <w:bCs/>
          <w:sz w:val="22"/>
          <w:szCs w:val="22"/>
        </w:rPr>
        <w:t xml:space="preserve"> </w:t>
      </w:r>
      <w:r w:rsidR="00E9568F">
        <w:rPr>
          <w:rFonts w:ascii="Palatino Linotype" w:hAnsi="Palatino Linotype" w:cstheme="minorHAnsi"/>
          <w:bCs/>
          <w:sz w:val="22"/>
          <w:szCs w:val="22"/>
        </w:rPr>
        <w:lastRenderedPageBreak/>
        <w:t xml:space="preserve">targeted growth rate and sustain it in the coming years requires </w:t>
      </w:r>
      <w:r w:rsidR="00475688">
        <w:rPr>
          <w:rFonts w:ascii="Palatino Linotype" w:hAnsi="Palatino Linotype" w:cstheme="minorHAnsi"/>
          <w:bCs/>
          <w:sz w:val="22"/>
          <w:szCs w:val="22"/>
        </w:rPr>
        <w:t xml:space="preserve">policies that are able to enhance </w:t>
      </w:r>
      <w:r w:rsidR="00E9568F">
        <w:rPr>
          <w:rFonts w:ascii="Palatino Linotype" w:hAnsi="Palatino Linotype" w:cstheme="minorHAnsi"/>
          <w:bCs/>
          <w:sz w:val="22"/>
          <w:szCs w:val="22"/>
        </w:rPr>
        <w:t>“higher quality investment”</w:t>
      </w:r>
      <w:r w:rsidR="00475688">
        <w:rPr>
          <w:rFonts w:ascii="Palatino Linotype" w:hAnsi="Palatino Linotype" w:cstheme="minorHAnsi"/>
          <w:bCs/>
          <w:sz w:val="22"/>
          <w:szCs w:val="22"/>
        </w:rPr>
        <w:t xml:space="preserve"> improving productivity and competition</w:t>
      </w:r>
      <w:r w:rsidR="00E9568F">
        <w:rPr>
          <w:rFonts w:ascii="Palatino Linotype" w:hAnsi="Palatino Linotype" w:cstheme="minorHAnsi"/>
          <w:bCs/>
          <w:sz w:val="22"/>
          <w:szCs w:val="22"/>
        </w:rPr>
        <w:t xml:space="preserve"> instead of</w:t>
      </w:r>
      <w:r w:rsidR="00A97679">
        <w:rPr>
          <w:rFonts w:ascii="Palatino Linotype" w:hAnsi="Palatino Linotype" w:cstheme="minorHAnsi"/>
          <w:bCs/>
          <w:sz w:val="22"/>
          <w:szCs w:val="22"/>
        </w:rPr>
        <w:t xml:space="preserve"> </w:t>
      </w:r>
      <w:r w:rsidR="00E9568F">
        <w:rPr>
          <w:rFonts w:ascii="Palatino Linotype" w:hAnsi="Palatino Linotype" w:cstheme="minorHAnsi"/>
          <w:bCs/>
          <w:sz w:val="22"/>
          <w:szCs w:val="22"/>
        </w:rPr>
        <w:t>“more</w:t>
      </w:r>
      <w:r w:rsidR="007D787D">
        <w:rPr>
          <w:rFonts w:ascii="Palatino Linotype" w:hAnsi="Palatino Linotype" w:cstheme="minorHAnsi"/>
          <w:bCs/>
          <w:sz w:val="22"/>
          <w:szCs w:val="22"/>
        </w:rPr>
        <w:t xml:space="preserve"> </w:t>
      </w:r>
      <w:r w:rsidR="00E9568F">
        <w:rPr>
          <w:rFonts w:ascii="Palatino Linotype" w:hAnsi="Palatino Linotype" w:cstheme="minorHAnsi"/>
          <w:bCs/>
          <w:sz w:val="22"/>
          <w:szCs w:val="22"/>
        </w:rPr>
        <w:t>investment”</w:t>
      </w:r>
      <w:r w:rsidR="00475688">
        <w:rPr>
          <w:rFonts w:ascii="Palatino Linotype" w:hAnsi="Palatino Linotype" w:cstheme="minorHAnsi"/>
          <w:bCs/>
          <w:sz w:val="22"/>
          <w:szCs w:val="22"/>
        </w:rPr>
        <w:t>.</w:t>
      </w:r>
      <w:r w:rsidR="00E9568F">
        <w:rPr>
          <w:rFonts w:ascii="Palatino Linotype" w:hAnsi="Palatino Linotype" w:cstheme="minorHAnsi"/>
          <w:bCs/>
          <w:sz w:val="22"/>
          <w:szCs w:val="22"/>
        </w:rPr>
        <w:t xml:space="preserve">  </w:t>
      </w:r>
      <w:r w:rsidR="00620CE3" w:rsidRPr="00E9568F">
        <w:rPr>
          <w:rFonts w:ascii="Palatino Linotype" w:hAnsi="Palatino Linotype" w:cstheme="minorHAnsi"/>
          <w:bCs/>
          <w:sz w:val="22"/>
          <w:szCs w:val="22"/>
        </w:rPr>
        <w:br/>
      </w:r>
    </w:p>
    <w:p w14:paraId="668D9A1C" w14:textId="7131BE8B" w:rsidR="00620CE3" w:rsidRDefault="00620CE3" w:rsidP="002F688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t>Figure</w:t>
      </w:r>
      <w:r w:rsidRPr="00924CD9">
        <w:rPr>
          <w:rFonts w:ascii="Palatino Linotype" w:hAnsi="Palatino Linotype" w:cstheme="minorHAnsi"/>
          <w:b/>
          <w:bCs/>
          <w:sz w:val="22"/>
          <w:szCs w:val="22"/>
        </w:rPr>
        <w:t xml:space="preserve"> 2: </w:t>
      </w:r>
      <w:r w:rsidRPr="00321431">
        <w:rPr>
          <w:rFonts w:ascii="Palatino Linotype" w:hAnsi="Palatino Linotype" w:cstheme="minorHAnsi"/>
          <w:b/>
          <w:bCs/>
          <w:sz w:val="22"/>
          <w:szCs w:val="22"/>
        </w:rPr>
        <w:t>GDP growth rates compared to the previous quarter and same quarter of last year</w:t>
      </w:r>
    </w:p>
    <w:p w14:paraId="615E09C6" w14:textId="77777777" w:rsidR="00620CE3" w:rsidRDefault="00620CE3" w:rsidP="00620CE3">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lang w:val="tr-TR"/>
        </w:rPr>
        <w:drawing>
          <wp:inline distT="0" distB="0" distL="0" distR="0" wp14:anchorId="61952510" wp14:editId="31BBB9A5">
            <wp:extent cx="5760720" cy="3622040"/>
            <wp:effectExtent l="0" t="0" r="11430" b="16510"/>
            <wp:docPr id="4" name="Grafik 4">
              <a:extLst xmlns:a="http://schemas.openxmlformats.org/drawingml/2006/main">
                <a:ext uri="{FF2B5EF4-FFF2-40B4-BE49-F238E27FC236}">
                  <a16:creationId xmlns:a16="http://schemas.microsoft.com/office/drawing/2014/main" id="{A8A001B5-403D-4486-A249-019519B12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A9D674" w14:textId="77777777" w:rsidR="00620CE3" w:rsidRDefault="00620CE3" w:rsidP="00620CE3">
      <w:pPr>
        <w:keepNext/>
        <w:rPr>
          <w:rFonts w:ascii="Palatino Linotype" w:hAnsi="Palatino Linotype" w:cstheme="minorHAnsi"/>
          <w:sz w:val="18"/>
          <w:szCs w:val="18"/>
        </w:rPr>
      </w:pPr>
      <w:r w:rsidRPr="00321431">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r>
        <w:rPr>
          <w:rFonts w:ascii="Palatino Linotype" w:hAnsi="Palatino Linotype" w:cstheme="minorHAnsi"/>
          <w:sz w:val="18"/>
          <w:szCs w:val="18"/>
        </w:rPr>
        <w:t>TurkStat</w:t>
      </w:r>
      <w:r w:rsidRPr="003E1EED">
        <w:rPr>
          <w:rFonts w:ascii="Palatino Linotype" w:hAnsi="Palatino Linotype" w:cstheme="minorHAnsi"/>
          <w:sz w:val="18"/>
          <w:szCs w:val="18"/>
        </w:rPr>
        <w:t xml:space="preserve">, Betam. </w:t>
      </w:r>
    </w:p>
    <w:p w14:paraId="40E43404" w14:textId="4D6CEB59" w:rsidR="00113E0A" w:rsidRPr="00113E0A" w:rsidRDefault="00113E0A" w:rsidP="00113E0A">
      <w:pPr>
        <w:pStyle w:val="NormalWeb"/>
        <w:spacing w:before="0" w:beforeAutospacing="0" w:after="0" w:afterAutospacing="0" w:line="360" w:lineRule="auto"/>
        <w:ind w:right="77"/>
        <w:rPr>
          <w:rFonts w:ascii="Palatino Linotype" w:hAnsi="Palatino Linotype" w:cstheme="minorHAnsi"/>
          <w:bCs/>
          <w:sz w:val="22"/>
          <w:szCs w:val="22"/>
        </w:rPr>
      </w:pPr>
    </w:p>
    <w:p w14:paraId="2EDEDDF0" w14:textId="3FF5407B" w:rsidR="00B53557" w:rsidRPr="003E1EED" w:rsidRDefault="00B53557" w:rsidP="00B53557">
      <w:pPr>
        <w:keepNext/>
        <w:rPr>
          <w:rFonts w:ascii="Palatino Linotype" w:hAnsi="Palatino Linotype" w:cstheme="minorHAnsi"/>
          <w:sz w:val="22"/>
          <w:szCs w:val="22"/>
        </w:rPr>
      </w:pPr>
      <w:r>
        <w:rPr>
          <w:rFonts w:ascii="Palatino Linotype" w:hAnsi="Palatino Linotype" w:cstheme="minorHAnsi"/>
          <w:b/>
          <w:sz w:val="22"/>
          <w:szCs w:val="22"/>
        </w:rPr>
        <w:lastRenderedPageBreak/>
        <w:t>Additional Figure</w:t>
      </w:r>
      <w:r w:rsidRPr="003E1EED">
        <w:rPr>
          <w:rFonts w:ascii="Palatino Linotype" w:hAnsi="Palatino Linotype" w:cstheme="minorHAnsi"/>
          <w:b/>
          <w:sz w:val="22"/>
          <w:szCs w:val="22"/>
        </w:rPr>
        <w:t xml:space="preserve"> 1</w:t>
      </w:r>
      <w:r>
        <w:rPr>
          <w:rFonts w:ascii="Palatino Linotype" w:hAnsi="Palatino Linotype" w:cstheme="minorHAnsi"/>
          <w:b/>
          <w:sz w:val="22"/>
          <w:szCs w:val="22"/>
        </w:rPr>
        <w:t>:</w:t>
      </w:r>
      <w:r w:rsidRPr="003E1EED">
        <w:rPr>
          <w:rFonts w:ascii="Palatino Linotype" w:hAnsi="Palatino Linotype" w:cstheme="minorHAnsi"/>
          <w:sz w:val="22"/>
          <w:szCs w:val="22"/>
        </w:rPr>
        <w:t xml:space="preserve"> </w:t>
      </w:r>
      <w:r w:rsidR="005C6542" w:rsidRPr="009B57F6">
        <w:rPr>
          <w:rFonts w:ascii="Palatino Linotype" w:hAnsi="Palatino Linotype" w:cstheme="minorHAnsi"/>
          <w:sz w:val="22"/>
          <w:szCs w:val="22"/>
        </w:rPr>
        <w:t xml:space="preserve">2010-2017 </w:t>
      </w:r>
      <w:r w:rsidR="005C6542">
        <w:rPr>
          <w:rFonts w:ascii="Palatino Linotype" w:hAnsi="Palatino Linotype" w:cstheme="minorHAnsi"/>
          <w:sz w:val="22"/>
          <w:szCs w:val="22"/>
        </w:rPr>
        <w:t>Changing</w:t>
      </w:r>
      <w:r w:rsidR="005C6542" w:rsidRPr="009B57F6">
        <w:rPr>
          <w:rFonts w:ascii="Palatino Linotype" w:hAnsi="Palatino Linotype" w:cstheme="minorHAnsi"/>
          <w:sz w:val="22"/>
          <w:szCs w:val="22"/>
        </w:rPr>
        <w:t xml:space="preserve"> of Treasury-backed </w:t>
      </w:r>
      <w:r w:rsidR="005C6542">
        <w:rPr>
          <w:rFonts w:ascii="Palatino Linotype" w:hAnsi="Palatino Linotype" w:cstheme="minorHAnsi"/>
          <w:sz w:val="22"/>
          <w:szCs w:val="22"/>
        </w:rPr>
        <w:t>Securities</w:t>
      </w:r>
    </w:p>
    <w:p w14:paraId="36F51C6D" w14:textId="77777777" w:rsidR="00B53557" w:rsidRPr="00924CD9" w:rsidRDefault="00B53557" w:rsidP="00683311">
      <w:pPr>
        <w:keepNext/>
        <w:ind w:left="-1134"/>
        <w:jc w:val="right"/>
        <w:rPr>
          <w:rFonts w:ascii="Palatino Linotype" w:hAnsi="Palatino Linotype" w:cstheme="minorHAnsi"/>
        </w:rPr>
      </w:pPr>
      <w:r>
        <w:rPr>
          <w:rFonts w:ascii="Palatino Linotype" w:hAnsi="Palatino Linotype" w:cstheme="minorHAnsi"/>
          <w:noProof/>
          <w:lang w:val="tr-TR"/>
        </w:rPr>
        <w:drawing>
          <wp:inline distT="0" distB="0" distL="0" distR="0" wp14:anchorId="478363DF" wp14:editId="566B629A">
            <wp:extent cx="5808814" cy="28230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3988" cy="2864485"/>
                    </a:xfrm>
                    <a:prstGeom prst="rect">
                      <a:avLst/>
                    </a:prstGeom>
                    <a:noFill/>
                    <a:ln>
                      <a:noFill/>
                    </a:ln>
                  </pic:spPr>
                </pic:pic>
              </a:graphicData>
            </a:graphic>
          </wp:inline>
        </w:drawing>
      </w:r>
    </w:p>
    <w:p w14:paraId="74504C13" w14:textId="77777777" w:rsidR="00B53557" w:rsidRPr="003E1EED" w:rsidRDefault="00B53557" w:rsidP="00B53557">
      <w:pPr>
        <w:keepNext/>
        <w:rPr>
          <w:rFonts w:ascii="Palatino Linotype" w:hAnsi="Palatino Linotype" w:cstheme="minorHAnsi"/>
          <w:sz w:val="18"/>
          <w:szCs w:val="18"/>
        </w:rPr>
      </w:pPr>
      <w:r w:rsidRPr="00620CE3">
        <w:rPr>
          <w:rFonts w:ascii="Palatino Linotype" w:hAnsi="Palatino Linotype" w:cstheme="minorHAnsi"/>
          <w:b/>
          <w:sz w:val="18"/>
          <w:szCs w:val="18"/>
        </w:rPr>
        <w:t>Source:</w:t>
      </w:r>
      <w:r w:rsidRPr="003E1EED">
        <w:rPr>
          <w:rFonts w:ascii="Palatino Linotype" w:hAnsi="Palatino Linotype" w:cstheme="minorHAnsi"/>
          <w:sz w:val="18"/>
          <w:szCs w:val="18"/>
        </w:rPr>
        <w:t xml:space="preserve"> KGF, </w:t>
      </w:r>
      <w:hyperlink r:id="rId13" w:history="1">
        <w:r w:rsidRPr="003E1EED">
          <w:rPr>
            <w:rStyle w:val="Kpr"/>
            <w:rFonts w:ascii="Palatino Linotype" w:hAnsi="Palatino Linotype" w:cs="Arial"/>
            <w:sz w:val="18"/>
            <w:szCs w:val="18"/>
          </w:rPr>
          <w:t>http://www.kgf.com.tr/index.php/tr/bilgi-merkezi/rakamlarla-kgf</w:t>
        </w:r>
      </w:hyperlink>
    </w:p>
    <w:p w14:paraId="728FE7BB" w14:textId="77777777" w:rsidR="00620CE3" w:rsidRPr="00924CD9" w:rsidRDefault="00620CE3" w:rsidP="00620CE3">
      <w:pPr>
        <w:keepNext/>
        <w:rPr>
          <w:rFonts w:ascii="Palatino Linotype" w:hAnsi="Palatino Linotype" w:cstheme="minorHAnsi"/>
        </w:rPr>
      </w:pPr>
    </w:p>
    <w:p w14:paraId="76A5DAFB" w14:textId="77777777" w:rsidR="00E41840" w:rsidRPr="00924CD9" w:rsidRDefault="00E41840" w:rsidP="00E41840">
      <w:pPr>
        <w:keepNext/>
        <w:rPr>
          <w:rFonts w:ascii="Palatino Linotype" w:hAnsi="Palatino Linotype" w:cstheme="minorHAnsi"/>
        </w:rPr>
      </w:pPr>
    </w:p>
    <w:p w14:paraId="3CA6E0CA" w14:textId="5ABD5BA7"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C4C7" w14:textId="77777777" w:rsidR="005D255A" w:rsidRDefault="005D255A" w:rsidP="00DA0C5D">
      <w:r>
        <w:separator/>
      </w:r>
    </w:p>
  </w:endnote>
  <w:endnote w:type="continuationSeparator" w:id="0">
    <w:p w14:paraId="2410C55F" w14:textId="77777777" w:rsidR="005D255A" w:rsidRDefault="005D255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DC60" w14:textId="77777777" w:rsidR="005D255A" w:rsidRDefault="005D255A" w:rsidP="00DA0C5D">
      <w:r>
        <w:separator/>
      </w:r>
    </w:p>
  </w:footnote>
  <w:footnote w:type="continuationSeparator" w:id="0">
    <w:p w14:paraId="179CEB67" w14:textId="77777777" w:rsidR="005D255A" w:rsidRDefault="005D255A" w:rsidP="00DA0C5D">
      <w:r>
        <w:continuationSeparator/>
      </w:r>
    </w:p>
  </w:footnote>
  <w:footnote w:id="1">
    <w:p w14:paraId="6937C661" w14:textId="77777777" w:rsidR="003172DB" w:rsidRDefault="003172DB" w:rsidP="003172DB">
      <w:pPr>
        <w:pStyle w:val="DipnotMetni"/>
      </w:pPr>
      <w:r>
        <w:rPr>
          <w:rStyle w:val="DipnotBavurusu"/>
        </w:rPr>
        <w:footnoteRef/>
      </w:r>
      <w:r>
        <w:t xml:space="preserve"> Betam, Dire</w:t>
      </w:r>
      <w:r w:rsidR="003E0902">
        <w:t>ctor</w:t>
      </w:r>
      <w:r>
        <w:t>, seyfettin.gursel@eas.bahcesehir.edu.tr</w:t>
      </w:r>
    </w:p>
  </w:footnote>
  <w:footnote w:id="2">
    <w:p w14:paraId="1BC25AAC" w14:textId="77777777" w:rsidR="00C32789" w:rsidRDefault="00C32789">
      <w:pPr>
        <w:pStyle w:val="DipnotMetni"/>
      </w:pPr>
      <w:r>
        <w:rPr>
          <w:rStyle w:val="DipnotBavurusu"/>
        </w:rPr>
        <w:footnoteRef/>
      </w:r>
      <w:r w:rsidR="001537D8">
        <w:t xml:space="preserve"> </w:t>
      </w:r>
      <w:r>
        <w:t>Betam, ozan.bakis@eas.bau.edu.tr</w:t>
      </w:r>
    </w:p>
  </w:footnote>
  <w:footnote w:id="3">
    <w:p w14:paraId="0A1D2D63" w14:textId="77777777" w:rsidR="001537D8" w:rsidRDefault="001537D8" w:rsidP="001537D8">
      <w:pPr>
        <w:pStyle w:val="DipnotMetni"/>
      </w:pPr>
      <w:r>
        <w:rPr>
          <w:rStyle w:val="DipnotBavurusu"/>
        </w:rPr>
        <w:footnoteRef/>
      </w:r>
      <w:r>
        <w:t xml:space="preserve"> Betam, ugurcan.acar@eas.bau.edu.tr </w:t>
      </w:r>
    </w:p>
  </w:footnote>
  <w:footnote w:id="4">
    <w:p w14:paraId="1C62EB96" w14:textId="77777777" w:rsidR="00A71F3D" w:rsidRPr="00A71F3D" w:rsidRDefault="00A71F3D">
      <w:pPr>
        <w:pStyle w:val="DipnotMetni"/>
        <w:rPr>
          <w:lang w:val="tr-TR"/>
        </w:rPr>
      </w:pPr>
      <w:r>
        <w:rPr>
          <w:rStyle w:val="DipnotBavurusu"/>
        </w:rPr>
        <w:footnoteRef/>
      </w:r>
      <w:r>
        <w:t xml:space="preserve"> </w:t>
      </w:r>
      <w:r w:rsidRPr="00A71F3D">
        <w:t xml:space="preserve">The amount of support the </w:t>
      </w:r>
      <w:r>
        <w:t>KGF</w:t>
      </w:r>
      <w:r w:rsidRPr="00A71F3D">
        <w:t xml:space="preserve"> received from the Treasury increased to 2 billion</w:t>
      </w:r>
      <w:r>
        <w:t xml:space="preserve"> TL</w:t>
      </w:r>
      <w:r w:rsidRPr="00A71F3D">
        <w:t xml:space="preserve"> in 201</w:t>
      </w:r>
      <w:r>
        <w:t>5</w:t>
      </w:r>
      <w:r w:rsidRPr="00A71F3D">
        <w:t xml:space="preserve"> and then 2</w:t>
      </w:r>
      <w:r>
        <w:t>5</w:t>
      </w:r>
      <w:r w:rsidRPr="00A71F3D">
        <w:t xml:space="preserve"> billion</w:t>
      </w:r>
      <w:r>
        <w:t xml:space="preserve"> TL</w:t>
      </w:r>
      <w:r w:rsidRPr="00A71F3D">
        <w:t xml:space="preserve"> in 2015. In 2017, the total amount of bail given by KGF was limited to</w:t>
      </w:r>
      <w:r>
        <w:t xml:space="preserve"> </w:t>
      </w:r>
      <w:r w:rsidRPr="00A71F3D">
        <w:t>250 billion</w:t>
      </w:r>
      <w:r>
        <w:t xml:space="preserve"> TL. See Additional Figure 1 and http://www.kgf.com.tr/index.php/tr/bilgi-merkezi/rakamlarla-kgf </w:t>
      </w:r>
      <w:r w:rsidR="00C34FEA">
        <w:t xml:space="preserve">and </w:t>
      </w:r>
      <w:r>
        <w:t>http://www.kgf.com.tr/index.php/tr/desteklerimiz/kaynaklarimiz/hazine-mustesarligi-fonu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02F9A"/>
    <w:rsid w:val="000119F9"/>
    <w:rsid w:val="00041FB7"/>
    <w:rsid w:val="00054943"/>
    <w:rsid w:val="00055EA1"/>
    <w:rsid w:val="000652B6"/>
    <w:rsid w:val="00070F11"/>
    <w:rsid w:val="00096CDA"/>
    <w:rsid w:val="000978C8"/>
    <w:rsid w:val="000A612E"/>
    <w:rsid w:val="000C634D"/>
    <w:rsid w:val="000D5FD3"/>
    <w:rsid w:val="0011258F"/>
    <w:rsid w:val="00113E0A"/>
    <w:rsid w:val="0012527F"/>
    <w:rsid w:val="00140468"/>
    <w:rsid w:val="0014542A"/>
    <w:rsid w:val="0015026C"/>
    <w:rsid w:val="001537D8"/>
    <w:rsid w:val="001B3A44"/>
    <w:rsid w:val="001C2C68"/>
    <w:rsid w:val="001C65BF"/>
    <w:rsid w:val="001D5B02"/>
    <w:rsid w:val="001D6465"/>
    <w:rsid w:val="001F7B1D"/>
    <w:rsid w:val="001F7BC7"/>
    <w:rsid w:val="002106DF"/>
    <w:rsid w:val="00212579"/>
    <w:rsid w:val="00214914"/>
    <w:rsid w:val="0022673E"/>
    <w:rsid w:val="00227A08"/>
    <w:rsid w:val="00236056"/>
    <w:rsid w:val="00247739"/>
    <w:rsid w:val="00275745"/>
    <w:rsid w:val="00282242"/>
    <w:rsid w:val="0028498B"/>
    <w:rsid w:val="00294F61"/>
    <w:rsid w:val="0029624E"/>
    <w:rsid w:val="002A07A9"/>
    <w:rsid w:val="002A7673"/>
    <w:rsid w:val="002C5C24"/>
    <w:rsid w:val="002D5820"/>
    <w:rsid w:val="002F6884"/>
    <w:rsid w:val="003172DB"/>
    <w:rsid w:val="00317618"/>
    <w:rsid w:val="00321431"/>
    <w:rsid w:val="00334E27"/>
    <w:rsid w:val="00344A74"/>
    <w:rsid w:val="00365DAB"/>
    <w:rsid w:val="003967B5"/>
    <w:rsid w:val="003A0146"/>
    <w:rsid w:val="003A488B"/>
    <w:rsid w:val="003C2891"/>
    <w:rsid w:val="003D44CE"/>
    <w:rsid w:val="003E0902"/>
    <w:rsid w:val="003E1EED"/>
    <w:rsid w:val="003E5A3D"/>
    <w:rsid w:val="00414150"/>
    <w:rsid w:val="00431C38"/>
    <w:rsid w:val="00433A75"/>
    <w:rsid w:val="0044231D"/>
    <w:rsid w:val="00451A8A"/>
    <w:rsid w:val="00475688"/>
    <w:rsid w:val="00483EC5"/>
    <w:rsid w:val="00490E51"/>
    <w:rsid w:val="004931A5"/>
    <w:rsid w:val="004F0543"/>
    <w:rsid w:val="00510883"/>
    <w:rsid w:val="0053582F"/>
    <w:rsid w:val="0053586E"/>
    <w:rsid w:val="0054145E"/>
    <w:rsid w:val="00563C88"/>
    <w:rsid w:val="00582521"/>
    <w:rsid w:val="005912A1"/>
    <w:rsid w:val="005C6542"/>
    <w:rsid w:val="005D255A"/>
    <w:rsid w:val="00620CE3"/>
    <w:rsid w:val="00625B95"/>
    <w:rsid w:val="0064012D"/>
    <w:rsid w:val="00643113"/>
    <w:rsid w:val="006439C5"/>
    <w:rsid w:val="00647318"/>
    <w:rsid w:val="006549E3"/>
    <w:rsid w:val="006703B7"/>
    <w:rsid w:val="00681022"/>
    <w:rsid w:val="00681AD9"/>
    <w:rsid w:val="00683311"/>
    <w:rsid w:val="00694F52"/>
    <w:rsid w:val="006C3EE6"/>
    <w:rsid w:val="006D0B7D"/>
    <w:rsid w:val="006D1DD6"/>
    <w:rsid w:val="006D32A0"/>
    <w:rsid w:val="00711A8A"/>
    <w:rsid w:val="00724E7C"/>
    <w:rsid w:val="00731AF8"/>
    <w:rsid w:val="00773D8B"/>
    <w:rsid w:val="00783CD4"/>
    <w:rsid w:val="007B70AD"/>
    <w:rsid w:val="007D4953"/>
    <w:rsid w:val="007D787D"/>
    <w:rsid w:val="007F3C9B"/>
    <w:rsid w:val="00817A10"/>
    <w:rsid w:val="0084500C"/>
    <w:rsid w:val="00845A54"/>
    <w:rsid w:val="00865CE6"/>
    <w:rsid w:val="008C6F06"/>
    <w:rsid w:val="008C70C5"/>
    <w:rsid w:val="008F030E"/>
    <w:rsid w:val="008F1741"/>
    <w:rsid w:val="008F3A50"/>
    <w:rsid w:val="008F49E7"/>
    <w:rsid w:val="00924CD9"/>
    <w:rsid w:val="00935809"/>
    <w:rsid w:val="00963B04"/>
    <w:rsid w:val="00982F71"/>
    <w:rsid w:val="009A71AF"/>
    <w:rsid w:val="009B1546"/>
    <w:rsid w:val="009B651F"/>
    <w:rsid w:val="009D3CEB"/>
    <w:rsid w:val="009E68C6"/>
    <w:rsid w:val="00A160F5"/>
    <w:rsid w:val="00A310EA"/>
    <w:rsid w:val="00A46C4A"/>
    <w:rsid w:val="00A50FB7"/>
    <w:rsid w:val="00A550B2"/>
    <w:rsid w:val="00A6165E"/>
    <w:rsid w:val="00A675D3"/>
    <w:rsid w:val="00A719DB"/>
    <w:rsid w:val="00A71F3D"/>
    <w:rsid w:val="00A842EA"/>
    <w:rsid w:val="00A874DA"/>
    <w:rsid w:val="00A97679"/>
    <w:rsid w:val="00AE59EE"/>
    <w:rsid w:val="00B27C9F"/>
    <w:rsid w:val="00B53557"/>
    <w:rsid w:val="00B703D3"/>
    <w:rsid w:val="00B808FF"/>
    <w:rsid w:val="00B82B92"/>
    <w:rsid w:val="00BB5725"/>
    <w:rsid w:val="00C11B5A"/>
    <w:rsid w:val="00C32789"/>
    <w:rsid w:val="00C34C5C"/>
    <w:rsid w:val="00C34FEA"/>
    <w:rsid w:val="00C35660"/>
    <w:rsid w:val="00C5056E"/>
    <w:rsid w:val="00C57749"/>
    <w:rsid w:val="00C82B14"/>
    <w:rsid w:val="00C97FD1"/>
    <w:rsid w:val="00CA234B"/>
    <w:rsid w:val="00CB3462"/>
    <w:rsid w:val="00CB767C"/>
    <w:rsid w:val="00CC79C0"/>
    <w:rsid w:val="00CF5053"/>
    <w:rsid w:val="00D07713"/>
    <w:rsid w:val="00D257C1"/>
    <w:rsid w:val="00D30DDE"/>
    <w:rsid w:val="00D31197"/>
    <w:rsid w:val="00D35D40"/>
    <w:rsid w:val="00D4574F"/>
    <w:rsid w:val="00D53424"/>
    <w:rsid w:val="00D56304"/>
    <w:rsid w:val="00D90931"/>
    <w:rsid w:val="00DA0C5D"/>
    <w:rsid w:val="00DD6027"/>
    <w:rsid w:val="00E23E54"/>
    <w:rsid w:val="00E306CB"/>
    <w:rsid w:val="00E41840"/>
    <w:rsid w:val="00E57043"/>
    <w:rsid w:val="00E667CB"/>
    <w:rsid w:val="00E750CC"/>
    <w:rsid w:val="00E82940"/>
    <w:rsid w:val="00E85F3F"/>
    <w:rsid w:val="00E9568F"/>
    <w:rsid w:val="00EB476F"/>
    <w:rsid w:val="00EC136E"/>
    <w:rsid w:val="00EC2814"/>
    <w:rsid w:val="00EE150B"/>
    <w:rsid w:val="00EF09A7"/>
    <w:rsid w:val="00F0076E"/>
    <w:rsid w:val="00F118B1"/>
    <w:rsid w:val="00F22A71"/>
    <w:rsid w:val="00F27D86"/>
    <w:rsid w:val="00F46A54"/>
    <w:rsid w:val="00F5130C"/>
    <w:rsid w:val="00F70EC7"/>
    <w:rsid w:val="00F87871"/>
    <w:rsid w:val="00F94113"/>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247739"/>
    <w:rPr>
      <w:sz w:val="16"/>
      <w:szCs w:val="16"/>
    </w:rPr>
  </w:style>
  <w:style w:type="paragraph" w:styleId="AklamaMetni">
    <w:name w:val="annotation text"/>
    <w:basedOn w:val="Normal"/>
    <w:link w:val="AklamaMetniChar"/>
    <w:uiPriority w:val="99"/>
    <w:semiHidden/>
    <w:unhideWhenUsed/>
    <w:rsid w:val="00247739"/>
    <w:rPr>
      <w:sz w:val="20"/>
      <w:szCs w:val="20"/>
    </w:rPr>
  </w:style>
  <w:style w:type="character" w:customStyle="1" w:styleId="AklamaMetniChar">
    <w:name w:val="Açıklama Metni Char"/>
    <w:basedOn w:val="VarsaylanParagrafYazTipi"/>
    <w:link w:val="AklamaMetni"/>
    <w:uiPriority w:val="99"/>
    <w:semiHidden/>
    <w:rsid w:val="00247739"/>
    <w:rPr>
      <w:rFonts w:ascii="Times New Roman"/>
      <w:sz w:val="20"/>
      <w:szCs w:val="20"/>
      <w:lang w:eastAsia="tr-TR"/>
    </w:rPr>
  </w:style>
  <w:style w:type="paragraph" w:styleId="AklamaKonusu">
    <w:name w:val="annotation subject"/>
    <w:basedOn w:val="AklamaMetni"/>
    <w:next w:val="AklamaMetni"/>
    <w:link w:val="AklamaKonusuChar"/>
    <w:uiPriority w:val="99"/>
    <w:semiHidden/>
    <w:unhideWhenUsed/>
    <w:rsid w:val="00247739"/>
    <w:rPr>
      <w:b/>
      <w:bCs/>
    </w:rPr>
  </w:style>
  <w:style w:type="character" w:customStyle="1" w:styleId="AklamaKonusuChar">
    <w:name w:val="Açıklama Konusu Char"/>
    <w:basedOn w:val="AklamaMetniChar"/>
    <w:link w:val="AklamaKonusu"/>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gf.com.tr/index.php/tr/bilgi-merkezi/rakamlarla-k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'2017Q3'!$F$3</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Consumption</c:v>
                </c:pt>
                <c:pt idx="1">
                  <c:v>Government Spending</c:v>
                </c:pt>
                <c:pt idx="2">
                  <c:v>Investment</c:v>
                </c:pt>
                <c:pt idx="3">
                  <c:v>Change in Stock</c:v>
                </c:pt>
                <c:pt idx="4">
                  <c:v>Export</c:v>
                </c:pt>
                <c:pt idx="5">
                  <c:v>Import</c:v>
                </c:pt>
              </c:strCache>
            </c:strRef>
          </c:cat>
          <c:val>
            <c:numRef>
              <c:f>'2017Q3'!$F$4:$F$9</c:f>
              <c:numCache>
                <c:formatCode>#,#00%</c:formatCode>
                <c:ptCount val="6"/>
                <c:pt idx="0">
                  <c:v>6.87162898969855E-2</c:v>
                </c:pt>
                <c:pt idx="1">
                  <c:v>3.5801269032313099E-3</c:v>
                </c:pt>
                <c:pt idx="2">
                  <c:v>3.5440352496501897E-2</c:v>
                </c:pt>
                <c:pt idx="3">
                  <c:v>9.9347383906391007E-4</c:v>
                </c:pt>
                <c:pt idx="4">
                  <c:v>3.6597103627061499E-2</c:v>
                </c:pt>
                <c:pt idx="5">
                  <c:v>-3.4699245128470203E-2</c:v>
                </c:pt>
              </c:numCache>
            </c:numRef>
          </c:val>
          <c:extLst>
            <c:ext xmlns:c16="http://schemas.microsoft.com/office/drawing/2014/chart" uri="{C3380CC4-5D6E-409C-BE32-E72D297353CC}">
              <c16:uniqueId val="{00000000-6054-4BB5-9DB0-9C8BA9801C40}"/>
            </c:ext>
          </c:extLst>
        </c:ser>
        <c:dLbls>
          <c:dLblPos val="outEnd"/>
          <c:showLegendKey val="0"/>
          <c:showVal val="1"/>
          <c:showCatName val="0"/>
          <c:showSerName val="0"/>
          <c:showPercent val="0"/>
          <c:showBubbleSize val="0"/>
        </c:dLbls>
        <c:gapWidth val="219"/>
        <c:overlap val="-27"/>
        <c:axId val="219007616"/>
        <c:axId val="219764608"/>
      </c:barChart>
      <c:catAx>
        <c:axId val="2190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tr-TR"/>
          </a:p>
        </c:txPr>
        <c:crossAx val="219764608"/>
        <c:crosses val="autoZero"/>
        <c:auto val="1"/>
        <c:lblAlgn val="ctr"/>
        <c:lblOffset val="100"/>
        <c:noMultiLvlLbl val="0"/>
      </c:catAx>
      <c:valAx>
        <c:axId val="21976460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90076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'2017Q3'!$E$3</c:f>
              <c:strCache>
                <c:ptCount val="1"/>
                <c:pt idx="0">
                  <c:v>Değişim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Consumption</c:v>
                </c:pt>
                <c:pt idx="1">
                  <c:v>Government Spending</c:v>
                </c:pt>
                <c:pt idx="2">
                  <c:v>Investment</c:v>
                </c:pt>
                <c:pt idx="3">
                  <c:v>Export</c:v>
                </c:pt>
                <c:pt idx="4">
                  <c:v>Import</c:v>
                </c:pt>
                <c:pt idx="5">
                  <c:v>GDP</c:v>
                </c:pt>
              </c:strCache>
            </c:strRef>
          </c:cat>
          <c:val>
            <c:numRef>
              <c:f>'2017Q3'!$E$4:$E$10</c:f>
              <c:numCache>
                <c:formatCode>0.00%</c:formatCode>
                <c:ptCount val="6"/>
                <c:pt idx="0">
                  <c:v>3.1600000000000003E-2</c:v>
                </c:pt>
                <c:pt idx="1">
                  <c:v>-4.3400000000000001E-2</c:v>
                </c:pt>
                <c:pt idx="2">
                  <c:v>9.4799999999999995E-2</c:v>
                </c:pt>
                <c:pt idx="3">
                  <c:v>0.1046</c:v>
                </c:pt>
                <c:pt idx="4">
                  <c:v>2.2700000000000001E-2</c:v>
                </c:pt>
                <c:pt idx="5">
                  <c:v>5.0500000000000003E-2</c:v>
                </c:pt>
              </c:numCache>
            </c:numRef>
          </c:val>
          <c:extLst>
            <c:ext xmlns:c16="http://schemas.microsoft.com/office/drawing/2014/chart" uri="{C3380CC4-5D6E-409C-BE32-E72D297353CC}">
              <c16:uniqueId val="{00000000-04E7-41B2-8581-2212565E9B72}"/>
            </c:ext>
          </c:extLst>
        </c:ser>
        <c:dLbls>
          <c:dLblPos val="outEnd"/>
          <c:showLegendKey val="0"/>
          <c:showVal val="1"/>
          <c:showCatName val="0"/>
          <c:showSerName val="0"/>
          <c:showPercent val="0"/>
          <c:showBubbleSize val="0"/>
        </c:dLbls>
        <c:gapWidth val="219"/>
        <c:overlap val="-27"/>
        <c:axId val="141779712"/>
        <c:axId val="141782400"/>
      </c:barChart>
      <c:catAx>
        <c:axId val="14177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782400"/>
        <c:crosses val="autoZero"/>
        <c:auto val="1"/>
        <c:lblAlgn val="ctr"/>
        <c:lblOffset val="100"/>
        <c:noMultiLvlLbl val="0"/>
      </c:catAx>
      <c:valAx>
        <c:axId val="1417824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779712"/>
        <c:crosses val="autoZero"/>
        <c:crossBetween val="between"/>
        <c:majorUnit val="4.0000000000000008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'2017Q3'!$E$24</c:f>
              <c:strCache>
                <c:ptCount val="1"/>
                <c:pt idx="0">
                  <c:v>Annual Change</c:v>
                </c:pt>
              </c:strCache>
            </c:strRef>
          </c:tx>
          <c:spPr>
            <a:solidFill>
              <a:schemeClr val="accent1"/>
            </a:solidFill>
            <a:ln>
              <a:noFill/>
            </a:ln>
            <a:effectLst/>
          </c:spPr>
          <c:invertIfNegative val="0"/>
          <c:cat>
            <c:strRef>
              <c:f>'2017Q3'!$A$29:$A$47</c:f>
              <c:strCache>
                <c:ptCount val="19"/>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strCache>
            </c:strRef>
          </c:cat>
          <c:val>
            <c:numRef>
              <c:f>'2017Q3'!$E$29:$E$47</c:f>
              <c:numCache>
                <c:formatCode>#,#00</c:formatCode>
                <c:ptCount val="19"/>
                <c:pt idx="0">
                  <c:v>8.4909431858267723</c:v>
                </c:pt>
                <c:pt idx="1">
                  <c:v>9.8066583709793598</c:v>
                </c:pt>
                <c:pt idx="2">
                  <c:v>8.9226688514583365</c:v>
                </c:pt>
                <c:pt idx="3">
                  <c:v>6.8804097350678939</c:v>
                </c:pt>
                <c:pt idx="4">
                  <c:v>8.6795143727417035</c:v>
                </c:pt>
                <c:pt idx="5">
                  <c:v>2.8975439088678057</c:v>
                </c:pt>
                <c:pt idx="6">
                  <c:v>3.6662593905314678</c:v>
                </c:pt>
                <c:pt idx="7">
                  <c:v>5.9302728900138213</c:v>
                </c:pt>
                <c:pt idx="8">
                  <c:v>3.6016445047976742</c:v>
                </c:pt>
                <c:pt idx="9">
                  <c:v>7.1600269296134833</c:v>
                </c:pt>
                <c:pt idx="10">
                  <c:v>5.7850603575118065</c:v>
                </c:pt>
                <c:pt idx="11">
                  <c:v>7.4964856153131754</c:v>
                </c:pt>
                <c:pt idx="12">
                  <c:v>4.8088368019147953</c:v>
                </c:pt>
                <c:pt idx="13">
                  <c:v>4.9296739103085629</c:v>
                </c:pt>
                <c:pt idx="14">
                  <c:v>-0.81201904466838837</c:v>
                </c:pt>
                <c:pt idx="15">
                  <c:v>4.2392838762529639</c:v>
                </c:pt>
                <c:pt idx="16">
                  <c:v>5.288035968400151</c:v>
                </c:pt>
                <c:pt idx="17">
                  <c:v>5.402847797857957</c:v>
                </c:pt>
                <c:pt idx="18">
                  <c:v>11.062810163437398</c:v>
                </c:pt>
              </c:numCache>
            </c:numRef>
          </c:val>
          <c:extLst>
            <c:ext xmlns:c16="http://schemas.microsoft.com/office/drawing/2014/chart" uri="{C3380CC4-5D6E-409C-BE32-E72D297353CC}">
              <c16:uniqueId val="{00000000-9534-40A4-AC23-D750E0701CC2}"/>
            </c:ext>
          </c:extLst>
        </c:ser>
        <c:dLbls>
          <c:showLegendKey val="0"/>
          <c:showVal val="0"/>
          <c:showCatName val="0"/>
          <c:showSerName val="0"/>
          <c:showPercent val="0"/>
          <c:showBubbleSize val="0"/>
        </c:dLbls>
        <c:gapWidth val="75"/>
        <c:overlap val="-25"/>
        <c:axId val="172626688"/>
        <c:axId val="172628224"/>
      </c:barChart>
      <c:lineChart>
        <c:grouping val="standard"/>
        <c:varyColors val="0"/>
        <c:ser>
          <c:idx val="1"/>
          <c:order val="1"/>
          <c:tx>
            <c:strRef>
              <c:f>'2017Q3'!$F$24</c:f>
              <c:strCache>
                <c:ptCount val="1"/>
                <c:pt idx="0">
                  <c:v>Quarter Change</c:v>
                </c:pt>
              </c:strCache>
            </c:strRef>
          </c:tx>
          <c:spPr>
            <a:ln w="25400" cap="rnd">
              <a:solidFill>
                <a:schemeClr val="tx1"/>
              </a:solidFill>
              <a:round/>
            </a:ln>
            <a:effectLst/>
          </c:spPr>
          <c:marker>
            <c:symbol val="none"/>
          </c:marker>
          <c:cat>
            <c:strRef>
              <c:f>'2017Q3'!$A$29:$A$46</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'2017Q3'!$F$29:$F$47</c:f>
              <c:numCache>
                <c:formatCode>#,#00</c:formatCode>
                <c:ptCount val="19"/>
                <c:pt idx="0">
                  <c:v>3.6208473643695616</c:v>
                </c:pt>
                <c:pt idx="1">
                  <c:v>2.6178718129820089</c:v>
                </c:pt>
                <c:pt idx="2">
                  <c:v>1.3467776232332307</c:v>
                </c:pt>
                <c:pt idx="3">
                  <c:v>0.7323027399487092</c:v>
                </c:pt>
                <c:pt idx="4">
                  <c:v>2.6718976092919622</c:v>
                </c:pt>
                <c:pt idx="5">
                  <c:v>-1.5793595551011674</c:v>
                </c:pt>
                <c:pt idx="6">
                  <c:v>2.4077602221656669</c:v>
                </c:pt>
                <c:pt idx="7">
                  <c:v>1.434532834556923</c:v>
                </c:pt>
                <c:pt idx="8">
                  <c:v>1.937374461851582</c:v>
                </c:pt>
                <c:pt idx="9">
                  <c:v>1.4531695264411226</c:v>
                </c:pt>
                <c:pt idx="10">
                  <c:v>1.2942204992881123</c:v>
                </c:pt>
                <c:pt idx="11">
                  <c:v>1.0416374035632225</c:v>
                </c:pt>
                <c:pt idx="12">
                  <c:v>0.61615591246657608</c:v>
                </c:pt>
                <c:pt idx="13">
                  <c:v>1.2313692126673104</c:v>
                </c:pt>
                <c:pt idx="14">
                  <c:v>-2.6468336491448419</c:v>
                </c:pt>
                <c:pt idx="15">
                  <c:v>4.8728361431714662</c:v>
                </c:pt>
                <c:pt idx="16">
                  <c:v>1.6444724346367234</c:v>
                </c:pt>
                <c:pt idx="17">
                  <c:v>2.1990781661971326</c:v>
                </c:pt>
                <c:pt idx="18">
                  <c:v>1.185495150634841</c:v>
                </c:pt>
              </c:numCache>
            </c:numRef>
          </c:val>
          <c:smooth val="0"/>
          <c:extLst>
            <c:ext xmlns:c16="http://schemas.microsoft.com/office/drawing/2014/chart" uri="{C3380CC4-5D6E-409C-BE32-E72D297353CC}">
              <c16:uniqueId val="{00000001-9534-40A4-AC23-D750E0701CC2}"/>
            </c:ext>
          </c:extLst>
        </c:ser>
        <c:dLbls>
          <c:showLegendKey val="0"/>
          <c:showVal val="0"/>
          <c:showCatName val="0"/>
          <c:showSerName val="0"/>
          <c:showPercent val="0"/>
          <c:showBubbleSize val="0"/>
        </c:dLbls>
        <c:marker val="1"/>
        <c:smooth val="0"/>
        <c:axId val="172626688"/>
        <c:axId val="172628224"/>
      </c:lineChart>
      <c:catAx>
        <c:axId val="1726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72628224"/>
        <c:crosses val="autoZero"/>
        <c:auto val="1"/>
        <c:lblAlgn val="ctr"/>
        <c:lblOffset val="100"/>
        <c:noMultiLvlLbl val="0"/>
      </c:catAx>
      <c:valAx>
        <c:axId val="172628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62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E083-F22C-4EBD-96E2-C810EF89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1214</Words>
  <Characters>6926</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Uğurcan ACAR</cp:lastModifiedBy>
  <cp:revision>8</cp:revision>
  <cp:lastPrinted>2017-12-14T09:18:00Z</cp:lastPrinted>
  <dcterms:created xsi:type="dcterms:W3CDTF">2018-01-29T13:03:00Z</dcterms:created>
  <dcterms:modified xsi:type="dcterms:W3CDTF">2018-01-30T07:06:00Z</dcterms:modified>
</cp:coreProperties>
</file>