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13" w:rsidRPr="000D1FDF" w:rsidRDefault="00D07713">
      <w:pPr>
        <w:rPr>
          <w:rFonts w:ascii="Palatino Linotype" w:hAnsi="Palatino Linotype" w:cstheme="minorHAnsi"/>
          <w:lang w:val="en-US"/>
        </w:rPr>
      </w:pPr>
      <w:r w:rsidRPr="000D1FDF">
        <w:rPr>
          <w:rFonts w:ascii="Palatino Linotype" w:hAnsi="Palatino Linotype" w:cstheme="minorHAnsi"/>
          <w:noProof/>
        </w:rPr>
        <mc:AlternateContent>
          <mc:Choice Requires="wps">
            <w:drawing>
              <wp:anchor distT="0" distB="0" distL="114935" distR="114935" simplePos="0" relativeHeight="251661824" behindDoc="0" locked="0" layoutInCell="1" allowOverlap="1" wp14:anchorId="12B847B8" wp14:editId="42A4149E">
                <wp:simplePos x="0" y="0"/>
                <wp:positionH relativeFrom="column">
                  <wp:posOffset>4748530</wp:posOffset>
                </wp:positionH>
                <wp:positionV relativeFrom="paragraph">
                  <wp:posOffset>5080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D07713"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sidRPr="00187FA0">
                              <w:rPr>
                                <w:color w:val="FFFFFF"/>
                                <w:sz w:val="22"/>
                                <w:szCs w:val="22"/>
                              </w:rPr>
                              <w:t xml:space="preserve">               </w:t>
                            </w:r>
                            <w:r w:rsidR="0028498B">
                              <w:rPr>
                                <w:rFonts w:ascii="Arial" w:eastAsia="Times New Roman" w:hAnsi="Arial" w:cs="Arial"/>
                                <w:b/>
                                <w:bCs/>
                                <w:color w:val="FFFFFF"/>
                                <w:sz w:val="22"/>
                                <w:szCs w:val="22"/>
                                <w:lang w:eastAsia="ar-SA"/>
                              </w:rPr>
                              <w:t>05</w:t>
                            </w:r>
                            <w:r w:rsidRPr="00D07713">
                              <w:rPr>
                                <w:rFonts w:ascii="Arial" w:eastAsia="Times New Roman" w:hAnsi="Arial" w:cs="Arial"/>
                                <w:b/>
                                <w:bCs/>
                                <w:color w:val="FFFFFF"/>
                                <w:sz w:val="22"/>
                                <w:szCs w:val="22"/>
                                <w:lang w:eastAsia="ar-SA"/>
                              </w:rPr>
                              <w:t xml:space="preserve"> </w:t>
                            </w:r>
                            <w:r w:rsidR="008C170E">
                              <w:rPr>
                                <w:rFonts w:ascii="Arial" w:eastAsia="Times New Roman" w:hAnsi="Arial" w:cs="Arial"/>
                                <w:b/>
                                <w:bCs/>
                                <w:color w:val="FFFFFF"/>
                                <w:sz w:val="22"/>
                                <w:szCs w:val="22"/>
                                <w:lang w:eastAsia="ar-SA"/>
                              </w:rPr>
                              <w:t>Ekim</w:t>
                            </w:r>
                            <w:r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47B8" id="_x0000_t202" coordsize="21600,21600" o:spt="202" path="m,l,21600r21600,l21600,xe">
                <v:stroke joinstyle="miter"/>
                <v:path gradientshapeok="t" o:connecttype="rect"/>
              </v:shapetype>
              <v:shape id="Text Box 3" o:spid="_x0000_s1026" type="#_x0000_t202" style="position:absolute;margin-left:373.9pt;margin-top:.4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" stroked="f">
                <v:fill opacity="0"/>
                <v:textbox inset="0,0,0,0">
                  <w:txbxContent>
                    <w:p w:rsidR="00D07713" w:rsidRPr="00D07713" w:rsidRDefault="00D07713"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sidRPr="00187FA0">
                        <w:rPr>
                          <w:color w:val="FFFFFF"/>
                          <w:sz w:val="22"/>
                          <w:szCs w:val="22"/>
                        </w:rPr>
                        <w:t xml:space="preserve">               </w:t>
                      </w:r>
                      <w:r w:rsidR="0028498B">
                        <w:rPr>
                          <w:rFonts w:ascii="Arial" w:eastAsia="Times New Roman" w:hAnsi="Arial" w:cs="Arial"/>
                          <w:b/>
                          <w:bCs/>
                          <w:color w:val="FFFFFF"/>
                          <w:sz w:val="22"/>
                          <w:szCs w:val="22"/>
                          <w:lang w:eastAsia="ar-SA"/>
                        </w:rPr>
                        <w:t>05</w:t>
                      </w:r>
                      <w:r w:rsidRPr="00D07713">
                        <w:rPr>
                          <w:rFonts w:ascii="Arial" w:eastAsia="Times New Roman" w:hAnsi="Arial" w:cs="Arial"/>
                          <w:b/>
                          <w:bCs/>
                          <w:color w:val="FFFFFF"/>
                          <w:sz w:val="22"/>
                          <w:szCs w:val="22"/>
                          <w:lang w:eastAsia="ar-SA"/>
                        </w:rPr>
                        <w:t xml:space="preserve"> </w:t>
                      </w:r>
                      <w:r w:rsidR="008C170E">
                        <w:rPr>
                          <w:rFonts w:ascii="Arial" w:eastAsia="Times New Roman" w:hAnsi="Arial" w:cs="Arial"/>
                          <w:b/>
                          <w:bCs/>
                          <w:color w:val="FFFFFF"/>
                          <w:sz w:val="22"/>
                          <w:szCs w:val="22"/>
                          <w:lang w:eastAsia="ar-SA"/>
                        </w:rPr>
                        <w:t>Ekim</w:t>
                      </w:r>
                      <w:r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v:textbox>
              </v:shape>
            </w:pict>
          </mc:Fallback>
        </mc:AlternateContent>
      </w:r>
      <w:r w:rsidRPr="000D1FDF">
        <w:rPr>
          <w:rFonts w:ascii="Palatino Linotype" w:hAnsi="Palatino Linotype" w:cstheme="minorHAnsi"/>
          <w:noProof/>
        </w:rPr>
        <mc:AlternateContent>
          <mc:Choice Requires="wps">
            <w:drawing>
              <wp:anchor distT="0" distB="0" distL="114935" distR="114935" simplePos="0" relativeHeight="251658752" behindDoc="0" locked="0" layoutInCell="1" allowOverlap="1" wp14:anchorId="31E2391C" wp14:editId="4EB5B4B9">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694036" w:rsidP="00D07713">
                            <w:pPr>
                              <w:pStyle w:val="Balk1"/>
                              <w:rPr>
                                <w:rFonts w:ascii="Times New Roman" w:hAnsi="Times New Roman" w:cs="Times New Roman"/>
                                <w:sz w:val="40"/>
                                <w:szCs w:val="40"/>
                              </w:rPr>
                            </w:pPr>
                            <w:r w:rsidRPr="00694036">
                              <w:rPr>
                                <w:rFonts w:ascii="Times New Roman" w:hAnsi="Times New Roman" w:cs="Times New Roman"/>
                                <w:sz w:val="40"/>
                                <w:szCs w:val="40"/>
                                <w:lang w:val="en-US"/>
                              </w:rPr>
                              <w:t>Growth</w:t>
                            </w:r>
                            <w:r>
                              <w:rPr>
                                <w:rFonts w:ascii="Times New Roman" w:hAnsi="Times New Roman" w:cs="Times New Roman"/>
                                <w:sz w:val="40"/>
                                <w:szCs w:val="40"/>
                              </w:rPr>
                              <w:t xml:space="preserve"> Evaluation</w:t>
                            </w:r>
                            <w:r w:rsidRPr="00803E3E">
                              <w:rPr>
                                <w:rFonts w:ascii="Times New Roman" w:hAnsi="Times New Roman" w:cs="Times New Roman"/>
                                <w:sz w:val="40"/>
                                <w:szCs w:val="40"/>
                              </w:rPr>
                              <w:t>:</w:t>
                            </w:r>
                            <w:r w:rsidR="00D07713" w:rsidRPr="00803E3E">
                              <w:rPr>
                                <w:rFonts w:ascii="Times New Roman" w:hAnsi="Times New Roman" w:cs="Times New Roman"/>
                                <w:sz w:val="40"/>
                                <w:szCs w:val="40"/>
                              </w:rPr>
                              <w:t xml:space="preserve"> </w:t>
                            </w:r>
                          </w:p>
                          <w:p w:rsidR="00D07713" w:rsidRPr="00526178" w:rsidRDefault="00D07713" w:rsidP="00D07713">
                            <w:pPr>
                              <w:pStyle w:val="Balk1"/>
                              <w:rPr>
                                <w:b w:val="0"/>
                                <w:bCs w:val="0"/>
                                <w:i/>
                                <w:iCs/>
                              </w:rPr>
                            </w:pPr>
                            <w:r>
                              <w:rPr>
                                <w:rFonts w:ascii="Times New Roman" w:hAnsi="Times New Roman" w:cs="Times New Roman"/>
                                <w:sz w:val="40"/>
                                <w:szCs w:val="40"/>
                              </w:rPr>
                              <w:t>2017 2</w:t>
                            </w:r>
                            <w:r w:rsidR="00694036">
                              <w:rPr>
                                <w:rFonts w:ascii="Times New Roman" w:hAnsi="Times New Roman" w:cs="Times New Roman"/>
                                <w:sz w:val="40"/>
                                <w:szCs w:val="40"/>
                                <w:vertAlign w:val="superscript"/>
                              </w:rPr>
                              <w:t>ND</w:t>
                            </w:r>
                            <w:r w:rsidRPr="00803E3E">
                              <w:rPr>
                                <w:rFonts w:ascii="Times New Roman" w:hAnsi="Times New Roman" w:cs="Times New Roman"/>
                                <w:sz w:val="40"/>
                                <w:szCs w:val="40"/>
                              </w:rPr>
                              <w:t xml:space="preserve"> </w:t>
                            </w:r>
                            <w:r w:rsidR="003755EF" w:rsidRPr="003755EF">
                              <w:rPr>
                                <w:rFonts w:ascii="Times New Roman" w:hAnsi="Times New Roman" w:cs="Times New Roman"/>
                                <w:sz w:val="40"/>
                                <w:szCs w:val="40"/>
                                <w:lang w:val="en-US"/>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91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D07713" w:rsidRDefault="00694036" w:rsidP="00D07713">
                      <w:pPr>
                        <w:pStyle w:val="Balk1"/>
                        <w:rPr>
                          <w:rFonts w:ascii="Times New Roman" w:hAnsi="Times New Roman" w:cs="Times New Roman"/>
                          <w:sz w:val="40"/>
                          <w:szCs w:val="40"/>
                        </w:rPr>
                      </w:pPr>
                      <w:r w:rsidRPr="00694036">
                        <w:rPr>
                          <w:rFonts w:ascii="Times New Roman" w:hAnsi="Times New Roman" w:cs="Times New Roman"/>
                          <w:sz w:val="40"/>
                          <w:szCs w:val="40"/>
                          <w:lang w:val="en-US"/>
                        </w:rPr>
                        <w:t>Growth</w:t>
                      </w:r>
                      <w:r>
                        <w:rPr>
                          <w:rFonts w:ascii="Times New Roman" w:hAnsi="Times New Roman" w:cs="Times New Roman"/>
                          <w:sz w:val="40"/>
                          <w:szCs w:val="40"/>
                        </w:rPr>
                        <w:t xml:space="preserve"> Evaluation</w:t>
                      </w:r>
                      <w:r w:rsidRPr="00803E3E">
                        <w:rPr>
                          <w:rFonts w:ascii="Times New Roman" w:hAnsi="Times New Roman" w:cs="Times New Roman"/>
                          <w:sz w:val="40"/>
                          <w:szCs w:val="40"/>
                        </w:rPr>
                        <w:t>:</w:t>
                      </w:r>
                      <w:r w:rsidR="00D07713" w:rsidRPr="00803E3E">
                        <w:rPr>
                          <w:rFonts w:ascii="Times New Roman" w:hAnsi="Times New Roman" w:cs="Times New Roman"/>
                          <w:sz w:val="40"/>
                          <w:szCs w:val="40"/>
                        </w:rPr>
                        <w:t xml:space="preserve"> </w:t>
                      </w:r>
                    </w:p>
                    <w:p w:rsidR="00D07713" w:rsidRPr="00526178" w:rsidRDefault="00D07713" w:rsidP="00D07713">
                      <w:pPr>
                        <w:pStyle w:val="Balk1"/>
                        <w:rPr>
                          <w:b w:val="0"/>
                          <w:bCs w:val="0"/>
                          <w:i/>
                          <w:iCs/>
                        </w:rPr>
                      </w:pPr>
                      <w:r>
                        <w:rPr>
                          <w:rFonts w:ascii="Times New Roman" w:hAnsi="Times New Roman" w:cs="Times New Roman"/>
                          <w:sz w:val="40"/>
                          <w:szCs w:val="40"/>
                        </w:rPr>
                        <w:t>2017 2</w:t>
                      </w:r>
                      <w:r w:rsidR="00694036">
                        <w:rPr>
                          <w:rFonts w:ascii="Times New Roman" w:hAnsi="Times New Roman" w:cs="Times New Roman"/>
                          <w:sz w:val="40"/>
                          <w:szCs w:val="40"/>
                          <w:vertAlign w:val="superscript"/>
                        </w:rPr>
                        <w:t>ND</w:t>
                      </w:r>
                      <w:r w:rsidRPr="00803E3E">
                        <w:rPr>
                          <w:rFonts w:ascii="Times New Roman" w:hAnsi="Times New Roman" w:cs="Times New Roman"/>
                          <w:sz w:val="40"/>
                          <w:szCs w:val="40"/>
                        </w:rPr>
                        <w:t xml:space="preserve"> </w:t>
                      </w:r>
                      <w:r w:rsidR="003755EF" w:rsidRPr="003755EF">
                        <w:rPr>
                          <w:rFonts w:ascii="Times New Roman" w:hAnsi="Times New Roman" w:cs="Times New Roman"/>
                          <w:sz w:val="40"/>
                          <w:szCs w:val="40"/>
                          <w:lang w:val="en-US"/>
                        </w:rPr>
                        <w:t>Quarter</w:t>
                      </w:r>
                    </w:p>
                  </w:txbxContent>
                </v:textbox>
              </v:shape>
            </w:pict>
          </mc:Fallback>
        </mc:AlternateContent>
      </w:r>
      <w:r w:rsidRPr="000D1FDF">
        <w:rPr>
          <w:rFonts w:ascii="Palatino Linotype" w:hAnsi="Palatino Linotype" w:cstheme="minorHAnsi"/>
          <w:noProof/>
        </w:rPr>
        <w:drawing>
          <wp:anchor distT="0" distB="0" distL="114300" distR="114300" simplePos="0" relativeHeight="251655680" behindDoc="1" locked="0" layoutInCell="1" allowOverlap="1" wp14:anchorId="63842AAB" wp14:editId="6065DBBA">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0D1FDF" w:rsidRDefault="00D07713">
      <w:pPr>
        <w:rPr>
          <w:rFonts w:ascii="Palatino Linotype" w:hAnsi="Palatino Linotype" w:cstheme="minorHAnsi"/>
          <w:lang w:val="en-US"/>
        </w:rPr>
      </w:pPr>
    </w:p>
    <w:p w:rsidR="00D07713" w:rsidRPr="000D1FDF" w:rsidRDefault="00D07713">
      <w:pPr>
        <w:rPr>
          <w:rFonts w:ascii="Palatino Linotype" w:hAnsi="Palatino Linotype" w:cstheme="minorHAnsi"/>
          <w:lang w:val="en-US"/>
        </w:rPr>
      </w:pPr>
    </w:p>
    <w:p w:rsidR="00D07713" w:rsidRPr="000D1FDF" w:rsidRDefault="00D07713" w:rsidP="00D07713">
      <w:pPr>
        <w:spacing w:line="288" w:lineRule="auto"/>
        <w:ind w:right="-319"/>
        <w:jc w:val="center"/>
        <w:outlineLvl w:val="0"/>
        <w:rPr>
          <w:rFonts w:ascii="Palatino Linotype" w:hAnsi="Palatino Linotype" w:cstheme="minorHAnsi"/>
          <w:b/>
          <w:bCs/>
          <w:sz w:val="28"/>
          <w:szCs w:val="28"/>
          <w:lang w:val="en-US"/>
        </w:rPr>
      </w:pPr>
    </w:p>
    <w:p w:rsidR="00D07713" w:rsidRPr="000D1FDF" w:rsidRDefault="003755EF" w:rsidP="00924CD9">
      <w:pPr>
        <w:spacing w:line="288" w:lineRule="auto"/>
        <w:ind w:right="-319"/>
        <w:jc w:val="center"/>
        <w:outlineLvl w:val="0"/>
        <w:rPr>
          <w:rFonts w:ascii="Palatino Linotype" w:hAnsi="Palatino Linotype" w:cstheme="minorHAnsi"/>
          <w:b/>
          <w:bCs/>
          <w:sz w:val="28"/>
          <w:szCs w:val="28"/>
          <w:lang w:val="en-US"/>
        </w:rPr>
      </w:pPr>
      <w:r w:rsidRPr="000D1FDF">
        <w:rPr>
          <w:rFonts w:ascii="Palatino Linotype" w:hAnsi="Palatino Linotype" w:cstheme="minorHAnsi"/>
          <w:b/>
          <w:bCs/>
          <w:sz w:val="28"/>
          <w:szCs w:val="28"/>
          <w:lang w:val="en-US"/>
        </w:rPr>
        <w:t>HIGH GROWTH WITH INVESTMENT AND EXPORT IN 2</w:t>
      </w:r>
      <w:r w:rsidRPr="000D1FDF">
        <w:rPr>
          <w:rFonts w:ascii="Palatino Linotype" w:hAnsi="Palatino Linotype" w:cstheme="minorHAnsi"/>
          <w:b/>
          <w:bCs/>
          <w:sz w:val="28"/>
          <w:szCs w:val="28"/>
          <w:vertAlign w:val="superscript"/>
          <w:lang w:val="en-US"/>
        </w:rPr>
        <w:t>ND</w:t>
      </w:r>
      <w:r w:rsidRPr="000D1FDF">
        <w:rPr>
          <w:rFonts w:ascii="Palatino Linotype" w:hAnsi="Palatino Linotype" w:cstheme="minorHAnsi"/>
          <w:b/>
          <w:bCs/>
          <w:sz w:val="28"/>
          <w:szCs w:val="28"/>
          <w:lang w:val="en-US"/>
        </w:rPr>
        <w:t xml:space="preserve"> QUARTER</w:t>
      </w:r>
      <w:r w:rsidR="00D07713" w:rsidRPr="000D1FDF">
        <w:rPr>
          <w:rFonts w:ascii="Palatino Linotype" w:hAnsi="Palatino Linotype" w:cstheme="minorHAnsi"/>
          <w:b/>
          <w:bCs/>
          <w:sz w:val="28"/>
          <w:szCs w:val="28"/>
          <w:highlight w:val="yellow"/>
          <w:lang w:val="en-US"/>
        </w:rPr>
        <w:t xml:space="preserve"> </w:t>
      </w:r>
    </w:p>
    <w:p w:rsidR="00D07713" w:rsidRPr="000D1FDF" w:rsidRDefault="00D07713" w:rsidP="00D07713">
      <w:pPr>
        <w:jc w:val="center"/>
        <w:rPr>
          <w:rFonts w:ascii="Palatino Linotype" w:hAnsi="Palatino Linotype" w:cstheme="minorHAnsi"/>
          <w:lang w:val="en-US"/>
        </w:rPr>
      </w:pPr>
      <w:r w:rsidRPr="000D1FDF">
        <w:rPr>
          <w:rFonts w:ascii="Palatino Linotype" w:hAnsi="Palatino Linotype" w:cstheme="minorHAnsi"/>
          <w:b/>
          <w:bCs/>
          <w:sz w:val="22"/>
          <w:szCs w:val="22"/>
          <w:lang w:val="en-US"/>
        </w:rPr>
        <w:t>Seyfettin Gürsel</w:t>
      </w:r>
      <w:r w:rsidR="00D62A5E" w:rsidRPr="00924CD9">
        <w:rPr>
          <w:rStyle w:val="DipnotBavurusu"/>
          <w:rFonts w:ascii="Palatino Linotype" w:hAnsi="Palatino Linotype" w:cstheme="minorHAnsi"/>
          <w:b/>
          <w:bCs/>
          <w:sz w:val="22"/>
          <w:szCs w:val="22"/>
        </w:rPr>
        <w:footnoteReference w:id="1"/>
      </w:r>
      <w:r w:rsidRPr="000D1FDF">
        <w:rPr>
          <w:rFonts w:ascii="Palatino Linotype" w:hAnsi="Palatino Linotype" w:cstheme="minorHAnsi"/>
          <w:b/>
          <w:bCs/>
          <w:sz w:val="22"/>
          <w:szCs w:val="22"/>
          <w:lang w:val="en-US"/>
        </w:rPr>
        <w:t xml:space="preserve"> </w:t>
      </w:r>
      <w:proofErr w:type="spellStart"/>
      <w:r w:rsidRPr="000D1FDF">
        <w:rPr>
          <w:rFonts w:ascii="Palatino Linotype" w:hAnsi="Palatino Linotype" w:cstheme="minorHAnsi"/>
          <w:b/>
          <w:bCs/>
          <w:sz w:val="22"/>
          <w:szCs w:val="22"/>
          <w:lang w:val="en-US"/>
        </w:rPr>
        <w:t>ve</w:t>
      </w:r>
      <w:proofErr w:type="spellEnd"/>
      <w:r w:rsidRPr="000D1FDF">
        <w:rPr>
          <w:rFonts w:ascii="Palatino Linotype" w:hAnsi="Palatino Linotype" w:cstheme="minorHAnsi"/>
          <w:b/>
          <w:bCs/>
          <w:sz w:val="22"/>
          <w:szCs w:val="22"/>
          <w:lang w:val="en-US"/>
        </w:rPr>
        <w:t xml:space="preserve"> Ozan </w:t>
      </w:r>
      <w:proofErr w:type="spellStart"/>
      <w:r w:rsidRPr="000D1FDF">
        <w:rPr>
          <w:rFonts w:ascii="Palatino Linotype" w:hAnsi="Palatino Linotype" w:cstheme="minorHAnsi"/>
          <w:b/>
          <w:bCs/>
          <w:sz w:val="22"/>
          <w:szCs w:val="22"/>
          <w:lang w:val="en-US"/>
        </w:rPr>
        <w:t>Bakış</w:t>
      </w:r>
      <w:proofErr w:type="spellEnd"/>
      <w:r w:rsidR="00C32789" w:rsidRPr="000D1FDF">
        <w:rPr>
          <w:rStyle w:val="DipnotBavurusu"/>
          <w:rFonts w:ascii="Palatino Linotype" w:hAnsi="Palatino Linotype" w:cstheme="minorHAnsi"/>
          <w:b/>
          <w:bCs/>
          <w:sz w:val="22"/>
          <w:szCs w:val="22"/>
          <w:lang w:val="en-US"/>
        </w:rPr>
        <w:footnoteReference w:id="2"/>
      </w:r>
    </w:p>
    <w:p w:rsidR="00D07713" w:rsidRPr="000D1FDF" w:rsidRDefault="00D07713">
      <w:pPr>
        <w:rPr>
          <w:rFonts w:ascii="Palatino Linotype" w:hAnsi="Palatino Linotype" w:cstheme="minorHAnsi"/>
          <w:lang w:val="en-US"/>
        </w:rPr>
      </w:pPr>
    </w:p>
    <w:p w:rsidR="00D257C1" w:rsidRPr="000D1FDF" w:rsidRDefault="003755EF" w:rsidP="003755EF">
      <w:pPr>
        <w:jc w:val="center"/>
        <w:rPr>
          <w:rFonts w:ascii="Palatino Linotype" w:hAnsi="Palatino Linotype" w:cstheme="minorHAnsi"/>
          <w:b/>
          <w:sz w:val="22"/>
          <w:szCs w:val="22"/>
          <w:lang w:val="en-US"/>
        </w:rPr>
      </w:pPr>
      <w:r w:rsidRPr="000D1FDF">
        <w:rPr>
          <w:rFonts w:ascii="Palatino Linotype" w:hAnsi="Palatino Linotype" w:cstheme="minorHAnsi"/>
          <w:b/>
          <w:sz w:val="22"/>
          <w:szCs w:val="22"/>
          <w:lang w:val="en-US"/>
        </w:rPr>
        <w:t>Executive Summary</w:t>
      </w:r>
    </w:p>
    <w:p w:rsidR="00D257C1" w:rsidRPr="000D1FDF" w:rsidRDefault="00D257C1">
      <w:pPr>
        <w:rPr>
          <w:rFonts w:ascii="Palatino Linotype" w:hAnsi="Palatino Linotype" w:cstheme="minorHAnsi"/>
          <w:sz w:val="22"/>
          <w:szCs w:val="22"/>
          <w:lang w:val="en-US"/>
        </w:rPr>
      </w:pPr>
    </w:p>
    <w:p w:rsidR="003755EF" w:rsidRPr="00501227" w:rsidRDefault="003755EF" w:rsidP="00501227">
      <w:pPr>
        <w:ind w:left="567" w:right="567"/>
        <w:jc w:val="both"/>
        <w:rPr>
          <w:rFonts w:ascii="Palatino Linotype" w:hAnsi="Palatino Linotype" w:cstheme="minorHAnsi"/>
          <w:sz w:val="22"/>
          <w:szCs w:val="22"/>
          <w:lang w:val="en-US"/>
        </w:rPr>
      </w:pPr>
      <w:r w:rsidRPr="000D1FDF">
        <w:rPr>
          <w:rFonts w:ascii="Palatino Linotype" w:hAnsi="Palatino Linotype" w:cstheme="minorHAnsi"/>
          <w:sz w:val="22"/>
          <w:szCs w:val="22"/>
          <w:lang w:val="en-US"/>
        </w:rPr>
        <w:t xml:space="preserve">In the third quarter of 2017, according to seasonally and calendar day adjusted data, Gross Domestic Product (GDP) increased by 2.1 percent compared to the previous quarter and by 5.1 percent compared to the third quarter of last year. </w:t>
      </w:r>
      <w:proofErr w:type="spellStart"/>
      <w:r w:rsidRPr="00501227">
        <w:rPr>
          <w:rFonts w:ascii="Palatino Linotype" w:hAnsi="Palatino Linotype" w:cstheme="minorHAnsi"/>
          <w:sz w:val="22"/>
          <w:szCs w:val="22"/>
          <w:lang w:val="en-US"/>
        </w:rPr>
        <w:t>Betam</w:t>
      </w:r>
      <w:proofErr w:type="spellEnd"/>
      <w:r w:rsidRPr="00501227">
        <w:rPr>
          <w:rFonts w:ascii="Palatino Linotype" w:hAnsi="Palatino Linotype" w:cstheme="minorHAnsi"/>
          <w:sz w:val="22"/>
          <w:szCs w:val="22"/>
          <w:lang w:val="en-US"/>
        </w:rPr>
        <w:t xml:space="preserve"> have estimated quarter growth rate of 2.0 percent and annual growth rate of 6.2 percent. The highest contribution to annual growth was investments that grew close to 10 percent. The contribution of exports, which grew by more than 10 percent, was also very </w:t>
      </w:r>
      <w:r w:rsidR="007C42F7" w:rsidRPr="00501227">
        <w:rPr>
          <w:rFonts w:ascii="Palatino Linotype" w:hAnsi="Palatino Linotype" w:cstheme="minorHAnsi"/>
          <w:sz w:val="22"/>
          <w:szCs w:val="22"/>
          <w:lang w:val="en-US"/>
        </w:rPr>
        <w:t>sizable</w:t>
      </w:r>
      <w:r w:rsidRPr="00501227">
        <w:rPr>
          <w:rFonts w:ascii="Palatino Linotype" w:hAnsi="Palatino Linotype" w:cstheme="minorHAnsi"/>
          <w:sz w:val="22"/>
          <w:szCs w:val="22"/>
          <w:lang w:val="en-US"/>
        </w:rPr>
        <w:t>. The contribution of consumption, which had a low growth rate compared to investment and exports, was also positive but relatively weak. In contrast, the contributions of public consumption, imports and stock changes were negative.</w:t>
      </w:r>
    </w:p>
    <w:p w:rsidR="003755EF" w:rsidRPr="000D1FDF" w:rsidRDefault="003755EF" w:rsidP="00501227">
      <w:pPr>
        <w:ind w:left="567" w:right="567"/>
        <w:jc w:val="both"/>
        <w:rPr>
          <w:rFonts w:ascii="Palatino Linotype" w:hAnsi="Palatino Linotype" w:cstheme="minorHAnsi"/>
          <w:sz w:val="22"/>
          <w:szCs w:val="22"/>
          <w:lang w:val="en-US"/>
        </w:rPr>
      </w:pPr>
      <w:r w:rsidRPr="00501227">
        <w:rPr>
          <w:rFonts w:ascii="Palatino Linotype" w:hAnsi="Palatino Linotype" w:cstheme="minorHAnsi"/>
          <w:sz w:val="22"/>
          <w:szCs w:val="22"/>
          <w:lang w:val="en-US"/>
        </w:rPr>
        <w:t xml:space="preserve">We foresee that the GDP growth of 5.5 per cent for the 2017-2020 Medium Term </w:t>
      </w:r>
      <w:proofErr w:type="spellStart"/>
      <w:r w:rsidRPr="00501227">
        <w:rPr>
          <w:rFonts w:ascii="Palatino Linotype" w:hAnsi="Palatino Linotype" w:cstheme="minorHAnsi"/>
          <w:sz w:val="22"/>
          <w:szCs w:val="22"/>
          <w:lang w:val="en-US"/>
        </w:rPr>
        <w:t>Program</w:t>
      </w:r>
      <w:r w:rsidR="0038110B" w:rsidRPr="00501227">
        <w:rPr>
          <w:rFonts w:ascii="Palatino Linotype" w:hAnsi="Palatino Linotype" w:cstheme="minorHAnsi"/>
          <w:sz w:val="22"/>
          <w:szCs w:val="22"/>
          <w:lang w:val="en-US"/>
        </w:rPr>
        <w:t>me</w:t>
      </w:r>
      <w:proofErr w:type="spellEnd"/>
      <w:r w:rsidRPr="00501227">
        <w:rPr>
          <w:rFonts w:ascii="Palatino Linotype" w:hAnsi="Palatino Linotype" w:cstheme="minorHAnsi"/>
          <w:sz w:val="22"/>
          <w:szCs w:val="22"/>
          <w:lang w:val="en-US"/>
        </w:rPr>
        <w:t xml:space="preserve"> (OVP), which was announced recently, will be exceeded</w:t>
      </w:r>
      <w:r w:rsidR="007C42F7" w:rsidRPr="00501227">
        <w:rPr>
          <w:rFonts w:ascii="Palatino Linotype" w:hAnsi="Palatino Linotype" w:cstheme="minorHAnsi"/>
          <w:sz w:val="22"/>
          <w:szCs w:val="22"/>
          <w:lang w:val="en-US"/>
        </w:rPr>
        <w:t xml:space="preserve"> thanks to </w:t>
      </w:r>
      <w:r w:rsidRPr="00501227">
        <w:rPr>
          <w:rFonts w:ascii="Palatino Linotype" w:hAnsi="Palatino Linotype" w:cstheme="minorHAnsi"/>
          <w:sz w:val="22"/>
          <w:szCs w:val="22"/>
          <w:lang w:val="en-US"/>
        </w:rPr>
        <w:t xml:space="preserve">the high growth </w:t>
      </w:r>
      <w:r w:rsidR="007C42F7" w:rsidRPr="00501227">
        <w:rPr>
          <w:rFonts w:ascii="Palatino Linotype" w:hAnsi="Palatino Linotype" w:cstheme="minorHAnsi"/>
          <w:sz w:val="22"/>
          <w:szCs w:val="22"/>
          <w:lang w:val="en-US"/>
        </w:rPr>
        <w:t>provided by</w:t>
      </w:r>
      <w:r w:rsidR="00B20414" w:rsidRPr="00501227">
        <w:rPr>
          <w:rFonts w:ascii="Palatino Linotype" w:hAnsi="Palatino Linotype" w:cstheme="minorHAnsi"/>
          <w:sz w:val="22"/>
          <w:szCs w:val="22"/>
          <w:lang w:val="en-US"/>
        </w:rPr>
        <w:t xml:space="preserve"> </w:t>
      </w:r>
      <w:r w:rsidRPr="00501227">
        <w:rPr>
          <w:rFonts w:ascii="Palatino Linotype" w:hAnsi="Palatino Linotype" w:cstheme="minorHAnsi"/>
          <w:sz w:val="22"/>
          <w:szCs w:val="22"/>
          <w:lang w:val="en-US"/>
        </w:rPr>
        <w:t xml:space="preserve">the base effect in the third quarter. When exceptional incentives are not expected to be in force </w:t>
      </w:r>
      <w:r w:rsidR="007C42F7" w:rsidRPr="00501227">
        <w:rPr>
          <w:rFonts w:ascii="Palatino Linotype" w:hAnsi="Palatino Linotype" w:cstheme="minorHAnsi"/>
          <w:sz w:val="22"/>
          <w:szCs w:val="22"/>
          <w:lang w:val="en-US"/>
        </w:rPr>
        <w:t>in</w:t>
      </w:r>
      <w:r w:rsidR="00B20414" w:rsidRPr="00501227">
        <w:rPr>
          <w:rFonts w:ascii="Palatino Linotype" w:hAnsi="Palatino Linotype" w:cstheme="minorHAnsi"/>
          <w:sz w:val="22"/>
          <w:szCs w:val="22"/>
          <w:lang w:val="en-US"/>
        </w:rPr>
        <w:t xml:space="preserve"> </w:t>
      </w:r>
      <w:r w:rsidRPr="00501227">
        <w:rPr>
          <w:rFonts w:ascii="Palatino Linotype" w:hAnsi="Palatino Linotype" w:cstheme="minorHAnsi"/>
          <w:sz w:val="22"/>
          <w:szCs w:val="22"/>
          <w:lang w:val="en-US"/>
        </w:rPr>
        <w:t>2018, it is</w:t>
      </w:r>
      <w:r w:rsidR="0038110B" w:rsidRPr="00501227">
        <w:rPr>
          <w:rFonts w:ascii="Palatino Linotype" w:hAnsi="Palatino Linotype" w:cstheme="minorHAnsi"/>
          <w:sz w:val="22"/>
          <w:szCs w:val="22"/>
          <w:lang w:val="en-US"/>
        </w:rPr>
        <w:t xml:space="preserve"> not</w:t>
      </w:r>
      <w:r w:rsidRPr="00501227">
        <w:rPr>
          <w:rFonts w:ascii="Palatino Linotype" w:hAnsi="Palatino Linotype" w:cstheme="minorHAnsi"/>
          <w:sz w:val="22"/>
          <w:szCs w:val="22"/>
          <w:lang w:val="en-US"/>
        </w:rPr>
        <w:t xml:space="preserve"> clear what channels </w:t>
      </w:r>
      <w:r w:rsidR="007111D4" w:rsidRPr="00501227">
        <w:rPr>
          <w:rFonts w:ascii="Palatino Linotype" w:hAnsi="Palatino Linotype" w:cstheme="minorHAnsi"/>
          <w:sz w:val="22"/>
          <w:szCs w:val="22"/>
          <w:lang w:val="en-US"/>
        </w:rPr>
        <w:t xml:space="preserve">would </w:t>
      </w:r>
      <w:r w:rsidR="0038110B" w:rsidRPr="00501227">
        <w:rPr>
          <w:rFonts w:ascii="Palatino Linotype" w:hAnsi="Palatino Linotype" w:cstheme="minorHAnsi"/>
          <w:sz w:val="22"/>
          <w:szCs w:val="22"/>
          <w:lang w:val="en-US"/>
        </w:rPr>
        <w:t xml:space="preserve">contribute </w:t>
      </w:r>
      <w:r w:rsidRPr="00501227">
        <w:rPr>
          <w:rFonts w:ascii="Palatino Linotype" w:hAnsi="Palatino Linotype" w:cstheme="minorHAnsi"/>
          <w:sz w:val="22"/>
          <w:szCs w:val="22"/>
          <w:lang w:val="en-US"/>
        </w:rPr>
        <w:t>5.5</w:t>
      </w:r>
      <w:r w:rsidR="0038110B" w:rsidRPr="00501227">
        <w:rPr>
          <w:rFonts w:ascii="Palatino Linotype" w:hAnsi="Palatino Linotype" w:cstheme="minorHAnsi"/>
          <w:sz w:val="22"/>
          <w:szCs w:val="22"/>
          <w:lang w:val="en-US"/>
        </w:rPr>
        <w:t xml:space="preserve"> per cent</w:t>
      </w:r>
      <w:r w:rsidRPr="00501227">
        <w:rPr>
          <w:rFonts w:ascii="Palatino Linotype" w:hAnsi="Palatino Linotype" w:cstheme="minorHAnsi"/>
          <w:sz w:val="22"/>
          <w:szCs w:val="22"/>
          <w:lang w:val="en-US"/>
        </w:rPr>
        <w:t xml:space="preserve"> growth targets</w:t>
      </w:r>
      <w:r w:rsidR="0038110B" w:rsidRPr="00501227">
        <w:rPr>
          <w:rFonts w:ascii="Palatino Linotype" w:hAnsi="Palatino Linotype" w:cstheme="minorHAnsi"/>
          <w:sz w:val="22"/>
          <w:szCs w:val="22"/>
          <w:lang w:val="en-US"/>
        </w:rPr>
        <w:t xml:space="preserve"> foreseen </w:t>
      </w:r>
      <w:r w:rsidR="0038110B" w:rsidRPr="000D1FDF">
        <w:rPr>
          <w:rFonts w:ascii="Palatino Linotype" w:hAnsi="Palatino Linotype" w:cstheme="minorHAnsi"/>
          <w:sz w:val="22"/>
          <w:szCs w:val="22"/>
          <w:lang w:val="en-US"/>
        </w:rPr>
        <w:t>by OVP</w:t>
      </w:r>
      <w:r w:rsidRPr="000D1FDF">
        <w:rPr>
          <w:rFonts w:ascii="Palatino Linotype" w:hAnsi="Palatino Linotype" w:cstheme="minorHAnsi"/>
          <w:sz w:val="22"/>
          <w:szCs w:val="22"/>
          <w:lang w:val="en-US"/>
        </w:rPr>
        <w:t xml:space="preserve"> for the next years</w:t>
      </w:r>
      <w:r w:rsidR="0038110B" w:rsidRPr="000D1FDF">
        <w:rPr>
          <w:rFonts w:ascii="Palatino Linotype" w:hAnsi="Palatino Linotype" w:cstheme="minorHAnsi"/>
          <w:sz w:val="22"/>
          <w:szCs w:val="22"/>
          <w:lang w:val="en-US"/>
        </w:rPr>
        <w:t>.</w:t>
      </w:r>
    </w:p>
    <w:p w:rsidR="00D07713" w:rsidRPr="000D1FDF" w:rsidRDefault="00D07713">
      <w:pPr>
        <w:rPr>
          <w:rFonts w:ascii="Palatino Linotype" w:hAnsi="Palatino Linotype" w:cstheme="minorHAnsi"/>
          <w:sz w:val="22"/>
          <w:szCs w:val="22"/>
          <w:lang w:val="en-US"/>
        </w:rPr>
      </w:pPr>
    </w:p>
    <w:p w:rsidR="00130003" w:rsidRPr="000D1FDF" w:rsidRDefault="00130003" w:rsidP="00130003">
      <w:pPr>
        <w:keepNext/>
        <w:ind w:right="77"/>
        <w:jc w:val="both"/>
        <w:rPr>
          <w:rFonts w:ascii="Palatino Linotype" w:hAnsi="Palatino Linotype" w:cstheme="minorHAnsi"/>
          <w:b/>
          <w:bCs/>
          <w:sz w:val="22"/>
          <w:szCs w:val="22"/>
          <w:lang w:val="en-US"/>
        </w:rPr>
      </w:pPr>
      <w:r w:rsidRPr="000D1FDF">
        <w:rPr>
          <w:rFonts w:ascii="Palatino Linotype" w:hAnsi="Palatino Linotype" w:cstheme="minorHAnsi"/>
          <w:b/>
          <w:bCs/>
          <w:sz w:val="22"/>
          <w:szCs w:val="22"/>
          <w:lang w:val="en-US"/>
        </w:rPr>
        <w:t>Figure 1: Change in GDP components from the second quarter of last year 2016-Q2 (left) and contributions of GDP components to 2017-Q2 GDP growth (right)</w:t>
      </w:r>
    </w:p>
    <w:p w:rsidR="00C2212F" w:rsidRPr="000D1FDF" w:rsidRDefault="00C2212F" w:rsidP="00130003">
      <w:pPr>
        <w:keepNext/>
        <w:ind w:right="77"/>
        <w:jc w:val="both"/>
        <w:rPr>
          <w:rFonts w:ascii="Palatino Linotype" w:hAnsi="Palatino Linotype" w:cstheme="minorHAnsi"/>
          <w:b/>
          <w:bCs/>
          <w:sz w:val="22"/>
          <w:szCs w:val="22"/>
          <w:lang w:val="en-US"/>
        </w:rPr>
      </w:pPr>
    </w:p>
    <w:p w:rsidR="00D07713" w:rsidRPr="000D1FDF" w:rsidRDefault="00EC136E" w:rsidP="001C2C68">
      <w:pPr>
        <w:keepNext/>
        <w:ind w:left="-567" w:right="-567"/>
        <w:rPr>
          <w:rFonts w:ascii="Palatino Linotype" w:hAnsi="Palatino Linotype" w:cstheme="minorHAnsi"/>
          <w:lang w:val="en-US"/>
        </w:rPr>
      </w:pPr>
      <w:r w:rsidRPr="000D1FDF">
        <w:rPr>
          <w:rFonts w:ascii="Palatino Linotype" w:hAnsi="Palatino Linotype" w:cstheme="minorHAnsi"/>
          <w:lang w:val="en-US"/>
        </w:rPr>
        <w:t xml:space="preserve"> </w:t>
      </w:r>
      <w:r w:rsidR="00130003" w:rsidRPr="000D1FDF">
        <w:rPr>
          <w:noProof/>
        </w:rPr>
        <w:drawing>
          <wp:inline distT="0" distB="0" distL="0" distR="0" wp14:anchorId="04733F55" wp14:editId="4CF23302">
            <wp:extent cx="3085106" cy="1963973"/>
            <wp:effectExtent l="0" t="0" r="1270" b="17780"/>
            <wp:docPr id="2" name="Grafik 2">
              <a:extLst xmlns:a="http://schemas.openxmlformats.org/drawingml/2006/main">
                <a:ext uri="{FF2B5EF4-FFF2-40B4-BE49-F238E27FC236}">
                  <a16:creationId xmlns:a16="http://schemas.microsoft.com/office/drawing/2014/main" id="{33835137-C931-4EAC-B56D-E6F7FC3A8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652B6" w:rsidRPr="000D1FDF">
        <w:rPr>
          <w:rFonts w:ascii="Palatino Linotype" w:hAnsi="Palatino Linotype" w:cstheme="minorHAnsi"/>
          <w:lang w:val="en-US"/>
        </w:rPr>
        <w:t xml:space="preserve"> </w:t>
      </w:r>
      <w:r w:rsidR="00C2212F" w:rsidRPr="000D1FDF">
        <w:rPr>
          <w:noProof/>
        </w:rPr>
        <w:drawing>
          <wp:inline distT="0" distB="0" distL="0" distR="0" wp14:anchorId="15407F26" wp14:editId="3D895D08">
            <wp:extent cx="3267986" cy="1995777"/>
            <wp:effectExtent l="0" t="0" r="8890" b="5080"/>
            <wp:docPr id="4" name="Grafik 4">
              <a:extLst xmlns:a="http://schemas.openxmlformats.org/drawingml/2006/main">
                <a:ext uri="{FF2B5EF4-FFF2-40B4-BE49-F238E27FC236}">
                  <a16:creationId xmlns:a16="http://schemas.microsoft.com/office/drawing/2014/main" id="{0937F89A-252C-47ED-A70B-9047FEDB1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0D1FDF" w:rsidRDefault="00C2212F" w:rsidP="001C2C68">
      <w:pPr>
        <w:keepNext/>
        <w:rPr>
          <w:rFonts w:ascii="Palatino Linotype" w:hAnsi="Palatino Linotype" w:cstheme="minorHAnsi"/>
          <w:lang w:val="en-US"/>
        </w:rPr>
      </w:pPr>
      <w:r w:rsidRPr="000D1FDF">
        <w:rPr>
          <w:rFonts w:ascii="Palatino Linotype" w:hAnsi="Palatino Linotype" w:cstheme="minorHAnsi"/>
          <w:b/>
          <w:sz w:val="18"/>
          <w:szCs w:val="18"/>
          <w:lang w:val="en-US"/>
        </w:rPr>
        <w:t>Source:</w:t>
      </w:r>
      <w:r w:rsidR="004931A5" w:rsidRPr="000D1FDF">
        <w:rPr>
          <w:rFonts w:ascii="Palatino Linotype" w:hAnsi="Palatino Linotype" w:cstheme="minorHAnsi"/>
          <w:sz w:val="18"/>
          <w:szCs w:val="18"/>
          <w:lang w:val="en-US"/>
        </w:rPr>
        <w:t xml:space="preserve"> </w:t>
      </w:r>
      <w:proofErr w:type="spellStart"/>
      <w:r w:rsidR="004931A5" w:rsidRPr="000D1FDF">
        <w:rPr>
          <w:rFonts w:ascii="Palatino Linotype" w:hAnsi="Palatino Linotype" w:cstheme="minorHAnsi"/>
          <w:sz w:val="18"/>
          <w:szCs w:val="18"/>
          <w:lang w:val="en-US"/>
        </w:rPr>
        <w:t>T</w:t>
      </w:r>
      <w:r w:rsidRPr="000D1FDF">
        <w:rPr>
          <w:rFonts w:ascii="Palatino Linotype" w:hAnsi="Palatino Linotype" w:cstheme="minorHAnsi"/>
          <w:sz w:val="18"/>
          <w:szCs w:val="18"/>
          <w:lang w:val="en-US"/>
        </w:rPr>
        <w:t>urkStat</w:t>
      </w:r>
      <w:proofErr w:type="spellEnd"/>
      <w:r w:rsidR="004931A5" w:rsidRPr="000D1FDF">
        <w:rPr>
          <w:rFonts w:ascii="Palatino Linotype" w:hAnsi="Palatino Linotype" w:cstheme="minorHAnsi"/>
          <w:sz w:val="18"/>
          <w:szCs w:val="18"/>
          <w:lang w:val="en-US"/>
        </w:rPr>
        <w:t xml:space="preserve">, </w:t>
      </w:r>
      <w:proofErr w:type="spellStart"/>
      <w:r w:rsidR="004931A5" w:rsidRPr="000D1FDF">
        <w:rPr>
          <w:rFonts w:ascii="Palatino Linotype" w:hAnsi="Palatino Linotype" w:cstheme="minorHAnsi"/>
          <w:sz w:val="18"/>
          <w:szCs w:val="18"/>
          <w:lang w:val="en-US"/>
        </w:rPr>
        <w:t>Betam</w:t>
      </w:r>
      <w:proofErr w:type="spellEnd"/>
      <w:r w:rsidR="004931A5" w:rsidRPr="000D1FDF">
        <w:rPr>
          <w:rFonts w:ascii="Palatino Linotype" w:hAnsi="Palatino Linotype" w:cstheme="minorHAnsi"/>
          <w:sz w:val="16"/>
          <w:szCs w:val="16"/>
          <w:lang w:val="en-US"/>
        </w:rPr>
        <w:t xml:space="preserve">. </w:t>
      </w:r>
    </w:p>
    <w:p w:rsidR="00D07713" w:rsidRPr="000D1FDF" w:rsidRDefault="00D07713">
      <w:pPr>
        <w:rPr>
          <w:rFonts w:ascii="Palatino Linotype" w:hAnsi="Palatino Linotype" w:cstheme="minorHAnsi"/>
          <w:lang w:val="en-US"/>
        </w:rPr>
      </w:pPr>
    </w:p>
    <w:p w:rsidR="00D07713" w:rsidRPr="000D1FDF" w:rsidRDefault="00D07713">
      <w:pPr>
        <w:rPr>
          <w:rFonts w:ascii="Palatino Linotype" w:hAnsi="Palatino Linotype" w:cstheme="minorHAnsi"/>
          <w:sz w:val="22"/>
          <w:szCs w:val="22"/>
          <w:lang w:val="en-US"/>
        </w:rPr>
      </w:pPr>
    </w:p>
    <w:p w:rsidR="00C94AFA" w:rsidRPr="00E72443" w:rsidRDefault="00C94AFA" w:rsidP="00C94AFA">
      <w:pPr>
        <w:pStyle w:val="NormalWeb"/>
        <w:spacing w:line="360" w:lineRule="auto"/>
        <w:ind w:right="79"/>
        <w:rPr>
          <w:rFonts w:ascii="Palatino Linotype" w:hAnsi="Palatino Linotype" w:cstheme="minorHAnsi"/>
          <w:b/>
          <w:bCs/>
          <w:sz w:val="22"/>
          <w:szCs w:val="22"/>
          <w:lang w:val="en-US"/>
        </w:rPr>
      </w:pPr>
      <w:r w:rsidRPr="00E72443">
        <w:rPr>
          <w:rFonts w:ascii="Palatino Linotype" w:hAnsi="Palatino Linotype" w:cstheme="minorHAnsi"/>
          <w:b/>
          <w:sz w:val="22"/>
          <w:szCs w:val="22"/>
          <w:lang w:val="en-US"/>
        </w:rPr>
        <w:t>Increase</w:t>
      </w:r>
      <w:r w:rsidRPr="00E72443">
        <w:rPr>
          <w:rFonts w:ascii="Palatino Linotype" w:hAnsi="Palatino Linotype" w:cstheme="minorHAnsi"/>
          <w:b/>
          <w:bCs/>
          <w:sz w:val="22"/>
          <w:szCs w:val="22"/>
          <w:lang w:val="en-US"/>
        </w:rPr>
        <w:t xml:space="preserve"> </w:t>
      </w:r>
      <w:r w:rsidRPr="00E72443">
        <w:rPr>
          <w:rFonts w:ascii="Palatino Linotype" w:hAnsi="Palatino Linotype" w:cstheme="minorHAnsi"/>
          <w:b/>
          <w:sz w:val="22"/>
          <w:szCs w:val="22"/>
          <w:lang w:val="en-US"/>
        </w:rPr>
        <w:t>in</w:t>
      </w:r>
      <w:r w:rsidRPr="00E72443">
        <w:rPr>
          <w:rFonts w:ascii="Palatino Linotype" w:hAnsi="Palatino Linotype" w:cstheme="minorHAnsi"/>
          <w:b/>
          <w:bCs/>
          <w:sz w:val="22"/>
          <w:szCs w:val="22"/>
          <w:lang w:val="en-US"/>
        </w:rPr>
        <w:t xml:space="preserve"> </w:t>
      </w:r>
      <w:r w:rsidRPr="00E72443">
        <w:rPr>
          <w:rFonts w:ascii="Palatino Linotype" w:hAnsi="Palatino Linotype" w:cstheme="minorHAnsi"/>
          <w:b/>
          <w:sz w:val="22"/>
          <w:szCs w:val="22"/>
          <w:lang w:val="en-US"/>
        </w:rPr>
        <w:t>consumption</w:t>
      </w:r>
    </w:p>
    <w:p w:rsidR="00C94AFA" w:rsidRPr="00C94AFA" w:rsidRDefault="00C94AFA" w:rsidP="00C94AFA">
      <w:pPr>
        <w:pStyle w:val="NormalWeb"/>
        <w:spacing w:line="360" w:lineRule="auto"/>
        <w:ind w:right="79"/>
        <w:jc w:val="both"/>
        <w:rPr>
          <w:rFonts w:ascii="Palatino Linotype" w:hAnsi="Palatino Linotype" w:cstheme="minorHAnsi"/>
          <w:b/>
          <w:bCs/>
          <w:sz w:val="22"/>
          <w:szCs w:val="22"/>
          <w:lang w:val="en-US"/>
        </w:rPr>
      </w:pPr>
      <w:r w:rsidRPr="00C94AFA">
        <w:rPr>
          <w:rFonts w:ascii="Palatino Linotype" w:hAnsi="Palatino Linotype" w:cstheme="minorHAnsi"/>
          <w:sz w:val="22"/>
          <w:szCs w:val="22"/>
          <w:lang w:val="en-US"/>
        </w:rPr>
        <w:t>Annual changes in the consumption growth rate of 3.6 percent in the first quarter</w:t>
      </w:r>
      <w:r>
        <w:rPr>
          <w:rFonts w:ascii="Palatino Linotype" w:hAnsi="Palatino Linotype" w:cstheme="minorHAnsi"/>
          <w:sz w:val="22"/>
          <w:szCs w:val="22"/>
          <w:lang w:val="en-US"/>
        </w:rPr>
        <w:t xml:space="preserve"> fell to 3.2 percent in the second quarter.</w:t>
      </w:r>
      <w:r w:rsidRPr="00C94AFA">
        <w:rPr>
          <w:rFonts w:ascii="Palatino Linotype" w:hAnsi="Palatino Linotype" w:cstheme="minorHAnsi"/>
          <w:sz w:val="22"/>
          <w:szCs w:val="22"/>
          <w:lang w:val="en-US"/>
        </w:rPr>
        <w:t xml:space="preserve"> Contribution to growth fell </w:t>
      </w:r>
      <w:r w:rsidR="007111D4">
        <w:rPr>
          <w:rFonts w:ascii="Palatino Linotype" w:hAnsi="Palatino Linotype" w:cstheme="minorHAnsi"/>
          <w:sz w:val="22"/>
          <w:szCs w:val="22"/>
          <w:lang w:val="en-US"/>
        </w:rPr>
        <w:t xml:space="preserve">to </w:t>
      </w:r>
      <w:r w:rsidRPr="00C94AFA">
        <w:rPr>
          <w:rFonts w:ascii="Palatino Linotype" w:hAnsi="Palatino Linotype" w:cstheme="minorHAnsi"/>
          <w:sz w:val="22"/>
          <w:szCs w:val="22"/>
          <w:lang w:val="en-US"/>
        </w:rPr>
        <w:t xml:space="preserve">1.9 </w:t>
      </w:r>
      <w:r>
        <w:rPr>
          <w:rFonts w:ascii="Palatino Linotype" w:hAnsi="Palatino Linotype" w:cstheme="minorHAnsi"/>
          <w:sz w:val="22"/>
          <w:szCs w:val="22"/>
          <w:lang w:val="en-US"/>
        </w:rPr>
        <w:t>percent points</w:t>
      </w:r>
      <w:r w:rsidRPr="00C94AFA">
        <w:rPr>
          <w:rFonts w:ascii="Palatino Linotype" w:hAnsi="Palatino Linotype" w:cstheme="minorHAnsi"/>
          <w:sz w:val="22"/>
          <w:szCs w:val="22"/>
          <w:lang w:val="en-US"/>
        </w:rPr>
        <w:t xml:space="preserve"> from 2.1 percent</w:t>
      </w:r>
      <w:r>
        <w:rPr>
          <w:rFonts w:ascii="Palatino Linotype" w:hAnsi="Palatino Linotype" w:cstheme="minorHAnsi"/>
          <w:sz w:val="22"/>
          <w:szCs w:val="22"/>
          <w:lang w:val="en-US"/>
        </w:rPr>
        <w:t xml:space="preserve"> points</w:t>
      </w:r>
      <w:r w:rsidRPr="00C94AFA">
        <w:rPr>
          <w:rFonts w:ascii="Palatino Linotype" w:hAnsi="Palatino Linotype" w:cstheme="minorHAnsi"/>
          <w:sz w:val="22"/>
          <w:szCs w:val="22"/>
          <w:lang w:val="en-US"/>
        </w:rPr>
        <w:t>. (Table 1). However, we see that there is a different trend when we look at the seasonally and calendar-</w:t>
      </w:r>
      <w:r>
        <w:rPr>
          <w:rFonts w:ascii="Palatino Linotype" w:hAnsi="Palatino Linotype" w:cstheme="minorHAnsi"/>
          <w:sz w:val="22"/>
          <w:szCs w:val="22"/>
          <w:lang w:val="en-US"/>
        </w:rPr>
        <w:t>da</w:t>
      </w:r>
      <w:bookmarkStart w:id="0" w:name="_GoBack"/>
      <w:bookmarkEnd w:id="0"/>
      <w:r>
        <w:rPr>
          <w:rFonts w:ascii="Palatino Linotype" w:hAnsi="Palatino Linotype" w:cstheme="minorHAnsi"/>
          <w:sz w:val="22"/>
          <w:szCs w:val="22"/>
          <w:lang w:val="en-US"/>
        </w:rPr>
        <w:t xml:space="preserve">y </w:t>
      </w:r>
      <w:r w:rsidRPr="00C94AFA">
        <w:rPr>
          <w:rFonts w:ascii="Palatino Linotype" w:hAnsi="Palatino Linotype" w:cstheme="minorHAnsi"/>
          <w:sz w:val="22"/>
          <w:szCs w:val="22"/>
          <w:lang w:val="en-US"/>
        </w:rPr>
        <w:t xml:space="preserve">adjusted figures. While contribution </w:t>
      </w:r>
      <w:r>
        <w:rPr>
          <w:rFonts w:ascii="Palatino Linotype" w:hAnsi="Palatino Linotype" w:cstheme="minorHAnsi"/>
          <w:sz w:val="22"/>
          <w:szCs w:val="22"/>
          <w:lang w:val="en-US"/>
        </w:rPr>
        <w:t>of</w:t>
      </w:r>
      <w:r w:rsidRPr="00C94AFA">
        <w:rPr>
          <w:rFonts w:ascii="Palatino Linotype" w:hAnsi="Palatino Linotype" w:cstheme="minorHAnsi"/>
          <w:sz w:val="22"/>
          <w:szCs w:val="22"/>
          <w:lang w:val="en-US"/>
        </w:rPr>
        <w:t xml:space="preserve"> consumption </w:t>
      </w:r>
      <w:r>
        <w:rPr>
          <w:rFonts w:ascii="Palatino Linotype" w:hAnsi="Palatino Linotype" w:cstheme="minorHAnsi"/>
          <w:sz w:val="22"/>
          <w:szCs w:val="22"/>
          <w:lang w:val="en-US"/>
        </w:rPr>
        <w:t xml:space="preserve">to growth </w:t>
      </w:r>
      <w:r w:rsidRPr="00C94AFA">
        <w:rPr>
          <w:rFonts w:ascii="Palatino Linotype" w:hAnsi="Palatino Linotype" w:cstheme="minorHAnsi"/>
          <w:sz w:val="22"/>
          <w:szCs w:val="22"/>
          <w:lang w:val="en-US"/>
        </w:rPr>
        <w:t xml:space="preserve">in the first quarter is negative, this contribution is positive and relatively high in the second quarter (Table 2). It can be said that the support </w:t>
      </w:r>
      <w:r w:rsidR="00522084">
        <w:rPr>
          <w:rFonts w:ascii="Palatino Linotype" w:hAnsi="Palatino Linotype" w:cstheme="minorHAnsi"/>
          <w:sz w:val="22"/>
          <w:szCs w:val="22"/>
          <w:lang w:val="en-US"/>
        </w:rPr>
        <w:t>of</w:t>
      </w:r>
      <w:r w:rsidRPr="00C94AFA">
        <w:rPr>
          <w:rFonts w:ascii="Palatino Linotype" w:hAnsi="Palatino Linotype" w:cstheme="minorHAnsi"/>
          <w:sz w:val="22"/>
          <w:szCs w:val="22"/>
          <w:lang w:val="en-US"/>
        </w:rPr>
        <w:t xml:space="preserve"> discounted </w:t>
      </w:r>
      <w:r w:rsidR="00A3086A">
        <w:rPr>
          <w:rFonts w:ascii="Palatino Linotype" w:hAnsi="Palatino Linotype" w:cstheme="minorHAnsi"/>
          <w:sz w:val="22"/>
          <w:szCs w:val="22"/>
          <w:lang w:val="en-US"/>
        </w:rPr>
        <w:t>ÖTV</w:t>
      </w:r>
      <w:r w:rsidR="00BC693E">
        <w:rPr>
          <w:rFonts w:ascii="Palatino Linotype" w:hAnsi="Palatino Linotype" w:cstheme="minorHAnsi"/>
          <w:sz w:val="22"/>
          <w:szCs w:val="22"/>
          <w:lang w:val="en-US"/>
        </w:rPr>
        <w:t xml:space="preserve"> (special consumption tax)</w:t>
      </w:r>
      <w:r w:rsidR="00A3086A">
        <w:rPr>
          <w:rFonts w:ascii="Palatino Linotype" w:hAnsi="Palatino Linotype" w:cstheme="minorHAnsi"/>
          <w:sz w:val="22"/>
          <w:szCs w:val="22"/>
          <w:lang w:val="en-US"/>
        </w:rPr>
        <w:t xml:space="preserve"> </w:t>
      </w:r>
      <w:r w:rsidRPr="00C94AFA">
        <w:rPr>
          <w:rFonts w:ascii="Palatino Linotype" w:hAnsi="Palatino Linotype" w:cstheme="minorHAnsi"/>
          <w:sz w:val="22"/>
          <w:szCs w:val="22"/>
          <w:lang w:val="en-US"/>
        </w:rPr>
        <w:t>on consumption has become</w:t>
      </w:r>
      <w:r w:rsidR="0090116F">
        <w:rPr>
          <w:rFonts w:ascii="Palatino Linotype" w:hAnsi="Palatino Linotype" w:cstheme="minorHAnsi"/>
          <w:sz w:val="22"/>
          <w:szCs w:val="22"/>
          <w:lang w:val="en-US"/>
        </w:rPr>
        <w:t xml:space="preserve"> </w:t>
      </w:r>
      <w:r w:rsidR="0090116F" w:rsidRPr="00182385">
        <w:rPr>
          <w:rFonts w:ascii="Palatino Linotype" w:hAnsi="Palatino Linotype" w:cstheme="minorHAnsi"/>
          <w:sz w:val="22"/>
          <w:szCs w:val="22"/>
          <w:lang w:val="en-US"/>
        </w:rPr>
        <w:t>effective</w:t>
      </w:r>
      <w:r w:rsidRPr="00182385">
        <w:rPr>
          <w:rFonts w:ascii="Palatino Linotype" w:hAnsi="Palatino Linotype" w:cstheme="minorHAnsi"/>
          <w:sz w:val="22"/>
          <w:szCs w:val="22"/>
          <w:lang w:val="en-US"/>
        </w:rPr>
        <w:t xml:space="preserve"> </w:t>
      </w:r>
      <w:r w:rsidR="00443426" w:rsidRPr="00182385">
        <w:rPr>
          <w:rFonts w:ascii="Palatino Linotype" w:hAnsi="Palatino Linotype" w:cstheme="minorHAnsi"/>
          <w:sz w:val="22"/>
          <w:szCs w:val="22"/>
          <w:lang w:val="en-US"/>
        </w:rPr>
        <w:t xml:space="preserve">from </w:t>
      </w:r>
      <w:r w:rsidRPr="00182385">
        <w:rPr>
          <w:rFonts w:ascii="Palatino Linotype" w:hAnsi="Palatino Linotype" w:cstheme="minorHAnsi"/>
          <w:sz w:val="22"/>
          <w:szCs w:val="22"/>
          <w:lang w:val="en-US"/>
        </w:rPr>
        <w:t>the second</w:t>
      </w:r>
      <w:r w:rsidRPr="00C94AFA">
        <w:rPr>
          <w:rFonts w:ascii="Palatino Linotype" w:hAnsi="Palatino Linotype" w:cstheme="minorHAnsi"/>
          <w:sz w:val="22"/>
          <w:szCs w:val="22"/>
          <w:lang w:val="en-US"/>
        </w:rPr>
        <w:t xml:space="preserve"> quarter.</w:t>
      </w:r>
    </w:p>
    <w:p w:rsidR="00E72443" w:rsidRDefault="00E72443" w:rsidP="00E72443">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Pr>
          <w:rFonts w:ascii="Palatino Linotype" w:hAnsi="Palatino Linotype" w:cstheme="minorHAnsi"/>
          <w:b/>
          <w:bCs/>
          <w:sz w:val="22"/>
          <w:szCs w:val="22"/>
        </w:rPr>
        <w:t>Growth rates and contributions to growth of GDP components in 2017 Q1-Q2 compared to same quarters of last year</w:t>
      </w:r>
    </w:p>
    <w:p w:rsidR="00E72443" w:rsidRDefault="00E72443" w:rsidP="00E72443">
      <w:pPr>
        <w:keepNext/>
        <w:ind w:right="77"/>
        <w:jc w:val="both"/>
        <w:rPr>
          <w:rFonts w:ascii="Palatino Linotype" w:hAnsi="Palatino Linotype" w:cstheme="minorHAnsi"/>
          <w:b/>
          <w:bCs/>
          <w:sz w:val="22"/>
          <w:szCs w:val="22"/>
        </w:rPr>
      </w:pPr>
    </w:p>
    <w:tbl>
      <w:tblPr>
        <w:tblW w:w="8805" w:type="dxa"/>
        <w:tblLook w:val="04A0" w:firstRow="1" w:lastRow="0" w:firstColumn="1" w:lastColumn="0" w:noHBand="0" w:noVBand="1"/>
      </w:tblPr>
      <w:tblGrid>
        <w:gridCol w:w="2348"/>
        <w:gridCol w:w="1338"/>
        <w:gridCol w:w="1843"/>
        <w:gridCol w:w="1441"/>
        <w:gridCol w:w="1835"/>
      </w:tblGrid>
      <w:tr w:rsidR="00F46A54" w:rsidRPr="000D1FDF" w:rsidTr="00E72443">
        <w:trPr>
          <w:trHeight w:val="270"/>
        </w:trPr>
        <w:tc>
          <w:tcPr>
            <w:tcW w:w="2348" w:type="dxa"/>
            <w:tcBorders>
              <w:top w:val="nil"/>
              <w:left w:val="nil"/>
              <w:bottom w:val="nil"/>
              <w:right w:val="nil"/>
            </w:tcBorders>
            <w:shd w:val="clear" w:color="auto" w:fill="auto"/>
            <w:noWrap/>
            <w:vAlign w:val="bottom"/>
            <w:hideMark/>
          </w:tcPr>
          <w:p w:rsidR="00F46A54" w:rsidRPr="000D1FDF" w:rsidRDefault="00F46A54" w:rsidP="00F46A54">
            <w:pPr>
              <w:rPr>
                <w:rFonts w:ascii="Palatino Linotype" w:hAnsi="Palatino Linotype" w:cstheme="minorHAnsi"/>
                <w:sz w:val="18"/>
                <w:szCs w:val="18"/>
                <w:lang w:val="en-US" w:eastAsia="en-US"/>
              </w:rPr>
            </w:pPr>
          </w:p>
        </w:tc>
        <w:tc>
          <w:tcPr>
            <w:tcW w:w="31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A54" w:rsidRPr="000D1FDF" w:rsidRDefault="00F46A54" w:rsidP="00F46A54">
            <w:pPr>
              <w:jc w:val="center"/>
              <w:rPr>
                <w:rFonts w:ascii="Palatino Linotype" w:hAnsi="Palatino Linotype" w:cstheme="minorHAnsi"/>
                <w:b/>
                <w:bCs/>
                <w:color w:val="000000"/>
                <w:sz w:val="18"/>
                <w:szCs w:val="18"/>
                <w:lang w:val="en-US" w:eastAsia="en-US"/>
              </w:rPr>
            </w:pPr>
            <w:r w:rsidRPr="000D1FDF">
              <w:rPr>
                <w:rFonts w:ascii="Palatino Linotype" w:hAnsi="Palatino Linotype" w:cstheme="minorHAnsi"/>
                <w:b/>
                <w:bCs/>
                <w:color w:val="000000"/>
                <w:sz w:val="18"/>
                <w:szCs w:val="18"/>
                <w:lang w:val="en-US" w:eastAsia="en-US"/>
              </w:rPr>
              <w:t>2017Q1</w:t>
            </w:r>
          </w:p>
        </w:tc>
        <w:tc>
          <w:tcPr>
            <w:tcW w:w="3276" w:type="dxa"/>
            <w:gridSpan w:val="2"/>
            <w:tcBorders>
              <w:top w:val="single" w:sz="4" w:space="0" w:color="auto"/>
              <w:left w:val="nil"/>
              <w:bottom w:val="single" w:sz="4" w:space="0" w:color="auto"/>
              <w:right w:val="nil"/>
            </w:tcBorders>
            <w:shd w:val="clear" w:color="auto" w:fill="auto"/>
            <w:noWrap/>
            <w:vAlign w:val="bottom"/>
            <w:hideMark/>
          </w:tcPr>
          <w:p w:rsidR="00F46A54" w:rsidRPr="000D1FDF" w:rsidRDefault="00F46A54" w:rsidP="00F46A54">
            <w:pPr>
              <w:jc w:val="center"/>
              <w:rPr>
                <w:rFonts w:ascii="Palatino Linotype" w:hAnsi="Palatino Linotype" w:cstheme="minorHAnsi"/>
                <w:b/>
                <w:bCs/>
                <w:color w:val="000000"/>
                <w:sz w:val="18"/>
                <w:szCs w:val="18"/>
                <w:lang w:val="en-US" w:eastAsia="en-US"/>
              </w:rPr>
            </w:pPr>
            <w:r w:rsidRPr="000D1FDF">
              <w:rPr>
                <w:rFonts w:ascii="Palatino Linotype" w:hAnsi="Palatino Linotype" w:cstheme="minorHAnsi"/>
                <w:b/>
                <w:bCs/>
                <w:color w:val="000000"/>
                <w:sz w:val="18"/>
                <w:szCs w:val="18"/>
                <w:lang w:val="en-US" w:eastAsia="en-US"/>
              </w:rPr>
              <w:t>2017Q2</w:t>
            </w:r>
          </w:p>
        </w:tc>
      </w:tr>
      <w:tr w:rsidR="00E72443" w:rsidRPr="000D1FDF" w:rsidTr="00E72443">
        <w:trPr>
          <w:trHeight w:val="270"/>
        </w:trPr>
        <w:tc>
          <w:tcPr>
            <w:tcW w:w="2348"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b/>
                <w:bCs/>
                <w:color w:val="000000"/>
                <w:sz w:val="18"/>
                <w:szCs w:val="18"/>
                <w:lang w:val="en-US" w:eastAsia="en-US"/>
              </w:rPr>
            </w:pPr>
          </w:p>
        </w:tc>
        <w:tc>
          <w:tcPr>
            <w:tcW w:w="1338" w:type="dxa"/>
            <w:tcBorders>
              <w:top w:val="nil"/>
              <w:left w:val="single" w:sz="4" w:space="0" w:color="auto"/>
              <w:bottom w:val="single" w:sz="4" w:space="0" w:color="auto"/>
              <w:right w:val="nil"/>
            </w:tcBorders>
            <w:shd w:val="clear" w:color="auto" w:fill="auto"/>
            <w:noWrap/>
            <w:vAlign w:val="bottom"/>
            <w:hideMark/>
          </w:tcPr>
          <w:p w:rsidR="00E72443" w:rsidRPr="003D44CE" w:rsidRDefault="00E72443" w:rsidP="00E72443">
            <w:pPr>
              <w:jc w:val="center"/>
              <w:rPr>
                <w:rFonts w:ascii="Calibri" w:hAnsi="Calibri" w:cs="Calibri"/>
                <w:b/>
                <w:bCs/>
                <w:color w:val="000000"/>
                <w:sz w:val="20"/>
                <w:szCs w:val="20"/>
              </w:rPr>
            </w:pPr>
            <w:r>
              <w:rPr>
                <w:rFonts w:ascii="Calibri" w:hAnsi="Calibri" w:cs="Calibri"/>
                <w:b/>
                <w:bCs/>
                <w:color w:val="000000"/>
                <w:sz w:val="20"/>
                <w:szCs w:val="20"/>
              </w:rPr>
              <w:t>Change</w:t>
            </w:r>
            <w:r w:rsidRPr="003D44CE">
              <w:rPr>
                <w:rFonts w:ascii="Calibri" w:hAnsi="Calibri" w:cs="Calibri"/>
                <w:b/>
                <w:bCs/>
                <w:color w:val="000000"/>
                <w:sz w:val="20"/>
                <w:szCs w:val="20"/>
              </w:rPr>
              <w:t xml:space="preserve"> (%)</w:t>
            </w:r>
          </w:p>
        </w:tc>
        <w:tc>
          <w:tcPr>
            <w:tcW w:w="1843" w:type="dxa"/>
            <w:tcBorders>
              <w:top w:val="nil"/>
              <w:left w:val="nil"/>
              <w:bottom w:val="nil"/>
              <w:right w:val="single" w:sz="4" w:space="0" w:color="auto"/>
            </w:tcBorders>
            <w:shd w:val="clear" w:color="auto" w:fill="auto"/>
            <w:noWrap/>
            <w:vAlign w:val="bottom"/>
            <w:hideMark/>
          </w:tcPr>
          <w:p w:rsidR="00E72443" w:rsidRPr="003D44CE" w:rsidRDefault="00E72443" w:rsidP="00E72443">
            <w:pPr>
              <w:jc w:val="center"/>
              <w:rPr>
                <w:rFonts w:ascii="Calibri" w:hAnsi="Calibri" w:cs="Calibri"/>
                <w:b/>
                <w:bCs/>
                <w:color w:val="000000"/>
                <w:sz w:val="20"/>
                <w:szCs w:val="20"/>
              </w:rPr>
            </w:pPr>
            <w:r>
              <w:rPr>
                <w:rFonts w:ascii="Calibri" w:hAnsi="Calibri" w:cs="Calibri"/>
                <w:b/>
                <w:bCs/>
                <w:color w:val="000000"/>
                <w:sz w:val="20"/>
                <w:szCs w:val="20"/>
              </w:rPr>
              <w:t>Contribution (%)</w:t>
            </w:r>
          </w:p>
        </w:tc>
        <w:tc>
          <w:tcPr>
            <w:tcW w:w="1441" w:type="dxa"/>
            <w:tcBorders>
              <w:top w:val="nil"/>
              <w:left w:val="nil"/>
              <w:bottom w:val="nil"/>
              <w:right w:val="nil"/>
            </w:tcBorders>
            <w:shd w:val="clear" w:color="auto" w:fill="auto"/>
            <w:noWrap/>
            <w:vAlign w:val="bottom"/>
            <w:hideMark/>
          </w:tcPr>
          <w:p w:rsidR="00E72443" w:rsidRPr="003D44CE" w:rsidRDefault="00E72443" w:rsidP="00E72443">
            <w:pPr>
              <w:jc w:val="center"/>
              <w:rPr>
                <w:rFonts w:ascii="Calibri" w:hAnsi="Calibri" w:cs="Calibri"/>
                <w:b/>
                <w:bCs/>
                <w:color w:val="000000"/>
                <w:sz w:val="20"/>
                <w:szCs w:val="20"/>
              </w:rPr>
            </w:pPr>
            <w:r>
              <w:rPr>
                <w:rFonts w:ascii="Calibri" w:hAnsi="Calibri" w:cs="Calibri"/>
                <w:b/>
                <w:bCs/>
                <w:color w:val="000000"/>
                <w:sz w:val="20"/>
                <w:szCs w:val="20"/>
              </w:rPr>
              <w:t>Change</w:t>
            </w:r>
            <w:r w:rsidRPr="003D44CE">
              <w:rPr>
                <w:rFonts w:ascii="Calibri" w:hAnsi="Calibri" w:cs="Calibri"/>
                <w:b/>
                <w:bCs/>
                <w:color w:val="000000"/>
                <w:sz w:val="20"/>
                <w:szCs w:val="20"/>
              </w:rPr>
              <w:t xml:space="preserve"> (%)</w:t>
            </w:r>
          </w:p>
        </w:tc>
        <w:tc>
          <w:tcPr>
            <w:tcW w:w="1835" w:type="dxa"/>
            <w:tcBorders>
              <w:top w:val="nil"/>
              <w:left w:val="nil"/>
              <w:bottom w:val="nil"/>
              <w:right w:val="nil"/>
            </w:tcBorders>
            <w:shd w:val="clear" w:color="auto" w:fill="auto"/>
            <w:noWrap/>
            <w:vAlign w:val="bottom"/>
            <w:hideMark/>
          </w:tcPr>
          <w:p w:rsidR="00E72443" w:rsidRPr="003D44CE" w:rsidRDefault="00E72443" w:rsidP="00E72443">
            <w:pPr>
              <w:jc w:val="center"/>
              <w:rPr>
                <w:rFonts w:ascii="Calibri" w:hAnsi="Calibri" w:cs="Calibri"/>
                <w:b/>
                <w:bCs/>
                <w:color w:val="000000"/>
                <w:sz w:val="20"/>
                <w:szCs w:val="20"/>
              </w:rPr>
            </w:pPr>
            <w:r>
              <w:rPr>
                <w:rFonts w:ascii="Calibri" w:hAnsi="Calibri" w:cs="Calibri"/>
                <w:b/>
                <w:bCs/>
                <w:color w:val="000000"/>
                <w:sz w:val="20"/>
                <w:szCs w:val="20"/>
              </w:rPr>
              <w:t>Contribution (%)</w:t>
            </w:r>
          </w:p>
        </w:tc>
      </w:tr>
      <w:tr w:rsidR="00E72443" w:rsidRPr="000D1FDF" w:rsidTr="00E72443">
        <w:trPr>
          <w:trHeight w:val="270"/>
        </w:trPr>
        <w:tc>
          <w:tcPr>
            <w:tcW w:w="2348" w:type="dxa"/>
            <w:tcBorders>
              <w:top w:val="single" w:sz="4" w:space="0" w:color="auto"/>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Consumption</w:t>
            </w:r>
          </w:p>
        </w:tc>
        <w:tc>
          <w:tcPr>
            <w:tcW w:w="1338"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3.6</w:t>
            </w:r>
          </w:p>
        </w:tc>
        <w:tc>
          <w:tcPr>
            <w:tcW w:w="1843" w:type="dxa"/>
            <w:tcBorders>
              <w:top w:val="single" w:sz="4" w:space="0" w:color="auto"/>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2.1</w:t>
            </w:r>
          </w:p>
        </w:tc>
        <w:tc>
          <w:tcPr>
            <w:tcW w:w="1441" w:type="dxa"/>
            <w:tcBorders>
              <w:top w:val="single" w:sz="4" w:space="0" w:color="auto"/>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3.2</w:t>
            </w:r>
          </w:p>
        </w:tc>
        <w:tc>
          <w:tcPr>
            <w:tcW w:w="1835" w:type="dxa"/>
            <w:tcBorders>
              <w:top w:val="single" w:sz="4" w:space="0" w:color="auto"/>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1.9</w:t>
            </w:r>
          </w:p>
        </w:tc>
      </w:tr>
      <w:tr w:rsidR="00E72443" w:rsidRPr="000D1FDF" w:rsidTr="00E72443">
        <w:trPr>
          <w:trHeight w:val="270"/>
        </w:trPr>
        <w:tc>
          <w:tcPr>
            <w:tcW w:w="2348"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Government Spending</w:t>
            </w:r>
          </w:p>
        </w:tc>
        <w:tc>
          <w:tcPr>
            <w:tcW w:w="1338"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9.7</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1.4</w:t>
            </w:r>
          </w:p>
        </w:tc>
        <w:tc>
          <w:tcPr>
            <w:tcW w:w="1441"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-4.3</w:t>
            </w:r>
          </w:p>
        </w:tc>
        <w:tc>
          <w:tcPr>
            <w:tcW w:w="1835"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-0.7</w:t>
            </w:r>
          </w:p>
        </w:tc>
      </w:tr>
      <w:tr w:rsidR="00E72443" w:rsidRPr="000D1FDF" w:rsidTr="00E72443">
        <w:trPr>
          <w:trHeight w:val="270"/>
        </w:trPr>
        <w:tc>
          <w:tcPr>
            <w:tcW w:w="2348"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Investment</w:t>
            </w:r>
          </w:p>
        </w:tc>
        <w:tc>
          <w:tcPr>
            <w:tcW w:w="1338"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3.0</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0.9</w:t>
            </w:r>
          </w:p>
        </w:tc>
        <w:tc>
          <w:tcPr>
            <w:tcW w:w="1441"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9.5</w:t>
            </w:r>
          </w:p>
        </w:tc>
        <w:tc>
          <w:tcPr>
            <w:tcW w:w="1835"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2.8</w:t>
            </w:r>
          </w:p>
        </w:tc>
      </w:tr>
      <w:tr w:rsidR="00E72443" w:rsidRPr="000D1FDF" w:rsidTr="00E72443">
        <w:trPr>
          <w:trHeight w:val="270"/>
        </w:trPr>
        <w:tc>
          <w:tcPr>
            <w:tcW w:w="2348"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Change in Stock</w:t>
            </w:r>
          </w:p>
        </w:tc>
        <w:tc>
          <w:tcPr>
            <w:tcW w:w="1338"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-1.6</w:t>
            </w:r>
          </w:p>
        </w:tc>
        <w:tc>
          <w:tcPr>
            <w:tcW w:w="1441"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c>
          <w:tcPr>
            <w:tcW w:w="1835"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-0.8</w:t>
            </w:r>
          </w:p>
        </w:tc>
      </w:tr>
      <w:tr w:rsidR="00E72443" w:rsidRPr="000D1FDF" w:rsidTr="00E72443">
        <w:trPr>
          <w:trHeight w:val="270"/>
        </w:trPr>
        <w:tc>
          <w:tcPr>
            <w:tcW w:w="2348"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Import</w:t>
            </w:r>
          </w:p>
        </w:tc>
        <w:tc>
          <w:tcPr>
            <w:tcW w:w="1338"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10.9</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2.5</w:t>
            </w:r>
          </w:p>
        </w:tc>
        <w:tc>
          <w:tcPr>
            <w:tcW w:w="1441"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10.5</w:t>
            </w:r>
          </w:p>
        </w:tc>
        <w:tc>
          <w:tcPr>
            <w:tcW w:w="1835"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2.3</w:t>
            </w:r>
          </w:p>
        </w:tc>
      </w:tr>
      <w:tr w:rsidR="00E72443" w:rsidRPr="000D1FDF" w:rsidTr="00E72443">
        <w:trPr>
          <w:trHeight w:val="270"/>
        </w:trPr>
        <w:tc>
          <w:tcPr>
            <w:tcW w:w="2348"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Export</w:t>
            </w:r>
          </w:p>
        </w:tc>
        <w:tc>
          <w:tcPr>
            <w:tcW w:w="1338"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0.7</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-0.1</w:t>
            </w:r>
          </w:p>
        </w:tc>
        <w:tc>
          <w:tcPr>
            <w:tcW w:w="1441"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2.3</w:t>
            </w:r>
          </w:p>
        </w:tc>
        <w:tc>
          <w:tcPr>
            <w:tcW w:w="1835"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-0.5</w:t>
            </w:r>
          </w:p>
        </w:tc>
      </w:tr>
      <w:tr w:rsidR="00E72443" w:rsidRPr="000D1FDF" w:rsidTr="00E72443">
        <w:trPr>
          <w:trHeight w:val="270"/>
        </w:trPr>
        <w:tc>
          <w:tcPr>
            <w:tcW w:w="2348" w:type="dxa"/>
            <w:tcBorders>
              <w:top w:val="nil"/>
              <w:left w:val="nil"/>
              <w:bottom w:val="double" w:sz="6" w:space="0" w:color="auto"/>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GDP</w:t>
            </w:r>
          </w:p>
        </w:tc>
        <w:tc>
          <w:tcPr>
            <w:tcW w:w="1338" w:type="dxa"/>
            <w:tcBorders>
              <w:top w:val="nil"/>
              <w:left w:val="single" w:sz="4" w:space="0" w:color="auto"/>
              <w:bottom w:val="double" w:sz="6" w:space="0" w:color="auto"/>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5.2</w:t>
            </w:r>
          </w:p>
        </w:tc>
        <w:tc>
          <w:tcPr>
            <w:tcW w:w="1843" w:type="dxa"/>
            <w:tcBorders>
              <w:top w:val="nil"/>
              <w:left w:val="nil"/>
              <w:bottom w:val="double" w:sz="6" w:space="0" w:color="auto"/>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c>
          <w:tcPr>
            <w:tcW w:w="1441" w:type="dxa"/>
            <w:tcBorders>
              <w:top w:val="nil"/>
              <w:left w:val="nil"/>
              <w:bottom w:val="double" w:sz="6" w:space="0" w:color="auto"/>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5.1</w:t>
            </w:r>
          </w:p>
        </w:tc>
        <w:tc>
          <w:tcPr>
            <w:tcW w:w="1835" w:type="dxa"/>
            <w:tcBorders>
              <w:top w:val="nil"/>
              <w:left w:val="nil"/>
              <w:bottom w:val="double" w:sz="6" w:space="0" w:color="auto"/>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r>
    </w:tbl>
    <w:p w:rsidR="006C3EE6" w:rsidRDefault="00E72443" w:rsidP="006C3EE6">
      <w:pPr>
        <w:keepNext/>
        <w:rPr>
          <w:rFonts w:ascii="Palatino Linotype" w:hAnsi="Palatino Linotype" w:cstheme="minorHAnsi"/>
          <w:sz w:val="18"/>
          <w:szCs w:val="18"/>
        </w:rPr>
      </w:pPr>
      <w:r w:rsidRPr="00236056">
        <w:rPr>
          <w:rFonts w:ascii="Palatino Linotype" w:hAnsi="Palatino Linotype" w:cstheme="minorHAnsi"/>
          <w:b/>
          <w:sz w:val="18"/>
          <w:szCs w:val="18"/>
        </w:rPr>
        <w:t>Source:</w:t>
      </w:r>
      <w:r>
        <w:rPr>
          <w:rFonts w:ascii="Palatino Linotype" w:hAnsi="Palatino Linotype" w:cstheme="minorHAnsi"/>
          <w:sz w:val="18"/>
          <w:szCs w:val="18"/>
        </w:rPr>
        <w:t xml:space="preserve"> TurkStat, Betam</w:t>
      </w:r>
    </w:p>
    <w:p w:rsidR="00E72443" w:rsidRPr="000D1FDF" w:rsidRDefault="00E72443" w:rsidP="006C3EE6">
      <w:pPr>
        <w:keepNext/>
        <w:rPr>
          <w:rFonts w:ascii="Palatino Linotype" w:hAnsi="Palatino Linotype" w:cstheme="minorHAnsi"/>
          <w:lang w:val="en-US"/>
        </w:rPr>
      </w:pPr>
    </w:p>
    <w:p w:rsidR="00E72443" w:rsidRDefault="00E72443" w:rsidP="00E72443">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w:t>
      </w:r>
      <w:r>
        <w:rPr>
          <w:rFonts w:ascii="Palatino Linotype" w:hAnsi="Palatino Linotype" w:cstheme="minorHAnsi"/>
          <w:b/>
          <w:bCs/>
          <w:sz w:val="22"/>
          <w:szCs w:val="22"/>
        </w:rPr>
        <w:t>2</w:t>
      </w:r>
      <w:r w:rsidRPr="00924CD9">
        <w:rPr>
          <w:rFonts w:ascii="Palatino Linotype" w:hAnsi="Palatino Linotype" w:cstheme="minorHAnsi"/>
          <w:b/>
          <w:bCs/>
          <w:sz w:val="22"/>
          <w:szCs w:val="22"/>
        </w:rPr>
        <w:t xml:space="preserve">: </w:t>
      </w:r>
      <w:r>
        <w:rPr>
          <w:rFonts w:ascii="Palatino Linotype" w:hAnsi="Palatino Linotype" w:cstheme="minorHAnsi"/>
          <w:b/>
          <w:bCs/>
          <w:sz w:val="22"/>
          <w:szCs w:val="22"/>
        </w:rPr>
        <w:t>Growth rates and contributions to growth of GDP components in 2017 Q2-Q3 compared to previous quarters</w:t>
      </w:r>
    </w:p>
    <w:p w:rsidR="00E72443" w:rsidRDefault="00E72443" w:rsidP="00E72443">
      <w:pPr>
        <w:keepNext/>
        <w:ind w:right="77"/>
        <w:jc w:val="both"/>
        <w:rPr>
          <w:rFonts w:ascii="Palatino Linotype" w:hAnsi="Palatino Linotype" w:cstheme="minorHAnsi"/>
          <w:b/>
          <w:bCs/>
          <w:sz w:val="22"/>
          <w:szCs w:val="22"/>
        </w:rPr>
      </w:pPr>
    </w:p>
    <w:tbl>
      <w:tblPr>
        <w:tblW w:w="9143" w:type="dxa"/>
        <w:tblLook w:val="04A0" w:firstRow="1" w:lastRow="0" w:firstColumn="1" w:lastColumn="0" w:noHBand="0" w:noVBand="1"/>
      </w:tblPr>
      <w:tblGrid>
        <w:gridCol w:w="2285"/>
        <w:gridCol w:w="1367"/>
        <w:gridCol w:w="1843"/>
        <w:gridCol w:w="1559"/>
        <w:gridCol w:w="2089"/>
      </w:tblGrid>
      <w:tr w:rsidR="00F46A54" w:rsidRPr="000D1FDF" w:rsidTr="00B20414">
        <w:trPr>
          <w:trHeight w:val="277"/>
        </w:trPr>
        <w:tc>
          <w:tcPr>
            <w:tcW w:w="2285" w:type="dxa"/>
            <w:tcBorders>
              <w:top w:val="nil"/>
              <w:left w:val="nil"/>
              <w:bottom w:val="nil"/>
              <w:right w:val="nil"/>
            </w:tcBorders>
            <w:shd w:val="clear" w:color="auto" w:fill="auto"/>
            <w:noWrap/>
            <w:vAlign w:val="bottom"/>
            <w:hideMark/>
          </w:tcPr>
          <w:p w:rsidR="00F46A54" w:rsidRPr="000D1FDF" w:rsidRDefault="00F46A54" w:rsidP="00F46A54">
            <w:pPr>
              <w:rPr>
                <w:rFonts w:ascii="Palatino Linotype" w:hAnsi="Palatino Linotype" w:cstheme="minorHAnsi"/>
                <w:sz w:val="18"/>
                <w:szCs w:val="18"/>
                <w:lang w:val="en-US" w:eastAsia="en-US"/>
              </w:rPr>
            </w:pPr>
          </w:p>
        </w:tc>
        <w:tc>
          <w:tcPr>
            <w:tcW w:w="32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A54" w:rsidRPr="000D1FDF" w:rsidRDefault="00F46A54" w:rsidP="00F46A54">
            <w:pPr>
              <w:jc w:val="center"/>
              <w:rPr>
                <w:rFonts w:ascii="Palatino Linotype" w:hAnsi="Palatino Linotype" w:cstheme="minorHAnsi"/>
                <w:b/>
                <w:bCs/>
                <w:color w:val="000000"/>
                <w:sz w:val="18"/>
                <w:szCs w:val="18"/>
                <w:lang w:val="en-US" w:eastAsia="en-US"/>
              </w:rPr>
            </w:pPr>
            <w:r w:rsidRPr="000D1FDF">
              <w:rPr>
                <w:rFonts w:ascii="Palatino Linotype" w:hAnsi="Palatino Linotype" w:cstheme="minorHAnsi"/>
                <w:b/>
                <w:bCs/>
                <w:color w:val="000000"/>
                <w:sz w:val="18"/>
                <w:szCs w:val="18"/>
                <w:lang w:val="en-US" w:eastAsia="en-US"/>
              </w:rPr>
              <w:t>2017Q1</w:t>
            </w:r>
          </w:p>
        </w:tc>
        <w:tc>
          <w:tcPr>
            <w:tcW w:w="3648" w:type="dxa"/>
            <w:gridSpan w:val="2"/>
            <w:tcBorders>
              <w:top w:val="single" w:sz="4" w:space="0" w:color="auto"/>
              <w:left w:val="nil"/>
              <w:bottom w:val="single" w:sz="4" w:space="0" w:color="auto"/>
              <w:right w:val="nil"/>
            </w:tcBorders>
            <w:shd w:val="clear" w:color="auto" w:fill="auto"/>
            <w:noWrap/>
            <w:vAlign w:val="bottom"/>
            <w:hideMark/>
          </w:tcPr>
          <w:p w:rsidR="00F46A54" w:rsidRPr="000D1FDF" w:rsidRDefault="00F46A54" w:rsidP="00F46A54">
            <w:pPr>
              <w:jc w:val="center"/>
              <w:rPr>
                <w:rFonts w:ascii="Palatino Linotype" w:hAnsi="Palatino Linotype" w:cstheme="minorHAnsi"/>
                <w:b/>
                <w:bCs/>
                <w:color w:val="000000"/>
                <w:sz w:val="18"/>
                <w:szCs w:val="18"/>
                <w:lang w:val="en-US" w:eastAsia="en-US"/>
              </w:rPr>
            </w:pPr>
            <w:r w:rsidRPr="000D1FDF">
              <w:rPr>
                <w:rFonts w:ascii="Palatino Linotype" w:hAnsi="Palatino Linotype" w:cstheme="minorHAnsi"/>
                <w:b/>
                <w:bCs/>
                <w:color w:val="000000"/>
                <w:sz w:val="18"/>
                <w:szCs w:val="18"/>
                <w:lang w:val="en-US" w:eastAsia="en-US"/>
              </w:rPr>
              <w:t>2017Q2</w:t>
            </w:r>
          </w:p>
        </w:tc>
      </w:tr>
      <w:tr w:rsidR="00F46A54" w:rsidRPr="000D1FDF" w:rsidTr="00B20414">
        <w:trPr>
          <w:trHeight w:val="277"/>
        </w:trPr>
        <w:tc>
          <w:tcPr>
            <w:tcW w:w="2285" w:type="dxa"/>
            <w:tcBorders>
              <w:top w:val="nil"/>
              <w:left w:val="nil"/>
              <w:bottom w:val="nil"/>
              <w:right w:val="nil"/>
            </w:tcBorders>
            <w:shd w:val="clear" w:color="auto" w:fill="auto"/>
            <w:noWrap/>
            <w:vAlign w:val="bottom"/>
            <w:hideMark/>
          </w:tcPr>
          <w:p w:rsidR="00F46A54" w:rsidRPr="000D1FDF" w:rsidRDefault="00F46A54" w:rsidP="00F46A54">
            <w:pPr>
              <w:jc w:val="center"/>
              <w:rPr>
                <w:rFonts w:ascii="Palatino Linotype" w:hAnsi="Palatino Linotype" w:cstheme="minorHAnsi"/>
                <w:b/>
                <w:bCs/>
                <w:color w:val="000000"/>
                <w:sz w:val="18"/>
                <w:szCs w:val="18"/>
                <w:lang w:val="en-US" w:eastAsia="en-US"/>
              </w:rPr>
            </w:pPr>
          </w:p>
        </w:tc>
        <w:tc>
          <w:tcPr>
            <w:tcW w:w="1367" w:type="dxa"/>
            <w:tcBorders>
              <w:top w:val="nil"/>
              <w:left w:val="single" w:sz="4" w:space="0" w:color="auto"/>
              <w:bottom w:val="nil"/>
              <w:right w:val="nil"/>
            </w:tcBorders>
            <w:shd w:val="clear" w:color="auto" w:fill="auto"/>
            <w:noWrap/>
            <w:vAlign w:val="bottom"/>
            <w:hideMark/>
          </w:tcPr>
          <w:p w:rsidR="00F46A54" w:rsidRPr="000D1FDF" w:rsidRDefault="00B20414" w:rsidP="00F46A54">
            <w:pPr>
              <w:jc w:val="center"/>
              <w:rPr>
                <w:rFonts w:ascii="Palatino Linotype" w:hAnsi="Palatino Linotype" w:cstheme="minorHAnsi"/>
                <w:b/>
                <w:bCs/>
                <w:color w:val="000000"/>
                <w:sz w:val="18"/>
                <w:szCs w:val="18"/>
                <w:lang w:val="en-US" w:eastAsia="en-US"/>
              </w:rPr>
            </w:pPr>
            <w:r>
              <w:rPr>
                <w:rFonts w:ascii="Palatino Linotype" w:hAnsi="Palatino Linotype" w:cstheme="minorHAnsi"/>
                <w:b/>
                <w:bCs/>
                <w:color w:val="000000"/>
                <w:sz w:val="18"/>
                <w:szCs w:val="18"/>
                <w:lang w:val="en-US" w:eastAsia="en-US"/>
              </w:rPr>
              <w:t>Change</w:t>
            </w:r>
            <w:r w:rsidR="00F46A54" w:rsidRPr="000D1FDF">
              <w:rPr>
                <w:rFonts w:ascii="Palatino Linotype" w:hAnsi="Palatino Linotype" w:cstheme="minorHAnsi"/>
                <w:b/>
                <w:bCs/>
                <w:color w:val="000000"/>
                <w:sz w:val="18"/>
                <w:szCs w:val="18"/>
                <w:lang w:val="en-US" w:eastAsia="en-US"/>
              </w:rPr>
              <w:t xml:space="preserve"> (%)</w:t>
            </w:r>
          </w:p>
        </w:tc>
        <w:tc>
          <w:tcPr>
            <w:tcW w:w="1843" w:type="dxa"/>
            <w:tcBorders>
              <w:top w:val="nil"/>
              <w:left w:val="nil"/>
              <w:bottom w:val="nil"/>
              <w:right w:val="single" w:sz="4" w:space="0" w:color="auto"/>
            </w:tcBorders>
            <w:shd w:val="clear" w:color="auto" w:fill="auto"/>
            <w:noWrap/>
            <w:vAlign w:val="bottom"/>
            <w:hideMark/>
          </w:tcPr>
          <w:p w:rsidR="00F46A54" w:rsidRPr="000D1FDF" w:rsidRDefault="00B20414" w:rsidP="00F46A54">
            <w:pPr>
              <w:jc w:val="center"/>
              <w:rPr>
                <w:rFonts w:ascii="Palatino Linotype" w:hAnsi="Palatino Linotype" w:cstheme="minorHAnsi"/>
                <w:b/>
                <w:bCs/>
                <w:color w:val="000000"/>
                <w:sz w:val="18"/>
                <w:szCs w:val="18"/>
                <w:lang w:val="en-US" w:eastAsia="en-US"/>
              </w:rPr>
            </w:pPr>
            <w:r>
              <w:rPr>
                <w:rFonts w:ascii="Palatino Linotype" w:hAnsi="Palatino Linotype" w:cstheme="minorHAnsi"/>
                <w:b/>
                <w:bCs/>
                <w:color w:val="000000"/>
                <w:sz w:val="18"/>
                <w:szCs w:val="18"/>
                <w:lang w:val="en-US" w:eastAsia="en-US"/>
              </w:rPr>
              <w:t>Contribution</w:t>
            </w:r>
            <w:r w:rsidR="00F46A54" w:rsidRPr="000D1FDF">
              <w:rPr>
                <w:rFonts w:ascii="Palatino Linotype" w:hAnsi="Palatino Linotype" w:cstheme="minorHAnsi"/>
                <w:b/>
                <w:bCs/>
                <w:color w:val="000000"/>
                <w:sz w:val="18"/>
                <w:szCs w:val="18"/>
                <w:lang w:val="en-US" w:eastAsia="en-US"/>
              </w:rPr>
              <w:t xml:space="preserve"> (%)</w:t>
            </w:r>
          </w:p>
        </w:tc>
        <w:tc>
          <w:tcPr>
            <w:tcW w:w="1559" w:type="dxa"/>
            <w:tcBorders>
              <w:top w:val="nil"/>
              <w:left w:val="nil"/>
              <w:bottom w:val="nil"/>
              <w:right w:val="nil"/>
            </w:tcBorders>
            <w:shd w:val="clear" w:color="auto" w:fill="auto"/>
            <w:noWrap/>
            <w:vAlign w:val="bottom"/>
            <w:hideMark/>
          </w:tcPr>
          <w:p w:rsidR="00F46A54" w:rsidRPr="000D1FDF" w:rsidRDefault="00B20414" w:rsidP="00F46A54">
            <w:pPr>
              <w:jc w:val="center"/>
              <w:rPr>
                <w:rFonts w:ascii="Palatino Linotype" w:hAnsi="Palatino Linotype" w:cstheme="minorHAnsi"/>
                <w:b/>
                <w:bCs/>
                <w:color w:val="000000"/>
                <w:sz w:val="18"/>
                <w:szCs w:val="18"/>
                <w:lang w:val="en-US" w:eastAsia="en-US"/>
              </w:rPr>
            </w:pPr>
            <w:r>
              <w:rPr>
                <w:rFonts w:ascii="Palatino Linotype" w:hAnsi="Palatino Linotype" w:cstheme="minorHAnsi"/>
                <w:b/>
                <w:bCs/>
                <w:color w:val="000000"/>
                <w:sz w:val="18"/>
                <w:szCs w:val="18"/>
                <w:lang w:val="en-US" w:eastAsia="en-US"/>
              </w:rPr>
              <w:t>Change</w:t>
            </w:r>
            <w:r w:rsidR="00F46A54" w:rsidRPr="000D1FDF">
              <w:rPr>
                <w:rFonts w:ascii="Palatino Linotype" w:hAnsi="Palatino Linotype" w:cstheme="minorHAnsi"/>
                <w:b/>
                <w:bCs/>
                <w:color w:val="000000"/>
                <w:sz w:val="18"/>
                <w:szCs w:val="18"/>
                <w:lang w:val="en-US" w:eastAsia="en-US"/>
              </w:rPr>
              <w:t xml:space="preserve"> (%)</w:t>
            </w:r>
          </w:p>
        </w:tc>
        <w:tc>
          <w:tcPr>
            <w:tcW w:w="2089" w:type="dxa"/>
            <w:tcBorders>
              <w:top w:val="nil"/>
              <w:left w:val="nil"/>
              <w:bottom w:val="nil"/>
              <w:right w:val="nil"/>
            </w:tcBorders>
            <w:shd w:val="clear" w:color="auto" w:fill="auto"/>
            <w:noWrap/>
            <w:vAlign w:val="bottom"/>
            <w:hideMark/>
          </w:tcPr>
          <w:p w:rsidR="00F46A54" w:rsidRPr="000D1FDF" w:rsidRDefault="00B20414" w:rsidP="00F46A54">
            <w:pPr>
              <w:jc w:val="center"/>
              <w:rPr>
                <w:rFonts w:ascii="Palatino Linotype" w:hAnsi="Palatino Linotype" w:cstheme="minorHAnsi"/>
                <w:b/>
                <w:bCs/>
                <w:color w:val="000000"/>
                <w:sz w:val="18"/>
                <w:szCs w:val="18"/>
                <w:lang w:val="en-US" w:eastAsia="en-US"/>
              </w:rPr>
            </w:pPr>
            <w:r>
              <w:rPr>
                <w:rFonts w:ascii="Palatino Linotype" w:hAnsi="Palatino Linotype" w:cstheme="minorHAnsi"/>
                <w:b/>
                <w:bCs/>
                <w:color w:val="000000"/>
                <w:sz w:val="18"/>
                <w:szCs w:val="18"/>
                <w:lang w:val="en-US" w:eastAsia="en-US"/>
              </w:rPr>
              <w:t>Contribution</w:t>
            </w:r>
            <w:r w:rsidR="00F46A54" w:rsidRPr="000D1FDF">
              <w:rPr>
                <w:rFonts w:ascii="Palatino Linotype" w:hAnsi="Palatino Linotype" w:cstheme="minorHAnsi"/>
                <w:b/>
                <w:bCs/>
                <w:color w:val="000000"/>
                <w:sz w:val="18"/>
                <w:szCs w:val="18"/>
                <w:lang w:val="en-US" w:eastAsia="en-US"/>
              </w:rPr>
              <w:t xml:space="preserve"> (%)</w:t>
            </w:r>
          </w:p>
        </w:tc>
      </w:tr>
      <w:tr w:rsidR="00E72443" w:rsidRPr="000D1FDF" w:rsidTr="00B20414">
        <w:trPr>
          <w:trHeight w:val="277"/>
        </w:trPr>
        <w:tc>
          <w:tcPr>
            <w:tcW w:w="2285" w:type="dxa"/>
            <w:tcBorders>
              <w:top w:val="single" w:sz="4" w:space="0" w:color="auto"/>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Consumption</w:t>
            </w:r>
          </w:p>
        </w:tc>
        <w:tc>
          <w:tcPr>
            <w:tcW w:w="1367" w:type="dxa"/>
            <w:tcBorders>
              <w:top w:val="single" w:sz="4" w:space="0" w:color="auto"/>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-0.9</w:t>
            </w:r>
          </w:p>
        </w:tc>
        <w:tc>
          <w:tcPr>
            <w:tcW w:w="1843" w:type="dxa"/>
            <w:tcBorders>
              <w:top w:val="single" w:sz="4" w:space="0" w:color="auto"/>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-0.5</w:t>
            </w:r>
          </w:p>
        </w:tc>
        <w:tc>
          <w:tcPr>
            <w:tcW w:w="1559" w:type="dxa"/>
            <w:tcBorders>
              <w:top w:val="single" w:sz="4" w:space="0" w:color="auto"/>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2.1</w:t>
            </w:r>
          </w:p>
        </w:tc>
        <w:tc>
          <w:tcPr>
            <w:tcW w:w="2089" w:type="dxa"/>
            <w:tcBorders>
              <w:top w:val="single" w:sz="4" w:space="0" w:color="auto"/>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1.2</w:t>
            </w:r>
          </w:p>
        </w:tc>
      </w:tr>
      <w:tr w:rsidR="00E72443" w:rsidRPr="000D1FDF" w:rsidTr="00B20414">
        <w:trPr>
          <w:trHeight w:val="277"/>
        </w:trPr>
        <w:tc>
          <w:tcPr>
            <w:tcW w:w="2285"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Government Spending</w:t>
            </w:r>
          </w:p>
        </w:tc>
        <w:tc>
          <w:tcPr>
            <w:tcW w:w="1367"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0.7</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0.1</w:t>
            </w:r>
          </w:p>
        </w:tc>
        <w:tc>
          <w:tcPr>
            <w:tcW w:w="155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-3.9</w:t>
            </w:r>
          </w:p>
        </w:tc>
        <w:tc>
          <w:tcPr>
            <w:tcW w:w="208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-0.6</w:t>
            </w:r>
          </w:p>
        </w:tc>
      </w:tr>
      <w:tr w:rsidR="00E72443" w:rsidRPr="000D1FDF" w:rsidTr="00B20414">
        <w:trPr>
          <w:trHeight w:val="277"/>
        </w:trPr>
        <w:tc>
          <w:tcPr>
            <w:tcW w:w="2285"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Investment</w:t>
            </w:r>
          </w:p>
        </w:tc>
        <w:tc>
          <w:tcPr>
            <w:tcW w:w="1367"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-1.0</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-0.3</w:t>
            </w:r>
          </w:p>
        </w:tc>
        <w:tc>
          <w:tcPr>
            <w:tcW w:w="155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6.3</w:t>
            </w:r>
          </w:p>
        </w:tc>
        <w:tc>
          <w:tcPr>
            <w:tcW w:w="208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1.8</w:t>
            </w:r>
          </w:p>
        </w:tc>
      </w:tr>
      <w:tr w:rsidR="00E72443" w:rsidRPr="000D1FDF" w:rsidTr="00B20414">
        <w:trPr>
          <w:trHeight w:val="277"/>
        </w:trPr>
        <w:tc>
          <w:tcPr>
            <w:tcW w:w="2285"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Change in Stock</w:t>
            </w:r>
          </w:p>
        </w:tc>
        <w:tc>
          <w:tcPr>
            <w:tcW w:w="1367"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0.4</w:t>
            </w:r>
          </w:p>
        </w:tc>
        <w:tc>
          <w:tcPr>
            <w:tcW w:w="155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c>
          <w:tcPr>
            <w:tcW w:w="208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1.0</w:t>
            </w:r>
          </w:p>
        </w:tc>
      </w:tr>
      <w:tr w:rsidR="00E72443" w:rsidRPr="000D1FDF" w:rsidTr="00B20414">
        <w:trPr>
          <w:trHeight w:val="277"/>
        </w:trPr>
        <w:tc>
          <w:tcPr>
            <w:tcW w:w="2285"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Import</w:t>
            </w:r>
          </w:p>
        </w:tc>
        <w:tc>
          <w:tcPr>
            <w:tcW w:w="1367"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6.4</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1.4</w:t>
            </w:r>
          </w:p>
        </w:tc>
        <w:tc>
          <w:tcPr>
            <w:tcW w:w="155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-0.7</w:t>
            </w:r>
          </w:p>
        </w:tc>
        <w:tc>
          <w:tcPr>
            <w:tcW w:w="208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-0.2</w:t>
            </w:r>
          </w:p>
        </w:tc>
      </w:tr>
      <w:tr w:rsidR="00E72443" w:rsidRPr="000D1FDF" w:rsidTr="00B20414">
        <w:trPr>
          <w:trHeight w:val="277"/>
        </w:trPr>
        <w:tc>
          <w:tcPr>
            <w:tcW w:w="2285" w:type="dxa"/>
            <w:tcBorders>
              <w:top w:val="nil"/>
              <w:left w:val="nil"/>
              <w:bottom w:val="nil"/>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Export</w:t>
            </w:r>
          </w:p>
        </w:tc>
        <w:tc>
          <w:tcPr>
            <w:tcW w:w="1367" w:type="dxa"/>
            <w:tcBorders>
              <w:top w:val="nil"/>
              <w:left w:val="single" w:sz="4" w:space="0" w:color="auto"/>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-0.9</w:t>
            </w:r>
          </w:p>
        </w:tc>
        <w:tc>
          <w:tcPr>
            <w:tcW w:w="1843" w:type="dxa"/>
            <w:tcBorders>
              <w:top w:val="nil"/>
              <w:left w:val="nil"/>
              <w:bottom w:val="nil"/>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0.2</w:t>
            </w:r>
          </w:p>
        </w:tc>
        <w:tc>
          <w:tcPr>
            <w:tcW w:w="155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5.3</w:t>
            </w:r>
          </w:p>
        </w:tc>
        <w:tc>
          <w:tcPr>
            <w:tcW w:w="2089" w:type="dxa"/>
            <w:tcBorders>
              <w:top w:val="nil"/>
              <w:left w:val="nil"/>
              <w:bottom w:val="nil"/>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-1.3</w:t>
            </w:r>
          </w:p>
        </w:tc>
      </w:tr>
      <w:tr w:rsidR="00E72443" w:rsidRPr="000D1FDF" w:rsidTr="00B20414">
        <w:trPr>
          <w:trHeight w:val="277"/>
        </w:trPr>
        <w:tc>
          <w:tcPr>
            <w:tcW w:w="2285" w:type="dxa"/>
            <w:tcBorders>
              <w:top w:val="nil"/>
              <w:left w:val="nil"/>
              <w:bottom w:val="double" w:sz="6" w:space="0" w:color="auto"/>
              <w:right w:val="nil"/>
            </w:tcBorders>
            <w:shd w:val="clear" w:color="auto" w:fill="auto"/>
            <w:noWrap/>
            <w:vAlign w:val="bottom"/>
            <w:hideMark/>
          </w:tcPr>
          <w:p w:rsidR="00E72443" w:rsidRPr="003D44CE" w:rsidRDefault="00E72443" w:rsidP="00E72443">
            <w:pPr>
              <w:rPr>
                <w:rFonts w:ascii="Calibri" w:hAnsi="Calibri" w:cs="Calibri"/>
                <w:b/>
                <w:bCs/>
                <w:color w:val="000000"/>
                <w:sz w:val="20"/>
                <w:szCs w:val="20"/>
              </w:rPr>
            </w:pPr>
            <w:r>
              <w:rPr>
                <w:rFonts w:ascii="Calibri" w:hAnsi="Calibri" w:cs="Calibri"/>
                <w:b/>
                <w:bCs/>
                <w:color w:val="000000"/>
                <w:sz w:val="20"/>
                <w:szCs w:val="20"/>
              </w:rPr>
              <w:t>GDP</w:t>
            </w:r>
          </w:p>
        </w:tc>
        <w:tc>
          <w:tcPr>
            <w:tcW w:w="1367" w:type="dxa"/>
            <w:tcBorders>
              <w:top w:val="nil"/>
              <w:left w:val="single" w:sz="4" w:space="0" w:color="auto"/>
              <w:bottom w:val="double" w:sz="6" w:space="0" w:color="auto"/>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1.3</w:t>
            </w:r>
          </w:p>
        </w:tc>
        <w:tc>
          <w:tcPr>
            <w:tcW w:w="1843" w:type="dxa"/>
            <w:tcBorders>
              <w:top w:val="nil"/>
              <w:left w:val="nil"/>
              <w:bottom w:val="double" w:sz="6" w:space="0" w:color="auto"/>
              <w:right w:val="single" w:sz="4" w:space="0" w:color="auto"/>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c>
          <w:tcPr>
            <w:tcW w:w="1559" w:type="dxa"/>
            <w:tcBorders>
              <w:top w:val="nil"/>
              <w:left w:val="nil"/>
              <w:bottom w:val="double" w:sz="6" w:space="0" w:color="auto"/>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2.1</w:t>
            </w:r>
          </w:p>
        </w:tc>
        <w:tc>
          <w:tcPr>
            <w:tcW w:w="2089" w:type="dxa"/>
            <w:tcBorders>
              <w:top w:val="nil"/>
              <w:left w:val="nil"/>
              <w:bottom w:val="double" w:sz="6" w:space="0" w:color="auto"/>
              <w:right w:val="nil"/>
            </w:tcBorders>
            <w:shd w:val="clear" w:color="auto" w:fill="auto"/>
            <w:noWrap/>
            <w:vAlign w:val="bottom"/>
            <w:hideMark/>
          </w:tcPr>
          <w:p w:rsidR="00E72443" w:rsidRPr="000D1FDF" w:rsidRDefault="00E72443" w:rsidP="00E72443">
            <w:pPr>
              <w:jc w:val="center"/>
              <w:rPr>
                <w:rFonts w:ascii="Palatino Linotype" w:hAnsi="Palatino Linotype" w:cstheme="minorHAnsi"/>
                <w:color w:val="000000"/>
                <w:sz w:val="18"/>
                <w:szCs w:val="18"/>
                <w:lang w:val="en-US" w:eastAsia="en-US"/>
              </w:rPr>
            </w:pPr>
            <w:r w:rsidRPr="000D1FDF">
              <w:rPr>
                <w:rFonts w:ascii="Palatino Linotype" w:hAnsi="Palatino Linotype" w:cstheme="minorHAnsi"/>
                <w:color w:val="000000"/>
                <w:sz w:val="18"/>
                <w:szCs w:val="18"/>
                <w:lang w:val="en-US" w:eastAsia="en-US"/>
              </w:rPr>
              <w:t> </w:t>
            </w:r>
          </w:p>
        </w:tc>
      </w:tr>
    </w:tbl>
    <w:p w:rsidR="006C3EE6" w:rsidRPr="000D1FDF" w:rsidRDefault="00E72443" w:rsidP="004931A5">
      <w:pPr>
        <w:pStyle w:val="NormalWeb"/>
        <w:spacing w:before="0" w:beforeAutospacing="0" w:after="0" w:afterAutospacing="0" w:line="360" w:lineRule="auto"/>
        <w:ind w:right="77"/>
        <w:rPr>
          <w:rFonts w:ascii="Palatino Linotype" w:hAnsi="Palatino Linotype" w:cstheme="minorHAnsi"/>
          <w:b/>
          <w:sz w:val="20"/>
          <w:szCs w:val="20"/>
          <w:highlight w:val="yellow"/>
          <w:lang w:val="en-US"/>
        </w:rPr>
      </w:pPr>
      <w:r w:rsidRPr="00236056">
        <w:rPr>
          <w:rFonts w:ascii="Palatino Linotype" w:hAnsi="Palatino Linotype" w:cstheme="minorHAnsi"/>
          <w:b/>
          <w:sz w:val="18"/>
          <w:szCs w:val="18"/>
        </w:rPr>
        <w:t>Source:</w:t>
      </w:r>
      <w:r>
        <w:rPr>
          <w:rFonts w:ascii="Palatino Linotype" w:hAnsi="Palatino Linotype" w:cstheme="minorHAnsi"/>
          <w:sz w:val="18"/>
          <w:szCs w:val="18"/>
        </w:rPr>
        <w:t xml:space="preserve"> </w:t>
      </w:r>
      <w:proofErr w:type="spellStart"/>
      <w:r>
        <w:rPr>
          <w:rFonts w:ascii="Palatino Linotype" w:hAnsi="Palatino Linotype" w:cstheme="minorHAnsi"/>
          <w:sz w:val="18"/>
          <w:szCs w:val="18"/>
        </w:rPr>
        <w:t>TurkStat</w:t>
      </w:r>
      <w:proofErr w:type="spellEnd"/>
      <w:r>
        <w:rPr>
          <w:rFonts w:ascii="Palatino Linotype" w:hAnsi="Palatino Linotype" w:cstheme="minorHAnsi"/>
          <w:sz w:val="18"/>
          <w:szCs w:val="18"/>
        </w:rPr>
        <w:t>, Betam</w:t>
      </w:r>
    </w:p>
    <w:p w:rsidR="00E72443" w:rsidRDefault="00E72443" w:rsidP="00E72443">
      <w:pPr>
        <w:pStyle w:val="NormalWeb"/>
        <w:spacing w:line="360" w:lineRule="auto"/>
        <w:ind w:right="77"/>
        <w:rPr>
          <w:rFonts w:ascii="Palatino Linotype" w:hAnsi="Palatino Linotype" w:cstheme="minorHAnsi"/>
          <w:b/>
          <w:sz w:val="22"/>
          <w:szCs w:val="22"/>
          <w:lang w:val="en-US"/>
        </w:rPr>
      </w:pPr>
    </w:p>
    <w:p w:rsidR="005F1B18" w:rsidRDefault="005F1B18" w:rsidP="00E72443">
      <w:pPr>
        <w:pStyle w:val="NormalWeb"/>
        <w:spacing w:line="360" w:lineRule="auto"/>
        <w:ind w:right="77"/>
        <w:rPr>
          <w:rFonts w:ascii="Palatino Linotype" w:hAnsi="Palatino Linotype" w:cstheme="minorHAnsi"/>
          <w:b/>
          <w:sz w:val="22"/>
          <w:szCs w:val="22"/>
          <w:lang w:val="en-US"/>
        </w:rPr>
      </w:pPr>
    </w:p>
    <w:p w:rsidR="00E72443" w:rsidRPr="00E72443" w:rsidRDefault="00E72443" w:rsidP="00E72443">
      <w:pPr>
        <w:pStyle w:val="NormalWeb"/>
        <w:spacing w:line="360" w:lineRule="auto"/>
        <w:ind w:right="77"/>
        <w:rPr>
          <w:rFonts w:ascii="Palatino Linotype" w:hAnsi="Palatino Linotype" w:cstheme="minorHAnsi"/>
          <w:b/>
          <w:sz w:val="22"/>
          <w:szCs w:val="22"/>
          <w:lang w:val="en-US"/>
        </w:rPr>
      </w:pPr>
      <w:r w:rsidRPr="00E72443">
        <w:rPr>
          <w:rFonts w:ascii="Palatino Linotype" w:hAnsi="Palatino Linotype" w:cstheme="minorHAnsi"/>
          <w:b/>
          <w:sz w:val="22"/>
          <w:szCs w:val="22"/>
          <w:lang w:val="en-US"/>
        </w:rPr>
        <w:lastRenderedPageBreak/>
        <w:t>Surprise increase in investments</w:t>
      </w:r>
    </w:p>
    <w:p w:rsidR="00E72443" w:rsidRPr="00E72443" w:rsidRDefault="00D62A5E" w:rsidP="00E72443">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501227">
        <w:rPr>
          <w:rFonts w:ascii="Palatino Linotype" w:hAnsi="Palatino Linotype" w:cstheme="minorHAnsi"/>
          <w:sz w:val="22"/>
          <w:szCs w:val="22"/>
          <w:lang w:val="en-US"/>
        </w:rPr>
        <w:t>The c</w:t>
      </w:r>
      <w:r w:rsidR="00E72443" w:rsidRPr="00501227">
        <w:rPr>
          <w:rFonts w:ascii="Palatino Linotype" w:hAnsi="Palatino Linotype" w:cstheme="minorHAnsi"/>
          <w:sz w:val="22"/>
          <w:szCs w:val="22"/>
          <w:lang w:val="en-US"/>
        </w:rPr>
        <w:t xml:space="preserve">ontribution of investments to second quarter growth of 2017 was surprising. In the </w:t>
      </w:r>
      <w:proofErr w:type="spellStart"/>
      <w:r w:rsidR="00E72443" w:rsidRPr="00501227">
        <w:rPr>
          <w:rFonts w:ascii="Palatino Linotype" w:hAnsi="Palatino Linotype" w:cstheme="minorHAnsi"/>
          <w:sz w:val="22"/>
          <w:szCs w:val="22"/>
          <w:lang w:val="en-US"/>
        </w:rPr>
        <w:t>Betam</w:t>
      </w:r>
      <w:proofErr w:type="spellEnd"/>
      <w:r w:rsidR="00E72443" w:rsidRPr="00501227">
        <w:rPr>
          <w:rFonts w:ascii="Palatino Linotype" w:hAnsi="Palatino Linotype" w:cstheme="minorHAnsi"/>
          <w:sz w:val="22"/>
          <w:szCs w:val="22"/>
          <w:lang w:val="en-US"/>
        </w:rPr>
        <w:t xml:space="preserve"> research note, "Economic Growth and Forecasts: August 2017", which we published earlier, we emphasized that commercial lending was booming and supported the investments. The realizations confirm </w:t>
      </w:r>
      <w:r w:rsidRPr="00501227">
        <w:rPr>
          <w:rFonts w:ascii="Palatino Linotype" w:hAnsi="Palatino Linotype" w:cstheme="minorHAnsi"/>
          <w:sz w:val="22"/>
          <w:szCs w:val="22"/>
          <w:lang w:val="en-US"/>
        </w:rPr>
        <w:t>our</w:t>
      </w:r>
      <w:r w:rsidR="00E72443" w:rsidRPr="00501227">
        <w:rPr>
          <w:rFonts w:ascii="Palatino Linotype" w:hAnsi="Palatino Linotype" w:cstheme="minorHAnsi"/>
          <w:sz w:val="22"/>
          <w:szCs w:val="22"/>
          <w:lang w:val="en-US"/>
        </w:rPr>
        <w:t xml:space="preserve"> assertion. The contribution of investments </w:t>
      </w:r>
      <w:r w:rsidRPr="00501227">
        <w:rPr>
          <w:rFonts w:ascii="Palatino Linotype" w:hAnsi="Palatino Linotype" w:cstheme="minorHAnsi"/>
          <w:sz w:val="22"/>
          <w:szCs w:val="22"/>
          <w:lang w:val="en-US"/>
        </w:rPr>
        <w:t xml:space="preserve">to growth </w:t>
      </w:r>
      <w:r w:rsidR="00E72443" w:rsidRPr="00501227">
        <w:rPr>
          <w:rFonts w:ascii="Palatino Linotype" w:hAnsi="Palatino Linotype" w:cstheme="minorHAnsi"/>
          <w:sz w:val="22"/>
          <w:szCs w:val="22"/>
          <w:lang w:val="en-US"/>
        </w:rPr>
        <w:t xml:space="preserve">in the second quarter was 2.8 percentage points. This is slightly more than half of the 5.1 percent growth rate alone. We would like to remind you that investment contribution </w:t>
      </w:r>
      <w:r w:rsidRPr="00501227">
        <w:rPr>
          <w:rFonts w:ascii="Palatino Linotype" w:hAnsi="Palatino Linotype" w:cstheme="minorHAnsi"/>
          <w:sz w:val="22"/>
          <w:szCs w:val="22"/>
          <w:lang w:val="en-US"/>
        </w:rPr>
        <w:t>was</w:t>
      </w:r>
      <w:r w:rsidR="00E72443" w:rsidRPr="00501227">
        <w:rPr>
          <w:rFonts w:ascii="Palatino Linotype" w:hAnsi="Palatino Linotype" w:cstheme="minorHAnsi"/>
          <w:sz w:val="22"/>
          <w:szCs w:val="22"/>
          <w:lang w:val="en-US"/>
        </w:rPr>
        <w:t xml:space="preserve"> only 0.9 percentage points</w:t>
      </w:r>
      <w:r w:rsidRPr="00501227">
        <w:rPr>
          <w:rFonts w:ascii="Palatino Linotype" w:hAnsi="Palatino Linotype" w:cstheme="minorHAnsi"/>
          <w:sz w:val="22"/>
          <w:szCs w:val="22"/>
          <w:lang w:val="en-US"/>
        </w:rPr>
        <w:t xml:space="preserve"> in the first quarter</w:t>
      </w:r>
      <w:r w:rsidR="00E72443" w:rsidRPr="00501227">
        <w:rPr>
          <w:rFonts w:ascii="Palatino Linotype" w:hAnsi="Palatino Linotype" w:cstheme="minorHAnsi"/>
          <w:sz w:val="22"/>
          <w:szCs w:val="22"/>
          <w:lang w:val="en-US"/>
        </w:rPr>
        <w:t xml:space="preserve">. It is understood that the Credit Guarantee Fund (KGF) </w:t>
      </w:r>
      <w:r w:rsidR="00F13971" w:rsidRPr="00501227">
        <w:rPr>
          <w:rFonts w:ascii="Palatino Linotype" w:hAnsi="Palatino Linotype" w:cstheme="minorHAnsi"/>
          <w:sz w:val="22"/>
          <w:szCs w:val="22"/>
          <w:lang w:val="en-US"/>
        </w:rPr>
        <w:t>backed effectively</w:t>
      </w:r>
      <w:r w:rsidR="00E72443" w:rsidRPr="00501227">
        <w:rPr>
          <w:rFonts w:ascii="Palatino Linotype" w:hAnsi="Palatino Linotype" w:cstheme="minorHAnsi"/>
          <w:sz w:val="22"/>
          <w:szCs w:val="22"/>
          <w:lang w:val="en-US"/>
        </w:rPr>
        <w:t xml:space="preserve"> this high investment</w:t>
      </w:r>
      <w:r w:rsidR="00E72443" w:rsidRPr="00E72443">
        <w:rPr>
          <w:rFonts w:ascii="Palatino Linotype" w:hAnsi="Palatino Linotype" w:cstheme="minorHAnsi"/>
          <w:sz w:val="22"/>
          <w:szCs w:val="22"/>
          <w:lang w:val="en-US"/>
        </w:rPr>
        <w:t xml:space="preserve"> increase.</w:t>
      </w:r>
      <w:r>
        <w:rPr>
          <w:rStyle w:val="DipnotBavurusu"/>
          <w:rFonts w:ascii="Palatino Linotype" w:hAnsi="Palatino Linotype" w:cstheme="minorHAnsi"/>
          <w:sz w:val="22"/>
          <w:szCs w:val="22"/>
          <w:lang w:val="en-US"/>
        </w:rPr>
        <w:footnoteReference w:id="3"/>
      </w:r>
    </w:p>
    <w:p w:rsidR="00E72443" w:rsidRDefault="00E72443" w:rsidP="004931A5">
      <w:pPr>
        <w:pStyle w:val="NormalWeb"/>
        <w:spacing w:before="0" w:beforeAutospacing="0" w:after="0" w:afterAutospacing="0" w:line="360" w:lineRule="auto"/>
        <w:ind w:right="77"/>
        <w:rPr>
          <w:rFonts w:ascii="Palatino Linotype" w:hAnsi="Palatino Linotype" w:cstheme="minorHAnsi"/>
          <w:b/>
          <w:sz w:val="22"/>
          <w:szCs w:val="22"/>
          <w:lang w:val="en-US"/>
        </w:rPr>
      </w:pPr>
    </w:p>
    <w:p w:rsidR="00F070A3" w:rsidRPr="00F070A3" w:rsidRDefault="00F070A3" w:rsidP="00F070A3">
      <w:pPr>
        <w:pStyle w:val="NormalWeb"/>
        <w:spacing w:line="360" w:lineRule="auto"/>
        <w:ind w:right="77"/>
        <w:jc w:val="both"/>
        <w:rPr>
          <w:rFonts w:ascii="Palatino Linotype" w:hAnsi="Palatino Linotype" w:cstheme="minorHAnsi"/>
          <w:b/>
          <w:sz w:val="22"/>
          <w:szCs w:val="22"/>
          <w:lang w:val="en-US"/>
        </w:rPr>
      </w:pPr>
      <w:r w:rsidRPr="00F070A3">
        <w:rPr>
          <w:rFonts w:ascii="Palatino Linotype" w:hAnsi="Palatino Linotype" w:cstheme="minorHAnsi"/>
          <w:b/>
          <w:sz w:val="22"/>
          <w:szCs w:val="22"/>
          <w:lang w:val="en-US"/>
        </w:rPr>
        <w:t>The contribution of stock changes is negative</w:t>
      </w:r>
    </w:p>
    <w:p w:rsidR="00F070A3" w:rsidRPr="005F1B18" w:rsidRDefault="00F070A3" w:rsidP="00F070A3">
      <w:pPr>
        <w:pStyle w:val="NormalWeb"/>
        <w:spacing w:line="360" w:lineRule="auto"/>
        <w:ind w:right="77"/>
        <w:jc w:val="both"/>
        <w:rPr>
          <w:rFonts w:ascii="Palatino Linotype" w:hAnsi="Palatino Linotype" w:cstheme="minorHAnsi"/>
          <w:sz w:val="22"/>
          <w:szCs w:val="22"/>
          <w:lang w:val="en-US"/>
        </w:rPr>
      </w:pPr>
      <w:r w:rsidRPr="005F1B18">
        <w:rPr>
          <w:rFonts w:ascii="Palatino Linotype" w:hAnsi="Palatino Linotype" w:cstheme="minorHAnsi"/>
          <w:sz w:val="22"/>
          <w:szCs w:val="22"/>
          <w:lang w:val="en-US"/>
        </w:rPr>
        <w:t>In both quarters of 2017, the contributions of stock changes to growth are negative: -1.6 and -0.8 percentage points respectively (Table 1). The contribution of stock changes which seasonally and calendar-day adjusted is relatively high and positive (Table 2).</w:t>
      </w:r>
    </w:p>
    <w:p w:rsidR="003E1EED" w:rsidRDefault="007517B0" w:rsidP="00F070A3">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5F1B18">
        <w:rPr>
          <w:rFonts w:ascii="Palatino Linotype" w:hAnsi="Palatino Linotype" w:cstheme="minorHAnsi"/>
          <w:sz w:val="22"/>
          <w:szCs w:val="22"/>
          <w:lang w:val="en-US"/>
        </w:rPr>
        <w:t xml:space="preserve">Let’s remind at this point that </w:t>
      </w:r>
      <w:r w:rsidR="00F070A3" w:rsidRPr="005F1B18">
        <w:rPr>
          <w:rFonts w:ascii="Palatino Linotype" w:hAnsi="Palatino Linotype" w:cstheme="minorHAnsi"/>
          <w:sz w:val="22"/>
          <w:szCs w:val="22"/>
          <w:lang w:val="en-US"/>
        </w:rPr>
        <w:t>TURKSTAT uses the chained volume index method</w:t>
      </w:r>
      <w:r w:rsidRPr="005F1B18">
        <w:rPr>
          <w:rFonts w:ascii="Palatino Linotype" w:hAnsi="Palatino Linotype" w:cstheme="minorHAnsi"/>
          <w:sz w:val="22"/>
          <w:szCs w:val="22"/>
          <w:lang w:val="en-US"/>
        </w:rPr>
        <w:t>ology</w:t>
      </w:r>
      <w:r w:rsidR="00F070A3" w:rsidRPr="005F1B18">
        <w:rPr>
          <w:rFonts w:ascii="Palatino Linotype" w:hAnsi="Palatino Linotype" w:cstheme="minorHAnsi"/>
          <w:sz w:val="22"/>
          <w:szCs w:val="22"/>
          <w:lang w:val="en-US"/>
        </w:rPr>
        <w:t xml:space="preserve"> when calculating new national income series. The contribution to growth of the stock change </w:t>
      </w:r>
      <w:r w:rsidR="00F01552" w:rsidRPr="005F1B18">
        <w:rPr>
          <w:rFonts w:ascii="Palatino Linotype" w:hAnsi="Palatino Linotype" w:cstheme="minorHAnsi"/>
          <w:sz w:val="22"/>
          <w:szCs w:val="22"/>
          <w:lang w:val="en-US"/>
        </w:rPr>
        <w:t>cannot</w:t>
      </w:r>
      <w:r w:rsidR="00F070A3" w:rsidRPr="005F1B18">
        <w:rPr>
          <w:rFonts w:ascii="Palatino Linotype" w:hAnsi="Palatino Linotype" w:cstheme="minorHAnsi"/>
          <w:sz w:val="22"/>
          <w:szCs w:val="22"/>
          <w:lang w:val="en-US"/>
        </w:rPr>
        <w:t xml:space="preserve"> be easily calculated because </w:t>
      </w:r>
      <w:r w:rsidRPr="005F1B18">
        <w:rPr>
          <w:rFonts w:ascii="Palatino Linotype" w:hAnsi="Palatino Linotype" w:cstheme="minorHAnsi"/>
          <w:sz w:val="22"/>
          <w:szCs w:val="22"/>
          <w:lang w:val="en-US"/>
        </w:rPr>
        <w:t>there are</w:t>
      </w:r>
      <w:r w:rsidR="00F070A3" w:rsidRPr="005F1B18">
        <w:rPr>
          <w:rFonts w:ascii="Palatino Linotype" w:hAnsi="Palatino Linotype" w:cstheme="minorHAnsi"/>
          <w:sz w:val="22"/>
          <w:szCs w:val="22"/>
          <w:lang w:val="en-US"/>
        </w:rPr>
        <w:t xml:space="preserve"> both a</w:t>
      </w:r>
      <w:r w:rsidRPr="005F1B18">
        <w:rPr>
          <w:rFonts w:ascii="Palatino Linotype" w:hAnsi="Palatino Linotype" w:cstheme="minorHAnsi"/>
          <w:sz w:val="22"/>
          <w:szCs w:val="22"/>
          <w:lang w:val="en-US"/>
        </w:rPr>
        <w:t xml:space="preserve">n additivity problem </w:t>
      </w:r>
      <w:r w:rsidR="00F070A3" w:rsidRPr="005F1B18">
        <w:rPr>
          <w:rFonts w:ascii="Palatino Linotype" w:hAnsi="Palatino Linotype" w:cstheme="minorHAnsi"/>
          <w:sz w:val="22"/>
          <w:szCs w:val="22"/>
          <w:lang w:val="en-US"/>
        </w:rPr>
        <w:t>in the chain method</w:t>
      </w:r>
      <w:r w:rsidRPr="005F1B18">
        <w:rPr>
          <w:rFonts w:ascii="Palatino Linotype" w:hAnsi="Palatino Linotype" w:cstheme="minorHAnsi"/>
          <w:sz w:val="22"/>
          <w:szCs w:val="22"/>
          <w:lang w:val="en-US"/>
        </w:rPr>
        <w:t>ology</w:t>
      </w:r>
      <w:r w:rsidR="00F070A3" w:rsidRPr="005F1B18">
        <w:rPr>
          <w:rFonts w:ascii="Palatino Linotype" w:hAnsi="Palatino Linotype" w:cstheme="minorHAnsi"/>
          <w:sz w:val="22"/>
          <w:szCs w:val="22"/>
          <w:lang w:val="en-US"/>
        </w:rPr>
        <w:t xml:space="preserve"> and a chain index </w:t>
      </w:r>
      <w:r w:rsidR="00F01552" w:rsidRPr="005F1B18">
        <w:rPr>
          <w:rFonts w:ascii="Palatino Linotype" w:hAnsi="Palatino Linotype" w:cstheme="minorHAnsi"/>
          <w:sz w:val="22"/>
          <w:szCs w:val="22"/>
          <w:lang w:val="en-US"/>
        </w:rPr>
        <w:t>cannot</w:t>
      </w:r>
      <w:r w:rsidR="00F070A3" w:rsidRPr="005F1B18">
        <w:rPr>
          <w:rFonts w:ascii="Palatino Linotype" w:hAnsi="Palatino Linotype" w:cstheme="minorHAnsi"/>
          <w:sz w:val="22"/>
          <w:szCs w:val="22"/>
          <w:lang w:val="en-US"/>
        </w:rPr>
        <w:t xml:space="preserve"> be derived for the "changes in stock"</w:t>
      </w:r>
      <w:r w:rsidR="00B20414" w:rsidRPr="005F1B18">
        <w:rPr>
          <w:rFonts w:ascii="Palatino Linotype" w:hAnsi="Palatino Linotype" w:cstheme="minorHAnsi"/>
          <w:sz w:val="22"/>
          <w:szCs w:val="22"/>
          <w:lang w:val="en-US"/>
        </w:rPr>
        <w:t xml:space="preserve">. </w:t>
      </w:r>
      <w:r w:rsidR="00F070A3" w:rsidRPr="005F1B18">
        <w:rPr>
          <w:rFonts w:ascii="Palatino Linotype" w:hAnsi="Palatino Linotype" w:cstheme="minorHAnsi"/>
          <w:sz w:val="22"/>
          <w:szCs w:val="22"/>
          <w:lang w:val="en-US"/>
        </w:rPr>
        <w:t>We discussed</w:t>
      </w:r>
      <w:r w:rsidR="00F070A3" w:rsidRPr="00F070A3">
        <w:rPr>
          <w:rFonts w:ascii="Palatino Linotype" w:hAnsi="Palatino Linotype" w:cstheme="minorHAnsi"/>
          <w:sz w:val="22"/>
          <w:szCs w:val="22"/>
          <w:lang w:val="en-US"/>
        </w:rPr>
        <w:t xml:space="preserve"> in detail in the research note that we recently published how the contribution of stock change to growth in the chain-volume index approach </w:t>
      </w:r>
      <w:r w:rsidR="006E7E11">
        <w:rPr>
          <w:rFonts w:ascii="Palatino Linotype" w:hAnsi="Palatino Linotype" w:cstheme="minorHAnsi"/>
          <w:sz w:val="22"/>
          <w:szCs w:val="22"/>
          <w:lang w:val="en-US"/>
        </w:rPr>
        <w:t xml:space="preserve">may </w:t>
      </w:r>
      <w:r w:rsidR="00F070A3" w:rsidRPr="00F070A3">
        <w:rPr>
          <w:rFonts w:ascii="Palatino Linotype" w:hAnsi="Palatino Linotype" w:cstheme="minorHAnsi"/>
          <w:sz w:val="22"/>
          <w:szCs w:val="22"/>
          <w:lang w:val="en-US"/>
        </w:rPr>
        <w:t xml:space="preserve">be calculated (see </w:t>
      </w:r>
      <w:proofErr w:type="spellStart"/>
      <w:r w:rsidR="00F070A3" w:rsidRPr="00F070A3">
        <w:rPr>
          <w:rFonts w:ascii="Palatino Linotype" w:hAnsi="Palatino Linotype" w:cstheme="minorHAnsi"/>
          <w:sz w:val="22"/>
          <w:szCs w:val="22"/>
          <w:lang w:val="en-US"/>
        </w:rPr>
        <w:t>Betam</w:t>
      </w:r>
      <w:proofErr w:type="spellEnd"/>
      <w:r w:rsidR="00F070A3" w:rsidRPr="00F070A3">
        <w:rPr>
          <w:rFonts w:ascii="Palatino Linotype" w:hAnsi="Palatino Linotype" w:cstheme="minorHAnsi"/>
          <w:sz w:val="22"/>
          <w:szCs w:val="22"/>
          <w:lang w:val="en-US"/>
        </w:rPr>
        <w:t xml:space="preserve"> Research Note 17/217).</w:t>
      </w:r>
    </w:p>
    <w:p w:rsidR="00F070A3" w:rsidRDefault="00F070A3" w:rsidP="00F070A3">
      <w:pPr>
        <w:pStyle w:val="NormalWeb"/>
        <w:spacing w:before="0" w:beforeAutospacing="0" w:after="0" w:afterAutospacing="0" w:line="360" w:lineRule="auto"/>
        <w:ind w:right="77"/>
        <w:jc w:val="both"/>
        <w:rPr>
          <w:rFonts w:ascii="Palatino Linotype" w:hAnsi="Palatino Linotype" w:cstheme="minorHAnsi"/>
          <w:sz w:val="22"/>
          <w:szCs w:val="22"/>
          <w:lang w:val="en-US"/>
        </w:rPr>
      </w:pPr>
    </w:p>
    <w:p w:rsidR="00BB61F5" w:rsidRDefault="00BB61F5" w:rsidP="00DA5D8A">
      <w:pPr>
        <w:pStyle w:val="NormalWeb"/>
        <w:spacing w:line="360" w:lineRule="auto"/>
        <w:ind w:right="77"/>
        <w:rPr>
          <w:rFonts w:ascii="Palatino Linotype" w:hAnsi="Palatino Linotype" w:cstheme="minorHAnsi"/>
          <w:b/>
          <w:sz w:val="22"/>
          <w:szCs w:val="22"/>
          <w:lang w:val="en-US"/>
        </w:rPr>
      </w:pPr>
    </w:p>
    <w:p w:rsidR="005F1B18" w:rsidRDefault="005F1B18" w:rsidP="00DA5D8A">
      <w:pPr>
        <w:pStyle w:val="NormalWeb"/>
        <w:spacing w:line="360" w:lineRule="auto"/>
        <w:ind w:right="77"/>
        <w:rPr>
          <w:rFonts w:ascii="Palatino Linotype" w:hAnsi="Palatino Linotype" w:cstheme="minorHAnsi"/>
          <w:b/>
          <w:sz w:val="22"/>
          <w:szCs w:val="22"/>
          <w:lang w:val="en-US"/>
        </w:rPr>
      </w:pPr>
    </w:p>
    <w:p w:rsidR="00DA5D8A" w:rsidRPr="00DA5D8A" w:rsidRDefault="00DA5D8A" w:rsidP="00DA5D8A">
      <w:pPr>
        <w:pStyle w:val="NormalWeb"/>
        <w:spacing w:line="360" w:lineRule="auto"/>
        <w:ind w:right="77"/>
        <w:rPr>
          <w:rFonts w:ascii="Palatino Linotype" w:hAnsi="Palatino Linotype" w:cstheme="minorHAnsi"/>
          <w:b/>
          <w:sz w:val="22"/>
          <w:szCs w:val="22"/>
          <w:lang w:val="en-US"/>
        </w:rPr>
      </w:pPr>
      <w:r w:rsidRPr="00DA5D8A">
        <w:rPr>
          <w:rFonts w:ascii="Palatino Linotype" w:hAnsi="Palatino Linotype" w:cstheme="minorHAnsi"/>
          <w:b/>
          <w:sz w:val="22"/>
          <w:szCs w:val="22"/>
          <w:lang w:val="en-US"/>
        </w:rPr>
        <w:lastRenderedPageBreak/>
        <w:t>High contribution</w:t>
      </w:r>
      <w:r w:rsidR="00CC6D2B">
        <w:rPr>
          <w:rFonts w:ascii="Palatino Linotype" w:hAnsi="Palatino Linotype" w:cstheme="minorHAnsi"/>
          <w:b/>
          <w:sz w:val="22"/>
          <w:szCs w:val="22"/>
          <w:lang w:val="en-US"/>
        </w:rPr>
        <w:t xml:space="preserve"> of export</w:t>
      </w:r>
      <w:r w:rsidRPr="00DA5D8A">
        <w:rPr>
          <w:rFonts w:ascii="Palatino Linotype" w:hAnsi="Palatino Linotype" w:cstheme="minorHAnsi"/>
          <w:b/>
          <w:sz w:val="22"/>
          <w:szCs w:val="22"/>
          <w:lang w:val="en-US"/>
        </w:rPr>
        <w:t xml:space="preserve"> to growth </w:t>
      </w:r>
    </w:p>
    <w:p w:rsidR="00F5130C" w:rsidRDefault="00DA5D8A" w:rsidP="004B38B2">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DA5D8A">
        <w:rPr>
          <w:rFonts w:ascii="Palatino Linotype" w:hAnsi="Palatino Linotype" w:cstheme="minorHAnsi"/>
          <w:sz w:val="22"/>
          <w:szCs w:val="22"/>
          <w:lang w:val="en-US"/>
        </w:rPr>
        <w:t xml:space="preserve">Net foreign </w:t>
      </w:r>
      <w:r w:rsidRPr="005F1B18">
        <w:rPr>
          <w:rFonts w:ascii="Palatino Linotype" w:hAnsi="Palatino Linotype" w:cstheme="minorHAnsi"/>
          <w:sz w:val="22"/>
          <w:szCs w:val="22"/>
          <w:lang w:val="en-US"/>
        </w:rPr>
        <w:t xml:space="preserve">trade contribution, which accelerated with the depreciation of TL in the last period, continued in the second quarter. </w:t>
      </w:r>
      <w:r w:rsidR="00CC172A" w:rsidRPr="005F1B18">
        <w:rPr>
          <w:rFonts w:ascii="Palatino Linotype" w:hAnsi="Palatino Linotype" w:cstheme="minorHAnsi"/>
          <w:sz w:val="22"/>
          <w:szCs w:val="22"/>
          <w:lang w:val="en-US"/>
        </w:rPr>
        <w:t xml:space="preserve">While </w:t>
      </w:r>
      <w:r w:rsidR="00B20414" w:rsidRPr="005F1B18">
        <w:rPr>
          <w:rFonts w:ascii="Palatino Linotype" w:hAnsi="Palatino Linotype" w:cstheme="minorHAnsi"/>
          <w:sz w:val="22"/>
          <w:szCs w:val="22"/>
          <w:lang w:val="en-US"/>
        </w:rPr>
        <w:t>e</w:t>
      </w:r>
      <w:r w:rsidRPr="005F1B18">
        <w:rPr>
          <w:rFonts w:ascii="Palatino Linotype" w:hAnsi="Palatino Linotype" w:cstheme="minorHAnsi"/>
          <w:sz w:val="22"/>
          <w:szCs w:val="22"/>
          <w:lang w:val="en-US"/>
        </w:rPr>
        <w:t xml:space="preserve">xport contribution </w:t>
      </w:r>
      <w:r w:rsidR="00CC172A" w:rsidRPr="005F1B18">
        <w:rPr>
          <w:rFonts w:ascii="Palatino Linotype" w:hAnsi="Palatino Linotype" w:cstheme="minorHAnsi"/>
          <w:sz w:val="22"/>
          <w:szCs w:val="22"/>
          <w:lang w:val="en-US"/>
        </w:rPr>
        <w:t xml:space="preserve">reached </w:t>
      </w:r>
      <w:r w:rsidRPr="005F1B18">
        <w:rPr>
          <w:rFonts w:ascii="Palatino Linotype" w:hAnsi="Palatino Linotype" w:cstheme="minorHAnsi"/>
          <w:sz w:val="22"/>
          <w:szCs w:val="22"/>
          <w:lang w:val="en-US"/>
        </w:rPr>
        <w:t xml:space="preserve">2.3 percentage points, import contribution </w:t>
      </w:r>
      <w:r w:rsidR="00CC172A" w:rsidRPr="005F1B18">
        <w:rPr>
          <w:rFonts w:ascii="Palatino Linotype" w:hAnsi="Palatino Linotype" w:cstheme="minorHAnsi"/>
          <w:sz w:val="22"/>
          <w:szCs w:val="22"/>
          <w:lang w:val="en-US"/>
        </w:rPr>
        <w:t>(minus) 0.5 percentage points. We</w:t>
      </w:r>
      <w:r w:rsidRPr="005F1B18">
        <w:rPr>
          <w:rFonts w:ascii="Palatino Linotype" w:hAnsi="Palatino Linotype" w:cstheme="minorHAnsi"/>
          <w:sz w:val="22"/>
          <w:szCs w:val="22"/>
          <w:lang w:val="en-US"/>
        </w:rPr>
        <w:t xml:space="preserve"> would like to underline that the increase in imports in the </w:t>
      </w:r>
      <w:r w:rsidR="00CC6D2B" w:rsidRPr="005F1B18">
        <w:rPr>
          <w:rFonts w:ascii="Palatino Linotype" w:hAnsi="Palatino Linotype" w:cstheme="minorHAnsi"/>
          <w:sz w:val="22"/>
          <w:szCs w:val="22"/>
          <w:lang w:val="en-US"/>
        </w:rPr>
        <w:t>second</w:t>
      </w:r>
      <w:r w:rsidRPr="005F1B18">
        <w:rPr>
          <w:rFonts w:ascii="Palatino Linotype" w:hAnsi="Palatino Linotype" w:cstheme="minorHAnsi"/>
          <w:sz w:val="22"/>
          <w:szCs w:val="22"/>
          <w:lang w:val="en-US"/>
        </w:rPr>
        <w:t xml:space="preserve"> quarter is similar to that in the first quarter but the increase in import in the second quarter </w:t>
      </w:r>
      <w:r w:rsidR="00CC6D2B" w:rsidRPr="005F1B18">
        <w:rPr>
          <w:rFonts w:ascii="Palatino Linotype" w:hAnsi="Palatino Linotype" w:cstheme="minorHAnsi"/>
          <w:sz w:val="22"/>
          <w:szCs w:val="22"/>
          <w:lang w:val="en-US"/>
        </w:rPr>
        <w:t>became stronger</w:t>
      </w:r>
      <w:r w:rsidRPr="005F1B18">
        <w:rPr>
          <w:rFonts w:ascii="Palatino Linotype" w:hAnsi="Palatino Linotype" w:cstheme="minorHAnsi"/>
          <w:sz w:val="22"/>
          <w:szCs w:val="22"/>
          <w:lang w:val="en-US"/>
        </w:rPr>
        <w:t xml:space="preserve"> (Table 1). </w:t>
      </w:r>
      <w:r w:rsidR="00CC6D2B" w:rsidRPr="005F1B18">
        <w:rPr>
          <w:rFonts w:ascii="Palatino Linotype" w:hAnsi="Palatino Linotype" w:cstheme="minorHAnsi"/>
          <w:sz w:val="22"/>
          <w:szCs w:val="22"/>
          <w:lang w:val="en-US"/>
        </w:rPr>
        <w:t>W</w:t>
      </w:r>
      <w:r w:rsidRPr="005F1B18">
        <w:rPr>
          <w:rFonts w:ascii="Palatino Linotype" w:hAnsi="Palatino Linotype" w:cstheme="minorHAnsi"/>
          <w:sz w:val="22"/>
          <w:szCs w:val="22"/>
          <w:lang w:val="en-US"/>
        </w:rPr>
        <w:t xml:space="preserve">e see that the </w:t>
      </w:r>
      <w:r w:rsidR="00CC6D2B" w:rsidRPr="005F1B18">
        <w:rPr>
          <w:rFonts w:ascii="Palatino Linotype" w:hAnsi="Palatino Linotype" w:cstheme="minorHAnsi"/>
          <w:sz w:val="22"/>
          <w:szCs w:val="22"/>
          <w:lang w:val="en-US"/>
        </w:rPr>
        <w:t xml:space="preserve">seasonally and calendar-day adjusted </w:t>
      </w:r>
      <w:r w:rsidR="00CC172A" w:rsidRPr="005F1B18">
        <w:rPr>
          <w:rFonts w:ascii="Palatino Linotype" w:hAnsi="Palatino Linotype" w:cstheme="minorHAnsi"/>
          <w:sz w:val="22"/>
          <w:szCs w:val="22"/>
          <w:lang w:val="en-US"/>
        </w:rPr>
        <w:t xml:space="preserve">net </w:t>
      </w:r>
      <w:r w:rsidRPr="005F1B18">
        <w:rPr>
          <w:rFonts w:ascii="Palatino Linotype" w:hAnsi="Palatino Linotype" w:cstheme="minorHAnsi"/>
          <w:sz w:val="22"/>
          <w:szCs w:val="22"/>
          <w:lang w:val="en-US"/>
        </w:rPr>
        <w:t xml:space="preserve">export contribution </w:t>
      </w:r>
      <w:r w:rsidR="00CC6D2B" w:rsidRPr="005F1B18">
        <w:rPr>
          <w:rFonts w:ascii="Palatino Linotype" w:hAnsi="Palatino Linotype" w:cstheme="minorHAnsi"/>
          <w:sz w:val="22"/>
          <w:szCs w:val="22"/>
          <w:lang w:val="en-US"/>
        </w:rPr>
        <w:t xml:space="preserve">to quarterly growth </w:t>
      </w:r>
      <w:r w:rsidR="00096C3A" w:rsidRPr="005F1B18">
        <w:rPr>
          <w:rFonts w:ascii="Palatino Linotype" w:hAnsi="Palatino Linotype" w:cstheme="minorHAnsi"/>
          <w:sz w:val="22"/>
          <w:szCs w:val="22"/>
          <w:lang w:val="en-US"/>
        </w:rPr>
        <w:t>changed from positive to negative</w:t>
      </w:r>
      <w:r w:rsidR="00CC6D2B" w:rsidRPr="005F1B18">
        <w:rPr>
          <w:rFonts w:ascii="Palatino Linotype" w:hAnsi="Palatino Linotype" w:cstheme="minorHAnsi"/>
          <w:sz w:val="22"/>
          <w:szCs w:val="22"/>
          <w:lang w:val="en-US"/>
        </w:rPr>
        <w:t xml:space="preserve">. </w:t>
      </w:r>
      <w:r w:rsidRPr="005F1B18">
        <w:rPr>
          <w:rFonts w:ascii="Palatino Linotype" w:hAnsi="Palatino Linotype" w:cstheme="minorHAnsi"/>
          <w:sz w:val="22"/>
          <w:szCs w:val="22"/>
          <w:lang w:val="en-US"/>
        </w:rPr>
        <w:t xml:space="preserve">Exports </w:t>
      </w:r>
      <w:r w:rsidR="00096C3A" w:rsidRPr="005F1B18">
        <w:rPr>
          <w:rFonts w:ascii="Palatino Linotype" w:hAnsi="Palatino Linotype" w:cstheme="minorHAnsi"/>
          <w:sz w:val="22"/>
          <w:szCs w:val="22"/>
          <w:lang w:val="en-US"/>
        </w:rPr>
        <w:t>declined</w:t>
      </w:r>
      <w:r w:rsidRPr="005F1B18">
        <w:rPr>
          <w:rFonts w:ascii="Palatino Linotype" w:hAnsi="Palatino Linotype" w:cstheme="minorHAnsi"/>
          <w:sz w:val="22"/>
          <w:szCs w:val="22"/>
          <w:lang w:val="en-US"/>
        </w:rPr>
        <w:t xml:space="preserve"> 0.7 percent from the first quarter</w:t>
      </w:r>
      <w:r w:rsidR="00096C3A" w:rsidRPr="005F1B18">
        <w:rPr>
          <w:rFonts w:ascii="Palatino Linotype" w:hAnsi="Palatino Linotype" w:cstheme="minorHAnsi"/>
          <w:sz w:val="22"/>
          <w:szCs w:val="22"/>
          <w:lang w:val="en-US"/>
        </w:rPr>
        <w:t xml:space="preserve"> to second quarter </w:t>
      </w:r>
      <w:r w:rsidRPr="005F1B18">
        <w:rPr>
          <w:rFonts w:ascii="Palatino Linotype" w:hAnsi="Palatino Linotype" w:cstheme="minorHAnsi"/>
          <w:sz w:val="22"/>
          <w:szCs w:val="22"/>
          <w:lang w:val="en-US"/>
        </w:rPr>
        <w:t xml:space="preserve">while import </w:t>
      </w:r>
      <w:r w:rsidR="00096C3A" w:rsidRPr="005F1B18">
        <w:rPr>
          <w:rFonts w:ascii="Palatino Linotype" w:hAnsi="Palatino Linotype" w:cstheme="minorHAnsi"/>
          <w:sz w:val="22"/>
          <w:szCs w:val="22"/>
          <w:lang w:val="en-US"/>
        </w:rPr>
        <w:t>increased</w:t>
      </w:r>
      <w:r w:rsidRPr="005F1B18">
        <w:rPr>
          <w:rFonts w:ascii="Palatino Linotype" w:hAnsi="Palatino Linotype" w:cstheme="minorHAnsi"/>
          <w:sz w:val="22"/>
          <w:szCs w:val="22"/>
          <w:lang w:val="en-US"/>
        </w:rPr>
        <w:t xml:space="preserve"> to 5.3 percent. We note that this development is consistent with the increase in domestic demand (Table 2).</w:t>
      </w:r>
    </w:p>
    <w:p w:rsidR="001A7753" w:rsidRPr="00DA5D8A" w:rsidRDefault="001A7753" w:rsidP="00DA5D8A">
      <w:pPr>
        <w:pStyle w:val="NormalWeb"/>
        <w:spacing w:before="0" w:beforeAutospacing="0" w:after="0" w:afterAutospacing="0" w:line="360" w:lineRule="auto"/>
        <w:ind w:right="77"/>
        <w:rPr>
          <w:rFonts w:ascii="Palatino Linotype" w:hAnsi="Palatino Linotype" w:cstheme="minorHAnsi"/>
          <w:sz w:val="22"/>
          <w:szCs w:val="22"/>
          <w:lang w:val="en-US"/>
        </w:rPr>
      </w:pPr>
    </w:p>
    <w:p w:rsidR="001A7753" w:rsidRPr="001A7753" w:rsidRDefault="001A7753" w:rsidP="001A7753">
      <w:pPr>
        <w:pStyle w:val="NormalWeb"/>
        <w:spacing w:line="360" w:lineRule="auto"/>
        <w:ind w:right="77"/>
        <w:jc w:val="both"/>
        <w:rPr>
          <w:rFonts w:ascii="Palatino Linotype" w:hAnsi="Palatino Linotype" w:cstheme="minorHAnsi"/>
          <w:b/>
          <w:bCs/>
          <w:sz w:val="22"/>
          <w:szCs w:val="22"/>
          <w:lang w:val="en-US"/>
        </w:rPr>
      </w:pPr>
      <w:r w:rsidRPr="001A7753">
        <w:rPr>
          <w:rFonts w:ascii="Palatino Linotype" w:hAnsi="Palatino Linotype" w:cstheme="minorHAnsi"/>
          <w:b/>
          <w:bCs/>
          <w:sz w:val="22"/>
          <w:szCs w:val="22"/>
          <w:lang w:val="en-US"/>
        </w:rPr>
        <w:t>Growth contribution of public expenditures is negative</w:t>
      </w:r>
    </w:p>
    <w:p w:rsidR="003E1EED" w:rsidRPr="00B20414" w:rsidRDefault="001A7753" w:rsidP="00E41840">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5F1B18">
        <w:rPr>
          <w:rFonts w:ascii="Palatino Linotype" w:hAnsi="Palatino Linotype" w:cstheme="minorHAnsi"/>
          <w:bCs/>
          <w:sz w:val="22"/>
          <w:szCs w:val="22"/>
          <w:lang w:val="en-US"/>
        </w:rPr>
        <w:t xml:space="preserve">The contribution of the government spending to annually growth is negative in the second quarter (-0.7 percentage points).  However, the contribution in the first quarter was 1.4 percent </w:t>
      </w:r>
      <w:r w:rsidR="00CC172A" w:rsidRPr="005F1B18">
        <w:rPr>
          <w:rFonts w:ascii="Palatino Linotype" w:hAnsi="Palatino Linotype" w:cstheme="minorHAnsi"/>
          <w:bCs/>
          <w:sz w:val="22"/>
          <w:szCs w:val="22"/>
          <w:lang w:val="en-US"/>
        </w:rPr>
        <w:t xml:space="preserve">points </w:t>
      </w:r>
      <w:r w:rsidRPr="005F1B18">
        <w:rPr>
          <w:rFonts w:ascii="Palatino Linotype" w:hAnsi="Palatino Linotype" w:cstheme="minorHAnsi"/>
          <w:bCs/>
          <w:sz w:val="22"/>
          <w:szCs w:val="22"/>
          <w:lang w:val="en-US"/>
        </w:rPr>
        <w:t>(Table 1). When we look at the quarterly growth contributions, we see that public consumption expenditures have made a negative contribution in both quarters.</w:t>
      </w:r>
      <w:r w:rsidR="00CC172A" w:rsidRPr="005F1B18">
        <w:rPr>
          <w:rFonts w:ascii="Palatino Linotype" w:hAnsi="Palatino Linotype" w:cstheme="minorHAnsi"/>
          <w:bCs/>
          <w:sz w:val="22"/>
          <w:szCs w:val="22"/>
          <w:lang w:val="en-US"/>
        </w:rPr>
        <w:t xml:space="preserve"> </w:t>
      </w:r>
      <w:r w:rsidR="004B0F7E" w:rsidRPr="005F1B18">
        <w:rPr>
          <w:rFonts w:ascii="Palatino Linotype" w:hAnsi="Palatino Linotype" w:cstheme="minorHAnsi"/>
          <w:bCs/>
          <w:sz w:val="22"/>
          <w:szCs w:val="22"/>
          <w:lang w:val="en-US"/>
        </w:rPr>
        <w:t xml:space="preserve">Regarding public expenditures that realized a strong increase in 2016 (year of referendum) it appears a push on the brakes </w:t>
      </w:r>
      <w:proofErr w:type="gramStart"/>
      <w:r w:rsidR="004B0F7E" w:rsidRPr="005F1B18">
        <w:rPr>
          <w:rFonts w:ascii="Palatino Linotype" w:hAnsi="Palatino Linotype" w:cstheme="minorHAnsi"/>
          <w:bCs/>
          <w:sz w:val="22"/>
          <w:szCs w:val="22"/>
          <w:lang w:val="en-US"/>
        </w:rPr>
        <w:t>in order to</w:t>
      </w:r>
      <w:proofErr w:type="gramEnd"/>
      <w:r w:rsidR="004B0F7E" w:rsidRPr="005F1B18">
        <w:rPr>
          <w:rFonts w:ascii="Palatino Linotype" w:hAnsi="Palatino Linotype" w:cstheme="minorHAnsi"/>
          <w:bCs/>
          <w:sz w:val="22"/>
          <w:szCs w:val="22"/>
          <w:lang w:val="en-US"/>
        </w:rPr>
        <w:t xml:space="preserve"> reestablish the fiscal discipline (Table 2).</w:t>
      </w:r>
      <w:r w:rsidR="004B0F7E">
        <w:rPr>
          <w:rFonts w:ascii="Palatino Linotype" w:hAnsi="Palatino Linotype" w:cstheme="minorHAnsi"/>
          <w:bCs/>
          <w:sz w:val="22"/>
          <w:szCs w:val="22"/>
          <w:lang w:val="en-US"/>
        </w:rPr>
        <w:t xml:space="preserve">  </w:t>
      </w:r>
    </w:p>
    <w:p w:rsidR="004B38B2" w:rsidRPr="004B38B2" w:rsidRDefault="004B38B2" w:rsidP="004B38B2">
      <w:pPr>
        <w:pStyle w:val="NormalWeb"/>
        <w:spacing w:line="360" w:lineRule="auto"/>
        <w:ind w:right="77"/>
        <w:jc w:val="both"/>
        <w:rPr>
          <w:rFonts w:ascii="Palatino Linotype" w:hAnsi="Palatino Linotype" w:cstheme="minorHAnsi"/>
          <w:b/>
          <w:sz w:val="22"/>
          <w:szCs w:val="22"/>
          <w:lang w:val="en-US"/>
        </w:rPr>
      </w:pPr>
      <w:r w:rsidRPr="004B38B2">
        <w:rPr>
          <w:rFonts w:ascii="Palatino Linotype" w:hAnsi="Palatino Linotype" w:cstheme="minorHAnsi"/>
          <w:b/>
          <w:sz w:val="22"/>
          <w:szCs w:val="22"/>
          <w:lang w:val="en-US"/>
        </w:rPr>
        <w:t>The Future of Growth</w:t>
      </w:r>
    </w:p>
    <w:p w:rsidR="004B38B2" w:rsidRPr="004B38B2" w:rsidRDefault="004B38B2" w:rsidP="004B38B2">
      <w:pPr>
        <w:pStyle w:val="NormalWeb"/>
        <w:spacing w:line="360" w:lineRule="auto"/>
        <w:ind w:right="77"/>
        <w:jc w:val="both"/>
        <w:rPr>
          <w:rFonts w:ascii="Palatino Linotype" w:hAnsi="Palatino Linotype" w:cstheme="minorHAnsi"/>
          <w:sz w:val="22"/>
          <w:szCs w:val="22"/>
          <w:lang w:val="en-US"/>
        </w:rPr>
      </w:pPr>
      <w:r w:rsidRPr="004B38B2">
        <w:rPr>
          <w:rFonts w:ascii="Palatino Linotype" w:hAnsi="Palatino Linotype" w:cstheme="minorHAnsi"/>
          <w:sz w:val="22"/>
          <w:szCs w:val="22"/>
          <w:lang w:val="en-US"/>
        </w:rPr>
        <w:t xml:space="preserve">The annual growth rate for 2017 was in line with our forecast in the first quarter, but it was one point lower than our forecast in the second quarter. On the other hand, the growth of the first quarter to the second </w:t>
      </w:r>
      <w:r w:rsidRPr="005F1B18">
        <w:rPr>
          <w:rFonts w:ascii="Palatino Linotype" w:hAnsi="Palatino Linotype" w:cstheme="minorHAnsi"/>
          <w:sz w:val="22"/>
          <w:szCs w:val="22"/>
          <w:lang w:val="en-US"/>
        </w:rPr>
        <w:t xml:space="preserve">quarter is realized </w:t>
      </w:r>
      <w:r w:rsidR="00D5391B" w:rsidRPr="005F1B18">
        <w:rPr>
          <w:rFonts w:ascii="Palatino Linotype" w:hAnsi="Palatino Linotype" w:cstheme="minorHAnsi"/>
          <w:sz w:val="22"/>
          <w:szCs w:val="22"/>
          <w:lang w:val="en-US"/>
        </w:rPr>
        <w:t xml:space="preserve">along with </w:t>
      </w:r>
      <w:proofErr w:type="spellStart"/>
      <w:r w:rsidR="007512A2" w:rsidRPr="005F1B18">
        <w:rPr>
          <w:rFonts w:ascii="Palatino Linotype" w:hAnsi="Palatino Linotype" w:cstheme="minorHAnsi"/>
          <w:sz w:val="22"/>
          <w:szCs w:val="22"/>
          <w:lang w:val="en-US"/>
        </w:rPr>
        <w:t>Betam’s</w:t>
      </w:r>
      <w:proofErr w:type="spellEnd"/>
      <w:r w:rsidR="007512A2" w:rsidRPr="005F1B18">
        <w:rPr>
          <w:rFonts w:ascii="Palatino Linotype" w:hAnsi="Palatino Linotype" w:cstheme="minorHAnsi"/>
          <w:sz w:val="22"/>
          <w:szCs w:val="22"/>
          <w:lang w:val="en-US"/>
        </w:rPr>
        <w:t xml:space="preserve"> forecast</w:t>
      </w:r>
      <w:r w:rsidRPr="005F1B18">
        <w:rPr>
          <w:rFonts w:ascii="Palatino Linotype" w:hAnsi="Palatino Linotype" w:cstheme="minorHAnsi"/>
          <w:sz w:val="22"/>
          <w:szCs w:val="22"/>
          <w:lang w:val="en-US"/>
        </w:rPr>
        <w:t>. As it is known, in the third quarter of 2016, the economy</w:t>
      </w:r>
      <w:r w:rsidR="00D5391B" w:rsidRPr="005F1B18">
        <w:rPr>
          <w:rFonts w:ascii="Palatino Linotype" w:hAnsi="Palatino Linotype" w:cstheme="minorHAnsi"/>
          <w:sz w:val="22"/>
          <w:szCs w:val="22"/>
          <w:lang w:val="en-US"/>
        </w:rPr>
        <w:t xml:space="preserve"> has been contracted</w:t>
      </w:r>
      <w:r w:rsidRPr="005F1B18">
        <w:rPr>
          <w:rFonts w:ascii="Palatino Linotype" w:hAnsi="Palatino Linotype" w:cstheme="minorHAnsi"/>
          <w:sz w:val="22"/>
          <w:szCs w:val="22"/>
          <w:lang w:val="en-US"/>
        </w:rPr>
        <w:t>. Then, during the</w:t>
      </w:r>
      <w:r w:rsidR="00D5391B" w:rsidRPr="005F1B18">
        <w:rPr>
          <w:rFonts w:ascii="Palatino Linotype" w:hAnsi="Palatino Linotype" w:cstheme="minorHAnsi"/>
          <w:sz w:val="22"/>
          <w:szCs w:val="22"/>
          <w:lang w:val="en-US"/>
        </w:rPr>
        <w:t xml:space="preserve"> following </w:t>
      </w:r>
      <w:r w:rsidRPr="005F1B18">
        <w:rPr>
          <w:rFonts w:ascii="Palatino Linotype" w:hAnsi="Palatino Linotype" w:cstheme="minorHAnsi"/>
          <w:sz w:val="22"/>
          <w:szCs w:val="22"/>
          <w:lang w:val="en-US"/>
        </w:rPr>
        <w:t xml:space="preserve">three quarters, GDP growth was high. </w:t>
      </w:r>
      <w:r w:rsidR="00D5391B" w:rsidRPr="005F1B18">
        <w:rPr>
          <w:rFonts w:ascii="Palatino Linotype" w:hAnsi="Palatino Linotype" w:cstheme="minorHAnsi"/>
          <w:sz w:val="22"/>
          <w:szCs w:val="22"/>
          <w:lang w:val="en-US"/>
        </w:rPr>
        <w:t xml:space="preserve">Considering that GDP growth is continuing in the third quarter of this year almost everyone agrees that yearly growth rate would attain quite high level. </w:t>
      </w:r>
      <w:r w:rsidRPr="005F1B18">
        <w:rPr>
          <w:rFonts w:ascii="Palatino Linotype" w:hAnsi="Palatino Linotype" w:cstheme="minorHAnsi"/>
          <w:sz w:val="22"/>
          <w:szCs w:val="22"/>
          <w:lang w:val="en-US"/>
        </w:rPr>
        <w:t xml:space="preserve">Even rating companies, which are known for their recent low estimates, </w:t>
      </w:r>
      <w:r w:rsidR="00D5391B" w:rsidRPr="005F1B18">
        <w:rPr>
          <w:rFonts w:ascii="Palatino Linotype" w:hAnsi="Palatino Linotype" w:cstheme="minorHAnsi"/>
          <w:sz w:val="22"/>
          <w:szCs w:val="22"/>
          <w:lang w:val="en-US"/>
        </w:rPr>
        <w:t xml:space="preserve">forecasts </w:t>
      </w:r>
      <w:r w:rsidRPr="005F1B18">
        <w:rPr>
          <w:rFonts w:ascii="Palatino Linotype" w:hAnsi="Palatino Linotype" w:cstheme="minorHAnsi"/>
          <w:sz w:val="22"/>
          <w:szCs w:val="22"/>
          <w:lang w:val="en-US"/>
        </w:rPr>
        <w:t>third quarter GDP growth</w:t>
      </w:r>
      <w:r w:rsidR="007512A2" w:rsidRPr="005F1B18">
        <w:rPr>
          <w:rFonts w:ascii="Palatino Linotype" w:hAnsi="Palatino Linotype" w:cstheme="minorHAnsi"/>
          <w:sz w:val="22"/>
          <w:szCs w:val="22"/>
          <w:lang w:val="en-US"/>
        </w:rPr>
        <w:t xml:space="preserve"> </w:t>
      </w:r>
      <w:r w:rsidR="00D5391B" w:rsidRPr="005F1B18">
        <w:rPr>
          <w:rFonts w:ascii="Palatino Linotype" w:hAnsi="Palatino Linotype" w:cstheme="minorHAnsi"/>
          <w:sz w:val="22"/>
          <w:szCs w:val="22"/>
          <w:lang w:val="en-US"/>
        </w:rPr>
        <w:t>over</w:t>
      </w:r>
      <w:r w:rsidR="007512A2" w:rsidRPr="005F1B18">
        <w:rPr>
          <w:rFonts w:ascii="Palatino Linotype" w:hAnsi="Palatino Linotype" w:cstheme="minorHAnsi"/>
          <w:sz w:val="22"/>
          <w:szCs w:val="22"/>
          <w:lang w:val="en-US"/>
        </w:rPr>
        <w:t xml:space="preserve"> </w:t>
      </w:r>
      <w:r w:rsidR="008F1C05" w:rsidRPr="005F1B18">
        <w:rPr>
          <w:rFonts w:ascii="Palatino Linotype" w:hAnsi="Palatino Linotype" w:cstheme="minorHAnsi"/>
          <w:sz w:val="22"/>
          <w:szCs w:val="22"/>
          <w:lang w:val="en-US"/>
        </w:rPr>
        <w:t>7</w:t>
      </w:r>
      <w:r w:rsidR="005F1B18">
        <w:rPr>
          <w:rFonts w:ascii="Palatino Linotype" w:hAnsi="Palatino Linotype" w:cstheme="minorHAnsi"/>
          <w:sz w:val="22"/>
          <w:szCs w:val="22"/>
          <w:lang w:val="en-US"/>
        </w:rPr>
        <w:t xml:space="preserve"> </w:t>
      </w:r>
      <w:r w:rsidR="007512A2" w:rsidRPr="005F1B18">
        <w:rPr>
          <w:rFonts w:ascii="Palatino Linotype" w:hAnsi="Palatino Linotype" w:cstheme="minorHAnsi"/>
          <w:sz w:val="22"/>
          <w:szCs w:val="22"/>
          <w:lang w:val="en-US"/>
        </w:rPr>
        <w:t>percent.</w:t>
      </w:r>
    </w:p>
    <w:p w:rsidR="004B38B2" w:rsidRDefault="004B38B2" w:rsidP="004B38B2">
      <w:pPr>
        <w:pStyle w:val="NormalWeb"/>
        <w:spacing w:before="0" w:beforeAutospacing="0" w:after="0" w:afterAutospacing="0" w:line="360" w:lineRule="auto"/>
        <w:ind w:right="77"/>
        <w:jc w:val="both"/>
        <w:rPr>
          <w:rFonts w:ascii="Palatino Linotype" w:hAnsi="Palatino Linotype" w:cstheme="minorHAnsi"/>
          <w:sz w:val="22"/>
          <w:szCs w:val="22"/>
          <w:lang w:val="en-US"/>
        </w:rPr>
      </w:pPr>
      <w:proofErr w:type="spellStart"/>
      <w:r w:rsidRPr="004B38B2">
        <w:rPr>
          <w:rFonts w:ascii="Palatino Linotype" w:hAnsi="Palatino Linotype" w:cstheme="minorHAnsi"/>
          <w:sz w:val="22"/>
          <w:szCs w:val="22"/>
          <w:lang w:val="en-US"/>
        </w:rPr>
        <w:lastRenderedPageBreak/>
        <w:t>Betam</w:t>
      </w:r>
      <w:proofErr w:type="spellEnd"/>
      <w:r w:rsidRPr="004B38B2">
        <w:rPr>
          <w:rFonts w:ascii="Palatino Linotype" w:hAnsi="Palatino Linotype" w:cstheme="minorHAnsi"/>
          <w:sz w:val="22"/>
          <w:szCs w:val="22"/>
          <w:lang w:val="en-US"/>
        </w:rPr>
        <w:t xml:space="preserve"> will share </w:t>
      </w:r>
      <w:r w:rsidR="00DA2E9D">
        <w:rPr>
          <w:rFonts w:ascii="Palatino Linotype" w:hAnsi="Palatino Linotype" w:cstheme="minorHAnsi"/>
          <w:sz w:val="22"/>
          <w:szCs w:val="22"/>
          <w:lang w:val="en-US"/>
        </w:rPr>
        <w:t>its</w:t>
      </w:r>
      <w:r w:rsidRPr="004B38B2">
        <w:rPr>
          <w:rFonts w:ascii="Palatino Linotype" w:hAnsi="Palatino Linotype" w:cstheme="minorHAnsi"/>
          <w:sz w:val="22"/>
          <w:szCs w:val="22"/>
          <w:lang w:val="en-US"/>
        </w:rPr>
        <w:t xml:space="preserve"> first predictions for the third quarter growth in the coming days. As we can see in Figure 2, it is no surprise that economic growth in the third quarter, even in the fourth quarter, except for an external shock situation, </w:t>
      </w:r>
      <w:r w:rsidR="00535286">
        <w:rPr>
          <w:rFonts w:ascii="Palatino Linotype" w:hAnsi="Palatino Linotype" w:cstheme="minorHAnsi"/>
          <w:sz w:val="22"/>
          <w:szCs w:val="22"/>
          <w:lang w:val="en-US"/>
        </w:rPr>
        <w:t>will be</w:t>
      </w:r>
      <w:r w:rsidRPr="004B38B2">
        <w:rPr>
          <w:rFonts w:ascii="Palatino Linotype" w:hAnsi="Palatino Linotype" w:cstheme="minorHAnsi"/>
          <w:sz w:val="22"/>
          <w:szCs w:val="22"/>
          <w:lang w:val="en-US"/>
        </w:rPr>
        <w:t xml:space="preserve"> high. For this reason, we predict that the target of 5.5 percent stated in the Medium Term Program</w:t>
      </w:r>
      <w:r w:rsidR="00DA2E9D">
        <w:rPr>
          <w:rFonts w:ascii="Palatino Linotype" w:hAnsi="Palatino Linotype" w:cstheme="minorHAnsi"/>
          <w:sz w:val="22"/>
          <w:szCs w:val="22"/>
          <w:lang w:val="en-US"/>
        </w:rPr>
        <w:t xml:space="preserve"> for 2017</w:t>
      </w:r>
      <w:r w:rsidRPr="004B38B2">
        <w:rPr>
          <w:rFonts w:ascii="Palatino Linotype" w:hAnsi="Palatino Linotype" w:cstheme="minorHAnsi"/>
          <w:sz w:val="22"/>
          <w:szCs w:val="22"/>
          <w:lang w:val="en-US"/>
        </w:rPr>
        <w:t xml:space="preserve"> will be exceeded. </w:t>
      </w:r>
      <w:r w:rsidR="006855AD">
        <w:rPr>
          <w:rFonts w:ascii="Palatino Linotype" w:hAnsi="Palatino Linotype" w:cstheme="minorHAnsi"/>
          <w:sz w:val="22"/>
          <w:szCs w:val="22"/>
          <w:lang w:val="en-US"/>
        </w:rPr>
        <w:t>S</w:t>
      </w:r>
      <w:r w:rsidR="006855AD" w:rsidRPr="004B38B2">
        <w:rPr>
          <w:rFonts w:ascii="Palatino Linotype" w:hAnsi="Palatino Linotype" w:cstheme="minorHAnsi"/>
          <w:sz w:val="22"/>
          <w:szCs w:val="22"/>
          <w:lang w:val="en-US"/>
        </w:rPr>
        <w:t xml:space="preserve">ince this growth </w:t>
      </w:r>
      <w:proofErr w:type="gramStart"/>
      <w:r w:rsidR="006855AD" w:rsidRPr="004B38B2">
        <w:rPr>
          <w:rFonts w:ascii="Palatino Linotype" w:hAnsi="Palatino Linotype" w:cstheme="minorHAnsi"/>
          <w:sz w:val="22"/>
          <w:szCs w:val="22"/>
          <w:lang w:val="en-US"/>
        </w:rPr>
        <w:t>is considered to be</w:t>
      </w:r>
      <w:proofErr w:type="gramEnd"/>
      <w:r w:rsidR="006855AD" w:rsidRPr="004B38B2">
        <w:rPr>
          <w:rFonts w:ascii="Palatino Linotype" w:hAnsi="Palatino Linotype" w:cstheme="minorHAnsi"/>
          <w:sz w:val="22"/>
          <w:szCs w:val="22"/>
          <w:lang w:val="en-US"/>
        </w:rPr>
        <w:t xml:space="preserve"> achieved through considerable internal supportive broad incentives and that these incentives are not </w:t>
      </w:r>
      <w:r w:rsidR="006855AD">
        <w:rPr>
          <w:rFonts w:ascii="Palatino Linotype" w:hAnsi="Palatino Linotype" w:cstheme="minorHAnsi"/>
          <w:sz w:val="22"/>
          <w:szCs w:val="22"/>
          <w:lang w:val="en-US"/>
        </w:rPr>
        <w:t>sustainable due to</w:t>
      </w:r>
      <w:r w:rsidR="006855AD" w:rsidRPr="004B38B2">
        <w:rPr>
          <w:rFonts w:ascii="Palatino Linotype" w:hAnsi="Palatino Linotype" w:cstheme="minorHAnsi"/>
          <w:sz w:val="22"/>
          <w:szCs w:val="22"/>
          <w:lang w:val="en-US"/>
        </w:rPr>
        <w:t xml:space="preserve"> fiscal discipline concerns</w:t>
      </w:r>
      <w:r w:rsidR="006855AD">
        <w:rPr>
          <w:rFonts w:ascii="Palatino Linotype" w:hAnsi="Palatino Linotype" w:cstheme="minorHAnsi"/>
          <w:sz w:val="22"/>
          <w:szCs w:val="22"/>
          <w:lang w:val="en-US"/>
        </w:rPr>
        <w:t>, w</w:t>
      </w:r>
      <w:r w:rsidRPr="004B38B2">
        <w:rPr>
          <w:rFonts w:ascii="Palatino Linotype" w:hAnsi="Palatino Linotype" w:cstheme="minorHAnsi"/>
          <w:sz w:val="22"/>
          <w:szCs w:val="22"/>
          <w:lang w:val="en-US"/>
        </w:rPr>
        <w:t xml:space="preserve">e can say that the main </w:t>
      </w:r>
      <w:r w:rsidR="00DA2E9D">
        <w:rPr>
          <w:rFonts w:ascii="Palatino Linotype" w:hAnsi="Palatino Linotype" w:cstheme="minorHAnsi"/>
          <w:sz w:val="22"/>
          <w:szCs w:val="22"/>
          <w:lang w:val="en-US"/>
        </w:rPr>
        <w:t xml:space="preserve">test of economic growth will take place in </w:t>
      </w:r>
      <w:r w:rsidRPr="004B38B2">
        <w:rPr>
          <w:rFonts w:ascii="Palatino Linotype" w:hAnsi="Palatino Linotype" w:cstheme="minorHAnsi"/>
          <w:sz w:val="22"/>
          <w:szCs w:val="22"/>
          <w:lang w:val="en-US"/>
        </w:rPr>
        <w:t>2018 and 2019</w:t>
      </w:r>
      <w:r w:rsidR="006855AD">
        <w:rPr>
          <w:rFonts w:ascii="Palatino Linotype" w:hAnsi="Palatino Linotype" w:cstheme="minorHAnsi"/>
          <w:sz w:val="22"/>
          <w:szCs w:val="22"/>
          <w:lang w:val="en-US"/>
        </w:rPr>
        <w:t xml:space="preserve"> which </w:t>
      </w:r>
      <w:r w:rsidR="00DA2E9D">
        <w:rPr>
          <w:rFonts w:ascii="Palatino Linotype" w:hAnsi="Palatino Linotype" w:cstheme="minorHAnsi"/>
          <w:sz w:val="22"/>
          <w:szCs w:val="22"/>
          <w:lang w:val="en-US"/>
        </w:rPr>
        <w:t xml:space="preserve">still </w:t>
      </w:r>
      <w:r w:rsidR="006855AD">
        <w:rPr>
          <w:rFonts w:ascii="Palatino Linotype" w:hAnsi="Palatino Linotype" w:cstheme="minorHAnsi"/>
          <w:sz w:val="22"/>
          <w:szCs w:val="22"/>
          <w:lang w:val="en-US"/>
        </w:rPr>
        <w:t xml:space="preserve">targeted </w:t>
      </w:r>
      <w:r w:rsidR="00DA2E9D">
        <w:rPr>
          <w:rFonts w:ascii="Palatino Linotype" w:hAnsi="Palatino Linotype" w:cstheme="minorHAnsi"/>
          <w:sz w:val="22"/>
          <w:szCs w:val="22"/>
          <w:lang w:val="en-US"/>
        </w:rPr>
        <w:t xml:space="preserve">at </w:t>
      </w:r>
      <w:r w:rsidR="006855AD">
        <w:rPr>
          <w:rFonts w:ascii="Palatino Linotype" w:hAnsi="Palatino Linotype" w:cstheme="minorHAnsi"/>
          <w:sz w:val="22"/>
          <w:szCs w:val="22"/>
          <w:lang w:val="en-US"/>
        </w:rPr>
        <w:t>5.5 percent.</w:t>
      </w:r>
    </w:p>
    <w:p w:rsidR="003E1EED" w:rsidRPr="000D1FDF"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lang w:val="en-US"/>
        </w:rPr>
      </w:pPr>
    </w:p>
    <w:p w:rsidR="00D07713" w:rsidRPr="000D1FDF" w:rsidRDefault="00BC693E" w:rsidP="00681AD9">
      <w:pPr>
        <w:pStyle w:val="NormalWeb"/>
        <w:spacing w:before="0" w:beforeAutospacing="0" w:after="0" w:afterAutospacing="0" w:line="360" w:lineRule="auto"/>
        <w:ind w:right="77"/>
        <w:jc w:val="both"/>
        <w:rPr>
          <w:rFonts w:ascii="Palatino Linotype" w:hAnsi="Palatino Linotype" w:cstheme="minorHAnsi"/>
          <w:b/>
          <w:bCs/>
          <w:sz w:val="22"/>
          <w:szCs w:val="22"/>
          <w:lang w:val="en-US"/>
        </w:rPr>
      </w:pPr>
      <w:r>
        <w:rPr>
          <w:rFonts w:ascii="Palatino Linotype" w:hAnsi="Palatino Linotype" w:cstheme="minorHAnsi"/>
          <w:b/>
          <w:bCs/>
          <w:sz w:val="22"/>
          <w:szCs w:val="22"/>
          <w:lang w:val="en-US"/>
        </w:rPr>
        <w:t>Figure</w:t>
      </w:r>
      <w:r w:rsidR="00E85F3F" w:rsidRPr="000D1FDF">
        <w:rPr>
          <w:rFonts w:ascii="Palatino Linotype" w:hAnsi="Palatino Linotype" w:cstheme="minorHAnsi"/>
          <w:b/>
          <w:bCs/>
          <w:sz w:val="22"/>
          <w:szCs w:val="22"/>
          <w:lang w:val="en-US"/>
        </w:rPr>
        <w:t xml:space="preserve"> </w:t>
      </w:r>
      <w:r w:rsidR="00F22A71" w:rsidRPr="000D1FDF">
        <w:rPr>
          <w:rFonts w:ascii="Palatino Linotype" w:hAnsi="Palatino Linotype" w:cstheme="minorHAnsi"/>
          <w:b/>
          <w:bCs/>
          <w:sz w:val="22"/>
          <w:szCs w:val="22"/>
          <w:lang w:val="en-US"/>
        </w:rPr>
        <w:t>2</w:t>
      </w:r>
      <w:r w:rsidR="00E85F3F" w:rsidRPr="000D1FDF">
        <w:rPr>
          <w:rFonts w:ascii="Palatino Linotype" w:hAnsi="Palatino Linotype" w:cstheme="minorHAnsi"/>
          <w:b/>
          <w:bCs/>
          <w:sz w:val="22"/>
          <w:szCs w:val="22"/>
          <w:lang w:val="en-US"/>
        </w:rPr>
        <w:t>:</w:t>
      </w:r>
      <w:r>
        <w:rPr>
          <w:rFonts w:ascii="Palatino Linotype" w:hAnsi="Palatino Linotype" w:cstheme="minorHAnsi"/>
          <w:b/>
          <w:bCs/>
          <w:sz w:val="22"/>
          <w:szCs w:val="22"/>
          <w:lang w:val="en-US"/>
        </w:rPr>
        <w:t xml:space="preserve"> </w:t>
      </w:r>
      <w:r>
        <w:rPr>
          <w:rFonts w:ascii="Palatino Linotype" w:hAnsi="Palatino Linotype" w:cstheme="minorHAnsi"/>
          <w:bCs/>
          <w:sz w:val="22"/>
          <w:szCs w:val="22"/>
          <w:lang w:val="en-US"/>
        </w:rPr>
        <w:t>GDP growth rates compared to previous quarter and same quarter of previous year</w:t>
      </w:r>
      <w:r w:rsidR="00E85F3F" w:rsidRPr="000D1FDF">
        <w:rPr>
          <w:rFonts w:ascii="Palatino Linotype" w:hAnsi="Palatino Linotype" w:cstheme="minorHAnsi"/>
          <w:b/>
          <w:bCs/>
          <w:sz w:val="22"/>
          <w:szCs w:val="22"/>
          <w:lang w:val="en-US"/>
        </w:rPr>
        <w:t xml:space="preserve"> </w:t>
      </w:r>
    </w:p>
    <w:p w:rsidR="003E1EED" w:rsidRPr="00182385" w:rsidRDefault="00390F1E" w:rsidP="00182385">
      <w:pPr>
        <w:pStyle w:val="NormalWeb"/>
        <w:spacing w:before="0" w:beforeAutospacing="0" w:after="0" w:afterAutospacing="0" w:line="360" w:lineRule="auto"/>
        <w:ind w:right="77"/>
        <w:jc w:val="both"/>
        <w:rPr>
          <w:rFonts w:ascii="Palatino Linotype" w:hAnsi="Palatino Linotype" w:cstheme="minorHAnsi"/>
          <w:b/>
          <w:bCs/>
          <w:sz w:val="22"/>
          <w:szCs w:val="22"/>
          <w:lang w:val="en-US"/>
        </w:rPr>
      </w:pPr>
      <w:r>
        <w:rPr>
          <w:noProof/>
        </w:rPr>
        <w:drawing>
          <wp:inline distT="0" distB="0" distL="0" distR="0" wp14:anchorId="1270E199" wp14:editId="517B3885">
            <wp:extent cx="4882101" cy="2623931"/>
            <wp:effectExtent l="0" t="0" r="13970" b="5080"/>
            <wp:docPr id="6" name="Grafik 6">
              <a:extLst xmlns:a="http://schemas.openxmlformats.org/drawingml/2006/main">
                <a:ext uri="{FF2B5EF4-FFF2-40B4-BE49-F238E27FC236}">
                  <a16:creationId xmlns:a16="http://schemas.microsoft.com/office/drawing/2014/main" id="{84DF3363-0E41-4EFB-A8DA-F6F318937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82385">
        <w:rPr>
          <w:rFonts w:ascii="Palatino Linotype" w:hAnsi="Palatino Linotype" w:cstheme="minorHAnsi"/>
          <w:b/>
          <w:sz w:val="18"/>
          <w:szCs w:val="18"/>
          <w:lang w:val="en-US"/>
        </w:rPr>
        <w:br/>
      </w:r>
      <w:r w:rsidRPr="00390F1E">
        <w:rPr>
          <w:rFonts w:ascii="Palatino Linotype" w:hAnsi="Palatino Linotype" w:cstheme="minorHAnsi"/>
          <w:b/>
          <w:sz w:val="18"/>
          <w:szCs w:val="18"/>
          <w:lang w:val="en-US"/>
        </w:rPr>
        <w:t>Source:</w:t>
      </w:r>
      <w:r w:rsidR="003E1EED" w:rsidRPr="00390F1E">
        <w:rPr>
          <w:rFonts w:ascii="Palatino Linotype" w:hAnsi="Palatino Linotype" w:cstheme="minorHAnsi"/>
          <w:sz w:val="18"/>
          <w:szCs w:val="18"/>
          <w:lang w:val="en-US"/>
        </w:rPr>
        <w:t xml:space="preserve"> </w:t>
      </w:r>
      <w:proofErr w:type="spellStart"/>
      <w:r>
        <w:rPr>
          <w:rFonts w:ascii="Palatino Linotype" w:hAnsi="Palatino Linotype" w:cstheme="minorHAnsi"/>
          <w:sz w:val="18"/>
          <w:szCs w:val="18"/>
          <w:lang w:val="en-US"/>
        </w:rPr>
        <w:t>TurkStat</w:t>
      </w:r>
      <w:proofErr w:type="spellEnd"/>
      <w:r w:rsidR="003E1EED" w:rsidRPr="00390F1E">
        <w:rPr>
          <w:rFonts w:ascii="Palatino Linotype" w:hAnsi="Palatino Linotype" w:cstheme="minorHAnsi"/>
          <w:sz w:val="18"/>
          <w:szCs w:val="18"/>
          <w:lang w:val="en-US"/>
        </w:rPr>
        <w:t xml:space="preserve">, </w:t>
      </w:r>
      <w:proofErr w:type="spellStart"/>
      <w:r w:rsidR="003E1EED" w:rsidRPr="00390F1E">
        <w:rPr>
          <w:rFonts w:ascii="Palatino Linotype" w:hAnsi="Palatino Linotype" w:cstheme="minorHAnsi"/>
          <w:sz w:val="18"/>
          <w:szCs w:val="18"/>
          <w:lang w:val="en-US"/>
        </w:rPr>
        <w:t>Betam</w:t>
      </w:r>
      <w:proofErr w:type="spellEnd"/>
      <w:r w:rsidR="003E1EED" w:rsidRPr="00390F1E">
        <w:rPr>
          <w:rFonts w:ascii="Palatino Linotype" w:hAnsi="Palatino Linotype" w:cstheme="minorHAnsi"/>
          <w:sz w:val="18"/>
          <w:szCs w:val="18"/>
          <w:lang w:val="en-US"/>
        </w:rPr>
        <w:t xml:space="preserve">. </w:t>
      </w:r>
    </w:p>
    <w:p w:rsidR="00390F1E" w:rsidRDefault="00390F1E" w:rsidP="00E41840">
      <w:pPr>
        <w:keepNext/>
        <w:rPr>
          <w:rFonts w:ascii="Palatino Linotype" w:hAnsi="Palatino Linotype" w:cstheme="minorHAnsi"/>
          <w:b/>
          <w:sz w:val="22"/>
          <w:szCs w:val="22"/>
          <w:lang w:val="en-US"/>
        </w:rPr>
      </w:pPr>
    </w:p>
    <w:p w:rsidR="00E41840" w:rsidRPr="000D1FDF" w:rsidRDefault="00390F1E" w:rsidP="00E41840">
      <w:pPr>
        <w:keepNext/>
        <w:rPr>
          <w:rFonts w:ascii="Palatino Linotype" w:hAnsi="Palatino Linotype" w:cstheme="minorHAnsi"/>
          <w:sz w:val="22"/>
          <w:szCs w:val="22"/>
          <w:lang w:val="en-US"/>
        </w:rPr>
      </w:pPr>
      <w:r>
        <w:rPr>
          <w:rFonts w:ascii="Palatino Linotype" w:hAnsi="Palatino Linotype" w:cstheme="minorHAnsi"/>
          <w:b/>
          <w:sz w:val="22"/>
          <w:szCs w:val="22"/>
          <w:lang w:val="en-US"/>
        </w:rPr>
        <w:t>Additional Figure</w:t>
      </w:r>
      <w:r w:rsidR="00E41840" w:rsidRPr="000D1FDF">
        <w:rPr>
          <w:rFonts w:ascii="Palatino Linotype" w:hAnsi="Palatino Linotype" w:cstheme="minorHAnsi"/>
          <w:b/>
          <w:sz w:val="22"/>
          <w:szCs w:val="22"/>
          <w:lang w:val="en-US"/>
        </w:rPr>
        <w:t xml:space="preserve"> 1.</w:t>
      </w:r>
      <w:r w:rsidR="00E41840" w:rsidRPr="000D1FDF">
        <w:rPr>
          <w:rFonts w:ascii="Palatino Linotype" w:hAnsi="Palatino Linotype" w:cstheme="minorHAnsi"/>
          <w:sz w:val="22"/>
          <w:szCs w:val="22"/>
          <w:lang w:val="en-US"/>
        </w:rPr>
        <w:t xml:space="preserve"> </w:t>
      </w:r>
      <w:r w:rsidR="009B57F6" w:rsidRPr="009B57F6">
        <w:rPr>
          <w:rFonts w:ascii="Palatino Linotype" w:hAnsi="Palatino Linotype" w:cstheme="minorHAnsi"/>
          <w:sz w:val="22"/>
          <w:szCs w:val="22"/>
          <w:lang w:val="en-US"/>
        </w:rPr>
        <w:t xml:space="preserve">2010-2017 </w:t>
      </w:r>
      <w:r w:rsidR="009B57F6">
        <w:rPr>
          <w:rFonts w:ascii="Palatino Linotype" w:hAnsi="Palatino Linotype" w:cstheme="minorHAnsi"/>
          <w:sz w:val="22"/>
          <w:szCs w:val="22"/>
          <w:lang w:val="en-US"/>
        </w:rPr>
        <w:t>Changing</w:t>
      </w:r>
      <w:r w:rsidR="009B57F6" w:rsidRPr="009B57F6">
        <w:rPr>
          <w:rFonts w:ascii="Palatino Linotype" w:hAnsi="Palatino Linotype" w:cstheme="minorHAnsi"/>
          <w:sz w:val="22"/>
          <w:szCs w:val="22"/>
          <w:lang w:val="en-US"/>
        </w:rPr>
        <w:t xml:space="preserve"> of Treasury-backed </w:t>
      </w:r>
      <w:r w:rsidR="009B57F6">
        <w:rPr>
          <w:rFonts w:ascii="Palatino Linotype" w:hAnsi="Palatino Linotype" w:cstheme="minorHAnsi"/>
          <w:sz w:val="22"/>
          <w:szCs w:val="22"/>
          <w:lang w:val="en-US"/>
        </w:rPr>
        <w:t>Securities</w:t>
      </w:r>
    </w:p>
    <w:p w:rsidR="00E41840" w:rsidRPr="000D1FDF" w:rsidRDefault="00E41840" w:rsidP="00E41840">
      <w:pPr>
        <w:keepNext/>
        <w:rPr>
          <w:rFonts w:ascii="Palatino Linotype" w:hAnsi="Palatino Linotype" w:cstheme="minorHAnsi"/>
          <w:lang w:val="en-US"/>
        </w:rPr>
      </w:pPr>
      <w:r w:rsidRPr="000D1FDF">
        <w:rPr>
          <w:rFonts w:ascii="Palatino Linotype" w:hAnsi="Palatino Linotype" w:cstheme="minorHAnsi"/>
          <w:noProof/>
        </w:rPr>
        <w:drawing>
          <wp:inline distT="0" distB="0" distL="0" distR="0" wp14:anchorId="36633F9A" wp14:editId="188BB73D">
            <wp:extent cx="4863456" cy="2743200"/>
            <wp:effectExtent l="0" t="0" r="0" b="0"/>
            <wp:docPr id="12" name="Picture 12" descr="http://www.kgf.com.tr/images/kgf-rakam-31.08.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gf.com.tr/images/kgf-rakam-31.08.201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7787" cy="2813328"/>
                    </a:xfrm>
                    <a:prstGeom prst="rect">
                      <a:avLst/>
                    </a:prstGeom>
                    <a:noFill/>
                    <a:ln>
                      <a:noFill/>
                    </a:ln>
                  </pic:spPr>
                </pic:pic>
              </a:graphicData>
            </a:graphic>
          </wp:inline>
        </w:drawing>
      </w:r>
    </w:p>
    <w:p w:rsidR="00E41840" w:rsidRPr="000D1FDF" w:rsidRDefault="00390F1E" w:rsidP="00E41840">
      <w:pPr>
        <w:keepNext/>
        <w:rPr>
          <w:rFonts w:ascii="Palatino Linotype" w:hAnsi="Palatino Linotype" w:cstheme="minorHAnsi"/>
          <w:sz w:val="18"/>
          <w:szCs w:val="18"/>
          <w:lang w:val="en-US"/>
        </w:rPr>
      </w:pPr>
      <w:r w:rsidRPr="00390F1E">
        <w:rPr>
          <w:rFonts w:ascii="Palatino Linotype" w:hAnsi="Palatino Linotype" w:cstheme="minorHAnsi"/>
          <w:b/>
          <w:sz w:val="18"/>
          <w:szCs w:val="18"/>
          <w:lang w:val="en-US"/>
        </w:rPr>
        <w:t>Source:</w:t>
      </w:r>
      <w:r w:rsidR="00E41840" w:rsidRPr="000D1FDF">
        <w:rPr>
          <w:rFonts w:ascii="Palatino Linotype" w:hAnsi="Palatino Linotype" w:cstheme="minorHAnsi"/>
          <w:sz w:val="18"/>
          <w:szCs w:val="18"/>
          <w:lang w:val="en-US"/>
        </w:rPr>
        <w:t xml:space="preserve"> KGF, </w:t>
      </w:r>
      <w:hyperlink r:id="rId13" w:history="1">
        <w:r w:rsidR="00E41840" w:rsidRPr="000D1FDF">
          <w:rPr>
            <w:rStyle w:val="Kpr"/>
            <w:rFonts w:ascii="Palatino Linotype" w:hAnsi="Palatino Linotype" w:cs="Arial"/>
            <w:sz w:val="18"/>
            <w:szCs w:val="18"/>
            <w:lang w:val="en-US"/>
          </w:rPr>
          <w:t>http://www.kgf.com.tr/index.php/tr/bilgi-merkezi/rakamlarla-kgf</w:t>
        </w:r>
      </w:hyperlink>
    </w:p>
    <w:p w:rsidR="00E41840" w:rsidRPr="000D1FDF" w:rsidRDefault="00E41840" w:rsidP="00E41840">
      <w:pPr>
        <w:keepNext/>
        <w:rPr>
          <w:rFonts w:ascii="Palatino Linotype" w:hAnsi="Palatino Linotype" w:cstheme="minorHAnsi"/>
          <w:lang w:val="en-US"/>
        </w:rPr>
      </w:pPr>
    </w:p>
    <w:p w:rsidR="00E750CC" w:rsidRPr="000D1FDF" w:rsidRDefault="00E750CC" w:rsidP="00E85F3F">
      <w:pPr>
        <w:keepNext/>
        <w:rPr>
          <w:rFonts w:ascii="Palatino Linotype" w:hAnsi="Palatino Linotype" w:cstheme="minorHAnsi"/>
          <w:lang w:val="en-US"/>
        </w:rPr>
      </w:pPr>
    </w:p>
    <w:p w:rsidR="00681AD9" w:rsidRPr="000D1FDF" w:rsidRDefault="00681AD9" w:rsidP="00E85F3F">
      <w:pPr>
        <w:keepNext/>
        <w:rPr>
          <w:rFonts w:ascii="Palatino Linotype" w:hAnsi="Palatino Linotype" w:cstheme="minorHAnsi"/>
          <w:lang w:val="en-US"/>
        </w:rPr>
      </w:pPr>
    </w:p>
    <w:sectPr w:rsidR="00681AD9" w:rsidRPr="000D1FDF"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F3" w:rsidRDefault="000544F3" w:rsidP="00DA0C5D">
      <w:r>
        <w:separator/>
      </w:r>
    </w:p>
  </w:endnote>
  <w:endnote w:type="continuationSeparator" w:id="0">
    <w:p w:rsidR="000544F3" w:rsidRDefault="000544F3"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61002A87" w:usb1="80000000" w:usb2="00000008"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F3" w:rsidRDefault="000544F3" w:rsidP="00DA0C5D">
      <w:r>
        <w:separator/>
      </w:r>
    </w:p>
  </w:footnote>
  <w:footnote w:type="continuationSeparator" w:id="0">
    <w:p w:rsidR="000544F3" w:rsidRDefault="000544F3" w:rsidP="00DA0C5D">
      <w:r>
        <w:continuationSeparator/>
      </w:r>
    </w:p>
  </w:footnote>
  <w:footnote w:id="1">
    <w:p w:rsidR="00D62A5E" w:rsidRDefault="00D62A5E" w:rsidP="00D62A5E">
      <w:pPr>
        <w:pStyle w:val="DipnotMetni"/>
      </w:pPr>
      <w:r>
        <w:rPr>
          <w:rStyle w:val="DipnotBavurusu"/>
        </w:rPr>
        <w:footnoteRef/>
      </w:r>
      <w:r>
        <w:t xml:space="preserve"> Betam, Director, seyfettin.gursel@eas.bahcesehir.edu.tr</w:t>
      </w:r>
    </w:p>
  </w:footnote>
  <w:footnote w:id="2">
    <w:p w:rsidR="00C32789" w:rsidRDefault="00C32789">
      <w:pPr>
        <w:pStyle w:val="DipnotMetni"/>
      </w:pPr>
      <w:r>
        <w:rPr>
          <w:rStyle w:val="DipnotBavurusu"/>
        </w:rPr>
        <w:footnoteRef/>
      </w:r>
      <w:r>
        <w:t xml:space="preserve"> Doç. Dr. Ozan Bakış, Betam, ozan.bakis@eas.bau.edu.tr</w:t>
      </w:r>
    </w:p>
  </w:footnote>
  <w:footnote w:id="3">
    <w:p w:rsidR="00D62A5E" w:rsidRDefault="00D62A5E">
      <w:pPr>
        <w:pStyle w:val="DipnotMetni"/>
      </w:pPr>
      <w:r>
        <w:rPr>
          <w:rStyle w:val="DipnotBavurusu"/>
        </w:rPr>
        <w:footnoteRef/>
      </w:r>
      <w:r>
        <w:t xml:space="preserve"> </w:t>
      </w:r>
      <w:r w:rsidRPr="00A71F3D">
        <w:t xml:space="preserve">The amount of support the </w:t>
      </w:r>
      <w:r>
        <w:t>KGF</w:t>
      </w:r>
      <w:r w:rsidRPr="00A71F3D">
        <w:t xml:space="preserve"> received from the Treasury increased to 2 billion</w:t>
      </w:r>
      <w:r>
        <w:t xml:space="preserve"> TL</w:t>
      </w:r>
      <w:r w:rsidRPr="00A71F3D">
        <w:t xml:space="preserve"> in 201</w:t>
      </w:r>
      <w:r>
        <w:t>5</w:t>
      </w:r>
      <w:r w:rsidRPr="00A71F3D">
        <w:t xml:space="preserve"> and then 2</w:t>
      </w:r>
      <w:r>
        <w:t>5</w:t>
      </w:r>
      <w:r w:rsidRPr="00A71F3D">
        <w:t xml:space="preserve"> billion</w:t>
      </w:r>
      <w:r>
        <w:t xml:space="preserve"> TL</w:t>
      </w:r>
      <w:r w:rsidRPr="00A71F3D">
        <w:t xml:space="preserve"> in 2015. In 2017, the total amount of bail given by KGF was limited to</w:t>
      </w:r>
      <w:r>
        <w:t xml:space="preserve"> </w:t>
      </w:r>
      <w:r w:rsidRPr="00A71F3D">
        <w:t>250 billion</w:t>
      </w:r>
      <w:r>
        <w:t xml:space="preserve"> TL. See Additional Figure 1 and http://www.kgf.com.tr/index.php/tr/bilgi-merkezi/rakamlarla-kgf and http://www.kgf.com.tr/index.php/tr/desteklerimiz/kaynaklarimiz/hazine-mustesarligi-fonu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544F3"/>
    <w:rsid w:val="00054943"/>
    <w:rsid w:val="00055EA1"/>
    <w:rsid w:val="000652B6"/>
    <w:rsid w:val="00096C3A"/>
    <w:rsid w:val="00096CDA"/>
    <w:rsid w:val="000A612E"/>
    <w:rsid w:val="000B7302"/>
    <w:rsid w:val="000C634D"/>
    <w:rsid w:val="000D1FDF"/>
    <w:rsid w:val="000D5FD3"/>
    <w:rsid w:val="001016F5"/>
    <w:rsid w:val="0012527F"/>
    <w:rsid w:val="00130003"/>
    <w:rsid w:val="00140468"/>
    <w:rsid w:val="0014542A"/>
    <w:rsid w:val="00182385"/>
    <w:rsid w:val="001A7753"/>
    <w:rsid w:val="001B3A44"/>
    <w:rsid w:val="001C2C68"/>
    <w:rsid w:val="001C65BF"/>
    <w:rsid w:val="001D51C9"/>
    <w:rsid w:val="001D5B02"/>
    <w:rsid w:val="001D6465"/>
    <w:rsid w:val="001E0601"/>
    <w:rsid w:val="001F7B1D"/>
    <w:rsid w:val="002106DF"/>
    <w:rsid w:val="00212579"/>
    <w:rsid w:val="00214914"/>
    <w:rsid w:val="0022673E"/>
    <w:rsid w:val="00275745"/>
    <w:rsid w:val="0028498B"/>
    <w:rsid w:val="002A07A9"/>
    <w:rsid w:val="002C5C24"/>
    <w:rsid w:val="002D5296"/>
    <w:rsid w:val="002E5325"/>
    <w:rsid w:val="00334E27"/>
    <w:rsid w:val="00344A74"/>
    <w:rsid w:val="003755EF"/>
    <w:rsid w:val="0038110B"/>
    <w:rsid w:val="00390F1E"/>
    <w:rsid w:val="003967B5"/>
    <w:rsid w:val="003A488B"/>
    <w:rsid w:val="003C2891"/>
    <w:rsid w:val="003C6E7D"/>
    <w:rsid w:val="003E1EED"/>
    <w:rsid w:val="00431C38"/>
    <w:rsid w:val="00443426"/>
    <w:rsid w:val="00451A8A"/>
    <w:rsid w:val="004931A5"/>
    <w:rsid w:val="004B0F7E"/>
    <w:rsid w:val="004B38B2"/>
    <w:rsid w:val="00501227"/>
    <w:rsid w:val="00522084"/>
    <w:rsid w:val="00535286"/>
    <w:rsid w:val="0053582F"/>
    <w:rsid w:val="0053586E"/>
    <w:rsid w:val="005F1B18"/>
    <w:rsid w:val="00625B95"/>
    <w:rsid w:val="00643113"/>
    <w:rsid w:val="006439C5"/>
    <w:rsid w:val="006549E3"/>
    <w:rsid w:val="00681022"/>
    <w:rsid w:val="00681AD9"/>
    <w:rsid w:val="006855AD"/>
    <w:rsid w:val="00691D77"/>
    <w:rsid w:val="00694036"/>
    <w:rsid w:val="006B76B4"/>
    <w:rsid w:val="006C3EE6"/>
    <w:rsid w:val="006D1DD6"/>
    <w:rsid w:val="006D32A0"/>
    <w:rsid w:val="006D384E"/>
    <w:rsid w:val="006E7E11"/>
    <w:rsid w:val="007111D4"/>
    <w:rsid w:val="00724E7C"/>
    <w:rsid w:val="007512A2"/>
    <w:rsid w:val="007517B0"/>
    <w:rsid w:val="00773D8B"/>
    <w:rsid w:val="007C42F7"/>
    <w:rsid w:val="007D4953"/>
    <w:rsid w:val="007F3C9B"/>
    <w:rsid w:val="0084500C"/>
    <w:rsid w:val="00845A54"/>
    <w:rsid w:val="00865CE6"/>
    <w:rsid w:val="008C099B"/>
    <w:rsid w:val="008C170E"/>
    <w:rsid w:val="008C70C5"/>
    <w:rsid w:val="008F1741"/>
    <w:rsid w:val="008F1C05"/>
    <w:rsid w:val="0090116F"/>
    <w:rsid w:val="00924CD9"/>
    <w:rsid w:val="00963B04"/>
    <w:rsid w:val="009B1546"/>
    <w:rsid w:val="009B57F6"/>
    <w:rsid w:val="009B651F"/>
    <w:rsid w:val="00A3086A"/>
    <w:rsid w:val="00A46C4A"/>
    <w:rsid w:val="00A50FB7"/>
    <w:rsid w:val="00A6165E"/>
    <w:rsid w:val="00A719DB"/>
    <w:rsid w:val="00A874DA"/>
    <w:rsid w:val="00B20414"/>
    <w:rsid w:val="00B82B92"/>
    <w:rsid w:val="00BB5725"/>
    <w:rsid w:val="00BB61F5"/>
    <w:rsid w:val="00BC693E"/>
    <w:rsid w:val="00C11B5A"/>
    <w:rsid w:val="00C2212F"/>
    <w:rsid w:val="00C32789"/>
    <w:rsid w:val="00C57749"/>
    <w:rsid w:val="00C94AFA"/>
    <w:rsid w:val="00C97FD1"/>
    <w:rsid w:val="00CB3462"/>
    <w:rsid w:val="00CC172A"/>
    <w:rsid w:val="00CC6D2B"/>
    <w:rsid w:val="00CC79C0"/>
    <w:rsid w:val="00CF5053"/>
    <w:rsid w:val="00D07713"/>
    <w:rsid w:val="00D257C1"/>
    <w:rsid w:val="00D402A9"/>
    <w:rsid w:val="00D5391B"/>
    <w:rsid w:val="00D62A5E"/>
    <w:rsid w:val="00DA0C5D"/>
    <w:rsid w:val="00DA2E9D"/>
    <w:rsid w:val="00DA5D8A"/>
    <w:rsid w:val="00DD27C5"/>
    <w:rsid w:val="00E41840"/>
    <w:rsid w:val="00E57043"/>
    <w:rsid w:val="00E667CB"/>
    <w:rsid w:val="00E72443"/>
    <w:rsid w:val="00E750CC"/>
    <w:rsid w:val="00E85F3F"/>
    <w:rsid w:val="00EB476F"/>
    <w:rsid w:val="00EC136E"/>
    <w:rsid w:val="00EE150B"/>
    <w:rsid w:val="00EE5E49"/>
    <w:rsid w:val="00EF09A7"/>
    <w:rsid w:val="00F01552"/>
    <w:rsid w:val="00F070A3"/>
    <w:rsid w:val="00F13971"/>
    <w:rsid w:val="00F22A71"/>
    <w:rsid w:val="00F27D86"/>
    <w:rsid w:val="00F46A54"/>
    <w:rsid w:val="00F5130C"/>
    <w:rsid w:val="00F70EFF"/>
    <w:rsid w:val="00F94113"/>
    <w:rsid w:val="00FA63BA"/>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FE2B"/>
  <w15:docId w15:val="{C75A7E16-646E-4345-83A0-776E2242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gf.com.tr/index.php/tr/bilgi-merkezi/rakamlarla-k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gurcan.acar\Dropbox%20(Personal)\buyume_degerlendirme\buy_deg_tablolar_engli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'2017Q3'!$E$3</c:f>
              <c:strCache>
                <c:ptCount val="1"/>
                <c:pt idx="0">
                  <c:v>Değişim (%)</c:v>
                </c:pt>
              </c:strCache>
            </c:strRef>
          </c:tx>
          <c:spPr>
            <a:solidFill>
              <a:schemeClr val="accent1"/>
            </a:solidFill>
            <a:ln>
              <a:noFill/>
            </a:ln>
            <a:effectLst/>
          </c:spPr>
          <c:invertIfNegative val="0"/>
          <c:dLbls>
            <c:dLbl>
              <c:idx val="1"/>
              <c:layout>
                <c:manualLayout>
                  <c:x val="0"/>
                  <c:y val="0.3104786545924967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5A-4895-AC27-E9D3D18325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Consumption</c:v>
                </c:pt>
                <c:pt idx="1">
                  <c:v>Government Spending</c:v>
                </c:pt>
                <c:pt idx="2">
                  <c:v>Investment</c:v>
                </c:pt>
                <c:pt idx="3">
                  <c:v>Export</c:v>
                </c:pt>
                <c:pt idx="4">
                  <c:v>Import</c:v>
                </c:pt>
                <c:pt idx="5">
                  <c:v>GDP</c:v>
                </c:pt>
              </c:strCache>
            </c:strRef>
          </c:cat>
          <c:val>
            <c:numRef>
              <c:f>'2017Q3'!$E$4:$E$10</c:f>
              <c:numCache>
                <c:formatCode>0.00%</c:formatCode>
                <c:ptCount val="6"/>
                <c:pt idx="0">
                  <c:v>3.1600000000000003E-2</c:v>
                </c:pt>
                <c:pt idx="1">
                  <c:v>-4.3400000000000001E-2</c:v>
                </c:pt>
                <c:pt idx="2">
                  <c:v>9.4799999999999995E-2</c:v>
                </c:pt>
                <c:pt idx="3">
                  <c:v>0.1046</c:v>
                </c:pt>
                <c:pt idx="4">
                  <c:v>2.2700000000000001E-2</c:v>
                </c:pt>
                <c:pt idx="5">
                  <c:v>5.0500000000000003E-2</c:v>
                </c:pt>
              </c:numCache>
            </c:numRef>
          </c:val>
          <c:extLst>
            <c:ext xmlns:c16="http://schemas.microsoft.com/office/drawing/2014/chart" uri="{C3380CC4-5D6E-409C-BE32-E72D297353CC}">
              <c16:uniqueId val="{00000000-9F5A-4895-AC27-E9D3D18325E5}"/>
            </c:ext>
          </c:extLst>
        </c:ser>
        <c:dLbls>
          <c:dLblPos val="outEnd"/>
          <c:showLegendKey val="0"/>
          <c:showVal val="1"/>
          <c:showCatName val="0"/>
          <c:showSerName val="0"/>
          <c:showPercent val="0"/>
          <c:showBubbleSize val="0"/>
        </c:dLbls>
        <c:gapWidth val="219"/>
        <c:overlap val="-27"/>
        <c:axId val="131442176"/>
        <c:axId val="131842816"/>
      </c:barChart>
      <c:catAx>
        <c:axId val="13144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842816"/>
        <c:crosses val="autoZero"/>
        <c:auto val="1"/>
        <c:lblAlgn val="ctr"/>
        <c:lblOffset val="100"/>
        <c:noMultiLvlLbl val="0"/>
      </c:catAx>
      <c:valAx>
        <c:axId val="13184281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442176"/>
        <c:crosses val="autoZero"/>
        <c:crossBetween val="between"/>
        <c:majorUnit val="3.0000000000000006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'2017Q3'!$F$3</c:f>
              <c:strCache>
                <c:ptCount val="1"/>
                <c:pt idx="0">
                  <c:v>Katkı (%)</c:v>
                </c:pt>
              </c:strCache>
            </c:strRef>
          </c:tx>
          <c:spPr>
            <a:solidFill>
              <a:schemeClr val="accent1"/>
            </a:solidFill>
            <a:ln>
              <a:noFill/>
            </a:ln>
            <a:effectLst/>
          </c:spPr>
          <c:invertIfNegative val="0"/>
          <c:dLbls>
            <c:dLbl>
              <c:idx val="1"/>
              <c:layout>
                <c:manualLayout>
                  <c:x val="0"/>
                  <c:y val="0.229153405474220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7B-42B3-854B-47067FCD4F4A}"/>
                </c:ext>
              </c:extLst>
            </c:dLbl>
            <c:dLbl>
              <c:idx val="3"/>
              <c:layout>
                <c:manualLayout>
                  <c:x val="-1.4250385967779861E-16"/>
                  <c:y val="0.241884150222788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7B-42B3-854B-47067FCD4F4A}"/>
                </c:ext>
              </c:extLst>
            </c:dLbl>
            <c:dLbl>
              <c:idx val="5"/>
              <c:layout>
                <c:manualLayout>
                  <c:x val="0"/>
                  <c:y val="0.2546153961817789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7B-42B3-854B-47067FCD4F4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Consumption</c:v>
                </c:pt>
                <c:pt idx="1">
                  <c:v>Government Spending</c:v>
                </c:pt>
                <c:pt idx="2">
                  <c:v>Investment</c:v>
                </c:pt>
                <c:pt idx="3">
                  <c:v>Change in Stock</c:v>
                </c:pt>
                <c:pt idx="4">
                  <c:v>Export</c:v>
                </c:pt>
                <c:pt idx="5">
                  <c:v>Import</c:v>
                </c:pt>
              </c:strCache>
            </c:strRef>
          </c:cat>
          <c:val>
            <c:numRef>
              <c:f>'2017Q3'!$F$4:$F$9</c:f>
              <c:numCache>
                <c:formatCode>#,#00%</c:formatCode>
                <c:ptCount val="6"/>
                <c:pt idx="0">
                  <c:v>1.9E-2</c:v>
                </c:pt>
                <c:pt idx="1">
                  <c:v>-7.0000000000000001E-3</c:v>
                </c:pt>
                <c:pt idx="2">
                  <c:v>2.8000000000000001E-2</c:v>
                </c:pt>
                <c:pt idx="3">
                  <c:v>-8.0000000000000002E-3</c:v>
                </c:pt>
                <c:pt idx="4">
                  <c:v>2.3E-2</c:v>
                </c:pt>
                <c:pt idx="5">
                  <c:v>-5.0000000000000001E-3</c:v>
                </c:pt>
              </c:numCache>
            </c:numRef>
          </c:val>
          <c:extLst>
            <c:ext xmlns:c16="http://schemas.microsoft.com/office/drawing/2014/chart" uri="{C3380CC4-5D6E-409C-BE32-E72D297353CC}">
              <c16:uniqueId val="{00000000-147B-42B3-854B-47067FCD4F4A}"/>
            </c:ext>
          </c:extLst>
        </c:ser>
        <c:dLbls>
          <c:dLblPos val="outEnd"/>
          <c:showLegendKey val="0"/>
          <c:showVal val="1"/>
          <c:showCatName val="0"/>
          <c:showSerName val="0"/>
          <c:showPercent val="0"/>
          <c:showBubbleSize val="0"/>
        </c:dLbls>
        <c:gapWidth val="219"/>
        <c:overlap val="-27"/>
        <c:axId val="104791040"/>
        <c:axId val="104810368"/>
      </c:barChart>
      <c:catAx>
        <c:axId val="10479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tr-TR"/>
          </a:p>
        </c:txPr>
        <c:crossAx val="104810368"/>
        <c:crosses val="autoZero"/>
        <c:auto val="1"/>
        <c:lblAlgn val="ctr"/>
        <c:lblOffset val="100"/>
        <c:noMultiLvlLbl val="0"/>
      </c:catAx>
      <c:valAx>
        <c:axId val="10481036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479104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Annual Change</c:v>
          </c:tx>
          <c:spPr>
            <a:solidFill>
              <a:schemeClr val="accent1"/>
            </a:solidFill>
            <a:ln>
              <a:noFill/>
            </a:ln>
            <a:effectLst/>
          </c:spPr>
          <c:invertIfNegative val="0"/>
          <c:cat>
            <c:strRef>
              <c:f>'D:\betam\aras_notlari\buy_degerlendirme\contr2gr_howto\[buy_deg_tablolar_2017q2.xlsx]2017Q2'!$A$28:$A$45</c:f>
              <c:strCache>
                <c:ptCount val="1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strCache>
            </c:strRef>
          </c:cat>
          <c:val>
            <c:numRef>
              <c:f>'D:\betam\aras_notlari\buy_degerlendirme\contr2gr_howto\[buy_deg_tablolar_2017q2.xlsx]2017Q2'!$E$28:$E$45</c:f>
              <c:numCache>
                <c:formatCode>General</c:formatCode>
                <c:ptCount val="18"/>
                <c:pt idx="0">
                  <c:v>8.4909431858267723</c:v>
                </c:pt>
                <c:pt idx="1">
                  <c:v>9.8066583709793598</c:v>
                </c:pt>
                <c:pt idx="2">
                  <c:v>8.9226688514583365</c:v>
                </c:pt>
                <c:pt idx="3">
                  <c:v>6.8804097350678939</c:v>
                </c:pt>
                <c:pt idx="4">
                  <c:v>8.6795143727417035</c:v>
                </c:pt>
                <c:pt idx="5">
                  <c:v>2.8975439088678057</c:v>
                </c:pt>
                <c:pt idx="6">
                  <c:v>3.6662593905314678</c:v>
                </c:pt>
                <c:pt idx="7">
                  <c:v>5.9302728900138213</c:v>
                </c:pt>
                <c:pt idx="8">
                  <c:v>3.6016445047976742</c:v>
                </c:pt>
                <c:pt idx="9">
                  <c:v>7.1600269296134833</c:v>
                </c:pt>
                <c:pt idx="10">
                  <c:v>5.7850603575118065</c:v>
                </c:pt>
                <c:pt idx="11">
                  <c:v>7.4964856153131754</c:v>
                </c:pt>
                <c:pt idx="12">
                  <c:v>4.8088368019147953</c:v>
                </c:pt>
                <c:pt idx="13">
                  <c:v>4.9296739103085629</c:v>
                </c:pt>
                <c:pt idx="14">
                  <c:v>-0.81201904466838837</c:v>
                </c:pt>
                <c:pt idx="15">
                  <c:v>4.2392838762529639</c:v>
                </c:pt>
                <c:pt idx="16">
                  <c:v>5.2447409812763857</c:v>
                </c:pt>
                <c:pt idx="17">
                  <c:v>5.0546657794393157</c:v>
                </c:pt>
              </c:numCache>
            </c:numRef>
          </c:val>
          <c:extLst>
            <c:ext xmlns:c16="http://schemas.microsoft.com/office/drawing/2014/chart" uri="{C3380CC4-5D6E-409C-BE32-E72D297353CC}">
              <c16:uniqueId val="{00000000-A5D9-4B52-ADC1-8DCAF8B3B850}"/>
            </c:ext>
          </c:extLst>
        </c:ser>
        <c:dLbls>
          <c:showLegendKey val="0"/>
          <c:showVal val="0"/>
          <c:showCatName val="0"/>
          <c:showSerName val="0"/>
          <c:showPercent val="0"/>
          <c:showBubbleSize val="0"/>
        </c:dLbls>
        <c:gapWidth val="75"/>
        <c:overlap val="-25"/>
        <c:axId val="131419136"/>
        <c:axId val="131433216"/>
      </c:barChart>
      <c:lineChart>
        <c:grouping val="standard"/>
        <c:varyColors val="0"/>
        <c:ser>
          <c:idx val="1"/>
          <c:order val="1"/>
          <c:tx>
            <c:v>Quarter Change</c:v>
          </c:tx>
          <c:spPr>
            <a:ln w="25400" cap="rnd">
              <a:solidFill>
                <a:schemeClr val="tx1"/>
              </a:solidFill>
              <a:round/>
            </a:ln>
            <a:effectLst/>
          </c:spPr>
          <c:marker>
            <c:symbol val="none"/>
          </c:marker>
          <c:cat>
            <c:strRef>
              <c:f>'D:\betam\aras_notlari\buy_degerlendirme\contr2gr_howto\[buy_deg_tablolar_2017q2.xlsx]2017Q2'!$A$28:$A$45</c:f>
              <c:strCache>
                <c:ptCount val="1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strCache>
            </c:strRef>
          </c:cat>
          <c:val>
            <c:numRef>
              <c:f>'D:\betam\aras_notlari\buy_degerlendirme\contr2gr_howto\[buy_deg_tablolar_2017q2.xlsx]2017Q2'!$F$28:$F$45</c:f>
              <c:numCache>
                <c:formatCode>General</c:formatCode>
                <c:ptCount val="18"/>
                <c:pt idx="0">
                  <c:v>3.6208473643695616</c:v>
                </c:pt>
                <c:pt idx="1">
                  <c:v>2.6178718129820089</c:v>
                </c:pt>
                <c:pt idx="2">
                  <c:v>1.3467776232332307</c:v>
                </c:pt>
                <c:pt idx="3">
                  <c:v>0.7323027399487092</c:v>
                </c:pt>
                <c:pt idx="4">
                  <c:v>2.3392911113911508</c:v>
                </c:pt>
                <c:pt idx="5">
                  <c:v>-0.73630299292889445</c:v>
                </c:pt>
                <c:pt idx="6">
                  <c:v>1.9283417993067653</c:v>
                </c:pt>
                <c:pt idx="7">
                  <c:v>1.2613823103212018</c:v>
                </c:pt>
                <c:pt idx="8">
                  <c:v>1.998069327899854</c:v>
                </c:pt>
                <c:pt idx="9">
                  <c:v>1.7485867207605255</c:v>
                </c:pt>
                <c:pt idx="10">
                  <c:v>0.94843466269152188</c:v>
                </c:pt>
                <c:pt idx="11">
                  <c:v>0.92672244821985217</c:v>
                </c:pt>
                <c:pt idx="12">
                  <c:v>0.78610226015680684</c:v>
                </c:pt>
                <c:pt idx="13">
                  <c:v>0.69590158341656938</c:v>
                </c:pt>
                <c:pt idx="14">
                  <c:v>-1.1981397613648581</c:v>
                </c:pt>
                <c:pt idx="15">
                  <c:v>3.9056087711528908</c:v>
                </c:pt>
                <c:pt idx="16">
                  <c:v>1.2703746277015426</c:v>
                </c:pt>
                <c:pt idx="17">
                  <c:v>2.0529852966769013</c:v>
                </c:pt>
              </c:numCache>
            </c:numRef>
          </c:val>
          <c:smooth val="0"/>
          <c:extLst>
            <c:ext xmlns:c16="http://schemas.microsoft.com/office/drawing/2014/chart" uri="{C3380CC4-5D6E-409C-BE32-E72D297353CC}">
              <c16:uniqueId val="{00000001-A5D9-4B52-ADC1-8DCAF8B3B850}"/>
            </c:ext>
          </c:extLst>
        </c:ser>
        <c:dLbls>
          <c:showLegendKey val="0"/>
          <c:showVal val="0"/>
          <c:showCatName val="0"/>
          <c:showSerName val="0"/>
          <c:showPercent val="0"/>
          <c:showBubbleSize val="0"/>
        </c:dLbls>
        <c:marker val="1"/>
        <c:smooth val="0"/>
        <c:axId val="131419136"/>
        <c:axId val="131433216"/>
      </c:lineChart>
      <c:catAx>
        <c:axId val="13141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31433216"/>
        <c:crosses val="autoZero"/>
        <c:auto val="1"/>
        <c:lblAlgn val="ctr"/>
        <c:lblOffset val="100"/>
        <c:noMultiLvlLbl val="0"/>
      </c:catAx>
      <c:valAx>
        <c:axId val="13143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41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3A9F-85E8-4E0C-B75D-CC0EFFE6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1137</Words>
  <Characters>6481</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Uğurcan ACAR</cp:lastModifiedBy>
  <cp:revision>14</cp:revision>
  <dcterms:created xsi:type="dcterms:W3CDTF">2018-01-29T10:12:00Z</dcterms:created>
  <dcterms:modified xsi:type="dcterms:W3CDTF">2018-01-29T12:34:00Z</dcterms:modified>
</cp:coreProperties>
</file>