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63584D" w:rsidRDefault="006C1111" w:rsidP="00A26107">
      <w:pPr>
        <w:jc w:val="both"/>
        <w:rPr>
          <w:rFonts w:ascii="Palatino Linotype" w:hAnsi="Palatino Linotype" w:cs="Arial"/>
          <w:sz w:val="22"/>
          <w:szCs w:val="22"/>
        </w:rPr>
      </w:pPr>
      <w:bookmarkStart w:id="0" w:name="_GoBack"/>
      <w:bookmarkEnd w:id="0"/>
      <w:r>
        <w:rPr>
          <w:rFonts w:ascii="Palatino Linotype" w:hAnsi="Palatino Linotype" w:cs="Arial"/>
          <w:noProof/>
          <w:sz w:val="22"/>
          <w:szCs w:val="22"/>
        </w:rPr>
        <mc:AlternateContent>
          <mc:Choice Requires="wps">
            <w:drawing>
              <wp:anchor distT="0" distB="0" distL="114935" distR="114935" simplePos="0" relativeHeight="251661824" behindDoc="0" locked="0" layoutInCell="1" allowOverlap="1">
                <wp:simplePos x="0" y="0"/>
                <wp:positionH relativeFrom="column">
                  <wp:posOffset>5254625</wp:posOffset>
                </wp:positionH>
                <wp:positionV relativeFrom="paragraph">
                  <wp:posOffset>6350</wp:posOffset>
                </wp:positionV>
                <wp:extent cx="1203325"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39B" w:rsidRPr="00BD477C" w:rsidRDefault="006639FE" w:rsidP="00D07713">
                            <w:pPr>
                              <w:tabs>
                                <w:tab w:val="num" w:pos="720"/>
                              </w:tabs>
                              <w:suppressAutoHyphens/>
                              <w:spacing w:before="240" w:after="60"/>
                              <w:ind w:left="720" w:hanging="720"/>
                              <w:rPr>
                                <w:b/>
                                <w:bCs/>
                                <w:color w:val="FFFFFF"/>
                                <w:sz w:val="22"/>
                                <w:szCs w:val="22"/>
                                <w:lang w:eastAsia="ar-SA"/>
                              </w:rPr>
                            </w:pPr>
                            <w:r>
                              <w:rPr>
                                <w:b/>
                                <w:color w:val="FFFFFF"/>
                                <w:sz w:val="22"/>
                                <w:szCs w:val="22"/>
                              </w:rPr>
                              <w:t>30</w:t>
                            </w:r>
                            <w:r w:rsidR="004776DD">
                              <w:rPr>
                                <w:b/>
                                <w:color w:val="FFFFFF"/>
                                <w:sz w:val="22"/>
                                <w:szCs w:val="22"/>
                              </w:rPr>
                              <w:t xml:space="preserve"> </w:t>
                            </w:r>
                            <w:r w:rsidR="009C339B">
                              <w:rPr>
                                <w:b/>
                                <w:color w:val="FFFFFF"/>
                                <w:sz w:val="22"/>
                                <w:szCs w:val="22"/>
                              </w:rPr>
                              <w:t>Ocak</w:t>
                            </w:r>
                            <w:r w:rsidR="009C339B" w:rsidRPr="00BD477C">
                              <w:rPr>
                                <w:b/>
                                <w:color w:val="FFFFFF"/>
                                <w:sz w:val="22"/>
                                <w:szCs w:val="22"/>
                              </w:rPr>
                              <w:t xml:space="preserve"> 201</w:t>
                            </w:r>
                            <w:r w:rsidR="009C339B">
                              <w:rPr>
                                <w:b/>
                                <w:color w:val="FFFFFF"/>
                                <w:sz w:val="22"/>
                                <w:szCs w:val="22"/>
                              </w:rPr>
                              <w:t>8</w:t>
                            </w:r>
                          </w:p>
                          <w:p w:rsidR="009C339B" w:rsidRPr="00187FA0" w:rsidRDefault="009C339B"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75pt;margin-top:.5pt;width:94.75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GThwIAABwFAAAOAAAAZHJzL2Uyb0RvYy54bWysVNuO2yAQfa/Uf0C8Z21nnTS21lntpakq&#10;bS/Sbj+AAI5RMVAgsbdV/70DrLOXqlJV1Q94gOHMmZkDZ+djL9GBWye0anBxkmPEFdVMqF2Dv9xt&#10;ZiuMnCeKEakVb/A9d/h8/frV2WBqPtedloxbBCDK1YNpcOe9qbPM0Y73xJ1owxVsttr2xMPU7jJm&#10;yQDovczmeb7MBm2ZsZpy52D1Om3idcRvW079p7Z13CPZYODm42jjuA1jtj4j9c4S0wn6QIP8A4ue&#10;CAVBj1DXxBO0t+I3qF5Qq51u/QnVfabbVlAec4BsivxFNrcdMTzmAsVx5lgm9/9g6cfDZ4sEa/AC&#10;I0V6aNEdHz261CM6DdUZjKvB6daAmx9hGbocM3XmRtOvDil91RG14xfW6qHjhAG7IpzMnhxNOC6A&#10;bIcPmkEYsvc6Ao2t7UPpoBgI0KFL98fOBCo0hJznp6dzoEhhr1yUy2VsXUbq6bSxzr/jukfBaLCF&#10;zkd0crhxPrAh9eQSgjktBdsIKePE7rZX0qIDAZVs4pfOStORtDqFc8k14j3DkCogKR0wU7i0AhkA&#10;gbAXcomS+FEV8zK/nFezzXL1ZlZuysWsepOvZnlRXVbLvKzK683PwKAo604wxtWNUHySZ1H+Xfsf&#10;LkoSVhQoGhpcLaCMMek/ViCPX2zhi0L1wsNtlaJv8OroROrQ9beKQdqk9kTIZGfP6ceSQQ2mf6xK&#10;1EiQRRKIH7cjoAThbDW7B7VYDc0EScATA0an7XeMBriuDXbf9sRyjOR7BYoLd3sy7GRsJ4MoCkcb&#10;7DFK5pVPb8DeWLHrADlpWukLUGUromAeWQDlMIErGMk/PBfhjj+dR6/HR239CwAA//8DAFBLAwQU&#10;AAYACAAAACEAxwegf9wAAAAJAQAADwAAAGRycy9kb3ducmV2LnhtbEyPwU7DMBBE70j8g7VI3KjT&#10;IJo0jVNBEVwRAalXN97GUeJ1FLtt+Hu2J7jt6I1mZ8rt7AZxxil0nhQsFwkIpMabjloF319vDzmI&#10;EDUZPXhCBT8YYFvd3pS6MP5Cn3iuYys4hEKhFdgYx0LK0Fh0Oiz8iMTs6CenI8uplWbSFw53g0yT&#10;ZCWd7og/WD3izmLT1yen4PEjzfbhvX7djXtc93l46Y9klbq/m583ICLO8c8M1/pcHSrudPAnMkEM&#10;CvI0e2IrA5505cky4+ugIEtXIKtS/l9Q/QIAAP//AwBQSwECLQAUAAYACAAAACEAtoM4kv4AAADh&#10;AQAAEwAAAAAAAAAAAAAAAAAAAAAAW0NvbnRlbnRfVHlwZXNdLnhtbFBLAQItABQABgAIAAAAIQA4&#10;/SH/1gAAAJQBAAALAAAAAAAAAAAAAAAAAC8BAABfcmVscy8ucmVsc1BLAQItABQABgAIAAAAIQA8&#10;snGThwIAABwFAAAOAAAAAAAAAAAAAAAAAC4CAABkcnMvZTJvRG9jLnhtbFBLAQItABQABgAIAAAA&#10;IQDHB6B/3AAAAAkBAAAPAAAAAAAAAAAAAAAAAOEEAABkcnMvZG93bnJldi54bWxQSwUGAAAAAAQA&#10;BADzAAAA6gUAAAAA&#10;" stroked="f">
                <v:fill opacity="0"/>
                <v:textbox inset="0,0,0,0">
                  <w:txbxContent>
                    <w:p w:rsidR="009C339B" w:rsidRPr="00BD477C" w:rsidRDefault="006639FE" w:rsidP="00D07713">
                      <w:pPr>
                        <w:tabs>
                          <w:tab w:val="num" w:pos="720"/>
                        </w:tabs>
                        <w:suppressAutoHyphens/>
                        <w:spacing w:before="240" w:after="60"/>
                        <w:ind w:left="720" w:hanging="720"/>
                        <w:rPr>
                          <w:b/>
                          <w:bCs/>
                          <w:color w:val="FFFFFF"/>
                          <w:sz w:val="22"/>
                          <w:szCs w:val="22"/>
                          <w:lang w:eastAsia="ar-SA"/>
                        </w:rPr>
                      </w:pPr>
                      <w:r>
                        <w:rPr>
                          <w:b/>
                          <w:color w:val="FFFFFF"/>
                          <w:sz w:val="22"/>
                          <w:szCs w:val="22"/>
                        </w:rPr>
                        <w:t>30</w:t>
                      </w:r>
                      <w:r w:rsidR="004776DD">
                        <w:rPr>
                          <w:b/>
                          <w:color w:val="FFFFFF"/>
                          <w:sz w:val="22"/>
                          <w:szCs w:val="22"/>
                        </w:rPr>
                        <w:t xml:space="preserve"> </w:t>
                      </w:r>
                      <w:r w:rsidR="009C339B">
                        <w:rPr>
                          <w:b/>
                          <w:color w:val="FFFFFF"/>
                          <w:sz w:val="22"/>
                          <w:szCs w:val="22"/>
                        </w:rPr>
                        <w:t>Ocak</w:t>
                      </w:r>
                      <w:r w:rsidR="009C339B" w:rsidRPr="00BD477C">
                        <w:rPr>
                          <w:b/>
                          <w:color w:val="FFFFFF"/>
                          <w:sz w:val="22"/>
                          <w:szCs w:val="22"/>
                        </w:rPr>
                        <w:t xml:space="preserve"> 201</w:t>
                      </w:r>
                      <w:r w:rsidR="009C339B">
                        <w:rPr>
                          <w:b/>
                          <w:color w:val="FFFFFF"/>
                          <w:sz w:val="22"/>
                          <w:szCs w:val="22"/>
                        </w:rPr>
                        <w:t>8</w:t>
                      </w:r>
                    </w:p>
                    <w:p w:rsidR="009C339B" w:rsidRPr="00187FA0" w:rsidRDefault="009C339B" w:rsidP="00D07713"/>
                  </w:txbxContent>
                </v:textbox>
              </v:shape>
            </w:pict>
          </mc:Fallback>
        </mc:AlternateContent>
      </w:r>
      <w:r>
        <w:rPr>
          <w:rFonts w:ascii="Palatino Linotype" w:hAnsi="Palatino Linotype" w:cs="Arial"/>
          <w:noProof/>
          <w:sz w:val="22"/>
          <w:szCs w:val="22"/>
        </w:rPr>
        <mc:AlternateContent>
          <mc:Choice Requires="wps">
            <w:drawing>
              <wp:anchor distT="0" distB="0" distL="114935" distR="114935" simplePos="0" relativeHeight="251658752" behindDoc="0" locked="0" layoutInCell="1" allowOverlap="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39B" w:rsidRPr="00D9195B" w:rsidRDefault="009C339B" w:rsidP="00726D0B">
                            <w:pPr>
                              <w:rPr>
                                <w:rFonts w:ascii="Palatino Linotype" w:hAnsi="Palatino Linotype"/>
                                <w:color w:val="FF0000"/>
                                <w:sz w:val="52"/>
                                <w:szCs w:val="52"/>
                              </w:rPr>
                            </w:pPr>
                            <w:r>
                              <w:rPr>
                                <w:rFonts w:ascii="Palatino Linotype" w:hAnsi="Palatino Linotype"/>
                                <w:sz w:val="52"/>
                                <w:szCs w:val="52"/>
                              </w:rPr>
                              <w:t xml:space="preserve">    Araştırma Notu 18/</w:t>
                            </w:r>
                            <w:r w:rsidR="004776DD">
                              <w:rPr>
                                <w:rFonts w:ascii="Palatino Linotype" w:hAnsi="Palatino Linotype"/>
                                <w:sz w:val="52"/>
                                <w:szCs w:val="52"/>
                              </w:rPr>
                              <w:t>221</w:t>
                            </w:r>
                          </w:p>
                          <w:p w:rsidR="009C339B" w:rsidRPr="00BD477C" w:rsidRDefault="009C339B" w:rsidP="00D07713">
                            <w:pPr>
                              <w:rPr>
                                <w:i/>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9C339B" w:rsidRPr="00D9195B" w:rsidRDefault="009C339B" w:rsidP="00726D0B">
                      <w:pPr>
                        <w:rPr>
                          <w:rFonts w:ascii="Palatino Linotype" w:hAnsi="Palatino Linotype"/>
                          <w:color w:val="FF0000"/>
                          <w:sz w:val="52"/>
                          <w:szCs w:val="52"/>
                        </w:rPr>
                      </w:pPr>
                      <w:r>
                        <w:rPr>
                          <w:rFonts w:ascii="Palatino Linotype" w:hAnsi="Palatino Linotype"/>
                          <w:sz w:val="52"/>
                          <w:szCs w:val="52"/>
                        </w:rPr>
                        <w:t xml:space="preserve">    Araştırma Notu 18/</w:t>
                      </w:r>
                      <w:r w:rsidR="004776DD">
                        <w:rPr>
                          <w:rFonts w:ascii="Palatino Linotype" w:hAnsi="Palatino Linotype"/>
                          <w:sz w:val="52"/>
                          <w:szCs w:val="52"/>
                        </w:rPr>
                        <w:t>221</w:t>
                      </w:r>
                    </w:p>
                    <w:p w:rsidR="009C339B" w:rsidRPr="00BD477C" w:rsidRDefault="009C339B" w:rsidP="00D07713">
                      <w:pPr>
                        <w:rPr>
                          <w:i/>
                          <w:iCs/>
                          <w:sz w:val="20"/>
                        </w:rPr>
                      </w:pPr>
                    </w:p>
                  </w:txbxContent>
                </v:textbox>
              </v:shape>
            </w:pict>
          </mc:Fallback>
        </mc:AlternateContent>
      </w:r>
      <w:r w:rsidR="00D07713" w:rsidRPr="0063584D">
        <w:rPr>
          <w:rFonts w:ascii="Palatino Linotype" w:hAnsi="Palatino Linotype" w:cs="Arial"/>
          <w:noProof/>
          <w:sz w:val="22"/>
          <w:szCs w:val="22"/>
        </w:rPr>
        <w:drawing>
          <wp:anchor distT="0" distB="0" distL="114300" distR="114300" simplePos="0" relativeHeight="251655680" behindDoc="1" locked="0" layoutInCell="1" allowOverlap="1">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63584D" w:rsidRDefault="00D07713" w:rsidP="00A26107">
      <w:pPr>
        <w:jc w:val="both"/>
        <w:rPr>
          <w:rFonts w:ascii="Palatino Linotype" w:hAnsi="Palatino Linotype" w:cs="Arial"/>
          <w:sz w:val="22"/>
          <w:szCs w:val="22"/>
        </w:rPr>
      </w:pPr>
    </w:p>
    <w:p w:rsidR="00D07713" w:rsidRPr="0063584D" w:rsidRDefault="00D07713" w:rsidP="00A26107">
      <w:pPr>
        <w:jc w:val="both"/>
        <w:rPr>
          <w:rFonts w:ascii="Palatino Linotype" w:hAnsi="Palatino Linotype" w:cs="Arial"/>
          <w:sz w:val="22"/>
          <w:szCs w:val="22"/>
        </w:rPr>
      </w:pPr>
    </w:p>
    <w:p w:rsidR="00D07713" w:rsidRPr="0063584D" w:rsidRDefault="00D07713" w:rsidP="00A26107">
      <w:pPr>
        <w:spacing w:line="288" w:lineRule="auto"/>
        <w:ind w:right="-319"/>
        <w:jc w:val="both"/>
        <w:outlineLvl w:val="0"/>
        <w:rPr>
          <w:rFonts w:ascii="Palatino Linotype" w:hAnsi="Palatino Linotype" w:cs="Arial"/>
          <w:b/>
          <w:bCs/>
          <w:sz w:val="22"/>
          <w:szCs w:val="22"/>
        </w:rPr>
      </w:pPr>
    </w:p>
    <w:p w:rsidR="00BD477C" w:rsidRPr="0063584D" w:rsidRDefault="00031C57" w:rsidP="000D656C">
      <w:pPr>
        <w:tabs>
          <w:tab w:val="center" w:pos="5102"/>
          <w:tab w:val="right" w:pos="10204"/>
        </w:tabs>
        <w:spacing w:before="120"/>
        <w:jc w:val="center"/>
        <w:rPr>
          <w:rFonts w:ascii="Palatino Linotype" w:hAnsi="Palatino Linotype" w:cs="Arial"/>
          <w:b/>
          <w:bCs/>
          <w:sz w:val="22"/>
          <w:szCs w:val="22"/>
        </w:rPr>
      </w:pPr>
      <w:r w:rsidRPr="0063584D">
        <w:rPr>
          <w:rFonts w:ascii="Palatino Linotype" w:hAnsi="Palatino Linotype" w:cs="Arial"/>
          <w:b/>
          <w:bCs/>
          <w:sz w:val="22"/>
          <w:szCs w:val="22"/>
        </w:rPr>
        <w:t>BÜYÜME</w:t>
      </w:r>
      <w:r w:rsidR="00C413B8">
        <w:rPr>
          <w:rFonts w:ascii="Palatino Linotype" w:hAnsi="Palatino Linotype" w:cs="Arial"/>
          <w:b/>
          <w:bCs/>
          <w:sz w:val="22"/>
          <w:szCs w:val="22"/>
        </w:rPr>
        <w:t>DE ŞAŞIRTICI</w:t>
      </w:r>
      <w:r w:rsidRPr="0063584D">
        <w:rPr>
          <w:rFonts w:ascii="Palatino Linotype" w:hAnsi="Palatino Linotype" w:cs="Arial"/>
          <w:b/>
          <w:bCs/>
          <w:sz w:val="22"/>
          <w:szCs w:val="22"/>
        </w:rPr>
        <w:t xml:space="preserve"> </w:t>
      </w:r>
      <w:r w:rsidR="00F34DD4" w:rsidRPr="0063584D">
        <w:rPr>
          <w:rFonts w:ascii="Palatino Linotype" w:hAnsi="Palatino Linotype" w:cs="Arial"/>
          <w:b/>
          <w:bCs/>
          <w:sz w:val="22"/>
          <w:szCs w:val="22"/>
        </w:rPr>
        <w:t>REVİZYONLAR</w:t>
      </w:r>
    </w:p>
    <w:p w:rsidR="00F5328A" w:rsidRPr="0063584D" w:rsidRDefault="00F5328A" w:rsidP="00F5328A">
      <w:pPr>
        <w:jc w:val="center"/>
        <w:rPr>
          <w:rFonts w:ascii="Palatino Linotype" w:hAnsi="Palatino Linotype"/>
          <w:sz w:val="22"/>
          <w:szCs w:val="22"/>
        </w:rPr>
      </w:pPr>
      <w:r w:rsidRPr="0063584D">
        <w:rPr>
          <w:rFonts w:ascii="Palatino Linotype" w:hAnsi="Palatino Linotype" w:cs="Arial"/>
          <w:b/>
          <w:bCs/>
          <w:sz w:val="22"/>
          <w:szCs w:val="22"/>
        </w:rPr>
        <w:br/>
        <w:t>Seyfettin Gürsel</w:t>
      </w:r>
      <w:r w:rsidRPr="0063584D">
        <w:rPr>
          <w:rStyle w:val="DipnotBavurusu"/>
          <w:rFonts w:ascii="Palatino Linotype" w:hAnsi="Palatino Linotype" w:cs="Arial"/>
          <w:b/>
          <w:bCs/>
          <w:sz w:val="22"/>
          <w:szCs w:val="22"/>
        </w:rPr>
        <w:footnoteReference w:customMarkFollows="1" w:id="1"/>
        <w:t>*</w:t>
      </w:r>
      <w:r w:rsidRPr="0063584D">
        <w:rPr>
          <w:rFonts w:ascii="Palatino Linotype" w:hAnsi="Palatino Linotype" w:cs="Arial"/>
          <w:b/>
          <w:bCs/>
          <w:sz w:val="22"/>
          <w:szCs w:val="22"/>
        </w:rPr>
        <w:t>, Ozan Bakış</w:t>
      </w:r>
      <w:r w:rsidRPr="0063584D">
        <w:rPr>
          <w:rStyle w:val="DipnotBavurusu"/>
          <w:rFonts w:ascii="Palatino Linotype" w:hAnsi="Palatino Linotype" w:cs="Arial"/>
          <w:b/>
          <w:bCs/>
          <w:sz w:val="22"/>
          <w:szCs w:val="22"/>
        </w:rPr>
        <w:footnoteReference w:customMarkFollows="1" w:id="2"/>
        <w:sym w:font="Symbol" w:char="F02A"/>
      </w:r>
      <w:r w:rsidRPr="0063584D">
        <w:rPr>
          <w:rStyle w:val="DipnotBavurusu"/>
          <w:rFonts w:ascii="Palatino Linotype" w:hAnsi="Palatino Linotype" w:cs="Arial"/>
          <w:b/>
          <w:bCs/>
          <w:sz w:val="22"/>
          <w:szCs w:val="22"/>
        </w:rPr>
        <w:sym w:font="Symbol" w:char="F02A"/>
      </w:r>
      <w:r w:rsidR="009C339B" w:rsidRPr="0063584D">
        <w:rPr>
          <w:rFonts w:ascii="Palatino Linotype" w:hAnsi="Palatino Linotype" w:cs="Arial"/>
          <w:b/>
          <w:bCs/>
          <w:sz w:val="22"/>
          <w:szCs w:val="22"/>
        </w:rPr>
        <w:t xml:space="preserve"> </w:t>
      </w:r>
      <w:r w:rsidRPr="0063584D">
        <w:rPr>
          <w:rFonts w:ascii="Palatino Linotype" w:hAnsi="Palatino Linotype" w:cs="Arial"/>
          <w:b/>
          <w:bCs/>
          <w:sz w:val="22"/>
          <w:szCs w:val="22"/>
        </w:rPr>
        <w:t>ve Uğurcan Acar***</w:t>
      </w:r>
    </w:p>
    <w:p w:rsidR="00D07713" w:rsidRPr="0063584D" w:rsidRDefault="00D07713" w:rsidP="00A26107">
      <w:pPr>
        <w:jc w:val="center"/>
        <w:rPr>
          <w:rFonts w:ascii="Palatino Linotype" w:hAnsi="Palatino Linotype" w:cs="Arial"/>
          <w:sz w:val="22"/>
          <w:szCs w:val="22"/>
        </w:rPr>
      </w:pPr>
    </w:p>
    <w:p w:rsidR="00D257C1" w:rsidRPr="0063584D" w:rsidRDefault="00D257C1" w:rsidP="00A26107">
      <w:pPr>
        <w:jc w:val="center"/>
        <w:rPr>
          <w:rFonts w:ascii="Palatino Linotype" w:hAnsi="Palatino Linotype" w:cs="Arial"/>
          <w:b/>
          <w:sz w:val="22"/>
          <w:szCs w:val="22"/>
        </w:rPr>
      </w:pPr>
      <w:r w:rsidRPr="0063584D">
        <w:rPr>
          <w:rFonts w:ascii="Palatino Linotype" w:hAnsi="Palatino Linotype" w:cs="Arial"/>
          <w:b/>
          <w:sz w:val="22"/>
          <w:szCs w:val="22"/>
        </w:rPr>
        <w:t>Yönetici</w:t>
      </w:r>
      <w:r w:rsidR="00052946" w:rsidRPr="0063584D">
        <w:rPr>
          <w:rFonts w:ascii="Palatino Linotype" w:hAnsi="Palatino Linotype" w:cs="Arial"/>
          <w:b/>
          <w:sz w:val="22"/>
          <w:szCs w:val="22"/>
        </w:rPr>
        <w:t xml:space="preserve"> </w:t>
      </w:r>
      <w:r w:rsidRPr="0063584D">
        <w:rPr>
          <w:rFonts w:ascii="Palatino Linotype" w:hAnsi="Palatino Linotype" w:cs="Arial"/>
          <w:b/>
          <w:sz w:val="22"/>
          <w:szCs w:val="22"/>
        </w:rPr>
        <w:t>Özeti</w:t>
      </w:r>
    </w:p>
    <w:p w:rsidR="001C08E0" w:rsidRPr="0063584D" w:rsidRDefault="001C08E0" w:rsidP="00A26107">
      <w:pPr>
        <w:jc w:val="both"/>
        <w:rPr>
          <w:rFonts w:ascii="Palatino Linotype" w:hAnsi="Palatino Linotype" w:cs="Arial"/>
          <w:sz w:val="22"/>
          <w:szCs w:val="22"/>
        </w:rPr>
      </w:pPr>
    </w:p>
    <w:p w:rsidR="00713542" w:rsidRPr="0063584D" w:rsidRDefault="00A266E3" w:rsidP="00052946">
      <w:pPr>
        <w:spacing w:line="276" w:lineRule="auto"/>
        <w:ind w:left="567"/>
        <w:jc w:val="both"/>
        <w:rPr>
          <w:rFonts w:ascii="Palatino Linotype" w:hAnsi="Palatino Linotype" w:cs="Arial"/>
          <w:sz w:val="22"/>
          <w:szCs w:val="22"/>
        </w:rPr>
      </w:pPr>
      <w:r w:rsidRPr="0063584D">
        <w:rPr>
          <w:rFonts w:ascii="Palatino Linotype" w:hAnsi="Palatino Linotype" w:cs="Arial"/>
          <w:sz w:val="22"/>
          <w:szCs w:val="22"/>
        </w:rPr>
        <w:t>TÜİK’in ul</w:t>
      </w:r>
      <w:r w:rsidR="007C68F9">
        <w:rPr>
          <w:rFonts w:ascii="Palatino Linotype" w:hAnsi="Palatino Linotype" w:cs="Arial"/>
          <w:sz w:val="22"/>
          <w:szCs w:val="22"/>
        </w:rPr>
        <w:t>u</w:t>
      </w:r>
      <w:r w:rsidRPr="0063584D">
        <w:rPr>
          <w:rFonts w:ascii="Palatino Linotype" w:hAnsi="Palatino Linotype" w:cs="Arial"/>
          <w:sz w:val="22"/>
          <w:szCs w:val="22"/>
        </w:rPr>
        <w:t xml:space="preserve">sal hesapları 2016 3. </w:t>
      </w:r>
      <w:r w:rsidR="00F5328A" w:rsidRPr="0063584D">
        <w:rPr>
          <w:rFonts w:ascii="Palatino Linotype" w:hAnsi="Palatino Linotype" w:cs="Arial"/>
          <w:sz w:val="22"/>
          <w:szCs w:val="22"/>
        </w:rPr>
        <w:t>ç</w:t>
      </w:r>
      <w:r w:rsidRPr="0063584D">
        <w:rPr>
          <w:rFonts w:ascii="Palatino Linotype" w:hAnsi="Palatino Linotype" w:cs="Arial"/>
          <w:sz w:val="22"/>
          <w:szCs w:val="22"/>
        </w:rPr>
        <w:t>eyrekten itibaren yeni bir yöntem (zincirleme hac</w:t>
      </w:r>
      <w:r w:rsidR="00C92FA6" w:rsidRPr="0063584D">
        <w:rPr>
          <w:rFonts w:ascii="Palatino Linotype" w:hAnsi="Palatino Linotype" w:cs="Arial"/>
          <w:sz w:val="22"/>
          <w:szCs w:val="22"/>
        </w:rPr>
        <w:t>i</w:t>
      </w:r>
      <w:r w:rsidRPr="0063584D">
        <w:rPr>
          <w:rFonts w:ascii="Palatino Linotype" w:hAnsi="Palatino Linotype" w:cs="Arial"/>
          <w:sz w:val="22"/>
          <w:szCs w:val="22"/>
        </w:rPr>
        <w:t>m endeksi) ve yeni veri setleri (özellikle firma vergi kay</w:t>
      </w:r>
      <w:r w:rsidR="00C92FA6" w:rsidRPr="0063584D">
        <w:rPr>
          <w:rFonts w:ascii="Palatino Linotype" w:hAnsi="Palatino Linotype" w:cs="Arial"/>
          <w:sz w:val="22"/>
          <w:szCs w:val="22"/>
        </w:rPr>
        <w:t>ı</w:t>
      </w:r>
      <w:r w:rsidRPr="0063584D">
        <w:rPr>
          <w:rFonts w:ascii="Palatino Linotype" w:hAnsi="Palatino Linotype" w:cs="Arial"/>
          <w:sz w:val="22"/>
          <w:szCs w:val="22"/>
        </w:rPr>
        <w:t xml:space="preserve">tları) </w:t>
      </w:r>
      <w:r w:rsidR="00C92FA6" w:rsidRPr="0063584D">
        <w:rPr>
          <w:rFonts w:ascii="Palatino Linotype" w:hAnsi="Palatino Linotype" w:cs="Arial"/>
          <w:sz w:val="22"/>
          <w:szCs w:val="22"/>
        </w:rPr>
        <w:t xml:space="preserve">kullanarak </w:t>
      </w:r>
      <w:r w:rsidRPr="0063584D">
        <w:rPr>
          <w:rFonts w:ascii="Palatino Linotype" w:hAnsi="Palatino Linotype" w:cs="Arial"/>
          <w:sz w:val="22"/>
          <w:szCs w:val="22"/>
        </w:rPr>
        <w:t>açıklamaya başlaması çeşitli açılardan tartışma yarattı. Bu tartışmalar bir yana</w:t>
      </w:r>
      <w:r w:rsidR="00C92FA6" w:rsidRPr="0063584D">
        <w:rPr>
          <w:rFonts w:ascii="Palatino Linotype" w:hAnsi="Palatino Linotype" w:cs="Arial"/>
          <w:sz w:val="22"/>
          <w:szCs w:val="22"/>
        </w:rPr>
        <w:t>,</w:t>
      </w:r>
      <w:r w:rsidRPr="0063584D">
        <w:rPr>
          <w:rFonts w:ascii="Palatino Linotype" w:hAnsi="Palatino Linotype" w:cs="Arial"/>
          <w:sz w:val="22"/>
          <w:szCs w:val="22"/>
        </w:rPr>
        <w:t xml:space="preserve"> aradan geçen süre içinde üzerinde durulmayan farklı bir sorunun ortaya çıktığı görülüyor. TÜİK</w:t>
      </w:r>
      <w:r w:rsidR="00F5328A" w:rsidRPr="0063584D">
        <w:rPr>
          <w:rFonts w:ascii="Palatino Linotype" w:hAnsi="Palatino Linotype" w:cs="Arial"/>
          <w:sz w:val="22"/>
          <w:szCs w:val="22"/>
        </w:rPr>
        <w:t>’in</w:t>
      </w:r>
      <w:r w:rsidRPr="0063584D">
        <w:rPr>
          <w:rFonts w:ascii="Palatino Linotype" w:hAnsi="Palatino Linotype" w:cs="Arial"/>
          <w:sz w:val="22"/>
          <w:szCs w:val="22"/>
        </w:rPr>
        <w:t xml:space="preserve"> açıkladığı yılık ve çeyreklik büyüme rakamlarında büyük çapta ve kimi zaman zıt yönlerde revizyonlar yaptığı</w:t>
      </w:r>
      <w:r w:rsidR="00713542" w:rsidRPr="0063584D">
        <w:rPr>
          <w:rFonts w:ascii="Palatino Linotype" w:hAnsi="Palatino Linotype" w:cs="Arial"/>
          <w:sz w:val="22"/>
          <w:szCs w:val="22"/>
        </w:rPr>
        <w:t>na şahit oluyoruz</w:t>
      </w:r>
      <w:r w:rsidRPr="0063584D">
        <w:rPr>
          <w:rFonts w:ascii="Palatino Linotype" w:hAnsi="Palatino Linotype" w:cs="Arial"/>
          <w:sz w:val="22"/>
          <w:szCs w:val="22"/>
        </w:rPr>
        <w:t>. GSYH değişim rak</w:t>
      </w:r>
      <w:r w:rsidR="00713542" w:rsidRPr="0063584D">
        <w:rPr>
          <w:rFonts w:ascii="Palatino Linotype" w:hAnsi="Palatino Linotype" w:cs="Arial"/>
          <w:sz w:val="22"/>
          <w:szCs w:val="22"/>
        </w:rPr>
        <w:t>am</w:t>
      </w:r>
      <w:r w:rsidRPr="0063584D">
        <w:rPr>
          <w:rFonts w:ascii="Palatino Linotype" w:hAnsi="Palatino Linotype" w:cs="Arial"/>
          <w:sz w:val="22"/>
          <w:szCs w:val="22"/>
        </w:rPr>
        <w:t xml:space="preserve">ları açıklandıktan sonra her yeni açıklamada geçmiş rakamların ölçülü miktarda revizyona tabi tutulmaları olağan bir uygulamadır. </w:t>
      </w:r>
      <w:r w:rsidR="00713542" w:rsidRPr="0063584D">
        <w:rPr>
          <w:rFonts w:ascii="Palatino Linotype" w:hAnsi="Palatino Linotype" w:cs="Arial"/>
          <w:sz w:val="22"/>
          <w:szCs w:val="22"/>
        </w:rPr>
        <w:t>Ekonomik büyüme rakamlarının olabildiğince erken açıklanması için ulaşılabilir tüm verilerin toplanması beklenmez. Veriler tamamlandıkça da geçmişte açıklanan rakamlar ulusal istatistik enstitüleri tarafından revize edilir. Ancak bu revizyonlar ölçülü sınırlar içinde kalırlar ve belirli bir süre sonra sönümlenirler.</w:t>
      </w:r>
    </w:p>
    <w:p w:rsidR="00713542" w:rsidRPr="0063584D" w:rsidRDefault="00713542" w:rsidP="00052946">
      <w:pPr>
        <w:spacing w:line="276" w:lineRule="auto"/>
        <w:ind w:left="567"/>
        <w:jc w:val="both"/>
        <w:rPr>
          <w:rFonts w:ascii="Palatino Linotype" w:hAnsi="Palatino Linotype" w:cs="Arial"/>
          <w:sz w:val="22"/>
          <w:szCs w:val="22"/>
        </w:rPr>
      </w:pPr>
    </w:p>
    <w:p w:rsidR="001C08E0" w:rsidRPr="0063584D" w:rsidRDefault="00713542" w:rsidP="00052946">
      <w:pPr>
        <w:spacing w:line="276" w:lineRule="auto"/>
        <w:ind w:left="567"/>
        <w:jc w:val="both"/>
        <w:rPr>
          <w:rFonts w:ascii="Palatino Linotype" w:hAnsi="Palatino Linotype" w:cs="Arial"/>
          <w:sz w:val="22"/>
          <w:szCs w:val="22"/>
        </w:rPr>
      </w:pPr>
      <w:r w:rsidRPr="0063584D">
        <w:rPr>
          <w:rFonts w:ascii="Palatino Linotype" w:hAnsi="Palatino Linotype" w:cs="Arial"/>
          <w:sz w:val="22"/>
          <w:szCs w:val="22"/>
        </w:rPr>
        <w:t>Oysa 2016</w:t>
      </w:r>
      <w:r w:rsidR="007C68F9">
        <w:rPr>
          <w:rFonts w:ascii="Palatino Linotype" w:hAnsi="Palatino Linotype" w:cs="Arial"/>
          <w:sz w:val="22"/>
          <w:szCs w:val="22"/>
        </w:rPr>
        <w:t>Ç</w:t>
      </w:r>
      <w:r w:rsidRPr="0063584D">
        <w:rPr>
          <w:rFonts w:ascii="Palatino Linotype" w:hAnsi="Palatino Linotype" w:cs="Arial"/>
          <w:sz w:val="22"/>
          <w:szCs w:val="22"/>
        </w:rPr>
        <w:t>3-2017</w:t>
      </w:r>
      <w:r w:rsidR="007C68F9">
        <w:rPr>
          <w:rFonts w:ascii="Palatino Linotype" w:hAnsi="Palatino Linotype" w:cs="Arial"/>
          <w:sz w:val="22"/>
          <w:szCs w:val="22"/>
        </w:rPr>
        <w:t>Ç</w:t>
      </w:r>
      <w:r w:rsidRPr="0063584D">
        <w:rPr>
          <w:rFonts w:ascii="Palatino Linotype" w:hAnsi="Palatino Linotype" w:cs="Arial"/>
          <w:sz w:val="22"/>
          <w:szCs w:val="22"/>
        </w:rPr>
        <w:t>3 dönemini kapsayan 5 çeyre</w:t>
      </w:r>
      <w:r w:rsidR="00DC04DF" w:rsidRPr="0063584D">
        <w:rPr>
          <w:rFonts w:ascii="Palatino Linotype" w:hAnsi="Palatino Linotype" w:cs="Arial"/>
          <w:sz w:val="22"/>
          <w:szCs w:val="22"/>
        </w:rPr>
        <w:t xml:space="preserve">ğe dair TÜİK bültenleri </w:t>
      </w:r>
      <w:r w:rsidRPr="0063584D">
        <w:rPr>
          <w:rFonts w:ascii="Palatino Linotype" w:hAnsi="Palatino Linotype" w:cs="Arial"/>
          <w:sz w:val="22"/>
          <w:szCs w:val="22"/>
        </w:rPr>
        <w:t xml:space="preserve">incelendiğinde ulusal hesaplarda TÜİK’in yaptığı revizyonların </w:t>
      </w:r>
      <w:r w:rsidR="00DC04DF" w:rsidRPr="0063584D">
        <w:rPr>
          <w:rFonts w:ascii="Palatino Linotype" w:hAnsi="Palatino Linotype" w:cs="Arial"/>
          <w:sz w:val="22"/>
          <w:szCs w:val="22"/>
        </w:rPr>
        <w:t>çoğu zaman ölçülü olmaktan çıktığı, dahası zaman zaman zıt yönlü revizyonların birbirini tak</w:t>
      </w:r>
      <w:r w:rsidR="00312366">
        <w:rPr>
          <w:rFonts w:ascii="Palatino Linotype" w:hAnsi="Palatino Linotype" w:cs="Arial"/>
          <w:sz w:val="22"/>
          <w:szCs w:val="22"/>
        </w:rPr>
        <w:t xml:space="preserve">ip ettiği ve art </w:t>
      </w:r>
      <w:r w:rsidR="00DC04DF" w:rsidRPr="0063584D">
        <w:rPr>
          <w:rFonts w:ascii="Palatino Linotype" w:hAnsi="Palatino Linotype" w:cs="Arial"/>
          <w:sz w:val="22"/>
          <w:szCs w:val="22"/>
        </w:rPr>
        <w:t>arda yapılan revizyonlarda beklenen sönümlenmen</w:t>
      </w:r>
      <w:r w:rsidR="00C92FA6" w:rsidRPr="0063584D">
        <w:rPr>
          <w:rFonts w:ascii="Palatino Linotype" w:hAnsi="Palatino Linotype" w:cs="Arial"/>
          <w:sz w:val="22"/>
          <w:szCs w:val="22"/>
        </w:rPr>
        <w:t>in</w:t>
      </w:r>
      <w:r w:rsidR="00DC04DF" w:rsidRPr="0063584D">
        <w:rPr>
          <w:rFonts w:ascii="Palatino Linotype" w:hAnsi="Palatino Linotype" w:cs="Arial"/>
          <w:sz w:val="22"/>
          <w:szCs w:val="22"/>
        </w:rPr>
        <w:t xml:space="preserve"> gerçekleşmediği gözlemlenmektedir. Bu revizyonların istisnai bir duruma işaret ettiği gerek TÜİK eski ulusal hesaplarda yaptığı revizyonlar gerek bu araştırma notunda verdiğimiz Almanya ve Fransa örneklerine bakıldığında kolaylıkla görülmektedir. Geçmiş büyüme rakamların</w:t>
      </w:r>
      <w:r w:rsidR="00A546C5" w:rsidRPr="0063584D">
        <w:rPr>
          <w:rFonts w:ascii="Palatino Linotype" w:hAnsi="Palatino Linotype" w:cs="Arial"/>
          <w:sz w:val="22"/>
          <w:szCs w:val="22"/>
        </w:rPr>
        <w:t>ın</w:t>
      </w:r>
      <w:r w:rsidR="00DC04DF" w:rsidRPr="0063584D">
        <w:rPr>
          <w:rFonts w:ascii="Palatino Linotype" w:hAnsi="Palatino Linotype" w:cs="Arial"/>
          <w:sz w:val="22"/>
          <w:szCs w:val="22"/>
        </w:rPr>
        <w:t xml:space="preserve"> bu </w:t>
      </w:r>
      <w:r w:rsidR="00A546C5" w:rsidRPr="0063584D">
        <w:rPr>
          <w:rFonts w:ascii="Palatino Linotype" w:hAnsi="Palatino Linotype" w:cs="Arial"/>
          <w:sz w:val="22"/>
          <w:szCs w:val="22"/>
        </w:rPr>
        <w:t xml:space="preserve">çapta ve değişkenlikte </w:t>
      </w:r>
      <w:r w:rsidR="00DC04DF" w:rsidRPr="0063584D">
        <w:rPr>
          <w:rFonts w:ascii="Palatino Linotype" w:hAnsi="Palatino Linotype" w:cs="Arial"/>
          <w:sz w:val="22"/>
          <w:szCs w:val="22"/>
        </w:rPr>
        <w:t>revizyonlar</w:t>
      </w:r>
      <w:r w:rsidR="00A546C5" w:rsidRPr="0063584D">
        <w:rPr>
          <w:rFonts w:ascii="Palatino Linotype" w:hAnsi="Palatino Linotype" w:cs="Arial"/>
          <w:sz w:val="22"/>
          <w:szCs w:val="22"/>
        </w:rPr>
        <w:t>a tabi olmalarının</w:t>
      </w:r>
      <w:r w:rsidR="00DC04DF" w:rsidRPr="0063584D">
        <w:rPr>
          <w:rFonts w:ascii="Palatino Linotype" w:hAnsi="Palatino Linotype" w:cs="Arial"/>
          <w:sz w:val="22"/>
          <w:szCs w:val="22"/>
        </w:rPr>
        <w:t xml:space="preserve"> Türkiye ekono</w:t>
      </w:r>
      <w:r w:rsidR="00A546C5" w:rsidRPr="0063584D">
        <w:rPr>
          <w:rFonts w:ascii="Palatino Linotype" w:hAnsi="Palatino Linotype" w:cs="Arial"/>
          <w:sz w:val="22"/>
          <w:szCs w:val="22"/>
        </w:rPr>
        <w:t>m</w:t>
      </w:r>
      <w:r w:rsidR="00DC04DF" w:rsidRPr="0063584D">
        <w:rPr>
          <w:rFonts w:ascii="Palatino Linotype" w:hAnsi="Palatino Linotype" w:cs="Arial"/>
          <w:sz w:val="22"/>
          <w:szCs w:val="22"/>
        </w:rPr>
        <w:t>isinde büyüme dinamiklerinin anlaşılmasında ve geleceğe yönelik tahminlerde ilave  güçlükler yarattığı görüşündeyiz.</w:t>
      </w:r>
    </w:p>
    <w:p w:rsidR="00091CF5" w:rsidRPr="0063584D" w:rsidRDefault="00091CF5" w:rsidP="00A26107">
      <w:pPr>
        <w:jc w:val="both"/>
        <w:rPr>
          <w:rFonts w:ascii="Palatino Linotype" w:hAnsi="Palatino Linotype" w:cs="Arial"/>
          <w:b/>
          <w:sz w:val="22"/>
          <w:szCs w:val="22"/>
        </w:rPr>
      </w:pPr>
    </w:p>
    <w:p w:rsidR="001C08E0" w:rsidRPr="0063584D" w:rsidRDefault="0007088D" w:rsidP="00A26107">
      <w:pPr>
        <w:jc w:val="both"/>
        <w:rPr>
          <w:rFonts w:ascii="Palatino Linotype" w:hAnsi="Palatino Linotype" w:cs="Arial"/>
          <w:b/>
          <w:sz w:val="22"/>
          <w:szCs w:val="22"/>
        </w:rPr>
      </w:pPr>
      <w:r w:rsidRPr="0063584D">
        <w:rPr>
          <w:rFonts w:ascii="Palatino Linotype" w:hAnsi="Palatino Linotype" w:cs="Arial"/>
          <w:b/>
          <w:sz w:val="22"/>
          <w:szCs w:val="22"/>
        </w:rPr>
        <w:t>Giriş</w:t>
      </w:r>
    </w:p>
    <w:p w:rsidR="00F87884" w:rsidRPr="0063584D" w:rsidRDefault="00F87884" w:rsidP="00A26107">
      <w:pPr>
        <w:jc w:val="both"/>
        <w:rPr>
          <w:rFonts w:ascii="Palatino Linotype" w:hAnsi="Palatino Linotype" w:cs="Arial"/>
          <w:b/>
          <w:sz w:val="22"/>
          <w:szCs w:val="22"/>
        </w:rPr>
      </w:pPr>
    </w:p>
    <w:p w:rsidR="0024031A" w:rsidRPr="0063584D" w:rsidRDefault="0024031A"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Türkiye İstatistik Kurumu (TÜİK)</w:t>
      </w:r>
      <w:r w:rsidR="00F34DD4" w:rsidRPr="0063584D">
        <w:rPr>
          <w:rFonts w:ascii="Palatino Linotype" w:hAnsi="Palatino Linotype" w:cs="Arial"/>
          <w:sz w:val="22"/>
          <w:szCs w:val="22"/>
        </w:rPr>
        <w:t xml:space="preserve">, 2016 yılının 3. çeyreğinden itibaren büyüme rakamlarını </w:t>
      </w:r>
      <w:r w:rsidRPr="0063584D">
        <w:rPr>
          <w:rFonts w:ascii="Palatino Linotype" w:hAnsi="Palatino Linotype" w:cs="Arial"/>
          <w:sz w:val="22"/>
          <w:szCs w:val="22"/>
        </w:rPr>
        <w:t xml:space="preserve">hesaplarken yeni bir yöntem kullanıyor. Ulusal Hesaplar Sistemi (SNA-2008) ve Avrupa </w:t>
      </w:r>
      <w:r w:rsidRPr="0063584D">
        <w:rPr>
          <w:rFonts w:ascii="Palatino Linotype" w:hAnsi="Palatino Linotype" w:cs="Arial"/>
          <w:sz w:val="22"/>
          <w:szCs w:val="22"/>
        </w:rPr>
        <w:lastRenderedPageBreak/>
        <w:t xml:space="preserve">Hesaplar Sistemi’ne (ESA-2010) uyum kapsamında yıllar süren revizyon çalışmalarının sonucu 12 Aralık 2016 tarihinde </w:t>
      </w:r>
      <w:r w:rsidR="007A73DF" w:rsidRPr="0063584D">
        <w:rPr>
          <w:rFonts w:ascii="Palatino Linotype" w:hAnsi="Palatino Linotype" w:cs="Arial"/>
          <w:sz w:val="22"/>
          <w:szCs w:val="22"/>
        </w:rPr>
        <w:t xml:space="preserve">TÜİK tarafından </w:t>
      </w:r>
      <w:r w:rsidRPr="0063584D">
        <w:rPr>
          <w:rFonts w:ascii="Palatino Linotype" w:hAnsi="Palatino Linotype" w:cs="Arial"/>
          <w:sz w:val="22"/>
          <w:szCs w:val="22"/>
        </w:rPr>
        <w:t>kamuoyu ile paylaş</w:t>
      </w:r>
      <w:r w:rsidR="00F5328A" w:rsidRPr="0063584D">
        <w:rPr>
          <w:rFonts w:ascii="Palatino Linotype" w:hAnsi="Palatino Linotype" w:cs="Arial"/>
          <w:sz w:val="22"/>
          <w:szCs w:val="22"/>
        </w:rPr>
        <w:t>ıl</w:t>
      </w:r>
      <w:r w:rsidRPr="0063584D">
        <w:rPr>
          <w:rFonts w:ascii="Palatino Linotype" w:hAnsi="Palatino Linotype" w:cs="Arial"/>
          <w:sz w:val="22"/>
          <w:szCs w:val="22"/>
        </w:rPr>
        <w:t>mıştı.</w:t>
      </w:r>
      <w:r w:rsidR="00F34DD4" w:rsidRPr="0063584D">
        <w:rPr>
          <w:rFonts w:ascii="Palatino Linotype" w:hAnsi="Palatino Linotype" w:cs="Arial"/>
          <w:sz w:val="22"/>
          <w:szCs w:val="22"/>
        </w:rPr>
        <w:t xml:space="preserve"> Eski ve yeni seri arasında</w:t>
      </w:r>
      <w:r w:rsidRPr="0063584D">
        <w:rPr>
          <w:rFonts w:ascii="Palatino Linotype" w:hAnsi="Palatino Linotype" w:cs="Arial"/>
          <w:sz w:val="22"/>
          <w:szCs w:val="22"/>
        </w:rPr>
        <w:t xml:space="preserve"> çok önemli tanım</w:t>
      </w:r>
      <w:r w:rsidR="007A73DF" w:rsidRPr="0063584D">
        <w:rPr>
          <w:rFonts w:ascii="Palatino Linotype" w:hAnsi="Palatino Linotype" w:cs="Arial"/>
          <w:sz w:val="22"/>
          <w:szCs w:val="22"/>
        </w:rPr>
        <w:t>,</w:t>
      </w:r>
      <w:r w:rsidRPr="0063584D">
        <w:rPr>
          <w:rFonts w:ascii="Palatino Linotype" w:hAnsi="Palatino Linotype" w:cs="Arial"/>
          <w:sz w:val="22"/>
          <w:szCs w:val="22"/>
        </w:rPr>
        <w:t xml:space="preserve"> seviye ve oran farkları olduğu anlaşılmıştı. Bu farklar</w:t>
      </w:r>
      <w:r w:rsidR="00F34DD4" w:rsidRPr="0063584D">
        <w:rPr>
          <w:rFonts w:ascii="Palatino Linotype" w:hAnsi="Palatino Linotype" w:cs="Arial"/>
          <w:sz w:val="22"/>
          <w:szCs w:val="22"/>
        </w:rPr>
        <w:t xml:space="preserve"> ve bu farkların nedenleriyle ilgili bir araştırma notu yayınlamıştık.</w:t>
      </w:r>
      <w:r w:rsidR="00F34DD4" w:rsidRPr="0063584D">
        <w:rPr>
          <w:rStyle w:val="DipnotBavurusu"/>
          <w:rFonts w:ascii="Palatino Linotype" w:eastAsiaTheme="majorEastAsia" w:hAnsi="Palatino Linotype" w:cs="Arial"/>
          <w:sz w:val="22"/>
          <w:szCs w:val="22"/>
        </w:rPr>
        <w:footnoteReference w:id="3"/>
      </w:r>
    </w:p>
    <w:p w:rsidR="0024031A" w:rsidRPr="0063584D" w:rsidRDefault="0024031A" w:rsidP="00A26107">
      <w:pPr>
        <w:spacing w:line="276" w:lineRule="auto"/>
        <w:jc w:val="both"/>
        <w:rPr>
          <w:rFonts w:ascii="Palatino Linotype" w:hAnsi="Palatino Linotype" w:cs="Arial"/>
          <w:sz w:val="22"/>
          <w:szCs w:val="22"/>
        </w:rPr>
      </w:pPr>
    </w:p>
    <w:p w:rsidR="00F87884" w:rsidRPr="0063584D" w:rsidRDefault="0024031A"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TÜİK yeni serilerle ilgili bilgilendirme çalışmaları yaparken yeni serilerde daha büyük ve daha sık revizyonların olacağını belirtmişti. O dönem bunun ne anlama geldiğini açıkçası pek idrak edememiştik. Yeni yöntemde Gayrisafi Yurtiçi Hasıla (GSYH) hesaplamaları doğrudan yıllık veriler kullanılarak yapılacaktı. Eski serilerde dönemsel GSYH tahminleri yapılıyor, onların toplamı yıllık GSYH rakamını veriyordu. Bu sebeple </w:t>
      </w:r>
      <w:r w:rsidR="0007088D" w:rsidRPr="0063584D">
        <w:rPr>
          <w:rFonts w:ascii="Palatino Linotype" w:hAnsi="Palatino Linotype" w:cs="Arial"/>
          <w:sz w:val="22"/>
          <w:szCs w:val="22"/>
        </w:rPr>
        <w:t>çeyreklik tahminlerin yıllık tahminden sonra revize edileceğini düşünmüştük. Yıllık veriler ile çeyreklik veriler</w:t>
      </w:r>
      <w:r w:rsidR="00F5328A" w:rsidRPr="0063584D">
        <w:rPr>
          <w:rFonts w:ascii="Palatino Linotype" w:hAnsi="Palatino Linotype" w:cs="Arial"/>
          <w:sz w:val="22"/>
          <w:szCs w:val="22"/>
        </w:rPr>
        <w:t>in</w:t>
      </w:r>
      <w:r w:rsidR="0007088D" w:rsidRPr="0063584D">
        <w:rPr>
          <w:rFonts w:ascii="Palatino Linotype" w:hAnsi="Palatino Linotype" w:cs="Arial"/>
          <w:sz w:val="22"/>
          <w:szCs w:val="22"/>
        </w:rPr>
        <w:t xml:space="preserve"> dönem sonunda uyumlu hale getirilmesi beklenen bir durumdu. Beklenmeyen ve bir o kadar da şaşırtıcı olan ise</w:t>
      </w:r>
      <w:r w:rsidR="00F87884" w:rsidRPr="0063584D">
        <w:rPr>
          <w:rFonts w:ascii="Palatino Linotype" w:hAnsi="Palatino Linotype" w:cs="Arial"/>
          <w:sz w:val="22"/>
          <w:szCs w:val="22"/>
        </w:rPr>
        <w:t>,</w:t>
      </w:r>
      <w:r w:rsidR="009C339B" w:rsidRPr="0063584D">
        <w:rPr>
          <w:rFonts w:ascii="Palatino Linotype" w:hAnsi="Palatino Linotype" w:cs="Arial"/>
          <w:sz w:val="22"/>
          <w:szCs w:val="22"/>
        </w:rPr>
        <w:t xml:space="preserve"> </w:t>
      </w:r>
      <w:r w:rsidR="0007088D" w:rsidRPr="0063584D">
        <w:rPr>
          <w:rFonts w:ascii="Palatino Linotype" w:hAnsi="Palatino Linotype" w:cs="Arial"/>
          <w:sz w:val="22"/>
          <w:szCs w:val="22"/>
        </w:rPr>
        <w:t xml:space="preserve">revizyonların </w:t>
      </w:r>
      <w:r w:rsidR="00F87884" w:rsidRPr="0063584D">
        <w:rPr>
          <w:rFonts w:ascii="Palatino Linotype" w:hAnsi="Palatino Linotype" w:cs="Arial"/>
          <w:sz w:val="22"/>
          <w:szCs w:val="22"/>
        </w:rPr>
        <w:t>tekrar tekrar ve büyük çapta, hatta zaman zaman zıt yönlerde yapılmasıdır</w:t>
      </w:r>
      <w:r w:rsidR="0007088D" w:rsidRPr="0063584D">
        <w:rPr>
          <w:rFonts w:ascii="Palatino Linotype" w:hAnsi="Palatino Linotype" w:cs="Arial"/>
          <w:sz w:val="22"/>
          <w:szCs w:val="22"/>
        </w:rPr>
        <w:t xml:space="preserve">. Bu </w:t>
      </w:r>
      <w:r w:rsidR="00F87884" w:rsidRPr="0063584D">
        <w:rPr>
          <w:rFonts w:ascii="Palatino Linotype" w:hAnsi="Palatino Linotype" w:cs="Arial"/>
          <w:sz w:val="22"/>
          <w:szCs w:val="22"/>
        </w:rPr>
        <w:t>revizyonların</w:t>
      </w:r>
      <w:r w:rsidR="0007088D" w:rsidRPr="0063584D">
        <w:rPr>
          <w:rFonts w:ascii="Palatino Linotype" w:hAnsi="Palatino Linotype" w:cs="Arial"/>
          <w:sz w:val="22"/>
          <w:szCs w:val="22"/>
        </w:rPr>
        <w:t xml:space="preserve"> ne kadarının bilgi güncellemesi ne kadarının metodolojik çerçeveden kaynaklandığını bilemiyoruz. Bu konuda TÜİK’in kamuoyunu yeterince bilgilendirmediğini düşünüyoruz.</w:t>
      </w:r>
    </w:p>
    <w:p w:rsidR="00F87884" w:rsidRPr="0063584D" w:rsidRDefault="00F87884" w:rsidP="00A26107">
      <w:pPr>
        <w:spacing w:line="276" w:lineRule="auto"/>
        <w:jc w:val="both"/>
        <w:rPr>
          <w:rFonts w:ascii="Palatino Linotype" w:hAnsi="Palatino Linotype" w:cs="Arial"/>
          <w:sz w:val="22"/>
          <w:szCs w:val="22"/>
        </w:rPr>
      </w:pPr>
    </w:p>
    <w:p w:rsidR="0029102C" w:rsidRPr="0063584D" w:rsidRDefault="00F87884" w:rsidP="0029102C">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Ayrıca GSYH tahmin modelleri </w:t>
      </w:r>
      <w:r w:rsidR="006B6421" w:rsidRPr="0063584D">
        <w:rPr>
          <w:rFonts w:ascii="Palatino Linotype" w:hAnsi="Palatino Linotype" w:cs="Arial"/>
          <w:sz w:val="22"/>
          <w:szCs w:val="22"/>
        </w:rPr>
        <w:t>doğaları icabı yakın geçmişin gerçekleşmelerini şu veya bu ölçüde ku</w:t>
      </w:r>
      <w:r w:rsidR="00F5328A" w:rsidRPr="0063584D">
        <w:rPr>
          <w:rFonts w:ascii="Palatino Linotype" w:hAnsi="Palatino Linotype" w:cs="Arial"/>
          <w:sz w:val="22"/>
          <w:szCs w:val="22"/>
        </w:rPr>
        <w:t>l</w:t>
      </w:r>
      <w:r w:rsidR="006B6421" w:rsidRPr="0063584D">
        <w:rPr>
          <w:rFonts w:ascii="Palatino Linotype" w:hAnsi="Palatino Linotype" w:cs="Arial"/>
          <w:sz w:val="22"/>
          <w:szCs w:val="22"/>
        </w:rPr>
        <w:t>landıklarından, geçmiş büyüme oranlarının uzun zamana yayılan ve büyük değişimler gösteren revizyonlarının tahmin çalışmalarına ilave güçlükler getirdiğini belirtmek isteriz.</w:t>
      </w:r>
    </w:p>
    <w:p w:rsidR="00091CF5" w:rsidRPr="0063584D" w:rsidRDefault="00091CF5" w:rsidP="0029102C">
      <w:pPr>
        <w:spacing w:line="276" w:lineRule="auto"/>
        <w:jc w:val="both"/>
        <w:rPr>
          <w:rFonts w:ascii="Palatino Linotype" w:hAnsi="Palatino Linotype" w:cs="Arial"/>
          <w:b/>
          <w:sz w:val="22"/>
          <w:szCs w:val="22"/>
        </w:rPr>
      </w:pPr>
    </w:p>
    <w:p w:rsidR="0007088D" w:rsidRPr="0063584D" w:rsidRDefault="0060285C" w:rsidP="0029102C">
      <w:pPr>
        <w:spacing w:line="276" w:lineRule="auto"/>
        <w:jc w:val="both"/>
        <w:rPr>
          <w:rFonts w:ascii="Palatino Linotype" w:hAnsi="Palatino Linotype" w:cs="Arial"/>
          <w:sz w:val="22"/>
          <w:szCs w:val="22"/>
        </w:rPr>
      </w:pPr>
      <w:r w:rsidRPr="0063584D">
        <w:rPr>
          <w:rFonts w:ascii="Palatino Linotype" w:hAnsi="Palatino Linotype" w:cs="Arial"/>
          <w:b/>
          <w:sz w:val="22"/>
          <w:szCs w:val="22"/>
        </w:rPr>
        <w:t xml:space="preserve">Yeni Serilerde </w:t>
      </w:r>
      <w:r w:rsidR="0007088D" w:rsidRPr="0063584D">
        <w:rPr>
          <w:rFonts w:ascii="Palatino Linotype" w:hAnsi="Palatino Linotype" w:cs="Arial"/>
          <w:b/>
          <w:sz w:val="22"/>
          <w:szCs w:val="22"/>
        </w:rPr>
        <w:t>Revizyonlar</w:t>
      </w:r>
    </w:p>
    <w:p w:rsidR="006B6421" w:rsidRPr="0063584D" w:rsidRDefault="006B6421" w:rsidP="0007088D">
      <w:pPr>
        <w:jc w:val="both"/>
        <w:rPr>
          <w:rFonts w:ascii="Palatino Linotype" w:hAnsi="Palatino Linotype" w:cs="Arial"/>
          <w:b/>
          <w:sz w:val="22"/>
          <w:szCs w:val="22"/>
        </w:rPr>
      </w:pPr>
    </w:p>
    <w:p w:rsidR="002C19B3" w:rsidRPr="0063584D" w:rsidRDefault="00F34DD4"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2016 yılının 3. çeyreği ile 2017 yılının 3. çeyreği arasındaki 5 çeyrek için TÜİK’in yayınladığı bültenlerdeki revizyonlara baktık. Bültenlerde 2015 yılının 1. çeyreğinden bültenin açıklandığı çeyreğe kadarki büyüme rakamlarını görmek mümkün. Bu rakamlar takip eden bültenlerde TÜİK tarafından revize edilebiliyor. İşin aslı revize edilmeyen veya revize değeri çok küçük olan büyüme rakamlarının sayısı oldukça azdır. Çeyreklik hesaplarda ise revize edilmeyen büyüme rakamı bulunmamaktadır. </w:t>
      </w:r>
    </w:p>
    <w:p w:rsidR="002C19B3" w:rsidRPr="0063584D" w:rsidRDefault="002C19B3" w:rsidP="00A26107">
      <w:pPr>
        <w:spacing w:line="276" w:lineRule="auto"/>
        <w:jc w:val="both"/>
        <w:rPr>
          <w:rFonts w:ascii="Palatino Linotype" w:hAnsi="Palatino Linotype" w:cs="Arial"/>
          <w:sz w:val="22"/>
          <w:szCs w:val="22"/>
        </w:rPr>
      </w:pPr>
    </w:p>
    <w:p w:rsidR="00F34DD4" w:rsidRPr="0063584D" w:rsidRDefault="00F34DD4"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Ne kadar TÜİK, söz konusu çeyreklerin büyüme rakamlarını 70 gün geç açıklasa da rakamlarda revizyon olması garipsenecek bir durum değildir. Tüm ulusal istatistik enstitüleri ulusal hesaplarda revizyona gider. Ancak bu revizyonlar </w:t>
      </w:r>
      <w:r w:rsidR="002C19B3" w:rsidRPr="0063584D">
        <w:rPr>
          <w:rFonts w:ascii="Palatino Linotype" w:hAnsi="Palatino Linotype" w:cs="Arial"/>
          <w:sz w:val="22"/>
          <w:szCs w:val="22"/>
        </w:rPr>
        <w:t>genellikle</w:t>
      </w:r>
      <w:r w:rsidR="00052946" w:rsidRPr="0063584D">
        <w:rPr>
          <w:rFonts w:ascii="Palatino Linotype" w:hAnsi="Palatino Linotype" w:cs="Arial"/>
          <w:sz w:val="22"/>
          <w:szCs w:val="22"/>
        </w:rPr>
        <w:t xml:space="preserve"> </w:t>
      </w:r>
      <w:r w:rsidRPr="0063584D">
        <w:rPr>
          <w:rFonts w:ascii="Palatino Linotype" w:hAnsi="Palatino Linotype" w:cs="Arial"/>
          <w:sz w:val="22"/>
          <w:szCs w:val="22"/>
        </w:rPr>
        <w:t>sınırlıdır.</w:t>
      </w:r>
      <w:r w:rsidR="00052946" w:rsidRPr="0063584D">
        <w:rPr>
          <w:rFonts w:ascii="Palatino Linotype" w:hAnsi="Palatino Linotype" w:cs="Arial"/>
          <w:sz w:val="22"/>
          <w:szCs w:val="22"/>
        </w:rPr>
        <w:t xml:space="preserve"> </w:t>
      </w:r>
      <w:r w:rsidR="0029102C" w:rsidRPr="0063584D">
        <w:rPr>
          <w:rFonts w:ascii="Palatino Linotype" w:hAnsi="Palatino Linotype" w:cs="Arial"/>
          <w:sz w:val="22"/>
          <w:szCs w:val="22"/>
        </w:rPr>
        <w:t>Aşağıda Almanya ve Fransa örneklerine bak</w:t>
      </w:r>
      <w:r w:rsidR="00F5328A" w:rsidRPr="0063584D">
        <w:rPr>
          <w:rFonts w:ascii="Palatino Linotype" w:hAnsi="Palatino Linotype" w:cs="Arial"/>
          <w:sz w:val="22"/>
          <w:szCs w:val="22"/>
        </w:rPr>
        <w:t>ı</w:t>
      </w:r>
      <w:r w:rsidR="0029102C" w:rsidRPr="0063584D">
        <w:rPr>
          <w:rFonts w:ascii="Palatino Linotype" w:hAnsi="Palatino Linotype" w:cs="Arial"/>
          <w:sz w:val="22"/>
          <w:szCs w:val="22"/>
        </w:rPr>
        <w:t>labilir.</w:t>
      </w:r>
      <w:r w:rsidR="000A7E66" w:rsidRPr="0063584D">
        <w:rPr>
          <w:rFonts w:ascii="Palatino Linotype" w:hAnsi="Palatino Linotype" w:cs="Arial"/>
          <w:sz w:val="22"/>
          <w:szCs w:val="22"/>
        </w:rPr>
        <w:t xml:space="preserve"> </w:t>
      </w:r>
      <w:r w:rsidRPr="0063584D">
        <w:rPr>
          <w:rFonts w:ascii="Palatino Linotype" w:hAnsi="Palatino Linotype" w:cs="Arial"/>
          <w:sz w:val="22"/>
          <w:szCs w:val="22"/>
        </w:rPr>
        <w:t>TÜİK’in ise ulusal hesaplarda sürekli ve yüksek büyüklüklerde hatta zıt yönlerde revizyonlar yaptığı görülmektedir.</w:t>
      </w:r>
      <w:r w:rsidR="00912A40" w:rsidRPr="0063584D">
        <w:rPr>
          <w:rFonts w:ascii="Palatino Linotype" w:hAnsi="Palatino Linotype" w:cs="Arial"/>
          <w:sz w:val="22"/>
          <w:szCs w:val="22"/>
        </w:rPr>
        <w:t xml:space="preserve"> Eğer geçmiş bir dönem eksik veya fazla tahmin edildiyse yeni bilgiyle elbette güncellenecektir. Ancak bu durum her çeyrekte tekrarlanıyor ve “yeni bilgi” bir öncekini yanlışl</w:t>
      </w:r>
      <w:r w:rsidR="00F5328A" w:rsidRPr="0063584D">
        <w:rPr>
          <w:rFonts w:ascii="Palatino Linotype" w:hAnsi="Palatino Linotype" w:cs="Arial"/>
          <w:sz w:val="22"/>
          <w:szCs w:val="22"/>
        </w:rPr>
        <w:t>a</w:t>
      </w:r>
      <w:r w:rsidR="00912A40" w:rsidRPr="0063584D">
        <w:rPr>
          <w:rFonts w:ascii="Palatino Linotype" w:hAnsi="Palatino Linotype" w:cs="Arial"/>
          <w:sz w:val="22"/>
          <w:szCs w:val="22"/>
        </w:rPr>
        <w:t>y</w:t>
      </w:r>
      <w:r w:rsidR="002C19B3" w:rsidRPr="0063584D">
        <w:rPr>
          <w:rFonts w:ascii="Palatino Linotype" w:hAnsi="Palatino Linotype" w:cs="Arial"/>
          <w:sz w:val="22"/>
          <w:szCs w:val="22"/>
        </w:rPr>
        <w:t>acak ölçüdeyse</w:t>
      </w:r>
      <w:r w:rsidR="000A7E66" w:rsidRPr="0063584D">
        <w:rPr>
          <w:rFonts w:ascii="Palatino Linotype" w:hAnsi="Palatino Linotype" w:cs="Arial"/>
          <w:sz w:val="22"/>
          <w:szCs w:val="22"/>
        </w:rPr>
        <w:t xml:space="preserve"> </w:t>
      </w:r>
      <w:r w:rsidR="00912A40" w:rsidRPr="0063584D">
        <w:rPr>
          <w:rFonts w:ascii="Palatino Linotype" w:hAnsi="Palatino Linotype" w:cs="Arial"/>
          <w:sz w:val="22"/>
          <w:szCs w:val="22"/>
        </w:rPr>
        <w:t xml:space="preserve">ortada bir sorun vardır. </w:t>
      </w:r>
      <w:r w:rsidR="002C19B3" w:rsidRPr="0063584D">
        <w:rPr>
          <w:rFonts w:ascii="Palatino Linotype" w:hAnsi="Palatino Linotype" w:cs="Arial"/>
          <w:sz w:val="22"/>
          <w:szCs w:val="22"/>
        </w:rPr>
        <w:t xml:space="preserve">Ya söz konusu yeni bilgiye zamanında erişimde güçlükler vardır ya da </w:t>
      </w:r>
      <w:r w:rsidR="002C19B3" w:rsidRPr="0063584D">
        <w:rPr>
          <w:rFonts w:ascii="Palatino Linotype" w:hAnsi="Palatino Linotype" w:cs="Arial"/>
          <w:sz w:val="22"/>
          <w:szCs w:val="22"/>
        </w:rPr>
        <w:lastRenderedPageBreak/>
        <w:t>ölçüm tekniklerinde bir sorun vardır.</w:t>
      </w:r>
      <w:r w:rsidR="00052946" w:rsidRPr="0063584D">
        <w:rPr>
          <w:rFonts w:ascii="Palatino Linotype" w:hAnsi="Palatino Linotype" w:cs="Arial"/>
          <w:sz w:val="22"/>
          <w:szCs w:val="22"/>
        </w:rPr>
        <w:t xml:space="preserve"> </w:t>
      </w:r>
      <w:r w:rsidRPr="0063584D">
        <w:rPr>
          <w:rFonts w:ascii="Palatino Linotype" w:hAnsi="Palatino Linotype" w:cs="Arial"/>
          <w:sz w:val="22"/>
          <w:szCs w:val="22"/>
        </w:rPr>
        <w:t>Bu</w:t>
      </w:r>
      <w:r w:rsidR="00912A40" w:rsidRPr="0063584D">
        <w:rPr>
          <w:rFonts w:ascii="Palatino Linotype" w:hAnsi="Palatino Linotype" w:cs="Arial"/>
          <w:sz w:val="22"/>
          <w:szCs w:val="22"/>
        </w:rPr>
        <w:t>,</w:t>
      </w:r>
      <w:r w:rsidR="00052946" w:rsidRPr="0063584D">
        <w:rPr>
          <w:rFonts w:ascii="Palatino Linotype" w:hAnsi="Palatino Linotype" w:cs="Arial"/>
          <w:sz w:val="22"/>
          <w:szCs w:val="22"/>
        </w:rPr>
        <w:t xml:space="preserve"> </w:t>
      </w:r>
      <w:r w:rsidR="00912A40" w:rsidRPr="0063584D">
        <w:rPr>
          <w:rFonts w:ascii="Palatino Linotype" w:hAnsi="Palatino Linotype" w:cs="Arial"/>
          <w:sz w:val="22"/>
          <w:szCs w:val="22"/>
        </w:rPr>
        <w:t xml:space="preserve">sık ve birbiriyle çelişen </w:t>
      </w:r>
      <w:r w:rsidRPr="0063584D">
        <w:rPr>
          <w:rFonts w:ascii="Palatino Linotype" w:hAnsi="Palatino Linotype" w:cs="Arial"/>
          <w:sz w:val="22"/>
          <w:szCs w:val="22"/>
        </w:rPr>
        <w:t>revizyonlar TÜİK’in yeni yöntemle ulusal hesaplara hakimiyetini sorgula</w:t>
      </w:r>
      <w:r w:rsidR="00686150" w:rsidRPr="0063584D">
        <w:rPr>
          <w:rFonts w:ascii="Palatino Linotype" w:hAnsi="Palatino Linotype" w:cs="Arial"/>
          <w:sz w:val="22"/>
          <w:szCs w:val="22"/>
        </w:rPr>
        <w:t>tı</w:t>
      </w:r>
      <w:r w:rsidRPr="0063584D">
        <w:rPr>
          <w:rFonts w:ascii="Palatino Linotype" w:hAnsi="Palatino Linotype" w:cs="Arial"/>
          <w:sz w:val="22"/>
          <w:szCs w:val="22"/>
        </w:rPr>
        <w:t>rken büyüme tahminleri yapan iktisatçılara da zorluklar çıkarmaktadır.</w:t>
      </w:r>
    </w:p>
    <w:p w:rsidR="00F34DD4" w:rsidRPr="0063584D" w:rsidRDefault="00F34DD4" w:rsidP="00A26107">
      <w:pPr>
        <w:spacing w:line="276" w:lineRule="auto"/>
        <w:jc w:val="both"/>
        <w:rPr>
          <w:rFonts w:ascii="Palatino Linotype" w:hAnsi="Palatino Linotype" w:cs="Arial"/>
          <w:sz w:val="22"/>
          <w:szCs w:val="22"/>
        </w:rPr>
      </w:pPr>
    </w:p>
    <w:p w:rsidR="00F34DD4" w:rsidRPr="0063584D" w:rsidRDefault="001C08E0" w:rsidP="00A26107">
      <w:pPr>
        <w:spacing w:line="276" w:lineRule="auto"/>
        <w:jc w:val="both"/>
        <w:rPr>
          <w:rFonts w:ascii="Palatino Linotype" w:hAnsi="Palatino Linotype" w:cs="Arial"/>
          <w:b/>
          <w:sz w:val="22"/>
          <w:szCs w:val="22"/>
        </w:rPr>
      </w:pPr>
      <w:r w:rsidRPr="0063584D">
        <w:rPr>
          <w:rFonts w:ascii="Palatino Linotype" w:hAnsi="Palatino Linotype" w:cs="Arial"/>
          <w:b/>
          <w:sz w:val="22"/>
          <w:szCs w:val="22"/>
        </w:rPr>
        <w:t>Tablo 1A: Yıllık büyümeleri gösteren rakamların bültenlerdeki değişimi (Yeni Seri)</w:t>
      </w:r>
    </w:p>
    <w:tbl>
      <w:tblPr>
        <w:tblW w:w="7898" w:type="dxa"/>
        <w:tblCellMar>
          <w:left w:w="70" w:type="dxa"/>
          <w:right w:w="70" w:type="dxa"/>
        </w:tblCellMar>
        <w:tblLook w:val="04A0" w:firstRow="1" w:lastRow="0" w:firstColumn="1" w:lastColumn="0" w:noHBand="0" w:noVBand="1"/>
      </w:tblPr>
      <w:tblGrid>
        <w:gridCol w:w="889"/>
        <w:gridCol w:w="977"/>
        <w:gridCol w:w="997"/>
        <w:gridCol w:w="997"/>
        <w:gridCol w:w="997"/>
        <w:gridCol w:w="997"/>
        <w:gridCol w:w="1001"/>
        <w:gridCol w:w="1043"/>
      </w:tblGrid>
      <w:tr w:rsidR="00FE37DD" w:rsidRPr="0063584D" w:rsidTr="00091CF5">
        <w:trPr>
          <w:trHeight w:val="297"/>
        </w:trPr>
        <w:tc>
          <w:tcPr>
            <w:tcW w:w="1866"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Yıllık Değişimler         (Bir önceki yılın aynı çeyreğine göre gerçeklemiş olan büyüme rakamları)</w:t>
            </w:r>
          </w:p>
        </w:tc>
        <w:tc>
          <w:tcPr>
            <w:tcW w:w="4989"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Duyuru Dönemi</w:t>
            </w:r>
          </w:p>
        </w:tc>
        <w:tc>
          <w:tcPr>
            <w:tcW w:w="104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Son Açıklanan</w:t>
            </w:r>
          </w:p>
        </w:tc>
      </w:tr>
      <w:tr w:rsidR="00FE37DD" w:rsidRPr="0063584D"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4989" w:type="dxa"/>
            <w:gridSpan w:val="5"/>
            <w:vMerge/>
            <w:tcBorders>
              <w:top w:val="single" w:sz="8" w:space="0" w:color="auto"/>
              <w:left w:val="single" w:sz="4"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1043" w:type="dxa"/>
            <w:vMerge/>
            <w:tcBorders>
              <w:top w:val="single" w:sz="8" w:space="0" w:color="auto"/>
              <w:left w:val="single" w:sz="4" w:space="0" w:color="auto"/>
              <w:bottom w:val="single" w:sz="4" w:space="0" w:color="000000"/>
              <w:right w:val="single" w:sz="8" w:space="0" w:color="auto"/>
            </w:tcBorders>
            <w:vAlign w:val="center"/>
            <w:hideMark/>
          </w:tcPr>
          <w:p w:rsidR="00FE37DD" w:rsidRPr="0063584D" w:rsidRDefault="00FE37DD" w:rsidP="00FE37DD">
            <w:pPr>
              <w:rPr>
                <w:rFonts w:ascii="Palatino Linotype" w:hAnsi="Palatino Linotype"/>
                <w:color w:val="000000"/>
                <w:sz w:val="18"/>
                <w:szCs w:val="18"/>
              </w:rPr>
            </w:pPr>
          </w:p>
        </w:tc>
      </w:tr>
      <w:tr w:rsidR="00FE37DD" w:rsidRPr="0063584D"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val="restart"/>
            <w:tcBorders>
              <w:top w:val="nil"/>
              <w:left w:val="single" w:sz="4" w:space="0" w:color="auto"/>
              <w:bottom w:val="single" w:sz="4" w:space="0" w:color="000000"/>
              <w:right w:val="nil"/>
            </w:tcBorders>
            <w:shd w:val="clear" w:color="auto" w:fill="auto"/>
            <w:vAlign w:val="center"/>
            <w:hideMark/>
          </w:tcPr>
          <w:p w:rsidR="00FE37DD" w:rsidRPr="0063584D" w:rsidRDefault="000A7E66"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0F0D03"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97" w:type="dxa"/>
            <w:vMerge w:val="restart"/>
            <w:tcBorders>
              <w:top w:val="nil"/>
              <w:left w:val="nil"/>
              <w:bottom w:val="single" w:sz="4" w:space="0" w:color="000000"/>
              <w:right w:val="nil"/>
            </w:tcBorders>
            <w:shd w:val="clear" w:color="auto" w:fill="auto"/>
            <w:vAlign w:val="center"/>
            <w:hideMark/>
          </w:tcPr>
          <w:p w:rsidR="00FE37DD" w:rsidRPr="0063584D" w:rsidRDefault="000A7E66"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0F0D03"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4</w:t>
            </w:r>
          </w:p>
        </w:tc>
        <w:tc>
          <w:tcPr>
            <w:tcW w:w="997" w:type="dxa"/>
            <w:vMerge w:val="restart"/>
            <w:tcBorders>
              <w:top w:val="nil"/>
              <w:left w:val="nil"/>
              <w:bottom w:val="single" w:sz="4" w:space="0" w:color="000000"/>
              <w:right w:val="nil"/>
            </w:tcBorders>
            <w:shd w:val="clear" w:color="auto" w:fill="auto"/>
            <w:vAlign w:val="center"/>
            <w:hideMark/>
          </w:tcPr>
          <w:p w:rsidR="00FE37DD" w:rsidRPr="0063584D" w:rsidRDefault="000A7E66"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0F0D03"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97" w:type="dxa"/>
            <w:vMerge w:val="restart"/>
            <w:tcBorders>
              <w:top w:val="nil"/>
              <w:left w:val="nil"/>
              <w:bottom w:val="single" w:sz="4" w:space="0" w:color="000000"/>
              <w:right w:val="nil"/>
            </w:tcBorders>
            <w:shd w:val="clear" w:color="auto" w:fill="auto"/>
            <w:vAlign w:val="center"/>
            <w:hideMark/>
          </w:tcPr>
          <w:p w:rsidR="00FE37DD" w:rsidRPr="0063584D" w:rsidRDefault="000A7E66"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0F0D03"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97" w:type="dxa"/>
            <w:vMerge w:val="restart"/>
            <w:tcBorders>
              <w:top w:val="nil"/>
              <w:left w:val="nil"/>
              <w:bottom w:val="single" w:sz="4" w:space="0" w:color="000000"/>
              <w:right w:val="single" w:sz="4" w:space="0" w:color="auto"/>
            </w:tcBorders>
            <w:shd w:val="clear" w:color="auto" w:fill="auto"/>
            <w:vAlign w:val="center"/>
            <w:hideMark/>
          </w:tcPr>
          <w:p w:rsidR="00FE37DD" w:rsidRPr="0063584D" w:rsidRDefault="000A7E66"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0F0D03"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1043" w:type="dxa"/>
            <w:vMerge w:val="restart"/>
            <w:tcBorders>
              <w:top w:val="nil"/>
              <w:left w:val="single" w:sz="4" w:space="0" w:color="auto"/>
              <w:bottom w:val="single" w:sz="4" w:space="0" w:color="000000"/>
              <w:right w:val="single" w:sz="8" w:space="0" w:color="auto"/>
            </w:tcBorders>
            <w:shd w:val="clear" w:color="auto" w:fill="auto"/>
            <w:vAlign w:val="center"/>
            <w:hideMark/>
          </w:tcPr>
          <w:p w:rsidR="00FE37DD" w:rsidRPr="0063584D" w:rsidRDefault="00FE37DD" w:rsidP="000A7E66">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0F0D03" w:rsidRPr="0063584D">
              <w:rPr>
                <w:rFonts w:ascii="Palatino Linotype" w:hAnsi="Palatino Linotype"/>
                <w:color w:val="000000"/>
                <w:sz w:val="18"/>
                <w:szCs w:val="18"/>
              </w:rPr>
              <w:t>Ç</w:t>
            </w:r>
            <w:r w:rsidRPr="0063584D">
              <w:rPr>
                <w:rFonts w:ascii="Palatino Linotype" w:hAnsi="Palatino Linotype"/>
                <w:color w:val="000000"/>
                <w:sz w:val="18"/>
                <w:szCs w:val="18"/>
              </w:rPr>
              <w:t>3</w:t>
            </w:r>
          </w:p>
        </w:tc>
      </w:tr>
      <w:tr w:rsidR="00FE37DD" w:rsidRPr="0063584D" w:rsidTr="00091CF5">
        <w:trPr>
          <w:trHeight w:val="374"/>
        </w:trPr>
        <w:tc>
          <w:tcPr>
            <w:tcW w:w="1866"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tcBorders>
              <w:top w:val="nil"/>
              <w:left w:val="single" w:sz="4" w:space="0" w:color="auto"/>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97" w:type="dxa"/>
            <w:vMerge/>
            <w:tcBorders>
              <w:top w:val="nil"/>
              <w:left w:val="nil"/>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1043" w:type="dxa"/>
            <w:vMerge/>
            <w:tcBorders>
              <w:top w:val="nil"/>
              <w:left w:val="single" w:sz="4" w:space="0" w:color="auto"/>
              <w:bottom w:val="single" w:sz="4" w:space="0" w:color="000000"/>
              <w:right w:val="single" w:sz="8" w:space="0" w:color="auto"/>
            </w:tcBorders>
            <w:vAlign w:val="center"/>
            <w:hideMark/>
          </w:tcPr>
          <w:p w:rsidR="00FE37DD" w:rsidRPr="0063584D" w:rsidRDefault="00FE37DD" w:rsidP="00FE37DD">
            <w:pPr>
              <w:rPr>
                <w:rFonts w:ascii="Palatino Linotype" w:hAnsi="Palatino Linotype"/>
                <w:color w:val="000000"/>
                <w:sz w:val="18"/>
                <w:szCs w:val="18"/>
              </w:rPr>
            </w:pPr>
          </w:p>
        </w:tc>
      </w:tr>
      <w:tr w:rsidR="00FE37DD" w:rsidRPr="0063584D" w:rsidTr="00091CF5">
        <w:trPr>
          <w:trHeight w:val="245"/>
        </w:trPr>
        <w:tc>
          <w:tcPr>
            <w:tcW w:w="889"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2015</w:t>
            </w: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3.5</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3.6</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7.2</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7.2</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6.3</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6.7</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single" w:sz="4" w:space="0" w:color="auto"/>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4</w:t>
            </w:r>
          </w:p>
        </w:tc>
        <w:tc>
          <w:tcPr>
            <w:tcW w:w="997" w:type="dxa"/>
            <w:tcBorders>
              <w:top w:val="nil"/>
              <w:left w:val="nil"/>
              <w:bottom w:val="single" w:sz="4" w:space="0" w:color="auto"/>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6.4</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43"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6.0</w:t>
            </w:r>
          </w:p>
        </w:tc>
      </w:tr>
      <w:tr w:rsidR="00FE37DD" w:rsidRPr="0063584D" w:rsidTr="00091CF5">
        <w:trPr>
          <w:trHeight w:val="245"/>
        </w:trPr>
        <w:tc>
          <w:tcPr>
            <w:tcW w:w="889"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2016</w:t>
            </w: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4.4</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3.8</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0.6</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0.6</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4.7</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97"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0.9</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997"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-0.9</w:t>
            </w:r>
          </w:p>
        </w:tc>
        <w:tc>
          <w:tcPr>
            <w:tcW w:w="1043"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r>
      <w:tr w:rsidR="00FE37DD" w:rsidRPr="0063584D" w:rsidTr="00091CF5">
        <w:trPr>
          <w:trHeight w:val="245"/>
        </w:trPr>
        <w:tc>
          <w:tcPr>
            <w:tcW w:w="889"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single" w:sz="4" w:space="0" w:color="auto"/>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4</w:t>
            </w:r>
          </w:p>
        </w:tc>
        <w:tc>
          <w:tcPr>
            <w:tcW w:w="997" w:type="dxa"/>
            <w:tcBorders>
              <w:top w:val="nil"/>
              <w:left w:val="nil"/>
              <w:bottom w:val="single" w:sz="4" w:space="0" w:color="auto"/>
              <w:right w:val="nil"/>
            </w:tcBorders>
            <w:shd w:val="clear" w:color="auto" w:fill="auto"/>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97" w:type="dxa"/>
            <w:tcBorders>
              <w:top w:val="nil"/>
              <w:left w:val="nil"/>
              <w:bottom w:val="single" w:sz="4" w:space="0" w:color="auto"/>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3.5</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0.7</w:t>
            </w:r>
          </w:p>
        </w:tc>
        <w:tc>
          <w:tcPr>
            <w:tcW w:w="997"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43"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4.2</w:t>
            </w:r>
          </w:p>
        </w:tc>
      </w:tr>
      <w:tr w:rsidR="00FE37DD" w:rsidRPr="0063584D" w:rsidTr="00091CF5">
        <w:trPr>
          <w:trHeight w:val="245"/>
        </w:trPr>
        <w:tc>
          <w:tcPr>
            <w:tcW w:w="889" w:type="dxa"/>
            <w:vMerge w:val="restart"/>
            <w:tcBorders>
              <w:top w:val="nil"/>
              <w:left w:val="single" w:sz="8" w:space="0" w:color="auto"/>
              <w:bottom w:val="single" w:sz="8"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2017</w:t>
            </w: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97"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p>
        </w:tc>
        <w:tc>
          <w:tcPr>
            <w:tcW w:w="997"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sz w:val="18"/>
                <w:szCs w:val="18"/>
              </w:rPr>
            </w:pPr>
          </w:p>
        </w:tc>
        <w:tc>
          <w:tcPr>
            <w:tcW w:w="997" w:type="dxa"/>
            <w:tcBorders>
              <w:top w:val="nil"/>
              <w:left w:val="nil"/>
              <w:bottom w:val="nil"/>
              <w:right w:val="nil"/>
            </w:tcBorders>
            <w:shd w:val="clear" w:color="000000" w:fill="FFFF0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4.7</w:t>
            </w:r>
          </w:p>
        </w:tc>
        <w:tc>
          <w:tcPr>
            <w:tcW w:w="997" w:type="dxa"/>
            <w:tcBorders>
              <w:top w:val="nil"/>
              <w:left w:val="nil"/>
              <w:bottom w:val="nil"/>
              <w:right w:val="nil"/>
            </w:tcBorders>
            <w:shd w:val="clear" w:color="000000" w:fill="E7E6E6"/>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97" w:type="dxa"/>
            <w:tcBorders>
              <w:top w:val="nil"/>
              <w:left w:val="nil"/>
              <w:bottom w:val="nil"/>
              <w:right w:val="nil"/>
            </w:tcBorders>
            <w:shd w:val="clear" w:color="000000" w:fill="E7E6E6"/>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1043" w:type="dxa"/>
            <w:tcBorders>
              <w:top w:val="nil"/>
              <w:left w:val="single" w:sz="4" w:space="0" w:color="auto"/>
              <w:bottom w:val="nil"/>
              <w:right w:val="single" w:sz="8" w:space="0" w:color="auto"/>
            </w:tcBorders>
            <w:shd w:val="clear" w:color="000000" w:fill="92D05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5.4</w:t>
            </w:r>
          </w:p>
        </w:tc>
      </w:tr>
      <w:tr w:rsidR="00FE37DD" w:rsidRPr="0063584D" w:rsidTr="00091CF5">
        <w:trPr>
          <w:trHeight w:val="245"/>
        </w:trPr>
        <w:tc>
          <w:tcPr>
            <w:tcW w:w="889" w:type="dxa"/>
            <w:vMerge/>
            <w:tcBorders>
              <w:top w:val="nil"/>
              <w:left w:val="single" w:sz="8" w:space="0" w:color="auto"/>
              <w:bottom w:val="single" w:sz="8"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nil"/>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97"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p>
        </w:tc>
        <w:tc>
          <w:tcPr>
            <w:tcW w:w="997"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sz w:val="18"/>
                <w:szCs w:val="18"/>
              </w:rPr>
            </w:pPr>
          </w:p>
        </w:tc>
        <w:tc>
          <w:tcPr>
            <w:tcW w:w="997"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sz w:val="18"/>
                <w:szCs w:val="18"/>
              </w:rPr>
            </w:pPr>
          </w:p>
        </w:tc>
        <w:tc>
          <w:tcPr>
            <w:tcW w:w="997" w:type="dxa"/>
            <w:tcBorders>
              <w:top w:val="nil"/>
              <w:left w:val="nil"/>
              <w:bottom w:val="nil"/>
              <w:right w:val="nil"/>
            </w:tcBorders>
            <w:shd w:val="clear" w:color="000000" w:fill="FFFF0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6.5</w:t>
            </w:r>
          </w:p>
        </w:tc>
        <w:tc>
          <w:tcPr>
            <w:tcW w:w="997" w:type="dxa"/>
            <w:tcBorders>
              <w:top w:val="nil"/>
              <w:left w:val="nil"/>
              <w:bottom w:val="nil"/>
              <w:right w:val="nil"/>
            </w:tcBorders>
            <w:shd w:val="clear" w:color="000000" w:fill="E7E6E6"/>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43" w:type="dxa"/>
            <w:tcBorders>
              <w:top w:val="nil"/>
              <w:left w:val="single" w:sz="4" w:space="0" w:color="auto"/>
              <w:bottom w:val="nil"/>
              <w:right w:val="single" w:sz="8" w:space="0" w:color="auto"/>
            </w:tcBorders>
            <w:shd w:val="clear" w:color="000000" w:fill="92D05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6.4</w:t>
            </w:r>
          </w:p>
        </w:tc>
      </w:tr>
      <w:tr w:rsidR="00FE37DD" w:rsidRPr="0063584D" w:rsidTr="00091CF5">
        <w:trPr>
          <w:trHeight w:val="257"/>
        </w:trPr>
        <w:tc>
          <w:tcPr>
            <w:tcW w:w="889" w:type="dxa"/>
            <w:vMerge/>
            <w:tcBorders>
              <w:top w:val="nil"/>
              <w:left w:val="single" w:sz="8" w:space="0" w:color="auto"/>
              <w:bottom w:val="single" w:sz="8"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7" w:type="dxa"/>
            <w:tcBorders>
              <w:top w:val="nil"/>
              <w:left w:val="nil"/>
              <w:bottom w:val="single" w:sz="8" w:space="0" w:color="auto"/>
              <w:right w:val="single" w:sz="4" w:space="0" w:color="auto"/>
            </w:tcBorders>
            <w:shd w:val="clear" w:color="auto" w:fill="auto"/>
            <w:noWrap/>
            <w:vAlign w:val="bottom"/>
            <w:hideMark/>
          </w:tcPr>
          <w:p w:rsidR="00FE37DD" w:rsidRPr="0063584D" w:rsidRDefault="000F0D03"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97"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97"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97"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97"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97" w:type="dxa"/>
            <w:tcBorders>
              <w:top w:val="nil"/>
              <w:left w:val="nil"/>
              <w:bottom w:val="single" w:sz="8" w:space="0" w:color="auto"/>
              <w:right w:val="nil"/>
            </w:tcBorders>
            <w:shd w:val="clear" w:color="000000" w:fill="FFFF0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9.6</w:t>
            </w:r>
          </w:p>
        </w:tc>
        <w:tc>
          <w:tcPr>
            <w:tcW w:w="1043" w:type="dxa"/>
            <w:tcBorders>
              <w:top w:val="nil"/>
              <w:left w:val="single" w:sz="4" w:space="0" w:color="auto"/>
              <w:bottom w:val="single" w:sz="8" w:space="0" w:color="auto"/>
              <w:right w:val="single" w:sz="8" w:space="0" w:color="auto"/>
            </w:tcBorders>
            <w:shd w:val="clear" w:color="000000" w:fill="92D05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9.6</w:t>
            </w:r>
          </w:p>
        </w:tc>
      </w:tr>
    </w:tbl>
    <w:p w:rsidR="001C08E0" w:rsidRPr="0063584D" w:rsidRDefault="001C08E0" w:rsidP="00A26107">
      <w:pPr>
        <w:spacing w:line="276" w:lineRule="auto"/>
        <w:jc w:val="both"/>
        <w:rPr>
          <w:rFonts w:ascii="Palatino Linotype" w:hAnsi="Palatino Linotype" w:cs="Arial"/>
          <w:sz w:val="22"/>
          <w:szCs w:val="22"/>
        </w:rPr>
      </w:pPr>
    </w:p>
    <w:tbl>
      <w:tblPr>
        <w:tblW w:w="8699" w:type="dxa"/>
        <w:jc w:val="center"/>
        <w:tblCellMar>
          <w:left w:w="70" w:type="dxa"/>
          <w:right w:w="70" w:type="dxa"/>
        </w:tblCellMar>
        <w:tblLook w:val="04A0" w:firstRow="1" w:lastRow="0" w:firstColumn="1" w:lastColumn="0" w:noHBand="0" w:noVBand="1"/>
      </w:tblPr>
      <w:tblGrid>
        <w:gridCol w:w="523"/>
        <w:gridCol w:w="8176"/>
      </w:tblGrid>
      <w:tr w:rsidR="0029102C" w:rsidRPr="0063584D" w:rsidTr="00091CF5">
        <w:trPr>
          <w:trHeight w:val="80"/>
          <w:jc w:val="center"/>
        </w:trPr>
        <w:tc>
          <w:tcPr>
            <w:tcW w:w="523" w:type="dxa"/>
            <w:tcBorders>
              <w:top w:val="nil"/>
              <w:left w:val="nil"/>
              <w:bottom w:val="nil"/>
              <w:right w:val="nil"/>
            </w:tcBorders>
            <w:shd w:val="clear" w:color="000000" w:fill="FFFF00"/>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76" w:type="dxa"/>
            <w:tcBorders>
              <w:top w:val="nil"/>
              <w:left w:val="nil"/>
              <w:bottom w:val="nil"/>
              <w:right w:val="nil"/>
            </w:tcBorders>
            <w:shd w:val="clear" w:color="auto" w:fill="auto"/>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İlk Açıklama (söz konusu bülten dönemindeki en eski rakam)</w:t>
            </w:r>
          </w:p>
        </w:tc>
      </w:tr>
      <w:tr w:rsidR="0029102C" w:rsidRPr="0063584D" w:rsidTr="00091CF5">
        <w:trPr>
          <w:trHeight w:val="80"/>
          <w:jc w:val="center"/>
        </w:trPr>
        <w:tc>
          <w:tcPr>
            <w:tcW w:w="523" w:type="dxa"/>
            <w:tcBorders>
              <w:top w:val="nil"/>
              <w:left w:val="nil"/>
              <w:bottom w:val="nil"/>
              <w:right w:val="nil"/>
            </w:tcBorders>
            <w:shd w:val="clear" w:color="000000" w:fill="E7E6E6"/>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76" w:type="dxa"/>
            <w:tcBorders>
              <w:top w:val="nil"/>
              <w:left w:val="nil"/>
              <w:bottom w:val="nil"/>
              <w:right w:val="nil"/>
            </w:tcBorders>
            <w:shd w:val="clear" w:color="auto" w:fill="auto"/>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Ardışık bültenler arasındaki fark (Yapılan revizyonun yönü ve büyüklüğü)</w:t>
            </w:r>
          </w:p>
        </w:tc>
      </w:tr>
      <w:tr w:rsidR="0029102C" w:rsidRPr="0063584D" w:rsidTr="00091CF5">
        <w:trPr>
          <w:trHeight w:val="80"/>
          <w:jc w:val="center"/>
        </w:trPr>
        <w:tc>
          <w:tcPr>
            <w:tcW w:w="523" w:type="dxa"/>
            <w:tcBorders>
              <w:top w:val="nil"/>
              <w:left w:val="nil"/>
              <w:bottom w:val="nil"/>
              <w:right w:val="nil"/>
            </w:tcBorders>
            <w:shd w:val="clear" w:color="000000" w:fill="92D050"/>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76" w:type="dxa"/>
            <w:tcBorders>
              <w:top w:val="nil"/>
              <w:left w:val="nil"/>
              <w:bottom w:val="nil"/>
              <w:right w:val="nil"/>
            </w:tcBorders>
            <w:shd w:val="clear" w:color="auto" w:fill="auto"/>
            <w:noWrap/>
            <w:vAlign w:val="bottom"/>
            <w:hideMark/>
          </w:tcPr>
          <w:p w:rsidR="0029102C" w:rsidRPr="0063584D" w:rsidRDefault="0029102C" w:rsidP="005A0565">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Son Açıklama</w:t>
            </w:r>
          </w:p>
        </w:tc>
      </w:tr>
    </w:tbl>
    <w:p w:rsidR="00091CF5" w:rsidRPr="0063584D" w:rsidRDefault="00091CF5" w:rsidP="00091CF5">
      <w:pPr>
        <w:spacing w:line="276" w:lineRule="auto"/>
        <w:jc w:val="both"/>
        <w:rPr>
          <w:rFonts w:ascii="Palatino Linotype" w:hAnsi="Palatino Linotype" w:cs="Arial"/>
          <w:sz w:val="18"/>
          <w:szCs w:val="18"/>
        </w:rPr>
      </w:pPr>
      <w:r w:rsidRPr="0063584D">
        <w:rPr>
          <w:rFonts w:ascii="Palatino Linotype" w:hAnsi="Palatino Linotype" w:cs="Arial"/>
          <w:sz w:val="18"/>
          <w:szCs w:val="18"/>
        </w:rPr>
        <w:t>Not: Yuvarlamalardan ötürü ilk açıklama artı değişimler tam olarak son açıklanan rakamı vermeyebilir.</w:t>
      </w:r>
    </w:p>
    <w:p w:rsidR="00091CF5" w:rsidRPr="0063584D" w:rsidRDefault="00091CF5" w:rsidP="00A26107">
      <w:pPr>
        <w:spacing w:line="276" w:lineRule="auto"/>
        <w:jc w:val="both"/>
        <w:rPr>
          <w:rFonts w:ascii="Palatino Linotype" w:hAnsi="Palatino Linotype" w:cs="Arial"/>
          <w:b/>
          <w:sz w:val="22"/>
          <w:szCs w:val="22"/>
        </w:rPr>
      </w:pPr>
    </w:p>
    <w:p w:rsidR="001C08E0" w:rsidRPr="0063584D" w:rsidRDefault="001C08E0" w:rsidP="00A26107">
      <w:pPr>
        <w:spacing w:line="276" w:lineRule="auto"/>
        <w:jc w:val="both"/>
        <w:rPr>
          <w:rFonts w:ascii="Palatino Linotype" w:hAnsi="Palatino Linotype" w:cs="Arial"/>
          <w:b/>
          <w:sz w:val="22"/>
          <w:szCs w:val="22"/>
        </w:rPr>
      </w:pPr>
      <w:r w:rsidRPr="0063584D">
        <w:rPr>
          <w:rFonts w:ascii="Palatino Linotype" w:hAnsi="Palatino Linotype" w:cs="Arial"/>
          <w:b/>
          <w:sz w:val="22"/>
          <w:szCs w:val="22"/>
        </w:rPr>
        <w:t>Tablo 1B: Çeyreklik büyümeleri gösteren rakamların bültenlerdeki değişimi (Yeni Seri)</w:t>
      </w:r>
    </w:p>
    <w:tbl>
      <w:tblPr>
        <w:tblW w:w="7858" w:type="dxa"/>
        <w:tblCellMar>
          <w:left w:w="70" w:type="dxa"/>
          <w:right w:w="70" w:type="dxa"/>
        </w:tblCellMar>
        <w:tblLook w:val="04A0" w:firstRow="1" w:lastRow="0" w:firstColumn="1" w:lastColumn="0" w:noHBand="0" w:noVBand="1"/>
      </w:tblPr>
      <w:tblGrid>
        <w:gridCol w:w="937"/>
        <w:gridCol w:w="982"/>
        <w:gridCol w:w="982"/>
        <w:gridCol w:w="982"/>
        <w:gridCol w:w="982"/>
        <w:gridCol w:w="982"/>
        <w:gridCol w:w="984"/>
        <w:gridCol w:w="1027"/>
      </w:tblGrid>
      <w:tr w:rsidR="00445656" w:rsidRPr="0063584D" w:rsidTr="00091CF5">
        <w:trPr>
          <w:trHeight w:val="297"/>
        </w:trPr>
        <w:tc>
          <w:tcPr>
            <w:tcW w:w="1919"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Çeyreklik Değişimler       (Bir çeyreğe göre gerçeklemiş olan büyüme rakamları)</w:t>
            </w:r>
          </w:p>
        </w:tc>
        <w:tc>
          <w:tcPr>
            <w:tcW w:w="4912"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Duyuru Dönemi</w:t>
            </w:r>
          </w:p>
        </w:tc>
        <w:tc>
          <w:tcPr>
            <w:tcW w:w="1027"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Son Açıklanan</w:t>
            </w:r>
          </w:p>
        </w:tc>
      </w:tr>
      <w:tr w:rsidR="00445656" w:rsidRPr="0063584D" w:rsidTr="00091CF5">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4912" w:type="dxa"/>
            <w:gridSpan w:val="5"/>
            <w:vMerge/>
            <w:tcBorders>
              <w:top w:val="single" w:sz="8" w:space="0" w:color="auto"/>
              <w:left w:val="single" w:sz="4"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1027" w:type="dxa"/>
            <w:vMerge/>
            <w:tcBorders>
              <w:top w:val="single" w:sz="8" w:space="0" w:color="auto"/>
              <w:left w:val="single" w:sz="4" w:space="0" w:color="auto"/>
              <w:bottom w:val="single" w:sz="4" w:space="0" w:color="000000"/>
              <w:right w:val="single" w:sz="8" w:space="0" w:color="auto"/>
            </w:tcBorders>
            <w:vAlign w:val="center"/>
            <w:hideMark/>
          </w:tcPr>
          <w:p w:rsidR="00445656" w:rsidRPr="0063584D" w:rsidRDefault="00445656" w:rsidP="00445656">
            <w:pPr>
              <w:rPr>
                <w:rFonts w:ascii="Palatino Linotype" w:hAnsi="Palatino Linotype"/>
                <w:color w:val="000000"/>
                <w:sz w:val="18"/>
                <w:szCs w:val="18"/>
              </w:rPr>
            </w:pPr>
          </w:p>
        </w:tc>
      </w:tr>
      <w:tr w:rsidR="00445656" w:rsidRPr="0063584D" w:rsidTr="00091CF5">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val="restart"/>
            <w:tcBorders>
              <w:top w:val="nil"/>
              <w:left w:val="single" w:sz="4" w:space="0" w:color="auto"/>
              <w:bottom w:val="single" w:sz="4" w:space="0" w:color="000000"/>
              <w:right w:val="nil"/>
            </w:tcBorders>
            <w:shd w:val="clear" w:color="auto" w:fill="auto"/>
            <w:vAlign w:val="center"/>
            <w:hideMark/>
          </w:tcPr>
          <w:p w:rsidR="00445656" w:rsidRPr="0063584D" w:rsidRDefault="000A7E6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82" w:type="dxa"/>
            <w:vMerge w:val="restart"/>
            <w:tcBorders>
              <w:top w:val="nil"/>
              <w:left w:val="nil"/>
              <w:bottom w:val="single" w:sz="4" w:space="0" w:color="000000"/>
              <w:right w:val="nil"/>
            </w:tcBorders>
            <w:shd w:val="clear" w:color="auto" w:fill="auto"/>
            <w:vAlign w:val="center"/>
            <w:hideMark/>
          </w:tcPr>
          <w:p w:rsidR="00445656" w:rsidRPr="0063584D" w:rsidRDefault="000A7E6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82" w:type="dxa"/>
            <w:vMerge w:val="restart"/>
            <w:tcBorders>
              <w:top w:val="nil"/>
              <w:left w:val="nil"/>
              <w:bottom w:val="single" w:sz="4" w:space="0" w:color="000000"/>
              <w:right w:val="nil"/>
            </w:tcBorders>
            <w:shd w:val="clear" w:color="auto" w:fill="auto"/>
            <w:vAlign w:val="center"/>
            <w:hideMark/>
          </w:tcPr>
          <w:p w:rsidR="00445656" w:rsidRPr="0063584D" w:rsidRDefault="000A7E6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82" w:type="dxa"/>
            <w:vMerge w:val="restart"/>
            <w:tcBorders>
              <w:top w:val="nil"/>
              <w:left w:val="nil"/>
              <w:bottom w:val="single" w:sz="4" w:space="0" w:color="000000"/>
              <w:right w:val="nil"/>
            </w:tcBorders>
            <w:shd w:val="clear" w:color="auto" w:fill="auto"/>
            <w:vAlign w:val="center"/>
            <w:hideMark/>
          </w:tcPr>
          <w:p w:rsidR="00445656" w:rsidRPr="0063584D" w:rsidRDefault="000A7E6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82" w:type="dxa"/>
            <w:vMerge w:val="restart"/>
            <w:tcBorders>
              <w:top w:val="nil"/>
              <w:left w:val="nil"/>
              <w:bottom w:val="single" w:sz="4" w:space="0" w:color="000000"/>
              <w:right w:val="single" w:sz="4" w:space="0" w:color="auto"/>
            </w:tcBorders>
            <w:shd w:val="clear" w:color="auto" w:fill="auto"/>
            <w:vAlign w:val="center"/>
            <w:hideMark/>
          </w:tcPr>
          <w:p w:rsidR="00445656" w:rsidRPr="0063584D" w:rsidRDefault="000A7E6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1027" w:type="dxa"/>
            <w:vMerge w:val="restart"/>
            <w:tcBorders>
              <w:top w:val="nil"/>
              <w:left w:val="single" w:sz="4" w:space="0" w:color="auto"/>
              <w:bottom w:val="single" w:sz="4" w:space="0" w:color="000000"/>
              <w:right w:val="single" w:sz="8" w:space="0" w:color="auto"/>
            </w:tcBorders>
            <w:shd w:val="clear" w:color="auto" w:fill="auto"/>
            <w:vAlign w:val="center"/>
            <w:hideMark/>
          </w:tcPr>
          <w:p w:rsidR="00445656" w:rsidRPr="0063584D" w:rsidRDefault="00445656" w:rsidP="003E6762">
            <w:pPr>
              <w:jc w:val="center"/>
              <w:rPr>
                <w:rFonts w:ascii="Palatino Linotype" w:hAnsi="Palatino Linotype"/>
                <w:color w:val="000000"/>
                <w:sz w:val="18"/>
                <w:szCs w:val="18"/>
              </w:rPr>
            </w:pPr>
            <w:r w:rsidRPr="0063584D">
              <w:rPr>
                <w:rFonts w:ascii="Palatino Linotype" w:hAnsi="Palatino Linotype"/>
                <w:color w:val="000000"/>
                <w:sz w:val="18"/>
                <w:szCs w:val="18"/>
              </w:rPr>
              <w:t>2017</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3</w:t>
            </w:r>
          </w:p>
        </w:tc>
      </w:tr>
      <w:tr w:rsidR="00445656" w:rsidRPr="0063584D" w:rsidTr="00091CF5">
        <w:trPr>
          <w:trHeight w:val="398"/>
        </w:trPr>
        <w:tc>
          <w:tcPr>
            <w:tcW w:w="1919"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tcBorders>
              <w:top w:val="nil"/>
              <w:left w:val="single" w:sz="4" w:space="0" w:color="auto"/>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82" w:type="dxa"/>
            <w:vMerge/>
            <w:tcBorders>
              <w:top w:val="nil"/>
              <w:left w:val="nil"/>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1027" w:type="dxa"/>
            <w:vMerge/>
            <w:tcBorders>
              <w:top w:val="nil"/>
              <w:left w:val="single" w:sz="4" w:space="0" w:color="auto"/>
              <w:bottom w:val="single" w:sz="4" w:space="0" w:color="000000"/>
              <w:right w:val="single" w:sz="8" w:space="0" w:color="auto"/>
            </w:tcBorders>
            <w:vAlign w:val="center"/>
            <w:hideMark/>
          </w:tcPr>
          <w:p w:rsidR="00445656" w:rsidRPr="0063584D" w:rsidRDefault="00445656" w:rsidP="00445656">
            <w:pPr>
              <w:rPr>
                <w:rFonts w:ascii="Palatino Linotype" w:hAnsi="Palatino Linotype"/>
                <w:color w:val="000000"/>
                <w:sz w:val="18"/>
                <w:szCs w:val="18"/>
              </w:rPr>
            </w:pPr>
          </w:p>
        </w:tc>
      </w:tr>
      <w:tr w:rsidR="00445656" w:rsidRPr="0063584D" w:rsidTr="00091CF5">
        <w:trPr>
          <w:trHeight w:val="261"/>
        </w:trPr>
        <w:tc>
          <w:tcPr>
            <w:tcW w:w="937"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2015</w:t>
            </w: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1.9</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1.9</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1.4</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1.5</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1.2</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1.3</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single" w:sz="4"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82" w:type="dxa"/>
            <w:tcBorders>
              <w:top w:val="nil"/>
              <w:left w:val="nil"/>
              <w:bottom w:val="single" w:sz="4" w:space="0" w:color="auto"/>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1.9</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-0.7</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7"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1.0</w:t>
            </w:r>
          </w:p>
        </w:tc>
      </w:tr>
      <w:tr w:rsidR="00445656" w:rsidRPr="0063584D" w:rsidTr="00091CF5">
        <w:trPr>
          <w:trHeight w:val="261"/>
        </w:trPr>
        <w:tc>
          <w:tcPr>
            <w:tcW w:w="937"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0.6</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1.1</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0.7</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-0.6</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1.2</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82"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-2.7</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0.6</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82"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-1.4</w:t>
            </w:r>
          </w:p>
        </w:tc>
        <w:tc>
          <w:tcPr>
            <w:tcW w:w="1027"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-2.6</w:t>
            </w:r>
          </w:p>
        </w:tc>
      </w:tr>
      <w:tr w:rsidR="00445656" w:rsidRPr="0063584D" w:rsidTr="00091CF5">
        <w:trPr>
          <w:trHeight w:val="261"/>
        </w:trPr>
        <w:tc>
          <w:tcPr>
            <w:tcW w:w="937"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single" w:sz="4"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82" w:type="dxa"/>
            <w:tcBorders>
              <w:top w:val="nil"/>
              <w:left w:val="nil"/>
              <w:bottom w:val="single" w:sz="4" w:space="0" w:color="auto"/>
              <w:right w:val="nil"/>
            </w:tcBorders>
            <w:shd w:val="clear" w:color="auto" w:fill="auto"/>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82" w:type="dxa"/>
            <w:tcBorders>
              <w:top w:val="nil"/>
              <w:left w:val="nil"/>
              <w:bottom w:val="single" w:sz="4" w:space="0" w:color="auto"/>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3.8</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982"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1.0</w:t>
            </w:r>
          </w:p>
        </w:tc>
        <w:tc>
          <w:tcPr>
            <w:tcW w:w="1027"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4.9</w:t>
            </w:r>
          </w:p>
        </w:tc>
      </w:tr>
      <w:tr w:rsidR="00445656" w:rsidRPr="0063584D" w:rsidTr="00091CF5">
        <w:trPr>
          <w:trHeight w:val="261"/>
        </w:trPr>
        <w:tc>
          <w:tcPr>
            <w:tcW w:w="937" w:type="dxa"/>
            <w:vMerge w:val="restart"/>
            <w:tcBorders>
              <w:top w:val="nil"/>
              <w:left w:val="single" w:sz="8" w:space="0" w:color="auto"/>
              <w:bottom w:val="single" w:sz="8"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2017</w:t>
            </w: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82"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p>
        </w:tc>
        <w:tc>
          <w:tcPr>
            <w:tcW w:w="982"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sz w:val="18"/>
                <w:szCs w:val="18"/>
              </w:rPr>
            </w:pPr>
          </w:p>
        </w:tc>
        <w:tc>
          <w:tcPr>
            <w:tcW w:w="982" w:type="dxa"/>
            <w:tcBorders>
              <w:top w:val="nil"/>
              <w:left w:val="nil"/>
              <w:bottom w:val="nil"/>
              <w:right w:val="nil"/>
            </w:tcBorders>
            <w:shd w:val="clear" w:color="000000" w:fill="FFFF0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1.4</w:t>
            </w:r>
          </w:p>
        </w:tc>
        <w:tc>
          <w:tcPr>
            <w:tcW w:w="982" w:type="dxa"/>
            <w:tcBorders>
              <w:top w:val="nil"/>
              <w:left w:val="nil"/>
              <w:bottom w:val="nil"/>
              <w:right w:val="nil"/>
            </w:tcBorders>
            <w:shd w:val="clear" w:color="000000" w:fill="E7E6E6"/>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82" w:type="dxa"/>
            <w:tcBorders>
              <w:top w:val="nil"/>
              <w:left w:val="nil"/>
              <w:bottom w:val="nil"/>
              <w:right w:val="nil"/>
            </w:tcBorders>
            <w:shd w:val="clear" w:color="000000" w:fill="E7E6E6"/>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1027" w:type="dxa"/>
            <w:tcBorders>
              <w:top w:val="nil"/>
              <w:left w:val="single" w:sz="4" w:space="0" w:color="auto"/>
              <w:bottom w:val="nil"/>
              <w:right w:val="single" w:sz="8" w:space="0" w:color="auto"/>
            </w:tcBorders>
            <w:shd w:val="clear" w:color="000000" w:fill="92D05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1.6</w:t>
            </w:r>
          </w:p>
        </w:tc>
      </w:tr>
      <w:tr w:rsidR="00445656" w:rsidRPr="0063584D" w:rsidTr="00091CF5">
        <w:trPr>
          <w:trHeight w:val="261"/>
        </w:trPr>
        <w:tc>
          <w:tcPr>
            <w:tcW w:w="937" w:type="dxa"/>
            <w:vMerge/>
            <w:tcBorders>
              <w:top w:val="nil"/>
              <w:left w:val="single" w:sz="8" w:space="0" w:color="auto"/>
              <w:bottom w:val="single" w:sz="8"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82"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p>
        </w:tc>
        <w:tc>
          <w:tcPr>
            <w:tcW w:w="982"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sz w:val="18"/>
                <w:szCs w:val="18"/>
              </w:rPr>
            </w:pPr>
          </w:p>
        </w:tc>
        <w:tc>
          <w:tcPr>
            <w:tcW w:w="982"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sz w:val="18"/>
                <w:szCs w:val="18"/>
              </w:rPr>
            </w:pPr>
          </w:p>
        </w:tc>
        <w:tc>
          <w:tcPr>
            <w:tcW w:w="982" w:type="dxa"/>
            <w:tcBorders>
              <w:top w:val="nil"/>
              <w:left w:val="nil"/>
              <w:bottom w:val="nil"/>
              <w:right w:val="nil"/>
            </w:tcBorders>
            <w:shd w:val="clear" w:color="000000" w:fill="FFFF0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2.1</w:t>
            </w:r>
          </w:p>
        </w:tc>
        <w:tc>
          <w:tcPr>
            <w:tcW w:w="982" w:type="dxa"/>
            <w:tcBorders>
              <w:top w:val="nil"/>
              <w:left w:val="nil"/>
              <w:bottom w:val="nil"/>
              <w:right w:val="nil"/>
            </w:tcBorders>
            <w:shd w:val="clear" w:color="000000" w:fill="E7E6E6"/>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7" w:type="dxa"/>
            <w:tcBorders>
              <w:top w:val="nil"/>
              <w:left w:val="single" w:sz="4" w:space="0" w:color="auto"/>
              <w:bottom w:val="nil"/>
              <w:right w:val="single" w:sz="8" w:space="0" w:color="auto"/>
            </w:tcBorders>
            <w:shd w:val="clear" w:color="000000" w:fill="92D05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2.2</w:t>
            </w:r>
          </w:p>
        </w:tc>
      </w:tr>
      <w:tr w:rsidR="00445656" w:rsidRPr="0063584D" w:rsidTr="00091CF5">
        <w:trPr>
          <w:trHeight w:val="274"/>
        </w:trPr>
        <w:tc>
          <w:tcPr>
            <w:tcW w:w="937" w:type="dxa"/>
            <w:vMerge/>
            <w:tcBorders>
              <w:top w:val="nil"/>
              <w:left w:val="single" w:sz="8" w:space="0" w:color="auto"/>
              <w:bottom w:val="single" w:sz="8"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82" w:type="dxa"/>
            <w:tcBorders>
              <w:top w:val="nil"/>
              <w:left w:val="nil"/>
              <w:bottom w:val="single" w:sz="8"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82"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82"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82"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82"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82" w:type="dxa"/>
            <w:tcBorders>
              <w:top w:val="nil"/>
              <w:left w:val="nil"/>
              <w:bottom w:val="single" w:sz="8" w:space="0" w:color="auto"/>
              <w:right w:val="nil"/>
            </w:tcBorders>
            <w:shd w:val="clear" w:color="000000" w:fill="FFFF0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1.2</w:t>
            </w:r>
          </w:p>
        </w:tc>
        <w:tc>
          <w:tcPr>
            <w:tcW w:w="1027" w:type="dxa"/>
            <w:tcBorders>
              <w:top w:val="nil"/>
              <w:left w:val="single" w:sz="4" w:space="0" w:color="auto"/>
              <w:bottom w:val="single" w:sz="8" w:space="0" w:color="auto"/>
              <w:right w:val="single" w:sz="8" w:space="0" w:color="auto"/>
            </w:tcBorders>
            <w:shd w:val="clear" w:color="000000" w:fill="92D05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1.2</w:t>
            </w:r>
          </w:p>
        </w:tc>
      </w:tr>
    </w:tbl>
    <w:p w:rsidR="001C08E0" w:rsidRPr="0063584D" w:rsidRDefault="001C08E0" w:rsidP="00A26107">
      <w:pPr>
        <w:spacing w:line="276" w:lineRule="auto"/>
        <w:jc w:val="both"/>
        <w:rPr>
          <w:rFonts w:ascii="Palatino Linotype" w:hAnsi="Palatino Linotype" w:cs="Arial"/>
          <w:sz w:val="22"/>
          <w:szCs w:val="22"/>
        </w:rPr>
      </w:pPr>
    </w:p>
    <w:tbl>
      <w:tblPr>
        <w:tblW w:w="8640" w:type="dxa"/>
        <w:jc w:val="center"/>
        <w:tblCellMar>
          <w:left w:w="70" w:type="dxa"/>
          <w:right w:w="70" w:type="dxa"/>
        </w:tblCellMar>
        <w:tblLook w:val="04A0" w:firstRow="1" w:lastRow="0" w:firstColumn="1" w:lastColumn="0" w:noHBand="0" w:noVBand="1"/>
      </w:tblPr>
      <w:tblGrid>
        <w:gridCol w:w="493"/>
        <w:gridCol w:w="8147"/>
      </w:tblGrid>
      <w:tr w:rsidR="008E0BAF" w:rsidRPr="0063584D" w:rsidTr="00091CF5">
        <w:trPr>
          <w:trHeight w:val="80"/>
          <w:jc w:val="center"/>
        </w:trPr>
        <w:tc>
          <w:tcPr>
            <w:tcW w:w="493" w:type="dxa"/>
            <w:tcBorders>
              <w:top w:val="nil"/>
              <w:left w:val="nil"/>
              <w:bottom w:val="nil"/>
              <w:right w:val="nil"/>
            </w:tcBorders>
            <w:shd w:val="clear" w:color="000000" w:fill="FFFF00"/>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İlk Açıklama</w:t>
            </w:r>
            <w:r w:rsidR="00307821" w:rsidRPr="0063584D">
              <w:rPr>
                <w:rFonts w:ascii="Palatino Linotype" w:hAnsi="Palatino Linotype" w:cs="Arial"/>
                <w:color w:val="000000"/>
                <w:sz w:val="18"/>
                <w:szCs w:val="18"/>
              </w:rPr>
              <w:t>(söz konusu bülten dönemindeki en eski rakam)</w:t>
            </w:r>
          </w:p>
        </w:tc>
      </w:tr>
      <w:tr w:rsidR="008E0BAF" w:rsidRPr="0063584D" w:rsidTr="00091CF5">
        <w:trPr>
          <w:trHeight w:val="80"/>
          <w:jc w:val="center"/>
        </w:trPr>
        <w:tc>
          <w:tcPr>
            <w:tcW w:w="493" w:type="dxa"/>
            <w:tcBorders>
              <w:top w:val="nil"/>
              <w:left w:val="nil"/>
              <w:bottom w:val="nil"/>
              <w:right w:val="nil"/>
            </w:tcBorders>
            <w:shd w:val="clear" w:color="000000" w:fill="E7E6E6"/>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Ardışık bültenler arasındaki fark (Yapılan revizyonun yönü ve büyüklüğü)</w:t>
            </w:r>
          </w:p>
        </w:tc>
      </w:tr>
      <w:tr w:rsidR="008E0BAF" w:rsidRPr="0063584D" w:rsidTr="00091CF5">
        <w:trPr>
          <w:trHeight w:val="80"/>
          <w:jc w:val="center"/>
        </w:trPr>
        <w:tc>
          <w:tcPr>
            <w:tcW w:w="493" w:type="dxa"/>
            <w:tcBorders>
              <w:top w:val="nil"/>
              <w:left w:val="nil"/>
              <w:bottom w:val="nil"/>
              <w:right w:val="nil"/>
            </w:tcBorders>
            <w:shd w:val="clear" w:color="000000" w:fill="92D050"/>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8E0BAF" w:rsidRPr="0063584D" w:rsidRDefault="008E0BAF" w:rsidP="00A26107">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Son Açıklama</w:t>
            </w:r>
          </w:p>
        </w:tc>
      </w:tr>
    </w:tbl>
    <w:p w:rsidR="008E0BAF" w:rsidRPr="0063584D" w:rsidRDefault="006F1500" w:rsidP="00A26107">
      <w:pPr>
        <w:spacing w:line="276" w:lineRule="auto"/>
        <w:jc w:val="both"/>
        <w:rPr>
          <w:rFonts w:ascii="Palatino Linotype" w:hAnsi="Palatino Linotype" w:cs="Arial"/>
          <w:sz w:val="18"/>
          <w:szCs w:val="18"/>
        </w:rPr>
      </w:pPr>
      <w:r w:rsidRPr="0063584D">
        <w:rPr>
          <w:rFonts w:ascii="Palatino Linotype" w:hAnsi="Palatino Linotype" w:cs="Arial"/>
          <w:sz w:val="18"/>
          <w:szCs w:val="18"/>
        </w:rPr>
        <w:lastRenderedPageBreak/>
        <w:t>Not:Y</w:t>
      </w:r>
      <w:r w:rsidR="00307821" w:rsidRPr="0063584D">
        <w:rPr>
          <w:rFonts w:ascii="Palatino Linotype" w:hAnsi="Palatino Linotype" w:cs="Arial"/>
          <w:sz w:val="18"/>
          <w:szCs w:val="18"/>
        </w:rPr>
        <w:t>uvarlamalardan ötürü ilk açıklama artı değişimler tam olarak son</w:t>
      </w:r>
      <w:r w:rsidRPr="0063584D">
        <w:rPr>
          <w:rFonts w:ascii="Palatino Linotype" w:hAnsi="Palatino Linotype" w:cs="Arial"/>
          <w:sz w:val="18"/>
          <w:szCs w:val="18"/>
        </w:rPr>
        <w:t xml:space="preserve"> açıklanan rakamı</w:t>
      </w:r>
      <w:r w:rsidR="00307821" w:rsidRPr="0063584D">
        <w:rPr>
          <w:rFonts w:ascii="Palatino Linotype" w:hAnsi="Palatino Linotype" w:cs="Arial"/>
          <w:sz w:val="18"/>
          <w:szCs w:val="18"/>
        </w:rPr>
        <w:t xml:space="preserve"> vermeyebilir. </w:t>
      </w:r>
    </w:p>
    <w:p w:rsidR="00052946" w:rsidRPr="0063584D" w:rsidRDefault="00052946" w:rsidP="00052946">
      <w:pPr>
        <w:spacing w:line="276" w:lineRule="auto"/>
        <w:jc w:val="both"/>
        <w:rPr>
          <w:rFonts w:ascii="Palatino Linotype" w:hAnsi="Palatino Linotype" w:cs="Arial"/>
          <w:sz w:val="22"/>
          <w:szCs w:val="22"/>
        </w:rPr>
      </w:pPr>
      <w:r w:rsidRPr="0063584D">
        <w:rPr>
          <w:rFonts w:ascii="Palatino Linotype" w:hAnsi="Palatino Linotype" w:cs="Arial"/>
          <w:sz w:val="22"/>
          <w:szCs w:val="22"/>
        </w:rPr>
        <w:t>Tablo 1A ve 1B yeni serilerle açıklanan son 5 bültendeki büyüme rakamlarında yapılan revizyonları göstermektedir. 1A tablosu TÜİK tarafından açıklanan bir önceki yılın aynı çeyreğine göre olan büyüme rakamlarını ve bu rakamlardaki revizyonları gösterirken, 1B tablosu bir önceki çeyreğe göre olan büyüme rakamları ve bu rakamlardaki revizyonları göstermektedir.</w:t>
      </w:r>
    </w:p>
    <w:p w:rsidR="008E0BAF" w:rsidRPr="0063584D" w:rsidRDefault="008E0BAF" w:rsidP="00A26107">
      <w:pPr>
        <w:spacing w:line="276" w:lineRule="auto"/>
        <w:jc w:val="both"/>
        <w:rPr>
          <w:rFonts w:ascii="Palatino Linotype" w:hAnsi="Palatino Linotype" w:cs="Arial"/>
          <w:sz w:val="22"/>
          <w:szCs w:val="22"/>
        </w:rPr>
      </w:pPr>
    </w:p>
    <w:p w:rsidR="008E0BAF" w:rsidRPr="0063584D" w:rsidRDefault="00215C6C"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Tablo 1A ve 1B’de sütunlar TÜİK bülten dönemlerini, satırlar ise o bülten döneminde büyüme rakamı ilk defa açıklanan veya revize edilen çeyreği göstermektedir. Sarı hücreler ilk defa büyüme değeri açıklanan çeyreği, gri hücreler ardışık dönemler arasında yapılan revizyonların büyüklük ve yönünü, yeşil hücreler ise en güncel büyüme rakamlarını göstermektedir. Örneğin, 2016</w:t>
      </w:r>
      <w:r w:rsidR="00091CF5" w:rsidRPr="0063584D">
        <w:rPr>
          <w:rFonts w:ascii="Palatino Linotype" w:hAnsi="Palatino Linotype" w:cs="Arial"/>
          <w:sz w:val="22"/>
          <w:szCs w:val="22"/>
        </w:rPr>
        <w:t>Ç</w:t>
      </w:r>
      <w:r w:rsidRPr="0063584D">
        <w:rPr>
          <w:rFonts w:ascii="Palatino Linotype" w:hAnsi="Palatino Linotype" w:cs="Arial"/>
          <w:sz w:val="22"/>
          <w:szCs w:val="22"/>
        </w:rPr>
        <w:t>3</w:t>
      </w:r>
      <w:r w:rsidR="00C95FFA" w:rsidRPr="0063584D">
        <w:rPr>
          <w:rFonts w:ascii="Palatino Linotype" w:hAnsi="Palatino Linotype" w:cs="Arial"/>
          <w:sz w:val="22"/>
          <w:szCs w:val="22"/>
        </w:rPr>
        <w:t xml:space="preserve"> bülteninde</w:t>
      </w:r>
      <w:r w:rsidR="003E6762" w:rsidRPr="0063584D">
        <w:rPr>
          <w:rFonts w:ascii="Palatino Linotype" w:hAnsi="Palatino Linotype" w:cs="Arial"/>
          <w:sz w:val="22"/>
          <w:szCs w:val="22"/>
        </w:rPr>
        <w:t xml:space="preserve"> </w:t>
      </w:r>
      <w:r w:rsidR="00C95FFA" w:rsidRPr="0063584D">
        <w:rPr>
          <w:rFonts w:ascii="Palatino Linotype" w:hAnsi="Palatino Linotype" w:cs="Arial"/>
          <w:sz w:val="22"/>
          <w:szCs w:val="22"/>
        </w:rPr>
        <w:t>2016</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1 yıllık büyümesi %4,1 olarak açıklanmış. Bir sonraki bültende yani 2016</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4’te -0,1 yüzde puanlık bir revizyon yapılmış. 2017</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1’de 2016</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1 büyümesi için bir revizyon yapılmamış fakat takip eden iki bültende sırasıyla 0,3 ve 0,1 yüzde puanlık revizyonlar yapılarak, son açıklanan 2017</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3 bülteninde 2016</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1’in bir önceki yılın aynı çeyreğine göre yani 2015</w:t>
      </w:r>
      <w:r w:rsidR="00091CF5" w:rsidRPr="0063584D">
        <w:rPr>
          <w:rFonts w:ascii="Palatino Linotype" w:hAnsi="Palatino Linotype" w:cs="Arial"/>
          <w:sz w:val="22"/>
          <w:szCs w:val="22"/>
        </w:rPr>
        <w:t>Ç</w:t>
      </w:r>
      <w:r w:rsidR="00C95FFA" w:rsidRPr="0063584D">
        <w:rPr>
          <w:rFonts w:ascii="Palatino Linotype" w:hAnsi="Palatino Linotype" w:cs="Arial"/>
          <w:sz w:val="22"/>
          <w:szCs w:val="22"/>
        </w:rPr>
        <w:t>1’e göre büyümesi %4,4 olarak açıklanmıştır.</w:t>
      </w:r>
    </w:p>
    <w:p w:rsidR="00215C6C" w:rsidRPr="0063584D" w:rsidRDefault="00215C6C" w:rsidP="00A26107">
      <w:pPr>
        <w:spacing w:line="276" w:lineRule="auto"/>
        <w:jc w:val="both"/>
        <w:rPr>
          <w:rFonts w:ascii="Palatino Linotype" w:hAnsi="Palatino Linotype" w:cs="Arial"/>
          <w:sz w:val="22"/>
          <w:szCs w:val="22"/>
        </w:rPr>
      </w:pPr>
    </w:p>
    <w:p w:rsidR="00B66F62" w:rsidRPr="0063584D" w:rsidRDefault="00B66F62"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Tablo 1A ve Tablo 1B’yi grafik olarak inceleyebilir, ardışık bültenler arasındaki farkları daha net görebiliriz. Ek Grafik 1A ve Ek Grafik 1B yeni serilerle açıklanan bu bültenlerdeki söz konusu çeyrek büyümelerini göstermektedir. Büyüme rakamlarındaki aşağı veya yukarı yönlü küçük revizyonlar gayet olağandır. </w:t>
      </w:r>
      <w:r w:rsidR="005A0565" w:rsidRPr="0063584D">
        <w:rPr>
          <w:rFonts w:ascii="Palatino Linotype" w:hAnsi="Palatino Linotype" w:cs="Arial"/>
          <w:sz w:val="22"/>
          <w:szCs w:val="22"/>
        </w:rPr>
        <w:t>K</w:t>
      </w:r>
      <w:r w:rsidRPr="0063584D">
        <w:rPr>
          <w:rFonts w:ascii="Palatino Linotype" w:hAnsi="Palatino Linotype" w:cs="Arial"/>
          <w:sz w:val="22"/>
          <w:szCs w:val="22"/>
        </w:rPr>
        <w:t>eza, bu revizyonlar sonucu söz konusu rakamlar belli bir değer</w:t>
      </w:r>
      <w:r w:rsidR="005A0565" w:rsidRPr="0063584D">
        <w:rPr>
          <w:rFonts w:ascii="Palatino Linotype" w:hAnsi="Palatino Linotype" w:cs="Arial"/>
          <w:sz w:val="22"/>
          <w:szCs w:val="22"/>
        </w:rPr>
        <w:t>i</w:t>
      </w:r>
      <w:r w:rsidRPr="0063584D">
        <w:rPr>
          <w:rFonts w:ascii="Palatino Linotype" w:hAnsi="Palatino Linotype" w:cs="Arial"/>
          <w:sz w:val="22"/>
          <w:szCs w:val="22"/>
        </w:rPr>
        <w:t xml:space="preserve"> yakınsıyorsa</w:t>
      </w:r>
      <w:r w:rsidR="000A7E66" w:rsidRPr="0063584D">
        <w:rPr>
          <w:rFonts w:ascii="Palatino Linotype" w:hAnsi="Palatino Linotype" w:cs="Arial"/>
          <w:sz w:val="22"/>
          <w:szCs w:val="22"/>
        </w:rPr>
        <w:t xml:space="preserve"> </w:t>
      </w:r>
      <w:r w:rsidR="005A0565" w:rsidRPr="0063584D">
        <w:rPr>
          <w:rFonts w:ascii="Palatino Linotype" w:hAnsi="Palatino Linotype" w:cs="Arial"/>
          <w:sz w:val="22"/>
          <w:szCs w:val="22"/>
        </w:rPr>
        <w:t>daha muteberdir.</w:t>
      </w:r>
      <w:r w:rsidRPr="0063584D">
        <w:rPr>
          <w:rFonts w:ascii="Palatino Linotype" w:hAnsi="Palatino Linotype" w:cs="Arial"/>
          <w:sz w:val="22"/>
          <w:szCs w:val="22"/>
        </w:rPr>
        <w:t xml:space="preserve"> Fakat hem bir yakınsama gerçekleştirmeyen hem de yön ve büyüklük itibariyle tutarsız olan birbirini izleyen revizyonlar</w:t>
      </w:r>
      <w:r w:rsidR="000A7E66" w:rsidRPr="0063584D">
        <w:rPr>
          <w:rFonts w:ascii="Palatino Linotype" w:hAnsi="Palatino Linotype" w:cs="Arial"/>
          <w:sz w:val="22"/>
          <w:szCs w:val="22"/>
        </w:rPr>
        <w:t xml:space="preserve"> en azından</w:t>
      </w:r>
      <w:r w:rsidRPr="0063584D">
        <w:rPr>
          <w:rFonts w:ascii="Palatino Linotype" w:hAnsi="Palatino Linotype" w:cs="Arial"/>
          <w:sz w:val="22"/>
          <w:szCs w:val="22"/>
        </w:rPr>
        <w:t xml:space="preserve"> ilginçtir. Örneğin </w:t>
      </w:r>
      <w:r w:rsidR="005A0565" w:rsidRPr="0063584D">
        <w:rPr>
          <w:rFonts w:ascii="Palatino Linotype" w:hAnsi="Palatino Linotype" w:cs="Arial"/>
          <w:sz w:val="22"/>
          <w:szCs w:val="22"/>
        </w:rPr>
        <w:t>ulusal hesaplarda yeni yöntem ve yeni veri tabanlarının kullanıldığı ilk açıklama olan</w:t>
      </w:r>
      <w:r w:rsidR="000A7E66" w:rsidRPr="0063584D">
        <w:rPr>
          <w:rFonts w:ascii="Palatino Linotype" w:hAnsi="Palatino Linotype" w:cs="Arial"/>
          <w:sz w:val="22"/>
          <w:szCs w:val="22"/>
        </w:rPr>
        <w:t xml:space="preserve"> </w:t>
      </w:r>
      <w:r w:rsidRPr="0063584D">
        <w:rPr>
          <w:rFonts w:ascii="Palatino Linotype" w:hAnsi="Palatino Linotype" w:cs="Arial"/>
          <w:sz w:val="22"/>
          <w:szCs w:val="22"/>
        </w:rPr>
        <w:t>2016</w:t>
      </w:r>
      <w:r w:rsidR="00091CF5" w:rsidRPr="0063584D">
        <w:rPr>
          <w:rFonts w:ascii="Palatino Linotype" w:hAnsi="Palatino Linotype" w:cs="Arial"/>
          <w:sz w:val="22"/>
          <w:szCs w:val="22"/>
        </w:rPr>
        <w:t>Ç</w:t>
      </w:r>
      <w:r w:rsidRPr="0063584D">
        <w:rPr>
          <w:rFonts w:ascii="Palatino Linotype" w:hAnsi="Palatino Linotype" w:cs="Arial"/>
          <w:sz w:val="22"/>
          <w:szCs w:val="22"/>
        </w:rPr>
        <w:t xml:space="preserve">3 yıllık büyümesi için yapılan revizyonlar </w:t>
      </w:r>
      <w:r w:rsidR="00C04FCC" w:rsidRPr="0063584D">
        <w:rPr>
          <w:rFonts w:ascii="Palatino Linotype" w:hAnsi="Palatino Linotype" w:cs="Arial"/>
          <w:sz w:val="22"/>
          <w:szCs w:val="22"/>
        </w:rPr>
        <w:t>hem büyük hem de zıt yönlü olma</w:t>
      </w:r>
      <w:r w:rsidR="003E6762" w:rsidRPr="0063584D">
        <w:rPr>
          <w:rFonts w:ascii="Palatino Linotype" w:hAnsi="Palatino Linotype" w:cs="Arial"/>
          <w:sz w:val="22"/>
          <w:szCs w:val="22"/>
        </w:rPr>
        <w:t>ları nedeniyle dikkate değerdir</w:t>
      </w:r>
      <w:r w:rsidR="00C04FCC" w:rsidRPr="0063584D">
        <w:rPr>
          <w:rFonts w:ascii="Palatino Linotype" w:hAnsi="Palatino Linotype" w:cs="Arial"/>
          <w:sz w:val="22"/>
          <w:szCs w:val="22"/>
        </w:rPr>
        <w:t xml:space="preserve"> (Şekil 1)</w:t>
      </w:r>
      <w:r w:rsidR="003E6762" w:rsidRPr="0063584D">
        <w:rPr>
          <w:rFonts w:ascii="Palatino Linotype" w:hAnsi="Palatino Linotype" w:cs="Arial"/>
          <w:sz w:val="22"/>
          <w:szCs w:val="22"/>
        </w:rPr>
        <w:t>.</w:t>
      </w:r>
    </w:p>
    <w:p w:rsidR="005A0565" w:rsidRPr="0063584D" w:rsidRDefault="005A0565" w:rsidP="00C04FCC">
      <w:pPr>
        <w:spacing w:line="276" w:lineRule="auto"/>
        <w:jc w:val="center"/>
        <w:rPr>
          <w:rFonts w:ascii="Palatino Linotype" w:hAnsi="Palatino Linotype" w:cs="Arial"/>
          <w:b/>
          <w:sz w:val="22"/>
          <w:szCs w:val="22"/>
        </w:rPr>
      </w:pPr>
    </w:p>
    <w:p w:rsidR="00A26107" w:rsidRPr="0063584D" w:rsidRDefault="00A26107" w:rsidP="00C04FCC">
      <w:pPr>
        <w:spacing w:line="276" w:lineRule="auto"/>
        <w:jc w:val="center"/>
        <w:rPr>
          <w:rFonts w:ascii="Palatino Linotype" w:hAnsi="Palatino Linotype" w:cs="Arial"/>
          <w:b/>
          <w:color w:val="FF0000"/>
          <w:sz w:val="22"/>
          <w:szCs w:val="22"/>
        </w:rPr>
      </w:pPr>
      <w:r w:rsidRPr="0063584D">
        <w:rPr>
          <w:rFonts w:ascii="Palatino Linotype" w:hAnsi="Palatino Linotype" w:cs="Arial"/>
          <w:b/>
          <w:sz w:val="22"/>
          <w:szCs w:val="22"/>
        </w:rPr>
        <w:t>Şekil 1</w:t>
      </w:r>
      <w:r w:rsidR="00C04FCC" w:rsidRPr="0063584D">
        <w:rPr>
          <w:rFonts w:ascii="Palatino Linotype" w:hAnsi="Palatino Linotype" w:cs="Arial"/>
          <w:b/>
          <w:sz w:val="22"/>
          <w:szCs w:val="22"/>
        </w:rPr>
        <w:t>: 2016</w:t>
      </w:r>
      <w:r w:rsidR="00091CF5" w:rsidRPr="0063584D">
        <w:rPr>
          <w:rFonts w:ascii="Palatino Linotype" w:hAnsi="Palatino Linotype" w:cs="Arial"/>
          <w:b/>
          <w:sz w:val="22"/>
          <w:szCs w:val="22"/>
        </w:rPr>
        <w:t>Ç</w:t>
      </w:r>
      <w:r w:rsidR="00C04FCC" w:rsidRPr="0063584D">
        <w:rPr>
          <w:rFonts w:ascii="Palatino Linotype" w:hAnsi="Palatino Linotype" w:cs="Arial"/>
          <w:b/>
          <w:sz w:val="22"/>
          <w:szCs w:val="22"/>
        </w:rPr>
        <w:t>3 yıllık büyümesinin bültenlerdeki seyri</w:t>
      </w:r>
    </w:p>
    <w:p w:rsidR="00A26107" w:rsidRPr="0063584D" w:rsidRDefault="00A26107" w:rsidP="00C04FCC">
      <w:pPr>
        <w:spacing w:line="276" w:lineRule="auto"/>
        <w:jc w:val="center"/>
        <w:rPr>
          <w:rFonts w:ascii="Palatino Linotype" w:hAnsi="Palatino Linotype" w:cs="Arial"/>
          <w:sz w:val="22"/>
          <w:szCs w:val="22"/>
        </w:rPr>
      </w:pPr>
      <w:r w:rsidRPr="0063584D">
        <w:rPr>
          <w:rFonts w:ascii="Palatino Linotype" w:hAnsi="Palatino Linotype" w:cs="Arial"/>
          <w:noProof/>
          <w:sz w:val="22"/>
          <w:szCs w:val="22"/>
        </w:rPr>
        <w:drawing>
          <wp:inline distT="0" distB="0" distL="0" distR="0">
            <wp:extent cx="3419475" cy="2138045"/>
            <wp:effectExtent l="19050" t="0" r="9525" b="0"/>
            <wp:docPr id="3" name="Grafik 3">
              <a:extLst xmlns:a="http://schemas.openxmlformats.org/drawingml/2006/main">
                <a:ext uri="{FF2B5EF4-FFF2-40B4-BE49-F238E27FC236}">
                  <a16:creationId xmlns:a16="http://schemas.microsoft.com/office/drawing/2014/main" id="{1D70F51E-1194-46E4-B120-922CB5624A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6107" w:rsidRPr="0063584D" w:rsidRDefault="00A26107" w:rsidP="00A26107">
      <w:pPr>
        <w:spacing w:line="276" w:lineRule="auto"/>
        <w:jc w:val="both"/>
        <w:rPr>
          <w:rFonts w:ascii="Palatino Linotype" w:hAnsi="Palatino Linotype" w:cs="Arial"/>
          <w:sz w:val="22"/>
          <w:szCs w:val="22"/>
        </w:rPr>
      </w:pPr>
    </w:p>
    <w:p w:rsidR="00A26107" w:rsidRPr="0063584D" w:rsidRDefault="00A26107"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12 Aralık 2016’da açıklanan </w:t>
      </w:r>
      <w:r w:rsidR="0060285C" w:rsidRPr="0063584D">
        <w:rPr>
          <w:rFonts w:ascii="Palatino Linotype" w:hAnsi="Palatino Linotype" w:cs="Arial"/>
          <w:sz w:val="22"/>
          <w:szCs w:val="22"/>
        </w:rPr>
        <w:t xml:space="preserve">haber </w:t>
      </w:r>
      <w:r w:rsidRPr="0063584D">
        <w:rPr>
          <w:rFonts w:ascii="Palatino Linotype" w:hAnsi="Palatino Linotype" w:cs="Arial"/>
          <w:sz w:val="22"/>
          <w:szCs w:val="22"/>
        </w:rPr>
        <w:t>bültenine</w:t>
      </w:r>
      <w:r w:rsidR="0060285C" w:rsidRPr="0063584D">
        <w:rPr>
          <w:rFonts w:ascii="Palatino Linotype" w:hAnsi="Palatino Linotype" w:cs="Arial"/>
          <w:sz w:val="22"/>
          <w:szCs w:val="22"/>
        </w:rPr>
        <w:t xml:space="preserve"> (2016Ç3) </w:t>
      </w:r>
      <w:r w:rsidRPr="0063584D">
        <w:rPr>
          <w:rFonts w:ascii="Palatino Linotype" w:hAnsi="Palatino Linotype" w:cs="Arial"/>
          <w:sz w:val="22"/>
          <w:szCs w:val="22"/>
        </w:rPr>
        <w:t>göre</w:t>
      </w:r>
      <w:r w:rsidR="003E6762" w:rsidRPr="0063584D">
        <w:rPr>
          <w:rFonts w:ascii="Palatino Linotype" w:hAnsi="Palatino Linotype" w:cs="Arial"/>
          <w:sz w:val="22"/>
          <w:szCs w:val="22"/>
        </w:rPr>
        <w:t xml:space="preserve"> 2016 3. çeyreğinde GSYH büyümesi</w:t>
      </w:r>
      <w:r w:rsidRPr="0063584D">
        <w:rPr>
          <w:rFonts w:ascii="Palatino Linotype" w:hAnsi="Palatino Linotype" w:cs="Arial"/>
          <w:sz w:val="22"/>
          <w:szCs w:val="22"/>
        </w:rPr>
        <w:t xml:space="preserve"> bir önceki yılın aynı çeyreğine göre büyümesi takvim etkilerinden arındırılmış </w:t>
      </w:r>
      <w:r w:rsidRPr="0063584D">
        <w:rPr>
          <w:rFonts w:ascii="Palatino Linotype" w:hAnsi="Palatino Linotype" w:cs="Arial"/>
          <w:sz w:val="22"/>
          <w:szCs w:val="22"/>
        </w:rPr>
        <w:lastRenderedPageBreak/>
        <w:t>zincirlenmiş hacim endeksine göre %-0,</w:t>
      </w:r>
      <w:r w:rsidR="009E4287" w:rsidRPr="0063584D">
        <w:rPr>
          <w:rFonts w:ascii="Palatino Linotype" w:hAnsi="Palatino Linotype" w:cs="Arial"/>
          <w:sz w:val="22"/>
          <w:szCs w:val="22"/>
        </w:rPr>
        <w:t>2</w:t>
      </w:r>
      <w:r w:rsidRPr="0063584D">
        <w:rPr>
          <w:rFonts w:ascii="Palatino Linotype" w:hAnsi="Palatino Linotype" w:cs="Arial"/>
          <w:sz w:val="22"/>
          <w:szCs w:val="22"/>
        </w:rPr>
        <w:t>’dir. Fakat takip eden 31 Mart 2017 tarihli bültende</w:t>
      </w:r>
      <w:r w:rsidR="0060285C" w:rsidRPr="0063584D">
        <w:rPr>
          <w:rFonts w:ascii="Palatino Linotype" w:hAnsi="Palatino Linotype" w:cs="Arial"/>
          <w:sz w:val="22"/>
          <w:szCs w:val="22"/>
        </w:rPr>
        <w:t xml:space="preserve"> (2016Ç4)</w:t>
      </w:r>
      <w:r w:rsidR="003E6762" w:rsidRPr="0063584D">
        <w:rPr>
          <w:rFonts w:ascii="Palatino Linotype" w:hAnsi="Palatino Linotype" w:cs="Arial"/>
          <w:sz w:val="22"/>
          <w:szCs w:val="22"/>
        </w:rPr>
        <w:t xml:space="preserve"> aynı</w:t>
      </w:r>
      <w:r w:rsidRPr="0063584D">
        <w:rPr>
          <w:rFonts w:ascii="Palatino Linotype" w:hAnsi="Palatino Linotype" w:cs="Arial"/>
          <w:sz w:val="22"/>
          <w:szCs w:val="22"/>
        </w:rPr>
        <w:t xml:space="preserve"> büyüme değeri </w:t>
      </w:r>
      <w:r w:rsidR="009E4287" w:rsidRPr="0063584D">
        <w:rPr>
          <w:rFonts w:ascii="Palatino Linotype" w:hAnsi="Palatino Linotype" w:cs="Arial"/>
          <w:sz w:val="22"/>
          <w:szCs w:val="22"/>
        </w:rPr>
        <w:t xml:space="preserve">0,9 puan yukarı revize edilerek yıllık büyüme oranı </w:t>
      </w:r>
      <w:r w:rsidR="00091CF5" w:rsidRPr="0063584D">
        <w:rPr>
          <w:rFonts w:ascii="Palatino Linotype" w:hAnsi="Palatino Linotype" w:cs="Arial"/>
          <w:sz w:val="22"/>
          <w:szCs w:val="22"/>
        </w:rPr>
        <w:t>%0,7</w:t>
      </w:r>
      <w:r w:rsidRPr="0063584D">
        <w:rPr>
          <w:rFonts w:ascii="Palatino Linotype" w:hAnsi="Palatino Linotype" w:cs="Arial"/>
          <w:sz w:val="22"/>
          <w:szCs w:val="22"/>
        </w:rPr>
        <w:t>’</w:t>
      </w:r>
      <w:r w:rsidR="009E4287" w:rsidRPr="0063584D">
        <w:rPr>
          <w:rFonts w:ascii="Palatino Linotype" w:hAnsi="Palatino Linotype" w:cs="Arial"/>
          <w:sz w:val="22"/>
          <w:szCs w:val="22"/>
        </w:rPr>
        <w:t>y</w:t>
      </w:r>
      <w:r w:rsidRPr="0063584D">
        <w:rPr>
          <w:rFonts w:ascii="Palatino Linotype" w:hAnsi="Palatino Linotype" w:cs="Arial"/>
          <w:sz w:val="22"/>
          <w:szCs w:val="22"/>
        </w:rPr>
        <w:t>e</w:t>
      </w:r>
      <w:r w:rsidR="00091CF5" w:rsidRPr="0063584D">
        <w:rPr>
          <w:rFonts w:ascii="Palatino Linotype" w:hAnsi="Palatino Linotype" w:cs="Arial"/>
          <w:sz w:val="22"/>
          <w:szCs w:val="22"/>
        </w:rPr>
        <w:t xml:space="preserve"> revize edilmiştir.</w:t>
      </w:r>
      <w:r w:rsidRPr="0063584D">
        <w:rPr>
          <w:rFonts w:ascii="Palatino Linotype" w:hAnsi="Palatino Linotype" w:cs="Arial"/>
          <w:sz w:val="22"/>
          <w:szCs w:val="22"/>
        </w:rPr>
        <w:t xml:space="preserve"> Ardından 12 Haziran 2017 tarihli</w:t>
      </w:r>
      <w:r w:rsidR="003E6762" w:rsidRPr="0063584D">
        <w:rPr>
          <w:rFonts w:ascii="Palatino Linotype" w:hAnsi="Palatino Linotype" w:cs="Arial"/>
          <w:sz w:val="22"/>
          <w:szCs w:val="22"/>
        </w:rPr>
        <w:t xml:space="preserve"> </w:t>
      </w:r>
      <w:r w:rsidRPr="0063584D">
        <w:rPr>
          <w:rFonts w:ascii="Palatino Linotype" w:hAnsi="Palatino Linotype" w:cs="Arial"/>
          <w:sz w:val="22"/>
          <w:szCs w:val="22"/>
        </w:rPr>
        <w:t>bülten</w:t>
      </w:r>
      <w:r w:rsidR="009E4287" w:rsidRPr="0063584D">
        <w:rPr>
          <w:rFonts w:ascii="Palatino Linotype" w:hAnsi="Palatino Linotype" w:cs="Arial"/>
          <w:sz w:val="22"/>
          <w:szCs w:val="22"/>
        </w:rPr>
        <w:t>de (2017</w:t>
      </w:r>
      <w:r w:rsidR="00091CF5" w:rsidRPr="0063584D">
        <w:rPr>
          <w:rFonts w:ascii="Palatino Linotype" w:hAnsi="Palatino Linotype" w:cs="Arial"/>
          <w:sz w:val="22"/>
          <w:szCs w:val="22"/>
        </w:rPr>
        <w:t>Ç</w:t>
      </w:r>
      <w:r w:rsidR="009E4287" w:rsidRPr="0063584D">
        <w:rPr>
          <w:rFonts w:ascii="Palatino Linotype" w:hAnsi="Palatino Linotype" w:cs="Arial"/>
          <w:sz w:val="22"/>
          <w:szCs w:val="22"/>
        </w:rPr>
        <w:t xml:space="preserve">1) </w:t>
      </w:r>
      <w:r w:rsidRPr="0063584D">
        <w:rPr>
          <w:rFonts w:ascii="Palatino Linotype" w:hAnsi="Palatino Linotype" w:cs="Arial"/>
          <w:sz w:val="22"/>
          <w:szCs w:val="22"/>
        </w:rPr>
        <w:t xml:space="preserve">0,4 puanlık </w:t>
      </w:r>
      <w:r w:rsidR="009E4287" w:rsidRPr="0063584D">
        <w:rPr>
          <w:rFonts w:ascii="Palatino Linotype" w:hAnsi="Palatino Linotype" w:cs="Arial"/>
          <w:sz w:val="22"/>
          <w:szCs w:val="22"/>
        </w:rPr>
        <w:t>aşağı revizyonla bu oran</w:t>
      </w:r>
      <w:r w:rsidRPr="0063584D">
        <w:rPr>
          <w:rFonts w:ascii="Palatino Linotype" w:hAnsi="Palatino Linotype" w:cs="Arial"/>
          <w:sz w:val="22"/>
          <w:szCs w:val="22"/>
        </w:rPr>
        <w:t xml:space="preserve"> %0,3</w:t>
      </w:r>
      <w:r w:rsidR="009E4287" w:rsidRPr="0063584D">
        <w:rPr>
          <w:rFonts w:ascii="Palatino Linotype" w:hAnsi="Palatino Linotype" w:cs="Arial"/>
          <w:sz w:val="22"/>
          <w:szCs w:val="22"/>
        </w:rPr>
        <w:t>’e</w:t>
      </w:r>
      <w:r w:rsidRPr="0063584D">
        <w:rPr>
          <w:rFonts w:ascii="Palatino Linotype" w:hAnsi="Palatino Linotype" w:cs="Arial"/>
          <w:sz w:val="22"/>
          <w:szCs w:val="22"/>
        </w:rPr>
        <w:t xml:space="preserve"> revize edilmiştir. 11 Eylül 2017 tarihli bülten</w:t>
      </w:r>
      <w:r w:rsidR="009E4287" w:rsidRPr="0063584D">
        <w:rPr>
          <w:rFonts w:ascii="Palatino Linotype" w:hAnsi="Palatino Linotype" w:cs="Arial"/>
          <w:sz w:val="22"/>
          <w:szCs w:val="22"/>
        </w:rPr>
        <w:t>de (2017</w:t>
      </w:r>
      <w:r w:rsidR="00091CF5" w:rsidRPr="0063584D">
        <w:rPr>
          <w:rFonts w:ascii="Palatino Linotype" w:hAnsi="Palatino Linotype" w:cs="Arial"/>
          <w:sz w:val="22"/>
          <w:szCs w:val="22"/>
        </w:rPr>
        <w:t>Ç</w:t>
      </w:r>
      <w:r w:rsidR="009E4287" w:rsidRPr="0063584D">
        <w:rPr>
          <w:rFonts w:ascii="Palatino Linotype" w:hAnsi="Palatino Linotype" w:cs="Arial"/>
          <w:sz w:val="22"/>
          <w:szCs w:val="22"/>
        </w:rPr>
        <w:t>2)</w:t>
      </w:r>
      <w:r w:rsidRPr="0063584D">
        <w:rPr>
          <w:rFonts w:ascii="Palatino Linotype" w:hAnsi="Palatino Linotype" w:cs="Arial"/>
          <w:sz w:val="22"/>
          <w:szCs w:val="22"/>
        </w:rPr>
        <w:t xml:space="preserve"> ilginç bir şekilde tekrar yukarı yönlü </w:t>
      </w:r>
      <w:r w:rsidR="009E4287" w:rsidRPr="0063584D">
        <w:rPr>
          <w:rFonts w:ascii="Palatino Linotype" w:hAnsi="Palatino Linotype" w:cs="Arial"/>
          <w:sz w:val="22"/>
          <w:szCs w:val="22"/>
        </w:rPr>
        <w:t xml:space="preserve">0,5 puanlık </w:t>
      </w:r>
      <w:r w:rsidRPr="0063584D">
        <w:rPr>
          <w:rFonts w:ascii="Palatino Linotype" w:hAnsi="Palatino Linotype" w:cs="Arial"/>
          <w:sz w:val="22"/>
          <w:szCs w:val="22"/>
        </w:rPr>
        <w:t xml:space="preserve">bir revizyon yapılarak büyüme değeri </w:t>
      </w:r>
      <w:r w:rsidR="00091CF5" w:rsidRPr="0063584D">
        <w:rPr>
          <w:rFonts w:ascii="Palatino Linotype" w:hAnsi="Palatino Linotype" w:cs="Arial"/>
          <w:sz w:val="22"/>
          <w:szCs w:val="22"/>
        </w:rPr>
        <w:t>%0,8</w:t>
      </w:r>
      <w:r w:rsidRPr="0063584D">
        <w:rPr>
          <w:rFonts w:ascii="Palatino Linotype" w:hAnsi="Palatino Linotype" w:cs="Arial"/>
          <w:sz w:val="22"/>
          <w:szCs w:val="22"/>
        </w:rPr>
        <w:t>’e çıkmıştır. En son açıklanan 11 Aralık 2017 tarihli bülten</w:t>
      </w:r>
      <w:r w:rsidR="0060285C" w:rsidRPr="0063584D">
        <w:rPr>
          <w:rFonts w:ascii="Palatino Linotype" w:hAnsi="Palatino Linotype" w:cs="Arial"/>
          <w:sz w:val="22"/>
          <w:szCs w:val="22"/>
        </w:rPr>
        <w:t>de (2017</w:t>
      </w:r>
      <w:r w:rsidR="00091CF5" w:rsidRPr="0063584D">
        <w:rPr>
          <w:rFonts w:ascii="Palatino Linotype" w:hAnsi="Palatino Linotype" w:cs="Arial"/>
          <w:sz w:val="22"/>
          <w:szCs w:val="22"/>
        </w:rPr>
        <w:t>Ç</w:t>
      </w:r>
      <w:r w:rsidR="009E4287" w:rsidRPr="0063584D">
        <w:rPr>
          <w:rFonts w:ascii="Palatino Linotype" w:hAnsi="Palatino Linotype" w:cs="Arial"/>
          <w:sz w:val="22"/>
          <w:szCs w:val="22"/>
        </w:rPr>
        <w:t xml:space="preserve">3) </w:t>
      </w:r>
      <w:r w:rsidRPr="0063584D">
        <w:rPr>
          <w:rFonts w:ascii="Palatino Linotype" w:hAnsi="Palatino Linotype" w:cs="Arial"/>
          <w:sz w:val="22"/>
          <w:szCs w:val="22"/>
        </w:rPr>
        <w:t>ise çok sert bir negatif yönlü revizyonla, 201</w:t>
      </w:r>
      <w:r w:rsidR="007C68F9">
        <w:rPr>
          <w:rFonts w:ascii="Palatino Linotype" w:hAnsi="Palatino Linotype" w:cs="Arial"/>
          <w:sz w:val="22"/>
          <w:szCs w:val="22"/>
        </w:rPr>
        <w:t>6</w:t>
      </w:r>
      <w:r w:rsidRPr="0063584D">
        <w:rPr>
          <w:rFonts w:ascii="Palatino Linotype" w:hAnsi="Palatino Linotype" w:cs="Arial"/>
          <w:sz w:val="22"/>
          <w:szCs w:val="22"/>
        </w:rPr>
        <w:t xml:space="preserve"> yılı 3. çeyrek yıllık büyümesi, </w:t>
      </w:r>
      <w:r w:rsidR="009E4287" w:rsidRPr="0063584D">
        <w:rPr>
          <w:rFonts w:ascii="Palatino Linotype" w:hAnsi="Palatino Linotype" w:cs="Arial"/>
          <w:sz w:val="22"/>
          <w:szCs w:val="22"/>
        </w:rPr>
        <w:t>bir</w:t>
      </w:r>
      <w:r w:rsidRPr="0063584D">
        <w:rPr>
          <w:rFonts w:ascii="Palatino Linotype" w:hAnsi="Palatino Linotype" w:cs="Arial"/>
          <w:sz w:val="22"/>
          <w:szCs w:val="22"/>
        </w:rPr>
        <w:t xml:space="preserve"> sene önceki değerine çok yakın bir değere revize edilerek %-0,</w:t>
      </w:r>
      <w:r w:rsidR="009E4287" w:rsidRPr="0063584D">
        <w:rPr>
          <w:rFonts w:ascii="Palatino Linotype" w:hAnsi="Palatino Linotype" w:cs="Arial"/>
          <w:sz w:val="22"/>
          <w:szCs w:val="22"/>
        </w:rPr>
        <w:t>1</w:t>
      </w:r>
      <w:r w:rsidRPr="0063584D">
        <w:rPr>
          <w:rFonts w:ascii="Palatino Linotype" w:hAnsi="Palatino Linotype" w:cs="Arial"/>
          <w:sz w:val="22"/>
          <w:szCs w:val="22"/>
        </w:rPr>
        <w:t xml:space="preserve"> olarak açıklanmıştır. </w:t>
      </w:r>
    </w:p>
    <w:p w:rsidR="00A26107" w:rsidRPr="0063584D" w:rsidRDefault="00A26107" w:rsidP="00A26107">
      <w:pPr>
        <w:spacing w:line="276" w:lineRule="auto"/>
        <w:jc w:val="both"/>
        <w:rPr>
          <w:rFonts w:ascii="Palatino Linotype" w:hAnsi="Palatino Linotype" w:cs="Arial"/>
          <w:sz w:val="22"/>
          <w:szCs w:val="22"/>
        </w:rPr>
      </w:pPr>
    </w:p>
    <w:p w:rsidR="00901CDB" w:rsidRPr="0063584D" w:rsidRDefault="00A26107" w:rsidP="009260D9">
      <w:pPr>
        <w:spacing w:line="276" w:lineRule="auto"/>
        <w:jc w:val="both"/>
        <w:rPr>
          <w:rFonts w:ascii="Palatino Linotype" w:hAnsi="Palatino Linotype" w:cs="Arial"/>
          <w:sz w:val="22"/>
          <w:szCs w:val="22"/>
        </w:rPr>
      </w:pPr>
      <w:r w:rsidRPr="0063584D">
        <w:rPr>
          <w:rFonts w:ascii="Palatino Linotype" w:hAnsi="Palatino Linotype" w:cs="Arial"/>
          <w:sz w:val="22"/>
          <w:szCs w:val="22"/>
        </w:rPr>
        <w:t>Çeyreklik büyüme</w:t>
      </w:r>
      <w:r w:rsidR="00C04FCC" w:rsidRPr="0063584D">
        <w:rPr>
          <w:rFonts w:ascii="Palatino Linotype" w:hAnsi="Palatino Linotype" w:cs="Arial"/>
          <w:sz w:val="22"/>
          <w:szCs w:val="22"/>
        </w:rPr>
        <w:t>lere</w:t>
      </w:r>
      <w:r w:rsidRPr="0063584D">
        <w:rPr>
          <w:rFonts w:ascii="Palatino Linotype" w:hAnsi="Palatino Linotype" w:cs="Arial"/>
          <w:sz w:val="22"/>
          <w:szCs w:val="22"/>
        </w:rPr>
        <w:t xml:space="preserve"> bakıldığında ise, revizyonların </w:t>
      </w:r>
      <w:r w:rsidR="00C04FCC" w:rsidRPr="0063584D">
        <w:rPr>
          <w:rFonts w:ascii="Palatino Linotype" w:hAnsi="Palatino Linotype" w:cs="Arial"/>
          <w:sz w:val="22"/>
          <w:szCs w:val="22"/>
        </w:rPr>
        <w:t>daha oynak ve büyük olduğu görülmektedir.</w:t>
      </w:r>
      <w:r w:rsidRPr="0063584D">
        <w:rPr>
          <w:rFonts w:ascii="Palatino Linotype" w:hAnsi="Palatino Linotype" w:cs="Arial"/>
          <w:sz w:val="22"/>
          <w:szCs w:val="22"/>
        </w:rPr>
        <w:t xml:space="preserve"> (</w:t>
      </w:r>
      <w:r w:rsidR="00C04FCC" w:rsidRPr="0063584D">
        <w:rPr>
          <w:rFonts w:ascii="Palatino Linotype" w:hAnsi="Palatino Linotype" w:cs="Arial"/>
          <w:sz w:val="22"/>
          <w:szCs w:val="22"/>
        </w:rPr>
        <w:t>Ek Grafik 1B</w:t>
      </w:r>
      <w:r w:rsidRPr="0063584D">
        <w:rPr>
          <w:rFonts w:ascii="Palatino Linotype" w:hAnsi="Palatino Linotype" w:cs="Arial"/>
          <w:sz w:val="22"/>
          <w:szCs w:val="22"/>
        </w:rPr>
        <w:t>)</w:t>
      </w:r>
      <w:r w:rsidR="00C04FCC" w:rsidRPr="0063584D">
        <w:rPr>
          <w:rFonts w:ascii="Palatino Linotype" w:hAnsi="Palatino Linotype" w:cs="Arial"/>
          <w:sz w:val="22"/>
          <w:szCs w:val="22"/>
        </w:rPr>
        <w:t xml:space="preserve"> 2016 yılının tüm çeyrekleri için yapılan hesapların sürekli olarak büyük revizyonlara tabi tutulduğunu görüyoruz. </w:t>
      </w:r>
      <w:r w:rsidR="00016E95" w:rsidRPr="0063584D">
        <w:rPr>
          <w:rFonts w:ascii="Palatino Linotype" w:hAnsi="Palatino Linotype" w:cs="Arial"/>
          <w:sz w:val="22"/>
          <w:szCs w:val="22"/>
        </w:rPr>
        <w:t>2016</w:t>
      </w:r>
      <w:r w:rsidR="00091CF5" w:rsidRPr="0063584D">
        <w:rPr>
          <w:rFonts w:ascii="Palatino Linotype" w:hAnsi="Palatino Linotype" w:cs="Arial"/>
          <w:sz w:val="22"/>
          <w:szCs w:val="22"/>
        </w:rPr>
        <w:t>Ç</w:t>
      </w:r>
      <w:r w:rsidR="00016E95" w:rsidRPr="0063584D">
        <w:rPr>
          <w:rFonts w:ascii="Palatino Linotype" w:hAnsi="Palatino Linotype" w:cs="Arial"/>
          <w:sz w:val="22"/>
          <w:szCs w:val="22"/>
        </w:rPr>
        <w:t>3 çeyreklik büyümesinin ilk açıklandığı bültenden sonra 3 bülten boyunca yukarı yönlü revize edildiğini, son bültende ise ilk 3 bültendeki toplam kadarlık bir ters yönde revizyon ile baş</w:t>
      </w:r>
      <w:r w:rsidR="00C02F82" w:rsidRPr="0063584D">
        <w:rPr>
          <w:rFonts w:ascii="Palatino Linotype" w:hAnsi="Palatino Linotype" w:cs="Arial"/>
          <w:sz w:val="22"/>
          <w:szCs w:val="22"/>
        </w:rPr>
        <w:t>ladığı yere döndüğünü görüyoruz</w:t>
      </w:r>
      <w:r w:rsidR="00016E95" w:rsidRPr="0063584D">
        <w:rPr>
          <w:rFonts w:ascii="Palatino Linotype" w:hAnsi="Palatino Linotype" w:cs="Arial"/>
          <w:sz w:val="22"/>
          <w:szCs w:val="22"/>
        </w:rPr>
        <w:t xml:space="preserve"> (Şekil 2</w:t>
      </w:r>
      <w:r w:rsidR="009260D9" w:rsidRPr="0063584D">
        <w:rPr>
          <w:rFonts w:ascii="Palatino Linotype" w:hAnsi="Palatino Linotype" w:cs="Arial"/>
          <w:sz w:val="22"/>
          <w:szCs w:val="22"/>
        </w:rPr>
        <w:t>)</w:t>
      </w:r>
      <w:r w:rsidR="00C02F82" w:rsidRPr="0063584D">
        <w:rPr>
          <w:rFonts w:ascii="Palatino Linotype" w:hAnsi="Palatino Linotype" w:cs="Arial"/>
          <w:sz w:val="22"/>
          <w:szCs w:val="22"/>
        </w:rPr>
        <w:t>.</w:t>
      </w:r>
    </w:p>
    <w:p w:rsidR="00901CDB" w:rsidRPr="0063584D" w:rsidRDefault="00901CDB" w:rsidP="00016E95">
      <w:pPr>
        <w:spacing w:line="276" w:lineRule="auto"/>
        <w:jc w:val="center"/>
        <w:rPr>
          <w:rFonts w:ascii="Palatino Linotype" w:hAnsi="Palatino Linotype" w:cs="Arial"/>
          <w:b/>
          <w:sz w:val="22"/>
          <w:szCs w:val="22"/>
        </w:rPr>
      </w:pPr>
    </w:p>
    <w:p w:rsidR="00901CDB" w:rsidRPr="0063584D" w:rsidRDefault="00901CDB" w:rsidP="00016E95">
      <w:pPr>
        <w:spacing w:line="276" w:lineRule="auto"/>
        <w:jc w:val="center"/>
        <w:rPr>
          <w:rFonts w:ascii="Palatino Linotype" w:hAnsi="Palatino Linotype" w:cs="Arial"/>
          <w:b/>
          <w:sz w:val="22"/>
          <w:szCs w:val="22"/>
        </w:rPr>
      </w:pPr>
    </w:p>
    <w:p w:rsidR="00A26107" w:rsidRPr="0063584D" w:rsidRDefault="00A26107" w:rsidP="00016E95">
      <w:pPr>
        <w:spacing w:line="276" w:lineRule="auto"/>
        <w:jc w:val="center"/>
        <w:rPr>
          <w:rFonts w:ascii="Palatino Linotype" w:hAnsi="Palatino Linotype" w:cs="Arial"/>
          <w:b/>
          <w:color w:val="FF0000"/>
          <w:sz w:val="22"/>
          <w:szCs w:val="22"/>
        </w:rPr>
      </w:pPr>
      <w:r w:rsidRPr="0063584D">
        <w:rPr>
          <w:rFonts w:ascii="Palatino Linotype" w:hAnsi="Palatino Linotype" w:cs="Arial"/>
          <w:b/>
          <w:sz w:val="22"/>
          <w:szCs w:val="22"/>
        </w:rPr>
        <w:t>Şekil 2</w:t>
      </w:r>
      <w:r w:rsidR="00016E95" w:rsidRPr="0063584D">
        <w:rPr>
          <w:rFonts w:ascii="Palatino Linotype" w:hAnsi="Palatino Linotype" w:cs="Arial"/>
          <w:b/>
          <w:sz w:val="22"/>
          <w:szCs w:val="22"/>
        </w:rPr>
        <w:t>: 2016</w:t>
      </w:r>
      <w:r w:rsidR="00091CF5" w:rsidRPr="0063584D">
        <w:rPr>
          <w:rFonts w:ascii="Palatino Linotype" w:hAnsi="Palatino Linotype" w:cs="Arial"/>
          <w:b/>
          <w:sz w:val="22"/>
          <w:szCs w:val="22"/>
        </w:rPr>
        <w:t>Ç</w:t>
      </w:r>
      <w:r w:rsidR="00016E95" w:rsidRPr="0063584D">
        <w:rPr>
          <w:rFonts w:ascii="Palatino Linotype" w:hAnsi="Palatino Linotype" w:cs="Arial"/>
          <w:b/>
          <w:sz w:val="22"/>
          <w:szCs w:val="22"/>
        </w:rPr>
        <w:t>1-4 çeyreklik büyümelerinin bültenlerdeki seyri</w:t>
      </w:r>
    </w:p>
    <w:p w:rsidR="00A26107" w:rsidRPr="0063584D" w:rsidRDefault="00016E95" w:rsidP="00016E95">
      <w:pPr>
        <w:jc w:val="center"/>
        <w:rPr>
          <w:rFonts w:ascii="Palatino Linotype" w:hAnsi="Palatino Linotype" w:cs="Arial"/>
          <w:sz w:val="22"/>
          <w:szCs w:val="22"/>
        </w:rPr>
      </w:pPr>
      <w:r w:rsidRPr="0063584D">
        <w:rPr>
          <w:rFonts w:ascii="Palatino Linotype" w:hAnsi="Palatino Linotype"/>
          <w:noProof/>
          <w:sz w:val="22"/>
          <w:szCs w:val="22"/>
        </w:rPr>
        <w:drawing>
          <wp:inline distT="0" distB="0" distL="0" distR="0">
            <wp:extent cx="2466975" cy="2119313"/>
            <wp:effectExtent l="19050" t="0" r="9525" b="0"/>
            <wp:docPr id="8" name="Grafik 8">
              <a:extLst xmlns:a="http://schemas.openxmlformats.org/drawingml/2006/main">
                <a:ext uri="{FF2B5EF4-FFF2-40B4-BE49-F238E27FC236}">
                  <a16:creationId xmlns:a16="http://schemas.microsoft.com/office/drawing/2014/main" id="{B75AC29A-9E62-45C0-992E-8DD034D42A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3584D">
        <w:rPr>
          <w:rFonts w:ascii="Palatino Linotype" w:hAnsi="Palatino Linotype"/>
          <w:noProof/>
          <w:sz w:val="22"/>
          <w:szCs w:val="22"/>
        </w:rPr>
        <w:drawing>
          <wp:inline distT="0" distB="0" distL="0" distR="0">
            <wp:extent cx="2466975" cy="2119313"/>
            <wp:effectExtent l="19050" t="0" r="9525" b="0"/>
            <wp:docPr id="2" name="Grafik 2">
              <a:extLst xmlns:a="http://schemas.openxmlformats.org/drawingml/2006/main">
                <a:ext uri="{FF2B5EF4-FFF2-40B4-BE49-F238E27FC236}">
                  <a16:creationId xmlns:a16="http://schemas.microsoft.com/office/drawing/2014/main" id="{13992387-2A6E-4343-91C3-5F58D9422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63584D">
        <w:rPr>
          <w:rFonts w:ascii="Palatino Linotype" w:hAnsi="Palatino Linotype"/>
          <w:noProof/>
          <w:sz w:val="22"/>
          <w:szCs w:val="22"/>
        </w:rPr>
        <w:drawing>
          <wp:inline distT="0" distB="0" distL="0" distR="0">
            <wp:extent cx="2466975" cy="2119313"/>
            <wp:effectExtent l="19050" t="0" r="9525" b="0"/>
            <wp:docPr id="9" name="Grafik 9">
              <a:extLst xmlns:a="http://schemas.openxmlformats.org/drawingml/2006/main">
                <a:ext uri="{FF2B5EF4-FFF2-40B4-BE49-F238E27FC236}">
                  <a16:creationId xmlns:a16="http://schemas.microsoft.com/office/drawing/2014/main" id="{CBC6B823-9A12-40D6-9822-F736BE274E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63584D">
        <w:rPr>
          <w:rFonts w:ascii="Palatino Linotype" w:hAnsi="Palatino Linotype"/>
          <w:noProof/>
          <w:sz w:val="22"/>
          <w:szCs w:val="22"/>
        </w:rPr>
        <w:drawing>
          <wp:inline distT="0" distB="0" distL="0" distR="0">
            <wp:extent cx="2466975" cy="2119313"/>
            <wp:effectExtent l="19050" t="0" r="9525" b="0"/>
            <wp:docPr id="10" name="Grafik 10">
              <a:extLst xmlns:a="http://schemas.openxmlformats.org/drawingml/2006/main">
                <a:ext uri="{FF2B5EF4-FFF2-40B4-BE49-F238E27FC236}">
                  <a16:creationId xmlns:a16="http://schemas.microsoft.com/office/drawing/2014/main" id="{0B7A5744-F4F4-49D2-8C7F-08D4732F2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6107" w:rsidRPr="0063584D" w:rsidRDefault="00A26107" w:rsidP="00A26107">
      <w:pPr>
        <w:jc w:val="both"/>
        <w:rPr>
          <w:rFonts w:ascii="Palatino Linotype" w:hAnsi="Palatino Linotype" w:cs="Arial"/>
          <w:sz w:val="22"/>
          <w:szCs w:val="22"/>
        </w:rPr>
      </w:pPr>
    </w:p>
    <w:p w:rsidR="00C1238B" w:rsidRPr="0063584D" w:rsidRDefault="00C1238B" w:rsidP="00A26107">
      <w:pPr>
        <w:spacing w:line="276" w:lineRule="auto"/>
        <w:jc w:val="both"/>
        <w:rPr>
          <w:rFonts w:ascii="Palatino Linotype" w:hAnsi="Palatino Linotype" w:cs="Arial"/>
          <w:sz w:val="22"/>
          <w:szCs w:val="22"/>
        </w:rPr>
      </w:pPr>
    </w:p>
    <w:p w:rsidR="0060285C" w:rsidRPr="0063584D" w:rsidRDefault="0060285C" w:rsidP="00A26107">
      <w:pPr>
        <w:spacing w:line="276" w:lineRule="auto"/>
        <w:jc w:val="both"/>
        <w:rPr>
          <w:rFonts w:ascii="Palatino Linotype" w:hAnsi="Palatino Linotype" w:cs="Arial"/>
          <w:sz w:val="22"/>
          <w:szCs w:val="22"/>
        </w:rPr>
      </w:pPr>
    </w:p>
    <w:p w:rsidR="0060285C" w:rsidRPr="0063584D" w:rsidRDefault="0060285C" w:rsidP="00A26107">
      <w:pPr>
        <w:spacing w:line="276" w:lineRule="auto"/>
        <w:jc w:val="both"/>
        <w:rPr>
          <w:rFonts w:ascii="Palatino Linotype" w:hAnsi="Palatino Linotype" w:cs="Arial"/>
          <w:sz w:val="22"/>
          <w:szCs w:val="22"/>
        </w:rPr>
      </w:pPr>
    </w:p>
    <w:p w:rsidR="0060285C" w:rsidRPr="0063584D" w:rsidRDefault="0060285C" w:rsidP="00A26107">
      <w:pPr>
        <w:spacing w:line="276" w:lineRule="auto"/>
        <w:jc w:val="both"/>
        <w:rPr>
          <w:rFonts w:ascii="Palatino Linotype" w:hAnsi="Palatino Linotype" w:cs="Arial"/>
          <w:b/>
          <w:sz w:val="22"/>
          <w:szCs w:val="22"/>
        </w:rPr>
      </w:pPr>
      <w:r w:rsidRPr="0063584D">
        <w:rPr>
          <w:rFonts w:ascii="Palatino Linotype" w:hAnsi="Palatino Linotype" w:cs="Arial"/>
          <w:b/>
          <w:sz w:val="22"/>
          <w:szCs w:val="22"/>
        </w:rPr>
        <w:t>Eski Serilerde Revizyonlar</w:t>
      </w:r>
    </w:p>
    <w:p w:rsidR="0002266F" w:rsidRPr="0063584D" w:rsidRDefault="0002266F" w:rsidP="00A26107">
      <w:pPr>
        <w:spacing w:line="276" w:lineRule="auto"/>
        <w:jc w:val="both"/>
        <w:rPr>
          <w:rFonts w:ascii="Palatino Linotype" w:hAnsi="Palatino Linotype" w:cs="Arial"/>
          <w:sz w:val="22"/>
          <w:szCs w:val="22"/>
        </w:rPr>
      </w:pPr>
    </w:p>
    <w:p w:rsidR="00E00A50" w:rsidRPr="0063584D" w:rsidRDefault="00A26107"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Acaba yeni serilerde görülen bu revizyon hareketliliği, eski serilerde de var mıydı? Bunu anlayabilmek için yeni serili bültenlerin başladığı 2016 yılının 3. çeyreğinden önce yayınlanmış olan 5 bültendeki revizyonlara baktık. 2015</w:t>
      </w:r>
      <w:r w:rsidR="0002266F" w:rsidRPr="0063584D">
        <w:rPr>
          <w:rFonts w:ascii="Palatino Linotype" w:hAnsi="Palatino Linotype" w:cs="Arial"/>
          <w:sz w:val="22"/>
          <w:szCs w:val="22"/>
        </w:rPr>
        <w:t>Ç2</w:t>
      </w:r>
      <w:r w:rsidRPr="0063584D">
        <w:rPr>
          <w:rFonts w:ascii="Palatino Linotype" w:hAnsi="Palatino Linotype" w:cs="Arial"/>
          <w:sz w:val="22"/>
          <w:szCs w:val="22"/>
        </w:rPr>
        <w:t xml:space="preserve"> ile 2016</w:t>
      </w:r>
      <w:r w:rsidR="0002266F" w:rsidRPr="0063584D">
        <w:rPr>
          <w:rFonts w:ascii="Palatino Linotype" w:hAnsi="Palatino Linotype" w:cs="Arial"/>
          <w:sz w:val="22"/>
          <w:szCs w:val="22"/>
        </w:rPr>
        <w:t>Ç2</w:t>
      </w:r>
      <w:r w:rsidRPr="0063584D">
        <w:rPr>
          <w:rFonts w:ascii="Palatino Linotype" w:hAnsi="Palatino Linotype" w:cs="Arial"/>
          <w:sz w:val="22"/>
          <w:szCs w:val="22"/>
        </w:rPr>
        <w:t xml:space="preserve"> arasında yayınlanan </w:t>
      </w:r>
      <w:r w:rsidR="00091CF5" w:rsidRPr="0063584D">
        <w:rPr>
          <w:rFonts w:ascii="Palatino Linotype" w:hAnsi="Palatino Linotype" w:cs="Arial"/>
          <w:sz w:val="22"/>
          <w:szCs w:val="22"/>
        </w:rPr>
        <w:t>beş</w:t>
      </w:r>
      <w:r w:rsidRPr="0063584D">
        <w:rPr>
          <w:rFonts w:ascii="Palatino Linotype" w:hAnsi="Palatino Linotype" w:cs="Arial"/>
          <w:sz w:val="22"/>
          <w:szCs w:val="22"/>
        </w:rPr>
        <w:t xml:space="preserve"> bültende 2012 1. çeyrek büyümesinden 2016 2. çeyrek büyümesine kadar olan bütün büyüme rakamlarını </w:t>
      </w:r>
      <w:r w:rsidR="0002266F" w:rsidRPr="0063584D">
        <w:rPr>
          <w:rFonts w:ascii="Palatino Linotype" w:hAnsi="Palatino Linotype" w:cs="Arial"/>
          <w:sz w:val="22"/>
          <w:szCs w:val="22"/>
        </w:rPr>
        <w:t>ve revizyonları görebiliriz</w:t>
      </w:r>
      <w:r w:rsidRPr="0063584D">
        <w:rPr>
          <w:rFonts w:ascii="Palatino Linotype" w:hAnsi="Palatino Linotype" w:cs="Arial"/>
          <w:sz w:val="22"/>
          <w:szCs w:val="22"/>
        </w:rPr>
        <w:t xml:space="preserve"> (</w:t>
      </w:r>
      <w:r w:rsidR="0002266F" w:rsidRPr="0063584D">
        <w:rPr>
          <w:rFonts w:ascii="Palatino Linotype" w:hAnsi="Palatino Linotype" w:cs="Arial"/>
          <w:sz w:val="22"/>
          <w:szCs w:val="22"/>
        </w:rPr>
        <w:t xml:space="preserve">bkz. </w:t>
      </w:r>
      <w:r w:rsidRPr="0063584D">
        <w:rPr>
          <w:rFonts w:ascii="Palatino Linotype" w:hAnsi="Palatino Linotype" w:cs="Arial"/>
          <w:sz w:val="22"/>
          <w:szCs w:val="22"/>
        </w:rPr>
        <w:t xml:space="preserve">Tablo </w:t>
      </w:r>
      <w:r w:rsidR="00FE37DD" w:rsidRPr="0063584D">
        <w:rPr>
          <w:rFonts w:ascii="Palatino Linotype" w:hAnsi="Palatino Linotype" w:cs="Arial"/>
          <w:sz w:val="22"/>
          <w:szCs w:val="22"/>
        </w:rPr>
        <w:t>2</w:t>
      </w:r>
      <w:r w:rsidRPr="0063584D">
        <w:rPr>
          <w:rFonts w:ascii="Palatino Linotype" w:hAnsi="Palatino Linotype" w:cs="Arial"/>
          <w:sz w:val="22"/>
          <w:szCs w:val="22"/>
        </w:rPr>
        <w:t xml:space="preserve">A: Yıllık ve Tablo </w:t>
      </w:r>
      <w:r w:rsidR="00FE37DD" w:rsidRPr="0063584D">
        <w:rPr>
          <w:rFonts w:ascii="Palatino Linotype" w:hAnsi="Palatino Linotype" w:cs="Arial"/>
          <w:sz w:val="22"/>
          <w:szCs w:val="22"/>
        </w:rPr>
        <w:t>2</w:t>
      </w:r>
      <w:r w:rsidRPr="0063584D">
        <w:rPr>
          <w:rFonts w:ascii="Palatino Linotype" w:hAnsi="Palatino Linotype" w:cs="Arial"/>
          <w:sz w:val="22"/>
          <w:szCs w:val="22"/>
        </w:rPr>
        <w:t>B: Çeyreklik</w:t>
      </w:r>
      <w:r w:rsidR="009260D9" w:rsidRPr="0063584D">
        <w:rPr>
          <w:rFonts w:ascii="Palatino Linotype" w:hAnsi="Palatino Linotype" w:cs="Arial"/>
          <w:sz w:val="22"/>
          <w:szCs w:val="22"/>
        </w:rPr>
        <w:t>; Tablolar 2014’ten başlatılmıştır</w:t>
      </w:r>
      <w:r w:rsidRPr="0063584D">
        <w:rPr>
          <w:rFonts w:ascii="Palatino Linotype" w:hAnsi="Palatino Linotype" w:cs="Arial"/>
          <w:sz w:val="22"/>
          <w:szCs w:val="22"/>
        </w:rPr>
        <w:t>)</w:t>
      </w:r>
      <w:r w:rsidR="0002266F" w:rsidRPr="0063584D">
        <w:rPr>
          <w:rFonts w:ascii="Palatino Linotype" w:hAnsi="Palatino Linotype" w:cs="Arial"/>
          <w:sz w:val="22"/>
          <w:szCs w:val="22"/>
        </w:rPr>
        <w:t>.</w:t>
      </w:r>
      <w:r w:rsidR="00307821" w:rsidRPr="0063584D">
        <w:rPr>
          <w:rFonts w:ascii="Palatino Linotype" w:hAnsi="Palatino Linotype" w:cs="Arial"/>
          <w:sz w:val="22"/>
          <w:szCs w:val="22"/>
        </w:rPr>
        <w:t xml:space="preserve"> Yukarı</w:t>
      </w:r>
      <w:r w:rsidR="009260D9" w:rsidRPr="0063584D">
        <w:rPr>
          <w:rFonts w:ascii="Palatino Linotype" w:hAnsi="Palatino Linotype" w:cs="Arial"/>
          <w:sz w:val="22"/>
          <w:szCs w:val="22"/>
        </w:rPr>
        <w:t>da</w:t>
      </w:r>
      <w:r w:rsidR="00307821" w:rsidRPr="0063584D">
        <w:rPr>
          <w:rFonts w:ascii="Palatino Linotype" w:hAnsi="Palatino Linotype" w:cs="Arial"/>
          <w:sz w:val="22"/>
          <w:szCs w:val="22"/>
        </w:rPr>
        <w:t xml:space="preserve"> yaptığımız gibi a</w:t>
      </w:r>
      <w:r w:rsidRPr="0063584D">
        <w:rPr>
          <w:rFonts w:ascii="Palatino Linotype" w:hAnsi="Palatino Linotype" w:cs="Arial"/>
          <w:sz w:val="22"/>
          <w:szCs w:val="22"/>
        </w:rPr>
        <w:t>ynı büyüme rakamlarına grafik üzerinde</w:t>
      </w:r>
      <w:r w:rsidR="00307821" w:rsidRPr="0063584D">
        <w:rPr>
          <w:rFonts w:ascii="Palatino Linotype" w:hAnsi="Palatino Linotype" w:cs="Arial"/>
          <w:sz w:val="22"/>
          <w:szCs w:val="22"/>
        </w:rPr>
        <w:t>n bakarak</w:t>
      </w:r>
      <w:r w:rsidRPr="0063584D">
        <w:rPr>
          <w:rFonts w:ascii="Palatino Linotype" w:hAnsi="Palatino Linotype" w:cs="Arial"/>
          <w:sz w:val="22"/>
          <w:szCs w:val="22"/>
        </w:rPr>
        <w:t xml:space="preserve"> revizyonların yönü ve büy</w:t>
      </w:r>
      <w:r w:rsidR="00863AC9" w:rsidRPr="0063584D">
        <w:rPr>
          <w:rFonts w:ascii="Palatino Linotype" w:hAnsi="Palatino Linotype" w:cs="Arial"/>
          <w:sz w:val="22"/>
          <w:szCs w:val="22"/>
        </w:rPr>
        <w:t>üklüğünü daha rahat görebiliriz</w:t>
      </w:r>
      <w:r w:rsidRPr="0063584D">
        <w:rPr>
          <w:rFonts w:ascii="Palatino Linotype" w:hAnsi="Palatino Linotype" w:cs="Arial"/>
          <w:sz w:val="22"/>
          <w:szCs w:val="22"/>
        </w:rPr>
        <w:t xml:space="preserve"> (</w:t>
      </w:r>
      <w:r w:rsidR="00863AC9" w:rsidRPr="0063584D">
        <w:rPr>
          <w:rFonts w:ascii="Palatino Linotype" w:hAnsi="Palatino Linotype" w:cs="Arial"/>
          <w:sz w:val="22"/>
          <w:szCs w:val="22"/>
        </w:rPr>
        <w:t xml:space="preserve">bkz. </w:t>
      </w:r>
      <w:r w:rsidRPr="0063584D">
        <w:rPr>
          <w:rFonts w:ascii="Palatino Linotype" w:hAnsi="Palatino Linotype" w:cs="Arial"/>
          <w:sz w:val="22"/>
          <w:szCs w:val="22"/>
        </w:rPr>
        <w:t>Ek Grafik 2A ve Ek Grafik 2B)</w:t>
      </w:r>
      <w:r w:rsidR="00863AC9" w:rsidRPr="0063584D">
        <w:rPr>
          <w:rFonts w:ascii="Palatino Linotype" w:hAnsi="Palatino Linotype" w:cs="Arial"/>
          <w:sz w:val="22"/>
          <w:szCs w:val="22"/>
        </w:rPr>
        <w:t>.</w:t>
      </w:r>
      <w:r w:rsidRPr="0063584D">
        <w:rPr>
          <w:rFonts w:ascii="Palatino Linotype" w:hAnsi="Palatino Linotype" w:cs="Arial"/>
          <w:sz w:val="22"/>
          <w:szCs w:val="22"/>
        </w:rPr>
        <w:t xml:space="preserve"> </w:t>
      </w:r>
    </w:p>
    <w:p w:rsidR="00E00A50" w:rsidRPr="0063584D" w:rsidRDefault="00E00A50" w:rsidP="00A26107">
      <w:pPr>
        <w:spacing w:line="276" w:lineRule="auto"/>
        <w:jc w:val="both"/>
        <w:rPr>
          <w:rFonts w:ascii="Palatino Linotype" w:hAnsi="Palatino Linotype" w:cs="Arial"/>
          <w:sz w:val="22"/>
          <w:szCs w:val="22"/>
        </w:rPr>
      </w:pPr>
    </w:p>
    <w:p w:rsidR="00A26107" w:rsidRPr="0063584D" w:rsidRDefault="00A26107" w:rsidP="00A26107">
      <w:pPr>
        <w:spacing w:line="276" w:lineRule="auto"/>
        <w:jc w:val="both"/>
        <w:rPr>
          <w:rFonts w:ascii="Palatino Linotype" w:hAnsi="Palatino Linotype" w:cs="Arial"/>
          <w:sz w:val="22"/>
          <w:szCs w:val="22"/>
        </w:rPr>
      </w:pPr>
      <w:r w:rsidRPr="0063584D">
        <w:rPr>
          <w:rFonts w:ascii="Palatino Linotype" w:hAnsi="Palatino Linotype" w:cs="Arial"/>
          <w:sz w:val="22"/>
          <w:szCs w:val="22"/>
        </w:rPr>
        <w:t>Açıkça görülüyor ki, eski GSYH serileri ile yapılan büyüme hesaplarında revizyonlar</w:t>
      </w:r>
      <w:r w:rsidR="007C68F9">
        <w:rPr>
          <w:rFonts w:ascii="Palatino Linotype" w:hAnsi="Palatino Linotype" w:cs="Arial"/>
          <w:sz w:val="22"/>
          <w:szCs w:val="22"/>
        </w:rPr>
        <w:t xml:space="preserve"> </w:t>
      </w:r>
      <w:r w:rsidR="00E00A50" w:rsidRPr="0063584D">
        <w:rPr>
          <w:rFonts w:ascii="Palatino Linotype" w:hAnsi="Palatino Linotype" w:cs="Arial"/>
          <w:sz w:val="22"/>
          <w:szCs w:val="22"/>
        </w:rPr>
        <w:t>oldukça sınırlı ve istikrarlı bir görüntü sergilem</w:t>
      </w:r>
      <w:r w:rsidR="009260D9" w:rsidRPr="0063584D">
        <w:rPr>
          <w:rFonts w:ascii="Palatino Linotype" w:hAnsi="Palatino Linotype" w:cs="Arial"/>
          <w:sz w:val="22"/>
          <w:szCs w:val="22"/>
        </w:rPr>
        <w:t>e</w:t>
      </w:r>
      <w:r w:rsidR="00E00A50" w:rsidRPr="0063584D">
        <w:rPr>
          <w:rFonts w:ascii="Palatino Linotype" w:hAnsi="Palatino Linotype" w:cs="Arial"/>
          <w:sz w:val="22"/>
          <w:szCs w:val="22"/>
        </w:rPr>
        <w:t>ktedir</w:t>
      </w:r>
      <w:r w:rsidRPr="0063584D">
        <w:rPr>
          <w:rFonts w:ascii="Palatino Linotype" w:hAnsi="Palatino Linotype" w:cs="Arial"/>
          <w:sz w:val="22"/>
          <w:szCs w:val="22"/>
        </w:rPr>
        <w:t>.</w:t>
      </w:r>
      <w:r w:rsidR="00A31FE0" w:rsidRPr="0063584D">
        <w:rPr>
          <w:rFonts w:ascii="Palatino Linotype" w:hAnsi="Palatino Linotype" w:cs="Arial"/>
          <w:sz w:val="22"/>
          <w:szCs w:val="22"/>
        </w:rPr>
        <w:t xml:space="preserve"> Tablo 1A ve 1B ile Tablo 2A ve 2B kıyaslandığında fark açıkça ortaya çıkmaktadır. Eski serilerde, yıllık büyümeler için ya revizyon yapılmamakta ya da genellikle 0,1 istisnai olarak 0,4 puan kadar revizyon yapılmaktadır. Eski serilerde de çeyreklik büyümeler için daha fazla revizyon yapılmakla birlikte bu revizyonlar çoğunlukla 0,1 veya 0,2 puanla sınırlı kalmaktadır</w:t>
      </w:r>
      <w:r w:rsidR="005A52A7">
        <w:rPr>
          <w:rFonts w:ascii="Palatino Linotype" w:hAnsi="Palatino Linotype" w:cs="Arial"/>
          <w:sz w:val="22"/>
          <w:szCs w:val="22"/>
        </w:rPr>
        <w:t xml:space="preserve"> (</w:t>
      </w:r>
      <w:r w:rsidR="005A52A7" w:rsidRPr="0063584D">
        <w:rPr>
          <w:rFonts w:ascii="Palatino Linotype" w:hAnsi="Palatino Linotype" w:cs="Arial"/>
          <w:sz w:val="22"/>
          <w:szCs w:val="22"/>
        </w:rPr>
        <w:t>istisnai olarak 0,4</w:t>
      </w:r>
      <w:r w:rsidR="005A52A7">
        <w:rPr>
          <w:rFonts w:ascii="Palatino Linotype" w:hAnsi="Palatino Linotype" w:cs="Arial"/>
          <w:sz w:val="22"/>
          <w:szCs w:val="22"/>
        </w:rPr>
        <w:t xml:space="preserve"> veya 0,5)</w:t>
      </w:r>
      <w:r w:rsidR="00A31FE0" w:rsidRPr="0063584D">
        <w:rPr>
          <w:rFonts w:ascii="Palatino Linotype" w:hAnsi="Palatino Linotype" w:cs="Arial"/>
          <w:sz w:val="22"/>
          <w:szCs w:val="22"/>
        </w:rPr>
        <w:t xml:space="preserve">. Oysa yeni serilerde yapılan revizyonlar çok daha sık ve büyük çapta olmaktadır.  Eski serilerde yapılan revizyonlar hem sayıca daha az hem de </w:t>
      </w:r>
      <w:r w:rsidR="00D92EF3" w:rsidRPr="0063584D">
        <w:rPr>
          <w:rFonts w:ascii="Palatino Linotype" w:hAnsi="Palatino Linotype" w:cs="Arial"/>
          <w:sz w:val="22"/>
          <w:szCs w:val="22"/>
        </w:rPr>
        <w:t xml:space="preserve">daha küçüktür. </w:t>
      </w:r>
    </w:p>
    <w:p w:rsidR="00466230" w:rsidRPr="0063584D" w:rsidRDefault="00466230" w:rsidP="00A26107">
      <w:pPr>
        <w:jc w:val="both"/>
        <w:rPr>
          <w:rFonts w:ascii="Palatino Linotype" w:hAnsi="Palatino Linotype" w:cs="Arial"/>
          <w:sz w:val="22"/>
          <w:szCs w:val="22"/>
        </w:rPr>
      </w:pPr>
    </w:p>
    <w:p w:rsidR="00FE37DD" w:rsidRPr="0063584D" w:rsidRDefault="00FE37DD" w:rsidP="00A26107">
      <w:pPr>
        <w:jc w:val="both"/>
        <w:rPr>
          <w:rFonts w:ascii="Palatino Linotype" w:hAnsi="Palatino Linotype" w:cs="Arial"/>
          <w:b/>
          <w:sz w:val="22"/>
          <w:szCs w:val="22"/>
        </w:rPr>
      </w:pPr>
      <w:r w:rsidRPr="0063584D">
        <w:rPr>
          <w:rFonts w:ascii="Palatino Linotype" w:hAnsi="Palatino Linotype" w:cs="Arial"/>
          <w:b/>
          <w:sz w:val="22"/>
          <w:szCs w:val="22"/>
        </w:rPr>
        <w:t>Tablo 2A: Yıllık büyümeleri gösteren rakamların bültenlerdeki değişimi (Eski Seri)</w:t>
      </w:r>
    </w:p>
    <w:tbl>
      <w:tblPr>
        <w:tblW w:w="7768" w:type="dxa"/>
        <w:tblCellMar>
          <w:left w:w="70" w:type="dxa"/>
          <w:right w:w="70" w:type="dxa"/>
        </w:tblCellMar>
        <w:tblLook w:val="04A0" w:firstRow="1" w:lastRow="0" w:firstColumn="1" w:lastColumn="0" w:noHBand="0" w:noVBand="1"/>
      </w:tblPr>
      <w:tblGrid>
        <w:gridCol w:w="926"/>
        <w:gridCol w:w="971"/>
        <w:gridCol w:w="971"/>
        <w:gridCol w:w="971"/>
        <w:gridCol w:w="971"/>
        <w:gridCol w:w="971"/>
        <w:gridCol w:w="972"/>
        <w:gridCol w:w="1015"/>
      </w:tblGrid>
      <w:tr w:rsidR="00FE37DD" w:rsidRPr="0063584D" w:rsidTr="009260D9">
        <w:trPr>
          <w:trHeight w:val="297"/>
        </w:trPr>
        <w:tc>
          <w:tcPr>
            <w:tcW w:w="1897"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Yıllık Değişimler         (Bir önceki yılın aynı çeyreğine göre gerçeklemiş olan büyüme rakamları)</w:t>
            </w:r>
          </w:p>
        </w:tc>
        <w:tc>
          <w:tcPr>
            <w:tcW w:w="4856"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Duyuru Dönemi</w:t>
            </w:r>
          </w:p>
        </w:tc>
        <w:tc>
          <w:tcPr>
            <w:tcW w:w="1015"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Son Açıklanan</w:t>
            </w:r>
          </w:p>
        </w:tc>
      </w:tr>
      <w:tr w:rsidR="00FE37DD" w:rsidRPr="0063584D" w:rsidTr="009260D9">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4856" w:type="dxa"/>
            <w:gridSpan w:val="5"/>
            <w:vMerge/>
            <w:tcBorders>
              <w:top w:val="single" w:sz="8" w:space="0" w:color="auto"/>
              <w:left w:val="single" w:sz="4"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1015" w:type="dxa"/>
            <w:vMerge/>
            <w:tcBorders>
              <w:top w:val="single" w:sz="8" w:space="0" w:color="auto"/>
              <w:left w:val="single" w:sz="4" w:space="0" w:color="auto"/>
              <w:bottom w:val="single" w:sz="4" w:space="0" w:color="000000"/>
              <w:right w:val="single" w:sz="8" w:space="0" w:color="auto"/>
            </w:tcBorders>
            <w:vAlign w:val="center"/>
            <w:hideMark/>
          </w:tcPr>
          <w:p w:rsidR="00FE37DD" w:rsidRPr="0063584D" w:rsidRDefault="00FE37DD" w:rsidP="00FE37DD">
            <w:pPr>
              <w:rPr>
                <w:rFonts w:ascii="Palatino Linotype" w:hAnsi="Palatino Linotype"/>
                <w:color w:val="000000"/>
                <w:sz w:val="18"/>
                <w:szCs w:val="18"/>
              </w:rPr>
            </w:pPr>
          </w:p>
        </w:tc>
      </w:tr>
      <w:tr w:rsidR="00FE37DD" w:rsidRPr="0063584D" w:rsidTr="009260D9">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val="restart"/>
            <w:tcBorders>
              <w:top w:val="nil"/>
              <w:left w:val="single" w:sz="4" w:space="0" w:color="auto"/>
              <w:bottom w:val="single" w:sz="4" w:space="0" w:color="000000"/>
              <w:right w:val="nil"/>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2015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2</w:t>
            </w:r>
          </w:p>
        </w:tc>
        <w:tc>
          <w:tcPr>
            <w:tcW w:w="971" w:type="dxa"/>
            <w:vMerge w:val="restart"/>
            <w:tcBorders>
              <w:top w:val="nil"/>
              <w:left w:val="nil"/>
              <w:bottom w:val="single" w:sz="4" w:space="0" w:color="000000"/>
              <w:right w:val="nil"/>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2015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3</w:t>
            </w:r>
          </w:p>
        </w:tc>
        <w:tc>
          <w:tcPr>
            <w:tcW w:w="971" w:type="dxa"/>
            <w:vMerge w:val="restart"/>
            <w:tcBorders>
              <w:top w:val="nil"/>
              <w:left w:val="nil"/>
              <w:bottom w:val="single" w:sz="4" w:space="0" w:color="000000"/>
              <w:right w:val="nil"/>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2015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4</w:t>
            </w:r>
          </w:p>
        </w:tc>
        <w:tc>
          <w:tcPr>
            <w:tcW w:w="971" w:type="dxa"/>
            <w:vMerge w:val="restart"/>
            <w:tcBorders>
              <w:top w:val="nil"/>
              <w:left w:val="nil"/>
              <w:bottom w:val="single" w:sz="4" w:space="0" w:color="000000"/>
              <w:right w:val="nil"/>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2016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1</w:t>
            </w:r>
          </w:p>
        </w:tc>
        <w:tc>
          <w:tcPr>
            <w:tcW w:w="971" w:type="dxa"/>
            <w:vMerge w:val="restart"/>
            <w:tcBorders>
              <w:top w:val="nil"/>
              <w:left w:val="nil"/>
              <w:bottom w:val="single" w:sz="4"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2016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2</w:t>
            </w:r>
          </w:p>
        </w:tc>
        <w:tc>
          <w:tcPr>
            <w:tcW w:w="1015" w:type="dxa"/>
            <w:vMerge w:val="restart"/>
            <w:tcBorders>
              <w:top w:val="nil"/>
              <w:left w:val="single" w:sz="4" w:space="0" w:color="auto"/>
              <w:bottom w:val="single" w:sz="4" w:space="0" w:color="000000"/>
              <w:right w:val="single" w:sz="8"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xml:space="preserve">2016 </w:t>
            </w:r>
            <w:r w:rsidR="00CB7ABD" w:rsidRPr="0063584D">
              <w:rPr>
                <w:rFonts w:ascii="Palatino Linotype" w:hAnsi="Palatino Linotype"/>
                <w:color w:val="000000"/>
                <w:sz w:val="18"/>
                <w:szCs w:val="18"/>
              </w:rPr>
              <w:t>Ç</w:t>
            </w:r>
            <w:r w:rsidRPr="0063584D">
              <w:rPr>
                <w:rFonts w:ascii="Palatino Linotype" w:hAnsi="Palatino Linotype"/>
                <w:color w:val="000000"/>
                <w:sz w:val="18"/>
                <w:szCs w:val="18"/>
              </w:rPr>
              <w:t>2</w:t>
            </w:r>
          </w:p>
        </w:tc>
      </w:tr>
      <w:tr w:rsidR="00FE37DD" w:rsidRPr="0063584D" w:rsidTr="009260D9">
        <w:trPr>
          <w:trHeight w:val="394"/>
        </w:trPr>
        <w:tc>
          <w:tcPr>
            <w:tcW w:w="1897" w:type="dxa"/>
            <w:gridSpan w:val="2"/>
            <w:vMerge/>
            <w:tcBorders>
              <w:top w:val="single" w:sz="8" w:space="0" w:color="auto"/>
              <w:left w:val="single" w:sz="8" w:space="0" w:color="auto"/>
              <w:bottom w:val="single" w:sz="4" w:space="0" w:color="000000"/>
              <w:right w:val="single" w:sz="4" w:space="0" w:color="000000"/>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tcBorders>
              <w:top w:val="nil"/>
              <w:left w:val="single" w:sz="4" w:space="0" w:color="auto"/>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tcBorders>
              <w:top w:val="nil"/>
              <w:left w:val="nil"/>
              <w:bottom w:val="single" w:sz="4" w:space="0" w:color="000000"/>
              <w:right w:val="nil"/>
            </w:tcBorders>
            <w:vAlign w:val="center"/>
            <w:hideMark/>
          </w:tcPr>
          <w:p w:rsidR="00FE37DD" w:rsidRPr="0063584D" w:rsidRDefault="00FE37DD" w:rsidP="00FE37DD">
            <w:pPr>
              <w:rPr>
                <w:rFonts w:ascii="Palatino Linotype" w:hAnsi="Palatino Linotype"/>
                <w:color w:val="000000"/>
                <w:sz w:val="18"/>
                <w:szCs w:val="18"/>
              </w:rPr>
            </w:pPr>
          </w:p>
        </w:tc>
        <w:tc>
          <w:tcPr>
            <w:tcW w:w="971" w:type="dxa"/>
            <w:vMerge/>
            <w:tcBorders>
              <w:top w:val="nil"/>
              <w:left w:val="nil"/>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1015" w:type="dxa"/>
            <w:vMerge/>
            <w:tcBorders>
              <w:top w:val="nil"/>
              <w:left w:val="single" w:sz="4" w:space="0" w:color="auto"/>
              <w:bottom w:val="single" w:sz="4" w:space="0" w:color="000000"/>
              <w:right w:val="single" w:sz="8" w:space="0" w:color="auto"/>
            </w:tcBorders>
            <w:vAlign w:val="center"/>
            <w:hideMark/>
          </w:tcPr>
          <w:p w:rsidR="00FE37DD" w:rsidRPr="0063584D" w:rsidRDefault="00FE37DD" w:rsidP="00FE37DD">
            <w:pPr>
              <w:rPr>
                <w:rFonts w:ascii="Palatino Linotype" w:hAnsi="Palatino Linotype"/>
                <w:color w:val="000000"/>
                <w:sz w:val="18"/>
                <w:szCs w:val="18"/>
              </w:rPr>
            </w:pPr>
          </w:p>
        </w:tc>
      </w:tr>
      <w:tr w:rsidR="00FE37DD" w:rsidRPr="0063584D" w:rsidTr="009260D9">
        <w:trPr>
          <w:trHeight w:val="258"/>
        </w:trPr>
        <w:tc>
          <w:tcPr>
            <w:tcW w:w="926"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2014</w:t>
            </w: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5.0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5.2</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2.6</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2.5</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1.8</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1.8</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4</w:t>
            </w:r>
          </w:p>
        </w:tc>
        <w:tc>
          <w:tcPr>
            <w:tcW w:w="971" w:type="dxa"/>
            <w:tcBorders>
              <w:top w:val="nil"/>
              <w:left w:val="nil"/>
              <w:bottom w:val="single" w:sz="4" w:space="0" w:color="auto"/>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2.6</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3.0</w:t>
            </w:r>
          </w:p>
        </w:tc>
      </w:tr>
      <w:tr w:rsidR="00FE37DD" w:rsidRPr="0063584D" w:rsidTr="009260D9">
        <w:trPr>
          <w:trHeight w:val="258"/>
        </w:trPr>
        <w:tc>
          <w:tcPr>
            <w:tcW w:w="926" w:type="dxa"/>
            <w:vMerge w:val="restart"/>
            <w:tcBorders>
              <w:top w:val="nil"/>
              <w:left w:val="single" w:sz="8" w:space="0" w:color="auto"/>
              <w:bottom w:val="single" w:sz="4"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2015</w:t>
            </w: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2.6</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2.5</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3.8</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3.7</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3</w:t>
            </w:r>
          </w:p>
        </w:tc>
        <w:tc>
          <w:tcPr>
            <w:tcW w:w="971" w:type="dxa"/>
            <w:tcBorders>
              <w:top w:val="nil"/>
              <w:left w:val="nil"/>
              <w:bottom w:val="nil"/>
              <w:right w:val="nil"/>
            </w:tcBorders>
            <w:shd w:val="clear" w:color="auto" w:fill="auto"/>
            <w:noWrap/>
            <w:vAlign w:val="bottom"/>
            <w:hideMark/>
          </w:tcPr>
          <w:p w:rsidR="00FE37DD" w:rsidRPr="0063584D" w:rsidRDefault="00FE37DD" w:rsidP="00FE37DD">
            <w:pPr>
              <w:jc w:val="center"/>
              <w:rPr>
                <w:rFonts w:ascii="Palatino Linotype" w:hAnsi="Palatino Linotype"/>
                <w:color w:val="000000"/>
                <w:sz w:val="18"/>
                <w:szCs w:val="18"/>
              </w:rPr>
            </w:pPr>
          </w:p>
        </w:tc>
        <w:tc>
          <w:tcPr>
            <w:tcW w:w="971" w:type="dxa"/>
            <w:tcBorders>
              <w:top w:val="nil"/>
              <w:left w:val="nil"/>
              <w:bottom w:val="nil"/>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5.4</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71" w:type="dxa"/>
            <w:tcBorders>
              <w:top w:val="nil"/>
              <w:left w:val="nil"/>
              <w:bottom w:val="nil"/>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nil"/>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4.9</w:t>
            </w:r>
          </w:p>
        </w:tc>
      </w:tr>
      <w:tr w:rsidR="00FE37DD" w:rsidRPr="0063584D" w:rsidTr="009260D9">
        <w:trPr>
          <w:trHeight w:val="258"/>
        </w:trPr>
        <w:tc>
          <w:tcPr>
            <w:tcW w:w="926" w:type="dxa"/>
            <w:vMerge/>
            <w:tcBorders>
              <w:top w:val="nil"/>
              <w:left w:val="single" w:sz="8" w:space="0" w:color="auto"/>
              <w:bottom w:val="single" w:sz="4"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single" w:sz="4" w:space="0" w:color="auto"/>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4</w:t>
            </w:r>
          </w:p>
        </w:tc>
        <w:tc>
          <w:tcPr>
            <w:tcW w:w="971" w:type="dxa"/>
            <w:tcBorders>
              <w:top w:val="nil"/>
              <w:left w:val="nil"/>
              <w:bottom w:val="single" w:sz="4" w:space="0" w:color="auto"/>
              <w:right w:val="nil"/>
            </w:tcBorders>
            <w:shd w:val="clear" w:color="auto" w:fill="auto"/>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4" w:space="0" w:color="auto"/>
              <w:right w:val="nil"/>
            </w:tcBorders>
            <w:shd w:val="clear" w:color="auto" w:fill="auto"/>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4" w:space="0" w:color="auto"/>
              <w:right w:val="nil"/>
            </w:tcBorders>
            <w:shd w:val="clear" w:color="000000" w:fill="FFFF0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4.1</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71" w:type="dxa"/>
            <w:tcBorders>
              <w:top w:val="nil"/>
              <w:left w:val="nil"/>
              <w:bottom w:val="single" w:sz="4" w:space="0" w:color="auto"/>
              <w:right w:val="nil"/>
            </w:tcBorders>
            <w:shd w:val="clear" w:color="000000" w:fill="E7E6E6"/>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15" w:type="dxa"/>
            <w:tcBorders>
              <w:top w:val="nil"/>
              <w:left w:val="single" w:sz="4" w:space="0" w:color="auto"/>
              <w:bottom w:val="single" w:sz="4" w:space="0" w:color="auto"/>
              <w:right w:val="single" w:sz="8" w:space="0" w:color="auto"/>
            </w:tcBorders>
            <w:shd w:val="clear" w:color="000000" w:fill="92D050"/>
            <w:noWrap/>
            <w:vAlign w:val="bottom"/>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4.5</w:t>
            </w:r>
          </w:p>
        </w:tc>
      </w:tr>
      <w:tr w:rsidR="00FE37DD" w:rsidRPr="0063584D" w:rsidTr="009260D9">
        <w:trPr>
          <w:trHeight w:val="258"/>
        </w:trPr>
        <w:tc>
          <w:tcPr>
            <w:tcW w:w="926" w:type="dxa"/>
            <w:vMerge w:val="restart"/>
            <w:tcBorders>
              <w:top w:val="nil"/>
              <w:left w:val="single" w:sz="8" w:space="0" w:color="auto"/>
              <w:bottom w:val="single" w:sz="8" w:space="0" w:color="000000"/>
              <w:right w:val="single" w:sz="4" w:space="0" w:color="auto"/>
            </w:tcBorders>
            <w:shd w:val="clear" w:color="auto" w:fill="auto"/>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2016</w:t>
            </w:r>
          </w:p>
        </w:tc>
        <w:tc>
          <w:tcPr>
            <w:tcW w:w="971" w:type="dxa"/>
            <w:tcBorders>
              <w:top w:val="nil"/>
              <w:left w:val="nil"/>
              <w:bottom w:val="nil"/>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1</w:t>
            </w:r>
          </w:p>
        </w:tc>
        <w:tc>
          <w:tcPr>
            <w:tcW w:w="971"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p>
        </w:tc>
        <w:tc>
          <w:tcPr>
            <w:tcW w:w="971"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sz w:val="18"/>
                <w:szCs w:val="18"/>
              </w:rPr>
            </w:pPr>
          </w:p>
        </w:tc>
        <w:tc>
          <w:tcPr>
            <w:tcW w:w="971" w:type="dxa"/>
            <w:tcBorders>
              <w:top w:val="nil"/>
              <w:left w:val="nil"/>
              <w:bottom w:val="nil"/>
              <w:right w:val="nil"/>
            </w:tcBorders>
            <w:shd w:val="clear" w:color="auto" w:fill="auto"/>
            <w:noWrap/>
            <w:vAlign w:val="center"/>
            <w:hideMark/>
          </w:tcPr>
          <w:p w:rsidR="00FE37DD" w:rsidRPr="0063584D" w:rsidRDefault="00FE37DD" w:rsidP="00FE37DD">
            <w:pPr>
              <w:jc w:val="center"/>
              <w:rPr>
                <w:rFonts w:ascii="Palatino Linotype" w:hAnsi="Palatino Linotype"/>
                <w:sz w:val="18"/>
                <w:szCs w:val="18"/>
              </w:rPr>
            </w:pPr>
          </w:p>
        </w:tc>
        <w:tc>
          <w:tcPr>
            <w:tcW w:w="971" w:type="dxa"/>
            <w:tcBorders>
              <w:top w:val="nil"/>
              <w:left w:val="nil"/>
              <w:bottom w:val="nil"/>
              <w:right w:val="nil"/>
            </w:tcBorders>
            <w:shd w:val="clear" w:color="000000" w:fill="FFFF0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4.5</w:t>
            </w:r>
          </w:p>
        </w:tc>
        <w:tc>
          <w:tcPr>
            <w:tcW w:w="971" w:type="dxa"/>
            <w:tcBorders>
              <w:top w:val="nil"/>
              <w:left w:val="nil"/>
              <w:bottom w:val="nil"/>
              <w:right w:val="nil"/>
            </w:tcBorders>
            <w:shd w:val="clear" w:color="000000" w:fill="E7E6E6"/>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15" w:type="dxa"/>
            <w:tcBorders>
              <w:top w:val="nil"/>
              <w:left w:val="single" w:sz="4" w:space="0" w:color="auto"/>
              <w:bottom w:val="nil"/>
              <w:right w:val="single" w:sz="8" w:space="0" w:color="auto"/>
            </w:tcBorders>
            <w:shd w:val="clear" w:color="000000" w:fill="92D05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4.4</w:t>
            </w:r>
          </w:p>
        </w:tc>
      </w:tr>
      <w:tr w:rsidR="00FE37DD" w:rsidRPr="0063584D" w:rsidTr="009260D9">
        <w:trPr>
          <w:trHeight w:val="271"/>
        </w:trPr>
        <w:tc>
          <w:tcPr>
            <w:tcW w:w="926" w:type="dxa"/>
            <w:vMerge/>
            <w:tcBorders>
              <w:top w:val="nil"/>
              <w:left w:val="single" w:sz="8" w:space="0" w:color="auto"/>
              <w:bottom w:val="single" w:sz="8" w:space="0" w:color="000000"/>
              <w:right w:val="single" w:sz="4" w:space="0" w:color="auto"/>
            </w:tcBorders>
            <w:vAlign w:val="center"/>
            <w:hideMark/>
          </w:tcPr>
          <w:p w:rsidR="00FE37DD" w:rsidRPr="0063584D" w:rsidRDefault="00FE37DD" w:rsidP="00FE37DD">
            <w:pPr>
              <w:rPr>
                <w:rFonts w:ascii="Palatino Linotype" w:hAnsi="Palatino Linotype"/>
                <w:color w:val="000000"/>
                <w:sz w:val="18"/>
                <w:szCs w:val="18"/>
              </w:rPr>
            </w:pPr>
          </w:p>
        </w:tc>
        <w:tc>
          <w:tcPr>
            <w:tcW w:w="971" w:type="dxa"/>
            <w:tcBorders>
              <w:top w:val="nil"/>
              <w:left w:val="nil"/>
              <w:bottom w:val="single" w:sz="8" w:space="0" w:color="auto"/>
              <w:right w:val="single" w:sz="4" w:space="0" w:color="auto"/>
            </w:tcBorders>
            <w:shd w:val="clear" w:color="auto" w:fill="auto"/>
            <w:noWrap/>
            <w:vAlign w:val="bottom"/>
            <w:hideMark/>
          </w:tcPr>
          <w:p w:rsidR="00FE37DD" w:rsidRPr="0063584D" w:rsidRDefault="00CB7AB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FE37DD" w:rsidRPr="0063584D">
              <w:rPr>
                <w:rFonts w:ascii="Palatino Linotype" w:hAnsi="Palatino Linotype"/>
                <w:color w:val="000000"/>
                <w:sz w:val="18"/>
                <w:szCs w:val="18"/>
              </w:rPr>
              <w:t>2</w:t>
            </w:r>
          </w:p>
        </w:tc>
        <w:tc>
          <w:tcPr>
            <w:tcW w:w="971"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8" w:space="0" w:color="auto"/>
              <w:right w:val="nil"/>
            </w:tcBorders>
            <w:shd w:val="clear" w:color="auto" w:fill="auto"/>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1" w:type="dxa"/>
            <w:tcBorders>
              <w:top w:val="nil"/>
              <w:left w:val="nil"/>
              <w:bottom w:val="single" w:sz="8" w:space="0" w:color="auto"/>
              <w:right w:val="nil"/>
            </w:tcBorders>
            <w:shd w:val="clear" w:color="000000" w:fill="FFFF0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3.0</w:t>
            </w:r>
          </w:p>
        </w:tc>
        <w:tc>
          <w:tcPr>
            <w:tcW w:w="1015" w:type="dxa"/>
            <w:tcBorders>
              <w:top w:val="nil"/>
              <w:left w:val="single" w:sz="4" w:space="0" w:color="auto"/>
              <w:bottom w:val="single" w:sz="8" w:space="0" w:color="auto"/>
              <w:right w:val="single" w:sz="8" w:space="0" w:color="auto"/>
            </w:tcBorders>
            <w:shd w:val="clear" w:color="000000" w:fill="92D050"/>
            <w:noWrap/>
            <w:vAlign w:val="center"/>
            <w:hideMark/>
          </w:tcPr>
          <w:p w:rsidR="00FE37DD" w:rsidRPr="0063584D" w:rsidRDefault="00FE37DD" w:rsidP="00FE37DD">
            <w:pPr>
              <w:jc w:val="center"/>
              <w:rPr>
                <w:rFonts w:ascii="Palatino Linotype" w:hAnsi="Palatino Linotype"/>
                <w:color w:val="000000"/>
                <w:sz w:val="18"/>
                <w:szCs w:val="18"/>
              </w:rPr>
            </w:pPr>
            <w:r w:rsidRPr="0063584D">
              <w:rPr>
                <w:rFonts w:ascii="Palatino Linotype" w:hAnsi="Palatino Linotype"/>
                <w:color w:val="000000"/>
                <w:sz w:val="18"/>
                <w:szCs w:val="18"/>
              </w:rPr>
              <w:t>3.0</w:t>
            </w:r>
          </w:p>
        </w:tc>
      </w:tr>
    </w:tbl>
    <w:p w:rsidR="00FE37DD" w:rsidRPr="0063584D" w:rsidRDefault="00FE37DD" w:rsidP="00A26107">
      <w:pPr>
        <w:jc w:val="both"/>
        <w:rPr>
          <w:rFonts w:ascii="Palatino Linotype" w:hAnsi="Palatino Linotype" w:cs="Arial"/>
          <w:sz w:val="22"/>
          <w:szCs w:val="22"/>
        </w:rPr>
      </w:pPr>
    </w:p>
    <w:tbl>
      <w:tblPr>
        <w:tblW w:w="8640" w:type="dxa"/>
        <w:jc w:val="center"/>
        <w:tblCellMar>
          <w:left w:w="70" w:type="dxa"/>
          <w:right w:w="70" w:type="dxa"/>
        </w:tblCellMar>
        <w:tblLook w:val="04A0" w:firstRow="1" w:lastRow="0" w:firstColumn="1" w:lastColumn="0" w:noHBand="0" w:noVBand="1"/>
      </w:tblPr>
      <w:tblGrid>
        <w:gridCol w:w="493"/>
        <w:gridCol w:w="8147"/>
      </w:tblGrid>
      <w:tr w:rsidR="009260D9" w:rsidRPr="0063584D" w:rsidTr="009C339B">
        <w:trPr>
          <w:trHeight w:val="80"/>
          <w:jc w:val="center"/>
        </w:trPr>
        <w:tc>
          <w:tcPr>
            <w:tcW w:w="493" w:type="dxa"/>
            <w:tcBorders>
              <w:top w:val="nil"/>
              <w:left w:val="nil"/>
              <w:bottom w:val="nil"/>
              <w:right w:val="nil"/>
            </w:tcBorders>
            <w:shd w:val="clear" w:color="000000" w:fill="FFFF00"/>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İlk Açıklama (söz konusu bülten dönemindeki en eski rakam)</w:t>
            </w:r>
          </w:p>
        </w:tc>
      </w:tr>
      <w:tr w:rsidR="009260D9" w:rsidRPr="0063584D" w:rsidTr="009C339B">
        <w:trPr>
          <w:trHeight w:val="80"/>
          <w:jc w:val="center"/>
        </w:trPr>
        <w:tc>
          <w:tcPr>
            <w:tcW w:w="493" w:type="dxa"/>
            <w:tcBorders>
              <w:top w:val="nil"/>
              <w:left w:val="nil"/>
              <w:bottom w:val="nil"/>
              <w:right w:val="nil"/>
            </w:tcBorders>
            <w:shd w:val="clear" w:color="000000" w:fill="E7E6E6"/>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Ardışık bültenler arasındaki fark (Yapılan revizyonun yönü ve büyüklüğü)</w:t>
            </w:r>
          </w:p>
        </w:tc>
      </w:tr>
      <w:tr w:rsidR="009260D9" w:rsidRPr="0063584D" w:rsidTr="009C339B">
        <w:trPr>
          <w:trHeight w:val="80"/>
          <w:jc w:val="center"/>
        </w:trPr>
        <w:tc>
          <w:tcPr>
            <w:tcW w:w="493" w:type="dxa"/>
            <w:tcBorders>
              <w:top w:val="nil"/>
              <w:left w:val="nil"/>
              <w:bottom w:val="nil"/>
              <w:right w:val="nil"/>
            </w:tcBorders>
            <w:shd w:val="clear" w:color="000000" w:fill="92D050"/>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Son Açıklama</w:t>
            </w:r>
          </w:p>
        </w:tc>
      </w:tr>
    </w:tbl>
    <w:p w:rsidR="00863AC9" w:rsidRPr="0063584D" w:rsidRDefault="009260D9" w:rsidP="00863AC9">
      <w:pPr>
        <w:spacing w:line="276" w:lineRule="auto"/>
        <w:jc w:val="both"/>
        <w:rPr>
          <w:rFonts w:ascii="Palatino Linotype" w:hAnsi="Palatino Linotype" w:cs="Arial"/>
          <w:sz w:val="18"/>
          <w:szCs w:val="18"/>
        </w:rPr>
      </w:pPr>
      <w:r w:rsidRPr="0063584D">
        <w:rPr>
          <w:rFonts w:ascii="Palatino Linotype" w:hAnsi="Palatino Linotype" w:cs="Arial"/>
          <w:sz w:val="18"/>
          <w:szCs w:val="18"/>
        </w:rPr>
        <w:t xml:space="preserve">Not:Yuvarlamalardan ötürü ilk açıklama artı değişimler tam olarak son açıklanan rakamı vermeyebilir. </w:t>
      </w:r>
    </w:p>
    <w:p w:rsidR="002F72A5" w:rsidRPr="0063584D" w:rsidRDefault="002F72A5" w:rsidP="000A7E66">
      <w:pPr>
        <w:spacing w:line="276" w:lineRule="auto"/>
        <w:jc w:val="both"/>
        <w:rPr>
          <w:rFonts w:ascii="Palatino Linotype" w:hAnsi="Palatino Linotype" w:cs="Arial"/>
          <w:b/>
          <w:sz w:val="22"/>
          <w:szCs w:val="22"/>
        </w:rPr>
      </w:pPr>
    </w:p>
    <w:p w:rsidR="00B8166C" w:rsidRPr="0063584D" w:rsidRDefault="00B8166C" w:rsidP="000A7E66">
      <w:pPr>
        <w:spacing w:line="276" w:lineRule="auto"/>
        <w:jc w:val="both"/>
        <w:rPr>
          <w:rFonts w:ascii="Palatino Linotype" w:hAnsi="Palatino Linotype" w:cs="Arial"/>
          <w:b/>
          <w:sz w:val="22"/>
          <w:szCs w:val="22"/>
        </w:rPr>
      </w:pPr>
    </w:p>
    <w:p w:rsidR="00B8166C" w:rsidRPr="0063584D" w:rsidRDefault="00B8166C" w:rsidP="000A7E66">
      <w:pPr>
        <w:spacing w:line="276" w:lineRule="auto"/>
        <w:jc w:val="both"/>
        <w:rPr>
          <w:rFonts w:ascii="Palatino Linotype" w:hAnsi="Palatino Linotype" w:cs="Arial"/>
          <w:b/>
          <w:sz w:val="22"/>
          <w:szCs w:val="22"/>
        </w:rPr>
      </w:pPr>
    </w:p>
    <w:p w:rsidR="00445656" w:rsidRPr="0063584D" w:rsidRDefault="00445656" w:rsidP="000A7E66">
      <w:pPr>
        <w:spacing w:line="276" w:lineRule="auto"/>
        <w:jc w:val="both"/>
        <w:rPr>
          <w:rFonts w:ascii="Palatino Linotype" w:hAnsi="Palatino Linotype" w:cs="Arial"/>
          <w:b/>
          <w:sz w:val="22"/>
          <w:szCs w:val="22"/>
        </w:rPr>
      </w:pPr>
      <w:r w:rsidRPr="0063584D">
        <w:rPr>
          <w:rFonts w:ascii="Palatino Linotype" w:hAnsi="Palatino Linotype" w:cs="Arial"/>
          <w:b/>
          <w:sz w:val="22"/>
          <w:szCs w:val="22"/>
        </w:rPr>
        <w:t>Tablo 2B: Çeyreklik büyümeleri gösteren rakamların bültenlerdeki değişimi (Eski Seri)</w:t>
      </w:r>
    </w:p>
    <w:tbl>
      <w:tblPr>
        <w:tblW w:w="7828" w:type="dxa"/>
        <w:tblCellMar>
          <w:left w:w="70" w:type="dxa"/>
          <w:right w:w="70" w:type="dxa"/>
        </w:tblCellMar>
        <w:tblLook w:val="04A0" w:firstRow="1" w:lastRow="0" w:firstColumn="1" w:lastColumn="0" w:noHBand="0" w:noVBand="1"/>
      </w:tblPr>
      <w:tblGrid>
        <w:gridCol w:w="933"/>
        <w:gridCol w:w="979"/>
        <w:gridCol w:w="978"/>
        <w:gridCol w:w="978"/>
        <w:gridCol w:w="978"/>
        <w:gridCol w:w="978"/>
        <w:gridCol w:w="981"/>
        <w:gridCol w:w="1023"/>
      </w:tblGrid>
      <w:tr w:rsidR="00445656" w:rsidRPr="0063584D" w:rsidTr="009260D9">
        <w:trPr>
          <w:trHeight w:val="297"/>
        </w:trPr>
        <w:tc>
          <w:tcPr>
            <w:tcW w:w="1912"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45656" w:rsidRPr="0063584D" w:rsidRDefault="005772D1"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Çeyreklik Değişimler       (Bir çeyreğe göre gerçeklemiş olan büyüme rakamları)</w:t>
            </w:r>
          </w:p>
        </w:tc>
        <w:tc>
          <w:tcPr>
            <w:tcW w:w="4893" w:type="dxa"/>
            <w:gridSpan w:val="5"/>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Duyuru Dönemi</w:t>
            </w:r>
          </w:p>
        </w:tc>
        <w:tc>
          <w:tcPr>
            <w:tcW w:w="102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Son Açıklanan</w:t>
            </w:r>
          </w:p>
        </w:tc>
      </w:tr>
      <w:tr w:rsidR="00445656" w:rsidRPr="0063584D" w:rsidTr="009260D9">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4893" w:type="dxa"/>
            <w:gridSpan w:val="5"/>
            <w:vMerge/>
            <w:tcBorders>
              <w:top w:val="single" w:sz="8" w:space="0" w:color="auto"/>
              <w:left w:val="single" w:sz="4"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1023" w:type="dxa"/>
            <w:vMerge/>
            <w:tcBorders>
              <w:top w:val="single" w:sz="8" w:space="0" w:color="auto"/>
              <w:left w:val="single" w:sz="4" w:space="0" w:color="auto"/>
              <w:bottom w:val="single" w:sz="4" w:space="0" w:color="000000"/>
              <w:right w:val="single" w:sz="8" w:space="0" w:color="auto"/>
            </w:tcBorders>
            <w:vAlign w:val="center"/>
            <w:hideMark/>
          </w:tcPr>
          <w:p w:rsidR="00445656" w:rsidRPr="0063584D" w:rsidRDefault="00445656" w:rsidP="00445656">
            <w:pPr>
              <w:rPr>
                <w:rFonts w:ascii="Palatino Linotype" w:hAnsi="Palatino Linotype"/>
                <w:color w:val="000000"/>
                <w:sz w:val="18"/>
                <w:szCs w:val="18"/>
              </w:rPr>
            </w:pPr>
          </w:p>
        </w:tc>
      </w:tr>
      <w:tr w:rsidR="00445656" w:rsidRPr="0063584D" w:rsidTr="009260D9">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val="restart"/>
            <w:tcBorders>
              <w:top w:val="nil"/>
              <w:left w:val="single" w:sz="4" w:space="0" w:color="auto"/>
              <w:bottom w:val="single" w:sz="4" w:space="0" w:color="000000"/>
              <w:right w:val="nil"/>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2015</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78" w:type="dxa"/>
            <w:vMerge w:val="restart"/>
            <w:tcBorders>
              <w:top w:val="nil"/>
              <w:left w:val="nil"/>
              <w:bottom w:val="single" w:sz="4" w:space="0" w:color="000000"/>
              <w:right w:val="nil"/>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2015</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78" w:type="dxa"/>
            <w:vMerge w:val="restart"/>
            <w:tcBorders>
              <w:top w:val="nil"/>
              <w:left w:val="nil"/>
              <w:bottom w:val="single" w:sz="4" w:space="0" w:color="000000"/>
              <w:right w:val="nil"/>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2015</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78" w:type="dxa"/>
            <w:vMerge w:val="restart"/>
            <w:tcBorders>
              <w:top w:val="nil"/>
              <w:left w:val="nil"/>
              <w:bottom w:val="single" w:sz="4" w:space="0" w:color="000000"/>
              <w:right w:val="nil"/>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78" w:type="dxa"/>
            <w:vMerge w:val="restart"/>
            <w:tcBorders>
              <w:top w:val="nil"/>
              <w:left w:val="nil"/>
              <w:bottom w:val="single" w:sz="4" w:space="0" w:color="000000"/>
              <w:right w:val="single" w:sz="4" w:space="0" w:color="auto"/>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1023" w:type="dxa"/>
            <w:vMerge w:val="restart"/>
            <w:tcBorders>
              <w:top w:val="nil"/>
              <w:left w:val="single" w:sz="4" w:space="0" w:color="auto"/>
              <w:bottom w:val="single" w:sz="4" w:space="0" w:color="000000"/>
              <w:right w:val="single" w:sz="8" w:space="0" w:color="auto"/>
            </w:tcBorders>
            <w:shd w:val="clear" w:color="auto" w:fill="auto"/>
            <w:vAlign w:val="center"/>
            <w:hideMark/>
          </w:tcPr>
          <w:p w:rsidR="00445656" w:rsidRPr="0063584D" w:rsidRDefault="002F72A5"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r w:rsidR="00CB7ABD"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r>
      <w:tr w:rsidR="00445656" w:rsidRPr="0063584D" w:rsidTr="009260D9">
        <w:trPr>
          <w:trHeight w:val="425"/>
        </w:trPr>
        <w:tc>
          <w:tcPr>
            <w:tcW w:w="1912" w:type="dxa"/>
            <w:gridSpan w:val="2"/>
            <w:vMerge/>
            <w:tcBorders>
              <w:top w:val="single" w:sz="8" w:space="0" w:color="auto"/>
              <w:left w:val="single" w:sz="8" w:space="0" w:color="auto"/>
              <w:bottom w:val="single" w:sz="4" w:space="0" w:color="000000"/>
              <w:right w:val="single" w:sz="4" w:space="0" w:color="000000"/>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tcBorders>
              <w:top w:val="nil"/>
              <w:left w:val="single" w:sz="4" w:space="0" w:color="auto"/>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tcBorders>
              <w:top w:val="nil"/>
              <w:left w:val="nil"/>
              <w:bottom w:val="single" w:sz="4" w:space="0" w:color="000000"/>
              <w:right w:val="nil"/>
            </w:tcBorders>
            <w:vAlign w:val="center"/>
            <w:hideMark/>
          </w:tcPr>
          <w:p w:rsidR="00445656" w:rsidRPr="0063584D" w:rsidRDefault="00445656" w:rsidP="00445656">
            <w:pPr>
              <w:rPr>
                <w:rFonts w:ascii="Palatino Linotype" w:hAnsi="Palatino Linotype"/>
                <w:color w:val="000000"/>
                <w:sz w:val="18"/>
                <w:szCs w:val="18"/>
              </w:rPr>
            </w:pPr>
          </w:p>
        </w:tc>
        <w:tc>
          <w:tcPr>
            <w:tcW w:w="978" w:type="dxa"/>
            <w:vMerge/>
            <w:tcBorders>
              <w:top w:val="nil"/>
              <w:left w:val="nil"/>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1023" w:type="dxa"/>
            <w:vMerge/>
            <w:tcBorders>
              <w:top w:val="nil"/>
              <w:left w:val="single" w:sz="4" w:space="0" w:color="auto"/>
              <w:bottom w:val="single" w:sz="4" w:space="0" w:color="000000"/>
              <w:right w:val="single" w:sz="8" w:space="0" w:color="auto"/>
            </w:tcBorders>
            <w:vAlign w:val="center"/>
            <w:hideMark/>
          </w:tcPr>
          <w:p w:rsidR="00445656" w:rsidRPr="0063584D" w:rsidRDefault="00445656" w:rsidP="00445656">
            <w:pPr>
              <w:rPr>
                <w:rFonts w:ascii="Palatino Linotype" w:hAnsi="Palatino Linotype"/>
                <w:color w:val="000000"/>
                <w:sz w:val="18"/>
                <w:szCs w:val="18"/>
              </w:rPr>
            </w:pPr>
          </w:p>
        </w:tc>
      </w:tr>
      <w:tr w:rsidR="00445656" w:rsidRPr="0063584D" w:rsidTr="009260D9">
        <w:trPr>
          <w:trHeight w:val="278"/>
        </w:trPr>
        <w:tc>
          <w:tcPr>
            <w:tcW w:w="933"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2014</w:t>
            </w: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1.5</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1.6</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single" w:sz="4"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78" w:type="dxa"/>
            <w:tcBorders>
              <w:top w:val="nil"/>
              <w:left w:val="nil"/>
              <w:bottom w:val="single" w:sz="4" w:space="0" w:color="auto"/>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1.0</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1023"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1.2</w:t>
            </w:r>
          </w:p>
        </w:tc>
      </w:tr>
      <w:tr w:rsidR="00445656" w:rsidRPr="0063584D" w:rsidTr="009260D9">
        <w:trPr>
          <w:trHeight w:val="278"/>
        </w:trPr>
        <w:tc>
          <w:tcPr>
            <w:tcW w:w="933" w:type="dxa"/>
            <w:vMerge w:val="restart"/>
            <w:tcBorders>
              <w:top w:val="nil"/>
              <w:left w:val="single" w:sz="8" w:space="0" w:color="auto"/>
              <w:bottom w:val="single" w:sz="4"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2015</w:t>
            </w: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1.5</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-0.4</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1.1</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1.3</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0.0</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1.4</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3</w:t>
            </w:r>
          </w:p>
        </w:tc>
        <w:tc>
          <w:tcPr>
            <w:tcW w:w="978" w:type="dxa"/>
            <w:tcBorders>
              <w:top w:val="nil"/>
              <w:left w:val="nil"/>
              <w:bottom w:val="nil"/>
              <w:right w:val="nil"/>
            </w:tcBorders>
            <w:shd w:val="clear" w:color="auto" w:fill="auto"/>
            <w:noWrap/>
            <w:vAlign w:val="bottom"/>
            <w:hideMark/>
          </w:tcPr>
          <w:p w:rsidR="00445656" w:rsidRPr="0063584D" w:rsidRDefault="00445656" w:rsidP="00445656">
            <w:pPr>
              <w:jc w:val="center"/>
              <w:rPr>
                <w:rFonts w:ascii="Palatino Linotype" w:hAnsi="Palatino Linotype"/>
                <w:color w:val="000000"/>
                <w:sz w:val="18"/>
                <w:szCs w:val="18"/>
              </w:rPr>
            </w:pPr>
          </w:p>
        </w:tc>
        <w:tc>
          <w:tcPr>
            <w:tcW w:w="978" w:type="dxa"/>
            <w:tcBorders>
              <w:top w:val="nil"/>
              <w:left w:val="nil"/>
              <w:bottom w:val="nil"/>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1.3</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978" w:type="dxa"/>
            <w:tcBorders>
              <w:top w:val="nil"/>
              <w:left w:val="nil"/>
              <w:bottom w:val="nil"/>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3" w:type="dxa"/>
            <w:tcBorders>
              <w:top w:val="nil"/>
              <w:left w:val="single" w:sz="4" w:space="0" w:color="auto"/>
              <w:bottom w:val="nil"/>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1.0</w:t>
            </w:r>
          </w:p>
        </w:tc>
      </w:tr>
      <w:tr w:rsidR="00445656" w:rsidRPr="0063584D" w:rsidTr="009260D9">
        <w:trPr>
          <w:trHeight w:val="278"/>
        </w:trPr>
        <w:tc>
          <w:tcPr>
            <w:tcW w:w="933" w:type="dxa"/>
            <w:vMerge/>
            <w:tcBorders>
              <w:top w:val="nil"/>
              <w:left w:val="single" w:sz="8" w:space="0" w:color="auto"/>
              <w:bottom w:val="single" w:sz="4"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single" w:sz="4"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4</w:t>
            </w:r>
          </w:p>
        </w:tc>
        <w:tc>
          <w:tcPr>
            <w:tcW w:w="978" w:type="dxa"/>
            <w:tcBorders>
              <w:top w:val="nil"/>
              <w:left w:val="nil"/>
              <w:bottom w:val="single" w:sz="4" w:space="0" w:color="auto"/>
              <w:right w:val="nil"/>
            </w:tcBorders>
            <w:shd w:val="clear" w:color="auto" w:fill="auto"/>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4" w:space="0" w:color="auto"/>
              <w:right w:val="nil"/>
            </w:tcBorders>
            <w:shd w:val="clear" w:color="auto" w:fill="auto"/>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4" w:space="0" w:color="auto"/>
              <w:right w:val="nil"/>
            </w:tcBorders>
            <w:shd w:val="clear" w:color="000000" w:fill="FFFF0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0.7</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0.5</w:t>
            </w:r>
          </w:p>
        </w:tc>
        <w:tc>
          <w:tcPr>
            <w:tcW w:w="978" w:type="dxa"/>
            <w:tcBorders>
              <w:top w:val="nil"/>
              <w:left w:val="nil"/>
              <w:bottom w:val="single" w:sz="4" w:space="0" w:color="auto"/>
              <w:right w:val="nil"/>
            </w:tcBorders>
            <w:shd w:val="clear" w:color="000000" w:fill="E7E6E6"/>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-0.1</w:t>
            </w:r>
          </w:p>
        </w:tc>
        <w:tc>
          <w:tcPr>
            <w:tcW w:w="1023" w:type="dxa"/>
            <w:tcBorders>
              <w:top w:val="nil"/>
              <w:left w:val="single" w:sz="4" w:space="0" w:color="auto"/>
              <w:bottom w:val="single" w:sz="4" w:space="0" w:color="auto"/>
              <w:right w:val="single" w:sz="8" w:space="0" w:color="auto"/>
            </w:tcBorders>
            <w:shd w:val="clear" w:color="000000" w:fill="92D050"/>
            <w:noWrap/>
            <w:vAlign w:val="bottom"/>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1.1</w:t>
            </w:r>
          </w:p>
        </w:tc>
      </w:tr>
      <w:tr w:rsidR="00445656" w:rsidRPr="0063584D" w:rsidTr="009260D9">
        <w:trPr>
          <w:trHeight w:val="278"/>
        </w:trPr>
        <w:tc>
          <w:tcPr>
            <w:tcW w:w="933" w:type="dxa"/>
            <w:vMerge w:val="restart"/>
            <w:tcBorders>
              <w:top w:val="nil"/>
              <w:left w:val="single" w:sz="8" w:space="0" w:color="auto"/>
              <w:bottom w:val="single" w:sz="8" w:space="0" w:color="000000"/>
              <w:right w:val="single" w:sz="4" w:space="0" w:color="auto"/>
            </w:tcBorders>
            <w:shd w:val="clear" w:color="auto" w:fill="auto"/>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2016</w:t>
            </w:r>
          </w:p>
        </w:tc>
        <w:tc>
          <w:tcPr>
            <w:tcW w:w="978" w:type="dxa"/>
            <w:tcBorders>
              <w:top w:val="nil"/>
              <w:left w:val="nil"/>
              <w:bottom w:val="nil"/>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1</w:t>
            </w:r>
          </w:p>
        </w:tc>
        <w:tc>
          <w:tcPr>
            <w:tcW w:w="978"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p>
        </w:tc>
        <w:tc>
          <w:tcPr>
            <w:tcW w:w="978"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sz w:val="18"/>
                <w:szCs w:val="18"/>
              </w:rPr>
            </w:pPr>
          </w:p>
        </w:tc>
        <w:tc>
          <w:tcPr>
            <w:tcW w:w="978" w:type="dxa"/>
            <w:tcBorders>
              <w:top w:val="nil"/>
              <w:left w:val="nil"/>
              <w:bottom w:val="nil"/>
              <w:right w:val="nil"/>
            </w:tcBorders>
            <w:shd w:val="clear" w:color="auto" w:fill="auto"/>
            <w:noWrap/>
            <w:vAlign w:val="center"/>
            <w:hideMark/>
          </w:tcPr>
          <w:p w:rsidR="00445656" w:rsidRPr="0063584D" w:rsidRDefault="00445656" w:rsidP="00445656">
            <w:pPr>
              <w:jc w:val="center"/>
              <w:rPr>
                <w:rFonts w:ascii="Palatino Linotype" w:hAnsi="Palatino Linotype"/>
                <w:sz w:val="18"/>
                <w:szCs w:val="18"/>
              </w:rPr>
            </w:pPr>
          </w:p>
        </w:tc>
        <w:tc>
          <w:tcPr>
            <w:tcW w:w="978" w:type="dxa"/>
            <w:tcBorders>
              <w:top w:val="nil"/>
              <w:left w:val="nil"/>
              <w:bottom w:val="nil"/>
              <w:right w:val="nil"/>
            </w:tcBorders>
            <w:shd w:val="clear" w:color="000000" w:fill="FFFF0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0.8</w:t>
            </w:r>
          </w:p>
        </w:tc>
        <w:tc>
          <w:tcPr>
            <w:tcW w:w="978" w:type="dxa"/>
            <w:tcBorders>
              <w:top w:val="nil"/>
              <w:left w:val="nil"/>
              <w:bottom w:val="nil"/>
              <w:right w:val="nil"/>
            </w:tcBorders>
            <w:shd w:val="clear" w:color="000000" w:fill="E7E6E6"/>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-0.2</w:t>
            </w:r>
          </w:p>
        </w:tc>
        <w:tc>
          <w:tcPr>
            <w:tcW w:w="1023" w:type="dxa"/>
            <w:tcBorders>
              <w:top w:val="nil"/>
              <w:left w:val="single" w:sz="4" w:space="0" w:color="auto"/>
              <w:bottom w:val="nil"/>
              <w:right w:val="single" w:sz="8" w:space="0" w:color="auto"/>
            </w:tcBorders>
            <w:shd w:val="clear" w:color="000000" w:fill="92D05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0.7</w:t>
            </w:r>
          </w:p>
        </w:tc>
      </w:tr>
      <w:tr w:rsidR="00445656" w:rsidRPr="0063584D" w:rsidTr="009260D9">
        <w:trPr>
          <w:trHeight w:val="292"/>
        </w:trPr>
        <w:tc>
          <w:tcPr>
            <w:tcW w:w="933" w:type="dxa"/>
            <w:vMerge/>
            <w:tcBorders>
              <w:top w:val="nil"/>
              <w:left w:val="single" w:sz="8" w:space="0" w:color="auto"/>
              <w:bottom w:val="single" w:sz="8" w:space="0" w:color="000000"/>
              <w:right w:val="single" w:sz="4" w:space="0" w:color="auto"/>
            </w:tcBorders>
            <w:vAlign w:val="center"/>
            <w:hideMark/>
          </w:tcPr>
          <w:p w:rsidR="00445656" w:rsidRPr="0063584D" w:rsidRDefault="00445656" w:rsidP="00445656">
            <w:pPr>
              <w:rPr>
                <w:rFonts w:ascii="Palatino Linotype" w:hAnsi="Palatino Linotype"/>
                <w:color w:val="000000"/>
                <w:sz w:val="18"/>
                <w:szCs w:val="18"/>
              </w:rPr>
            </w:pPr>
          </w:p>
        </w:tc>
        <w:tc>
          <w:tcPr>
            <w:tcW w:w="978" w:type="dxa"/>
            <w:tcBorders>
              <w:top w:val="nil"/>
              <w:left w:val="nil"/>
              <w:bottom w:val="single" w:sz="8" w:space="0" w:color="auto"/>
              <w:right w:val="single" w:sz="4" w:space="0" w:color="auto"/>
            </w:tcBorders>
            <w:shd w:val="clear" w:color="auto" w:fill="auto"/>
            <w:noWrap/>
            <w:vAlign w:val="bottom"/>
            <w:hideMark/>
          </w:tcPr>
          <w:p w:rsidR="00445656" w:rsidRPr="0063584D" w:rsidRDefault="00CB7ABD" w:rsidP="00445656">
            <w:pPr>
              <w:jc w:val="center"/>
              <w:rPr>
                <w:rFonts w:ascii="Palatino Linotype" w:hAnsi="Palatino Linotype"/>
                <w:color w:val="000000"/>
                <w:sz w:val="18"/>
                <w:szCs w:val="18"/>
              </w:rPr>
            </w:pPr>
            <w:r w:rsidRPr="0063584D">
              <w:rPr>
                <w:rFonts w:ascii="Palatino Linotype" w:hAnsi="Palatino Linotype"/>
                <w:color w:val="000000"/>
                <w:sz w:val="18"/>
                <w:szCs w:val="18"/>
              </w:rPr>
              <w:t>Ç</w:t>
            </w:r>
            <w:r w:rsidR="00445656" w:rsidRPr="0063584D">
              <w:rPr>
                <w:rFonts w:ascii="Palatino Linotype" w:hAnsi="Palatino Linotype"/>
                <w:color w:val="000000"/>
                <w:sz w:val="18"/>
                <w:szCs w:val="18"/>
              </w:rPr>
              <w:t>2</w:t>
            </w:r>
          </w:p>
        </w:tc>
        <w:tc>
          <w:tcPr>
            <w:tcW w:w="978"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8" w:space="0" w:color="auto"/>
              <w:right w:val="nil"/>
            </w:tcBorders>
            <w:shd w:val="clear" w:color="auto" w:fill="auto"/>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 </w:t>
            </w:r>
          </w:p>
        </w:tc>
        <w:tc>
          <w:tcPr>
            <w:tcW w:w="978" w:type="dxa"/>
            <w:tcBorders>
              <w:top w:val="nil"/>
              <w:left w:val="nil"/>
              <w:bottom w:val="single" w:sz="8" w:space="0" w:color="auto"/>
              <w:right w:val="nil"/>
            </w:tcBorders>
            <w:shd w:val="clear" w:color="000000" w:fill="FFFF0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c>
          <w:tcPr>
            <w:tcW w:w="1023" w:type="dxa"/>
            <w:tcBorders>
              <w:top w:val="nil"/>
              <w:left w:val="single" w:sz="4" w:space="0" w:color="auto"/>
              <w:bottom w:val="single" w:sz="8" w:space="0" w:color="auto"/>
              <w:right w:val="single" w:sz="8" w:space="0" w:color="auto"/>
            </w:tcBorders>
            <w:shd w:val="clear" w:color="000000" w:fill="92D050"/>
            <w:noWrap/>
            <w:vAlign w:val="center"/>
            <w:hideMark/>
          </w:tcPr>
          <w:p w:rsidR="00445656" w:rsidRPr="0063584D" w:rsidRDefault="00445656" w:rsidP="00445656">
            <w:pPr>
              <w:jc w:val="center"/>
              <w:rPr>
                <w:rFonts w:ascii="Palatino Linotype" w:hAnsi="Palatino Linotype"/>
                <w:color w:val="000000"/>
                <w:sz w:val="18"/>
                <w:szCs w:val="18"/>
              </w:rPr>
            </w:pPr>
            <w:r w:rsidRPr="0063584D">
              <w:rPr>
                <w:rFonts w:ascii="Palatino Linotype" w:hAnsi="Palatino Linotype"/>
                <w:color w:val="000000"/>
                <w:sz w:val="18"/>
                <w:szCs w:val="18"/>
              </w:rPr>
              <w:t>0.3</w:t>
            </w:r>
          </w:p>
        </w:tc>
      </w:tr>
    </w:tbl>
    <w:p w:rsidR="00445656" w:rsidRPr="0063584D" w:rsidRDefault="00445656" w:rsidP="00A26107">
      <w:pPr>
        <w:jc w:val="both"/>
        <w:rPr>
          <w:rFonts w:ascii="Palatino Linotype" w:hAnsi="Palatino Linotype" w:cs="Arial"/>
          <w:sz w:val="22"/>
          <w:szCs w:val="22"/>
        </w:rPr>
      </w:pPr>
    </w:p>
    <w:tbl>
      <w:tblPr>
        <w:tblW w:w="8640" w:type="dxa"/>
        <w:jc w:val="center"/>
        <w:tblCellMar>
          <w:left w:w="70" w:type="dxa"/>
          <w:right w:w="70" w:type="dxa"/>
        </w:tblCellMar>
        <w:tblLook w:val="04A0" w:firstRow="1" w:lastRow="0" w:firstColumn="1" w:lastColumn="0" w:noHBand="0" w:noVBand="1"/>
      </w:tblPr>
      <w:tblGrid>
        <w:gridCol w:w="493"/>
        <w:gridCol w:w="8147"/>
      </w:tblGrid>
      <w:tr w:rsidR="009260D9" w:rsidRPr="0063584D" w:rsidTr="009C339B">
        <w:trPr>
          <w:trHeight w:val="80"/>
          <w:jc w:val="center"/>
        </w:trPr>
        <w:tc>
          <w:tcPr>
            <w:tcW w:w="493" w:type="dxa"/>
            <w:tcBorders>
              <w:top w:val="nil"/>
              <w:left w:val="nil"/>
              <w:bottom w:val="nil"/>
              <w:right w:val="nil"/>
            </w:tcBorders>
            <w:shd w:val="clear" w:color="000000" w:fill="FFFF00"/>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İlk Açıklama (söz konusu bülten dönemindeki en eski rakam)</w:t>
            </w:r>
          </w:p>
        </w:tc>
      </w:tr>
      <w:tr w:rsidR="009260D9" w:rsidRPr="0063584D" w:rsidTr="009C339B">
        <w:trPr>
          <w:trHeight w:val="80"/>
          <w:jc w:val="center"/>
        </w:trPr>
        <w:tc>
          <w:tcPr>
            <w:tcW w:w="493" w:type="dxa"/>
            <w:tcBorders>
              <w:top w:val="nil"/>
              <w:left w:val="nil"/>
              <w:bottom w:val="nil"/>
              <w:right w:val="nil"/>
            </w:tcBorders>
            <w:shd w:val="clear" w:color="000000" w:fill="E7E6E6"/>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Ardışık bültenler arasındaki fark (Yapılan revizyonun yönü ve büyüklüğü)</w:t>
            </w:r>
          </w:p>
        </w:tc>
      </w:tr>
      <w:tr w:rsidR="009260D9" w:rsidRPr="0063584D" w:rsidTr="009C339B">
        <w:trPr>
          <w:trHeight w:val="80"/>
          <w:jc w:val="center"/>
        </w:trPr>
        <w:tc>
          <w:tcPr>
            <w:tcW w:w="493" w:type="dxa"/>
            <w:tcBorders>
              <w:top w:val="nil"/>
              <w:left w:val="nil"/>
              <w:bottom w:val="nil"/>
              <w:right w:val="nil"/>
            </w:tcBorders>
            <w:shd w:val="clear" w:color="000000" w:fill="92D050"/>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 </w:t>
            </w:r>
          </w:p>
        </w:tc>
        <w:tc>
          <w:tcPr>
            <w:tcW w:w="8147" w:type="dxa"/>
            <w:tcBorders>
              <w:top w:val="nil"/>
              <w:left w:val="nil"/>
              <w:bottom w:val="nil"/>
              <w:right w:val="nil"/>
            </w:tcBorders>
            <w:shd w:val="clear" w:color="auto" w:fill="auto"/>
            <w:noWrap/>
            <w:vAlign w:val="bottom"/>
            <w:hideMark/>
          </w:tcPr>
          <w:p w:rsidR="009260D9" w:rsidRPr="0063584D" w:rsidRDefault="009260D9" w:rsidP="009C339B">
            <w:pPr>
              <w:spacing w:line="276" w:lineRule="auto"/>
              <w:jc w:val="both"/>
              <w:rPr>
                <w:rFonts w:ascii="Palatino Linotype" w:hAnsi="Palatino Linotype" w:cs="Arial"/>
                <w:color w:val="000000"/>
                <w:sz w:val="18"/>
                <w:szCs w:val="18"/>
              </w:rPr>
            </w:pPr>
            <w:r w:rsidRPr="0063584D">
              <w:rPr>
                <w:rFonts w:ascii="Palatino Linotype" w:hAnsi="Palatino Linotype" w:cs="Arial"/>
                <w:color w:val="000000"/>
                <w:sz w:val="18"/>
                <w:szCs w:val="18"/>
              </w:rPr>
              <w:t>Son Açıklama</w:t>
            </w:r>
          </w:p>
        </w:tc>
      </w:tr>
    </w:tbl>
    <w:p w:rsidR="009260D9" w:rsidRPr="0063584D" w:rsidRDefault="009260D9" w:rsidP="009260D9">
      <w:pPr>
        <w:spacing w:line="276" w:lineRule="auto"/>
        <w:jc w:val="both"/>
        <w:rPr>
          <w:rFonts w:ascii="Palatino Linotype" w:hAnsi="Palatino Linotype" w:cs="Arial"/>
          <w:sz w:val="18"/>
          <w:szCs w:val="18"/>
        </w:rPr>
      </w:pPr>
      <w:r w:rsidRPr="0063584D">
        <w:rPr>
          <w:rFonts w:ascii="Palatino Linotype" w:hAnsi="Palatino Linotype" w:cs="Arial"/>
          <w:sz w:val="18"/>
          <w:szCs w:val="18"/>
        </w:rPr>
        <w:t xml:space="preserve">Not:Yuvarlamalardan ötürü ilk açıklama artı değişimler tam olarak son açıklanan rakamı vermeyebilir. </w:t>
      </w:r>
    </w:p>
    <w:p w:rsidR="00307821" w:rsidRPr="0063584D" w:rsidRDefault="00307821" w:rsidP="004D4D2E">
      <w:pPr>
        <w:spacing w:line="276" w:lineRule="auto"/>
        <w:jc w:val="both"/>
        <w:rPr>
          <w:rFonts w:ascii="Palatino Linotype" w:hAnsi="Palatino Linotype" w:cs="Arial"/>
          <w:sz w:val="22"/>
          <w:szCs w:val="22"/>
        </w:rPr>
      </w:pPr>
    </w:p>
    <w:p w:rsidR="00AB2FCE" w:rsidRPr="0063584D" w:rsidRDefault="00B8166C" w:rsidP="004D4D2E">
      <w:pPr>
        <w:spacing w:line="276" w:lineRule="auto"/>
        <w:jc w:val="both"/>
        <w:rPr>
          <w:rFonts w:ascii="Palatino Linotype" w:hAnsi="Palatino Linotype" w:cs="Arial"/>
          <w:b/>
          <w:i/>
          <w:sz w:val="22"/>
          <w:szCs w:val="22"/>
        </w:rPr>
      </w:pPr>
      <w:r w:rsidRPr="0063584D">
        <w:rPr>
          <w:rFonts w:ascii="Palatino Linotype" w:hAnsi="Palatino Linotype" w:cs="Arial"/>
          <w:b/>
          <w:sz w:val="22"/>
          <w:szCs w:val="22"/>
        </w:rPr>
        <w:t xml:space="preserve">Almanya ve Fransa Örnekleri </w:t>
      </w:r>
    </w:p>
    <w:p w:rsidR="00AB2FCE" w:rsidRPr="0063584D" w:rsidRDefault="00AB2FCE" w:rsidP="004D4D2E">
      <w:pPr>
        <w:spacing w:line="276" w:lineRule="auto"/>
        <w:jc w:val="both"/>
        <w:rPr>
          <w:rFonts w:ascii="Palatino Linotype" w:hAnsi="Palatino Linotype" w:cs="Arial"/>
          <w:b/>
          <w:sz w:val="22"/>
          <w:szCs w:val="22"/>
        </w:rPr>
      </w:pPr>
    </w:p>
    <w:p w:rsidR="00AB2FCE" w:rsidRPr="0063584D" w:rsidRDefault="00000CCF" w:rsidP="004D4D2E">
      <w:pPr>
        <w:spacing w:line="276" w:lineRule="auto"/>
        <w:jc w:val="both"/>
        <w:rPr>
          <w:rFonts w:ascii="Palatino Linotype" w:hAnsi="Palatino Linotype" w:cs="Arial"/>
          <w:sz w:val="22"/>
          <w:szCs w:val="22"/>
        </w:rPr>
      </w:pPr>
      <w:r w:rsidRPr="0063584D">
        <w:rPr>
          <w:rFonts w:ascii="Palatino Linotype" w:hAnsi="Palatino Linotype" w:cs="Arial"/>
          <w:sz w:val="22"/>
          <w:szCs w:val="22"/>
        </w:rPr>
        <w:t xml:space="preserve">TÜİK tarafından büyüme hesaplarında yapılan bu revizyonların benzerlerine acaba gelişmiş ve kurumsal ekonomiye sahip ülkelerin resmi istatistik enstitülerinde rastlanıyor mu? Yukarıda incelediğimiz 2016 3.çeyrek ve 2017 3.çeyrek arasındaki </w:t>
      </w:r>
      <w:r w:rsidR="009260D9" w:rsidRPr="0063584D">
        <w:rPr>
          <w:rFonts w:ascii="Palatino Linotype" w:hAnsi="Palatino Linotype" w:cs="Arial"/>
          <w:sz w:val="22"/>
          <w:szCs w:val="22"/>
        </w:rPr>
        <w:t>beş</w:t>
      </w:r>
      <w:r w:rsidRPr="0063584D">
        <w:rPr>
          <w:rFonts w:ascii="Palatino Linotype" w:hAnsi="Palatino Linotype" w:cs="Arial"/>
          <w:sz w:val="22"/>
          <w:szCs w:val="22"/>
        </w:rPr>
        <w:t xml:space="preserve"> dönem için Almanya </w:t>
      </w:r>
      <w:r w:rsidR="00E00A50" w:rsidRPr="0063584D">
        <w:rPr>
          <w:rFonts w:ascii="Palatino Linotype" w:hAnsi="Palatino Linotype" w:cs="Arial"/>
          <w:sz w:val="22"/>
          <w:szCs w:val="22"/>
        </w:rPr>
        <w:t xml:space="preserve">ve Fransa </w:t>
      </w:r>
      <w:r w:rsidRPr="0063584D">
        <w:rPr>
          <w:rFonts w:ascii="Palatino Linotype" w:hAnsi="Palatino Linotype" w:cs="Arial"/>
          <w:sz w:val="22"/>
          <w:szCs w:val="22"/>
        </w:rPr>
        <w:t>resmi istatistik enstitü</w:t>
      </w:r>
      <w:r w:rsidR="009260D9" w:rsidRPr="0063584D">
        <w:rPr>
          <w:rFonts w:ascii="Palatino Linotype" w:hAnsi="Palatino Linotype" w:cs="Arial"/>
          <w:sz w:val="22"/>
          <w:szCs w:val="22"/>
        </w:rPr>
        <w:t>lerini</w:t>
      </w:r>
      <w:r w:rsidRPr="0063584D">
        <w:rPr>
          <w:rFonts w:ascii="Palatino Linotype" w:hAnsi="Palatino Linotype" w:cs="Arial"/>
          <w:sz w:val="22"/>
          <w:szCs w:val="22"/>
        </w:rPr>
        <w:t>n büyüme rakamlarında yaptığı revizyonlara baktık.</w:t>
      </w:r>
      <w:r w:rsidR="00EC2E23" w:rsidRPr="0063584D">
        <w:rPr>
          <w:rStyle w:val="DipnotBavurusu"/>
          <w:rFonts w:ascii="Palatino Linotype" w:hAnsi="Palatino Linotype" w:cs="Arial"/>
          <w:sz w:val="22"/>
          <w:szCs w:val="22"/>
        </w:rPr>
        <w:footnoteReference w:id="4"/>
      </w:r>
      <w:r w:rsidR="00EC2E23" w:rsidRPr="0063584D">
        <w:rPr>
          <w:rFonts w:ascii="Palatino Linotype" w:hAnsi="Palatino Linotype" w:cs="Arial"/>
          <w:sz w:val="22"/>
          <w:szCs w:val="22"/>
        </w:rPr>
        <w:t xml:space="preserve"> </w:t>
      </w:r>
      <w:r w:rsidRPr="0063584D">
        <w:rPr>
          <w:rFonts w:ascii="Palatino Linotype" w:hAnsi="Palatino Linotype" w:cs="Arial"/>
          <w:sz w:val="22"/>
          <w:szCs w:val="22"/>
        </w:rPr>
        <w:t xml:space="preserve">Yukarıda belirttiğimiz gibi bu bültenlerde TÜİK’in ardışık iki dönem için hem çok büyük hem de zıt yönlü yaptığı revizyonlar vardı. </w:t>
      </w:r>
      <w:r w:rsidR="00EC2E23" w:rsidRPr="0063584D">
        <w:rPr>
          <w:rFonts w:ascii="Palatino Linotype" w:hAnsi="Palatino Linotype" w:cs="Arial"/>
          <w:sz w:val="22"/>
          <w:szCs w:val="22"/>
        </w:rPr>
        <w:t xml:space="preserve">Yapılan bir revizyon daha sonra yapılan revizyonlarla geçersiz hale getirilebiliyordu. </w:t>
      </w:r>
      <w:r w:rsidRPr="0063584D">
        <w:rPr>
          <w:rFonts w:ascii="Palatino Linotype" w:hAnsi="Palatino Linotype" w:cs="Arial"/>
          <w:sz w:val="22"/>
          <w:szCs w:val="22"/>
        </w:rPr>
        <w:t xml:space="preserve">Almanya örneğinde </w:t>
      </w:r>
      <w:r w:rsidR="002E70AA">
        <w:rPr>
          <w:rFonts w:ascii="Palatino Linotype" w:hAnsi="Palatino Linotype" w:cs="Arial"/>
          <w:sz w:val="22"/>
          <w:szCs w:val="22"/>
        </w:rPr>
        <w:t xml:space="preserve">yıllık büyüme rakamlarını sunan </w:t>
      </w:r>
      <w:r w:rsidRPr="0063584D">
        <w:rPr>
          <w:rFonts w:ascii="Palatino Linotype" w:hAnsi="Palatino Linotype" w:cs="Arial"/>
          <w:sz w:val="22"/>
          <w:szCs w:val="22"/>
        </w:rPr>
        <w:t>bültenlerde ardışık iki bülten arasında yapılan en büyük revizyon 0,3 puan olarak göz</w:t>
      </w:r>
      <w:r w:rsidR="00E00A50" w:rsidRPr="0063584D">
        <w:rPr>
          <w:rFonts w:ascii="Palatino Linotype" w:hAnsi="Palatino Linotype" w:cs="Arial"/>
          <w:sz w:val="22"/>
          <w:szCs w:val="22"/>
        </w:rPr>
        <w:t>e</w:t>
      </w:r>
      <w:r w:rsidRPr="0063584D">
        <w:rPr>
          <w:rFonts w:ascii="Palatino Linotype" w:hAnsi="Palatino Linotype" w:cs="Arial"/>
          <w:sz w:val="22"/>
          <w:szCs w:val="22"/>
        </w:rPr>
        <w:t xml:space="preserve"> çarpmaktadır. Üstelik</w:t>
      </w:r>
      <w:r w:rsidR="00EC2E23" w:rsidRPr="0063584D">
        <w:rPr>
          <w:rFonts w:ascii="Palatino Linotype" w:hAnsi="Palatino Linotype" w:cs="Arial"/>
          <w:sz w:val="22"/>
          <w:szCs w:val="22"/>
        </w:rPr>
        <w:t>,</w:t>
      </w:r>
      <w:r w:rsidRPr="0063584D">
        <w:rPr>
          <w:rFonts w:ascii="Palatino Linotype" w:hAnsi="Palatino Linotype" w:cs="Arial"/>
          <w:sz w:val="22"/>
          <w:szCs w:val="22"/>
        </w:rPr>
        <w:t xml:space="preserve"> ardışık iki dönem için zıt yönlü hiçbir revizyon bulunmamaktadır</w:t>
      </w:r>
      <w:r w:rsidR="00EC2E23" w:rsidRPr="0063584D">
        <w:rPr>
          <w:rFonts w:ascii="Palatino Linotype" w:hAnsi="Palatino Linotype" w:cs="Arial"/>
          <w:sz w:val="22"/>
          <w:szCs w:val="22"/>
        </w:rPr>
        <w:t xml:space="preserve"> </w:t>
      </w:r>
      <w:r w:rsidRPr="0063584D">
        <w:rPr>
          <w:rFonts w:ascii="Palatino Linotype" w:hAnsi="Palatino Linotype" w:cs="Arial"/>
          <w:sz w:val="22"/>
          <w:szCs w:val="22"/>
        </w:rPr>
        <w:t>(Ek Grafik 3A).</w:t>
      </w:r>
      <w:r w:rsidR="009068EE" w:rsidRPr="0063584D">
        <w:rPr>
          <w:rFonts w:ascii="Palatino Linotype" w:hAnsi="Palatino Linotype" w:cs="Arial"/>
          <w:sz w:val="22"/>
          <w:szCs w:val="22"/>
        </w:rPr>
        <w:t xml:space="preserve"> Benzer şekilde yine aynı dönem için Fransa resmi istatistik enstitüsünün çeyreklik büyüme hesaplarında yaptığı revizyonlar</w:t>
      </w:r>
      <w:r w:rsidR="00927C2F" w:rsidRPr="0063584D">
        <w:rPr>
          <w:rFonts w:ascii="Palatino Linotype" w:hAnsi="Palatino Linotype" w:cs="Arial"/>
          <w:sz w:val="22"/>
          <w:szCs w:val="22"/>
        </w:rPr>
        <w:t>ın</w:t>
      </w:r>
      <w:r w:rsidR="009068EE" w:rsidRPr="0063584D">
        <w:rPr>
          <w:rFonts w:ascii="Palatino Linotype" w:hAnsi="Palatino Linotype" w:cs="Arial"/>
          <w:sz w:val="22"/>
          <w:szCs w:val="22"/>
        </w:rPr>
        <w:t xml:space="preserve"> TÜİK’in yaptıklarından </w:t>
      </w:r>
      <w:r w:rsidR="00927C2F" w:rsidRPr="0063584D">
        <w:rPr>
          <w:rFonts w:ascii="Palatino Linotype" w:hAnsi="Palatino Linotype" w:cs="Arial"/>
          <w:sz w:val="22"/>
          <w:szCs w:val="22"/>
        </w:rPr>
        <w:t xml:space="preserve">çok </w:t>
      </w:r>
      <w:r w:rsidR="009068EE" w:rsidRPr="0063584D">
        <w:rPr>
          <w:rFonts w:ascii="Palatino Linotype" w:hAnsi="Palatino Linotype" w:cs="Arial"/>
          <w:sz w:val="22"/>
          <w:szCs w:val="22"/>
        </w:rPr>
        <w:t xml:space="preserve">daha </w:t>
      </w:r>
      <w:r w:rsidR="00927C2F" w:rsidRPr="0063584D">
        <w:rPr>
          <w:rFonts w:ascii="Palatino Linotype" w:hAnsi="Palatino Linotype" w:cs="Arial"/>
          <w:sz w:val="22"/>
          <w:szCs w:val="22"/>
        </w:rPr>
        <w:t>sınırlı</w:t>
      </w:r>
      <w:r w:rsidR="009068EE" w:rsidRPr="0063584D">
        <w:rPr>
          <w:rFonts w:ascii="Palatino Linotype" w:hAnsi="Palatino Linotype" w:cs="Arial"/>
          <w:sz w:val="22"/>
          <w:szCs w:val="22"/>
        </w:rPr>
        <w:t xml:space="preserve"> ve daha az oynak olduğu net şekilde görül</w:t>
      </w:r>
      <w:r w:rsidR="00927C2F" w:rsidRPr="0063584D">
        <w:rPr>
          <w:rFonts w:ascii="Palatino Linotype" w:hAnsi="Palatino Linotype" w:cs="Arial"/>
          <w:sz w:val="22"/>
          <w:szCs w:val="22"/>
        </w:rPr>
        <w:t>mektedir</w:t>
      </w:r>
      <w:r w:rsidR="009068EE" w:rsidRPr="0063584D">
        <w:rPr>
          <w:rFonts w:ascii="Palatino Linotype" w:hAnsi="Palatino Linotype" w:cs="Arial"/>
          <w:sz w:val="22"/>
          <w:szCs w:val="22"/>
        </w:rPr>
        <w:t xml:space="preserve"> (Ek Grafik 3B).</w:t>
      </w:r>
    </w:p>
    <w:p w:rsidR="00AB2FCE" w:rsidRPr="0063584D" w:rsidRDefault="00AB2FCE" w:rsidP="004D4D2E">
      <w:pPr>
        <w:spacing w:line="276" w:lineRule="auto"/>
        <w:jc w:val="both"/>
        <w:rPr>
          <w:rFonts w:ascii="Palatino Linotype" w:hAnsi="Palatino Linotype" w:cs="Arial"/>
          <w:b/>
          <w:sz w:val="22"/>
          <w:szCs w:val="22"/>
        </w:rPr>
      </w:pPr>
    </w:p>
    <w:p w:rsidR="00445656" w:rsidRPr="0063584D" w:rsidRDefault="00307821" w:rsidP="004D4D2E">
      <w:pPr>
        <w:spacing w:line="276" w:lineRule="auto"/>
        <w:jc w:val="both"/>
        <w:rPr>
          <w:rFonts w:ascii="Palatino Linotype" w:hAnsi="Palatino Linotype" w:cs="Arial"/>
          <w:b/>
          <w:sz w:val="22"/>
          <w:szCs w:val="22"/>
        </w:rPr>
      </w:pPr>
      <w:r w:rsidRPr="0063584D">
        <w:rPr>
          <w:rFonts w:ascii="Palatino Linotype" w:hAnsi="Palatino Linotype" w:cs="Arial"/>
          <w:b/>
          <w:sz w:val="22"/>
          <w:szCs w:val="22"/>
        </w:rPr>
        <w:t>Sonuç</w:t>
      </w:r>
    </w:p>
    <w:p w:rsidR="00307821" w:rsidRPr="0063584D" w:rsidRDefault="00307821" w:rsidP="004D4D2E">
      <w:pPr>
        <w:spacing w:line="276" w:lineRule="auto"/>
        <w:jc w:val="both"/>
        <w:rPr>
          <w:rFonts w:ascii="Palatino Linotype" w:hAnsi="Palatino Linotype" w:cs="Arial"/>
          <w:sz w:val="22"/>
          <w:szCs w:val="22"/>
        </w:rPr>
      </w:pPr>
    </w:p>
    <w:p w:rsidR="005914BE" w:rsidRPr="0013024E" w:rsidRDefault="00445656" w:rsidP="004D4D2E">
      <w:pPr>
        <w:spacing w:line="276" w:lineRule="auto"/>
        <w:jc w:val="both"/>
        <w:rPr>
          <w:rFonts w:ascii="Palatino Linotype" w:hAnsi="Palatino Linotype" w:cs="Arial"/>
          <w:sz w:val="22"/>
          <w:szCs w:val="22"/>
        </w:rPr>
      </w:pPr>
      <w:r w:rsidRPr="0063584D">
        <w:rPr>
          <w:rFonts w:ascii="Palatino Linotype" w:hAnsi="Palatino Linotype" w:cs="Arial"/>
          <w:sz w:val="22"/>
          <w:szCs w:val="22"/>
        </w:rPr>
        <w:t>Büyüme rakamlarında revizyonlar yeni açıklanan veriler veya bazı düzeltmeler sebebiyle olabilir.</w:t>
      </w:r>
      <w:r w:rsidR="0063584D">
        <w:rPr>
          <w:rFonts w:ascii="Palatino Linotype" w:hAnsi="Palatino Linotype" w:cs="Arial"/>
          <w:sz w:val="22"/>
          <w:szCs w:val="22"/>
        </w:rPr>
        <w:t xml:space="preserve"> Mantıken, geçmiş döneme ait ve daha önce bilmediğimiz bir takım yeni bilgilerin </w:t>
      </w:r>
      <w:r w:rsidR="0063584D">
        <w:rPr>
          <w:rFonts w:ascii="Palatino Linotype" w:hAnsi="Palatino Linotype" w:cs="Arial"/>
          <w:sz w:val="22"/>
          <w:szCs w:val="22"/>
        </w:rPr>
        <w:lastRenderedPageBreak/>
        <w:t xml:space="preserve">öğrenilmesi ile revizyon ihtiyacı doğabilir. Bu, birden fazla kez de tekrarlanabilir. Ancak gelen yeni bilgiler bir öncekinin tam tersini söylüyor ve bu durum neredeyse bir süreklilik halini </w:t>
      </w:r>
      <w:r w:rsidR="0063584D" w:rsidRPr="001B61CE">
        <w:rPr>
          <w:rFonts w:ascii="Palatino Linotype" w:hAnsi="Palatino Linotype" w:cs="Arial"/>
          <w:sz w:val="22"/>
          <w:szCs w:val="22"/>
        </w:rPr>
        <w:t>alıyorsa</w:t>
      </w:r>
      <w:r w:rsidR="00E90297" w:rsidRPr="001B61CE">
        <w:rPr>
          <w:rFonts w:ascii="Palatino Linotype" w:hAnsi="Palatino Linotype" w:cs="Arial"/>
          <w:sz w:val="22"/>
          <w:szCs w:val="22"/>
        </w:rPr>
        <w:t xml:space="preserve"> </w:t>
      </w:r>
      <w:r w:rsidR="0013024E" w:rsidRPr="001B61CE">
        <w:rPr>
          <w:rFonts w:ascii="Palatino Linotype" w:hAnsi="Palatino Linotype" w:cs="Arial"/>
          <w:sz w:val="22"/>
          <w:szCs w:val="22"/>
        </w:rPr>
        <w:t xml:space="preserve">rakamların inandırıcılığı zedelenir. </w:t>
      </w:r>
      <w:r w:rsidR="0063584D" w:rsidRPr="001B61CE">
        <w:rPr>
          <w:rFonts w:ascii="Palatino Linotype" w:hAnsi="Palatino Linotype" w:cs="Arial"/>
          <w:sz w:val="22"/>
          <w:szCs w:val="22"/>
        </w:rPr>
        <w:t xml:space="preserve"> </w:t>
      </w:r>
      <w:r w:rsidR="0013024E" w:rsidRPr="001B61CE">
        <w:rPr>
          <w:rFonts w:ascii="Palatino Linotype" w:hAnsi="Palatino Linotype" w:cs="Arial"/>
          <w:sz w:val="22"/>
          <w:szCs w:val="22"/>
        </w:rPr>
        <w:t>Büyüme r</w:t>
      </w:r>
      <w:r w:rsidR="00533E8C" w:rsidRPr="001B61CE">
        <w:rPr>
          <w:rFonts w:ascii="Palatino Linotype" w:hAnsi="Palatino Linotype" w:cs="Arial"/>
          <w:sz w:val="22"/>
          <w:szCs w:val="22"/>
        </w:rPr>
        <w:t>evizyon</w:t>
      </w:r>
      <w:r w:rsidR="0013024E" w:rsidRPr="001B61CE">
        <w:rPr>
          <w:rFonts w:ascii="Palatino Linotype" w:hAnsi="Palatino Linotype" w:cs="Arial"/>
          <w:sz w:val="22"/>
          <w:szCs w:val="22"/>
        </w:rPr>
        <w:t>larının</w:t>
      </w:r>
      <w:r w:rsidR="00533E8C" w:rsidRPr="001B61CE">
        <w:rPr>
          <w:rFonts w:ascii="Palatino Linotype" w:hAnsi="Palatino Linotype" w:cs="Arial"/>
          <w:sz w:val="22"/>
          <w:szCs w:val="22"/>
        </w:rPr>
        <w:t xml:space="preserve"> sıklığı ve çapı </w:t>
      </w:r>
      <w:r w:rsidR="0013024E" w:rsidRPr="001B61CE">
        <w:rPr>
          <w:rFonts w:ascii="Palatino Linotype" w:hAnsi="Palatino Linotype" w:cs="Arial"/>
          <w:sz w:val="22"/>
          <w:szCs w:val="22"/>
        </w:rPr>
        <w:t>bu</w:t>
      </w:r>
      <w:r w:rsidR="00533E8C" w:rsidRPr="001B61CE">
        <w:rPr>
          <w:rFonts w:ascii="Palatino Linotype" w:hAnsi="Palatino Linotype" w:cs="Arial"/>
          <w:sz w:val="22"/>
          <w:szCs w:val="22"/>
        </w:rPr>
        <w:t xml:space="preserve"> şekilde devam ederse </w:t>
      </w:r>
      <w:r w:rsidR="0013024E" w:rsidRPr="001B61CE">
        <w:rPr>
          <w:rFonts w:ascii="Palatino Linotype" w:hAnsi="Palatino Linotype" w:cs="Arial"/>
          <w:sz w:val="22"/>
          <w:szCs w:val="22"/>
        </w:rPr>
        <w:t>“</w:t>
      </w:r>
      <w:r w:rsidR="00533E8C" w:rsidRPr="001B61CE">
        <w:rPr>
          <w:rFonts w:ascii="Palatino Linotype" w:hAnsi="Palatino Linotype" w:cs="Arial"/>
          <w:sz w:val="22"/>
          <w:szCs w:val="22"/>
        </w:rPr>
        <w:t>gelecek dönemler aşağı veya yukarı (belki de her ikisi) revize edilecek"</w:t>
      </w:r>
      <w:r w:rsidR="007A0E96" w:rsidRPr="001B61CE">
        <w:rPr>
          <w:rFonts w:ascii="Palatino Linotype" w:hAnsi="Palatino Linotype" w:cs="Arial"/>
          <w:sz w:val="22"/>
          <w:szCs w:val="22"/>
        </w:rPr>
        <w:t>, algısı yerleşmeye başlar</w:t>
      </w:r>
      <w:r w:rsidR="00533E8C" w:rsidRPr="001B61CE">
        <w:rPr>
          <w:rFonts w:ascii="Palatino Linotype" w:hAnsi="Palatino Linotype" w:cs="Arial"/>
          <w:sz w:val="22"/>
          <w:szCs w:val="22"/>
        </w:rPr>
        <w:t>. Bir istatistik kurumu için bu algının yerleşmesi herhalde</w:t>
      </w:r>
      <w:r w:rsidR="0013024E" w:rsidRPr="001B61CE">
        <w:rPr>
          <w:rFonts w:ascii="Palatino Linotype" w:hAnsi="Palatino Linotype" w:cs="Arial"/>
          <w:sz w:val="22"/>
          <w:szCs w:val="22"/>
        </w:rPr>
        <w:t xml:space="preserve"> hiç </w:t>
      </w:r>
      <w:r w:rsidR="001B61CE" w:rsidRPr="001B61CE">
        <w:rPr>
          <w:rFonts w:ascii="Palatino Linotype" w:hAnsi="Palatino Linotype" w:cs="Arial"/>
          <w:sz w:val="22"/>
          <w:szCs w:val="22"/>
        </w:rPr>
        <w:t>arzulanmayan</w:t>
      </w:r>
      <w:r w:rsidR="0013024E" w:rsidRPr="001B61CE">
        <w:rPr>
          <w:rFonts w:ascii="Palatino Linotype" w:hAnsi="Palatino Linotype" w:cs="Arial"/>
          <w:sz w:val="22"/>
          <w:szCs w:val="22"/>
        </w:rPr>
        <w:t xml:space="preserve"> bir durumdur.</w:t>
      </w:r>
    </w:p>
    <w:p w:rsidR="00533E8C" w:rsidRDefault="00533E8C" w:rsidP="004D4D2E">
      <w:pPr>
        <w:spacing w:line="276" w:lineRule="auto"/>
        <w:jc w:val="both"/>
        <w:rPr>
          <w:rFonts w:ascii="Palatino Linotype" w:hAnsi="Palatino Linotype" w:cs="Arial"/>
          <w:sz w:val="22"/>
          <w:szCs w:val="22"/>
        </w:rPr>
      </w:pPr>
      <w:r>
        <w:rPr>
          <w:rFonts w:ascii="Palatino Linotype" w:hAnsi="Palatino Linotype" w:cs="Arial"/>
          <w:sz w:val="22"/>
          <w:szCs w:val="22"/>
        </w:rPr>
        <w:t xml:space="preserve"> </w:t>
      </w:r>
    </w:p>
    <w:p w:rsidR="00445656" w:rsidRPr="0063584D" w:rsidRDefault="00445656" w:rsidP="004D4D2E">
      <w:pPr>
        <w:spacing w:line="276" w:lineRule="auto"/>
        <w:jc w:val="both"/>
        <w:rPr>
          <w:rFonts w:ascii="Palatino Linotype" w:hAnsi="Palatino Linotype" w:cs="Arial"/>
          <w:sz w:val="22"/>
          <w:szCs w:val="22"/>
        </w:rPr>
      </w:pPr>
      <w:r w:rsidRPr="0063584D">
        <w:rPr>
          <w:rFonts w:ascii="Palatino Linotype" w:hAnsi="Palatino Linotype" w:cs="Arial"/>
          <w:sz w:val="22"/>
          <w:szCs w:val="22"/>
        </w:rPr>
        <w:t>TÜİK</w:t>
      </w:r>
      <w:r w:rsidR="00C8067B">
        <w:rPr>
          <w:rFonts w:ascii="Palatino Linotype" w:hAnsi="Palatino Linotype" w:cs="Arial"/>
          <w:sz w:val="22"/>
          <w:szCs w:val="22"/>
        </w:rPr>
        <w:t>'in</w:t>
      </w:r>
      <w:r w:rsidRPr="0063584D">
        <w:rPr>
          <w:rFonts w:ascii="Palatino Linotype" w:hAnsi="Palatino Linotype" w:cs="Arial"/>
          <w:sz w:val="22"/>
          <w:szCs w:val="22"/>
        </w:rPr>
        <w:t xml:space="preserve"> </w:t>
      </w:r>
      <w:r w:rsidR="00C8067B">
        <w:rPr>
          <w:rFonts w:ascii="Palatino Linotype" w:hAnsi="Palatino Linotype" w:cs="Arial"/>
          <w:sz w:val="22"/>
          <w:szCs w:val="22"/>
        </w:rPr>
        <w:t xml:space="preserve">büyüme rakamlarında yaptığı </w:t>
      </w:r>
      <w:r w:rsidR="00927C2F" w:rsidRPr="0063584D">
        <w:rPr>
          <w:rFonts w:ascii="Palatino Linotype" w:hAnsi="Palatino Linotype" w:cs="Arial"/>
          <w:sz w:val="22"/>
          <w:szCs w:val="22"/>
        </w:rPr>
        <w:t xml:space="preserve">yüksek hacimli ve </w:t>
      </w:r>
      <w:r w:rsidR="00815D2F" w:rsidRPr="0063584D">
        <w:rPr>
          <w:rFonts w:ascii="Palatino Linotype" w:hAnsi="Palatino Linotype" w:cs="Arial"/>
          <w:sz w:val="22"/>
          <w:szCs w:val="22"/>
        </w:rPr>
        <w:t xml:space="preserve">bir öncekini geçersiz kılan </w:t>
      </w:r>
      <w:r w:rsidR="00927C2F" w:rsidRPr="0063584D">
        <w:rPr>
          <w:rFonts w:ascii="Palatino Linotype" w:hAnsi="Palatino Linotype" w:cs="Arial"/>
          <w:sz w:val="22"/>
          <w:szCs w:val="22"/>
        </w:rPr>
        <w:t>revizyonlar</w:t>
      </w:r>
      <w:r w:rsidR="00533E8C">
        <w:rPr>
          <w:rFonts w:ascii="Palatino Linotype" w:hAnsi="Palatino Linotype" w:cs="Arial"/>
          <w:sz w:val="22"/>
          <w:szCs w:val="22"/>
        </w:rPr>
        <w:t xml:space="preserve"> </w:t>
      </w:r>
      <w:r w:rsidRPr="0063584D">
        <w:rPr>
          <w:rFonts w:ascii="Palatino Linotype" w:hAnsi="Palatino Linotype" w:cs="Arial"/>
          <w:sz w:val="22"/>
          <w:szCs w:val="22"/>
        </w:rPr>
        <w:t>bu hesaplara bağlı</w:t>
      </w:r>
      <w:r w:rsidR="00927C2F" w:rsidRPr="0063584D">
        <w:rPr>
          <w:rFonts w:ascii="Palatino Linotype" w:hAnsi="Palatino Linotype" w:cs="Arial"/>
          <w:sz w:val="22"/>
          <w:szCs w:val="22"/>
        </w:rPr>
        <w:t xml:space="preserve"> analizleri </w:t>
      </w:r>
      <w:r w:rsidR="009260D9" w:rsidRPr="0063584D">
        <w:rPr>
          <w:rFonts w:ascii="Palatino Linotype" w:hAnsi="Palatino Linotype" w:cs="Arial"/>
          <w:sz w:val="22"/>
          <w:szCs w:val="22"/>
        </w:rPr>
        <w:t>ve tahminleri</w:t>
      </w:r>
      <w:r w:rsidR="00533E8C">
        <w:rPr>
          <w:rFonts w:ascii="Palatino Linotype" w:hAnsi="Palatino Linotype" w:cs="Arial"/>
          <w:sz w:val="22"/>
          <w:szCs w:val="22"/>
        </w:rPr>
        <w:t xml:space="preserve"> </w:t>
      </w:r>
      <w:r w:rsidR="009260D9" w:rsidRPr="0063584D">
        <w:rPr>
          <w:rFonts w:ascii="Palatino Linotype" w:hAnsi="Palatino Linotype" w:cs="Arial"/>
          <w:sz w:val="22"/>
          <w:szCs w:val="22"/>
        </w:rPr>
        <w:t>de güçleştirmektedir.</w:t>
      </w:r>
      <w:r w:rsidRPr="0063584D">
        <w:rPr>
          <w:rFonts w:ascii="Palatino Linotype" w:hAnsi="Palatino Linotype" w:cs="Arial"/>
          <w:sz w:val="22"/>
          <w:szCs w:val="22"/>
        </w:rPr>
        <w:t xml:space="preserve"> </w:t>
      </w:r>
      <w:r w:rsidR="00533E8C">
        <w:rPr>
          <w:rFonts w:ascii="Palatino Linotype" w:hAnsi="Palatino Linotype" w:cs="Arial"/>
          <w:sz w:val="22"/>
          <w:szCs w:val="22"/>
        </w:rPr>
        <w:t xml:space="preserve">Hem büyüme rakamlarına olan inandırıcılığı korumak hem de büyüme </w:t>
      </w:r>
      <w:r w:rsidR="00AC29F1">
        <w:rPr>
          <w:rFonts w:ascii="Palatino Linotype" w:hAnsi="Palatino Linotype" w:cs="Arial"/>
          <w:sz w:val="22"/>
          <w:szCs w:val="22"/>
        </w:rPr>
        <w:t xml:space="preserve">analizlerine istikrarlı bir çerçeve kazandırmak için </w:t>
      </w:r>
      <w:r w:rsidR="00533E8C">
        <w:rPr>
          <w:rFonts w:ascii="Palatino Linotype" w:hAnsi="Palatino Linotype" w:cs="Arial"/>
          <w:sz w:val="22"/>
          <w:szCs w:val="22"/>
        </w:rPr>
        <w:t xml:space="preserve">TÜİK, en azından, yaptığı her önemli revizyon için kamuoyuna </w:t>
      </w:r>
      <w:r w:rsidR="00C8067B">
        <w:rPr>
          <w:rFonts w:ascii="Palatino Linotype" w:hAnsi="Palatino Linotype" w:cs="Arial"/>
          <w:sz w:val="22"/>
          <w:szCs w:val="22"/>
        </w:rPr>
        <w:t>bir</w:t>
      </w:r>
      <w:r w:rsidR="00AC29F1">
        <w:rPr>
          <w:rFonts w:ascii="Palatino Linotype" w:hAnsi="Palatino Linotype" w:cs="Arial"/>
          <w:sz w:val="22"/>
          <w:szCs w:val="22"/>
        </w:rPr>
        <w:t xml:space="preserve"> açıklama yapmalıdır. </w:t>
      </w:r>
      <w:r w:rsidR="00C8067B">
        <w:rPr>
          <w:rFonts w:ascii="Palatino Linotype" w:hAnsi="Palatino Linotype" w:cs="Arial"/>
          <w:sz w:val="22"/>
          <w:szCs w:val="22"/>
        </w:rPr>
        <w:t>Bu revizyon</w:t>
      </w:r>
      <w:r w:rsidRPr="0063584D">
        <w:rPr>
          <w:rFonts w:ascii="Palatino Linotype" w:hAnsi="Palatino Linotype" w:cs="Arial"/>
          <w:sz w:val="22"/>
          <w:szCs w:val="22"/>
        </w:rPr>
        <w:t xml:space="preserve">a </w:t>
      </w:r>
      <w:r w:rsidR="00927C2F" w:rsidRPr="0063584D">
        <w:rPr>
          <w:rFonts w:ascii="Palatino Linotype" w:hAnsi="Palatino Linotype" w:cs="Arial"/>
          <w:sz w:val="22"/>
          <w:szCs w:val="22"/>
        </w:rPr>
        <w:t>yol açan</w:t>
      </w:r>
      <w:r w:rsidR="00815D2F" w:rsidRPr="0063584D">
        <w:rPr>
          <w:rFonts w:ascii="Palatino Linotype" w:hAnsi="Palatino Linotype" w:cs="Arial"/>
          <w:sz w:val="22"/>
          <w:szCs w:val="22"/>
        </w:rPr>
        <w:t xml:space="preserve"> </w:t>
      </w:r>
      <w:r w:rsidR="00927C2F" w:rsidRPr="0063584D">
        <w:rPr>
          <w:rFonts w:ascii="Palatino Linotype" w:hAnsi="Palatino Linotype" w:cs="Arial"/>
          <w:sz w:val="22"/>
          <w:szCs w:val="22"/>
        </w:rPr>
        <w:t>nedenlerin</w:t>
      </w:r>
      <w:r w:rsidR="00815D2F" w:rsidRPr="0063584D">
        <w:rPr>
          <w:rFonts w:ascii="Palatino Linotype" w:hAnsi="Palatino Linotype" w:cs="Arial"/>
          <w:sz w:val="22"/>
          <w:szCs w:val="22"/>
        </w:rPr>
        <w:t xml:space="preserve"> </w:t>
      </w:r>
      <w:r w:rsidR="00AC29F1">
        <w:rPr>
          <w:rFonts w:ascii="Palatino Linotype" w:hAnsi="Palatino Linotype" w:cs="Arial"/>
          <w:sz w:val="22"/>
          <w:szCs w:val="22"/>
        </w:rPr>
        <w:t xml:space="preserve">açık ve anlaşılır bir dille </w:t>
      </w:r>
      <w:r w:rsidR="00927C2F" w:rsidRPr="0063584D">
        <w:rPr>
          <w:rFonts w:ascii="Palatino Linotype" w:hAnsi="Palatino Linotype" w:cs="Arial"/>
          <w:sz w:val="22"/>
          <w:szCs w:val="22"/>
        </w:rPr>
        <w:t>kamuoyu ile paylaşılması</w:t>
      </w:r>
      <w:r w:rsidR="0063584D" w:rsidRPr="0063584D">
        <w:rPr>
          <w:rFonts w:ascii="Palatino Linotype" w:hAnsi="Palatino Linotype" w:cs="Arial"/>
          <w:sz w:val="22"/>
          <w:szCs w:val="22"/>
        </w:rPr>
        <w:t xml:space="preserve"> TÜİK'in </w:t>
      </w:r>
      <w:r w:rsidR="0063584D">
        <w:rPr>
          <w:rFonts w:ascii="Palatino Linotype" w:hAnsi="Palatino Linotype" w:cs="Arial"/>
          <w:sz w:val="22"/>
          <w:szCs w:val="22"/>
        </w:rPr>
        <w:t xml:space="preserve">açıkladığı güncel büyüme rakamlarına inandırıcılık katacaktır. </w:t>
      </w:r>
    </w:p>
    <w:p w:rsidR="00445656" w:rsidRPr="0063584D" w:rsidRDefault="00445656" w:rsidP="00307821">
      <w:pPr>
        <w:spacing w:line="276" w:lineRule="auto"/>
        <w:jc w:val="both"/>
        <w:rPr>
          <w:rFonts w:ascii="Palatino Linotype" w:hAnsi="Palatino Linotype" w:cs="Arial"/>
          <w:sz w:val="22"/>
          <w:szCs w:val="22"/>
        </w:rPr>
      </w:pPr>
    </w:p>
    <w:p w:rsidR="00445656" w:rsidRPr="0063584D" w:rsidRDefault="00445656" w:rsidP="00A26107">
      <w:pPr>
        <w:jc w:val="both"/>
        <w:rPr>
          <w:rFonts w:ascii="Palatino Linotype" w:hAnsi="Palatino Linotype" w:cs="Arial"/>
          <w:sz w:val="22"/>
          <w:szCs w:val="22"/>
        </w:rPr>
      </w:pPr>
    </w:p>
    <w:p w:rsidR="00445656" w:rsidRPr="0063584D" w:rsidRDefault="00445656" w:rsidP="00A26107">
      <w:pPr>
        <w:jc w:val="both"/>
        <w:rPr>
          <w:rFonts w:ascii="Palatino Linotype" w:hAnsi="Palatino Linotype" w:cs="Arial"/>
          <w:sz w:val="22"/>
          <w:szCs w:val="22"/>
        </w:rPr>
        <w:sectPr w:rsidR="00445656" w:rsidRPr="0063584D" w:rsidSect="00F34DD4">
          <w:pgSz w:w="11906" w:h="16838"/>
          <w:pgMar w:top="1417" w:right="1417" w:bottom="1417" w:left="1417" w:header="0" w:footer="0" w:gutter="0"/>
          <w:cols w:space="720"/>
          <w:formProt w:val="0"/>
          <w:docGrid w:linePitch="360" w:charSpace="-2049"/>
        </w:sectPr>
      </w:pPr>
    </w:p>
    <w:p w:rsidR="00927C2F" w:rsidRPr="0063584D" w:rsidRDefault="00445656" w:rsidP="00445656">
      <w:pPr>
        <w:rPr>
          <w:rFonts w:ascii="Palatino Linotype" w:hAnsi="Palatino Linotype" w:cs="Arial"/>
          <w:b/>
          <w:sz w:val="22"/>
          <w:szCs w:val="22"/>
        </w:rPr>
      </w:pPr>
      <w:r w:rsidRPr="0063584D">
        <w:rPr>
          <w:rFonts w:ascii="Palatino Linotype" w:hAnsi="Palatino Linotype" w:cs="Arial"/>
          <w:b/>
          <w:sz w:val="22"/>
          <w:szCs w:val="22"/>
        </w:rPr>
        <w:lastRenderedPageBreak/>
        <w:t xml:space="preserve">Ek Grafik 1A: </w:t>
      </w:r>
      <w:r w:rsidR="00D92EF3" w:rsidRPr="0063584D">
        <w:rPr>
          <w:rFonts w:ascii="Palatino Linotype" w:hAnsi="Palatino Linotype" w:cs="Arial"/>
          <w:b/>
          <w:sz w:val="22"/>
          <w:szCs w:val="22"/>
        </w:rPr>
        <w:t>Yıllık büyümeleri gösteren rakamların bültenlerdeki değişimi (Yeni Seri)</w:t>
      </w:r>
    </w:p>
    <w:p w:rsidR="00445656" w:rsidRPr="0063584D" w:rsidRDefault="00445656" w:rsidP="00445656">
      <w:pPr>
        <w:rPr>
          <w:rFonts w:ascii="Palatino Linotype" w:hAnsi="Palatino Linotype"/>
          <w:sz w:val="22"/>
          <w:szCs w:val="22"/>
        </w:rPr>
      </w:pPr>
      <w:r w:rsidRPr="0063584D">
        <w:rPr>
          <w:rFonts w:ascii="Palatino Linotype" w:hAnsi="Palatino Linotype"/>
          <w:noProof/>
          <w:sz w:val="22"/>
          <w:szCs w:val="22"/>
        </w:rPr>
        <w:drawing>
          <wp:inline distT="0" distB="0" distL="0" distR="0">
            <wp:extent cx="8201025" cy="5270563"/>
            <wp:effectExtent l="0" t="0" r="0" b="6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04786" cy="5272980"/>
                    </a:xfrm>
                    <a:prstGeom prst="rect">
                      <a:avLst/>
                    </a:prstGeom>
                    <a:noFill/>
                    <a:ln>
                      <a:noFill/>
                    </a:ln>
                  </pic:spPr>
                </pic:pic>
              </a:graphicData>
            </a:graphic>
          </wp:inline>
        </w:drawing>
      </w:r>
    </w:p>
    <w:p w:rsidR="000C1DC0" w:rsidRDefault="000C1DC0" w:rsidP="00445656">
      <w:pPr>
        <w:rPr>
          <w:rFonts w:ascii="Palatino Linotype" w:hAnsi="Palatino Linotype" w:cs="Arial"/>
          <w:b/>
          <w:sz w:val="22"/>
          <w:szCs w:val="22"/>
        </w:rPr>
      </w:pPr>
    </w:p>
    <w:p w:rsidR="00A266E3" w:rsidRPr="0063584D" w:rsidRDefault="00445656" w:rsidP="00445656">
      <w:pPr>
        <w:rPr>
          <w:rFonts w:ascii="Palatino Linotype" w:hAnsi="Palatino Linotype" w:cs="Arial"/>
          <w:b/>
          <w:sz w:val="22"/>
          <w:szCs w:val="22"/>
        </w:rPr>
      </w:pPr>
      <w:r w:rsidRPr="0063584D">
        <w:rPr>
          <w:rFonts w:ascii="Palatino Linotype" w:hAnsi="Palatino Linotype" w:cs="Arial"/>
          <w:b/>
          <w:sz w:val="22"/>
          <w:szCs w:val="22"/>
        </w:rPr>
        <w:lastRenderedPageBreak/>
        <w:t xml:space="preserve">Ek Grafik 1B: </w:t>
      </w:r>
      <w:r w:rsidR="00D92EF3" w:rsidRPr="0063584D">
        <w:rPr>
          <w:rFonts w:ascii="Palatino Linotype" w:hAnsi="Palatino Linotype" w:cs="Arial"/>
          <w:b/>
          <w:sz w:val="22"/>
          <w:szCs w:val="22"/>
        </w:rPr>
        <w:t>Çeyreklik büyümeleri gösteren rakamların bültenlerdeki değişimi (Yeni Seri)</w:t>
      </w:r>
    </w:p>
    <w:p w:rsidR="00445656" w:rsidRPr="0063584D" w:rsidRDefault="00445656" w:rsidP="000C1DC0">
      <w:pPr>
        <w:rPr>
          <w:rFonts w:ascii="Palatino Linotype" w:hAnsi="Palatino Linotype"/>
          <w:sz w:val="22"/>
          <w:szCs w:val="22"/>
        </w:rPr>
      </w:pPr>
      <w:r w:rsidRPr="0063584D">
        <w:rPr>
          <w:rFonts w:ascii="Palatino Linotype" w:hAnsi="Palatino Linotype"/>
          <w:noProof/>
          <w:sz w:val="22"/>
          <w:szCs w:val="22"/>
        </w:rPr>
        <w:drawing>
          <wp:inline distT="0" distB="0" distL="0" distR="0">
            <wp:extent cx="8505825" cy="5466449"/>
            <wp:effectExtent l="0" t="0" r="0" b="127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0557" cy="5469490"/>
                    </a:xfrm>
                    <a:prstGeom prst="rect">
                      <a:avLst/>
                    </a:prstGeom>
                    <a:noFill/>
                    <a:ln>
                      <a:noFill/>
                    </a:ln>
                  </pic:spPr>
                </pic:pic>
              </a:graphicData>
            </a:graphic>
          </wp:inline>
        </w:drawing>
      </w:r>
    </w:p>
    <w:p w:rsidR="00A266E3" w:rsidRPr="0063584D" w:rsidRDefault="00445656" w:rsidP="00445656">
      <w:pPr>
        <w:rPr>
          <w:rFonts w:ascii="Palatino Linotype" w:hAnsi="Palatino Linotype" w:cs="Arial"/>
          <w:b/>
          <w:sz w:val="22"/>
          <w:szCs w:val="22"/>
        </w:rPr>
      </w:pPr>
      <w:r w:rsidRPr="0063584D">
        <w:rPr>
          <w:rFonts w:ascii="Palatino Linotype" w:hAnsi="Palatino Linotype" w:cs="Arial"/>
          <w:b/>
          <w:sz w:val="22"/>
          <w:szCs w:val="22"/>
        </w:rPr>
        <w:lastRenderedPageBreak/>
        <w:t xml:space="preserve">Ek Grafik 2A: </w:t>
      </w:r>
      <w:r w:rsidR="00D92EF3" w:rsidRPr="0063584D">
        <w:rPr>
          <w:rFonts w:ascii="Palatino Linotype" w:hAnsi="Palatino Linotype" w:cs="Arial"/>
          <w:b/>
          <w:sz w:val="22"/>
          <w:szCs w:val="22"/>
        </w:rPr>
        <w:t>Yıllık büyümeleri gösteren rakamların bültenlerdeki değişimi (Eski Seri)</w:t>
      </w:r>
    </w:p>
    <w:p w:rsidR="00445656" w:rsidRPr="0063584D" w:rsidRDefault="00445656" w:rsidP="00052946">
      <w:pPr>
        <w:jc w:val="center"/>
        <w:rPr>
          <w:rFonts w:ascii="Palatino Linotype" w:hAnsi="Palatino Linotype"/>
          <w:sz w:val="22"/>
          <w:szCs w:val="22"/>
        </w:rPr>
      </w:pPr>
      <w:r w:rsidRPr="0063584D">
        <w:rPr>
          <w:rFonts w:ascii="Palatino Linotype" w:hAnsi="Palatino Linotype"/>
          <w:noProof/>
          <w:sz w:val="22"/>
          <w:szCs w:val="22"/>
        </w:rPr>
        <w:drawing>
          <wp:inline distT="0" distB="0" distL="0" distR="0">
            <wp:extent cx="8892540" cy="5252229"/>
            <wp:effectExtent l="0" t="0" r="3810"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2540" cy="5252229"/>
                    </a:xfrm>
                    <a:prstGeom prst="rect">
                      <a:avLst/>
                    </a:prstGeom>
                    <a:noFill/>
                    <a:ln>
                      <a:noFill/>
                    </a:ln>
                  </pic:spPr>
                </pic:pic>
              </a:graphicData>
            </a:graphic>
          </wp:inline>
        </w:drawing>
      </w:r>
    </w:p>
    <w:p w:rsidR="000C1DC0" w:rsidRDefault="000C1DC0" w:rsidP="00445656">
      <w:pPr>
        <w:rPr>
          <w:rFonts w:ascii="Palatino Linotype" w:hAnsi="Palatino Linotype" w:cs="Arial"/>
          <w:b/>
          <w:sz w:val="22"/>
          <w:szCs w:val="22"/>
        </w:rPr>
      </w:pPr>
    </w:p>
    <w:p w:rsidR="00A266E3" w:rsidRPr="0063584D" w:rsidRDefault="00445656" w:rsidP="00445656">
      <w:pPr>
        <w:rPr>
          <w:rFonts w:ascii="Palatino Linotype" w:hAnsi="Palatino Linotype" w:cs="Arial"/>
          <w:b/>
          <w:sz w:val="22"/>
          <w:szCs w:val="22"/>
        </w:rPr>
      </w:pPr>
      <w:r w:rsidRPr="0063584D">
        <w:rPr>
          <w:rFonts w:ascii="Palatino Linotype" w:hAnsi="Palatino Linotype" w:cs="Arial"/>
          <w:b/>
          <w:sz w:val="22"/>
          <w:szCs w:val="22"/>
        </w:rPr>
        <w:lastRenderedPageBreak/>
        <w:t xml:space="preserve">Ek Grafik 2B: </w:t>
      </w:r>
      <w:r w:rsidR="00D92EF3" w:rsidRPr="0063584D">
        <w:rPr>
          <w:rFonts w:ascii="Palatino Linotype" w:hAnsi="Palatino Linotype" w:cs="Arial"/>
          <w:b/>
          <w:sz w:val="22"/>
          <w:szCs w:val="22"/>
        </w:rPr>
        <w:t>Çeyreklik büyümeleri gösteren rakamların bültenlerdeki değişimi (Eski Seri)</w:t>
      </w:r>
    </w:p>
    <w:p w:rsidR="00445656" w:rsidRPr="0063584D" w:rsidRDefault="00445656" w:rsidP="00A266E3">
      <w:pPr>
        <w:jc w:val="center"/>
        <w:rPr>
          <w:rFonts w:ascii="Palatino Linotype" w:hAnsi="Palatino Linotype"/>
          <w:sz w:val="22"/>
          <w:szCs w:val="22"/>
        </w:rPr>
      </w:pPr>
      <w:r w:rsidRPr="0063584D">
        <w:rPr>
          <w:rFonts w:ascii="Palatino Linotype" w:hAnsi="Palatino Linotype"/>
          <w:noProof/>
          <w:sz w:val="22"/>
          <w:szCs w:val="22"/>
        </w:rPr>
        <w:drawing>
          <wp:inline distT="0" distB="0" distL="0" distR="0">
            <wp:extent cx="8892540" cy="5252229"/>
            <wp:effectExtent l="0" t="0" r="3810"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5252229"/>
                    </a:xfrm>
                    <a:prstGeom prst="rect">
                      <a:avLst/>
                    </a:prstGeom>
                    <a:noFill/>
                    <a:ln>
                      <a:noFill/>
                    </a:ln>
                  </pic:spPr>
                </pic:pic>
              </a:graphicData>
            </a:graphic>
          </wp:inline>
        </w:drawing>
      </w:r>
    </w:p>
    <w:p w:rsidR="009068EE" w:rsidRPr="0063584D" w:rsidRDefault="009068EE" w:rsidP="009068EE">
      <w:pPr>
        <w:rPr>
          <w:rFonts w:ascii="Palatino Linotype" w:hAnsi="Palatino Linotype" w:cs="Arial"/>
          <w:sz w:val="22"/>
          <w:szCs w:val="22"/>
        </w:rPr>
      </w:pPr>
    </w:p>
    <w:p w:rsidR="009068EE" w:rsidRPr="0063584D" w:rsidRDefault="009068EE" w:rsidP="009068EE">
      <w:pPr>
        <w:rPr>
          <w:rFonts w:ascii="Palatino Linotype" w:hAnsi="Palatino Linotype" w:cs="Arial"/>
          <w:b/>
          <w:sz w:val="22"/>
          <w:szCs w:val="22"/>
        </w:rPr>
      </w:pPr>
      <w:r w:rsidRPr="0063584D">
        <w:rPr>
          <w:rFonts w:ascii="Palatino Linotype" w:hAnsi="Palatino Linotype" w:cs="Arial"/>
          <w:b/>
          <w:sz w:val="22"/>
          <w:szCs w:val="22"/>
        </w:rPr>
        <w:lastRenderedPageBreak/>
        <w:t>Ek Grafik 3A: Almanya resmi istatistik kurumunun yıllık büyümeleri gösteren rakamlarda yaptığı revizyonlar</w:t>
      </w:r>
      <w:r w:rsidRPr="0063584D">
        <w:rPr>
          <w:rStyle w:val="DipnotBavurusu"/>
          <w:rFonts w:ascii="Palatino Linotype" w:hAnsi="Palatino Linotype" w:cs="Arial"/>
          <w:b/>
          <w:sz w:val="22"/>
          <w:szCs w:val="22"/>
        </w:rPr>
        <w:footnoteReference w:id="5"/>
      </w:r>
    </w:p>
    <w:p w:rsidR="00A266E3" w:rsidRPr="0063584D" w:rsidRDefault="009068EE" w:rsidP="00A26107">
      <w:pPr>
        <w:jc w:val="both"/>
        <w:rPr>
          <w:rFonts w:ascii="Palatino Linotype" w:hAnsi="Palatino Linotype" w:cs="Arial"/>
          <w:sz w:val="22"/>
          <w:szCs w:val="22"/>
        </w:rPr>
      </w:pPr>
      <w:r w:rsidRPr="0063584D">
        <w:rPr>
          <w:rFonts w:ascii="Palatino Linotype" w:hAnsi="Palatino Linotype"/>
          <w:noProof/>
          <w:sz w:val="22"/>
          <w:szCs w:val="22"/>
        </w:rPr>
        <w:drawing>
          <wp:inline distT="0" distB="0" distL="0" distR="0">
            <wp:extent cx="8105775" cy="4977131"/>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21670" cy="4986891"/>
                    </a:xfrm>
                    <a:prstGeom prst="rect">
                      <a:avLst/>
                    </a:prstGeom>
                    <a:noFill/>
                    <a:ln>
                      <a:noFill/>
                    </a:ln>
                  </pic:spPr>
                </pic:pic>
              </a:graphicData>
            </a:graphic>
          </wp:inline>
        </w:drawing>
      </w:r>
    </w:p>
    <w:p w:rsidR="00A266E3" w:rsidRPr="0063584D" w:rsidRDefault="000861FF" w:rsidP="00A26107">
      <w:pPr>
        <w:jc w:val="both"/>
        <w:rPr>
          <w:rFonts w:ascii="Palatino Linotype" w:hAnsi="Palatino Linotype" w:cs="Arial"/>
          <w:sz w:val="22"/>
          <w:szCs w:val="22"/>
        </w:rPr>
      </w:pPr>
      <w:r w:rsidRPr="0063584D">
        <w:rPr>
          <w:rFonts w:ascii="Palatino Linotype" w:hAnsi="Palatino Linotype" w:cs="Arial"/>
          <w:b/>
          <w:sz w:val="22"/>
          <w:szCs w:val="22"/>
        </w:rPr>
        <w:lastRenderedPageBreak/>
        <w:t>Ek Grafik 3B: Fransa resmi istatistik kurumunun çeyreklik büyümeleri gösteren rakamlarda yaptığı revizyonlar</w:t>
      </w:r>
      <w:r w:rsidRPr="0063584D">
        <w:rPr>
          <w:rStyle w:val="DipnotBavurusu"/>
          <w:rFonts w:ascii="Palatino Linotype" w:hAnsi="Palatino Linotype" w:cs="Arial"/>
          <w:b/>
          <w:sz w:val="22"/>
          <w:szCs w:val="22"/>
        </w:rPr>
        <w:footnoteReference w:id="6"/>
      </w:r>
    </w:p>
    <w:p w:rsidR="000861FF" w:rsidRPr="0063584D" w:rsidRDefault="000861FF" w:rsidP="00A26107">
      <w:pPr>
        <w:jc w:val="both"/>
        <w:rPr>
          <w:rFonts w:ascii="Palatino Linotype" w:hAnsi="Palatino Linotype" w:cs="Arial"/>
          <w:sz w:val="22"/>
          <w:szCs w:val="22"/>
        </w:rPr>
      </w:pPr>
      <w:r w:rsidRPr="0063584D">
        <w:rPr>
          <w:rFonts w:ascii="Palatino Linotype" w:hAnsi="Palatino Linotype"/>
          <w:noProof/>
          <w:sz w:val="22"/>
          <w:szCs w:val="22"/>
        </w:rPr>
        <w:drawing>
          <wp:inline distT="0" distB="0" distL="0" distR="0">
            <wp:extent cx="8162925" cy="4798695"/>
            <wp:effectExtent l="0" t="0" r="9525" b="190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76388" cy="4806609"/>
                    </a:xfrm>
                    <a:prstGeom prst="rect">
                      <a:avLst/>
                    </a:prstGeom>
                    <a:noFill/>
                    <a:ln>
                      <a:noFill/>
                    </a:ln>
                  </pic:spPr>
                </pic:pic>
              </a:graphicData>
            </a:graphic>
          </wp:inline>
        </w:drawing>
      </w:r>
    </w:p>
    <w:sectPr w:rsidR="000861FF" w:rsidRPr="0063584D" w:rsidSect="00445656">
      <w:pgSz w:w="16838" w:h="11906" w:orient="landscape"/>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C9F" w:rsidRDefault="00664C9F" w:rsidP="00DA0C5D">
      <w:r>
        <w:separator/>
      </w:r>
    </w:p>
  </w:endnote>
  <w:endnote w:type="continuationSeparator" w:id="0">
    <w:p w:rsidR="00664C9F" w:rsidRDefault="00664C9F"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C9F" w:rsidRDefault="00664C9F" w:rsidP="00DA0C5D">
      <w:r>
        <w:separator/>
      </w:r>
    </w:p>
  </w:footnote>
  <w:footnote w:type="continuationSeparator" w:id="0">
    <w:p w:rsidR="00664C9F" w:rsidRDefault="00664C9F" w:rsidP="00DA0C5D">
      <w:r>
        <w:continuationSeparator/>
      </w:r>
    </w:p>
  </w:footnote>
  <w:footnote w:id="1">
    <w:p w:rsidR="009C339B" w:rsidRPr="000E1BA0" w:rsidRDefault="009C339B" w:rsidP="00F5328A">
      <w:pPr>
        <w:pStyle w:val="DipnotMetni"/>
        <w:rPr>
          <w:rFonts w:ascii="Palatino Linotype" w:hAnsi="Palatino Linotype"/>
          <w:lang w:eastAsia="ar-SA"/>
        </w:rPr>
      </w:pPr>
      <w:r w:rsidRPr="000E1BA0">
        <w:rPr>
          <w:rStyle w:val="DipnotBavurusu"/>
          <w:rFonts w:ascii="Palatino Linotype" w:hAnsi="Palatino Linotype" w:cs="Arial"/>
          <w:b/>
          <w:bCs/>
          <w:sz w:val="16"/>
          <w:szCs w:val="16"/>
        </w:rPr>
        <w:t>*</w:t>
      </w:r>
      <w:r w:rsidRPr="000E1BA0">
        <w:rPr>
          <w:rFonts w:ascii="Palatino Linotype" w:hAnsi="Palatino Linotype" w:cs="Arial"/>
          <w:sz w:val="16"/>
          <w:szCs w:val="16"/>
        </w:rPr>
        <w:t xml:space="preserve">Prof. Dr. Seyfettin Gürsel, Betam, Direktör, </w:t>
      </w:r>
      <w:hyperlink r:id="rId1" w:history="1">
        <w:r w:rsidRPr="000E1BA0">
          <w:rPr>
            <w:rStyle w:val="Kpr"/>
            <w:rFonts w:ascii="Palatino Linotype" w:hAnsi="Palatino Linotype"/>
            <w:sz w:val="16"/>
            <w:szCs w:val="16"/>
          </w:rPr>
          <w:t>seyfettin.gursel@eas.bau.edu.tr</w:t>
        </w:r>
      </w:hyperlink>
    </w:p>
  </w:footnote>
  <w:footnote w:id="2">
    <w:p w:rsidR="009C339B" w:rsidRPr="000E1BA0" w:rsidRDefault="009C339B" w:rsidP="00F5328A">
      <w:pPr>
        <w:pStyle w:val="DipnotMetni"/>
        <w:rPr>
          <w:rFonts w:ascii="Palatino Linotype" w:hAnsi="Palatino Linotype" w:cs="Arial"/>
          <w:sz w:val="16"/>
          <w:szCs w:val="16"/>
        </w:rPr>
      </w:pPr>
      <w:r w:rsidRPr="000E1BA0">
        <w:rPr>
          <w:rStyle w:val="DipnotBavurusu"/>
          <w:rFonts w:ascii="Palatino Linotype" w:hAnsi="Palatino Linotype" w:cs="Arial"/>
          <w:sz w:val="16"/>
          <w:szCs w:val="16"/>
        </w:rPr>
        <w:sym w:font="Symbol" w:char="F02A"/>
      </w:r>
      <w:r w:rsidRPr="000E1BA0">
        <w:rPr>
          <w:rStyle w:val="DipnotBavurusu"/>
          <w:rFonts w:ascii="Palatino Linotype" w:hAnsi="Palatino Linotype" w:cs="Arial"/>
          <w:sz w:val="16"/>
          <w:szCs w:val="16"/>
        </w:rPr>
        <w:sym w:font="Symbol" w:char="F02A"/>
      </w:r>
      <w:r w:rsidRPr="000E1BA0">
        <w:rPr>
          <w:rFonts w:ascii="Palatino Linotype" w:hAnsi="Palatino Linotype" w:cs="Arial"/>
          <w:sz w:val="16"/>
          <w:szCs w:val="16"/>
        </w:rPr>
        <w:t xml:space="preserve">Doç. Dr. Ozan Bakış, Betam, Uzman Araştırmacı, </w:t>
      </w:r>
      <w:hyperlink r:id="rId2" w:history="1">
        <w:r w:rsidRPr="000E1BA0">
          <w:rPr>
            <w:rStyle w:val="Kpr"/>
            <w:rFonts w:ascii="Palatino Linotype" w:hAnsi="Palatino Linotype"/>
            <w:sz w:val="16"/>
            <w:szCs w:val="16"/>
          </w:rPr>
          <w:t>ozan.bakis@eas.bau.edu.tr</w:t>
        </w:r>
      </w:hyperlink>
    </w:p>
    <w:p w:rsidR="009C339B" w:rsidRPr="000E1BA0" w:rsidRDefault="009C339B" w:rsidP="00F5328A">
      <w:pPr>
        <w:pStyle w:val="DipnotMetni"/>
        <w:rPr>
          <w:rFonts w:ascii="Palatino Linotype" w:hAnsi="Palatino Linotype" w:cs="Arial"/>
          <w:sz w:val="16"/>
          <w:szCs w:val="16"/>
        </w:rPr>
      </w:pPr>
      <w:r w:rsidRPr="000E1BA0">
        <w:rPr>
          <w:rFonts w:ascii="Palatino Linotype" w:hAnsi="Palatino Linotype" w:cs="Arial"/>
          <w:sz w:val="16"/>
          <w:szCs w:val="16"/>
        </w:rPr>
        <w:t xml:space="preserve">*** Uğurcan Acar, Betam, Araştırma Görevlisi, </w:t>
      </w:r>
      <w:hyperlink r:id="rId3" w:history="1">
        <w:r w:rsidRPr="000E1BA0">
          <w:rPr>
            <w:rStyle w:val="Kpr"/>
            <w:rFonts w:ascii="Palatino Linotype" w:hAnsi="Palatino Linotype"/>
            <w:sz w:val="16"/>
            <w:szCs w:val="16"/>
          </w:rPr>
          <w:t>ugurcan.acar@eas.bau.edu.tr</w:t>
        </w:r>
      </w:hyperlink>
    </w:p>
    <w:p w:rsidR="009C339B" w:rsidRDefault="009C339B" w:rsidP="00F5328A">
      <w:pPr>
        <w:pStyle w:val="DipnotMetni"/>
      </w:pPr>
    </w:p>
  </w:footnote>
  <w:footnote w:id="3">
    <w:p w:rsidR="009C339B" w:rsidRPr="00052946" w:rsidRDefault="009C339B" w:rsidP="00F34DD4">
      <w:pPr>
        <w:pStyle w:val="DipnotMetni"/>
        <w:rPr>
          <w:rFonts w:ascii="Palatino Linotype" w:hAnsi="Palatino Linotype"/>
        </w:rPr>
      </w:pPr>
      <w:r w:rsidRPr="00052946">
        <w:rPr>
          <w:rStyle w:val="DipnotBavurusu"/>
          <w:rFonts w:ascii="Palatino Linotype" w:eastAsiaTheme="majorEastAsia" w:hAnsi="Palatino Linotype"/>
        </w:rPr>
        <w:footnoteRef/>
      </w:r>
      <w:r w:rsidRPr="00052946">
        <w:rPr>
          <w:rFonts w:ascii="Palatino Linotype" w:hAnsi="Palatino Linotype" w:cs="Arial"/>
          <w:sz w:val="16"/>
          <w:szCs w:val="16"/>
        </w:rPr>
        <w:t xml:space="preserve">Bakış, Ozan. Eski ve Yeni GSYH Serileri Arasındaki Farklar ve Nedenleri. Betam Araştırma Notu, 16/203 </w:t>
      </w:r>
      <w:hyperlink r:id="rId4" w:history="1">
        <w:r w:rsidRPr="00052946">
          <w:rPr>
            <w:rStyle w:val="Kpr"/>
            <w:rFonts w:ascii="Palatino Linotype" w:hAnsi="Palatino Linotype" w:cs="Arial"/>
            <w:sz w:val="16"/>
            <w:szCs w:val="16"/>
          </w:rPr>
          <w:t>http://betam.bahcesehir.edu.tr/wp-content/uploads/2016/12/ArastirmaNotu203-1.pdf</w:t>
        </w:r>
      </w:hyperlink>
    </w:p>
  </w:footnote>
  <w:footnote w:id="4">
    <w:p w:rsidR="00EC2E23" w:rsidRDefault="00EC2E23" w:rsidP="00EC2E23">
      <w:pPr>
        <w:pStyle w:val="DipnotMetni"/>
      </w:pPr>
      <w:r>
        <w:rPr>
          <w:rStyle w:val="DipnotBavurusu"/>
        </w:rPr>
        <w:footnoteRef/>
      </w:r>
      <w:hyperlink r:id="rId5" w:history="1">
        <w:r w:rsidR="00653A0E" w:rsidRPr="00D775A0">
          <w:rPr>
            <w:rStyle w:val="Kpr"/>
          </w:rPr>
          <w:t>https://www.destatis.de/</w:t>
        </w:r>
      </w:hyperlink>
      <w:r w:rsidR="00653A0E" w:rsidRPr="00653A0E">
        <w:t xml:space="preserve"> </w:t>
      </w:r>
      <w:r w:rsidR="00653A0E">
        <w:t xml:space="preserve"> </w:t>
      </w:r>
      <w:r w:rsidR="00653A0E" w:rsidRPr="00653A0E">
        <w:t>ve</w:t>
      </w:r>
      <w:r w:rsidR="00653A0E">
        <w:t xml:space="preserve"> </w:t>
      </w:r>
      <w:r w:rsidR="00653A0E">
        <w:rPr>
          <w:rStyle w:val="Kpr"/>
          <w:color w:val="auto"/>
          <w:u w:val="none"/>
        </w:rPr>
        <w:t xml:space="preserve"> </w:t>
      </w:r>
      <w:hyperlink r:id="rId6" w:history="1">
        <w:r w:rsidRPr="009260D9">
          <w:rPr>
            <w:rStyle w:val="Kpr"/>
          </w:rPr>
          <w:t>https://www.insee.fr/</w:t>
        </w:r>
      </w:hyperlink>
      <w:r w:rsidR="00D775A0">
        <w:rPr>
          <w:rStyle w:val="Kpr"/>
          <w:u w:val="none"/>
        </w:rPr>
        <w:t xml:space="preserve"> </w:t>
      </w:r>
      <w:r w:rsidR="00653A0E">
        <w:t>[Erişim tarihi 25.01.2018]</w:t>
      </w:r>
    </w:p>
  </w:footnote>
  <w:footnote w:id="5">
    <w:p w:rsidR="009C339B" w:rsidRDefault="009C339B">
      <w:pPr>
        <w:pStyle w:val="DipnotMetni"/>
      </w:pPr>
      <w:r>
        <w:rPr>
          <w:rStyle w:val="DipnotBavurusu"/>
        </w:rPr>
        <w:footnoteRef/>
      </w:r>
      <w:r>
        <w:t xml:space="preserve"> </w:t>
      </w:r>
      <w:r w:rsidRPr="000A7E66">
        <w:rPr>
          <w:rFonts w:ascii="Palatino Linotype" w:hAnsi="Palatino Linotype"/>
        </w:rPr>
        <w:t>Revizyon büyüklüklerinin karşılaştırmasının görsel olarak daha kolay görülebilmesi için hem Türkiye hem Almanya yıllık büyüme revizyonları için oluşturulan grafikler eşit aralıkta (1,2 puan aralığında) çizilmiştir.</w:t>
      </w:r>
    </w:p>
  </w:footnote>
  <w:footnote w:id="6">
    <w:p w:rsidR="009C339B" w:rsidRDefault="009C339B">
      <w:pPr>
        <w:pStyle w:val="DipnotMetni"/>
      </w:pPr>
      <w:r>
        <w:rPr>
          <w:rStyle w:val="DipnotBavurusu"/>
        </w:rPr>
        <w:footnoteRef/>
      </w:r>
      <w:r>
        <w:t xml:space="preserve"> </w:t>
      </w:r>
      <w:r w:rsidRPr="000A7E66">
        <w:rPr>
          <w:rFonts w:ascii="Palatino Linotype" w:hAnsi="Palatino Linotype"/>
        </w:rPr>
        <w:t>Revizyon büyüklüklerinin karşılaştırmasının görsel olarak daha kolay görülebilmesi için hem Türkiye hem Fransa çeyreklik büyüme revizyonları için oluşturulan grafikler eşit aralıkta (1,5 puan aralığında) çizilmiştir.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AD3"/>
    <w:multiLevelType w:val="hybridMultilevel"/>
    <w:tmpl w:val="D9BC82BE"/>
    <w:lvl w:ilvl="0" w:tplc="3836BD18">
      <w:numFmt w:val="bullet"/>
      <w:lvlText w:val="-"/>
      <w:lvlJc w:val="left"/>
      <w:pPr>
        <w:ind w:left="50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00CCF"/>
    <w:rsid w:val="00016E95"/>
    <w:rsid w:val="0002266F"/>
    <w:rsid w:val="00031C57"/>
    <w:rsid w:val="000436C6"/>
    <w:rsid w:val="00052946"/>
    <w:rsid w:val="00054943"/>
    <w:rsid w:val="00055EA1"/>
    <w:rsid w:val="000564E6"/>
    <w:rsid w:val="000652B6"/>
    <w:rsid w:val="0007088D"/>
    <w:rsid w:val="0008048A"/>
    <w:rsid w:val="000861FF"/>
    <w:rsid w:val="00091CF5"/>
    <w:rsid w:val="00096CDA"/>
    <w:rsid w:val="000A612E"/>
    <w:rsid w:val="000A7E66"/>
    <w:rsid w:val="000B39C7"/>
    <w:rsid w:val="000B7302"/>
    <w:rsid w:val="000C1DC0"/>
    <w:rsid w:val="000C634D"/>
    <w:rsid w:val="000D5FD3"/>
    <w:rsid w:val="000D656C"/>
    <w:rsid w:val="000E1BA0"/>
    <w:rsid w:val="000F0D03"/>
    <w:rsid w:val="0012527F"/>
    <w:rsid w:val="0013024E"/>
    <w:rsid w:val="00140468"/>
    <w:rsid w:val="00144C8F"/>
    <w:rsid w:val="0014542A"/>
    <w:rsid w:val="0018267D"/>
    <w:rsid w:val="001B3A44"/>
    <w:rsid w:val="001B61CE"/>
    <w:rsid w:val="001C08E0"/>
    <w:rsid w:val="001C2C68"/>
    <w:rsid w:val="001C65BF"/>
    <w:rsid w:val="001D5B02"/>
    <w:rsid w:val="001D6465"/>
    <w:rsid w:val="001E52F4"/>
    <w:rsid w:val="001F7B1D"/>
    <w:rsid w:val="002106DF"/>
    <w:rsid w:val="00212579"/>
    <w:rsid w:val="00214914"/>
    <w:rsid w:val="00215C6C"/>
    <w:rsid w:val="0022673E"/>
    <w:rsid w:val="0024031A"/>
    <w:rsid w:val="00270737"/>
    <w:rsid w:val="00275745"/>
    <w:rsid w:val="0028498B"/>
    <w:rsid w:val="0029102C"/>
    <w:rsid w:val="002A07A9"/>
    <w:rsid w:val="002C19B3"/>
    <w:rsid w:val="002C5C24"/>
    <w:rsid w:val="002E5325"/>
    <w:rsid w:val="002E70AA"/>
    <w:rsid w:val="002F72A5"/>
    <w:rsid w:val="00307821"/>
    <w:rsid w:val="00312366"/>
    <w:rsid w:val="00334E27"/>
    <w:rsid w:val="00344A74"/>
    <w:rsid w:val="0036661C"/>
    <w:rsid w:val="003967B5"/>
    <w:rsid w:val="003A488B"/>
    <w:rsid w:val="003C2891"/>
    <w:rsid w:val="003E1EED"/>
    <w:rsid w:val="003E6762"/>
    <w:rsid w:val="00431C38"/>
    <w:rsid w:val="00431DC2"/>
    <w:rsid w:val="00445656"/>
    <w:rsid w:val="00451A8A"/>
    <w:rsid w:val="00466230"/>
    <w:rsid w:val="00471902"/>
    <w:rsid w:val="004776DD"/>
    <w:rsid w:val="00483777"/>
    <w:rsid w:val="00490FF2"/>
    <w:rsid w:val="004931A5"/>
    <w:rsid w:val="004D4D2E"/>
    <w:rsid w:val="005029AE"/>
    <w:rsid w:val="00514E03"/>
    <w:rsid w:val="00533E8C"/>
    <w:rsid w:val="0053582F"/>
    <w:rsid w:val="0053586E"/>
    <w:rsid w:val="005772D1"/>
    <w:rsid w:val="005914BE"/>
    <w:rsid w:val="005A0565"/>
    <w:rsid w:val="005A52A7"/>
    <w:rsid w:val="005C1693"/>
    <w:rsid w:val="005E0D23"/>
    <w:rsid w:val="0060285C"/>
    <w:rsid w:val="00616FE9"/>
    <w:rsid w:val="00625B95"/>
    <w:rsid w:val="0063584D"/>
    <w:rsid w:val="00643113"/>
    <w:rsid w:val="006439C5"/>
    <w:rsid w:val="00652DB5"/>
    <w:rsid w:val="00653A0E"/>
    <w:rsid w:val="006549E3"/>
    <w:rsid w:val="0065707E"/>
    <w:rsid w:val="006639FE"/>
    <w:rsid w:val="00664C9F"/>
    <w:rsid w:val="00681022"/>
    <w:rsid w:val="00681AD9"/>
    <w:rsid w:val="00686150"/>
    <w:rsid w:val="00686BF5"/>
    <w:rsid w:val="006B6421"/>
    <w:rsid w:val="006C1111"/>
    <w:rsid w:val="006C3EE6"/>
    <w:rsid w:val="006D1DD6"/>
    <w:rsid w:val="006D32A0"/>
    <w:rsid w:val="006F1500"/>
    <w:rsid w:val="006F39A1"/>
    <w:rsid w:val="00713542"/>
    <w:rsid w:val="007236A2"/>
    <w:rsid w:val="00724E7C"/>
    <w:rsid w:val="00726D0B"/>
    <w:rsid w:val="00773D8B"/>
    <w:rsid w:val="007861E6"/>
    <w:rsid w:val="007A0E96"/>
    <w:rsid w:val="007A73DF"/>
    <w:rsid w:val="007C68F9"/>
    <w:rsid w:val="007D4953"/>
    <w:rsid w:val="007F3C9B"/>
    <w:rsid w:val="00815D2F"/>
    <w:rsid w:val="0084500C"/>
    <w:rsid w:val="00845A54"/>
    <w:rsid w:val="008474AD"/>
    <w:rsid w:val="00863AC9"/>
    <w:rsid w:val="00865CE6"/>
    <w:rsid w:val="008810AA"/>
    <w:rsid w:val="0089726B"/>
    <w:rsid w:val="008A2220"/>
    <w:rsid w:val="008C170E"/>
    <w:rsid w:val="008C70C5"/>
    <w:rsid w:val="008E0BAF"/>
    <w:rsid w:val="008F1741"/>
    <w:rsid w:val="00901CDB"/>
    <w:rsid w:val="009068EE"/>
    <w:rsid w:val="00912A40"/>
    <w:rsid w:val="00924CD9"/>
    <w:rsid w:val="009260D9"/>
    <w:rsid w:val="00927C2F"/>
    <w:rsid w:val="00950874"/>
    <w:rsid w:val="00963B04"/>
    <w:rsid w:val="009856BD"/>
    <w:rsid w:val="009B1546"/>
    <w:rsid w:val="009B651F"/>
    <w:rsid w:val="009C339B"/>
    <w:rsid w:val="009E2D6C"/>
    <w:rsid w:val="009E4287"/>
    <w:rsid w:val="009F76C8"/>
    <w:rsid w:val="00A26107"/>
    <w:rsid w:val="00A266E3"/>
    <w:rsid w:val="00A31FE0"/>
    <w:rsid w:val="00A46C4A"/>
    <w:rsid w:val="00A50FB7"/>
    <w:rsid w:val="00A546C5"/>
    <w:rsid w:val="00A6165E"/>
    <w:rsid w:val="00A719DB"/>
    <w:rsid w:val="00A874DA"/>
    <w:rsid w:val="00AB2FCE"/>
    <w:rsid w:val="00AC29F1"/>
    <w:rsid w:val="00B2590B"/>
    <w:rsid w:val="00B4067E"/>
    <w:rsid w:val="00B55086"/>
    <w:rsid w:val="00B66F62"/>
    <w:rsid w:val="00B736F0"/>
    <w:rsid w:val="00B8166C"/>
    <w:rsid w:val="00B82B92"/>
    <w:rsid w:val="00BB5725"/>
    <w:rsid w:val="00BD477C"/>
    <w:rsid w:val="00C02F82"/>
    <w:rsid w:val="00C04FCC"/>
    <w:rsid w:val="00C11060"/>
    <w:rsid w:val="00C11B5A"/>
    <w:rsid w:val="00C1238B"/>
    <w:rsid w:val="00C32789"/>
    <w:rsid w:val="00C40362"/>
    <w:rsid w:val="00C413B8"/>
    <w:rsid w:val="00C57749"/>
    <w:rsid w:val="00C70315"/>
    <w:rsid w:val="00C8067B"/>
    <w:rsid w:val="00C92FA6"/>
    <w:rsid w:val="00C95FFA"/>
    <w:rsid w:val="00C97FD1"/>
    <w:rsid w:val="00CA3FB0"/>
    <w:rsid w:val="00CB3462"/>
    <w:rsid w:val="00CB7ABD"/>
    <w:rsid w:val="00CC79C0"/>
    <w:rsid w:val="00CD34A9"/>
    <w:rsid w:val="00CF0582"/>
    <w:rsid w:val="00CF5053"/>
    <w:rsid w:val="00D07713"/>
    <w:rsid w:val="00D257C1"/>
    <w:rsid w:val="00D402A9"/>
    <w:rsid w:val="00D45985"/>
    <w:rsid w:val="00D775A0"/>
    <w:rsid w:val="00D9079C"/>
    <w:rsid w:val="00D92EF3"/>
    <w:rsid w:val="00DA0C5D"/>
    <w:rsid w:val="00DC04DF"/>
    <w:rsid w:val="00DC2971"/>
    <w:rsid w:val="00DD0850"/>
    <w:rsid w:val="00E0064A"/>
    <w:rsid w:val="00E00A50"/>
    <w:rsid w:val="00E25D99"/>
    <w:rsid w:val="00E41840"/>
    <w:rsid w:val="00E57043"/>
    <w:rsid w:val="00E667CB"/>
    <w:rsid w:val="00E723ED"/>
    <w:rsid w:val="00E750CC"/>
    <w:rsid w:val="00E85F3F"/>
    <w:rsid w:val="00E90297"/>
    <w:rsid w:val="00EA6986"/>
    <w:rsid w:val="00EB476F"/>
    <w:rsid w:val="00EC136E"/>
    <w:rsid w:val="00EC2E23"/>
    <w:rsid w:val="00EC3420"/>
    <w:rsid w:val="00ED71E8"/>
    <w:rsid w:val="00EE0471"/>
    <w:rsid w:val="00EE150B"/>
    <w:rsid w:val="00EF09A7"/>
    <w:rsid w:val="00F22A71"/>
    <w:rsid w:val="00F27D86"/>
    <w:rsid w:val="00F34DD4"/>
    <w:rsid w:val="00F46A54"/>
    <w:rsid w:val="00F5130C"/>
    <w:rsid w:val="00F52074"/>
    <w:rsid w:val="00F5328A"/>
    <w:rsid w:val="00F870F6"/>
    <w:rsid w:val="00F87884"/>
    <w:rsid w:val="00F94113"/>
    <w:rsid w:val="00FA63BA"/>
    <w:rsid w:val="00FE37DD"/>
    <w:rsid w:val="00FF15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F8DB"/>
  <w15:docId w15:val="{F933DAA2-55DC-466A-99D8-D8E5D836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Gl">
    <w:name w:val="Strong"/>
    <w:basedOn w:val="VarsaylanParagrafYazTipi"/>
    <w:uiPriority w:val="22"/>
    <w:qFormat/>
    <w:rsid w:val="00BD477C"/>
    <w:rPr>
      <w:b/>
      <w:bCs/>
    </w:rPr>
  </w:style>
  <w:style w:type="character" w:customStyle="1" w:styleId="zmlenmeyenBahsetme1">
    <w:name w:val="Çözümlenmeyen Bahsetme1"/>
    <w:basedOn w:val="VarsaylanParagrafYazTipi"/>
    <w:uiPriority w:val="99"/>
    <w:semiHidden/>
    <w:unhideWhenUsed/>
    <w:rsid w:val="00CA3FB0"/>
    <w:rPr>
      <w:color w:val="808080"/>
      <w:shd w:val="clear" w:color="auto" w:fill="E6E6E6"/>
    </w:rPr>
  </w:style>
  <w:style w:type="character" w:customStyle="1" w:styleId="UnresolvedMention2">
    <w:name w:val="Unresolved Mention2"/>
    <w:basedOn w:val="VarsaylanParagrafYazTipi"/>
    <w:uiPriority w:val="99"/>
    <w:semiHidden/>
    <w:unhideWhenUsed/>
    <w:rsid w:val="00F5328A"/>
    <w:rPr>
      <w:color w:val="808080"/>
      <w:shd w:val="clear" w:color="auto" w:fill="E6E6E6"/>
    </w:rPr>
  </w:style>
  <w:style w:type="character" w:styleId="zmlenmeyenBahsetme">
    <w:name w:val="Unresolved Mention"/>
    <w:basedOn w:val="VarsaylanParagrafYazTipi"/>
    <w:uiPriority w:val="99"/>
    <w:semiHidden/>
    <w:unhideWhenUsed/>
    <w:rsid w:val="00653A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8064">
      <w:bodyDiv w:val="1"/>
      <w:marLeft w:val="0"/>
      <w:marRight w:val="0"/>
      <w:marTop w:val="0"/>
      <w:marBottom w:val="0"/>
      <w:divBdr>
        <w:top w:val="none" w:sz="0" w:space="0" w:color="auto"/>
        <w:left w:val="none" w:sz="0" w:space="0" w:color="auto"/>
        <w:bottom w:val="none" w:sz="0" w:space="0" w:color="auto"/>
        <w:right w:val="none" w:sz="0" w:space="0" w:color="auto"/>
      </w:divBdr>
    </w:div>
    <w:div w:id="177431049">
      <w:bodyDiv w:val="1"/>
      <w:marLeft w:val="0"/>
      <w:marRight w:val="0"/>
      <w:marTop w:val="0"/>
      <w:marBottom w:val="0"/>
      <w:divBdr>
        <w:top w:val="none" w:sz="0" w:space="0" w:color="auto"/>
        <w:left w:val="none" w:sz="0" w:space="0" w:color="auto"/>
        <w:bottom w:val="none" w:sz="0" w:space="0" w:color="auto"/>
        <w:right w:val="none" w:sz="0" w:space="0" w:color="auto"/>
      </w:divBdr>
    </w:div>
    <w:div w:id="203252053">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48466379">
      <w:bodyDiv w:val="1"/>
      <w:marLeft w:val="0"/>
      <w:marRight w:val="0"/>
      <w:marTop w:val="0"/>
      <w:marBottom w:val="0"/>
      <w:divBdr>
        <w:top w:val="none" w:sz="0" w:space="0" w:color="auto"/>
        <w:left w:val="none" w:sz="0" w:space="0" w:color="auto"/>
        <w:bottom w:val="none" w:sz="0" w:space="0" w:color="auto"/>
        <w:right w:val="none" w:sz="0" w:space="0" w:color="auto"/>
      </w:divBdr>
    </w:div>
    <w:div w:id="401484970">
      <w:bodyDiv w:val="1"/>
      <w:marLeft w:val="0"/>
      <w:marRight w:val="0"/>
      <w:marTop w:val="0"/>
      <w:marBottom w:val="0"/>
      <w:divBdr>
        <w:top w:val="none" w:sz="0" w:space="0" w:color="auto"/>
        <w:left w:val="none" w:sz="0" w:space="0" w:color="auto"/>
        <w:bottom w:val="none" w:sz="0" w:space="0" w:color="auto"/>
        <w:right w:val="none" w:sz="0" w:space="0" w:color="auto"/>
      </w:divBdr>
    </w:div>
    <w:div w:id="408773253">
      <w:bodyDiv w:val="1"/>
      <w:marLeft w:val="0"/>
      <w:marRight w:val="0"/>
      <w:marTop w:val="0"/>
      <w:marBottom w:val="0"/>
      <w:divBdr>
        <w:top w:val="none" w:sz="0" w:space="0" w:color="auto"/>
        <w:left w:val="none" w:sz="0" w:space="0" w:color="auto"/>
        <w:bottom w:val="none" w:sz="0" w:space="0" w:color="auto"/>
        <w:right w:val="none" w:sz="0" w:space="0" w:color="auto"/>
      </w:divBdr>
    </w:div>
    <w:div w:id="500893531">
      <w:bodyDiv w:val="1"/>
      <w:marLeft w:val="0"/>
      <w:marRight w:val="0"/>
      <w:marTop w:val="0"/>
      <w:marBottom w:val="0"/>
      <w:divBdr>
        <w:top w:val="none" w:sz="0" w:space="0" w:color="auto"/>
        <w:left w:val="none" w:sz="0" w:space="0" w:color="auto"/>
        <w:bottom w:val="none" w:sz="0" w:space="0" w:color="auto"/>
        <w:right w:val="none" w:sz="0" w:space="0" w:color="auto"/>
      </w:divBdr>
    </w:div>
    <w:div w:id="728574628">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972637053">
      <w:bodyDiv w:val="1"/>
      <w:marLeft w:val="0"/>
      <w:marRight w:val="0"/>
      <w:marTop w:val="0"/>
      <w:marBottom w:val="0"/>
      <w:divBdr>
        <w:top w:val="none" w:sz="0" w:space="0" w:color="auto"/>
        <w:left w:val="none" w:sz="0" w:space="0" w:color="auto"/>
        <w:bottom w:val="none" w:sz="0" w:space="0" w:color="auto"/>
        <w:right w:val="none" w:sz="0" w:space="0" w:color="auto"/>
      </w:divBdr>
    </w:div>
    <w:div w:id="977879211">
      <w:bodyDiv w:val="1"/>
      <w:marLeft w:val="0"/>
      <w:marRight w:val="0"/>
      <w:marTop w:val="0"/>
      <w:marBottom w:val="0"/>
      <w:divBdr>
        <w:top w:val="none" w:sz="0" w:space="0" w:color="auto"/>
        <w:left w:val="none" w:sz="0" w:space="0" w:color="auto"/>
        <w:bottom w:val="none" w:sz="0" w:space="0" w:color="auto"/>
        <w:right w:val="none" w:sz="0" w:space="0" w:color="auto"/>
      </w:divBdr>
    </w:div>
    <w:div w:id="1138843021">
      <w:bodyDiv w:val="1"/>
      <w:marLeft w:val="0"/>
      <w:marRight w:val="0"/>
      <w:marTop w:val="0"/>
      <w:marBottom w:val="0"/>
      <w:divBdr>
        <w:top w:val="none" w:sz="0" w:space="0" w:color="auto"/>
        <w:left w:val="none" w:sz="0" w:space="0" w:color="auto"/>
        <w:bottom w:val="none" w:sz="0" w:space="0" w:color="auto"/>
        <w:right w:val="none" w:sz="0" w:space="0" w:color="auto"/>
      </w:divBdr>
    </w:div>
    <w:div w:id="1146975887">
      <w:bodyDiv w:val="1"/>
      <w:marLeft w:val="0"/>
      <w:marRight w:val="0"/>
      <w:marTop w:val="0"/>
      <w:marBottom w:val="0"/>
      <w:divBdr>
        <w:top w:val="none" w:sz="0" w:space="0" w:color="auto"/>
        <w:left w:val="none" w:sz="0" w:space="0" w:color="auto"/>
        <w:bottom w:val="none" w:sz="0" w:space="0" w:color="auto"/>
        <w:right w:val="none" w:sz="0" w:space="0" w:color="auto"/>
      </w:divBdr>
    </w:div>
    <w:div w:id="1212614884">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717525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12990254">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58071859">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29765605">
      <w:bodyDiv w:val="1"/>
      <w:marLeft w:val="0"/>
      <w:marRight w:val="0"/>
      <w:marTop w:val="0"/>
      <w:marBottom w:val="0"/>
      <w:divBdr>
        <w:top w:val="none" w:sz="0" w:space="0" w:color="auto"/>
        <w:left w:val="none" w:sz="0" w:space="0" w:color="auto"/>
        <w:bottom w:val="none" w:sz="0" w:space="0" w:color="auto"/>
        <w:right w:val="none" w:sz="0" w:space="0" w:color="auto"/>
      </w:divBdr>
    </w:div>
    <w:div w:id="1906867856">
      <w:bodyDiv w:val="1"/>
      <w:marLeft w:val="0"/>
      <w:marRight w:val="0"/>
      <w:marTop w:val="0"/>
      <w:marBottom w:val="0"/>
      <w:divBdr>
        <w:top w:val="none" w:sz="0" w:space="0" w:color="auto"/>
        <w:left w:val="none" w:sz="0" w:space="0" w:color="auto"/>
        <w:bottom w:val="none" w:sz="0" w:space="0" w:color="auto"/>
        <w:right w:val="none" w:sz="0" w:space="0" w:color="auto"/>
      </w:divBdr>
    </w:div>
    <w:div w:id="1935089275">
      <w:bodyDiv w:val="1"/>
      <w:marLeft w:val="0"/>
      <w:marRight w:val="0"/>
      <w:marTop w:val="0"/>
      <w:marBottom w:val="0"/>
      <w:divBdr>
        <w:top w:val="none" w:sz="0" w:space="0" w:color="auto"/>
        <w:left w:val="none" w:sz="0" w:space="0" w:color="auto"/>
        <w:bottom w:val="none" w:sz="0" w:space="0" w:color="auto"/>
        <w:right w:val="none" w:sz="0" w:space="0" w:color="auto"/>
      </w:divBdr>
    </w:div>
    <w:div w:id="2118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chart" Target="charts/chart2.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mailto:ugurcan.acar@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6" Type="http://schemas.openxmlformats.org/officeDocument/2006/relationships/hyperlink" Target="https://www.insee.fr/" TargetMode="External"/><Relationship Id="rId5" Type="http://schemas.openxmlformats.org/officeDocument/2006/relationships/hyperlink" Target="https://www.destatis.de/" TargetMode="External"/><Relationship Id="rId4" Type="http://schemas.openxmlformats.org/officeDocument/2006/relationships/hyperlink" Target="http://betam.bahcesehir.edu.tr/wp-content/uploads/2016/12/ArastirmaNotu203-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gurcan.acar\Dropbox%20(Personal)\buyume_tahmin\tuik_revizyon_takip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gurcan.acar\Dropbox%20(Personal)\buyume_degerlendirme\TUIK%20REVIZYON%20TAKIP\yeni_seri_revizyon_taki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Ç</a:t>
            </a:r>
            <a:r>
              <a:rPr lang="en-US"/>
              <a:t>3</a:t>
            </a:r>
          </a:p>
        </c:rich>
      </c:tx>
      <c:overlay val="0"/>
      <c:spPr>
        <a:noFill/>
        <a:ln>
          <a:noFill/>
        </a:ln>
        <a:effectLst/>
      </c:spPr>
    </c:title>
    <c:autoTitleDeleted val="0"/>
    <c:plotArea>
      <c:layout/>
      <c:lineChart>
        <c:grouping val="standard"/>
        <c:varyColors val="0"/>
        <c:ser>
          <c:idx val="0"/>
          <c:order val="0"/>
          <c:tx>
            <c:strRef>
              <c:f>grafik_yillik!$I$3</c:f>
              <c:strCache>
                <c:ptCount val="1"/>
                <c:pt idx="0">
                  <c:v>2016 Q3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grafik_yillik!$B$4:$B$8</c:f>
              <c:strCache>
                <c:ptCount val="5"/>
                <c:pt idx="0">
                  <c:v>2016Q3</c:v>
                </c:pt>
                <c:pt idx="1">
                  <c:v>2016Q4</c:v>
                </c:pt>
                <c:pt idx="2">
                  <c:v>2017Q1</c:v>
                </c:pt>
                <c:pt idx="3">
                  <c:v>2017Q2</c:v>
                </c:pt>
                <c:pt idx="4">
                  <c:v>2017Q3</c:v>
                </c:pt>
              </c:strCache>
            </c:strRef>
          </c:cat>
          <c:val>
            <c:numRef>
              <c:f>grafik_yillik!$I$4:$I$8</c:f>
              <c:numCache>
                <c:formatCode>General</c:formatCode>
                <c:ptCount val="5"/>
                <c:pt idx="0">
                  <c:v>-0.18318114907354752</c:v>
                </c:pt>
                <c:pt idx="1">
                  <c:v>0.7328030969518271</c:v>
                </c:pt>
                <c:pt idx="2">
                  <c:v>0.36616488213221066</c:v>
                </c:pt>
                <c:pt idx="3">
                  <c:v>0.84219580290081886</c:v>
                </c:pt>
                <c:pt idx="4">
                  <c:v>-7.6051842876765349E-2</c:v>
                </c:pt>
              </c:numCache>
            </c:numRef>
          </c:val>
          <c:smooth val="0"/>
          <c:extLst>
            <c:ext xmlns:c16="http://schemas.microsoft.com/office/drawing/2014/chart" uri="{C3380CC4-5D6E-409C-BE32-E72D297353CC}">
              <c16:uniqueId val="{00000000-0938-4438-89F6-6C3108C97D7F}"/>
            </c:ext>
          </c:extLst>
        </c:ser>
        <c:dLbls>
          <c:showLegendKey val="0"/>
          <c:showVal val="0"/>
          <c:showCatName val="0"/>
          <c:showSerName val="0"/>
          <c:showPercent val="0"/>
          <c:showBubbleSize val="0"/>
        </c:dLbls>
        <c:marker val="1"/>
        <c:smooth val="0"/>
        <c:axId val="170668416"/>
        <c:axId val="170670336"/>
      </c:lineChart>
      <c:catAx>
        <c:axId val="170668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670336"/>
        <c:crosses val="autoZero"/>
        <c:auto val="1"/>
        <c:lblAlgn val="ctr"/>
        <c:lblOffset val="100"/>
        <c:noMultiLvlLbl val="0"/>
      </c:catAx>
      <c:valAx>
        <c:axId val="170670336"/>
        <c:scaling>
          <c:orientation val="minMax"/>
          <c:min val="-0.3000000000000002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66841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Ç</a:t>
            </a:r>
            <a:r>
              <a:rPr lang="en-US"/>
              <a:t>1</a:t>
            </a:r>
          </a:p>
        </c:rich>
      </c:tx>
      <c:overlay val="0"/>
      <c:spPr>
        <a:noFill/>
        <a:ln>
          <a:noFill/>
        </a:ln>
        <a:effectLst/>
      </c:spPr>
    </c:title>
    <c:autoTitleDeleted val="0"/>
    <c:plotArea>
      <c:layout/>
      <c:lineChart>
        <c:grouping val="standard"/>
        <c:varyColors val="0"/>
        <c:ser>
          <c:idx val="0"/>
          <c:order val="0"/>
          <c:tx>
            <c:strRef>
              <c:f>grafik_ceyreklik!$G$2</c:f>
              <c:strCache>
                <c:ptCount val="1"/>
                <c:pt idx="0">
                  <c:v>2016 Q1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grafik_ceyreklik!$G$3:$G$7</c:f>
              <c:numCache>
                <c:formatCode>General</c:formatCode>
                <c:ptCount val="5"/>
                <c:pt idx="0">
                  <c:v>-0.37396120473803762</c:v>
                </c:pt>
                <c:pt idx="1">
                  <c:v>-3.4069582132119081E-2</c:v>
                </c:pt>
                <c:pt idx="2">
                  <c:v>0.40294526228272787</c:v>
                </c:pt>
                <c:pt idx="3">
                  <c:v>0.78610226015680951</c:v>
                </c:pt>
                <c:pt idx="4">
                  <c:v>0.61615591246658263</c:v>
                </c:pt>
              </c:numCache>
            </c:numRef>
          </c:val>
          <c:smooth val="0"/>
          <c:extLst>
            <c:ext xmlns:c16="http://schemas.microsoft.com/office/drawing/2014/chart" uri="{C3380CC4-5D6E-409C-BE32-E72D297353CC}">
              <c16:uniqueId val="{00000000-6D51-48D9-A7DB-BC4B4EBD77FA}"/>
            </c:ext>
          </c:extLst>
        </c:ser>
        <c:dLbls>
          <c:showLegendKey val="0"/>
          <c:showVal val="0"/>
          <c:showCatName val="0"/>
          <c:showSerName val="0"/>
          <c:showPercent val="0"/>
          <c:showBubbleSize val="0"/>
        </c:dLbls>
        <c:marker val="1"/>
        <c:smooth val="0"/>
        <c:axId val="189548800"/>
        <c:axId val="170135936"/>
      </c:lineChart>
      <c:catAx>
        <c:axId val="1895488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135936"/>
        <c:crosses val="autoZero"/>
        <c:auto val="1"/>
        <c:lblAlgn val="ctr"/>
        <c:lblOffset val="100"/>
        <c:noMultiLvlLbl val="0"/>
      </c:catAx>
      <c:valAx>
        <c:axId val="170135936"/>
        <c:scaling>
          <c:orientation val="minMax"/>
          <c:max val="1"/>
          <c:min val="-0.6000000000000005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9548800"/>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Ç</a:t>
            </a:r>
            <a:r>
              <a:rPr lang="en-US"/>
              <a:t>2</a:t>
            </a:r>
          </a:p>
        </c:rich>
      </c:tx>
      <c:overlay val="0"/>
      <c:spPr>
        <a:noFill/>
        <a:ln>
          <a:noFill/>
        </a:ln>
        <a:effectLst/>
      </c:spPr>
    </c:title>
    <c:autoTitleDeleted val="0"/>
    <c:plotArea>
      <c:layout/>
      <c:lineChart>
        <c:grouping val="standard"/>
        <c:varyColors val="0"/>
        <c:ser>
          <c:idx val="0"/>
          <c:order val="0"/>
          <c:tx>
            <c:strRef>
              <c:f>grafik_ceyreklik!$H$2</c:f>
              <c:strCache>
                <c:ptCount val="1"/>
                <c:pt idx="0">
                  <c:v>2016 Q2</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grafik_ceyreklik!$H$3:$H$7</c:f>
              <c:numCache>
                <c:formatCode>General</c:formatCode>
                <c:ptCount val="5"/>
                <c:pt idx="0">
                  <c:v>1.0719723800148406</c:v>
                </c:pt>
                <c:pt idx="1">
                  <c:v>1.7453388649088601</c:v>
                </c:pt>
                <c:pt idx="2">
                  <c:v>1.2570505118536497</c:v>
                </c:pt>
                <c:pt idx="3">
                  <c:v>0.69590158341657182</c:v>
                </c:pt>
                <c:pt idx="4">
                  <c:v>1.2313692126673155</c:v>
                </c:pt>
              </c:numCache>
            </c:numRef>
          </c:val>
          <c:smooth val="0"/>
          <c:extLst>
            <c:ext xmlns:c16="http://schemas.microsoft.com/office/drawing/2014/chart" uri="{C3380CC4-5D6E-409C-BE32-E72D297353CC}">
              <c16:uniqueId val="{00000000-040E-4FD6-AB47-CDB49E7848E2}"/>
            </c:ext>
          </c:extLst>
        </c:ser>
        <c:dLbls>
          <c:showLegendKey val="0"/>
          <c:showVal val="0"/>
          <c:showCatName val="0"/>
          <c:showSerName val="0"/>
          <c:showPercent val="0"/>
          <c:showBubbleSize val="0"/>
        </c:dLbls>
        <c:marker val="1"/>
        <c:smooth val="0"/>
        <c:axId val="170148224"/>
        <c:axId val="170150144"/>
      </c:lineChart>
      <c:catAx>
        <c:axId val="170148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150144"/>
        <c:crosses val="autoZero"/>
        <c:auto val="1"/>
        <c:lblAlgn val="ctr"/>
        <c:lblOffset val="100"/>
        <c:noMultiLvlLbl val="0"/>
      </c:catAx>
      <c:valAx>
        <c:axId val="170150144"/>
        <c:scaling>
          <c:orientation val="minMax"/>
          <c:max val="2"/>
          <c:min val="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148224"/>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Ç</a:t>
            </a:r>
            <a:r>
              <a:rPr lang="en-US"/>
              <a:t>3</a:t>
            </a:r>
          </a:p>
        </c:rich>
      </c:tx>
      <c:overlay val="0"/>
      <c:spPr>
        <a:noFill/>
        <a:ln>
          <a:noFill/>
        </a:ln>
        <a:effectLst/>
      </c:spPr>
    </c:title>
    <c:autoTitleDeleted val="0"/>
    <c:plotArea>
      <c:layout/>
      <c:lineChart>
        <c:grouping val="standard"/>
        <c:varyColors val="0"/>
        <c:ser>
          <c:idx val="0"/>
          <c:order val="0"/>
          <c:tx>
            <c:strRef>
              <c:f>grafik_ceyreklik!$I$2</c:f>
              <c:strCache>
                <c:ptCount val="1"/>
                <c:pt idx="0">
                  <c:v>2016 Q3</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grafik_ceyreklik!$I$3:$I$7</c:f>
              <c:numCache>
                <c:formatCode>General</c:formatCode>
                <c:ptCount val="5"/>
                <c:pt idx="0">
                  <c:v>-2.6556054555167337</c:v>
                </c:pt>
                <c:pt idx="1">
                  <c:v>-2.0813933731468532</c:v>
                </c:pt>
                <c:pt idx="2">
                  <c:v>-1.6262344226756653</c:v>
                </c:pt>
                <c:pt idx="3">
                  <c:v>-1.1981397613648577</c:v>
                </c:pt>
                <c:pt idx="4">
                  <c:v>-2.6468336491448383</c:v>
                </c:pt>
              </c:numCache>
            </c:numRef>
          </c:val>
          <c:smooth val="0"/>
          <c:extLst>
            <c:ext xmlns:c16="http://schemas.microsoft.com/office/drawing/2014/chart" uri="{C3380CC4-5D6E-409C-BE32-E72D297353CC}">
              <c16:uniqueId val="{00000000-C05D-4F05-9D09-6F4021F8232A}"/>
            </c:ext>
          </c:extLst>
        </c:ser>
        <c:dLbls>
          <c:showLegendKey val="0"/>
          <c:showVal val="0"/>
          <c:showCatName val="0"/>
          <c:showSerName val="0"/>
          <c:showPercent val="0"/>
          <c:showBubbleSize val="0"/>
        </c:dLbls>
        <c:marker val="1"/>
        <c:smooth val="0"/>
        <c:axId val="170155392"/>
        <c:axId val="170168704"/>
      </c:lineChart>
      <c:catAx>
        <c:axId val="1701553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168704"/>
        <c:crosses val="autoZero"/>
        <c:auto val="1"/>
        <c:lblAlgn val="ctr"/>
        <c:lblOffset val="100"/>
        <c:noMultiLvlLbl val="0"/>
      </c:catAx>
      <c:valAx>
        <c:axId val="170168704"/>
        <c:scaling>
          <c:orientation val="minMax"/>
          <c:max val="-1.1000000000000001"/>
          <c:min val="-2.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0155392"/>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2016</a:t>
            </a:r>
            <a:r>
              <a:rPr lang="tr-TR"/>
              <a:t>Ç</a:t>
            </a:r>
            <a:r>
              <a:rPr lang="en-US"/>
              <a:t>4</a:t>
            </a:r>
          </a:p>
        </c:rich>
      </c:tx>
      <c:overlay val="0"/>
      <c:spPr>
        <a:noFill/>
        <a:ln>
          <a:noFill/>
        </a:ln>
        <a:effectLst/>
      </c:spPr>
    </c:title>
    <c:autoTitleDeleted val="0"/>
    <c:plotArea>
      <c:layout/>
      <c:lineChart>
        <c:grouping val="standard"/>
        <c:varyColors val="0"/>
        <c:ser>
          <c:idx val="0"/>
          <c:order val="0"/>
          <c:tx>
            <c:strRef>
              <c:f>grafik_ceyreklik!$J$2</c:f>
              <c:strCache>
                <c:ptCount val="1"/>
                <c:pt idx="0">
                  <c:v>2016 Q4</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grafik_ceyreklik!$B$3:$B$7</c:f>
              <c:strCache>
                <c:ptCount val="5"/>
                <c:pt idx="0">
                  <c:v>2016Q3</c:v>
                </c:pt>
                <c:pt idx="1">
                  <c:v>2016Q4</c:v>
                </c:pt>
                <c:pt idx="2">
                  <c:v>2017Q1</c:v>
                </c:pt>
                <c:pt idx="3">
                  <c:v>2017Q2</c:v>
                </c:pt>
                <c:pt idx="4">
                  <c:v>2017Q3</c:v>
                </c:pt>
              </c:strCache>
            </c:strRef>
          </c:cat>
          <c:val>
            <c:numRef>
              <c:f>grafik_ceyreklik!$J$3:$J$7</c:f>
              <c:numCache>
                <c:formatCode>General</c:formatCode>
                <c:ptCount val="5"/>
                <c:pt idx="1">
                  <c:v>3.8246637572155766</c:v>
                </c:pt>
                <c:pt idx="2">
                  <c:v>3.4200843409537782</c:v>
                </c:pt>
                <c:pt idx="3">
                  <c:v>3.9056087711528837</c:v>
                </c:pt>
                <c:pt idx="4">
                  <c:v>4.8728361431714688</c:v>
                </c:pt>
              </c:numCache>
            </c:numRef>
          </c:val>
          <c:smooth val="0"/>
          <c:extLst>
            <c:ext xmlns:c16="http://schemas.microsoft.com/office/drawing/2014/chart" uri="{C3380CC4-5D6E-409C-BE32-E72D297353CC}">
              <c16:uniqueId val="{00000000-3418-42C6-943E-33A266EFECD4}"/>
            </c:ext>
          </c:extLst>
        </c:ser>
        <c:dLbls>
          <c:showLegendKey val="0"/>
          <c:showVal val="0"/>
          <c:showCatName val="0"/>
          <c:showSerName val="0"/>
          <c:showPercent val="0"/>
          <c:showBubbleSize val="0"/>
        </c:dLbls>
        <c:marker val="1"/>
        <c:smooth val="0"/>
        <c:axId val="192090496"/>
        <c:axId val="192092416"/>
      </c:lineChart>
      <c:catAx>
        <c:axId val="192090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92416"/>
        <c:crosses val="autoZero"/>
        <c:auto val="1"/>
        <c:lblAlgn val="ctr"/>
        <c:lblOffset val="100"/>
        <c:noMultiLvlLbl val="0"/>
      </c:catAx>
      <c:valAx>
        <c:axId val="192092416"/>
        <c:scaling>
          <c:orientation val="minMax"/>
          <c:max val="4.9000000000000004"/>
          <c:min val="3.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90496"/>
        <c:crosses val="autoZero"/>
        <c:crossBetween val="between"/>
        <c:maj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6BE35-03FE-4C2E-98BC-B65E3433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2365</Words>
  <Characters>13483</Characters>
  <Application>Microsoft Office Word</Application>
  <DocSecurity>0</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Uğurcan ACAR</cp:lastModifiedBy>
  <cp:revision>14</cp:revision>
  <dcterms:created xsi:type="dcterms:W3CDTF">2018-01-29T09:00:00Z</dcterms:created>
  <dcterms:modified xsi:type="dcterms:W3CDTF">2018-02-05T07:01:00Z</dcterms:modified>
</cp:coreProperties>
</file>