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13" w:rsidRPr="00924CD9" w:rsidRDefault="00D90931">
      <w:pPr>
        <w:rPr>
          <w:rFonts w:ascii="Palatino Linotype" w:hAnsi="Palatino Linotype" w:cstheme="minorHAnsi"/>
        </w:rPr>
      </w:pPr>
      <w:r>
        <w:rPr>
          <w:rFonts w:ascii="Palatino Linotype" w:hAnsi="Palatino Linotype" w:cstheme="minorHAnsi"/>
          <w:noProof/>
        </w:rPr>
        <mc:AlternateContent>
          <mc:Choice Requires="wps">
            <w:drawing>
              <wp:anchor distT="0" distB="0" distL="114935" distR="114935" simplePos="0" relativeHeight="251661824" behindDoc="0" locked="0" layoutInCell="1" allowOverlap="1">
                <wp:simplePos x="0" y="0"/>
                <wp:positionH relativeFrom="column">
                  <wp:posOffset>4748530</wp:posOffset>
                </wp:positionH>
                <wp:positionV relativeFrom="paragraph">
                  <wp:posOffset>5080</wp:posOffset>
                </wp:positionV>
                <wp:extent cx="1711960"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Pr="00D07713" w:rsidRDefault="001537D8"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14</w:t>
                            </w:r>
                            <w:r w:rsidR="00D07713" w:rsidRPr="00D07713">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Aralık</w:t>
                            </w:r>
                            <w:r w:rsidR="00D07713" w:rsidRPr="00D07713">
                              <w:rPr>
                                <w:rFonts w:ascii="Arial" w:eastAsia="Times New Roman" w:hAnsi="Arial" w:cs="Arial"/>
                                <w:b/>
                                <w:bCs/>
                                <w:color w:val="FFFFFF"/>
                                <w:sz w:val="22"/>
                                <w:szCs w:val="22"/>
                                <w:lang w:eastAsia="ar-SA"/>
                              </w:rPr>
                              <w:t xml:space="preserve"> 2017</w:t>
                            </w:r>
                          </w:p>
                          <w:p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9pt;margin-top:.4pt;width:134.8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tiAIAABw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" stroked="f">
                <v:fill opacity="0"/>
                <v:textbox inset="0,0,0,0">
                  <w:txbxContent>
                    <w:p w:rsidR="00D07713" w:rsidRPr="00D07713" w:rsidRDefault="001537D8"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14</w:t>
                      </w:r>
                      <w:r w:rsidR="00D07713" w:rsidRPr="00D07713">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Aralık</w:t>
                      </w:r>
                      <w:r w:rsidR="00D07713" w:rsidRPr="00D07713">
                        <w:rPr>
                          <w:rFonts w:ascii="Arial" w:eastAsia="Times New Roman" w:hAnsi="Arial" w:cs="Arial"/>
                          <w:b/>
                          <w:bCs/>
                          <w:color w:val="FFFFFF"/>
                          <w:sz w:val="22"/>
                          <w:szCs w:val="22"/>
                          <w:lang w:eastAsia="ar-SA"/>
                        </w:rPr>
                        <w:t xml:space="preserve"> 2017</w:t>
                      </w:r>
                    </w:p>
                    <w:p w:rsidR="00D07713" w:rsidRPr="00187FA0" w:rsidRDefault="00D07713" w:rsidP="00D07713"/>
                  </w:txbxContent>
                </v:textbox>
              </v:shape>
            </w:pict>
          </mc:Fallback>
        </mc:AlternateContent>
      </w:r>
      <w:r>
        <w:rPr>
          <w:rFonts w:ascii="Palatino Linotype" w:hAnsi="Palatino Linotype" w:cstheme="minorHAnsi"/>
          <w:noProof/>
        </w:rPr>
        <mc:AlternateContent>
          <mc:Choice Requires="wps">
            <w:drawing>
              <wp:anchor distT="0" distB="0" distL="114935" distR="114935" simplePos="0" relativeHeight="251658752" behindDoc="0" locked="0" layoutInCell="1" allowOverlap="1">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proofErr w:type="gramStart"/>
                            <w:r>
                              <w:rPr>
                                <w:rFonts w:ascii="Times New Roman" w:hAnsi="Times New Roman" w:cs="Times New Roman"/>
                                <w:sz w:val="40"/>
                                <w:szCs w:val="40"/>
                              </w:rPr>
                              <w:t>Değerlendirmesi</w:t>
                            </w:r>
                            <w:r w:rsidRPr="00803E3E">
                              <w:rPr>
                                <w:rFonts w:ascii="Times New Roman" w:hAnsi="Times New Roman" w:cs="Times New Roman"/>
                                <w:sz w:val="40"/>
                                <w:szCs w:val="40"/>
                              </w:rPr>
                              <w:t xml:space="preserve"> :</w:t>
                            </w:r>
                            <w:proofErr w:type="gramEnd"/>
                            <w:r w:rsidRPr="00803E3E">
                              <w:rPr>
                                <w:rFonts w:ascii="Times New Roman" w:hAnsi="Times New Roman" w:cs="Times New Roman"/>
                                <w:sz w:val="40"/>
                                <w:szCs w:val="40"/>
                              </w:rPr>
                              <w:t xml:space="preserve"> </w:t>
                            </w:r>
                          </w:p>
                          <w:p w:rsidR="00D07713" w:rsidRPr="00526178" w:rsidRDefault="001537D8" w:rsidP="00D07713">
                            <w:pPr>
                              <w:pStyle w:val="Heading1"/>
                              <w:rPr>
                                <w:b w:val="0"/>
                                <w:bCs w:val="0"/>
                                <w:i/>
                                <w:iCs/>
                              </w:rPr>
                            </w:pPr>
                            <w:r>
                              <w:rPr>
                                <w:rFonts w:ascii="Times New Roman" w:hAnsi="Times New Roman" w:cs="Times New Roman"/>
                                <w:sz w:val="40"/>
                                <w:szCs w:val="40"/>
                              </w:rPr>
                              <w:t>2017 3</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proofErr w:type="gramStart"/>
                      <w:r>
                        <w:rPr>
                          <w:rFonts w:ascii="Times New Roman" w:hAnsi="Times New Roman" w:cs="Times New Roman"/>
                          <w:sz w:val="40"/>
                          <w:szCs w:val="40"/>
                        </w:rPr>
                        <w:t>Değerlendirmesi</w:t>
                      </w:r>
                      <w:r w:rsidRPr="00803E3E">
                        <w:rPr>
                          <w:rFonts w:ascii="Times New Roman" w:hAnsi="Times New Roman" w:cs="Times New Roman"/>
                          <w:sz w:val="40"/>
                          <w:szCs w:val="40"/>
                        </w:rPr>
                        <w:t xml:space="preserve"> :</w:t>
                      </w:r>
                      <w:proofErr w:type="gramEnd"/>
                      <w:r w:rsidRPr="00803E3E">
                        <w:rPr>
                          <w:rFonts w:ascii="Times New Roman" w:hAnsi="Times New Roman" w:cs="Times New Roman"/>
                          <w:sz w:val="40"/>
                          <w:szCs w:val="40"/>
                        </w:rPr>
                        <w:t xml:space="preserve"> </w:t>
                      </w:r>
                    </w:p>
                    <w:p w:rsidR="00D07713" w:rsidRPr="00526178" w:rsidRDefault="001537D8" w:rsidP="00D07713">
                      <w:pPr>
                        <w:pStyle w:val="Heading1"/>
                        <w:rPr>
                          <w:b w:val="0"/>
                          <w:bCs w:val="0"/>
                          <w:i/>
                          <w:iCs/>
                        </w:rPr>
                      </w:pPr>
                      <w:r>
                        <w:rPr>
                          <w:rFonts w:ascii="Times New Roman" w:hAnsi="Times New Roman" w:cs="Times New Roman"/>
                          <w:sz w:val="40"/>
                          <w:szCs w:val="40"/>
                        </w:rPr>
                        <w:t>2017 3</w:t>
                      </w:r>
                      <w:r w:rsidR="00D07713" w:rsidRPr="00803E3E">
                        <w:rPr>
                          <w:rFonts w:ascii="Times New Roman" w:hAnsi="Times New Roman" w:cs="Times New Roman"/>
                          <w:sz w:val="40"/>
                          <w:szCs w:val="40"/>
                        </w:rPr>
                        <w:t>. Çeyrek</w:t>
                      </w:r>
                    </w:p>
                  </w:txbxContent>
                </v:textbox>
              </v:shape>
            </w:pict>
          </mc:Fallback>
        </mc:AlternateContent>
      </w:r>
      <w:r w:rsidR="00D07713" w:rsidRPr="00924CD9">
        <w:rPr>
          <w:rFonts w:ascii="Palatino Linotype" w:hAnsi="Palatino Linotype" w:cstheme="minorHAnsi"/>
          <w:noProof/>
        </w:rPr>
        <w:drawing>
          <wp:anchor distT="0" distB="0" distL="114300" distR="114300" simplePos="0" relativeHeight="251655680" behindDoc="1" locked="0" layoutInCell="1" allowOverlap="1">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D07713" w:rsidRPr="00924CD9" w:rsidRDefault="00D07713">
      <w:pPr>
        <w:rPr>
          <w:rFonts w:ascii="Palatino Linotype" w:hAnsi="Palatino Linotype" w:cstheme="minorHAnsi"/>
        </w:rPr>
      </w:pPr>
    </w:p>
    <w:p w:rsidR="00D07713" w:rsidRPr="00924CD9" w:rsidRDefault="00D07713" w:rsidP="00D07713">
      <w:pPr>
        <w:spacing w:line="288" w:lineRule="auto"/>
        <w:ind w:right="-319"/>
        <w:jc w:val="center"/>
        <w:outlineLvl w:val="0"/>
        <w:rPr>
          <w:rFonts w:ascii="Palatino Linotype" w:hAnsi="Palatino Linotype" w:cstheme="minorHAnsi"/>
          <w:b/>
          <w:bCs/>
          <w:sz w:val="28"/>
          <w:szCs w:val="28"/>
        </w:rPr>
      </w:pPr>
    </w:p>
    <w:p w:rsidR="00D07713" w:rsidRPr="00924CD9" w:rsidRDefault="001537D8" w:rsidP="00924CD9">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ÜÇÜNCÜ ÇEYREK BÜYÜMESİ BEKLENENDEN YÜKSEK ÇIKTI</w:t>
      </w:r>
    </w:p>
    <w:p w:rsidR="00D07713" w:rsidRPr="00924CD9" w:rsidRDefault="003172DB" w:rsidP="00D07713">
      <w:pPr>
        <w:jc w:val="center"/>
        <w:rPr>
          <w:rFonts w:ascii="Palatino Linotype" w:hAnsi="Palatino Linotype" w:cstheme="minorHAnsi"/>
        </w:rPr>
      </w:pPr>
      <w:r w:rsidRPr="00924CD9">
        <w:rPr>
          <w:rFonts w:ascii="Palatino Linotype" w:hAnsi="Palatino Linotype" w:cstheme="minorHAnsi"/>
          <w:b/>
          <w:bCs/>
          <w:sz w:val="22"/>
          <w:szCs w:val="22"/>
        </w:rPr>
        <w:t>Seyfettin Gürsel</w:t>
      </w:r>
      <w:r w:rsidRPr="00924CD9">
        <w:rPr>
          <w:rStyle w:val="FootnoteReference"/>
          <w:rFonts w:ascii="Palatino Linotype" w:hAnsi="Palatino Linotype" w:cstheme="minorHAnsi"/>
          <w:b/>
          <w:bCs/>
          <w:sz w:val="22"/>
          <w:szCs w:val="22"/>
        </w:rPr>
        <w:footnoteReference w:id="1"/>
      </w:r>
      <w:r>
        <w:rPr>
          <w:rFonts w:ascii="Palatino Linotype" w:hAnsi="Palatino Linotype" w:cstheme="minorHAnsi"/>
          <w:b/>
          <w:bCs/>
          <w:sz w:val="22"/>
          <w:szCs w:val="22"/>
        </w:rPr>
        <w:t>,</w:t>
      </w:r>
      <w:r w:rsidRPr="00924CD9">
        <w:rPr>
          <w:rFonts w:ascii="Palatino Linotype" w:hAnsi="Palatino Linotype" w:cstheme="minorHAnsi"/>
          <w:b/>
          <w:bCs/>
          <w:sz w:val="22"/>
          <w:szCs w:val="22"/>
        </w:rPr>
        <w:t xml:space="preserve"> </w:t>
      </w:r>
      <w:r w:rsidR="00D07713" w:rsidRPr="00924CD9">
        <w:rPr>
          <w:rFonts w:ascii="Palatino Linotype" w:hAnsi="Palatino Linotype" w:cstheme="minorHAnsi"/>
          <w:b/>
          <w:bCs/>
          <w:sz w:val="22"/>
          <w:szCs w:val="22"/>
        </w:rPr>
        <w:t>Ozan Bakış</w:t>
      </w:r>
      <w:r w:rsidR="00C32789" w:rsidRPr="00924CD9">
        <w:rPr>
          <w:rStyle w:val="FootnoteReference"/>
          <w:rFonts w:ascii="Palatino Linotype" w:hAnsi="Palatino Linotype" w:cstheme="minorHAnsi"/>
          <w:b/>
          <w:bCs/>
          <w:sz w:val="22"/>
          <w:szCs w:val="22"/>
        </w:rPr>
        <w:footnoteReference w:id="2"/>
      </w:r>
      <w:r w:rsidR="001537D8">
        <w:rPr>
          <w:rFonts w:ascii="Palatino Linotype" w:hAnsi="Palatino Linotype" w:cstheme="minorHAnsi"/>
          <w:b/>
          <w:bCs/>
          <w:sz w:val="22"/>
          <w:szCs w:val="22"/>
        </w:rPr>
        <w:t xml:space="preserve"> ve Uğurcan Acar</w:t>
      </w:r>
      <w:r w:rsidR="001537D8">
        <w:rPr>
          <w:rStyle w:val="FootnoteReference"/>
          <w:rFonts w:ascii="Palatino Linotype" w:hAnsi="Palatino Linotype" w:cstheme="minorHAnsi"/>
          <w:b/>
          <w:bCs/>
          <w:sz w:val="22"/>
          <w:szCs w:val="22"/>
        </w:rPr>
        <w:footnoteReference w:id="3"/>
      </w:r>
      <w:r w:rsidR="001537D8">
        <w:rPr>
          <w:rFonts w:ascii="Palatino Linotype" w:hAnsi="Palatino Linotype" w:cstheme="minorHAnsi"/>
          <w:b/>
          <w:bCs/>
          <w:sz w:val="22"/>
          <w:szCs w:val="22"/>
        </w:rPr>
        <w:t xml:space="preserve"> </w:t>
      </w:r>
    </w:p>
    <w:p w:rsidR="00D07713" w:rsidRPr="00924CD9" w:rsidRDefault="00D07713">
      <w:pPr>
        <w:rPr>
          <w:rFonts w:ascii="Palatino Linotype" w:hAnsi="Palatino Linotype" w:cstheme="minorHAnsi"/>
        </w:rPr>
      </w:pPr>
    </w:p>
    <w:p w:rsidR="00D257C1" w:rsidRPr="00AE59EE" w:rsidRDefault="00D257C1" w:rsidP="007B70AD">
      <w:pPr>
        <w:jc w:val="center"/>
        <w:rPr>
          <w:rFonts w:ascii="Palatino Linotype" w:hAnsi="Palatino Linotype" w:cstheme="minorHAnsi"/>
          <w:b/>
          <w:sz w:val="22"/>
          <w:szCs w:val="22"/>
        </w:rPr>
      </w:pPr>
      <w:r w:rsidRPr="00924CD9">
        <w:rPr>
          <w:rFonts w:ascii="Palatino Linotype" w:hAnsi="Palatino Linotype" w:cstheme="minorHAnsi"/>
          <w:b/>
          <w:sz w:val="22"/>
          <w:szCs w:val="22"/>
        </w:rPr>
        <w:t>Yönetici</w:t>
      </w:r>
      <w:bookmarkStart w:id="0" w:name="_GoBack"/>
      <w:bookmarkEnd w:id="0"/>
      <w:r w:rsidR="001537D8">
        <w:rPr>
          <w:rFonts w:ascii="Palatino Linotype" w:hAnsi="Palatino Linotype" w:cstheme="minorHAnsi"/>
          <w:b/>
          <w:sz w:val="22"/>
          <w:szCs w:val="22"/>
        </w:rPr>
        <w:t xml:space="preserve"> </w:t>
      </w:r>
      <w:r w:rsidRPr="00924CD9">
        <w:rPr>
          <w:rFonts w:ascii="Palatino Linotype" w:hAnsi="Palatino Linotype" w:cstheme="minorHAnsi"/>
          <w:b/>
          <w:sz w:val="22"/>
          <w:szCs w:val="22"/>
        </w:rPr>
        <w:t>Özeti</w:t>
      </w:r>
    </w:p>
    <w:p w:rsidR="00D07713" w:rsidRPr="00AE59EE" w:rsidRDefault="00D257C1" w:rsidP="001F7BC7">
      <w:pPr>
        <w:spacing w:after="120"/>
        <w:ind w:left="567" w:right="567"/>
        <w:jc w:val="both"/>
        <w:rPr>
          <w:rFonts w:ascii="Palatino Linotype" w:hAnsi="Palatino Linotype" w:cstheme="minorHAnsi"/>
          <w:strike/>
          <w:sz w:val="22"/>
          <w:szCs w:val="22"/>
        </w:rPr>
      </w:pPr>
      <w:r w:rsidRPr="00AE59EE">
        <w:rPr>
          <w:rFonts w:ascii="Palatino Linotype" w:hAnsi="Palatino Linotype" w:cstheme="minorHAnsi"/>
          <w:sz w:val="22"/>
          <w:szCs w:val="22"/>
        </w:rPr>
        <w:t xml:space="preserve">2017 yılının </w:t>
      </w:r>
      <w:r w:rsidR="00E306CB" w:rsidRPr="00AE59EE">
        <w:rPr>
          <w:rFonts w:ascii="Palatino Linotype" w:hAnsi="Palatino Linotype" w:cstheme="minorHAnsi"/>
          <w:sz w:val="22"/>
          <w:szCs w:val="22"/>
        </w:rPr>
        <w:t>üçüncü</w:t>
      </w:r>
      <w:r w:rsidRPr="00AE59EE">
        <w:rPr>
          <w:rFonts w:ascii="Palatino Linotype" w:hAnsi="Palatino Linotype" w:cstheme="minorHAnsi"/>
          <w:sz w:val="22"/>
          <w:szCs w:val="22"/>
        </w:rPr>
        <w:t xml:space="preserve"> çeyreğinde Gayri Safi Yurtiçi Hasıla (GSYH) mevsim ve takvim etkilerinden arındırılmış rakamlarla bir önceki çeyreğe kıyasla yüzde </w:t>
      </w:r>
      <w:r w:rsidR="00E306CB" w:rsidRPr="00AE59EE">
        <w:rPr>
          <w:rFonts w:ascii="Palatino Linotype" w:hAnsi="Palatino Linotype" w:cstheme="minorHAnsi"/>
          <w:sz w:val="22"/>
          <w:szCs w:val="22"/>
        </w:rPr>
        <w:t>1</w:t>
      </w:r>
      <w:r w:rsidRPr="00AE59EE">
        <w:rPr>
          <w:rFonts w:ascii="Palatino Linotype" w:hAnsi="Palatino Linotype" w:cstheme="minorHAnsi"/>
          <w:sz w:val="22"/>
          <w:szCs w:val="22"/>
        </w:rPr>
        <w:t>,</w:t>
      </w:r>
      <w:r w:rsidR="00E306CB" w:rsidRPr="00AE59EE">
        <w:rPr>
          <w:rFonts w:ascii="Palatino Linotype" w:hAnsi="Palatino Linotype" w:cstheme="minorHAnsi"/>
          <w:sz w:val="22"/>
          <w:szCs w:val="22"/>
        </w:rPr>
        <w:t>2</w:t>
      </w:r>
      <w:r w:rsidRPr="00AE59EE">
        <w:rPr>
          <w:rFonts w:ascii="Palatino Linotype" w:hAnsi="Palatino Linotype" w:cstheme="minorHAnsi"/>
          <w:sz w:val="22"/>
          <w:szCs w:val="22"/>
        </w:rPr>
        <w:t xml:space="preserve">, geçen yılın </w:t>
      </w:r>
      <w:r w:rsidR="00E306CB" w:rsidRPr="00AE59EE">
        <w:rPr>
          <w:rFonts w:ascii="Palatino Linotype" w:hAnsi="Palatino Linotype" w:cstheme="minorHAnsi"/>
          <w:sz w:val="22"/>
          <w:szCs w:val="22"/>
        </w:rPr>
        <w:t>üçüncü</w:t>
      </w:r>
      <w:r w:rsidRPr="00AE59EE">
        <w:rPr>
          <w:rFonts w:ascii="Palatino Linotype" w:hAnsi="Palatino Linotype" w:cstheme="minorHAnsi"/>
          <w:sz w:val="22"/>
          <w:szCs w:val="22"/>
        </w:rPr>
        <w:t xml:space="preserve"> çeyreğine kıyasla yüzde </w:t>
      </w:r>
      <w:r w:rsidR="00E306CB" w:rsidRPr="00AE59EE">
        <w:rPr>
          <w:rFonts w:ascii="Palatino Linotype" w:hAnsi="Palatino Linotype" w:cstheme="minorHAnsi"/>
          <w:sz w:val="22"/>
          <w:szCs w:val="22"/>
        </w:rPr>
        <w:t>11</w:t>
      </w:r>
      <w:r w:rsidRPr="00AE59EE">
        <w:rPr>
          <w:rFonts w:ascii="Palatino Linotype" w:hAnsi="Palatino Linotype" w:cstheme="minorHAnsi"/>
          <w:sz w:val="22"/>
          <w:szCs w:val="22"/>
        </w:rPr>
        <w:t xml:space="preserve">,1 oranında arttı. </w:t>
      </w:r>
      <w:r w:rsidR="00CC79C0" w:rsidRPr="00AE59EE">
        <w:rPr>
          <w:rFonts w:ascii="Palatino Linotype" w:hAnsi="Palatino Linotype" w:cstheme="minorHAnsi"/>
          <w:sz w:val="22"/>
          <w:szCs w:val="22"/>
        </w:rPr>
        <w:t xml:space="preserve">Yıldan yıla büyümeye </w:t>
      </w:r>
      <w:r w:rsidRPr="00AE59EE">
        <w:rPr>
          <w:rFonts w:ascii="Palatino Linotype" w:hAnsi="Palatino Linotype" w:cstheme="minorHAnsi"/>
          <w:sz w:val="22"/>
          <w:szCs w:val="22"/>
        </w:rPr>
        <w:t>en yüksek katkıyı</w:t>
      </w:r>
      <w:r w:rsidR="00CC79C0" w:rsidRPr="00AE59EE">
        <w:rPr>
          <w:rFonts w:ascii="Palatino Linotype" w:hAnsi="Palatino Linotype" w:cstheme="minorHAnsi"/>
          <w:sz w:val="22"/>
          <w:szCs w:val="22"/>
        </w:rPr>
        <w:t>yüzde 1</w:t>
      </w:r>
      <w:r w:rsidR="000978C8" w:rsidRPr="00AE59EE">
        <w:rPr>
          <w:rFonts w:ascii="Palatino Linotype" w:hAnsi="Palatino Linotype" w:cstheme="minorHAnsi"/>
          <w:sz w:val="22"/>
          <w:szCs w:val="22"/>
        </w:rPr>
        <w:t>1,7</w:t>
      </w:r>
      <w:r w:rsidR="00CC79C0" w:rsidRPr="00AE59EE">
        <w:rPr>
          <w:rFonts w:ascii="Palatino Linotype" w:hAnsi="Palatino Linotype" w:cstheme="minorHAnsi"/>
          <w:sz w:val="22"/>
          <w:szCs w:val="22"/>
        </w:rPr>
        <w:t xml:space="preserve"> büyüyen </w:t>
      </w:r>
      <w:r w:rsidR="000978C8" w:rsidRPr="00AE59EE">
        <w:rPr>
          <w:rFonts w:ascii="Palatino Linotype" w:hAnsi="Palatino Linotype" w:cstheme="minorHAnsi"/>
          <w:sz w:val="22"/>
          <w:szCs w:val="22"/>
        </w:rPr>
        <w:t xml:space="preserve">özel tüketim </w:t>
      </w:r>
      <w:r w:rsidR="00CC79C0" w:rsidRPr="00AE59EE">
        <w:rPr>
          <w:rFonts w:ascii="Palatino Linotype" w:hAnsi="Palatino Linotype" w:cstheme="minorHAnsi"/>
          <w:sz w:val="22"/>
          <w:szCs w:val="22"/>
        </w:rPr>
        <w:t>yaptı</w:t>
      </w:r>
      <w:r w:rsidR="000978C8" w:rsidRPr="00AE59EE">
        <w:rPr>
          <w:rFonts w:ascii="Palatino Linotype" w:hAnsi="Palatino Linotype" w:cstheme="minorHAnsi"/>
          <w:sz w:val="22"/>
          <w:szCs w:val="22"/>
        </w:rPr>
        <w:t xml:space="preserve"> (6,9 yüzde puan)</w:t>
      </w:r>
      <w:r w:rsidR="00CC79C0" w:rsidRPr="00AE59EE">
        <w:rPr>
          <w:rFonts w:ascii="Palatino Linotype" w:hAnsi="Palatino Linotype" w:cstheme="minorHAnsi"/>
          <w:sz w:val="22"/>
          <w:szCs w:val="22"/>
        </w:rPr>
        <w:t xml:space="preserve">. </w:t>
      </w:r>
      <w:r w:rsidR="000978C8" w:rsidRPr="00AE59EE">
        <w:rPr>
          <w:rFonts w:ascii="Palatino Linotype" w:hAnsi="Palatino Linotype" w:cstheme="minorHAnsi"/>
          <w:sz w:val="22"/>
          <w:szCs w:val="22"/>
        </w:rPr>
        <w:t xml:space="preserve">Yüzde 12’nin üzerinde büyüyen yatırımların katkısı 3,5 yüzde puan oldu. İhracat ve ithalat katkıları ise zıt yönlerde ve neredeyse eşit büyüklükte olduğu için net dış ticaretin katkısı yoktur denebilir. </w:t>
      </w:r>
      <w:r w:rsidR="00451A8A" w:rsidRPr="00AE59EE">
        <w:rPr>
          <w:rFonts w:ascii="Palatino Linotype" w:hAnsi="Palatino Linotype" w:cstheme="minorHAnsi"/>
          <w:sz w:val="22"/>
          <w:szCs w:val="22"/>
        </w:rPr>
        <w:t>Buna karşılık k</w:t>
      </w:r>
      <w:r w:rsidR="00CC79C0" w:rsidRPr="00AE59EE">
        <w:rPr>
          <w:rFonts w:ascii="Palatino Linotype" w:hAnsi="Palatino Linotype" w:cstheme="minorHAnsi"/>
          <w:sz w:val="22"/>
          <w:szCs w:val="22"/>
        </w:rPr>
        <w:t>amu tüketimi</w:t>
      </w:r>
      <w:r w:rsidR="000978C8" w:rsidRPr="00AE59EE">
        <w:rPr>
          <w:rFonts w:ascii="Palatino Linotype" w:hAnsi="Palatino Linotype" w:cstheme="minorHAnsi"/>
          <w:sz w:val="22"/>
          <w:szCs w:val="22"/>
        </w:rPr>
        <w:t xml:space="preserve"> ve</w:t>
      </w:r>
      <w:r w:rsidR="00CC79C0" w:rsidRPr="00AE59EE">
        <w:rPr>
          <w:rFonts w:ascii="Palatino Linotype" w:hAnsi="Palatino Linotype" w:cstheme="minorHAnsi"/>
          <w:sz w:val="22"/>
          <w:szCs w:val="22"/>
        </w:rPr>
        <w:t xml:space="preserve"> stok değişiminin katkısı </w:t>
      </w:r>
      <w:r w:rsidR="000978C8" w:rsidRPr="00AE59EE">
        <w:rPr>
          <w:rFonts w:ascii="Palatino Linotype" w:hAnsi="Palatino Linotype" w:cstheme="minorHAnsi"/>
          <w:sz w:val="22"/>
          <w:szCs w:val="22"/>
        </w:rPr>
        <w:t>pozitif olmakla birlikte çok küçük kaldı</w:t>
      </w:r>
      <w:r w:rsidRPr="00AE59EE">
        <w:rPr>
          <w:rFonts w:ascii="Palatino Linotype" w:hAnsi="Palatino Linotype" w:cstheme="minorHAnsi"/>
          <w:sz w:val="22"/>
          <w:szCs w:val="22"/>
        </w:rPr>
        <w:t xml:space="preserve">. </w:t>
      </w:r>
    </w:p>
    <w:p w:rsidR="00CC79C0" w:rsidRPr="00AE59EE" w:rsidRDefault="000978C8" w:rsidP="001F7BC7">
      <w:pPr>
        <w:spacing w:after="120"/>
        <w:ind w:left="567" w:right="567"/>
        <w:jc w:val="both"/>
        <w:rPr>
          <w:rFonts w:ascii="Palatino Linotype" w:hAnsi="Palatino Linotype" w:cstheme="minorHAnsi"/>
          <w:sz w:val="22"/>
          <w:szCs w:val="22"/>
        </w:rPr>
      </w:pPr>
      <w:r w:rsidRPr="00AE59EE">
        <w:rPr>
          <w:rFonts w:ascii="Palatino Linotype" w:hAnsi="Palatino Linotype" w:cstheme="minorHAnsi"/>
          <w:sz w:val="22"/>
          <w:szCs w:val="22"/>
        </w:rPr>
        <w:t xml:space="preserve">Üçüncü çeyrek büyüme rakamları </w:t>
      </w:r>
      <w:r w:rsidR="00625B95" w:rsidRPr="00AE59EE">
        <w:rPr>
          <w:rFonts w:ascii="Palatino Linotype" w:hAnsi="Palatino Linotype" w:cstheme="minorHAnsi"/>
          <w:sz w:val="22"/>
          <w:szCs w:val="22"/>
        </w:rPr>
        <w:t xml:space="preserve">2018-2020 Orta Vadeli Programında </w:t>
      </w:r>
      <w:r w:rsidR="00451A8A" w:rsidRPr="00AE59EE">
        <w:rPr>
          <w:rFonts w:ascii="Palatino Linotype" w:hAnsi="Palatino Linotype" w:cstheme="minorHAnsi"/>
          <w:sz w:val="22"/>
          <w:szCs w:val="22"/>
        </w:rPr>
        <w:t xml:space="preserve">(OVP) </w:t>
      </w:r>
      <w:r w:rsidR="00625B95" w:rsidRPr="00AE59EE">
        <w:rPr>
          <w:rFonts w:ascii="Palatino Linotype" w:hAnsi="Palatino Linotype" w:cstheme="minorHAnsi"/>
          <w:sz w:val="22"/>
          <w:szCs w:val="22"/>
        </w:rPr>
        <w:t>2017 için öngörülen yüzde 5,5’luk GSYH artışının</w:t>
      </w:r>
      <w:r w:rsidRPr="00AE59EE">
        <w:rPr>
          <w:rFonts w:ascii="Palatino Linotype" w:hAnsi="Palatino Linotype" w:cstheme="minorHAnsi"/>
          <w:sz w:val="22"/>
          <w:szCs w:val="22"/>
        </w:rPr>
        <w:t xml:space="preserve"> aşılacağını </w:t>
      </w:r>
      <w:r w:rsidR="004F0543" w:rsidRPr="00AE59EE">
        <w:rPr>
          <w:rFonts w:ascii="Palatino Linotype" w:hAnsi="Palatino Linotype" w:cstheme="minorHAnsi"/>
          <w:sz w:val="22"/>
          <w:szCs w:val="22"/>
        </w:rPr>
        <w:t>büyük ölçüde</w:t>
      </w:r>
      <w:r w:rsidRPr="00AE59EE">
        <w:rPr>
          <w:rFonts w:ascii="Palatino Linotype" w:hAnsi="Palatino Linotype" w:cstheme="minorHAnsi"/>
          <w:sz w:val="22"/>
          <w:szCs w:val="22"/>
        </w:rPr>
        <w:t xml:space="preserve"> garantiledi.</w:t>
      </w:r>
      <w:r w:rsidR="001537D8" w:rsidRPr="00AE59EE">
        <w:rPr>
          <w:rFonts w:ascii="Palatino Linotype" w:hAnsi="Palatino Linotype" w:cstheme="minorHAnsi"/>
          <w:sz w:val="22"/>
          <w:szCs w:val="22"/>
        </w:rPr>
        <w:t xml:space="preserve"> </w:t>
      </w:r>
      <w:r w:rsidR="004F0543" w:rsidRPr="00AE59EE">
        <w:rPr>
          <w:rFonts w:ascii="Palatino Linotype" w:hAnsi="Palatino Linotype" w:cstheme="minorHAnsi"/>
          <w:sz w:val="22"/>
          <w:szCs w:val="22"/>
        </w:rPr>
        <w:t xml:space="preserve">Bu başarıda Kredi Garanti Fonu ve diğer teşviklerin etkili olduğu anlaşılıyor. </w:t>
      </w:r>
      <w:r w:rsidR="009A71AF" w:rsidRPr="00AE59EE">
        <w:rPr>
          <w:rFonts w:ascii="Palatino Linotype" w:hAnsi="Palatino Linotype" w:cstheme="minorHAnsi"/>
          <w:sz w:val="22"/>
          <w:szCs w:val="22"/>
        </w:rPr>
        <w:t xml:space="preserve">İç talebi destekleyen bu </w:t>
      </w:r>
      <w:r w:rsidR="004F0543" w:rsidRPr="00AE59EE">
        <w:rPr>
          <w:rFonts w:ascii="Palatino Linotype" w:hAnsi="Palatino Linotype" w:cstheme="minorHAnsi"/>
          <w:sz w:val="22"/>
          <w:szCs w:val="22"/>
        </w:rPr>
        <w:t xml:space="preserve">teşviklerin önümüzdeki yıllar </w:t>
      </w:r>
      <w:r w:rsidR="009A71AF" w:rsidRPr="00AE59EE">
        <w:rPr>
          <w:rFonts w:ascii="Palatino Linotype" w:hAnsi="Palatino Linotype" w:cstheme="minorHAnsi"/>
          <w:sz w:val="22"/>
          <w:szCs w:val="22"/>
        </w:rPr>
        <w:t>aynı şekilde devam</w:t>
      </w:r>
      <w:r w:rsidR="004F0543" w:rsidRPr="00AE59EE">
        <w:rPr>
          <w:rFonts w:ascii="Palatino Linotype" w:hAnsi="Palatino Linotype" w:cstheme="minorHAnsi"/>
          <w:sz w:val="22"/>
          <w:szCs w:val="22"/>
        </w:rPr>
        <w:t xml:space="preserve"> edilemeyeceğini varsayarsak önümüzdeki yıllar için OVP'de </w:t>
      </w:r>
      <w:r w:rsidR="00451A8A" w:rsidRPr="00AE59EE">
        <w:rPr>
          <w:rFonts w:ascii="Palatino Linotype" w:hAnsi="Palatino Linotype" w:cstheme="minorHAnsi"/>
          <w:sz w:val="22"/>
          <w:szCs w:val="22"/>
        </w:rPr>
        <w:t xml:space="preserve">öngörülen yüzde 5,5’luk büyüme hedefinin </w:t>
      </w:r>
      <w:r w:rsidR="00783CD4" w:rsidRPr="00AE59EE">
        <w:rPr>
          <w:rFonts w:ascii="Palatino Linotype" w:hAnsi="Palatino Linotype" w:cstheme="minorHAnsi"/>
          <w:sz w:val="22"/>
          <w:szCs w:val="22"/>
        </w:rPr>
        <w:t>tutturabilmesi</w:t>
      </w:r>
      <w:r w:rsidR="004F0543" w:rsidRPr="00AE59EE">
        <w:rPr>
          <w:rFonts w:ascii="Palatino Linotype" w:hAnsi="Palatino Linotype" w:cstheme="minorHAnsi"/>
          <w:sz w:val="22"/>
          <w:szCs w:val="22"/>
        </w:rPr>
        <w:t xml:space="preserve"> i</w:t>
      </w:r>
      <w:r w:rsidR="00783CD4" w:rsidRPr="00AE59EE">
        <w:rPr>
          <w:rFonts w:ascii="Palatino Linotype" w:hAnsi="Palatino Linotype" w:cstheme="minorHAnsi"/>
          <w:sz w:val="22"/>
          <w:szCs w:val="22"/>
        </w:rPr>
        <w:t xml:space="preserve">çin sürdürülebilir </w:t>
      </w:r>
      <w:r w:rsidR="004F0543" w:rsidRPr="00AE59EE">
        <w:rPr>
          <w:rFonts w:ascii="Palatino Linotype" w:hAnsi="Palatino Linotype" w:cstheme="minorHAnsi"/>
          <w:sz w:val="22"/>
          <w:szCs w:val="22"/>
        </w:rPr>
        <w:t>(</w:t>
      </w:r>
      <w:r w:rsidR="00783CD4" w:rsidRPr="00AE59EE">
        <w:rPr>
          <w:rFonts w:ascii="Palatino Linotype" w:hAnsi="Palatino Linotype" w:cstheme="minorHAnsi"/>
          <w:sz w:val="22"/>
          <w:szCs w:val="22"/>
        </w:rPr>
        <w:t>ve kaliteli</w:t>
      </w:r>
      <w:r w:rsidR="004F0543" w:rsidRPr="00AE59EE">
        <w:rPr>
          <w:rFonts w:ascii="Palatino Linotype" w:hAnsi="Palatino Linotype" w:cstheme="minorHAnsi"/>
          <w:sz w:val="22"/>
          <w:szCs w:val="22"/>
        </w:rPr>
        <w:t>)</w:t>
      </w:r>
      <w:r w:rsidR="00783CD4" w:rsidRPr="00AE59EE">
        <w:rPr>
          <w:rFonts w:ascii="Palatino Linotype" w:hAnsi="Palatino Linotype" w:cstheme="minorHAnsi"/>
          <w:sz w:val="22"/>
          <w:szCs w:val="22"/>
        </w:rPr>
        <w:t xml:space="preserve"> büyümeyi sağlayacak politikalar üzerinde düşünülmelidir.  </w:t>
      </w:r>
    </w:p>
    <w:p w:rsidR="00D07713" w:rsidRPr="00924CD9" w:rsidRDefault="00D07713">
      <w:pPr>
        <w:rPr>
          <w:rFonts w:ascii="Palatino Linotype" w:hAnsi="Palatino Linotype" w:cstheme="minorHAnsi"/>
          <w:sz w:val="22"/>
          <w:szCs w:val="22"/>
        </w:rPr>
      </w:pPr>
    </w:p>
    <w:p w:rsidR="00E57043" w:rsidRPr="00924CD9" w:rsidRDefault="00E57043" w:rsidP="00E85F3F">
      <w:pPr>
        <w:keepNext/>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t>Şekil</w:t>
      </w:r>
      <w:r w:rsidR="00D53424">
        <w:rPr>
          <w:rFonts w:ascii="Palatino Linotype" w:hAnsi="Palatino Linotype" w:cstheme="minorHAnsi"/>
          <w:b/>
          <w:bCs/>
          <w:sz w:val="22"/>
          <w:szCs w:val="22"/>
        </w:rPr>
        <w:t xml:space="preserve"> 1: GSYH alt kalemlerinin 2017 3</w:t>
      </w:r>
      <w:r w:rsidRPr="00924CD9">
        <w:rPr>
          <w:rFonts w:ascii="Palatino Linotype" w:hAnsi="Palatino Linotype" w:cstheme="minorHAnsi"/>
          <w:b/>
          <w:bCs/>
          <w:sz w:val="22"/>
          <w:szCs w:val="22"/>
        </w:rPr>
        <w:t xml:space="preserve">. çeyrekte bir önceki yılın aynı çeyreğine göre büyüme oranları </w:t>
      </w:r>
      <w:r w:rsidR="006C3EE6" w:rsidRPr="00924CD9">
        <w:rPr>
          <w:rFonts w:ascii="Palatino Linotype" w:hAnsi="Palatino Linotype" w:cstheme="minorHAnsi"/>
          <w:b/>
          <w:bCs/>
          <w:sz w:val="22"/>
          <w:szCs w:val="22"/>
        </w:rPr>
        <w:t>(</w:t>
      </w:r>
      <w:r w:rsidR="006C3EE6" w:rsidRPr="00F70EC7">
        <w:rPr>
          <w:rFonts w:ascii="Palatino Linotype" w:hAnsi="Palatino Linotype" w:cstheme="minorHAnsi"/>
          <w:b/>
          <w:bCs/>
          <w:sz w:val="22"/>
          <w:szCs w:val="22"/>
        </w:rPr>
        <w:t>s</w:t>
      </w:r>
      <w:r w:rsidR="00D4574F" w:rsidRPr="00F70EC7">
        <w:rPr>
          <w:rFonts w:ascii="Palatino Linotype" w:hAnsi="Palatino Linotype" w:cstheme="minorHAnsi"/>
          <w:b/>
          <w:bCs/>
          <w:sz w:val="22"/>
          <w:szCs w:val="22"/>
        </w:rPr>
        <w:t>ağ</w:t>
      </w:r>
      <w:r w:rsidR="006C3EE6" w:rsidRPr="00F70EC7">
        <w:rPr>
          <w:rFonts w:ascii="Palatino Linotype" w:hAnsi="Palatino Linotype" w:cstheme="minorHAnsi"/>
          <w:b/>
          <w:bCs/>
          <w:sz w:val="22"/>
          <w:szCs w:val="22"/>
        </w:rPr>
        <w:t xml:space="preserve"> </w:t>
      </w:r>
      <w:r w:rsidR="00CB3462" w:rsidRPr="00924CD9">
        <w:rPr>
          <w:rFonts w:ascii="Palatino Linotype" w:hAnsi="Palatino Linotype" w:cstheme="minorHAnsi"/>
          <w:b/>
          <w:bCs/>
          <w:sz w:val="22"/>
          <w:szCs w:val="22"/>
        </w:rPr>
        <w:t xml:space="preserve">şekil </w:t>
      </w:r>
      <w:r w:rsidR="006C3EE6" w:rsidRPr="00924CD9">
        <w:rPr>
          <w:rFonts w:ascii="Palatino Linotype" w:hAnsi="Palatino Linotype" w:cstheme="minorHAnsi"/>
          <w:b/>
          <w:bCs/>
          <w:sz w:val="22"/>
          <w:szCs w:val="22"/>
        </w:rPr>
        <w:t>) ve büyümeye katkıları (</w:t>
      </w:r>
      <w:r w:rsidR="006C3EE6" w:rsidRPr="00F70EC7">
        <w:rPr>
          <w:rFonts w:ascii="Palatino Linotype" w:hAnsi="Palatino Linotype" w:cstheme="minorHAnsi"/>
          <w:b/>
          <w:bCs/>
          <w:sz w:val="22"/>
          <w:szCs w:val="22"/>
        </w:rPr>
        <w:t>s</w:t>
      </w:r>
      <w:r w:rsidR="00D4574F" w:rsidRPr="00F70EC7">
        <w:rPr>
          <w:rFonts w:ascii="Palatino Linotype" w:hAnsi="Palatino Linotype" w:cstheme="minorHAnsi"/>
          <w:b/>
          <w:bCs/>
          <w:sz w:val="22"/>
          <w:szCs w:val="22"/>
        </w:rPr>
        <w:t>ol</w:t>
      </w:r>
      <w:r w:rsidR="006C3EE6" w:rsidRPr="00F70EC7">
        <w:rPr>
          <w:rFonts w:ascii="Palatino Linotype" w:hAnsi="Palatino Linotype" w:cstheme="minorHAnsi"/>
          <w:b/>
          <w:bCs/>
          <w:sz w:val="22"/>
          <w:szCs w:val="22"/>
        </w:rPr>
        <w:t xml:space="preserve"> </w:t>
      </w:r>
      <w:r w:rsidR="00CB3462" w:rsidRPr="00924CD9">
        <w:rPr>
          <w:rFonts w:ascii="Palatino Linotype" w:hAnsi="Palatino Linotype" w:cstheme="minorHAnsi"/>
          <w:b/>
          <w:bCs/>
          <w:sz w:val="22"/>
          <w:szCs w:val="22"/>
        </w:rPr>
        <w:t>şekil</w:t>
      </w:r>
      <w:r w:rsidR="006C3EE6" w:rsidRPr="00924CD9">
        <w:rPr>
          <w:rFonts w:ascii="Palatino Linotype" w:hAnsi="Palatino Linotype" w:cstheme="minorHAnsi"/>
          <w:b/>
          <w:bCs/>
          <w:sz w:val="22"/>
          <w:szCs w:val="22"/>
        </w:rPr>
        <w:t>)</w:t>
      </w:r>
    </w:p>
    <w:p w:rsidR="00D07713" w:rsidRPr="00924CD9" w:rsidRDefault="00D07713" w:rsidP="00E85F3F">
      <w:pPr>
        <w:keepNext/>
        <w:rPr>
          <w:rFonts w:ascii="Palatino Linotype" w:hAnsi="Palatino Linotype" w:cstheme="minorHAnsi"/>
        </w:rPr>
      </w:pPr>
    </w:p>
    <w:p w:rsidR="00D07713" w:rsidRPr="00924CD9" w:rsidRDefault="00C35660" w:rsidP="001C2C68">
      <w:pPr>
        <w:keepNext/>
        <w:ind w:left="-567" w:right="-567"/>
        <w:rPr>
          <w:rFonts w:ascii="Palatino Linotype" w:hAnsi="Palatino Linotype" w:cstheme="minorHAnsi"/>
        </w:rPr>
      </w:pPr>
      <w:r>
        <w:rPr>
          <w:noProof/>
        </w:rPr>
        <w:drawing>
          <wp:inline distT="0" distB="0" distL="0" distR="0">
            <wp:extent cx="3162300" cy="2124075"/>
            <wp:effectExtent l="0" t="0" r="0" b="9525"/>
            <wp:docPr id="6" name="Chart 6">
              <a:extLst xmlns:a="http://schemas.openxmlformats.org/drawingml/2006/main">
                <a:ext uri="{FF2B5EF4-FFF2-40B4-BE49-F238E27FC236}">
                  <a16:creationId xmlns:a16="http://schemas.microsoft.com/office/drawing/2014/main" id="{0937F89A-252C-47ED-A70B-9047FEDB11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extent cx="3171825" cy="2133600"/>
            <wp:effectExtent l="0" t="0" r="9525" b="0"/>
            <wp:docPr id="7" name="Chart 7">
              <a:extLst xmlns:a="http://schemas.openxmlformats.org/drawingml/2006/main">
                <a:ext uri="{FF2B5EF4-FFF2-40B4-BE49-F238E27FC236}">
                  <a16:creationId xmlns:a16="http://schemas.microsoft.com/office/drawing/2014/main" id="{33835137-C931-4EAC-B56D-E6F7FC3A8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2C68" w:rsidRPr="00924CD9" w:rsidRDefault="001C2C68" w:rsidP="001C2C68">
      <w:pPr>
        <w:keepNext/>
        <w:rPr>
          <w:rFonts w:ascii="Palatino Linotype" w:hAnsi="Palatino Linotype" w:cstheme="minorHAnsi"/>
        </w:rPr>
      </w:pPr>
    </w:p>
    <w:p w:rsidR="001C2C68" w:rsidRPr="00924CD9" w:rsidRDefault="004931A5" w:rsidP="001C2C68">
      <w:pPr>
        <w:keepNext/>
        <w:rPr>
          <w:rFonts w:ascii="Palatino Linotype" w:hAnsi="Palatino Linotype" w:cstheme="minorHAnsi"/>
        </w:rPr>
      </w:pPr>
      <w:r w:rsidRPr="003E1EED">
        <w:rPr>
          <w:rFonts w:ascii="Palatino Linotype" w:hAnsi="Palatino Linotype" w:cstheme="minorHAnsi"/>
          <w:sz w:val="18"/>
          <w:szCs w:val="18"/>
        </w:rPr>
        <w:t>Kaynak: TÜİK, Betam</w:t>
      </w:r>
      <w:r w:rsidRPr="00924CD9">
        <w:rPr>
          <w:rFonts w:ascii="Palatino Linotype" w:hAnsi="Palatino Linotype" w:cstheme="minorHAnsi"/>
          <w:sz w:val="16"/>
          <w:szCs w:val="16"/>
        </w:rPr>
        <w:t xml:space="preserve">. </w:t>
      </w:r>
    </w:p>
    <w:p w:rsidR="00D07713" w:rsidRDefault="00D07713">
      <w:pPr>
        <w:rPr>
          <w:rFonts w:ascii="Palatino Linotype" w:hAnsi="Palatino Linotype" w:cstheme="minorHAnsi"/>
        </w:rPr>
      </w:pPr>
    </w:p>
    <w:p w:rsidR="00AE59EE" w:rsidRPr="00924CD9" w:rsidRDefault="00AE59EE">
      <w:pPr>
        <w:rPr>
          <w:rFonts w:ascii="Palatino Linotype" w:hAnsi="Palatino Linotype" w:cstheme="minorHAnsi"/>
        </w:rPr>
      </w:pPr>
    </w:p>
    <w:p w:rsidR="006C3EE6" w:rsidRPr="00924CD9" w:rsidRDefault="00C11B5A" w:rsidP="006C3EE6">
      <w:pPr>
        <w:pStyle w:val="NormalWeb"/>
        <w:spacing w:before="0" w:beforeAutospacing="0" w:after="0" w:afterAutospacing="0" w:line="360" w:lineRule="auto"/>
        <w:ind w:right="77"/>
        <w:rPr>
          <w:rFonts w:ascii="Palatino Linotype" w:hAnsi="Palatino Linotype" w:cstheme="minorHAnsi"/>
          <w:b/>
          <w:bCs/>
          <w:sz w:val="22"/>
          <w:szCs w:val="22"/>
        </w:rPr>
      </w:pPr>
      <w:r w:rsidRPr="00924CD9">
        <w:rPr>
          <w:rFonts w:ascii="Palatino Linotype" w:hAnsi="Palatino Linotype" w:cstheme="minorHAnsi"/>
          <w:b/>
          <w:bCs/>
          <w:sz w:val="22"/>
          <w:szCs w:val="22"/>
        </w:rPr>
        <w:lastRenderedPageBreak/>
        <w:t>Özel t</w:t>
      </w:r>
      <w:r w:rsidR="006C3EE6" w:rsidRPr="00924CD9">
        <w:rPr>
          <w:rFonts w:ascii="Palatino Linotype" w:hAnsi="Palatino Linotype" w:cstheme="minorHAnsi"/>
          <w:b/>
          <w:bCs/>
          <w:sz w:val="22"/>
          <w:szCs w:val="22"/>
        </w:rPr>
        <w:t>üketimde</w:t>
      </w:r>
      <w:r w:rsidR="00433A75">
        <w:rPr>
          <w:rFonts w:ascii="Palatino Linotype" w:hAnsi="Palatino Linotype" w:cstheme="minorHAnsi"/>
          <w:b/>
          <w:bCs/>
          <w:sz w:val="22"/>
          <w:szCs w:val="22"/>
        </w:rPr>
        <w:t>n güçlü destek</w:t>
      </w:r>
    </w:p>
    <w:p w:rsidR="006C3EE6" w:rsidRPr="00924CD9" w:rsidRDefault="00A310EA" w:rsidP="006C3EE6">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Geçen yılın aynı çeyreğine göre ikinci çeyrekte yüzde 3,1 büyüyen özel tüketim üçüncü çeyrekte sıçrama yaparak yüzde 11,7 büyüdü</w:t>
      </w:r>
      <w:r w:rsidR="007F3C9B" w:rsidRPr="00924CD9">
        <w:rPr>
          <w:rFonts w:ascii="Palatino Linotype" w:hAnsi="Palatino Linotype" w:cstheme="minorHAnsi"/>
          <w:sz w:val="22"/>
          <w:szCs w:val="22"/>
        </w:rPr>
        <w:t xml:space="preserve">. </w:t>
      </w:r>
      <w:r>
        <w:rPr>
          <w:rFonts w:ascii="Palatino Linotype" w:hAnsi="Palatino Linotype" w:cstheme="minorHAnsi"/>
          <w:sz w:val="22"/>
          <w:szCs w:val="22"/>
        </w:rPr>
        <w:t>Bunun b</w:t>
      </w:r>
      <w:r w:rsidR="007F3C9B" w:rsidRPr="00924CD9">
        <w:rPr>
          <w:rFonts w:ascii="Palatino Linotype" w:hAnsi="Palatino Linotype" w:cstheme="minorHAnsi"/>
          <w:sz w:val="22"/>
          <w:szCs w:val="22"/>
        </w:rPr>
        <w:t>üyümeye katkı</w:t>
      </w:r>
      <w:r>
        <w:rPr>
          <w:rFonts w:ascii="Palatino Linotype" w:hAnsi="Palatino Linotype" w:cstheme="minorHAnsi"/>
          <w:sz w:val="22"/>
          <w:szCs w:val="22"/>
        </w:rPr>
        <w:t xml:space="preserve">sı </w:t>
      </w:r>
      <w:r w:rsidR="007F3C9B" w:rsidRPr="00924CD9">
        <w:rPr>
          <w:rFonts w:ascii="Palatino Linotype" w:hAnsi="Palatino Linotype" w:cstheme="minorHAnsi"/>
          <w:sz w:val="22"/>
          <w:szCs w:val="22"/>
        </w:rPr>
        <w:t xml:space="preserve"> </w:t>
      </w:r>
      <w:r>
        <w:rPr>
          <w:rFonts w:ascii="Palatino Linotype" w:hAnsi="Palatino Linotype" w:cstheme="minorHAnsi"/>
          <w:sz w:val="22"/>
          <w:szCs w:val="22"/>
        </w:rPr>
        <w:t>ise çok güçlü oldu: 1</w:t>
      </w:r>
      <w:r w:rsidR="007F3C9B" w:rsidRPr="00924CD9">
        <w:rPr>
          <w:rFonts w:ascii="Palatino Linotype" w:hAnsi="Palatino Linotype" w:cstheme="minorHAnsi"/>
          <w:sz w:val="22"/>
          <w:szCs w:val="22"/>
        </w:rPr>
        <w:t>,</w:t>
      </w:r>
      <w:r>
        <w:rPr>
          <w:rFonts w:ascii="Palatino Linotype" w:hAnsi="Palatino Linotype" w:cstheme="minorHAnsi"/>
          <w:sz w:val="22"/>
          <w:szCs w:val="22"/>
        </w:rPr>
        <w:t>8</w:t>
      </w:r>
      <w:r w:rsidR="007F3C9B" w:rsidRPr="00924CD9">
        <w:rPr>
          <w:rFonts w:ascii="Palatino Linotype" w:hAnsi="Palatino Linotype" w:cstheme="minorHAnsi"/>
          <w:sz w:val="22"/>
          <w:szCs w:val="22"/>
        </w:rPr>
        <w:t xml:space="preserve"> yüzde puandan </w:t>
      </w:r>
      <w:r>
        <w:rPr>
          <w:rFonts w:ascii="Palatino Linotype" w:hAnsi="Palatino Linotype" w:cstheme="minorHAnsi"/>
          <w:sz w:val="22"/>
          <w:szCs w:val="22"/>
        </w:rPr>
        <w:t>6</w:t>
      </w:r>
      <w:r w:rsidR="007F3C9B" w:rsidRPr="00924CD9">
        <w:rPr>
          <w:rFonts w:ascii="Palatino Linotype" w:hAnsi="Palatino Linotype" w:cstheme="minorHAnsi"/>
          <w:sz w:val="22"/>
          <w:szCs w:val="22"/>
        </w:rPr>
        <w:t xml:space="preserve">,9 </w:t>
      </w:r>
      <w:r>
        <w:rPr>
          <w:rFonts w:ascii="Palatino Linotype" w:hAnsi="Palatino Linotype" w:cstheme="minorHAnsi"/>
          <w:sz w:val="22"/>
          <w:szCs w:val="22"/>
        </w:rPr>
        <w:t xml:space="preserve">yüzde </w:t>
      </w:r>
      <w:r w:rsidR="007F3C9B" w:rsidRPr="00924CD9">
        <w:rPr>
          <w:rFonts w:ascii="Palatino Linotype" w:hAnsi="Palatino Linotype" w:cstheme="minorHAnsi"/>
          <w:sz w:val="22"/>
          <w:szCs w:val="22"/>
        </w:rPr>
        <w:t xml:space="preserve">puana </w:t>
      </w:r>
      <w:r>
        <w:rPr>
          <w:rFonts w:ascii="Palatino Linotype" w:hAnsi="Palatino Linotype" w:cstheme="minorHAnsi"/>
          <w:sz w:val="22"/>
          <w:szCs w:val="22"/>
        </w:rPr>
        <w:t>çıktı</w:t>
      </w:r>
      <w:r w:rsidR="007F3C9B" w:rsidRPr="00924CD9">
        <w:rPr>
          <w:rFonts w:ascii="Palatino Linotype" w:hAnsi="Palatino Linotype" w:cstheme="minorHAnsi"/>
          <w:sz w:val="22"/>
          <w:szCs w:val="22"/>
        </w:rPr>
        <w:t xml:space="preserve">. </w:t>
      </w:r>
      <w:r w:rsidR="00A6165E" w:rsidRPr="00924CD9">
        <w:rPr>
          <w:rFonts w:ascii="Palatino Linotype" w:hAnsi="Palatino Linotype" w:cstheme="minorHAnsi"/>
          <w:sz w:val="22"/>
          <w:szCs w:val="22"/>
        </w:rPr>
        <w:t>(</w:t>
      </w:r>
      <w:r w:rsidR="006C3EE6" w:rsidRPr="00924CD9">
        <w:rPr>
          <w:rFonts w:ascii="Palatino Linotype" w:hAnsi="Palatino Linotype" w:cstheme="minorHAnsi"/>
          <w:sz w:val="22"/>
          <w:szCs w:val="22"/>
        </w:rPr>
        <w:t xml:space="preserve">Tablo 1). </w:t>
      </w:r>
      <w:r w:rsidR="007F3C9B" w:rsidRPr="00924CD9">
        <w:rPr>
          <w:rFonts w:ascii="Palatino Linotype" w:hAnsi="Palatino Linotype" w:cstheme="minorHAnsi"/>
          <w:sz w:val="22"/>
          <w:szCs w:val="22"/>
        </w:rPr>
        <w:t>Bununla birlikte</w:t>
      </w:r>
      <w:r w:rsidR="00212579" w:rsidRPr="00924CD9">
        <w:rPr>
          <w:rFonts w:ascii="Palatino Linotype" w:hAnsi="Palatino Linotype" w:cstheme="minorHAnsi"/>
          <w:sz w:val="22"/>
          <w:szCs w:val="22"/>
        </w:rPr>
        <w:t>,</w:t>
      </w:r>
      <w:r>
        <w:rPr>
          <w:rFonts w:ascii="Palatino Linotype" w:hAnsi="Palatino Linotype" w:cstheme="minorHAnsi"/>
          <w:sz w:val="22"/>
          <w:szCs w:val="22"/>
        </w:rPr>
        <w:t xml:space="preserve"> </w:t>
      </w:r>
      <w:r w:rsidR="00212579" w:rsidRPr="00924CD9">
        <w:rPr>
          <w:rFonts w:ascii="Palatino Linotype" w:hAnsi="Palatino Linotype" w:cstheme="minorHAnsi"/>
          <w:sz w:val="22"/>
          <w:szCs w:val="22"/>
        </w:rPr>
        <w:t>m</w:t>
      </w:r>
      <w:r w:rsidR="004931A5" w:rsidRPr="00924CD9">
        <w:rPr>
          <w:rFonts w:ascii="Palatino Linotype" w:hAnsi="Palatino Linotype" w:cstheme="minorHAnsi"/>
          <w:sz w:val="22"/>
          <w:szCs w:val="22"/>
        </w:rPr>
        <w:t>evsim ve takvim etkilerinden arındırılmış rakamlara baktığımızda farklı bir eğilim olduğunu görüyoruz. İ</w:t>
      </w:r>
      <w:r>
        <w:rPr>
          <w:rFonts w:ascii="Palatino Linotype" w:hAnsi="Palatino Linotype" w:cstheme="minorHAnsi"/>
          <w:sz w:val="22"/>
          <w:szCs w:val="22"/>
        </w:rPr>
        <w:t>kinci çeyrekten üçüncü çeyreğe geçerken hem büyüme oranı</w:t>
      </w:r>
      <w:r w:rsidR="00D4574F">
        <w:rPr>
          <w:rFonts w:ascii="Palatino Linotype" w:hAnsi="Palatino Linotype" w:cstheme="minorHAnsi"/>
          <w:sz w:val="22"/>
          <w:szCs w:val="22"/>
        </w:rPr>
        <w:t>ın</w:t>
      </w:r>
      <w:r>
        <w:rPr>
          <w:rFonts w:ascii="Palatino Linotype" w:hAnsi="Palatino Linotype" w:cstheme="minorHAnsi"/>
          <w:sz w:val="22"/>
          <w:szCs w:val="22"/>
        </w:rPr>
        <w:t xml:space="preserve"> hem büyümeye katkının azaldığını görüyoruz</w:t>
      </w:r>
      <w:r w:rsidR="004931A5" w:rsidRPr="00924CD9">
        <w:rPr>
          <w:rFonts w:ascii="Palatino Linotype" w:hAnsi="Palatino Linotype" w:cstheme="minorHAnsi"/>
          <w:sz w:val="22"/>
          <w:szCs w:val="22"/>
        </w:rPr>
        <w:t xml:space="preserve"> (Tablo 2). </w:t>
      </w:r>
      <w:r w:rsidR="00F5130C" w:rsidRPr="00924CD9">
        <w:rPr>
          <w:rFonts w:ascii="Palatino Linotype" w:hAnsi="Palatino Linotype" w:cstheme="minorHAnsi"/>
          <w:sz w:val="22"/>
          <w:szCs w:val="22"/>
        </w:rPr>
        <w:t xml:space="preserve">Tüketime yönelik </w:t>
      </w:r>
      <w:r w:rsidR="00681AD9" w:rsidRPr="00054943">
        <w:rPr>
          <w:rFonts w:ascii="Palatino Linotype" w:hAnsi="Palatino Linotype" w:cstheme="minorHAnsi"/>
          <w:sz w:val="22"/>
          <w:szCs w:val="22"/>
        </w:rPr>
        <w:t>ÖTV</w:t>
      </w:r>
      <w:r>
        <w:rPr>
          <w:rFonts w:ascii="Palatino Linotype" w:hAnsi="Palatino Linotype" w:cstheme="minorHAnsi"/>
          <w:sz w:val="22"/>
          <w:szCs w:val="22"/>
        </w:rPr>
        <w:t xml:space="preserve"> indirimlerinin</w:t>
      </w:r>
      <w:r w:rsidR="00F5130C" w:rsidRPr="00924CD9">
        <w:rPr>
          <w:rFonts w:ascii="Palatino Linotype" w:hAnsi="Palatino Linotype" w:cstheme="minorHAnsi"/>
          <w:sz w:val="22"/>
          <w:szCs w:val="22"/>
        </w:rPr>
        <w:t xml:space="preserve"> </w:t>
      </w:r>
      <w:r>
        <w:rPr>
          <w:rFonts w:ascii="Palatino Linotype" w:hAnsi="Palatino Linotype" w:cstheme="minorHAnsi"/>
          <w:sz w:val="22"/>
          <w:szCs w:val="22"/>
        </w:rPr>
        <w:t>özellikle</w:t>
      </w:r>
      <w:r w:rsidR="00F5130C" w:rsidRPr="00924CD9">
        <w:rPr>
          <w:rFonts w:ascii="Palatino Linotype" w:hAnsi="Palatino Linotype" w:cstheme="minorHAnsi"/>
          <w:sz w:val="22"/>
          <w:szCs w:val="22"/>
        </w:rPr>
        <w:t xml:space="preserve"> ikinci ç</w:t>
      </w:r>
      <w:r w:rsidR="00A6165E" w:rsidRPr="00924CD9">
        <w:rPr>
          <w:rFonts w:ascii="Palatino Linotype" w:hAnsi="Palatino Linotype" w:cstheme="minorHAnsi"/>
          <w:sz w:val="22"/>
          <w:szCs w:val="22"/>
        </w:rPr>
        <w:t>e</w:t>
      </w:r>
      <w:r>
        <w:rPr>
          <w:rFonts w:ascii="Palatino Linotype" w:hAnsi="Palatino Linotype" w:cstheme="minorHAnsi"/>
          <w:sz w:val="22"/>
          <w:szCs w:val="22"/>
        </w:rPr>
        <w:t>yrekte etkili olduklarını s</w:t>
      </w:r>
      <w:r w:rsidR="00F5130C" w:rsidRPr="00924CD9">
        <w:rPr>
          <w:rFonts w:ascii="Palatino Linotype" w:hAnsi="Palatino Linotype" w:cstheme="minorHAnsi"/>
          <w:sz w:val="22"/>
          <w:szCs w:val="22"/>
        </w:rPr>
        <w:t>öyle</w:t>
      </w:r>
      <w:r>
        <w:rPr>
          <w:rFonts w:ascii="Palatino Linotype" w:hAnsi="Palatino Linotype" w:cstheme="minorHAnsi"/>
          <w:sz w:val="22"/>
          <w:szCs w:val="22"/>
        </w:rPr>
        <w:t>y</w:t>
      </w:r>
      <w:r w:rsidR="00F5130C" w:rsidRPr="00924CD9">
        <w:rPr>
          <w:rFonts w:ascii="Palatino Linotype" w:hAnsi="Palatino Linotype" w:cstheme="minorHAnsi"/>
          <w:sz w:val="22"/>
          <w:szCs w:val="22"/>
        </w:rPr>
        <w:t>ebilir</w:t>
      </w:r>
      <w:r>
        <w:rPr>
          <w:rFonts w:ascii="Palatino Linotype" w:hAnsi="Palatino Linotype" w:cstheme="minorHAnsi"/>
          <w:sz w:val="22"/>
          <w:szCs w:val="22"/>
        </w:rPr>
        <w:t>iz</w:t>
      </w:r>
      <w:r w:rsidR="00F5130C" w:rsidRPr="00924CD9">
        <w:rPr>
          <w:rFonts w:ascii="Palatino Linotype" w:hAnsi="Palatino Linotype" w:cstheme="minorHAnsi"/>
          <w:sz w:val="22"/>
          <w:szCs w:val="22"/>
        </w:rPr>
        <w:t>.</w:t>
      </w:r>
    </w:p>
    <w:p w:rsidR="003D44CE" w:rsidRDefault="006C3EE6" w:rsidP="006C3EE6">
      <w:pPr>
        <w:keepNext/>
        <w:ind w:right="77"/>
        <w:jc w:val="both"/>
        <w:rPr>
          <w:rFonts w:ascii="Palatino Linotype" w:hAnsi="Palatino Linotype" w:cstheme="minorHAnsi"/>
          <w:bCs/>
          <w:sz w:val="22"/>
          <w:szCs w:val="22"/>
        </w:rPr>
      </w:pPr>
      <w:r w:rsidRPr="00924CD9">
        <w:rPr>
          <w:rFonts w:ascii="Palatino Linotype" w:hAnsi="Palatino Linotype" w:cstheme="minorHAnsi"/>
          <w:b/>
          <w:bCs/>
          <w:sz w:val="22"/>
          <w:szCs w:val="22"/>
        </w:rPr>
        <w:t xml:space="preserve">Tablo 1: </w:t>
      </w:r>
      <w:r w:rsidR="00D53424">
        <w:rPr>
          <w:rFonts w:ascii="Palatino Linotype" w:hAnsi="Palatino Linotype" w:cstheme="minorHAnsi"/>
          <w:bCs/>
          <w:sz w:val="22"/>
          <w:szCs w:val="22"/>
        </w:rPr>
        <w:t>GSYH alt kalemlerinin 2017 2</w:t>
      </w:r>
      <w:r w:rsidRPr="003E1EED">
        <w:rPr>
          <w:rFonts w:ascii="Palatino Linotype" w:hAnsi="Palatino Linotype" w:cstheme="minorHAnsi"/>
          <w:bCs/>
          <w:sz w:val="22"/>
          <w:szCs w:val="22"/>
        </w:rPr>
        <w:t xml:space="preserve">. </w:t>
      </w:r>
      <w:r w:rsidR="00CF5053" w:rsidRPr="003E1EED">
        <w:rPr>
          <w:rFonts w:ascii="Palatino Linotype" w:hAnsi="Palatino Linotype" w:cstheme="minorHAnsi"/>
          <w:bCs/>
          <w:sz w:val="22"/>
          <w:szCs w:val="22"/>
        </w:rPr>
        <w:t>v</w:t>
      </w:r>
      <w:r w:rsidRPr="003E1EED">
        <w:rPr>
          <w:rFonts w:ascii="Palatino Linotype" w:hAnsi="Palatino Linotype" w:cstheme="minorHAnsi"/>
          <w:bCs/>
          <w:sz w:val="22"/>
          <w:szCs w:val="22"/>
        </w:rPr>
        <w:t xml:space="preserve">e </w:t>
      </w:r>
      <w:r w:rsidR="00D53424">
        <w:rPr>
          <w:rFonts w:ascii="Palatino Linotype" w:hAnsi="Palatino Linotype" w:cstheme="minorHAnsi"/>
          <w:bCs/>
          <w:sz w:val="22"/>
          <w:szCs w:val="22"/>
        </w:rPr>
        <w:t>3</w:t>
      </w:r>
      <w:r w:rsidRPr="003E1EED">
        <w:rPr>
          <w:rFonts w:ascii="Palatino Linotype" w:hAnsi="Palatino Linotype" w:cstheme="minorHAnsi"/>
          <w:bCs/>
          <w:sz w:val="22"/>
          <w:szCs w:val="22"/>
        </w:rPr>
        <w:t>. çeyrekte bir önceki yılın aynı çeyreğine göre büyüme oranları ve büyümeye katkıları</w:t>
      </w:r>
    </w:p>
    <w:tbl>
      <w:tblPr>
        <w:tblW w:w="5920" w:type="dxa"/>
        <w:tblInd w:w="70" w:type="dxa"/>
        <w:tblCellMar>
          <w:left w:w="70" w:type="dxa"/>
          <w:right w:w="70" w:type="dxa"/>
        </w:tblCellMar>
        <w:tblLook w:val="04A0" w:firstRow="1" w:lastRow="0" w:firstColumn="1" w:lastColumn="0" w:noHBand="0" w:noVBand="1"/>
      </w:tblPr>
      <w:tblGrid>
        <w:gridCol w:w="1480"/>
        <w:gridCol w:w="1259"/>
        <w:gridCol w:w="961"/>
        <w:gridCol w:w="1259"/>
        <w:gridCol w:w="961"/>
      </w:tblGrid>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2017Q2</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2017Q3</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 </w:t>
            </w:r>
          </w:p>
        </w:tc>
        <w:tc>
          <w:tcPr>
            <w:tcW w:w="1259" w:type="dxa"/>
            <w:tcBorders>
              <w:top w:val="nil"/>
              <w:left w:val="single" w:sz="4" w:space="0" w:color="auto"/>
              <w:bottom w:val="single" w:sz="4" w:space="0" w:color="auto"/>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Değişim (%)</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Katkı (%)</w:t>
            </w:r>
          </w:p>
        </w:tc>
      </w:tr>
      <w:tr w:rsidR="003D44CE" w:rsidRPr="003D44CE" w:rsidTr="001537D8">
        <w:trPr>
          <w:trHeight w:hRule="exact" w:val="284"/>
        </w:trPr>
        <w:tc>
          <w:tcPr>
            <w:tcW w:w="1480" w:type="dxa"/>
            <w:tcBorders>
              <w:top w:val="single" w:sz="4" w:space="0" w:color="auto"/>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Özel Tüketim</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3.1</w:t>
            </w:r>
          </w:p>
        </w:tc>
        <w:tc>
          <w:tcPr>
            <w:tcW w:w="961" w:type="dxa"/>
            <w:tcBorders>
              <w:top w:val="single" w:sz="4" w:space="0" w:color="auto"/>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1.8</w:t>
            </w:r>
          </w:p>
        </w:tc>
        <w:tc>
          <w:tcPr>
            <w:tcW w:w="1259" w:type="dxa"/>
            <w:tcBorders>
              <w:top w:val="single" w:sz="4" w:space="0" w:color="auto"/>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11.7</w:t>
            </w:r>
          </w:p>
        </w:tc>
        <w:tc>
          <w:tcPr>
            <w:tcW w:w="961" w:type="dxa"/>
            <w:tcBorders>
              <w:top w:val="single" w:sz="4" w:space="0" w:color="auto"/>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6.9</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-2.1</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-0.3</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2.8</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0.4</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8.0</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2.4</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12.4</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3.5</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-0.5</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0.1</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10.7</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2.4</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17.2</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3.7</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1.8</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-0.4</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14.5</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-3.5</w:t>
            </w:r>
          </w:p>
        </w:tc>
      </w:tr>
      <w:tr w:rsidR="003D44CE" w:rsidRPr="003D44CE" w:rsidTr="001537D8">
        <w:trPr>
          <w:trHeight w:hRule="exact" w:val="284"/>
        </w:trPr>
        <w:tc>
          <w:tcPr>
            <w:tcW w:w="1480" w:type="dxa"/>
            <w:tcBorders>
              <w:top w:val="nil"/>
              <w:left w:val="nil"/>
              <w:bottom w:val="double" w:sz="6" w:space="0" w:color="auto"/>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GSYH</w:t>
            </w:r>
          </w:p>
        </w:tc>
        <w:tc>
          <w:tcPr>
            <w:tcW w:w="1259" w:type="dxa"/>
            <w:tcBorders>
              <w:top w:val="nil"/>
              <w:left w:val="single" w:sz="4" w:space="0" w:color="auto"/>
              <w:bottom w:val="double" w:sz="6" w:space="0" w:color="auto"/>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5.4</w:t>
            </w:r>
          </w:p>
        </w:tc>
        <w:tc>
          <w:tcPr>
            <w:tcW w:w="961" w:type="dxa"/>
            <w:tcBorders>
              <w:top w:val="nil"/>
              <w:left w:val="nil"/>
              <w:bottom w:val="double" w:sz="6" w:space="0" w:color="auto"/>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11.1</w:t>
            </w:r>
          </w:p>
        </w:tc>
        <w:tc>
          <w:tcPr>
            <w:tcW w:w="961" w:type="dxa"/>
            <w:tcBorders>
              <w:top w:val="nil"/>
              <w:left w:val="nil"/>
              <w:bottom w:val="double" w:sz="6" w:space="0" w:color="auto"/>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r>
    </w:tbl>
    <w:p w:rsidR="004931A5" w:rsidRPr="003E1EED" w:rsidRDefault="003D44CE" w:rsidP="004931A5">
      <w:pPr>
        <w:keepNext/>
        <w:rPr>
          <w:rFonts w:ascii="Palatino Linotype" w:hAnsi="Palatino Linotype" w:cstheme="minorHAnsi"/>
          <w:sz w:val="18"/>
          <w:szCs w:val="18"/>
        </w:rPr>
      </w:pPr>
      <w:r>
        <w:rPr>
          <w:rFonts w:ascii="Palatino Linotype" w:hAnsi="Palatino Linotype" w:cstheme="minorHAnsi"/>
          <w:sz w:val="18"/>
          <w:szCs w:val="18"/>
        </w:rPr>
        <w:t>Ka</w:t>
      </w:r>
      <w:r w:rsidR="004931A5" w:rsidRPr="003E1EED">
        <w:rPr>
          <w:rFonts w:ascii="Palatino Linotype" w:hAnsi="Palatino Linotype" w:cstheme="minorHAnsi"/>
          <w:sz w:val="18"/>
          <w:szCs w:val="18"/>
        </w:rPr>
        <w:t xml:space="preserve">ynak: TÜİK, Betam. </w:t>
      </w:r>
    </w:p>
    <w:p w:rsidR="006C3EE6" w:rsidRPr="00924CD9" w:rsidRDefault="006C3EE6" w:rsidP="006C3EE6">
      <w:pPr>
        <w:keepNext/>
        <w:rPr>
          <w:rFonts w:ascii="Palatino Linotype" w:hAnsi="Palatino Linotype" w:cstheme="minorHAnsi"/>
        </w:rPr>
      </w:pPr>
    </w:p>
    <w:p w:rsidR="006C3EE6" w:rsidRDefault="006C3EE6" w:rsidP="006C3EE6">
      <w:pPr>
        <w:keepNext/>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t xml:space="preserve">Tablo 2: </w:t>
      </w:r>
      <w:r w:rsidR="00D53424">
        <w:rPr>
          <w:rFonts w:ascii="Palatino Linotype" w:hAnsi="Palatino Linotype" w:cstheme="minorHAnsi"/>
          <w:bCs/>
          <w:sz w:val="22"/>
          <w:szCs w:val="22"/>
        </w:rPr>
        <w:t>GSYH alt kalemlerinin 2017 2</w:t>
      </w:r>
      <w:r w:rsidRPr="003E1EED">
        <w:rPr>
          <w:rFonts w:ascii="Palatino Linotype" w:hAnsi="Palatino Linotype" w:cstheme="minorHAnsi"/>
          <w:bCs/>
          <w:sz w:val="22"/>
          <w:szCs w:val="22"/>
        </w:rPr>
        <w:t xml:space="preserve">. </w:t>
      </w:r>
      <w:r w:rsidR="00CF5053" w:rsidRPr="003E1EED">
        <w:rPr>
          <w:rFonts w:ascii="Palatino Linotype" w:hAnsi="Palatino Linotype" w:cstheme="minorHAnsi"/>
          <w:bCs/>
          <w:sz w:val="22"/>
          <w:szCs w:val="22"/>
        </w:rPr>
        <w:t>v</w:t>
      </w:r>
      <w:r w:rsidRPr="003E1EED">
        <w:rPr>
          <w:rFonts w:ascii="Palatino Linotype" w:hAnsi="Palatino Linotype" w:cstheme="minorHAnsi"/>
          <w:bCs/>
          <w:sz w:val="22"/>
          <w:szCs w:val="22"/>
        </w:rPr>
        <w:t xml:space="preserve">e </w:t>
      </w:r>
      <w:r w:rsidR="00D53424">
        <w:rPr>
          <w:rFonts w:ascii="Palatino Linotype" w:hAnsi="Palatino Linotype" w:cstheme="minorHAnsi"/>
          <w:bCs/>
          <w:sz w:val="22"/>
          <w:szCs w:val="22"/>
        </w:rPr>
        <w:t>3</w:t>
      </w:r>
      <w:r w:rsidRPr="003E1EED">
        <w:rPr>
          <w:rFonts w:ascii="Palatino Linotype" w:hAnsi="Palatino Linotype" w:cstheme="minorHAnsi"/>
          <w:bCs/>
          <w:sz w:val="22"/>
          <w:szCs w:val="22"/>
        </w:rPr>
        <w:t>. çeyrekte bir önceki çeyreğe göre büyüme oranları ve büyümeye katkıları</w:t>
      </w:r>
      <w:r w:rsidR="00CF5053" w:rsidRPr="003E1EED">
        <w:rPr>
          <w:rFonts w:ascii="Palatino Linotype" w:hAnsi="Palatino Linotype" w:cstheme="minorHAnsi"/>
          <w:bCs/>
          <w:sz w:val="22"/>
          <w:szCs w:val="22"/>
        </w:rPr>
        <w:t xml:space="preserve"> (mevsim ve takvim etkilerinden arındırılmış)</w:t>
      </w:r>
    </w:p>
    <w:tbl>
      <w:tblPr>
        <w:tblW w:w="5920" w:type="dxa"/>
        <w:tblInd w:w="70" w:type="dxa"/>
        <w:tblCellMar>
          <w:left w:w="70" w:type="dxa"/>
          <w:right w:w="70" w:type="dxa"/>
        </w:tblCellMar>
        <w:tblLook w:val="04A0" w:firstRow="1" w:lastRow="0" w:firstColumn="1" w:lastColumn="0" w:noHBand="0" w:noVBand="1"/>
      </w:tblPr>
      <w:tblGrid>
        <w:gridCol w:w="1480"/>
        <w:gridCol w:w="1259"/>
        <w:gridCol w:w="961"/>
        <w:gridCol w:w="1259"/>
        <w:gridCol w:w="961"/>
      </w:tblGrid>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2017Q2</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2017Q3</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 </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Değişim (%)</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b/>
                <w:bCs/>
                <w:color w:val="000000"/>
                <w:sz w:val="20"/>
                <w:szCs w:val="20"/>
              </w:rPr>
            </w:pPr>
            <w:r w:rsidRPr="003D44CE">
              <w:rPr>
                <w:rFonts w:ascii="Calibri" w:hAnsi="Calibri" w:cs="Calibri"/>
                <w:b/>
                <w:bCs/>
                <w:color w:val="000000"/>
                <w:sz w:val="20"/>
                <w:szCs w:val="20"/>
              </w:rPr>
              <w:t>Katkı (%)</w:t>
            </w:r>
          </w:p>
        </w:tc>
      </w:tr>
      <w:tr w:rsidR="003D44CE" w:rsidRPr="003D44CE" w:rsidTr="001537D8">
        <w:trPr>
          <w:trHeight w:hRule="exact" w:val="284"/>
        </w:trPr>
        <w:tc>
          <w:tcPr>
            <w:tcW w:w="1480" w:type="dxa"/>
            <w:tcBorders>
              <w:top w:val="single" w:sz="4" w:space="0" w:color="auto"/>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2.2</w:t>
            </w:r>
          </w:p>
        </w:tc>
        <w:tc>
          <w:tcPr>
            <w:tcW w:w="961" w:type="dxa"/>
            <w:tcBorders>
              <w:top w:val="single" w:sz="4" w:space="0" w:color="auto"/>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1.3</w:t>
            </w:r>
          </w:p>
        </w:tc>
        <w:tc>
          <w:tcPr>
            <w:tcW w:w="1259" w:type="dxa"/>
            <w:tcBorders>
              <w:top w:val="single" w:sz="4" w:space="0" w:color="auto"/>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1.7</w:t>
            </w:r>
          </w:p>
        </w:tc>
        <w:tc>
          <w:tcPr>
            <w:tcW w:w="961" w:type="dxa"/>
            <w:tcBorders>
              <w:top w:val="single" w:sz="4" w:space="0" w:color="auto"/>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1.0</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0.8</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0.1</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-2.1</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-0.3</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4.8</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1.4</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4.0</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1.2</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0.4</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0.4</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0.6</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0.1</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-0.6</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-0.1</w:t>
            </w:r>
          </w:p>
        </w:tc>
      </w:tr>
      <w:tr w:rsidR="003D44CE" w:rsidRPr="003D44CE" w:rsidTr="001537D8">
        <w:trPr>
          <w:trHeight w:hRule="exact" w:val="284"/>
        </w:trPr>
        <w:tc>
          <w:tcPr>
            <w:tcW w:w="1480" w:type="dxa"/>
            <w:tcBorders>
              <w:top w:val="nil"/>
              <w:left w:val="nil"/>
              <w:bottom w:val="nil"/>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4.6</w:t>
            </w:r>
          </w:p>
        </w:tc>
        <w:tc>
          <w:tcPr>
            <w:tcW w:w="961" w:type="dxa"/>
            <w:tcBorders>
              <w:top w:val="nil"/>
              <w:left w:val="nil"/>
              <w:bottom w:val="nil"/>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-1.1</w:t>
            </w:r>
          </w:p>
        </w:tc>
        <w:tc>
          <w:tcPr>
            <w:tcW w:w="1259"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3.9</w:t>
            </w:r>
          </w:p>
        </w:tc>
        <w:tc>
          <w:tcPr>
            <w:tcW w:w="961" w:type="dxa"/>
            <w:tcBorders>
              <w:top w:val="nil"/>
              <w:left w:val="nil"/>
              <w:bottom w:val="nil"/>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-1.0</w:t>
            </w:r>
          </w:p>
        </w:tc>
      </w:tr>
      <w:tr w:rsidR="003D44CE" w:rsidRPr="003D44CE" w:rsidTr="001537D8">
        <w:trPr>
          <w:trHeight w:hRule="exact" w:val="284"/>
        </w:trPr>
        <w:tc>
          <w:tcPr>
            <w:tcW w:w="1480" w:type="dxa"/>
            <w:tcBorders>
              <w:top w:val="nil"/>
              <w:left w:val="nil"/>
              <w:bottom w:val="double" w:sz="6" w:space="0" w:color="auto"/>
              <w:right w:val="nil"/>
            </w:tcBorders>
            <w:shd w:val="clear" w:color="000000" w:fill="FFFFFF"/>
            <w:noWrap/>
            <w:vAlign w:val="bottom"/>
            <w:hideMark/>
          </w:tcPr>
          <w:p w:rsidR="003D44CE" w:rsidRPr="003D44CE" w:rsidRDefault="003D44CE" w:rsidP="003D44CE">
            <w:pPr>
              <w:rPr>
                <w:rFonts w:ascii="Calibri" w:hAnsi="Calibri" w:cs="Calibri"/>
                <w:b/>
                <w:bCs/>
                <w:color w:val="000000"/>
                <w:sz w:val="20"/>
                <w:szCs w:val="20"/>
              </w:rPr>
            </w:pPr>
            <w:r w:rsidRPr="003D44CE">
              <w:rPr>
                <w:rFonts w:ascii="Calibri" w:hAnsi="Calibri" w:cs="Calibri"/>
                <w:b/>
                <w:bCs/>
                <w:color w:val="000000"/>
                <w:sz w:val="20"/>
                <w:szCs w:val="20"/>
              </w:rPr>
              <w:t>GSYH</w:t>
            </w:r>
          </w:p>
        </w:tc>
        <w:tc>
          <w:tcPr>
            <w:tcW w:w="1259" w:type="dxa"/>
            <w:tcBorders>
              <w:top w:val="nil"/>
              <w:left w:val="single" w:sz="4" w:space="0" w:color="auto"/>
              <w:bottom w:val="double" w:sz="6" w:space="0" w:color="auto"/>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2.2</w:t>
            </w:r>
          </w:p>
        </w:tc>
        <w:tc>
          <w:tcPr>
            <w:tcW w:w="961" w:type="dxa"/>
            <w:tcBorders>
              <w:top w:val="nil"/>
              <w:left w:val="nil"/>
              <w:bottom w:val="double" w:sz="6" w:space="0" w:color="auto"/>
              <w:right w:val="single" w:sz="4" w:space="0" w:color="auto"/>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1.2</w:t>
            </w:r>
          </w:p>
        </w:tc>
        <w:tc>
          <w:tcPr>
            <w:tcW w:w="961" w:type="dxa"/>
            <w:tcBorders>
              <w:top w:val="nil"/>
              <w:left w:val="nil"/>
              <w:bottom w:val="double" w:sz="6" w:space="0" w:color="auto"/>
              <w:right w:val="nil"/>
            </w:tcBorders>
            <w:shd w:val="clear" w:color="000000" w:fill="FFFFFF"/>
            <w:noWrap/>
            <w:vAlign w:val="bottom"/>
            <w:hideMark/>
          </w:tcPr>
          <w:p w:rsidR="003D44CE" w:rsidRPr="003D44CE" w:rsidRDefault="003D44CE" w:rsidP="003D44CE">
            <w:pPr>
              <w:jc w:val="center"/>
              <w:rPr>
                <w:rFonts w:ascii="Calibri" w:hAnsi="Calibri" w:cs="Calibri"/>
                <w:color w:val="000000"/>
                <w:sz w:val="20"/>
                <w:szCs w:val="20"/>
              </w:rPr>
            </w:pPr>
            <w:r w:rsidRPr="003D44CE">
              <w:rPr>
                <w:rFonts w:ascii="Calibri" w:hAnsi="Calibri" w:cs="Calibri"/>
                <w:color w:val="000000"/>
                <w:sz w:val="20"/>
                <w:szCs w:val="20"/>
              </w:rPr>
              <w:t> </w:t>
            </w:r>
          </w:p>
        </w:tc>
      </w:tr>
    </w:tbl>
    <w:p w:rsidR="00F46A54" w:rsidRPr="003E1EED" w:rsidRDefault="003D44CE" w:rsidP="00F46A54">
      <w:pPr>
        <w:keepNext/>
        <w:rPr>
          <w:rFonts w:ascii="Palatino Linotype" w:hAnsi="Palatino Linotype" w:cstheme="minorHAnsi"/>
          <w:sz w:val="18"/>
          <w:szCs w:val="18"/>
        </w:rPr>
      </w:pPr>
      <w:r>
        <w:rPr>
          <w:rFonts w:ascii="Palatino Linotype" w:hAnsi="Palatino Linotype" w:cstheme="minorHAnsi"/>
          <w:sz w:val="18"/>
          <w:szCs w:val="18"/>
        </w:rPr>
        <w:t>Ka</w:t>
      </w:r>
      <w:r w:rsidR="00F46A54" w:rsidRPr="003E1EED">
        <w:rPr>
          <w:rFonts w:ascii="Palatino Linotype" w:hAnsi="Palatino Linotype" w:cstheme="minorHAnsi"/>
          <w:sz w:val="18"/>
          <w:szCs w:val="18"/>
        </w:rPr>
        <w:t xml:space="preserve">ynak: TÜİK, Betam. </w:t>
      </w:r>
    </w:p>
    <w:p w:rsidR="006C3EE6" w:rsidRPr="00924CD9" w:rsidRDefault="006C3EE6" w:rsidP="004931A5">
      <w:pPr>
        <w:pStyle w:val="NormalWeb"/>
        <w:spacing w:before="0" w:beforeAutospacing="0" w:after="0" w:afterAutospacing="0" w:line="360" w:lineRule="auto"/>
        <w:ind w:right="77"/>
        <w:rPr>
          <w:rFonts w:ascii="Palatino Linotype" w:hAnsi="Palatino Linotype" w:cstheme="minorHAnsi"/>
          <w:b/>
          <w:sz w:val="20"/>
          <w:szCs w:val="20"/>
          <w:highlight w:val="yellow"/>
        </w:rPr>
      </w:pPr>
    </w:p>
    <w:p w:rsidR="006C3EE6" w:rsidRPr="00924CD9" w:rsidRDefault="006C3EE6" w:rsidP="004931A5">
      <w:pPr>
        <w:pStyle w:val="NormalWeb"/>
        <w:spacing w:before="0" w:beforeAutospacing="0" w:after="0" w:afterAutospacing="0" w:line="360" w:lineRule="auto"/>
        <w:ind w:right="77"/>
        <w:rPr>
          <w:rFonts w:ascii="Palatino Linotype" w:hAnsi="Palatino Linotype" w:cstheme="minorHAnsi"/>
          <w:b/>
          <w:sz w:val="22"/>
          <w:szCs w:val="22"/>
        </w:rPr>
      </w:pPr>
      <w:r w:rsidRPr="00924CD9">
        <w:rPr>
          <w:rFonts w:ascii="Palatino Linotype" w:hAnsi="Palatino Linotype" w:cstheme="minorHAnsi"/>
          <w:b/>
          <w:sz w:val="22"/>
          <w:szCs w:val="22"/>
        </w:rPr>
        <w:t>Yatırımlar</w:t>
      </w:r>
      <w:r w:rsidR="00A310EA">
        <w:rPr>
          <w:rFonts w:ascii="Palatino Linotype" w:hAnsi="Palatino Linotype" w:cstheme="minorHAnsi"/>
          <w:b/>
          <w:sz w:val="22"/>
          <w:szCs w:val="22"/>
        </w:rPr>
        <w:t xml:space="preserve"> büyümeyi sırtlamaya devam ediyor</w:t>
      </w:r>
    </w:p>
    <w:p w:rsidR="003E1EED" w:rsidRPr="00924CD9" w:rsidRDefault="009B1546" w:rsidP="003E1EED">
      <w:pPr>
        <w:pStyle w:val="NormalWeb"/>
        <w:spacing w:before="0" w:beforeAutospacing="0" w:after="0" w:afterAutospacing="0" w:line="360" w:lineRule="auto"/>
        <w:ind w:right="77"/>
        <w:jc w:val="both"/>
        <w:rPr>
          <w:rFonts w:ascii="Palatino Linotype" w:hAnsi="Palatino Linotype" w:cstheme="minorHAnsi"/>
          <w:sz w:val="22"/>
          <w:szCs w:val="22"/>
        </w:rPr>
      </w:pPr>
      <w:r w:rsidRPr="00924CD9">
        <w:rPr>
          <w:rFonts w:ascii="Palatino Linotype" w:hAnsi="Palatino Linotype" w:cstheme="minorHAnsi"/>
          <w:sz w:val="22"/>
          <w:szCs w:val="22"/>
        </w:rPr>
        <w:t>2017 yılının ikinci çeyre</w:t>
      </w:r>
      <w:r w:rsidR="00A310EA">
        <w:rPr>
          <w:rFonts w:ascii="Palatino Linotype" w:hAnsi="Palatino Linotype" w:cstheme="minorHAnsi"/>
          <w:sz w:val="22"/>
          <w:szCs w:val="22"/>
        </w:rPr>
        <w:t xml:space="preserve">ğinde </w:t>
      </w:r>
      <w:r w:rsidRPr="00924CD9">
        <w:rPr>
          <w:rFonts w:ascii="Palatino Linotype" w:hAnsi="Palatino Linotype" w:cstheme="minorHAnsi"/>
          <w:sz w:val="22"/>
          <w:szCs w:val="22"/>
        </w:rPr>
        <w:t xml:space="preserve">büyümeye </w:t>
      </w:r>
      <w:r w:rsidR="00A310EA">
        <w:rPr>
          <w:rFonts w:ascii="Palatino Linotype" w:hAnsi="Palatino Linotype" w:cstheme="minorHAnsi"/>
          <w:sz w:val="22"/>
          <w:szCs w:val="22"/>
        </w:rPr>
        <w:t xml:space="preserve">önemli oranda katkı yapan yatırımların üçüncü çeyrekte çıtayı daha da yükselttiğini gözlemliyoruz. Yatırımların yıllık büyümeye katkısı ikinci çeyrekte 2,4 yüzde puan iken, üçüncü çeyrekte bu katkı 3,5 yüzde puana çıktı. Son aylarda </w:t>
      </w:r>
      <w:r w:rsidRPr="00924CD9">
        <w:rPr>
          <w:rFonts w:ascii="Palatino Linotype" w:hAnsi="Palatino Linotype" w:cstheme="minorHAnsi"/>
          <w:sz w:val="22"/>
          <w:szCs w:val="22"/>
        </w:rPr>
        <w:t>yayınladığımız</w:t>
      </w:r>
      <w:r w:rsidR="00A310EA">
        <w:rPr>
          <w:rFonts w:ascii="Palatino Linotype" w:hAnsi="Palatino Linotype" w:cstheme="minorHAnsi"/>
          <w:sz w:val="22"/>
          <w:szCs w:val="22"/>
        </w:rPr>
        <w:t xml:space="preserve"> "</w:t>
      </w:r>
      <w:r w:rsidRPr="00924CD9">
        <w:rPr>
          <w:rFonts w:ascii="Palatino Linotype" w:hAnsi="Palatino Linotype" w:cstheme="minorHAnsi"/>
          <w:sz w:val="22"/>
          <w:szCs w:val="22"/>
        </w:rPr>
        <w:t>Ekonomik Büyüme ve Tahminler</w:t>
      </w:r>
      <w:r w:rsidR="00A310EA">
        <w:rPr>
          <w:rFonts w:ascii="Palatino Linotype" w:hAnsi="Palatino Linotype" w:cstheme="minorHAnsi"/>
          <w:sz w:val="22"/>
          <w:szCs w:val="22"/>
        </w:rPr>
        <w:t>" araştırma notlarında sistemli bir şekilde t</w:t>
      </w:r>
      <w:r w:rsidR="00DA0C5D" w:rsidRPr="00924CD9">
        <w:rPr>
          <w:rFonts w:ascii="Palatino Linotype" w:hAnsi="Palatino Linotype" w:cstheme="minorHAnsi"/>
          <w:sz w:val="22"/>
          <w:szCs w:val="22"/>
        </w:rPr>
        <w:t xml:space="preserve">icari kredilerin patlama yaptığını ve yatırımları </w:t>
      </w:r>
      <w:r w:rsidR="00A310EA">
        <w:rPr>
          <w:rFonts w:ascii="Palatino Linotype" w:hAnsi="Palatino Linotype" w:cstheme="minorHAnsi"/>
          <w:sz w:val="22"/>
          <w:szCs w:val="22"/>
        </w:rPr>
        <w:t xml:space="preserve">artırdığını vurguluyoruz. Bu </w:t>
      </w:r>
      <w:r w:rsidR="00A310EA">
        <w:rPr>
          <w:rFonts w:ascii="Palatino Linotype" w:hAnsi="Palatino Linotype" w:cstheme="minorHAnsi"/>
          <w:sz w:val="22"/>
          <w:szCs w:val="22"/>
        </w:rPr>
        <w:lastRenderedPageBreak/>
        <w:t>tespitlerin doğrulandığını anlıyoruz. Bir önceki büyüme değerlendirmesi notunda değindiğimiz üzere y</w:t>
      </w:r>
      <w:r w:rsidR="00DA0C5D" w:rsidRPr="00924CD9">
        <w:rPr>
          <w:rFonts w:ascii="Palatino Linotype" w:hAnsi="Palatino Linotype" w:cstheme="minorHAnsi"/>
          <w:sz w:val="22"/>
          <w:szCs w:val="22"/>
        </w:rPr>
        <w:t xml:space="preserve">üksek yatırım artışının gerisinde Kredi Garanti Fonu’nun (KGF) </w:t>
      </w:r>
      <w:r w:rsidR="00A310EA">
        <w:rPr>
          <w:rFonts w:ascii="Palatino Linotype" w:hAnsi="Palatino Linotype" w:cstheme="minorHAnsi"/>
          <w:sz w:val="22"/>
          <w:szCs w:val="22"/>
        </w:rPr>
        <w:t>yatıyor</w:t>
      </w:r>
      <w:r w:rsidR="00DA0C5D" w:rsidRPr="00924CD9">
        <w:rPr>
          <w:rStyle w:val="FootnoteReference"/>
          <w:rFonts w:ascii="Palatino Linotype" w:hAnsi="Palatino Linotype" w:cstheme="minorHAnsi"/>
          <w:sz w:val="22"/>
          <w:szCs w:val="22"/>
        </w:rPr>
        <w:footnoteReference w:id="4"/>
      </w:r>
      <w:r w:rsidR="00DA0C5D" w:rsidRPr="00924CD9">
        <w:rPr>
          <w:rFonts w:ascii="Palatino Linotype" w:hAnsi="Palatino Linotype" w:cstheme="minorHAnsi"/>
          <w:sz w:val="22"/>
          <w:szCs w:val="22"/>
        </w:rPr>
        <w:t xml:space="preserve">. </w:t>
      </w:r>
    </w:p>
    <w:p w:rsidR="00681AD9" w:rsidRPr="00344A74"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344A74">
        <w:rPr>
          <w:rFonts w:ascii="Palatino Linotype" w:hAnsi="Palatino Linotype" w:cstheme="minorHAnsi"/>
          <w:b/>
          <w:sz w:val="22"/>
          <w:szCs w:val="22"/>
        </w:rPr>
        <w:t>Stok değişimlerinin katkısı negatif</w:t>
      </w:r>
    </w:p>
    <w:p w:rsidR="002106DF" w:rsidRPr="00344A74" w:rsidRDefault="00681022" w:rsidP="003E1EED">
      <w:pPr>
        <w:pStyle w:val="NormalWeb"/>
        <w:spacing w:before="0" w:beforeAutospacing="0" w:after="0" w:afterAutospacing="0" w:line="360" w:lineRule="auto"/>
        <w:ind w:right="77"/>
        <w:jc w:val="both"/>
        <w:rPr>
          <w:rFonts w:ascii="Palatino Linotype" w:hAnsi="Palatino Linotype" w:cstheme="minorHAnsi"/>
          <w:b/>
          <w:sz w:val="22"/>
          <w:szCs w:val="22"/>
        </w:rPr>
      </w:pPr>
      <w:r w:rsidRPr="00344A74">
        <w:rPr>
          <w:rFonts w:ascii="Palatino Linotype" w:hAnsi="Palatino Linotype" w:cstheme="minorHAnsi"/>
          <w:sz w:val="22"/>
          <w:szCs w:val="22"/>
        </w:rPr>
        <w:t xml:space="preserve">2017 yılının </w:t>
      </w:r>
      <w:r w:rsidR="00C82B14">
        <w:rPr>
          <w:rFonts w:ascii="Palatino Linotype" w:hAnsi="Palatino Linotype" w:cstheme="minorHAnsi"/>
          <w:sz w:val="22"/>
          <w:szCs w:val="22"/>
        </w:rPr>
        <w:t>ikinci çeyreğinde s</w:t>
      </w:r>
      <w:r w:rsidRPr="00344A74">
        <w:rPr>
          <w:rFonts w:ascii="Palatino Linotype" w:hAnsi="Palatino Linotype" w:cstheme="minorHAnsi"/>
          <w:sz w:val="22"/>
          <w:szCs w:val="22"/>
        </w:rPr>
        <w:t>toktaki değişikliklerin büyümeye katkısı negatif</w:t>
      </w:r>
      <w:r w:rsidR="00C82B14">
        <w:rPr>
          <w:rFonts w:ascii="Palatino Linotype" w:hAnsi="Palatino Linotype" w:cstheme="minorHAnsi"/>
          <w:sz w:val="22"/>
          <w:szCs w:val="22"/>
        </w:rPr>
        <w:t xml:space="preserve"> ve 0,5 yüzde puan iken üçüncü çeyrekte neredeyse sıfır olarak gerçekleşti </w:t>
      </w:r>
      <w:r w:rsidRPr="00344A74">
        <w:rPr>
          <w:rFonts w:ascii="Palatino Linotype" w:hAnsi="Palatino Linotype" w:cstheme="minorHAnsi"/>
          <w:sz w:val="22"/>
          <w:szCs w:val="22"/>
        </w:rPr>
        <w:t>(Tablo 1).  Mevsim ve takvim etkilerinden arındırılmış stok değişiminin çeyreklik büyümeye katkısının ise</w:t>
      </w:r>
      <w:r w:rsidR="00C82B14">
        <w:rPr>
          <w:rFonts w:ascii="Palatino Linotype" w:hAnsi="Palatino Linotype" w:cstheme="minorHAnsi"/>
          <w:sz w:val="22"/>
          <w:szCs w:val="22"/>
        </w:rPr>
        <w:t xml:space="preserve"> 0,4 yüzde puan ile</w:t>
      </w:r>
      <w:r w:rsidRPr="00344A74">
        <w:rPr>
          <w:rFonts w:ascii="Palatino Linotype" w:hAnsi="Palatino Linotype" w:cstheme="minorHAnsi"/>
          <w:sz w:val="22"/>
          <w:szCs w:val="22"/>
        </w:rPr>
        <w:t xml:space="preserve"> </w:t>
      </w:r>
      <w:r w:rsidR="00C82B14">
        <w:rPr>
          <w:rFonts w:ascii="Palatino Linotype" w:hAnsi="Palatino Linotype" w:cstheme="minorHAnsi"/>
          <w:sz w:val="22"/>
          <w:szCs w:val="22"/>
        </w:rPr>
        <w:t xml:space="preserve">pozitif ve </w:t>
      </w:r>
      <w:r w:rsidRPr="00344A74">
        <w:rPr>
          <w:rFonts w:ascii="Palatino Linotype" w:hAnsi="Palatino Linotype" w:cstheme="minorHAnsi"/>
          <w:sz w:val="22"/>
          <w:szCs w:val="22"/>
        </w:rPr>
        <w:t xml:space="preserve">görece yüksek </w:t>
      </w:r>
      <w:r w:rsidR="00C82B14">
        <w:rPr>
          <w:rFonts w:ascii="Palatino Linotype" w:hAnsi="Palatino Linotype" w:cstheme="minorHAnsi"/>
          <w:sz w:val="22"/>
          <w:szCs w:val="22"/>
        </w:rPr>
        <w:t xml:space="preserve">seyrediyor </w:t>
      </w:r>
      <w:r w:rsidRPr="00344A74">
        <w:rPr>
          <w:rFonts w:ascii="Palatino Linotype" w:hAnsi="Palatino Linotype" w:cstheme="minorHAnsi"/>
          <w:sz w:val="22"/>
          <w:szCs w:val="22"/>
        </w:rPr>
        <w:t xml:space="preserve">(Tablo 2). </w:t>
      </w:r>
    </w:p>
    <w:p w:rsidR="00F5130C" w:rsidRPr="00C82B14" w:rsidRDefault="002106DF" w:rsidP="00C82B14">
      <w:pPr>
        <w:pStyle w:val="NormalWeb"/>
        <w:spacing w:before="0" w:beforeAutospacing="0" w:after="0" w:afterAutospacing="0" w:line="360" w:lineRule="auto"/>
        <w:ind w:right="77"/>
        <w:jc w:val="both"/>
        <w:rPr>
          <w:rFonts w:ascii="Palatino Linotype" w:hAnsi="Palatino Linotype" w:cstheme="minorHAnsi"/>
          <w:color w:val="FF0000"/>
          <w:sz w:val="22"/>
          <w:szCs w:val="22"/>
        </w:rPr>
      </w:pPr>
      <w:r w:rsidRPr="00344A74">
        <w:rPr>
          <w:rFonts w:ascii="Palatino Linotype" w:hAnsi="Palatino Linotype" w:cstheme="minorHAnsi"/>
          <w:sz w:val="22"/>
          <w:szCs w:val="22"/>
        </w:rPr>
        <w:t>Burada önemli bir hatırlatma yapmakta fayda var. TÜİK yeni milli gelir serilerini hesaplarken</w:t>
      </w:r>
      <w:r w:rsidR="0053582F" w:rsidRPr="00344A74">
        <w:rPr>
          <w:rFonts w:ascii="Palatino Linotype" w:hAnsi="Palatino Linotype" w:cstheme="minorHAnsi"/>
          <w:sz w:val="22"/>
          <w:szCs w:val="22"/>
        </w:rPr>
        <w:t xml:space="preserve"> zincirleme hacim endeksi yöntemini kullanıyor. </w:t>
      </w:r>
      <w:r w:rsidRPr="00344A74">
        <w:rPr>
          <w:rFonts w:ascii="Palatino Linotype" w:hAnsi="Palatino Linotype" w:cstheme="minorHAnsi"/>
          <w:sz w:val="22"/>
          <w:szCs w:val="22"/>
        </w:rPr>
        <w:t>Zincirleme yöntemde</w:t>
      </w:r>
      <w:r w:rsidR="0053582F" w:rsidRPr="00344A74">
        <w:rPr>
          <w:rFonts w:ascii="Palatino Linotype" w:hAnsi="Palatino Linotype" w:cstheme="minorHAnsi"/>
          <w:sz w:val="22"/>
          <w:szCs w:val="22"/>
        </w:rPr>
        <w:t xml:space="preserve"> hem toplamsallık sorunu olduğu hem de </w:t>
      </w:r>
      <w:r w:rsidRPr="00344A74">
        <w:rPr>
          <w:rFonts w:ascii="Palatino Linotype" w:hAnsi="Palatino Linotype" w:cstheme="minorHAnsi"/>
          <w:sz w:val="22"/>
          <w:szCs w:val="22"/>
        </w:rPr>
        <w:t>"stoktaki değişiklikler" kalemi için zincirlenmiş endeks türetileme</w:t>
      </w:r>
      <w:r w:rsidR="0053582F" w:rsidRPr="00344A74">
        <w:rPr>
          <w:rFonts w:ascii="Palatino Linotype" w:hAnsi="Palatino Linotype" w:cstheme="minorHAnsi"/>
          <w:sz w:val="22"/>
          <w:szCs w:val="22"/>
        </w:rPr>
        <w:t>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w:t>
      </w:r>
      <w:r w:rsidRPr="00344A74">
        <w:rPr>
          <w:rFonts w:ascii="Palatino Linotype" w:hAnsi="Palatino Linotype" w:cstheme="minorHAnsi"/>
          <w:sz w:val="22"/>
          <w:szCs w:val="22"/>
        </w:rPr>
        <w:t>bkz. Betam Araştırma Notu 17/217).</w:t>
      </w:r>
    </w:p>
    <w:p w:rsidR="00F46A54" w:rsidRPr="00924CD9" w:rsidRDefault="00F46A54" w:rsidP="00F46A54">
      <w:pPr>
        <w:pStyle w:val="NormalWeb"/>
        <w:spacing w:before="0" w:beforeAutospacing="0" w:after="0" w:afterAutospacing="0" w:line="360" w:lineRule="auto"/>
        <w:ind w:right="77"/>
        <w:rPr>
          <w:rFonts w:ascii="Palatino Linotype" w:hAnsi="Palatino Linotype" w:cstheme="minorHAnsi"/>
          <w:b/>
          <w:sz w:val="22"/>
          <w:szCs w:val="22"/>
        </w:rPr>
      </w:pPr>
      <w:r w:rsidRPr="00924CD9">
        <w:rPr>
          <w:rFonts w:ascii="Palatino Linotype" w:hAnsi="Palatino Linotype" w:cstheme="minorHAnsi"/>
          <w:b/>
          <w:sz w:val="22"/>
          <w:szCs w:val="22"/>
        </w:rPr>
        <w:t xml:space="preserve">İhracattan büyümeye yüksek katkı </w:t>
      </w:r>
    </w:p>
    <w:p w:rsidR="003E1EED" w:rsidRPr="00924CD9" w:rsidRDefault="00C82B14" w:rsidP="006C3EE6">
      <w:pPr>
        <w:pStyle w:val="NormalWeb"/>
        <w:spacing w:before="0" w:beforeAutospacing="0" w:after="0" w:afterAutospacing="0" w:line="360" w:lineRule="auto"/>
        <w:ind w:right="77"/>
        <w:jc w:val="both"/>
        <w:rPr>
          <w:rFonts w:ascii="Palatino Linotype" w:hAnsi="Palatino Linotype" w:cstheme="minorHAnsi"/>
          <w:bCs/>
          <w:sz w:val="22"/>
          <w:szCs w:val="22"/>
        </w:rPr>
      </w:pPr>
      <w:r>
        <w:rPr>
          <w:rFonts w:ascii="Palatino Linotype" w:hAnsi="Palatino Linotype" w:cstheme="minorHAnsi"/>
          <w:sz w:val="22"/>
          <w:szCs w:val="22"/>
        </w:rPr>
        <w:t>Bir önceki yılın aynı çeyreği ile kıyaslandığında</w:t>
      </w:r>
      <w:r w:rsidR="00F46A54" w:rsidRPr="00924CD9">
        <w:rPr>
          <w:rFonts w:ascii="Palatino Linotype" w:hAnsi="Palatino Linotype" w:cstheme="minorHAnsi"/>
          <w:sz w:val="22"/>
          <w:szCs w:val="22"/>
        </w:rPr>
        <w:t xml:space="preserve"> net dış ticaret katkısı </w:t>
      </w:r>
      <w:r>
        <w:rPr>
          <w:rFonts w:ascii="Palatino Linotype" w:hAnsi="Palatino Linotype" w:cstheme="minorHAnsi"/>
          <w:sz w:val="22"/>
          <w:szCs w:val="22"/>
        </w:rPr>
        <w:t>üçüncü</w:t>
      </w:r>
      <w:r w:rsidR="00F46A54" w:rsidRPr="00924CD9">
        <w:rPr>
          <w:rFonts w:ascii="Palatino Linotype" w:hAnsi="Palatino Linotype" w:cstheme="minorHAnsi"/>
          <w:sz w:val="22"/>
          <w:szCs w:val="22"/>
        </w:rPr>
        <w:t xml:space="preserve"> çeyrekte </w:t>
      </w:r>
      <w:r>
        <w:rPr>
          <w:rFonts w:ascii="Palatino Linotype" w:hAnsi="Palatino Linotype" w:cstheme="minorHAnsi"/>
          <w:sz w:val="22"/>
          <w:szCs w:val="22"/>
        </w:rPr>
        <w:t>neredeyse sıfır oldu</w:t>
      </w:r>
      <w:r w:rsidR="00F46A54" w:rsidRPr="00924CD9">
        <w:rPr>
          <w:rFonts w:ascii="Palatino Linotype" w:hAnsi="Palatino Linotype" w:cstheme="minorHAnsi"/>
          <w:sz w:val="22"/>
          <w:szCs w:val="22"/>
        </w:rPr>
        <w:t xml:space="preserve">. </w:t>
      </w:r>
      <w:r>
        <w:rPr>
          <w:rFonts w:ascii="Palatino Linotype" w:hAnsi="Palatino Linotype" w:cstheme="minorHAnsi"/>
          <w:sz w:val="22"/>
          <w:szCs w:val="22"/>
        </w:rPr>
        <w:t>3,7 yüzde puan olan i</w:t>
      </w:r>
      <w:r w:rsidR="00EE150B" w:rsidRPr="00924CD9">
        <w:rPr>
          <w:rFonts w:ascii="Palatino Linotype" w:hAnsi="Palatino Linotype" w:cstheme="minorHAnsi"/>
          <w:sz w:val="22"/>
          <w:szCs w:val="22"/>
        </w:rPr>
        <w:t>hracat katkısı</w:t>
      </w:r>
      <w:r>
        <w:rPr>
          <w:rFonts w:ascii="Palatino Linotype" w:hAnsi="Palatino Linotype" w:cstheme="minorHAnsi"/>
          <w:sz w:val="22"/>
          <w:szCs w:val="22"/>
        </w:rPr>
        <w:t xml:space="preserve">nı bertaraf eden (eksi) 3,5 yüzde puanlık bir ithalat katkısı söz konusu. </w:t>
      </w:r>
      <w:r w:rsidR="00EE150B" w:rsidRPr="00924CD9">
        <w:rPr>
          <w:rFonts w:ascii="Palatino Linotype" w:hAnsi="Palatino Linotype" w:cstheme="minorHAnsi"/>
          <w:sz w:val="22"/>
          <w:szCs w:val="22"/>
        </w:rPr>
        <w:t xml:space="preserve"> İk</w:t>
      </w:r>
      <w:r>
        <w:rPr>
          <w:rFonts w:ascii="Palatino Linotype" w:hAnsi="Palatino Linotype" w:cstheme="minorHAnsi"/>
          <w:sz w:val="22"/>
          <w:szCs w:val="22"/>
        </w:rPr>
        <w:t>inci</w:t>
      </w:r>
      <w:r w:rsidR="00EE150B" w:rsidRPr="00924CD9">
        <w:rPr>
          <w:rFonts w:ascii="Palatino Linotype" w:hAnsi="Palatino Linotype" w:cstheme="minorHAnsi"/>
          <w:sz w:val="22"/>
          <w:szCs w:val="22"/>
        </w:rPr>
        <w:t xml:space="preserve"> çeyrekte </w:t>
      </w:r>
      <w:r>
        <w:rPr>
          <w:rFonts w:ascii="Palatino Linotype" w:hAnsi="Palatino Linotype" w:cstheme="minorHAnsi"/>
          <w:sz w:val="22"/>
          <w:szCs w:val="22"/>
        </w:rPr>
        <w:t xml:space="preserve">ithalatın negatif katkısı daha sınırlı olmuştu </w:t>
      </w:r>
      <w:r w:rsidR="00EE150B" w:rsidRPr="00924CD9">
        <w:rPr>
          <w:rFonts w:ascii="Palatino Linotype" w:hAnsi="Palatino Linotype" w:cstheme="minorHAnsi"/>
          <w:sz w:val="22"/>
          <w:szCs w:val="22"/>
        </w:rPr>
        <w:t xml:space="preserve">(Tablo 1). </w:t>
      </w:r>
      <w:r>
        <w:rPr>
          <w:rFonts w:ascii="Palatino Linotype" w:hAnsi="Palatino Linotype" w:cstheme="minorHAnsi"/>
          <w:sz w:val="22"/>
          <w:szCs w:val="22"/>
        </w:rPr>
        <w:t>M</w:t>
      </w:r>
      <w:r w:rsidR="00EE150B" w:rsidRPr="00924CD9">
        <w:rPr>
          <w:rFonts w:ascii="Palatino Linotype" w:hAnsi="Palatino Linotype" w:cstheme="minorHAnsi"/>
          <w:sz w:val="22"/>
          <w:szCs w:val="22"/>
        </w:rPr>
        <w:t xml:space="preserve">evsim ve takvim etkilerinden arındırılmış </w:t>
      </w:r>
      <w:r w:rsidR="00F5130C" w:rsidRPr="00924CD9">
        <w:rPr>
          <w:rFonts w:ascii="Palatino Linotype" w:hAnsi="Palatino Linotype" w:cstheme="minorHAnsi"/>
          <w:sz w:val="22"/>
          <w:szCs w:val="22"/>
        </w:rPr>
        <w:t>çeyrekten çeyreğe değişim</w:t>
      </w:r>
      <w:r>
        <w:rPr>
          <w:rFonts w:ascii="Palatino Linotype" w:hAnsi="Palatino Linotype" w:cstheme="minorHAnsi"/>
          <w:sz w:val="22"/>
          <w:szCs w:val="22"/>
        </w:rPr>
        <w:t xml:space="preserve">lerde ihracat katkısı neredeyse sıfırlanırken ithalat katkısının </w:t>
      </w:r>
      <w:r w:rsidR="00F5130C" w:rsidRPr="00924CD9">
        <w:rPr>
          <w:rFonts w:ascii="Palatino Linotype" w:hAnsi="Palatino Linotype" w:cstheme="minorHAnsi"/>
          <w:sz w:val="22"/>
          <w:szCs w:val="22"/>
        </w:rPr>
        <w:t>negatif</w:t>
      </w:r>
      <w:r>
        <w:rPr>
          <w:rFonts w:ascii="Palatino Linotype" w:hAnsi="Palatino Linotype" w:cstheme="minorHAnsi"/>
          <w:sz w:val="22"/>
          <w:szCs w:val="22"/>
        </w:rPr>
        <w:t xml:space="preserve"> ve görece yüksek olduğunu belirtmemiz gerekiyor</w:t>
      </w:r>
      <w:r w:rsidRPr="00924CD9">
        <w:rPr>
          <w:rFonts w:ascii="Palatino Linotype" w:hAnsi="Palatino Linotype" w:cstheme="minorHAnsi"/>
          <w:sz w:val="22"/>
          <w:szCs w:val="22"/>
        </w:rPr>
        <w:t xml:space="preserve"> (Tablo 2)</w:t>
      </w:r>
      <w:r>
        <w:rPr>
          <w:rFonts w:ascii="Palatino Linotype" w:hAnsi="Palatino Linotype" w:cstheme="minorHAnsi"/>
          <w:sz w:val="22"/>
          <w:szCs w:val="22"/>
        </w:rPr>
        <w:t>. TL'nin değer kazanmamasına rağmen gerçekleşen bu ithalat artışının sebebi iç talepteki patlama diyebiliriz</w:t>
      </w:r>
      <w:r w:rsidR="00EE150B" w:rsidRPr="00924CD9">
        <w:rPr>
          <w:rFonts w:ascii="Palatino Linotype" w:hAnsi="Palatino Linotype" w:cstheme="minorHAnsi"/>
          <w:sz w:val="22"/>
          <w:szCs w:val="22"/>
        </w:rPr>
        <w:t xml:space="preserve">. </w:t>
      </w:r>
    </w:p>
    <w:p w:rsidR="006C3EE6" w:rsidRPr="00924CD9"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924CD9">
        <w:rPr>
          <w:rFonts w:ascii="Palatino Linotype" w:hAnsi="Palatino Linotype" w:cstheme="minorHAnsi"/>
          <w:b/>
          <w:bCs/>
          <w:sz w:val="22"/>
          <w:szCs w:val="22"/>
        </w:rPr>
        <w:t>Kamu harcamaları</w:t>
      </w:r>
      <w:r w:rsidR="008C70C5" w:rsidRPr="00924CD9">
        <w:rPr>
          <w:rFonts w:ascii="Palatino Linotype" w:hAnsi="Palatino Linotype" w:cstheme="minorHAnsi"/>
          <w:b/>
          <w:bCs/>
          <w:sz w:val="22"/>
          <w:szCs w:val="22"/>
        </w:rPr>
        <w:t xml:space="preserve">nın büyüme katkısı </w:t>
      </w:r>
      <w:r w:rsidR="00C82B14">
        <w:rPr>
          <w:rFonts w:ascii="Palatino Linotype" w:hAnsi="Palatino Linotype" w:cstheme="minorHAnsi"/>
          <w:b/>
          <w:bCs/>
          <w:sz w:val="22"/>
          <w:szCs w:val="22"/>
        </w:rPr>
        <w:t>çok zayıf kaldı</w:t>
      </w:r>
    </w:p>
    <w:p w:rsidR="006C3EE6" w:rsidRDefault="00EB476F" w:rsidP="00E41840">
      <w:pPr>
        <w:pStyle w:val="NormalWeb"/>
        <w:spacing w:before="0" w:beforeAutospacing="0" w:after="0" w:afterAutospacing="0" w:line="360" w:lineRule="auto"/>
        <w:ind w:right="77"/>
        <w:jc w:val="both"/>
        <w:rPr>
          <w:rFonts w:ascii="Palatino Linotype" w:hAnsi="Palatino Linotype" w:cstheme="minorHAnsi"/>
          <w:sz w:val="22"/>
          <w:szCs w:val="22"/>
        </w:rPr>
      </w:pPr>
      <w:r w:rsidRPr="00924CD9">
        <w:rPr>
          <w:rFonts w:ascii="Palatino Linotype" w:hAnsi="Palatino Linotype" w:cstheme="minorHAnsi"/>
          <w:sz w:val="22"/>
          <w:szCs w:val="22"/>
        </w:rPr>
        <w:t xml:space="preserve">Devletin </w:t>
      </w:r>
      <w:r w:rsidR="00C82B14">
        <w:rPr>
          <w:rFonts w:ascii="Palatino Linotype" w:hAnsi="Palatino Linotype" w:cstheme="minorHAnsi"/>
          <w:sz w:val="22"/>
          <w:szCs w:val="22"/>
        </w:rPr>
        <w:t>n</w:t>
      </w:r>
      <w:r w:rsidRPr="00924CD9">
        <w:rPr>
          <w:rFonts w:ascii="Palatino Linotype" w:hAnsi="Palatino Linotype" w:cstheme="minorHAnsi"/>
          <w:sz w:val="22"/>
          <w:szCs w:val="22"/>
        </w:rPr>
        <w:t xml:space="preserve">ihai </w:t>
      </w:r>
      <w:r w:rsidR="00C82B14">
        <w:rPr>
          <w:rFonts w:ascii="Palatino Linotype" w:hAnsi="Palatino Linotype" w:cstheme="minorHAnsi"/>
          <w:sz w:val="22"/>
          <w:szCs w:val="22"/>
        </w:rPr>
        <w:t>tüketim h</w:t>
      </w:r>
      <w:r w:rsidRPr="00924CD9">
        <w:rPr>
          <w:rFonts w:ascii="Palatino Linotype" w:hAnsi="Palatino Linotype" w:cstheme="minorHAnsi"/>
          <w:sz w:val="22"/>
          <w:szCs w:val="22"/>
        </w:rPr>
        <w:t>arcamalar</w:t>
      </w:r>
      <w:r w:rsidR="00CF5053" w:rsidRPr="00924CD9">
        <w:rPr>
          <w:rFonts w:ascii="Palatino Linotype" w:hAnsi="Palatino Linotype" w:cstheme="minorHAnsi"/>
          <w:sz w:val="22"/>
          <w:szCs w:val="22"/>
        </w:rPr>
        <w:t>ının yıl</w:t>
      </w:r>
      <w:r w:rsidR="00C82B14">
        <w:rPr>
          <w:rFonts w:ascii="Palatino Linotype" w:hAnsi="Palatino Linotype" w:cstheme="minorHAnsi"/>
          <w:sz w:val="22"/>
          <w:szCs w:val="22"/>
        </w:rPr>
        <w:t xml:space="preserve">lık ve çeyreklik büyümelere katkısı çeyrekten çeyreğe işaret değiştirmekle birlikte ihmal edilebilir düzeylerde. Yıllık değişimlere katkı pozitif iken </w:t>
      </w:r>
      <w:r w:rsidR="00C82B14" w:rsidRPr="00924CD9">
        <w:rPr>
          <w:rFonts w:ascii="Palatino Linotype" w:hAnsi="Palatino Linotype" w:cstheme="minorHAnsi"/>
          <w:sz w:val="22"/>
          <w:szCs w:val="22"/>
        </w:rPr>
        <w:t>(Tablo 1</w:t>
      </w:r>
      <w:r w:rsidR="00C82B14">
        <w:rPr>
          <w:rFonts w:ascii="Palatino Linotype" w:hAnsi="Palatino Linotype" w:cstheme="minorHAnsi"/>
          <w:sz w:val="22"/>
          <w:szCs w:val="22"/>
        </w:rPr>
        <w:t xml:space="preserve"> ) m</w:t>
      </w:r>
      <w:r w:rsidR="00C82B14" w:rsidRPr="00924CD9">
        <w:rPr>
          <w:rFonts w:ascii="Palatino Linotype" w:hAnsi="Palatino Linotype" w:cstheme="minorHAnsi"/>
          <w:sz w:val="22"/>
          <w:szCs w:val="22"/>
        </w:rPr>
        <w:t>evsim ve takvim etkilerinden arındırılmış</w:t>
      </w:r>
      <w:r w:rsidR="00C82B14">
        <w:rPr>
          <w:rFonts w:ascii="Palatino Linotype" w:hAnsi="Palatino Linotype" w:cstheme="minorHAnsi"/>
          <w:sz w:val="22"/>
          <w:szCs w:val="22"/>
        </w:rPr>
        <w:t xml:space="preserve"> çeyreklik katkının negatif olduğunu görüyoruz (Tablo 2</w:t>
      </w:r>
      <w:r w:rsidR="00CF5053" w:rsidRPr="00924CD9">
        <w:rPr>
          <w:rFonts w:ascii="Palatino Linotype" w:hAnsi="Palatino Linotype" w:cstheme="minorHAnsi"/>
          <w:sz w:val="22"/>
          <w:szCs w:val="22"/>
        </w:rPr>
        <w:t xml:space="preserve">). </w:t>
      </w:r>
    </w:p>
    <w:p w:rsidR="006C3EE6" w:rsidRPr="00924CD9" w:rsidRDefault="00817A10" w:rsidP="00C57749">
      <w:pPr>
        <w:pStyle w:val="NormalWeb"/>
        <w:spacing w:before="0" w:beforeAutospacing="0" w:after="0" w:afterAutospacing="0" w:line="360" w:lineRule="auto"/>
        <w:ind w:right="77"/>
        <w:rPr>
          <w:rFonts w:ascii="Palatino Linotype" w:hAnsi="Palatino Linotype" w:cstheme="minorHAnsi"/>
          <w:b/>
          <w:bCs/>
          <w:sz w:val="22"/>
          <w:szCs w:val="22"/>
        </w:rPr>
      </w:pPr>
      <w:r>
        <w:rPr>
          <w:rFonts w:ascii="Palatino Linotype" w:hAnsi="Palatino Linotype" w:cstheme="minorHAnsi"/>
          <w:b/>
          <w:bCs/>
          <w:sz w:val="22"/>
          <w:szCs w:val="22"/>
        </w:rPr>
        <w:lastRenderedPageBreak/>
        <w:t>TÜİK revizyonları</w:t>
      </w:r>
      <w:r w:rsidR="00B27C9F">
        <w:rPr>
          <w:rFonts w:ascii="Palatino Linotype" w:hAnsi="Palatino Linotype" w:cstheme="minorHAnsi"/>
          <w:b/>
          <w:bCs/>
          <w:sz w:val="22"/>
          <w:szCs w:val="22"/>
        </w:rPr>
        <w:t xml:space="preserve"> ile tahmin performansımız sürekli değişiyor</w:t>
      </w:r>
    </w:p>
    <w:p w:rsidR="001B3A44" w:rsidRPr="00924CD9" w:rsidRDefault="00EC2814" w:rsidP="00B82B92">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Betam'ın 2017 yılı</w:t>
      </w:r>
      <w:r w:rsidR="00FA63BA" w:rsidRPr="00924CD9">
        <w:rPr>
          <w:rFonts w:ascii="Palatino Linotype" w:hAnsi="Palatino Linotype" w:cstheme="minorHAnsi"/>
          <w:sz w:val="22"/>
          <w:szCs w:val="22"/>
        </w:rPr>
        <w:t xml:space="preserve"> </w:t>
      </w:r>
      <w:r w:rsidR="001D6465" w:rsidRPr="00924CD9">
        <w:rPr>
          <w:rFonts w:ascii="Palatino Linotype" w:hAnsi="Palatino Linotype" w:cstheme="minorHAnsi"/>
          <w:sz w:val="22"/>
          <w:szCs w:val="22"/>
        </w:rPr>
        <w:t xml:space="preserve">yıllık büyüme </w:t>
      </w:r>
      <w:r>
        <w:rPr>
          <w:rFonts w:ascii="Palatino Linotype" w:hAnsi="Palatino Linotype" w:cstheme="minorHAnsi"/>
          <w:sz w:val="22"/>
          <w:szCs w:val="22"/>
        </w:rPr>
        <w:t xml:space="preserve">tahminleri </w:t>
      </w:r>
      <w:r w:rsidR="001D6465" w:rsidRPr="00924CD9">
        <w:rPr>
          <w:rFonts w:ascii="Palatino Linotype" w:hAnsi="Palatino Linotype" w:cstheme="minorHAnsi"/>
          <w:sz w:val="22"/>
          <w:szCs w:val="22"/>
        </w:rPr>
        <w:t>ilk çeyrek</w:t>
      </w:r>
      <w:r>
        <w:rPr>
          <w:rFonts w:ascii="Palatino Linotype" w:hAnsi="Palatino Linotype" w:cstheme="minorHAnsi"/>
          <w:sz w:val="22"/>
          <w:szCs w:val="22"/>
        </w:rPr>
        <w:t xml:space="preserve"> için yüzde 5,0, ikinci çeyrek için yüzde 6,2 idi.</w:t>
      </w:r>
      <w:r w:rsidR="00B27C9F">
        <w:rPr>
          <w:rStyle w:val="FootnoteReference"/>
          <w:rFonts w:ascii="Palatino Linotype" w:hAnsi="Palatino Linotype" w:cstheme="minorHAnsi"/>
          <w:sz w:val="22"/>
          <w:szCs w:val="22"/>
        </w:rPr>
        <w:footnoteReference w:id="5"/>
      </w:r>
      <w:r>
        <w:rPr>
          <w:rFonts w:ascii="Palatino Linotype" w:hAnsi="Palatino Linotype" w:cstheme="minorHAnsi"/>
          <w:sz w:val="22"/>
          <w:szCs w:val="22"/>
        </w:rPr>
        <w:t xml:space="preserve"> TÜİK ise </w:t>
      </w:r>
      <w:r w:rsidR="00817A10">
        <w:rPr>
          <w:rFonts w:ascii="Palatino Linotype" w:hAnsi="Palatino Linotype" w:cstheme="minorHAnsi"/>
          <w:sz w:val="22"/>
          <w:szCs w:val="22"/>
        </w:rPr>
        <w:t xml:space="preserve">ilk önce 12 Haziran'da ilk çeyrek büyümesini yüzde 5,0 olarak açıkladı. </w:t>
      </w:r>
      <w:r w:rsidR="00E82940">
        <w:rPr>
          <w:rFonts w:ascii="Palatino Linotype" w:hAnsi="Palatino Linotype" w:cstheme="minorHAnsi"/>
          <w:sz w:val="22"/>
          <w:szCs w:val="22"/>
        </w:rPr>
        <w:t>Ardından</w:t>
      </w:r>
      <w:r w:rsidR="00817A10">
        <w:rPr>
          <w:rFonts w:ascii="Palatino Linotype" w:hAnsi="Palatino Linotype" w:cstheme="minorHAnsi"/>
          <w:sz w:val="22"/>
          <w:szCs w:val="22"/>
        </w:rPr>
        <w:t>, 11 Eylül'de ilk çeyrek büyümesi yüzde 5,2 olarak revize edilirken ikinci çeyrek büyümesini yüzde 5,1 olarak açıkla</w:t>
      </w:r>
      <w:r w:rsidR="00E82940">
        <w:rPr>
          <w:rFonts w:ascii="Palatino Linotype" w:hAnsi="Palatino Linotype" w:cstheme="minorHAnsi"/>
          <w:sz w:val="22"/>
          <w:szCs w:val="22"/>
        </w:rPr>
        <w:t>n</w:t>
      </w:r>
      <w:r w:rsidR="00817A10">
        <w:rPr>
          <w:rFonts w:ascii="Palatino Linotype" w:hAnsi="Palatino Linotype" w:cstheme="minorHAnsi"/>
          <w:sz w:val="22"/>
          <w:szCs w:val="22"/>
        </w:rPr>
        <w:t xml:space="preserve">dı. </w:t>
      </w:r>
      <w:r w:rsidR="0054145E">
        <w:rPr>
          <w:rFonts w:ascii="Palatino Linotype" w:hAnsi="Palatino Linotype" w:cstheme="minorHAnsi"/>
          <w:sz w:val="22"/>
          <w:szCs w:val="22"/>
        </w:rPr>
        <w:t xml:space="preserve">En son </w:t>
      </w:r>
      <w:r w:rsidR="00817A10">
        <w:rPr>
          <w:rFonts w:ascii="Palatino Linotype" w:hAnsi="Palatino Linotype" w:cstheme="minorHAnsi"/>
          <w:sz w:val="22"/>
          <w:szCs w:val="22"/>
        </w:rPr>
        <w:t xml:space="preserve">11 Aralık'ta ilk ve ikinci çeyrek büyümelerini sırası ile yüzde 5,3 ve yüzde 5,4 olarak güncelledi. </w:t>
      </w:r>
      <w:r w:rsidR="00B27C9F">
        <w:rPr>
          <w:rFonts w:ascii="Palatino Linotype" w:hAnsi="Palatino Linotype" w:cstheme="minorHAnsi"/>
          <w:sz w:val="22"/>
          <w:szCs w:val="22"/>
        </w:rPr>
        <w:t xml:space="preserve">Çeyreklik büyümelerde bu revizyonların çok daha büyük olduğunu belirtmemiz gerekiyor. </w:t>
      </w:r>
      <w:r w:rsidR="004F0543">
        <w:rPr>
          <w:rFonts w:ascii="Palatino Linotype" w:hAnsi="Palatino Linotype" w:cstheme="minorHAnsi"/>
          <w:sz w:val="22"/>
          <w:szCs w:val="22"/>
        </w:rPr>
        <w:t>Revizyonlarla b</w:t>
      </w:r>
      <w:r w:rsidR="00B27C9F">
        <w:rPr>
          <w:rFonts w:ascii="Palatino Linotype" w:hAnsi="Palatino Linotype" w:cstheme="minorHAnsi"/>
          <w:sz w:val="22"/>
          <w:szCs w:val="22"/>
        </w:rPr>
        <w:t xml:space="preserve">u kadar sık değişen büyüme rakamları </w:t>
      </w:r>
      <w:r w:rsidR="004F0543">
        <w:rPr>
          <w:rFonts w:ascii="Palatino Linotype" w:hAnsi="Palatino Linotype" w:cstheme="minorHAnsi"/>
          <w:sz w:val="22"/>
          <w:szCs w:val="22"/>
        </w:rPr>
        <w:t>nedeniyle</w:t>
      </w:r>
      <w:r w:rsidR="00B27C9F">
        <w:rPr>
          <w:rFonts w:ascii="Palatino Linotype" w:hAnsi="Palatino Linotype" w:cstheme="minorHAnsi"/>
          <w:sz w:val="22"/>
          <w:szCs w:val="22"/>
        </w:rPr>
        <w:t xml:space="preserve"> tahmin başarısı veya başarısızlığından bahsetmek </w:t>
      </w:r>
      <w:r w:rsidR="00E82940">
        <w:rPr>
          <w:rFonts w:ascii="Palatino Linotype" w:hAnsi="Palatino Linotype" w:cstheme="minorHAnsi"/>
          <w:sz w:val="22"/>
          <w:szCs w:val="22"/>
        </w:rPr>
        <w:t>zorlaşıyor</w:t>
      </w:r>
      <w:r w:rsidR="00B27C9F">
        <w:rPr>
          <w:rFonts w:ascii="Palatino Linotype" w:hAnsi="Palatino Linotype" w:cstheme="minorHAnsi"/>
          <w:sz w:val="22"/>
          <w:szCs w:val="22"/>
        </w:rPr>
        <w:t xml:space="preserve">. </w:t>
      </w:r>
      <w:r w:rsidR="00C5056E">
        <w:rPr>
          <w:rFonts w:ascii="Palatino Linotype" w:hAnsi="Palatino Linotype" w:cstheme="minorHAnsi"/>
          <w:sz w:val="22"/>
          <w:szCs w:val="22"/>
        </w:rPr>
        <w:t>Bu konuya ilerleyen günlerde daha yakından bakacağız.</w:t>
      </w:r>
    </w:p>
    <w:p w:rsidR="00B27C9F" w:rsidRPr="00924CD9" w:rsidRDefault="004F0543" w:rsidP="00B27C9F">
      <w:pPr>
        <w:pStyle w:val="NormalWeb"/>
        <w:spacing w:before="0" w:beforeAutospacing="0" w:after="0" w:afterAutospacing="0" w:line="360" w:lineRule="auto"/>
        <w:ind w:right="77"/>
        <w:rPr>
          <w:rFonts w:ascii="Palatino Linotype" w:hAnsi="Palatino Linotype" w:cstheme="minorHAnsi"/>
          <w:b/>
          <w:bCs/>
          <w:sz w:val="22"/>
          <w:szCs w:val="22"/>
        </w:rPr>
      </w:pPr>
      <w:r>
        <w:rPr>
          <w:rFonts w:ascii="Palatino Linotype" w:hAnsi="Palatino Linotype" w:cstheme="minorHAnsi"/>
          <w:b/>
          <w:bCs/>
          <w:sz w:val="22"/>
          <w:szCs w:val="22"/>
        </w:rPr>
        <w:t>B</w:t>
      </w:r>
      <w:r w:rsidR="00B27C9F">
        <w:rPr>
          <w:rFonts w:ascii="Palatino Linotype" w:hAnsi="Palatino Linotype" w:cstheme="minorHAnsi"/>
          <w:b/>
          <w:bCs/>
          <w:sz w:val="22"/>
          <w:szCs w:val="22"/>
        </w:rPr>
        <w:t>üyümenin geleceği</w:t>
      </w:r>
    </w:p>
    <w:p w:rsidR="00681AD9" w:rsidRDefault="00694F52" w:rsidP="00681AD9">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2016 3. çeyrekte ekonomide yaşanan küçülmenin oluşturduğu baz etkisi nedeniyle yıllık büyüme oranı yüksek bekleniyordu ancak beklenenin de üzerinde geldi. Ancak </w:t>
      </w:r>
      <w:r w:rsidR="00F22A71" w:rsidRPr="00924CD9">
        <w:rPr>
          <w:rFonts w:ascii="Palatino Linotype" w:hAnsi="Palatino Linotype" w:cstheme="minorHAnsi"/>
          <w:sz w:val="22"/>
          <w:szCs w:val="22"/>
        </w:rPr>
        <w:t xml:space="preserve">Şekil 2’de gördüğümüz üzere </w:t>
      </w:r>
      <w:r w:rsidR="009A71AF">
        <w:rPr>
          <w:rFonts w:ascii="Palatino Linotype" w:hAnsi="Palatino Linotype" w:cstheme="minorHAnsi"/>
          <w:sz w:val="22"/>
          <w:szCs w:val="22"/>
        </w:rPr>
        <w:t>mevsim ve takvim etkilerinden arındırılmış çeyreklik büyüme rakamları</w:t>
      </w:r>
      <w:r>
        <w:rPr>
          <w:rFonts w:ascii="Palatino Linotype" w:hAnsi="Palatino Linotype" w:cstheme="minorHAnsi"/>
          <w:sz w:val="22"/>
          <w:szCs w:val="22"/>
        </w:rPr>
        <w:t xml:space="preserve"> düşüş eğilimi sergilemektedir. N</w:t>
      </w:r>
      <w:r w:rsidR="009A71AF">
        <w:rPr>
          <w:rFonts w:ascii="Palatino Linotype" w:hAnsi="Palatino Linotype" w:cstheme="minorHAnsi"/>
          <w:sz w:val="22"/>
          <w:szCs w:val="22"/>
        </w:rPr>
        <w:t>eredeyse tamamladığımız son çeyrek</w:t>
      </w:r>
      <w:r>
        <w:rPr>
          <w:rFonts w:ascii="Palatino Linotype" w:hAnsi="Palatino Linotype" w:cstheme="minorHAnsi"/>
          <w:sz w:val="22"/>
          <w:szCs w:val="22"/>
        </w:rPr>
        <w:t>te yıllık büyüme rakamı</w:t>
      </w:r>
      <w:r w:rsidR="009E68C6">
        <w:rPr>
          <w:rFonts w:ascii="Palatino Linotype" w:hAnsi="Palatino Linotype" w:cstheme="minorHAnsi"/>
          <w:sz w:val="22"/>
          <w:szCs w:val="22"/>
        </w:rPr>
        <w:t xml:space="preserve">na ilişkin ilk tahminimizi gelecek hafta paylaşacağız. Yıllık büyüme loranı nispeten düşük gelse de </w:t>
      </w:r>
      <w:r w:rsidR="009A71AF">
        <w:rPr>
          <w:rFonts w:ascii="Palatino Linotype" w:hAnsi="Palatino Linotype" w:cstheme="minorHAnsi"/>
          <w:sz w:val="22"/>
          <w:szCs w:val="22"/>
        </w:rPr>
        <w:t xml:space="preserve">2017 toplam yıllık büyümesinin  de OVP'deki yüzde 5,5'un çok üstünde çıkacağını tahmin etmek güç değil. </w:t>
      </w:r>
      <w:r w:rsidR="000D5FD3" w:rsidRPr="00924CD9">
        <w:rPr>
          <w:rFonts w:ascii="Palatino Linotype" w:hAnsi="Palatino Linotype" w:cstheme="minorHAnsi"/>
          <w:sz w:val="22"/>
          <w:szCs w:val="22"/>
        </w:rPr>
        <w:t xml:space="preserve">Bu </w:t>
      </w:r>
      <w:r w:rsidR="009A71AF">
        <w:rPr>
          <w:rFonts w:ascii="Palatino Linotype" w:hAnsi="Palatino Linotype" w:cstheme="minorHAnsi"/>
          <w:sz w:val="22"/>
          <w:szCs w:val="22"/>
        </w:rPr>
        <w:t xml:space="preserve">yüksek </w:t>
      </w:r>
      <w:r w:rsidR="000D5FD3" w:rsidRPr="00924CD9">
        <w:rPr>
          <w:rFonts w:ascii="Palatino Linotype" w:hAnsi="Palatino Linotype" w:cstheme="minorHAnsi"/>
          <w:sz w:val="22"/>
          <w:szCs w:val="22"/>
        </w:rPr>
        <w:t xml:space="preserve">büyümenin önemli ölçüde </w:t>
      </w:r>
      <w:r w:rsidR="00F118B1">
        <w:rPr>
          <w:rFonts w:ascii="Palatino Linotype" w:hAnsi="Palatino Linotype" w:cstheme="minorHAnsi"/>
          <w:sz w:val="22"/>
          <w:szCs w:val="22"/>
        </w:rPr>
        <w:t xml:space="preserve">talebi canlandıran </w:t>
      </w:r>
      <w:r w:rsidR="000D5FD3" w:rsidRPr="00924CD9">
        <w:rPr>
          <w:rFonts w:ascii="Palatino Linotype" w:hAnsi="Palatino Linotype" w:cstheme="minorHAnsi"/>
          <w:sz w:val="22"/>
          <w:szCs w:val="22"/>
        </w:rPr>
        <w:t>teşvikler</w:t>
      </w:r>
      <w:r w:rsidR="00F118B1">
        <w:rPr>
          <w:rFonts w:ascii="Palatino Linotype" w:hAnsi="Palatino Linotype" w:cstheme="minorHAnsi"/>
          <w:sz w:val="22"/>
          <w:szCs w:val="22"/>
        </w:rPr>
        <w:t>e bağlı olduğu ve mali</w:t>
      </w:r>
      <w:r w:rsidR="009E68C6">
        <w:rPr>
          <w:rFonts w:ascii="Palatino Linotype" w:hAnsi="Palatino Linotype" w:cstheme="minorHAnsi"/>
          <w:sz w:val="22"/>
          <w:szCs w:val="22"/>
        </w:rPr>
        <w:t xml:space="preserve"> disiplin</w:t>
      </w:r>
      <w:r w:rsidR="00F118B1">
        <w:rPr>
          <w:rFonts w:ascii="Palatino Linotype" w:hAnsi="Palatino Linotype" w:cstheme="minorHAnsi"/>
          <w:sz w:val="22"/>
          <w:szCs w:val="22"/>
        </w:rPr>
        <w:t xml:space="preserve"> kaygılar</w:t>
      </w:r>
      <w:r w:rsidR="009E68C6">
        <w:rPr>
          <w:rFonts w:ascii="Palatino Linotype" w:hAnsi="Palatino Linotype" w:cstheme="minorHAnsi"/>
          <w:sz w:val="22"/>
          <w:szCs w:val="22"/>
        </w:rPr>
        <w:t>ı nedeniyle</w:t>
      </w:r>
      <w:r w:rsidR="00F118B1">
        <w:rPr>
          <w:rFonts w:ascii="Palatino Linotype" w:hAnsi="Palatino Linotype" w:cstheme="minorHAnsi"/>
          <w:sz w:val="22"/>
          <w:szCs w:val="22"/>
        </w:rPr>
        <w:t xml:space="preserve"> aynı ölçüde devam ettirilemeyecekleri dikkate alınırsa, 2018-2020 yılları için OVP'de </w:t>
      </w:r>
      <w:r w:rsidR="00F22A71" w:rsidRPr="00924CD9">
        <w:rPr>
          <w:rFonts w:ascii="Palatino Linotype" w:hAnsi="Palatino Linotype" w:cstheme="minorHAnsi"/>
          <w:sz w:val="22"/>
          <w:szCs w:val="22"/>
        </w:rPr>
        <w:t xml:space="preserve">hedeflenen yüzde </w:t>
      </w:r>
      <w:r w:rsidR="000D5FD3" w:rsidRPr="00924CD9">
        <w:rPr>
          <w:rFonts w:ascii="Palatino Linotype" w:hAnsi="Palatino Linotype" w:cstheme="minorHAnsi"/>
          <w:sz w:val="22"/>
          <w:szCs w:val="22"/>
        </w:rPr>
        <w:t>5,5</w:t>
      </w:r>
      <w:r w:rsidR="00F118B1">
        <w:rPr>
          <w:rFonts w:ascii="Palatino Linotype" w:hAnsi="Palatino Linotype" w:cstheme="minorHAnsi"/>
          <w:sz w:val="22"/>
          <w:szCs w:val="22"/>
        </w:rPr>
        <w:t xml:space="preserve"> b</w:t>
      </w:r>
      <w:r w:rsidR="00F22A71" w:rsidRPr="00924CD9">
        <w:rPr>
          <w:rFonts w:ascii="Palatino Linotype" w:hAnsi="Palatino Linotype" w:cstheme="minorHAnsi"/>
          <w:sz w:val="22"/>
          <w:szCs w:val="22"/>
        </w:rPr>
        <w:t>üyüme</w:t>
      </w:r>
      <w:r w:rsidR="00F118B1">
        <w:rPr>
          <w:rFonts w:ascii="Palatino Linotype" w:hAnsi="Palatino Linotype" w:cstheme="minorHAnsi"/>
          <w:sz w:val="22"/>
          <w:szCs w:val="22"/>
        </w:rPr>
        <w:t xml:space="preserve">nin garanti olmadığını </w:t>
      </w:r>
      <w:r w:rsidR="000D5FD3" w:rsidRPr="00924CD9">
        <w:rPr>
          <w:rFonts w:ascii="Palatino Linotype" w:hAnsi="Palatino Linotype" w:cstheme="minorHAnsi"/>
          <w:sz w:val="22"/>
          <w:szCs w:val="22"/>
        </w:rPr>
        <w:t>söyleyebiliriz</w:t>
      </w:r>
      <w:r w:rsidR="00F22A71" w:rsidRPr="00924CD9">
        <w:rPr>
          <w:rFonts w:ascii="Palatino Linotype" w:hAnsi="Palatino Linotype" w:cstheme="minorHAnsi"/>
          <w:sz w:val="22"/>
          <w:szCs w:val="22"/>
        </w:rPr>
        <w:t>.</w:t>
      </w:r>
      <w:r w:rsidR="00F118B1">
        <w:rPr>
          <w:rFonts w:ascii="Palatino Linotype" w:hAnsi="Palatino Linotype" w:cstheme="minorHAnsi"/>
          <w:sz w:val="22"/>
          <w:szCs w:val="22"/>
        </w:rPr>
        <w:t xml:space="preserve"> Bu büyüme oranlarını sağlamak ve istikrarlı şekilde sürdürebilmek için katma değer yaratan, verimliliği artıran, rekabeti tesis eden özetle "daha çok yatırım" yerine "daha kaliteli yatırım"  odaklı politikalara ihtiyaç var</w:t>
      </w:r>
      <w:r w:rsidR="00F118B1" w:rsidRPr="00F118B1">
        <w:rPr>
          <w:rFonts w:ascii="Palatino Linotype" w:hAnsi="Palatino Linotype" w:cstheme="minorHAnsi"/>
          <w:sz w:val="22"/>
          <w:szCs w:val="22"/>
        </w:rPr>
        <w:t xml:space="preserve">.  </w:t>
      </w:r>
    </w:p>
    <w:p w:rsidR="003E1EED" w:rsidRDefault="003E1EED" w:rsidP="00681AD9">
      <w:pPr>
        <w:pStyle w:val="NormalWeb"/>
        <w:spacing w:before="0" w:beforeAutospacing="0" w:after="0" w:afterAutospacing="0" w:line="360" w:lineRule="auto"/>
        <w:ind w:right="77"/>
        <w:jc w:val="both"/>
        <w:rPr>
          <w:rFonts w:ascii="Palatino Linotype" w:hAnsi="Palatino Linotype" w:cstheme="minorHAnsi"/>
          <w:sz w:val="22"/>
          <w:szCs w:val="22"/>
        </w:rPr>
      </w:pPr>
    </w:p>
    <w:p w:rsidR="00C82B14" w:rsidRDefault="00C82B14" w:rsidP="00681AD9">
      <w:pPr>
        <w:pStyle w:val="NormalWeb"/>
        <w:spacing w:before="0" w:beforeAutospacing="0" w:after="0" w:afterAutospacing="0" w:line="360" w:lineRule="auto"/>
        <w:ind w:right="77"/>
        <w:jc w:val="both"/>
        <w:rPr>
          <w:rFonts w:ascii="Palatino Linotype" w:hAnsi="Palatino Linotype" w:cstheme="minorHAnsi"/>
          <w:sz w:val="22"/>
          <w:szCs w:val="22"/>
        </w:rPr>
      </w:pPr>
    </w:p>
    <w:p w:rsidR="00C82B14" w:rsidRDefault="00C82B14" w:rsidP="00681AD9">
      <w:pPr>
        <w:pStyle w:val="NormalWeb"/>
        <w:spacing w:before="0" w:beforeAutospacing="0" w:after="0" w:afterAutospacing="0" w:line="360" w:lineRule="auto"/>
        <w:ind w:right="77"/>
        <w:jc w:val="both"/>
        <w:rPr>
          <w:rFonts w:ascii="Palatino Linotype" w:hAnsi="Palatino Linotype" w:cstheme="minorHAnsi"/>
          <w:sz w:val="22"/>
          <w:szCs w:val="22"/>
        </w:rPr>
      </w:pPr>
    </w:p>
    <w:p w:rsidR="00C82B14" w:rsidRPr="00924CD9" w:rsidRDefault="00C82B14" w:rsidP="00681AD9">
      <w:pPr>
        <w:pStyle w:val="NormalWeb"/>
        <w:spacing w:before="0" w:beforeAutospacing="0" w:after="0" w:afterAutospacing="0" w:line="360" w:lineRule="auto"/>
        <w:ind w:right="77"/>
        <w:jc w:val="both"/>
        <w:rPr>
          <w:rFonts w:ascii="Palatino Linotype" w:hAnsi="Palatino Linotype" w:cstheme="minorHAnsi"/>
          <w:sz w:val="22"/>
          <w:szCs w:val="22"/>
        </w:rPr>
      </w:pPr>
    </w:p>
    <w:p w:rsidR="00D07713" w:rsidRPr="00924CD9" w:rsidRDefault="00E85F3F" w:rsidP="00C82B14">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lastRenderedPageBreak/>
        <w:t xml:space="preserve">Şekil </w:t>
      </w:r>
      <w:r w:rsidR="00F22A71" w:rsidRPr="00924CD9">
        <w:rPr>
          <w:rFonts w:ascii="Palatino Linotype" w:hAnsi="Palatino Linotype" w:cstheme="minorHAnsi"/>
          <w:b/>
          <w:bCs/>
          <w:sz w:val="22"/>
          <w:szCs w:val="22"/>
        </w:rPr>
        <w:t>2</w:t>
      </w:r>
      <w:r w:rsidRPr="00924CD9">
        <w:rPr>
          <w:rFonts w:ascii="Palatino Linotype" w:hAnsi="Palatino Linotype" w:cstheme="minorHAnsi"/>
          <w:b/>
          <w:bCs/>
          <w:sz w:val="22"/>
          <w:szCs w:val="22"/>
        </w:rPr>
        <w:t xml:space="preserve">: </w:t>
      </w:r>
      <w:r w:rsidRPr="003E1EED">
        <w:rPr>
          <w:rFonts w:ascii="Palatino Linotype" w:hAnsi="Palatino Linotype" w:cstheme="minorHAnsi"/>
          <w:bCs/>
          <w:sz w:val="22"/>
          <w:szCs w:val="22"/>
        </w:rPr>
        <w:t>Bir önceki çeyreğe ve geçen yılın aynı çeyreğine göre GSYH büyüme oranları</w:t>
      </w:r>
    </w:p>
    <w:p w:rsidR="00681AD9" w:rsidRDefault="00C34C5C" w:rsidP="00C82B14">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Pr>
          <w:noProof/>
        </w:rPr>
        <w:drawing>
          <wp:inline distT="0" distB="0" distL="0" distR="0">
            <wp:extent cx="5760720" cy="3622040"/>
            <wp:effectExtent l="0" t="0" r="11430" b="16510"/>
            <wp:docPr id="9" name="Chart 9">
              <a:extLst xmlns:a="http://schemas.openxmlformats.org/drawingml/2006/main">
                <a:ext uri="{FF2B5EF4-FFF2-40B4-BE49-F238E27FC236}">
                  <a16:creationId xmlns:a16="http://schemas.microsoft.com/office/drawing/2014/main" id="{A8A001B5-403D-4486-A249-019519B125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1EED" w:rsidRDefault="003E1EED" w:rsidP="00C82B14">
      <w:pPr>
        <w:keepNext/>
        <w:rPr>
          <w:rFonts w:ascii="Palatino Linotype" w:hAnsi="Palatino Linotype" w:cstheme="minorHAnsi"/>
          <w:sz w:val="18"/>
          <w:szCs w:val="18"/>
        </w:rPr>
      </w:pPr>
      <w:r w:rsidRPr="003E1EED">
        <w:rPr>
          <w:rFonts w:ascii="Palatino Linotype" w:hAnsi="Palatino Linotype" w:cstheme="minorHAnsi"/>
          <w:sz w:val="18"/>
          <w:szCs w:val="18"/>
        </w:rPr>
        <w:t xml:space="preserve">Kaynak: TÜİK, Betam. </w:t>
      </w:r>
    </w:p>
    <w:p w:rsidR="00C82B14" w:rsidRPr="003E1EED" w:rsidRDefault="00C82B14" w:rsidP="003E1EED">
      <w:pPr>
        <w:keepNext/>
        <w:rPr>
          <w:rFonts w:ascii="Palatino Linotype" w:hAnsi="Palatino Linotype" w:cstheme="minorHAnsi"/>
          <w:sz w:val="18"/>
          <w:szCs w:val="18"/>
        </w:rPr>
      </w:pPr>
    </w:p>
    <w:p w:rsidR="00E41840" w:rsidRPr="003E1EED" w:rsidRDefault="00E41840" w:rsidP="00E41840">
      <w:pPr>
        <w:keepNext/>
        <w:rPr>
          <w:rFonts w:ascii="Palatino Linotype" w:hAnsi="Palatino Linotype" w:cstheme="minorHAnsi"/>
          <w:sz w:val="22"/>
          <w:szCs w:val="22"/>
        </w:rPr>
      </w:pPr>
      <w:r w:rsidRPr="003E1EED">
        <w:rPr>
          <w:rFonts w:ascii="Palatino Linotype" w:hAnsi="Palatino Linotype" w:cstheme="minorHAnsi"/>
          <w:b/>
          <w:sz w:val="22"/>
          <w:szCs w:val="22"/>
        </w:rPr>
        <w:t>Ek Şekil 1.</w:t>
      </w:r>
      <w:r w:rsidRPr="003E1EED">
        <w:rPr>
          <w:rFonts w:ascii="Palatino Linotype" w:hAnsi="Palatino Linotype" w:cstheme="minorHAnsi"/>
          <w:sz w:val="22"/>
          <w:szCs w:val="22"/>
        </w:rPr>
        <w:t xml:space="preserve"> 2010-2017 Hazine destekli kefaletlerin gelişimi</w:t>
      </w:r>
    </w:p>
    <w:p w:rsidR="00E41840" w:rsidRPr="00924CD9" w:rsidRDefault="00510883" w:rsidP="00510883">
      <w:pPr>
        <w:keepNext/>
        <w:ind w:left="-1134"/>
        <w:rPr>
          <w:rFonts w:ascii="Palatino Linotype" w:hAnsi="Palatino Linotype" w:cstheme="minorHAnsi"/>
        </w:rPr>
      </w:pPr>
      <w:r>
        <w:rPr>
          <w:rFonts w:ascii="Palatino Linotype" w:hAnsi="Palatino Linotype" w:cstheme="minorHAnsi"/>
          <w:noProof/>
        </w:rPr>
        <w:drawing>
          <wp:inline distT="0" distB="0" distL="0" distR="0">
            <wp:extent cx="7212330" cy="35052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45048" cy="3521101"/>
                    </a:xfrm>
                    <a:prstGeom prst="rect">
                      <a:avLst/>
                    </a:prstGeom>
                    <a:noFill/>
                    <a:ln>
                      <a:noFill/>
                    </a:ln>
                  </pic:spPr>
                </pic:pic>
              </a:graphicData>
            </a:graphic>
          </wp:inline>
        </w:drawing>
      </w:r>
    </w:p>
    <w:p w:rsidR="00E41840" w:rsidRPr="003E1EED" w:rsidRDefault="00E41840" w:rsidP="00E41840">
      <w:pPr>
        <w:keepNext/>
        <w:rPr>
          <w:rFonts w:ascii="Palatino Linotype" w:hAnsi="Palatino Linotype" w:cstheme="minorHAnsi"/>
          <w:sz w:val="18"/>
          <w:szCs w:val="18"/>
        </w:rPr>
      </w:pPr>
      <w:r w:rsidRPr="003E1EED">
        <w:rPr>
          <w:rFonts w:ascii="Palatino Linotype" w:hAnsi="Palatino Linotype" w:cstheme="minorHAnsi"/>
          <w:sz w:val="18"/>
          <w:szCs w:val="18"/>
        </w:rPr>
        <w:t xml:space="preserve">Kaynak: KGF, </w:t>
      </w:r>
      <w:hyperlink r:id="rId13" w:history="1">
        <w:r w:rsidRPr="003E1EED">
          <w:rPr>
            <w:rStyle w:val="Hyperlink"/>
            <w:rFonts w:ascii="Palatino Linotype" w:hAnsi="Palatino Linotype" w:cs="Arial"/>
            <w:sz w:val="18"/>
            <w:szCs w:val="18"/>
          </w:rPr>
          <w:t>http://www.kgf.com.tr/index.php/tr/bilgi-merkezi/rakamlarla-kgf</w:t>
        </w:r>
      </w:hyperlink>
    </w:p>
    <w:p w:rsidR="00E41840" w:rsidRPr="00924CD9" w:rsidRDefault="00E41840" w:rsidP="00E41840">
      <w:pPr>
        <w:keepNext/>
        <w:rPr>
          <w:rFonts w:ascii="Palatino Linotype" w:hAnsi="Palatino Linotype" w:cstheme="minorHAnsi"/>
        </w:rPr>
      </w:pPr>
    </w:p>
    <w:p w:rsidR="00E750CC" w:rsidRPr="00924CD9" w:rsidRDefault="00E750CC" w:rsidP="00E85F3F">
      <w:pPr>
        <w:keepNext/>
        <w:rPr>
          <w:rFonts w:ascii="Palatino Linotype" w:hAnsi="Palatino Linotype" w:cstheme="minorHAnsi"/>
        </w:rPr>
      </w:pPr>
    </w:p>
    <w:p w:rsidR="00681AD9" w:rsidRPr="00924CD9" w:rsidRDefault="00681AD9" w:rsidP="00E85F3F">
      <w:pPr>
        <w:keepNext/>
        <w:rPr>
          <w:rFonts w:ascii="Palatino Linotype" w:hAnsi="Palatino Linotype" w:cstheme="minorHAnsi"/>
        </w:rPr>
      </w:pPr>
    </w:p>
    <w:sectPr w:rsidR="00681AD9" w:rsidRPr="00924CD9"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2D" w:rsidRDefault="0064012D" w:rsidP="00DA0C5D">
      <w:r>
        <w:separator/>
      </w:r>
    </w:p>
  </w:endnote>
  <w:endnote w:type="continuationSeparator" w:id="0">
    <w:p w:rsidR="0064012D" w:rsidRDefault="0064012D"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2D" w:rsidRDefault="0064012D" w:rsidP="00DA0C5D">
      <w:r>
        <w:separator/>
      </w:r>
    </w:p>
  </w:footnote>
  <w:footnote w:type="continuationSeparator" w:id="0">
    <w:p w:rsidR="0064012D" w:rsidRDefault="0064012D" w:rsidP="00DA0C5D">
      <w:r>
        <w:continuationSeparator/>
      </w:r>
    </w:p>
  </w:footnote>
  <w:footnote w:id="1">
    <w:p w:rsidR="003172DB" w:rsidRDefault="003172DB" w:rsidP="003172DB">
      <w:pPr>
        <w:pStyle w:val="FootnoteText"/>
      </w:pPr>
      <w:r>
        <w:rPr>
          <w:rStyle w:val="FootnoteReference"/>
        </w:rPr>
        <w:footnoteRef/>
      </w:r>
      <w:r>
        <w:t xml:space="preserve"> Prof. Dr. Seyfettin Gürsel, Betam, Direktör,  seyfettin.gursel@eas.bahcesehir.edu.tr</w:t>
      </w:r>
    </w:p>
  </w:footnote>
  <w:footnote w:id="2">
    <w:p w:rsidR="00C32789" w:rsidRDefault="00C32789">
      <w:pPr>
        <w:pStyle w:val="FootnoteText"/>
      </w:pPr>
      <w:r>
        <w:rPr>
          <w:rStyle w:val="FootnoteReference"/>
        </w:rPr>
        <w:footnoteRef/>
      </w:r>
      <w:r w:rsidR="001537D8">
        <w:t xml:space="preserve"> </w:t>
      </w:r>
      <w:r>
        <w:t>Betam, ozan.bakis@eas.bau.edu.tr</w:t>
      </w:r>
    </w:p>
  </w:footnote>
  <w:footnote w:id="3">
    <w:p w:rsidR="001537D8" w:rsidRDefault="001537D8" w:rsidP="001537D8">
      <w:pPr>
        <w:pStyle w:val="FootnoteText"/>
      </w:pPr>
      <w:r>
        <w:rPr>
          <w:rStyle w:val="FootnoteReference"/>
        </w:rPr>
        <w:footnoteRef/>
      </w:r>
      <w:r>
        <w:t xml:space="preserve"> Betam, ugurcan.acar@eas.bau.edu.tr </w:t>
      </w:r>
    </w:p>
  </w:footnote>
  <w:footnote w:id="4">
    <w:p w:rsidR="00DA0C5D" w:rsidRPr="00B27C9F" w:rsidRDefault="00DA0C5D">
      <w:pPr>
        <w:pStyle w:val="FootnoteText"/>
      </w:pPr>
      <w:r w:rsidRPr="00B27C9F">
        <w:rPr>
          <w:rStyle w:val="FootnoteReference"/>
        </w:rPr>
        <w:footnoteRef/>
      </w:r>
      <w:r w:rsidRPr="00B27C9F">
        <w:t>KGF’n</w:t>
      </w:r>
      <w:r w:rsidR="00A310EA">
        <w:t>i</w:t>
      </w:r>
      <w:r w:rsidRPr="00B27C9F">
        <w:t>n Hazine’den aldığı destek tutarı 2015 yılı</w:t>
      </w:r>
      <w:r w:rsidR="0022673E" w:rsidRPr="00B27C9F">
        <w:t>n</w:t>
      </w:r>
      <w:r w:rsidRPr="00B27C9F">
        <w:t xml:space="preserve">da 2 milyar TL’ye </w:t>
      </w:r>
      <w:r w:rsidR="0022673E" w:rsidRPr="00B27C9F">
        <w:t xml:space="preserve">ardından 2017’de 25 milyar TL’ye </w:t>
      </w:r>
      <w:r w:rsidRPr="00B27C9F">
        <w:t xml:space="preserve">yükseltildi. </w:t>
      </w:r>
      <w:r w:rsidR="00F46A54" w:rsidRPr="00B27C9F">
        <w:t>2017’de yapılan düzenlemede KGF tarafından verilen kefaletlerin toplam bakiye tutarı 250 milyar TL ile sınırlandırıldı. B</w:t>
      </w:r>
      <w:r w:rsidRPr="00B27C9F">
        <w:t>kz.</w:t>
      </w:r>
      <w:r w:rsidR="0014542A" w:rsidRPr="00B27C9F">
        <w:t xml:space="preserve"> Ek Şekil 1 ile</w:t>
      </w:r>
      <w:r w:rsidR="00A310EA">
        <w:t xml:space="preserve"> </w:t>
      </w:r>
      <w:hyperlink r:id="rId1" w:history="1">
        <w:r w:rsidRPr="00B27C9F">
          <w:rPr>
            <w:rStyle w:val="Hyperlink"/>
          </w:rPr>
          <w:t>http://www.kgf.com.tr/index.php/tr/bilgi-merkezi/rakamlarla-kgf</w:t>
        </w:r>
      </w:hyperlink>
      <w:r w:rsidR="0014542A" w:rsidRPr="00B27C9F">
        <w:t xml:space="preserve"> ve</w:t>
      </w:r>
      <w:r w:rsidR="00A310EA">
        <w:t xml:space="preserve"> </w:t>
      </w:r>
      <w:hyperlink r:id="rId2" w:history="1">
        <w:r w:rsidR="00F46A54" w:rsidRPr="00B27C9F">
          <w:rPr>
            <w:rStyle w:val="Hyperlink"/>
          </w:rPr>
          <w:t>http://www.kgf.com.tr/index.php/tr/desteklerimiz/kaynaklarimiz/hazine-mustesarligi-fonu</w:t>
        </w:r>
      </w:hyperlink>
    </w:p>
    <w:p w:rsidR="00F46A54" w:rsidRDefault="00F46A54">
      <w:pPr>
        <w:pStyle w:val="FootnoteText"/>
      </w:pPr>
    </w:p>
  </w:footnote>
  <w:footnote w:id="5">
    <w:p w:rsidR="00B27C9F" w:rsidRDefault="00B27C9F">
      <w:pPr>
        <w:pStyle w:val="FootnoteText"/>
      </w:pPr>
      <w:r>
        <w:rPr>
          <w:rStyle w:val="FootnoteReference"/>
        </w:rPr>
        <w:footnoteRef/>
      </w:r>
      <w:r>
        <w:t xml:space="preserve"> </w:t>
      </w:r>
      <w:r w:rsidRPr="00B27C9F">
        <w:t xml:space="preserve">bkz. </w:t>
      </w:r>
      <w:r>
        <w:t xml:space="preserve">24 Ağustos 2017 tarihli </w:t>
      </w:r>
      <w:r w:rsidRPr="00B27C9F">
        <w:t>Betam Araştırma Notu</w:t>
      </w:r>
      <w:r>
        <w:t xml:space="preserve"> "Ekonomik Büyüme ve Tahminler: Ağustos 2017"  ve 25 Mayıs 2017 tarihli </w:t>
      </w:r>
      <w:r w:rsidRPr="00B27C9F">
        <w:t>Betam Araştırma Notu</w:t>
      </w:r>
      <w:r>
        <w:t xml:space="preserve"> "Ekonomik Büyüme ve Tahminler: Mayıs 2017"</w:t>
      </w:r>
      <w:r w:rsidRPr="00B27C9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13"/>
    <w:rsid w:val="00041FB7"/>
    <w:rsid w:val="00054943"/>
    <w:rsid w:val="00055EA1"/>
    <w:rsid w:val="000652B6"/>
    <w:rsid w:val="00096CDA"/>
    <w:rsid w:val="000978C8"/>
    <w:rsid w:val="000A612E"/>
    <w:rsid w:val="000C634D"/>
    <w:rsid w:val="000D5FD3"/>
    <w:rsid w:val="0012527F"/>
    <w:rsid w:val="00140468"/>
    <w:rsid w:val="0014542A"/>
    <w:rsid w:val="001537D8"/>
    <w:rsid w:val="001B3A44"/>
    <w:rsid w:val="001C2C68"/>
    <w:rsid w:val="001C65BF"/>
    <w:rsid w:val="001D5B02"/>
    <w:rsid w:val="001D6465"/>
    <w:rsid w:val="001F7B1D"/>
    <w:rsid w:val="001F7BC7"/>
    <w:rsid w:val="002106DF"/>
    <w:rsid w:val="00212579"/>
    <w:rsid w:val="00214914"/>
    <w:rsid w:val="0022673E"/>
    <w:rsid w:val="00275745"/>
    <w:rsid w:val="00282242"/>
    <w:rsid w:val="0028498B"/>
    <w:rsid w:val="0029624E"/>
    <w:rsid w:val="002A07A9"/>
    <w:rsid w:val="002C5C24"/>
    <w:rsid w:val="003172DB"/>
    <w:rsid w:val="00334E27"/>
    <w:rsid w:val="00344A74"/>
    <w:rsid w:val="003967B5"/>
    <w:rsid w:val="003A488B"/>
    <w:rsid w:val="003C2891"/>
    <w:rsid w:val="003D44CE"/>
    <w:rsid w:val="003E1EED"/>
    <w:rsid w:val="00431C38"/>
    <w:rsid w:val="00433A75"/>
    <w:rsid w:val="00451A8A"/>
    <w:rsid w:val="00483EC5"/>
    <w:rsid w:val="004931A5"/>
    <w:rsid w:val="004F0543"/>
    <w:rsid w:val="00510883"/>
    <w:rsid w:val="0053582F"/>
    <w:rsid w:val="0053586E"/>
    <w:rsid w:val="0054145E"/>
    <w:rsid w:val="00625B95"/>
    <w:rsid w:val="0064012D"/>
    <w:rsid w:val="00643113"/>
    <w:rsid w:val="006439C5"/>
    <w:rsid w:val="00647318"/>
    <w:rsid w:val="006549E3"/>
    <w:rsid w:val="00681022"/>
    <w:rsid w:val="00681AD9"/>
    <w:rsid w:val="00694F52"/>
    <w:rsid w:val="006C3EE6"/>
    <w:rsid w:val="006D1DD6"/>
    <w:rsid w:val="006D32A0"/>
    <w:rsid w:val="00711A8A"/>
    <w:rsid w:val="00724E7C"/>
    <w:rsid w:val="00773D8B"/>
    <w:rsid w:val="00783CD4"/>
    <w:rsid w:val="007B70AD"/>
    <w:rsid w:val="007D4953"/>
    <w:rsid w:val="007F3C9B"/>
    <w:rsid w:val="00817A10"/>
    <w:rsid w:val="0084500C"/>
    <w:rsid w:val="00845A54"/>
    <w:rsid w:val="00865CE6"/>
    <w:rsid w:val="008C70C5"/>
    <w:rsid w:val="008F1741"/>
    <w:rsid w:val="00924CD9"/>
    <w:rsid w:val="00963B04"/>
    <w:rsid w:val="009A71AF"/>
    <w:rsid w:val="009B1546"/>
    <w:rsid w:val="009B651F"/>
    <w:rsid w:val="009E68C6"/>
    <w:rsid w:val="00A310EA"/>
    <w:rsid w:val="00A46C4A"/>
    <w:rsid w:val="00A50FB7"/>
    <w:rsid w:val="00A6165E"/>
    <w:rsid w:val="00A675D3"/>
    <w:rsid w:val="00A719DB"/>
    <w:rsid w:val="00A842EA"/>
    <w:rsid w:val="00A874DA"/>
    <w:rsid w:val="00AE59EE"/>
    <w:rsid w:val="00B27C9F"/>
    <w:rsid w:val="00B82B92"/>
    <w:rsid w:val="00BB5725"/>
    <w:rsid w:val="00C11B5A"/>
    <w:rsid w:val="00C32789"/>
    <w:rsid w:val="00C34C5C"/>
    <w:rsid w:val="00C35660"/>
    <w:rsid w:val="00C5056E"/>
    <w:rsid w:val="00C57749"/>
    <w:rsid w:val="00C82B14"/>
    <w:rsid w:val="00C97FD1"/>
    <w:rsid w:val="00CA234B"/>
    <w:rsid w:val="00CB3462"/>
    <w:rsid w:val="00CB767C"/>
    <w:rsid w:val="00CC79C0"/>
    <w:rsid w:val="00CF5053"/>
    <w:rsid w:val="00D07713"/>
    <w:rsid w:val="00D257C1"/>
    <w:rsid w:val="00D4574F"/>
    <w:rsid w:val="00D53424"/>
    <w:rsid w:val="00D90931"/>
    <w:rsid w:val="00DA0C5D"/>
    <w:rsid w:val="00E23E54"/>
    <w:rsid w:val="00E306CB"/>
    <w:rsid w:val="00E41840"/>
    <w:rsid w:val="00E57043"/>
    <w:rsid w:val="00E667CB"/>
    <w:rsid w:val="00E750CC"/>
    <w:rsid w:val="00E82940"/>
    <w:rsid w:val="00E85F3F"/>
    <w:rsid w:val="00EB476F"/>
    <w:rsid w:val="00EC136E"/>
    <w:rsid w:val="00EC2814"/>
    <w:rsid w:val="00EE150B"/>
    <w:rsid w:val="00EF09A7"/>
    <w:rsid w:val="00F0076E"/>
    <w:rsid w:val="00F118B1"/>
    <w:rsid w:val="00F22A71"/>
    <w:rsid w:val="00F27D86"/>
    <w:rsid w:val="00F46A54"/>
    <w:rsid w:val="00F5130C"/>
    <w:rsid w:val="00F70EC7"/>
    <w:rsid w:val="00F94113"/>
    <w:rsid w:val="00FA63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F8D87-EA07-4BE8-92B0-80F57E12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gf.com.tr/index.php/tr/bilgi-merkezi/rakamlarla-kg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gf.com.tr/index.php/tr/desteklerimiz/kaynaklarimiz/hazine-mustesarligi-fonu" TargetMode="External"/><Relationship Id="rId1" Type="http://schemas.openxmlformats.org/officeDocument/2006/relationships/hyperlink" Target="http://www.kgf.com.tr/index.php/tr/bilgi-merkezi/rakamlarla-kg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betam\aras_notlari\buy_degerlendirme\contr2gr\buy_deg_tablol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etam\aras_notlari\buy_degerlendirme\contr2gr\buy_deg_tablol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etam\aras_notlari\buy_degerlendirme\contr2gr\buy_deg_tablo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'2017Q3'!$F$3</c:f>
              <c:strCache>
                <c:ptCount val="1"/>
                <c:pt idx="0">
                  <c:v>Katkı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'2017Q3'!$B$4:$B$9</c:f>
              <c:strCache>
                <c:ptCount val="6"/>
                <c:pt idx="0">
                  <c:v>Özel Tüketim</c:v>
                </c:pt>
                <c:pt idx="1">
                  <c:v>Kamu Tüketimi</c:v>
                </c:pt>
                <c:pt idx="2">
                  <c:v>Yatırım</c:v>
                </c:pt>
                <c:pt idx="3">
                  <c:v>Stok Değişimi</c:v>
                </c:pt>
                <c:pt idx="4">
                  <c:v>İhracat</c:v>
                </c:pt>
                <c:pt idx="5">
                  <c:v>İthalat</c:v>
                </c:pt>
              </c:strCache>
            </c:strRef>
          </c:cat>
          <c:val>
            <c:numRef>
              <c:f>'2017Q3'!$F$4:$F$9</c:f>
              <c:numCache>
                <c:formatCode>#,#00</c:formatCode>
                <c:ptCount val="6"/>
                <c:pt idx="0">
                  <c:v>6.8716289896985563</c:v>
                </c:pt>
                <c:pt idx="1">
                  <c:v>0.35801269032313132</c:v>
                </c:pt>
                <c:pt idx="2">
                  <c:v>3.5440352496501899</c:v>
                </c:pt>
                <c:pt idx="3">
                  <c:v>9.9347383906391043E-2</c:v>
                </c:pt>
                <c:pt idx="4">
                  <c:v>3.6597103627061527</c:v>
                </c:pt>
                <c:pt idx="5">
                  <c:v>-3.4699245128470237</c:v>
                </c:pt>
              </c:numCache>
            </c:numRef>
          </c:val>
          <c:extLst>
            <c:ext xmlns:c16="http://schemas.microsoft.com/office/drawing/2014/chart" uri="{C3380CC4-5D6E-409C-BE32-E72D297353CC}">
              <c16:uniqueId val="{00000000-C685-4B1F-A687-908C7CD2975C}"/>
            </c:ext>
          </c:extLst>
        </c:ser>
        <c:dLbls>
          <c:showLegendKey val="0"/>
          <c:showVal val="1"/>
          <c:showCatName val="0"/>
          <c:showSerName val="0"/>
          <c:showPercent val="0"/>
          <c:showBubbleSize val="0"/>
        </c:dLbls>
        <c:gapWidth val="219"/>
        <c:overlap val="-27"/>
        <c:axId val="11661312"/>
        <c:axId val="11662848"/>
      </c:barChart>
      <c:catAx>
        <c:axId val="1166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crossAx val="11662848"/>
        <c:crosses val="autoZero"/>
        <c:auto val="1"/>
        <c:lblAlgn val="ctr"/>
        <c:lblOffset val="100"/>
        <c:noMultiLvlLbl val="0"/>
      </c:catAx>
      <c:valAx>
        <c:axId val="11662848"/>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crossAx val="1166131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'2017Q3'!$E$3</c:f>
              <c:strCache>
                <c:ptCount val="1"/>
                <c:pt idx="0">
                  <c:v>Değişim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'2017Q3'!$B$4:$B$10</c:f>
              <c:strCache>
                <c:ptCount val="6"/>
                <c:pt idx="0">
                  <c:v>Özel Tüketim</c:v>
                </c:pt>
                <c:pt idx="1">
                  <c:v>Kamu Tüketimi</c:v>
                </c:pt>
                <c:pt idx="2">
                  <c:v>Yatırım</c:v>
                </c:pt>
                <c:pt idx="3">
                  <c:v>İhracat</c:v>
                </c:pt>
                <c:pt idx="4">
                  <c:v>İthalat</c:v>
                </c:pt>
                <c:pt idx="5">
                  <c:v>GSYH</c:v>
                </c:pt>
              </c:strCache>
              <c:extLst/>
            </c:strRef>
          </c:cat>
          <c:val>
            <c:numRef>
              <c:f>'2017Q3'!$E$4:$E$10</c:f>
              <c:numCache>
                <c:formatCode>#,#00</c:formatCode>
                <c:ptCount val="6"/>
                <c:pt idx="0">
                  <c:v>11.714761519038673</c:v>
                </c:pt>
                <c:pt idx="1">
                  <c:v>2.7836095509426393</c:v>
                </c:pt>
                <c:pt idx="2">
                  <c:v>12.421597338201622</c:v>
                </c:pt>
                <c:pt idx="3">
                  <c:v>17.230762004798727</c:v>
                </c:pt>
                <c:pt idx="4">
                  <c:v>14.545009914876022</c:v>
                </c:pt>
                <c:pt idx="5">
                  <c:v>11.062810163437399</c:v>
                </c:pt>
              </c:numCache>
              <c:extLst/>
            </c:numRef>
          </c:val>
          <c:extLst>
            <c:ext xmlns:c16="http://schemas.microsoft.com/office/drawing/2014/chart" uri="{C3380CC4-5D6E-409C-BE32-E72D297353CC}">
              <c16:uniqueId val="{00000000-8941-4C2E-8E63-17C7C2299C6B}"/>
            </c:ext>
          </c:extLst>
        </c:ser>
        <c:dLbls>
          <c:showLegendKey val="0"/>
          <c:showVal val="1"/>
          <c:showCatName val="0"/>
          <c:showSerName val="0"/>
          <c:showPercent val="0"/>
          <c:showBubbleSize val="0"/>
        </c:dLbls>
        <c:gapWidth val="219"/>
        <c:overlap val="-27"/>
        <c:axId val="11666944"/>
        <c:axId val="11672960"/>
      </c:barChart>
      <c:catAx>
        <c:axId val="1166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crossAx val="11672960"/>
        <c:crosses val="autoZero"/>
        <c:auto val="1"/>
        <c:lblAlgn val="ctr"/>
        <c:lblOffset val="100"/>
        <c:noMultiLvlLbl val="0"/>
      </c:catAx>
      <c:valAx>
        <c:axId val="11672960"/>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crossAx val="11666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'2017Q3'!$E$24</c:f>
              <c:strCache>
                <c:ptCount val="1"/>
                <c:pt idx="0">
                  <c:v>Yıllık değişim</c:v>
                </c:pt>
              </c:strCache>
            </c:strRef>
          </c:tx>
          <c:spPr>
            <a:solidFill>
              <a:schemeClr val="accent1"/>
            </a:solidFill>
            <a:ln>
              <a:noFill/>
            </a:ln>
            <a:effectLst/>
          </c:spPr>
          <c:invertIfNegative val="0"/>
          <c:cat>
            <c:strRef>
              <c:f>'2017Q3'!$A$29:$A$47</c:f>
              <c:strCache>
                <c:ptCount val="19"/>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strCache>
            </c:strRef>
          </c:cat>
          <c:val>
            <c:numRef>
              <c:f>'2017Q3'!$E$29:$E$47</c:f>
              <c:numCache>
                <c:formatCode>#,#00</c:formatCode>
                <c:ptCount val="19"/>
                <c:pt idx="0">
                  <c:v>8.4909431858267688</c:v>
                </c:pt>
                <c:pt idx="1">
                  <c:v>9.8066583709793598</c:v>
                </c:pt>
                <c:pt idx="2">
                  <c:v>8.9226688514583365</c:v>
                </c:pt>
                <c:pt idx="3">
                  <c:v>6.8804097350678939</c:v>
                </c:pt>
                <c:pt idx="4">
                  <c:v>8.6795143727417141</c:v>
                </c:pt>
                <c:pt idx="5">
                  <c:v>2.8975439088678057</c:v>
                </c:pt>
                <c:pt idx="6">
                  <c:v>3.6662593905314678</c:v>
                </c:pt>
                <c:pt idx="7">
                  <c:v>5.9302728900138337</c:v>
                </c:pt>
                <c:pt idx="8">
                  <c:v>3.6016445047976742</c:v>
                </c:pt>
                <c:pt idx="9">
                  <c:v>7.1600269296134771</c:v>
                </c:pt>
                <c:pt idx="10">
                  <c:v>5.7850603575118074</c:v>
                </c:pt>
                <c:pt idx="11">
                  <c:v>7.4964856153131807</c:v>
                </c:pt>
                <c:pt idx="12">
                  <c:v>4.8088368019147945</c:v>
                </c:pt>
                <c:pt idx="13">
                  <c:v>4.9296739103085701</c:v>
                </c:pt>
                <c:pt idx="14">
                  <c:v>-0.81201904466838926</c:v>
                </c:pt>
                <c:pt idx="15">
                  <c:v>4.2392838762529639</c:v>
                </c:pt>
                <c:pt idx="16">
                  <c:v>5.2880359684001466</c:v>
                </c:pt>
                <c:pt idx="17">
                  <c:v>5.402847797857957</c:v>
                </c:pt>
                <c:pt idx="18">
                  <c:v>11.062810163437399</c:v>
                </c:pt>
              </c:numCache>
            </c:numRef>
          </c:val>
          <c:extLst>
            <c:ext xmlns:c16="http://schemas.microsoft.com/office/drawing/2014/chart" uri="{C3380CC4-5D6E-409C-BE32-E72D297353CC}">
              <c16:uniqueId val="{00000000-DD92-4E5A-AB51-2E35B2744FC8}"/>
            </c:ext>
          </c:extLst>
        </c:ser>
        <c:dLbls>
          <c:showLegendKey val="0"/>
          <c:showVal val="0"/>
          <c:showCatName val="0"/>
          <c:showSerName val="0"/>
          <c:showPercent val="0"/>
          <c:showBubbleSize val="0"/>
        </c:dLbls>
        <c:gapWidth val="75"/>
        <c:overlap val="-25"/>
        <c:axId val="11686656"/>
        <c:axId val="11688192"/>
      </c:barChart>
      <c:lineChart>
        <c:grouping val="standard"/>
        <c:varyColors val="0"/>
        <c:ser>
          <c:idx val="1"/>
          <c:order val="1"/>
          <c:tx>
            <c:strRef>
              <c:f>'2017Q3'!$F$24</c:f>
              <c:strCache>
                <c:ptCount val="1"/>
                <c:pt idx="0">
                  <c:v>Çeyreklik değişim</c:v>
                </c:pt>
              </c:strCache>
            </c:strRef>
          </c:tx>
          <c:spPr>
            <a:ln w="25400" cap="rnd">
              <a:solidFill>
                <a:schemeClr val="tx1"/>
              </a:solidFill>
              <a:round/>
            </a:ln>
            <a:effectLst/>
          </c:spPr>
          <c:marker>
            <c:symbol val="none"/>
          </c:marker>
          <c:cat>
            <c:strRef>
              <c:f>'2017Q3'!$A$29:$A$46</c:f>
              <c:strCache>
                <c:ptCount val="18"/>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strCache>
            </c:strRef>
          </c:cat>
          <c:val>
            <c:numRef>
              <c:f>'2017Q3'!$F$29:$F$47</c:f>
              <c:numCache>
                <c:formatCode>#,#00</c:formatCode>
                <c:ptCount val="19"/>
                <c:pt idx="0">
                  <c:v>3.6208473643695607</c:v>
                </c:pt>
                <c:pt idx="1">
                  <c:v>2.617871812982012</c:v>
                </c:pt>
                <c:pt idx="2">
                  <c:v>1.3467776232332325</c:v>
                </c:pt>
                <c:pt idx="3">
                  <c:v>0.7323027399487092</c:v>
                </c:pt>
                <c:pt idx="4">
                  <c:v>2.6718976092919622</c:v>
                </c:pt>
                <c:pt idx="5">
                  <c:v>-1.5793595551011674</c:v>
                </c:pt>
                <c:pt idx="6">
                  <c:v>2.4077602221656682</c:v>
                </c:pt>
                <c:pt idx="7">
                  <c:v>1.4345328345569244</c:v>
                </c:pt>
                <c:pt idx="8">
                  <c:v>1.9373744618515834</c:v>
                </c:pt>
                <c:pt idx="9">
                  <c:v>1.4531695264411226</c:v>
                </c:pt>
                <c:pt idx="10">
                  <c:v>1.2942204992881119</c:v>
                </c:pt>
                <c:pt idx="11">
                  <c:v>1.0416374035632225</c:v>
                </c:pt>
                <c:pt idx="12">
                  <c:v>0.61615591246657786</c:v>
                </c:pt>
                <c:pt idx="13">
                  <c:v>1.2313692126673075</c:v>
                </c:pt>
                <c:pt idx="14">
                  <c:v>-2.6468336491448397</c:v>
                </c:pt>
                <c:pt idx="15">
                  <c:v>4.8728361431714662</c:v>
                </c:pt>
                <c:pt idx="16">
                  <c:v>1.6444724346367268</c:v>
                </c:pt>
                <c:pt idx="17">
                  <c:v>2.1990781661971326</c:v>
                </c:pt>
                <c:pt idx="18">
                  <c:v>1.185495150634841</c:v>
                </c:pt>
              </c:numCache>
            </c:numRef>
          </c:val>
          <c:smooth val="0"/>
          <c:extLst>
            <c:ext xmlns:c16="http://schemas.microsoft.com/office/drawing/2014/chart" uri="{C3380CC4-5D6E-409C-BE32-E72D297353CC}">
              <c16:uniqueId val="{00000001-DD92-4E5A-AB51-2E35B2744FC8}"/>
            </c:ext>
          </c:extLst>
        </c:ser>
        <c:dLbls>
          <c:showLegendKey val="0"/>
          <c:showVal val="0"/>
          <c:showCatName val="0"/>
          <c:showSerName val="0"/>
          <c:showPercent val="0"/>
          <c:showBubbleSize val="0"/>
        </c:dLbls>
        <c:marker val="1"/>
        <c:smooth val="0"/>
        <c:axId val="11686656"/>
        <c:axId val="11688192"/>
      </c:lineChart>
      <c:catAx>
        <c:axId val="1168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tr-TR"/>
          </a:p>
        </c:txPr>
        <c:crossAx val="11688192"/>
        <c:crosses val="autoZero"/>
        <c:auto val="1"/>
        <c:lblAlgn val="ctr"/>
        <c:lblOffset val="100"/>
        <c:noMultiLvlLbl val="0"/>
      </c:catAx>
      <c:valAx>
        <c:axId val="116881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crossAx val="1168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1409-5AA4-4474-8193-0BB10F7B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1131</Words>
  <Characters>6449</Characters>
  <Application>Microsoft Office Word</Application>
  <DocSecurity>0</DocSecurity>
  <Lines>53</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merve.akgul</cp:lastModifiedBy>
  <cp:revision>6</cp:revision>
  <cp:lastPrinted>2017-12-14T09:18:00Z</cp:lastPrinted>
  <dcterms:created xsi:type="dcterms:W3CDTF">2017-12-14T08:43:00Z</dcterms:created>
  <dcterms:modified xsi:type="dcterms:W3CDTF">2017-12-14T09:19:00Z</dcterms:modified>
</cp:coreProperties>
</file>