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79" w:rsidRPr="00CD0964" w:rsidRDefault="007A3B8F" w:rsidP="00640379">
      <w:pPr>
        <w:rPr>
          <w:rFonts w:ascii="Arial" w:hAnsi="Arial" w:cs="Arial"/>
          <w:sz w:val="20"/>
          <w:szCs w:val="20"/>
        </w:rPr>
      </w:pPr>
      <w:r w:rsidRPr="00CD0964">
        <w:rPr>
          <w:rFonts w:ascii="Arial" w:hAnsi="Arial" w:cs="Arial"/>
          <w:noProof/>
          <w:sz w:val="20"/>
          <w:szCs w:val="20"/>
          <w:lang w:eastAsia="tr-TR"/>
        </w:rPr>
        <mc:AlternateContent>
          <mc:Choice Requires="wps">
            <w:drawing>
              <wp:anchor distT="0" distB="0" distL="114935" distR="114935" simplePos="0" relativeHeight="251651584" behindDoc="0" locked="0" layoutInCell="1" allowOverlap="1" wp14:anchorId="67D51FBB" wp14:editId="762F338E">
                <wp:simplePos x="0" y="0"/>
                <wp:positionH relativeFrom="column">
                  <wp:posOffset>1813560</wp:posOffset>
                </wp:positionH>
                <wp:positionV relativeFrom="paragraph">
                  <wp:posOffset>-384810</wp:posOffset>
                </wp:positionV>
                <wp:extent cx="3963670" cy="5689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08E" w:rsidRPr="00D9195B" w:rsidRDefault="00E6308E" w:rsidP="00640379">
                            <w:pPr>
                              <w:pStyle w:val="Heading1"/>
                              <w:jc w:val="left"/>
                              <w:rPr>
                                <w:rFonts w:ascii="Palatino Linotype" w:hAnsi="Palatino Linotype"/>
                                <w:color w:val="FF0000"/>
                                <w:sz w:val="52"/>
                                <w:szCs w:val="52"/>
                              </w:rPr>
                            </w:pPr>
                            <w:r>
                              <w:rPr>
                                <w:rFonts w:ascii="Palatino Linotype" w:hAnsi="Palatino Linotype"/>
                                <w:sz w:val="52"/>
                                <w:szCs w:val="52"/>
                              </w:rPr>
                              <w:t>Araştırma Notu 218</w:t>
                            </w:r>
                          </w:p>
                          <w:p w:rsidR="00E6308E" w:rsidRPr="00526178" w:rsidRDefault="00E6308E" w:rsidP="00640379">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51FBB" id="_x0000_t202" coordsize="21600,21600" o:spt="202" path="m,l,21600r21600,l21600,xe">
                <v:stroke joinstyle="miter"/>
                <v:path gradientshapeok="t" o:connecttype="rect"/>
              </v:shapetype>
              <v:shape id="Text Box 2" o:spid="_x0000_s1026" type="#_x0000_t202" style="position:absolute;margin-left:142.8pt;margin-top:-30.3pt;width:312.1pt;height:44.8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XiwIAABw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" stroked="f">
                <v:fill opacity="0"/>
                <v:textbox inset="0,0,0,0">
                  <w:txbxContent>
                    <w:p w:rsidR="00E6308E" w:rsidRPr="00D9195B" w:rsidRDefault="00E6308E" w:rsidP="00640379">
                      <w:pPr>
                        <w:pStyle w:val="Heading1"/>
                        <w:jc w:val="left"/>
                        <w:rPr>
                          <w:rFonts w:ascii="Palatino Linotype" w:hAnsi="Palatino Linotype"/>
                          <w:color w:val="FF0000"/>
                          <w:sz w:val="52"/>
                          <w:szCs w:val="52"/>
                        </w:rPr>
                      </w:pPr>
                      <w:r>
                        <w:rPr>
                          <w:rFonts w:ascii="Palatino Linotype" w:hAnsi="Palatino Linotype"/>
                          <w:sz w:val="52"/>
                          <w:szCs w:val="52"/>
                        </w:rPr>
                        <w:t>Araştırma Notu 218</w:t>
                      </w:r>
                    </w:p>
                    <w:p w:rsidR="00E6308E" w:rsidRPr="00526178" w:rsidRDefault="00E6308E" w:rsidP="00640379">
                      <w:pPr>
                        <w:pStyle w:val="Heading2"/>
                        <w:numPr>
                          <w:ilvl w:val="1"/>
                          <w:numId w:val="1"/>
                        </w:numPr>
                        <w:rPr>
                          <w:b w:val="0"/>
                          <w:bCs w:val="0"/>
                          <w:i w:val="0"/>
                          <w:iCs w:val="0"/>
                        </w:rPr>
                      </w:pPr>
                    </w:p>
                  </w:txbxContent>
                </v:textbox>
              </v:shape>
            </w:pict>
          </mc:Fallback>
        </mc:AlternateContent>
      </w:r>
      <w:r w:rsidR="00FF567A" w:rsidRPr="00CD0964">
        <w:rPr>
          <w:rFonts w:ascii="Arial" w:hAnsi="Arial" w:cs="Arial"/>
          <w:noProof/>
          <w:sz w:val="20"/>
          <w:szCs w:val="20"/>
          <w:lang w:eastAsia="tr-TR"/>
        </w:rPr>
        <w:drawing>
          <wp:anchor distT="0" distB="0" distL="114300" distR="114300" simplePos="0" relativeHeight="251663872" behindDoc="1" locked="0" layoutInCell="1" allowOverlap="1" wp14:anchorId="0BD9BAA3" wp14:editId="3AD9AFFE">
            <wp:simplePos x="0" y="0"/>
            <wp:positionH relativeFrom="column">
              <wp:posOffset>-742950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640379" w:rsidRPr="00CD0964" w:rsidRDefault="007A3B8F" w:rsidP="00640379">
      <w:pPr>
        <w:rPr>
          <w:rFonts w:ascii="Arial" w:hAnsi="Arial" w:cs="Arial"/>
          <w:sz w:val="20"/>
          <w:szCs w:val="20"/>
        </w:rPr>
      </w:pPr>
      <w:r w:rsidRPr="00CD0964">
        <w:rPr>
          <w:rFonts w:ascii="Arial" w:hAnsi="Arial" w:cs="Arial"/>
          <w:noProof/>
          <w:sz w:val="20"/>
          <w:szCs w:val="20"/>
          <w:lang w:eastAsia="tr-TR"/>
        </w:rPr>
        <mc:AlternateContent>
          <mc:Choice Requires="wps">
            <w:drawing>
              <wp:anchor distT="0" distB="0" distL="114935" distR="114935" simplePos="0" relativeHeight="251657728" behindDoc="0" locked="0" layoutInCell="1" allowOverlap="1" wp14:anchorId="4C4186A1" wp14:editId="08D6A2C9">
                <wp:simplePos x="0" y="0"/>
                <wp:positionH relativeFrom="column">
                  <wp:posOffset>5386070</wp:posOffset>
                </wp:positionH>
                <wp:positionV relativeFrom="paragraph">
                  <wp:posOffset>83820</wp:posOffset>
                </wp:positionV>
                <wp:extent cx="1104900" cy="3657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08E" w:rsidRPr="00D9195B" w:rsidRDefault="00E6308E" w:rsidP="00640379">
                            <w:pPr>
                              <w:pStyle w:val="Heading3"/>
                              <w:rPr>
                                <w:rFonts w:ascii="Palatino Linotype" w:hAnsi="Palatino Linotype"/>
                                <w:color w:val="FFFFFF"/>
                                <w:sz w:val="22"/>
                                <w:szCs w:val="22"/>
                                <w:lang w:val="tr-TR"/>
                              </w:rPr>
                            </w:pPr>
                            <w:r>
                              <w:rPr>
                                <w:rFonts w:ascii="Palatino Linotype" w:hAnsi="Palatino Linotype"/>
                                <w:color w:val="FFFFFF"/>
                                <w:sz w:val="22"/>
                                <w:szCs w:val="22"/>
                              </w:rPr>
                              <w:t xml:space="preserve">      2 Kasım 2017</w:t>
                            </w:r>
                          </w:p>
                          <w:p w:rsidR="00E6308E" w:rsidRDefault="00E6308E" w:rsidP="006403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86A1" id="Text Box 3" o:spid="_x0000_s1027" type="#_x0000_t202" style="position:absolute;margin-left:424.1pt;margin-top:6.6pt;width:87pt;height:28.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" stroked="f">
                <v:fill opacity="0"/>
                <v:textbox inset="0,0,0,0">
                  <w:txbxContent>
                    <w:p w:rsidR="00E6308E" w:rsidRPr="00D9195B" w:rsidRDefault="00E6308E" w:rsidP="00640379">
                      <w:pPr>
                        <w:pStyle w:val="Heading3"/>
                        <w:rPr>
                          <w:rFonts w:ascii="Palatino Linotype" w:hAnsi="Palatino Linotype"/>
                          <w:color w:val="FFFFFF"/>
                          <w:sz w:val="22"/>
                          <w:szCs w:val="22"/>
                          <w:lang w:val="tr-TR"/>
                        </w:rPr>
                      </w:pPr>
                      <w:r>
                        <w:rPr>
                          <w:rFonts w:ascii="Palatino Linotype" w:hAnsi="Palatino Linotype"/>
                          <w:color w:val="FFFFFF"/>
                          <w:sz w:val="22"/>
                          <w:szCs w:val="22"/>
                        </w:rPr>
                        <w:t xml:space="preserve">      2 Kasım 2017</w:t>
                      </w:r>
                    </w:p>
                    <w:p w:rsidR="00E6308E" w:rsidRDefault="00E6308E" w:rsidP="00640379"/>
                  </w:txbxContent>
                </v:textbox>
              </v:shape>
            </w:pict>
          </mc:Fallback>
        </mc:AlternateContent>
      </w:r>
    </w:p>
    <w:p w:rsidR="00640379" w:rsidRPr="00CD0964" w:rsidRDefault="00640379" w:rsidP="00640379">
      <w:pPr>
        <w:rPr>
          <w:rFonts w:ascii="Arial" w:hAnsi="Arial" w:cs="Arial"/>
          <w:sz w:val="20"/>
          <w:szCs w:val="20"/>
        </w:rPr>
      </w:pPr>
    </w:p>
    <w:p w:rsidR="00640379" w:rsidRPr="00CD0964" w:rsidRDefault="00640379" w:rsidP="00640379">
      <w:pPr>
        <w:rPr>
          <w:rFonts w:ascii="Arial" w:hAnsi="Arial" w:cs="Arial"/>
          <w:sz w:val="20"/>
          <w:szCs w:val="20"/>
        </w:rPr>
      </w:pPr>
    </w:p>
    <w:p w:rsidR="00640379" w:rsidRPr="00CD0964" w:rsidRDefault="00640379" w:rsidP="00640379">
      <w:pPr>
        <w:rPr>
          <w:rFonts w:ascii="Arial" w:hAnsi="Arial" w:cs="Arial"/>
          <w:b/>
          <w:bCs/>
          <w:sz w:val="20"/>
          <w:szCs w:val="20"/>
        </w:rPr>
      </w:pPr>
    </w:p>
    <w:p w:rsidR="00937E3B" w:rsidRDefault="00937E3B" w:rsidP="00AE2FAA">
      <w:pPr>
        <w:jc w:val="center"/>
        <w:rPr>
          <w:rFonts w:ascii="Arial" w:hAnsi="Arial" w:cs="Arial"/>
          <w:b/>
          <w:sz w:val="22"/>
          <w:szCs w:val="20"/>
        </w:rPr>
      </w:pPr>
    </w:p>
    <w:p w:rsidR="00C86288" w:rsidRPr="00937E3B" w:rsidRDefault="00C86288" w:rsidP="00AE2FAA">
      <w:pPr>
        <w:jc w:val="center"/>
        <w:rPr>
          <w:rFonts w:ascii="Arial" w:hAnsi="Arial" w:cs="Arial"/>
          <w:b/>
          <w:sz w:val="22"/>
          <w:szCs w:val="20"/>
        </w:rPr>
      </w:pPr>
      <w:r w:rsidRPr="00937E3B">
        <w:rPr>
          <w:rFonts w:ascii="Arial" w:hAnsi="Arial" w:cs="Arial"/>
          <w:b/>
          <w:sz w:val="22"/>
          <w:szCs w:val="20"/>
        </w:rPr>
        <w:t>AVRUPA VE TÜRKİYE LİGLERİNDE EZELİ REKABETİN PERFORMANS ETKİLERİ</w:t>
      </w:r>
      <w:r w:rsidR="008A65F0" w:rsidRPr="00937E3B">
        <w:rPr>
          <w:rFonts w:ascii="Arial" w:hAnsi="Arial" w:cs="Arial"/>
          <w:b/>
          <w:sz w:val="22"/>
          <w:szCs w:val="20"/>
        </w:rPr>
        <w:t>*</w:t>
      </w:r>
    </w:p>
    <w:p w:rsidR="00714AB7" w:rsidRPr="00CD0964" w:rsidRDefault="00714AB7" w:rsidP="004009D4">
      <w:pPr>
        <w:jc w:val="center"/>
        <w:rPr>
          <w:rFonts w:ascii="Arial" w:hAnsi="Arial" w:cs="Arial"/>
          <w:sz w:val="20"/>
          <w:szCs w:val="20"/>
        </w:rPr>
      </w:pPr>
    </w:p>
    <w:p w:rsidR="0040699C" w:rsidRPr="00CD0964" w:rsidRDefault="00354510" w:rsidP="004009D4">
      <w:pPr>
        <w:jc w:val="center"/>
        <w:rPr>
          <w:rFonts w:ascii="Arial" w:hAnsi="Arial" w:cs="Arial"/>
          <w:sz w:val="20"/>
          <w:szCs w:val="20"/>
        </w:rPr>
      </w:pPr>
      <w:bookmarkStart w:id="0" w:name="_GoBack"/>
      <w:r w:rsidRPr="00CD0964">
        <w:rPr>
          <w:rFonts w:ascii="Arial" w:hAnsi="Arial" w:cs="Arial"/>
          <w:b/>
          <w:sz w:val="20"/>
          <w:szCs w:val="20"/>
        </w:rPr>
        <w:t>Fatih Karanfil</w:t>
      </w:r>
      <w:r w:rsidR="002408E1" w:rsidRPr="00CD0964">
        <w:rPr>
          <w:rStyle w:val="FootnoteReference"/>
          <w:rFonts w:ascii="Arial" w:hAnsi="Arial" w:cs="Arial"/>
          <w:sz w:val="20"/>
          <w:szCs w:val="20"/>
        </w:rPr>
        <w:footnoteReference w:customMarkFollows="1" w:id="1"/>
        <w:t>*</w:t>
      </w:r>
      <w:r w:rsidR="008A65F0" w:rsidRPr="00CD0964">
        <w:rPr>
          <w:rStyle w:val="FootnoteReference"/>
          <w:rFonts w:ascii="Arial" w:hAnsi="Arial" w:cs="Arial"/>
          <w:sz w:val="20"/>
          <w:szCs w:val="20"/>
        </w:rPr>
        <w:t>*</w:t>
      </w:r>
    </w:p>
    <w:p w:rsidR="00AE2FAA" w:rsidRPr="00CD0964" w:rsidRDefault="00AE2FAA" w:rsidP="00AE2FAA">
      <w:pPr>
        <w:jc w:val="center"/>
        <w:rPr>
          <w:rFonts w:ascii="Arial" w:hAnsi="Arial" w:cs="Arial"/>
          <w:b/>
          <w:sz w:val="20"/>
          <w:szCs w:val="20"/>
        </w:rPr>
      </w:pPr>
    </w:p>
    <w:p w:rsidR="00AE2FAA" w:rsidRPr="00CD0964" w:rsidRDefault="00AE2FAA" w:rsidP="00AE2FAA">
      <w:pPr>
        <w:jc w:val="center"/>
        <w:rPr>
          <w:rFonts w:ascii="Arial" w:hAnsi="Arial" w:cs="Arial"/>
          <w:b/>
          <w:sz w:val="20"/>
          <w:szCs w:val="20"/>
        </w:rPr>
      </w:pPr>
      <w:r w:rsidRPr="00CD0964">
        <w:rPr>
          <w:rFonts w:ascii="Arial" w:hAnsi="Arial" w:cs="Arial"/>
          <w:b/>
          <w:sz w:val="20"/>
          <w:szCs w:val="20"/>
        </w:rPr>
        <w:t>Yönetici Özeti</w:t>
      </w:r>
    </w:p>
    <w:p w:rsidR="00AE2FAA" w:rsidRPr="00CD0964" w:rsidRDefault="00AE2FAA" w:rsidP="00AE2FAA">
      <w:pPr>
        <w:jc w:val="center"/>
        <w:rPr>
          <w:rFonts w:ascii="Arial" w:hAnsi="Arial" w:cs="Arial"/>
          <w:b/>
          <w:sz w:val="20"/>
          <w:szCs w:val="20"/>
        </w:rPr>
      </w:pPr>
    </w:p>
    <w:p w:rsidR="00A823AA" w:rsidRPr="00937E3B" w:rsidRDefault="00F90E99" w:rsidP="00932545">
      <w:pPr>
        <w:pStyle w:val="ListParagraph"/>
        <w:spacing w:line="276" w:lineRule="auto"/>
        <w:ind w:left="0"/>
        <w:jc w:val="both"/>
        <w:rPr>
          <w:rFonts w:ascii="Arial" w:hAnsi="Arial" w:cs="Arial"/>
          <w:sz w:val="20"/>
          <w:szCs w:val="20"/>
        </w:rPr>
      </w:pPr>
      <w:r w:rsidRPr="00937E3B">
        <w:rPr>
          <w:rFonts w:ascii="Arial" w:hAnsi="Arial" w:cs="Arial"/>
          <w:sz w:val="20"/>
          <w:szCs w:val="20"/>
        </w:rPr>
        <w:t>B</w:t>
      </w:r>
      <w:r w:rsidR="003B6E15" w:rsidRPr="00937E3B">
        <w:rPr>
          <w:rFonts w:ascii="Arial" w:hAnsi="Arial" w:cs="Arial"/>
          <w:sz w:val="20"/>
          <w:szCs w:val="20"/>
        </w:rPr>
        <w:t xml:space="preserve">u çalışmanın odak noktası </w:t>
      </w:r>
      <w:r w:rsidRPr="00937E3B">
        <w:rPr>
          <w:rFonts w:ascii="Arial" w:hAnsi="Arial" w:cs="Arial"/>
          <w:sz w:val="20"/>
          <w:szCs w:val="20"/>
        </w:rPr>
        <w:t xml:space="preserve">“ezeli rekabet” koşulları altında </w:t>
      </w:r>
      <w:r w:rsidR="003B6E15" w:rsidRPr="00937E3B">
        <w:rPr>
          <w:rFonts w:ascii="Arial" w:hAnsi="Arial" w:cs="Arial"/>
          <w:sz w:val="20"/>
          <w:szCs w:val="20"/>
        </w:rPr>
        <w:t>rakip kulüplerin saha performansları</w:t>
      </w:r>
      <w:r w:rsidRPr="00937E3B">
        <w:rPr>
          <w:rFonts w:ascii="Arial" w:hAnsi="Arial" w:cs="Arial"/>
          <w:sz w:val="20"/>
          <w:szCs w:val="20"/>
        </w:rPr>
        <w:t xml:space="preserve">nın </w:t>
      </w:r>
      <w:r w:rsidR="009C0DA1" w:rsidRPr="00937E3B">
        <w:rPr>
          <w:rFonts w:ascii="Arial" w:hAnsi="Arial" w:cs="Arial"/>
          <w:sz w:val="20"/>
          <w:szCs w:val="20"/>
        </w:rPr>
        <w:t>kar</w:t>
      </w:r>
      <w:r w:rsidRPr="00937E3B">
        <w:rPr>
          <w:rFonts w:ascii="Arial" w:hAnsi="Arial" w:cs="Arial"/>
          <w:sz w:val="20"/>
          <w:szCs w:val="20"/>
        </w:rPr>
        <w:t>şılık</w:t>
      </w:r>
      <w:r w:rsidR="009C0DA1" w:rsidRPr="00937E3B">
        <w:rPr>
          <w:rFonts w:ascii="Arial" w:hAnsi="Arial" w:cs="Arial"/>
          <w:sz w:val="20"/>
          <w:szCs w:val="20"/>
        </w:rPr>
        <w:t>lı</w:t>
      </w:r>
      <w:r w:rsidRPr="00937E3B">
        <w:rPr>
          <w:rFonts w:ascii="Arial" w:hAnsi="Arial" w:cs="Arial"/>
          <w:sz w:val="20"/>
          <w:szCs w:val="20"/>
        </w:rPr>
        <w:t xml:space="preserve"> etkileşim içinde olup olmadıklarıdır.</w:t>
      </w:r>
      <w:r w:rsidR="003B6E15" w:rsidRPr="00937E3B">
        <w:rPr>
          <w:rFonts w:ascii="Arial" w:hAnsi="Arial" w:cs="Arial"/>
          <w:sz w:val="20"/>
          <w:szCs w:val="20"/>
        </w:rPr>
        <w:t xml:space="preserve"> </w:t>
      </w:r>
      <w:r w:rsidRPr="00937E3B">
        <w:rPr>
          <w:rFonts w:ascii="Arial" w:hAnsi="Arial" w:cs="Arial"/>
          <w:sz w:val="20"/>
          <w:szCs w:val="20"/>
        </w:rPr>
        <w:t>Bu türden i</w:t>
      </w:r>
      <w:r w:rsidR="003B6E15" w:rsidRPr="00937E3B">
        <w:rPr>
          <w:rFonts w:ascii="Arial" w:hAnsi="Arial" w:cs="Arial"/>
          <w:sz w:val="20"/>
          <w:szCs w:val="20"/>
        </w:rPr>
        <w:t>ki kulüp arasındaki rekabetin</w:t>
      </w:r>
      <w:r w:rsidR="0038390D" w:rsidRPr="00937E3B">
        <w:rPr>
          <w:rFonts w:ascii="Arial" w:hAnsi="Arial" w:cs="Arial"/>
          <w:sz w:val="20"/>
          <w:szCs w:val="20"/>
        </w:rPr>
        <w:t>,</w:t>
      </w:r>
      <w:r w:rsidR="003B6E15" w:rsidRPr="00937E3B">
        <w:rPr>
          <w:rFonts w:ascii="Arial" w:hAnsi="Arial" w:cs="Arial"/>
          <w:sz w:val="20"/>
          <w:szCs w:val="20"/>
        </w:rPr>
        <w:t xml:space="preserve"> takımlarının </w:t>
      </w:r>
      <w:r w:rsidR="004B3D21" w:rsidRPr="00937E3B">
        <w:rPr>
          <w:rFonts w:ascii="Arial" w:hAnsi="Arial" w:cs="Arial"/>
          <w:sz w:val="20"/>
          <w:szCs w:val="20"/>
        </w:rPr>
        <w:t xml:space="preserve">saha </w:t>
      </w:r>
      <w:r w:rsidR="003B6E15" w:rsidRPr="00937E3B">
        <w:rPr>
          <w:rFonts w:ascii="Arial" w:hAnsi="Arial" w:cs="Arial"/>
          <w:sz w:val="20"/>
          <w:szCs w:val="20"/>
        </w:rPr>
        <w:t xml:space="preserve">performansları arasında nedensellik oluşturup oluşturmadığını değerlendirmek için, Avrupa'nın en önemli liglerindeki rakip kulüplerin lig performansları arasındaki nedensellik yapılarını analiz ediyoruz. </w:t>
      </w:r>
      <w:r w:rsidR="004B3D21" w:rsidRPr="00937E3B">
        <w:rPr>
          <w:rFonts w:ascii="Arial" w:hAnsi="Arial" w:cs="Arial"/>
          <w:sz w:val="20"/>
          <w:szCs w:val="20"/>
        </w:rPr>
        <w:t>23 rekabet durumunu inceleyen e</w:t>
      </w:r>
      <w:r w:rsidR="00E671CD" w:rsidRPr="00937E3B">
        <w:rPr>
          <w:rFonts w:ascii="Arial" w:hAnsi="Arial" w:cs="Arial"/>
          <w:sz w:val="20"/>
          <w:szCs w:val="20"/>
        </w:rPr>
        <w:t>konometrik çalışmamızın sonuçlar</w:t>
      </w:r>
      <w:r w:rsidR="006F43AF" w:rsidRPr="00937E3B">
        <w:rPr>
          <w:rFonts w:ascii="Arial" w:hAnsi="Arial" w:cs="Arial"/>
          <w:sz w:val="20"/>
          <w:szCs w:val="20"/>
        </w:rPr>
        <w:t>ı</w:t>
      </w:r>
      <w:r w:rsidR="003B6E15" w:rsidRPr="00937E3B">
        <w:rPr>
          <w:rFonts w:ascii="Arial" w:hAnsi="Arial" w:cs="Arial"/>
          <w:sz w:val="20"/>
          <w:szCs w:val="20"/>
        </w:rPr>
        <w:t xml:space="preserve"> </w:t>
      </w:r>
      <w:r w:rsidR="006F43AF" w:rsidRPr="00937E3B">
        <w:rPr>
          <w:rFonts w:ascii="Arial" w:hAnsi="Arial" w:cs="Arial"/>
          <w:sz w:val="20"/>
          <w:szCs w:val="20"/>
        </w:rPr>
        <w:t xml:space="preserve">performanslar arasındaki </w:t>
      </w:r>
      <w:r w:rsidR="00290B19" w:rsidRPr="00937E3B">
        <w:rPr>
          <w:rFonts w:ascii="Arial" w:hAnsi="Arial" w:cs="Arial"/>
          <w:sz w:val="20"/>
          <w:szCs w:val="20"/>
        </w:rPr>
        <w:t>nedenselliğin</w:t>
      </w:r>
      <w:r w:rsidR="002216E1" w:rsidRPr="00937E3B">
        <w:rPr>
          <w:rFonts w:ascii="Arial" w:hAnsi="Arial" w:cs="Arial"/>
          <w:sz w:val="20"/>
          <w:szCs w:val="20"/>
        </w:rPr>
        <w:t>,</w:t>
      </w:r>
      <w:r w:rsidR="003B6E15" w:rsidRPr="00937E3B">
        <w:rPr>
          <w:rFonts w:ascii="Arial" w:hAnsi="Arial" w:cs="Arial"/>
          <w:sz w:val="20"/>
          <w:szCs w:val="20"/>
        </w:rPr>
        <w:t xml:space="preserve"> </w:t>
      </w:r>
      <w:r w:rsidR="002216E1" w:rsidRPr="00937E3B">
        <w:rPr>
          <w:rFonts w:ascii="Arial" w:hAnsi="Arial" w:cs="Arial"/>
          <w:sz w:val="20"/>
          <w:szCs w:val="20"/>
        </w:rPr>
        <w:t xml:space="preserve">Türkiye’de üç büyükler diye anılan kulüpler arasındaki rekabet de </w:t>
      </w:r>
      <w:r w:rsidR="00CD0964" w:rsidRPr="00937E3B">
        <w:rPr>
          <w:rFonts w:ascii="Arial" w:hAnsi="Arial" w:cs="Arial"/>
          <w:sz w:val="20"/>
          <w:szCs w:val="20"/>
        </w:rPr>
        <w:t>dâhil</w:t>
      </w:r>
      <w:r w:rsidR="002216E1" w:rsidRPr="00937E3B">
        <w:rPr>
          <w:rFonts w:ascii="Arial" w:hAnsi="Arial" w:cs="Arial"/>
          <w:sz w:val="20"/>
          <w:szCs w:val="20"/>
        </w:rPr>
        <w:t xml:space="preserve"> olmak üzere, </w:t>
      </w:r>
      <w:r w:rsidR="006F43AF" w:rsidRPr="00937E3B">
        <w:rPr>
          <w:rFonts w:ascii="Arial" w:hAnsi="Arial" w:cs="Arial"/>
          <w:sz w:val="20"/>
          <w:szCs w:val="20"/>
        </w:rPr>
        <w:t xml:space="preserve">Avrupa’daki </w:t>
      </w:r>
      <w:r w:rsidR="004B3D21" w:rsidRPr="00937E3B">
        <w:rPr>
          <w:rFonts w:ascii="Arial" w:hAnsi="Arial" w:cs="Arial"/>
          <w:sz w:val="20"/>
          <w:szCs w:val="20"/>
        </w:rPr>
        <w:t xml:space="preserve">ezeli </w:t>
      </w:r>
      <w:r w:rsidR="006F43AF" w:rsidRPr="00937E3B">
        <w:rPr>
          <w:rFonts w:ascii="Arial" w:hAnsi="Arial" w:cs="Arial"/>
          <w:sz w:val="20"/>
          <w:szCs w:val="20"/>
        </w:rPr>
        <w:t xml:space="preserve">rekabetlerin </w:t>
      </w:r>
      <w:r w:rsidR="004B3D21" w:rsidRPr="00937E3B">
        <w:rPr>
          <w:rFonts w:ascii="Arial" w:hAnsi="Arial" w:cs="Arial"/>
          <w:sz w:val="20"/>
          <w:szCs w:val="20"/>
        </w:rPr>
        <w:t xml:space="preserve">11’inde geçerli </w:t>
      </w:r>
      <w:r w:rsidR="00290B19" w:rsidRPr="00937E3B">
        <w:rPr>
          <w:rFonts w:ascii="Arial" w:hAnsi="Arial" w:cs="Arial"/>
          <w:sz w:val="20"/>
          <w:szCs w:val="20"/>
        </w:rPr>
        <w:t>olduğunu</w:t>
      </w:r>
      <w:r w:rsidR="003B6E15" w:rsidRPr="00937E3B">
        <w:rPr>
          <w:rFonts w:ascii="Arial" w:hAnsi="Arial" w:cs="Arial"/>
          <w:sz w:val="20"/>
          <w:szCs w:val="20"/>
        </w:rPr>
        <w:t xml:space="preserve"> ve bu rekabetlerin çoğun</w:t>
      </w:r>
      <w:r w:rsidR="00420346" w:rsidRPr="00937E3B">
        <w:rPr>
          <w:rFonts w:ascii="Arial" w:hAnsi="Arial" w:cs="Arial"/>
          <w:sz w:val="20"/>
          <w:szCs w:val="20"/>
        </w:rPr>
        <w:t>lukla</w:t>
      </w:r>
      <w:r w:rsidR="003B6E15" w:rsidRPr="00937E3B">
        <w:rPr>
          <w:rFonts w:ascii="Arial" w:hAnsi="Arial" w:cs="Arial"/>
          <w:sz w:val="20"/>
          <w:szCs w:val="20"/>
        </w:rPr>
        <w:t xml:space="preserve"> "başarı </w:t>
      </w:r>
      <w:r w:rsidR="00290B19" w:rsidRPr="00937E3B">
        <w:rPr>
          <w:rFonts w:ascii="Arial" w:hAnsi="Arial" w:cs="Arial"/>
          <w:sz w:val="20"/>
          <w:szCs w:val="20"/>
        </w:rPr>
        <w:t>başarıyı</w:t>
      </w:r>
      <w:r w:rsidR="006F43AF" w:rsidRPr="00937E3B">
        <w:rPr>
          <w:rFonts w:ascii="Arial" w:hAnsi="Arial" w:cs="Arial"/>
          <w:sz w:val="20"/>
          <w:szCs w:val="20"/>
        </w:rPr>
        <w:t xml:space="preserve"> getirir</w:t>
      </w:r>
      <w:r w:rsidR="003B6E15" w:rsidRPr="00937E3B">
        <w:rPr>
          <w:rFonts w:ascii="Arial" w:hAnsi="Arial" w:cs="Arial"/>
          <w:sz w:val="20"/>
          <w:szCs w:val="20"/>
        </w:rPr>
        <w:t xml:space="preserve">" </w:t>
      </w:r>
      <w:r w:rsidR="0038390D" w:rsidRPr="00937E3B">
        <w:rPr>
          <w:rFonts w:ascii="Arial" w:hAnsi="Arial" w:cs="Arial"/>
          <w:sz w:val="20"/>
          <w:szCs w:val="20"/>
        </w:rPr>
        <w:t>biç</w:t>
      </w:r>
      <w:r w:rsidR="006F43AF" w:rsidRPr="00937E3B">
        <w:rPr>
          <w:rFonts w:ascii="Arial" w:hAnsi="Arial" w:cs="Arial"/>
          <w:sz w:val="20"/>
          <w:szCs w:val="20"/>
        </w:rPr>
        <w:t xml:space="preserve">imde </w:t>
      </w:r>
      <w:r w:rsidR="003B6E15" w:rsidRPr="00937E3B">
        <w:rPr>
          <w:rFonts w:ascii="Arial" w:hAnsi="Arial" w:cs="Arial"/>
          <w:sz w:val="20"/>
          <w:szCs w:val="20"/>
        </w:rPr>
        <w:t>dinamik bir ilişki içerdiğini göstermektedir. Bu bulgular, Avrupa'da</w:t>
      </w:r>
      <w:r w:rsidR="00420346" w:rsidRPr="00937E3B">
        <w:rPr>
          <w:rFonts w:ascii="Arial" w:hAnsi="Arial" w:cs="Arial"/>
          <w:sz w:val="20"/>
          <w:szCs w:val="20"/>
        </w:rPr>
        <w:t xml:space="preserve">ki </w:t>
      </w:r>
      <w:r w:rsidR="004B3D21" w:rsidRPr="00937E3B">
        <w:rPr>
          <w:rFonts w:ascii="Arial" w:hAnsi="Arial" w:cs="Arial"/>
          <w:sz w:val="20"/>
          <w:szCs w:val="20"/>
        </w:rPr>
        <w:t xml:space="preserve">diğer 12 ezeli rekabet örneğinde </w:t>
      </w:r>
      <w:r w:rsidR="00420346" w:rsidRPr="00937E3B">
        <w:rPr>
          <w:rFonts w:ascii="Arial" w:hAnsi="Arial" w:cs="Arial"/>
          <w:sz w:val="20"/>
          <w:szCs w:val="20"/>
        </w:rPr>
        <w:t>futbol rekabetlerinin</w:t>
      </w:r>
      <w:r w:rsidR="003B6E15" w:rsidRPr="00937E3B">
        <w:rPr>
          <w:rFonts w:ascii="Arial" w:hAnsi="Arial" w:cs="Arial"/>
          <w:sz w:val="20"/>
          <w:szCs w:val="20"/>
        </w:rPr>
        <w:t xml:space="preserve"> köklerini</w:t>
      </w:r>
      <w:r w:rsidR="00420346" w:rsidRPr="00937E3B">
        <w:rPr>
          <w:rFonts w:ascii="Arial" w:hAnsi="Arial" w:cs="Arial"/>
          <w:sz w:val="20"/>
          <w:szCs w:val="20"/>
        </w:rPr>
        <w:t>n</w:t>
      </w:r>
      <w:r w:rsidR="003B6E15" w:rsidRPr="00937E3B">
        <w:rPr>
          <w:rFonts w:ascii="Arial" w:hAnsi="Arial" w:cs="Arial"/>
          <w:sz w:val="20"/>
          <w:szCs w:val="20"/>
        </w:rPr>
        <w:t xml:space="preserve"> </w:t>
      </w:r>
      <w:r w:rsidR="00420346" w:rsidRPr="00937E3B">
        <w:rPr>
          <w:rFonts w:ascii="Arial" w:hAnsi="Arial" w:cs="Arial"/>
          <w:sz w:val="20"/>
          <w:szCs w:val="20"/>
        </w:rPr>
        <w:t xml:space="preserve">saha </w:t>
      </w:r>
      <w:r w:rsidR="00290B19" w:rsidRPr="00937E3B">
        <w:rPr>
          <w:rFonts w:ascii="Arial" w:hAnsi="Arial" w:cs="Arial"/>
          <w:sz w:val="20"/>
          <w:szCs w:val="20"/>
        </w:rPr>
        <w:t>performansı</w:t>
      </w:r>
      <w:r w:rsidR="003B6E15" w:rsidRPr="00937E3B">
        <w:rPr>
          <w:rFonts w:ascii="Arial" w:hAnsi="Arial" w:cs="Arial"/>
          <w:sz w:val="20"/>
          <w:szCs w:val="20"/>
        </w:rPr>
        <w:t xml:space="preserve"> dışında </w:t>
      </w:r>
      <w:r w:rsidR="004B3D21" w:rsidRPr="00937E3B">
        <w:rPr>
          <w:rFonts w:ascii="Arial" w:hAnsi="Arial" w:cs="Arial"/>
          <w:sz w:val="20"/>
          <w:szCs w:val="20"/>
        </w:rPr>
        <w:t xml:space="preserve">tarihsel çatışmalar gibi </w:t>
      </w:r>
      <w:r w:rsidR="003B6E15" w:rsidRPr="00937E3B">
        <w:rPr>
          <w:rFonts w:ascii="Arial" w:hAnsi="Arial" w:cs="Arial"/>
          <w:sz w:val="20"/>
          <w:szCs w:val="20"/>
        </w:rPr>
        <w:t xml:space="preserve">başka kaynaklara </w:t>
      </w:r>
      <w:r w:rsidR="004B3D21" w:rsidRPr="00937E3B">
        <w:rPr>
          <w:rFonts w:ascii="Arial" w:hAnsi="Arial" w:cs="Arial"/>
          <w:sz w:val="20"/>
          <w:szCs w:val="20"/>
        </w:rPr>
        <w:t>sahip olduğunu göstermektedir.</w:t>
      </w:r>
      <w:r w:rsidR="003B6E15" w:rsidRPr="00937E3B">
        <w:rPr>
          <w:rFonts w:ascii="Arial" w:hAnsi="Arial" w:cs="Arial"/>
          <w:sz w:val="20"/>
          <w:szCs w:val="20"/>
        </w:rPr>
        <w:t xml:space="preserve"> </w:t>
      </w:r>
    </w:p>
    <w:bookmarkEnd w:id="0"/>
    <w:p w:rsidR="00D33367" w:rsidRPr="00CD0964" w:rsidRDefault="00843107" w:rsidP="00714AB7">
      <w:pPr>
        <w:pStyle w:val="Heading2"/>
        <w:spacing w:line="360" w:lineRule="auto"/>
        <w:ind w:firstLine="340"/>
        <w:rPr>
          <w:rFonts w:cs="Arial"/>
          <w:i w:val="0"/>
          <w:sz w:val="20"/>
          <w:szCs w:val="20"/>
          <w:lang w:val="tr-TR"/>
        </w:rPr>
      </w:pPr>
      <w:r w:rsidRPr="00CD0964">
        <w:rPr>
          <w:rFonts w:cs="Arial"/>
          <w:i w:val="0"/>
          <w:sz w:val="20"/>
          <w:szCs w:val="20"/>
          <w:lang w:val="tr-TR"/>
        </w:rPr>
        <w:t>Rekabet ve performans</w:t>
      </w:r>
    </w:p>
    <w:p w:rsidR="00073989" w:rsidRPr="00CD0964" w:rsidRDefault="00420346" w:rsidP="001F3A29">
      <w:pPr>
        <w:spacing w:line="276" w:lineRule="auto"/>
        <w:ind w:firstLine="340"/>
        <w:jc w:val="both"/>
        <w:rPr>
          <w:rFonts w:ascii="Arial" w:hAnsi="Arial" w:cs="Arial"/>
          <w:sz w:val="20"/>
          <w:szCs w:val="20"/>
        </w:rPr>
      </w:pPr>
      <w:r w:rsidRPr="00CD0964">
        <w:rPr>
          <w:rFonts w:ascii="Arial" w:hAnsi="Arial" w:cs="Arial"/>
          <w:sz w:val="20"/>
          <w:szCs w:val="20"/>
        </w:rPr>
        <w:t xml:space="preserve">Rekabet ile performans arasında bir ilişki olup olmadığı </w:t>
      </w:r>
      <w:r w:rsidR="00290B19" w:rsidRPr="00CD0964">
        <w:rPr>
          <w:rFonts w:ascii="Arial" w:hAnsi="Arial" w:cs="Arial"/>
          <w:sz w:val="20"/>
          <w:szCs w:val="20"/>
        </w:rPr>
        <w:t>sorunsalı</w:t>
      </w:r>
      <w:r w:rsidRPr="00CD0964">
        <w:rPr>
          <w:rFonts w:ascii="Arial" w:hAnsi="Arial" w:cs="Arial"/>
          <w:sz w:val="20"/>
          <w:szCs w:val="20"/>
        </w:rPr>
        <w:t xml:space="preserve"> Triplett'in (1898) öncü çalışmasından bu yana çok aktif bir araştırma alanı haline geldi. Triplett (1898) zamana k</w:t>
      </w:r>
      <w:r w:rsidR="00290B19" w:rsidRPr="00CD0964">
        <w:rPr>
          <w:rFonts w:ascii="Arial" w:hAnsi="Arial" w:cs="Arial"/>
          <w:sz w:val="20"/>
          <w:szCs w:val="20"/>
        </w:rPr>
        <w:t>arşı</w:t>
      </w:r>
      <w:r w:rsidRPr="00CD0964">
        <w:rPr>
          <w:rFonts w:ascii="Arial" w:hAnsi="Arial" w:cs="Arial"/>
          <w:sz w:val="20"/>
          <w:szCs w:val="20"/>
        </w:rPr>
        <w:t xml:space="preserve"> yarışan bisikletçilerin rakipler</w:t>
      </w:r>
      <w:r w:rsidR="00133F92" w:rsidRPr="00CD0964">
        <w:rPr>
          <w:rFonts w:ascii="Arial" w:hAnsi="Arial" w:cs="Arial"/>
          <w:sz w:val="20"/>
          <w:szCs w:val="20"/>
        </w:rPr>
        <w:t>in</w:t>
      </w:r>
      <w:r w:rsidRPr="00CD0964">
        <w:rPr>
          <w:rFonts w:ascii="Arial" w:hAnsi="Arial" w:cs="Arial"/>
          <w:sz w:val="20"/>
          <w:szCs w:val="20"/>
        </w:rPr>
        <w:t xml:space="preserve">e karşı yarışan bisikletçilerden daha yavaş yarış süreleri </w:t>
      </w:r>
      <w:r w:rsidR="003A4E9B" w:rsidRPr="00CD0964">
        <w:rPr>
          <w:rFonts w:ascii="Arial" w:hAnsi="Arial" w:cs="Arial"/>
          <w:sz w:val="20"/>
          <w:szCs w:val="20"/>
        </w:rPr>
        <w:t>aldıklarını</w:t>
      </w:r>
      <w:r w:rsidRPr="00CD0964">
        <w:rPr>
          <w:rFonts w:ascii="Arial" w:hAnsi="Arial" w:cs="Arial"/>
          <w:sz w:val="20"/>
          <w:szCs w:val="20"/>
        </w:rPr>
        <w:t xml:space="preserve"> gösterdi. </w:t>
      </w:r>
      <w:r w:rsidR="00133F92" w:rsidRPr="00CD0964">
        <w:rPr>
          <w:rFonts w:ascii="Arial" w:hAnsi="Arial" w:cs="Arial"/>
          <w:sz w:val="20"/>
          <w:szCs w:val="20"/>
        </w:rPr>
        <w:t>Buna benzer r</w:t>
      </w:r>
      <w:r w:rsidRPr="00CD0964">
        <w:rPr>
          <w:rFonts w:ascii="Arial" w:hAnsi="Arial" w:cs="Arial"/>
          <w:sz w:val="20"/>
          <w:szCs w:val="20"/>
        </w:rPr>
        <w:t xml:space="preserve">ekabet-performans </w:t>
      </w:r>
      <w:r w:rsidR="003A4E9B" w:rsidRPr="00CD0964">
        <w:rPr>
          <w:rFonts w:ascii="Arial" w:hAnsi="Arial" w:cs="Arial"/>
          <w:sz w:val="20"/>
          <w:szCs w:val="20"/>
        </w:rPr>
        <w:t>literatüründe</w:t>
      </w:r>
      <w:r w:rsidRPr="00CD0964">
        <w:rPr>
          <w:rFonts w:ascii="Arial" w:hAnsi="Arial" w:cs="Arial"/>
          <w:sz w:val="20"/>
          <w:szCs w:val="20"/>
        </w:rPr>
        <w:t xml:space="preserve"> birçok araştırma sorusu ortaya çıkıyor: Rakiplerin performansları arasında etkileşimler var mı? Rekabet ve performans </w:t>
      </w:r>
      <w:r w:rsidR="003A4E9B" w:rsidRPr="00CD0964">
        <w:rPr>
          <w:rFonts w:ascii="Arial" w:hAnsi="Arial" w:cs="Arial"/>
          <w:sz w:val="20"/>
          <w:szCs w:val="20"/>
        </w:rPr>
        <w:t>arasındaki</w:t>
      </w:r>
      <w:r w:rsidRPr="00CD0964">
        <w:rPr>
          <w:rFonts w:ascii="Arial" w:hAnsi="Arial" w:cs="Arial"/>
          <w:sz w:val="20"/>
          <w:szCs w:val="20"/>
        </w:rPr>
        <w:t xml:space="preserve"> </w:t>
      </w:r>
      <w:r w:rsidR="003A4E9B" w:rsidRPr="00CD0964">
        <w:rPr>
          <w:rFonts w:ascii="Arial" w:hAnsi="Arial" w:cs="Arial"/>
          <w:sz w:val="20"/>
          <w:szCs w:val="20"/>
        </w:rPr>
        <w:t>ilişki</w:t>
      </w:r>
      <w:r w:rsidRPr="00CD0964">
        <w:rPr>
          <w:rFonts w:ascii="Arial" w:hAnsi="Arial" w:cs="Arial"/>
          <w:sz w:val="20"/>
          <w:szCs w:val="20"/>
        </w:rPr>
        <w:t xml:space="preserve"> tüm yarışmalar için geçerli mi? Rekabetin olumlu ya da olumsuz bir performans etkisi </w:t>
      </w:r>
      <w:r w:rsidR="00133F92" w:rsidRPr="00CD0964">
        <w:rPr>
          <w:rFonts w:ascii="Arial" w:hAnsi="Arial" w:cs="Arial"/>
          <w:sz w:val="20"/>
          <w:szCs w:val="20"/>
        </w:rPr>
        <w:t>olabilir mi</w:t>
      </w:r>
      <w:r w:rsidRPr="00CD0964">
        <w:rPr>
          <w:rFonts w:ascii="Arial" w:hAnsi="Arial" w:cs="Arial"/>
          <w:sz w:val="20"/>
          <w:szCs w:val="20"/>
        </w:rPr>
        <w:t xml:space="preserve">? Bu soruların cevapları </w:t>
      </w:r>
      <w:r w:rsidR="003A4E9B" w:rsidRPr="00CD0964">
        <w:rPr>
          <w:rFonts w:ascii="Arial" w:hAnsi="Arial" w:cs="Arial"/>
          <w:sz w:val="20"/>
          <w:szCs w:val="20"/>
        </w:rPr>
        <w:t>literatürde</w:t>
      </w:r>
      <w:r w:rsidRPr="00CD0964">
        <w:rPr>
          <w:rFonts w:ascii="Arial" w:hAnsi="Arial" w:cs="Arial"/>
          <w:sz w:val="20"/>
          <w:szCs w:val="20"/>
        </w:rPr>
        <w:t xml:space="preserve"> </w:t>
      </w:r>
      <w:r w:rsidR="003A4E9B" w:rsidRPr="00CD0964">
        <w:rPr>
          <w:rFonts w:ascii="Arial" w:hAnsi="Arial" w:cs="Arial"/>
          <w:sz w:val="20"/>
          <w:szCs w:val="20"/>
        </w:rPr>
        <w:t>henüz</w:t>
      </w:r>
      <w:r w:rsidRPr="00CD0964">
        <w:rPr>
          <w:rFonts w:ascii="Arial" w:hAnsi="Arial" w:cs="Arial"/>
          <w:sz w:val="20"/>
          <w:szCs w:val="20"/>
        </w:rPr>
        <w:t xml:space="preserve"> kesin </w:t>
      </w:r>
      <w:r w:rsidR="003A4E9B" w:rsidRPr="00CD0964">
        <w:rPr>
          <w:rFonts w:ascii="Arial" w:hAnsi="Arial" w:cs="Arial"/>
          <w:sz w:val="20"/>
          <w:szCs w:val="20"/>
        </w:rPr>
        <w:t>yanıtlar</w:t>
      </w:r>
      <w:r w:rsidRPr="00CD0964">
        <w:rPr>
          <w:rFonts w:ascii="Arial" w:hAnsi="Arial" w:cs="Arial"/>
          <w:sz w:val="20"/>
          <w:szCs w:val="20"/>
        </w:rPr>
        <w:t xml:space="preserve"> </w:t>
      </w:r>
      <w:r w:rsidR="003A4E9B" w:rsidRPr="00CD0964">
        <w:rPr>
          <w:rFonts w:ascii="Arial" w:hAnsi="Arial" w:cs="Arial"/>
          <w:sz w:val="20"/>
          <w:szCs w:val="20"/>
        </w:rPr>
        <w:t>bulmuş</w:t>
      </w:r>
      <w:r w:rsidRPr="00CD0964">
        <w:rPr>
          <w:rFonts w:ascii="Arial" w:hAnsi="Arial" w:cs="Arial"/>
          <w:sz w:val="20"/>
          <w:szCs w:val="20"/>
        </w:rPr>
        <w:t xml:space="preserve"> </w:t>
      </w:r>
      <w:r w:rsidR="003A4E9B" w:rsidRPr="00CD0964">
        <w:rPr>
          <w:rFonts w:ascii="Arial" w:hAnsi="Arial" w:cs="Arial"/>
          <w:sz w:val="20"/>
          <w:szCs w:val="20"/>
        </w:rPr>
        <w:t>değil</w:t>
      </w:r>
      <w:r w:rsidRPr="00CD0964">
        <w:rPr>
          <w:rFonts w:ascii="Arial" w:hAnsi="Arial" w:cs="Arial"/>
          <w:sz w:val="20"/>
          <w:szCs w:val="20"/>
        </w:rPr>
        <w:t>.</w:t>
      </w:r>
    </w:p>
    <w:p w:rsidR="00E671CD" w:rsidRPr="00CD0964" w:rsidRDefault="008E73B8" w:rsidP="001F3A29">
      <w:pPr>
        <w:spacing w:line="276" w:lineRule="auto"/>
        <w:ind w:firstLine="340"/>
        <w:jc w:val="both"/>
        <w:rPr>
          <w:rFonts w:ascii="Arial" w:hAnsi="Arial" w:cs="Arial"/>
          <w:color w:val="FF0000"/>
          <w:sz w:val="20"/>
          <w:szCs w:val="20"/>
        </w:rPr>
      </w:pPr>
      <w:r w:rsidRPr="00CD0964">
        <w:rPr>
          <w:rFonts w:ascii="Arial" w:hAnsi="Arial" w:cs="Arial"/>
          <w:sz w:val="20"/>
          <w:szCs w:val="20"/>
        </w:rPr>
        <w:t xml:space="preserve">Bu </w:t>
      </w:r>
      <w:r w:rsidR="003A4E9B" w:rsidRPr="00CD0964">
        <w:rPr>
          <w:rFonts w:ascii="Arial" w:hAnsi="Arial" w:cs="Arial"/>
          <w:sz w:val="20"/>
          <w:szCs w:val="20"/>
        </w:rPr>
        <w:t>çalışmada</w:t>
      </w:r>
      <w:r w:rsidR="00073989" w:rsidRPr="00CD0964">
        <w:rPr>
          <w:rFonts w:ascii="Arial" w:hAnsi="Arial" w:cs="Arial"/>
          <w:sz w:val="20"/>
          <w:szCs w:val="20"/>
        </w:rPr>
        <w:t xml:space="preserve"> zaman serileri </w:t>
      </w:r>
      <w:r w:rsidR="00ED4ED9" w:rsidRPr="00CD0964">
        <w:rPr>
          <w:rFonts w:ascii="Arial" w:hAnsi="Arial" w:cs="Arial"/>
          <w:sz w:val="20"/>
          <w:szCs w:val="20"/>
        </w:rPr>
        <w:t>yöntemi</w:t>
      </w:r>
      <w:r w:rsidRPr="00CD0964">
        <w:rPr>
          <w:rFonts w:ascii="Arial" w:hAnsi="Arial" w:cs="Arial"/>
          <w:sz w:val="20"/>
          <w:szCs w:val="20"/>
        </w:rPr>
        <w:t xml:space="preserve"> </w:t>
      </w:r>
      <w:r w:rsidR="003A4E9B" w:rsidRPr="00CD0964">
        <w:rPr>
          <w:rFonts w:ascii="Arial" w:hAnsi="Arial" w:cs="Arial"/>
          <w:sz w:val="20"/>
          <w:szCs w:val="20"/>
        </w:rPr>
        <w:t>kullanılarak</w:t>
      </w:r>
      <w:r w:rsidR="0038390D" w:rsidRPr="00CD0964">
        <w:rPr>
          <w:rFonts w:ascii="Arial" w:hAnsi="Arial" w:cs="Arial"/>
          <w:sz w:val="20"/>
          <w:szCs w:val="20"/>
        </w:rPr>
        <w:t>,</w:t>
      </w:r>
      <w:r w:rsidR="00073989" w:rsidRPr="00CD0964">
        <w:rPr>
          <w:rFonts w:ascii="Arial" w:hAnsi="Arial" w:cs="Arial"/>
          <w:sz w:val="20"/>
          <w:szCs w:val="20"/>
        </w:rPr>
        <w:t xml:space="preserve"> rakip futbol kulüplerinin performansları</w:t>
      </w:r>
      <w:r w:rsidRPr="00CD0964">
        <w:rPr>
          <w:rFonts w:ascii="Arial" w:hAnsi="Arial" w:cs="Arial"/>
          <w:sz w:val="20"/>
          <w:szCs w:val="20"/>
        </w:rPr>
        <w:t xml:space="preserve"> </w:t>
      </w:r>
      <w:r w:rsidR="003A4E9B" w:rsidRPr="00CD0964">
        <w:rPr>
          <w:rFonts w:ascii="Arial" w:hAnsi="Arial" w:cs="Arial"/>
          <w:sz w:val="20"/>
          <w:szCs w:val="20"/>
        </w:rPr>
        <w:t>arasındaki</w:t>
      </w:r>
      <w:r w:rsidRPr="00CD0964">
        <w:rPr>
          <w:rFonts w:ascii="Arial" w:hAnsi="Arial" w:cs="Arial"/>
          <w:sz w:val="20"/>
          <w:szCs w:val="20"/>
        </w:rPr>
        <w:t xml:space="preserve"> nedensellikler </w:t>
      </w:r>
      <w:r w:rsidR="003A4E9B" w:rsidRPr="00CD0964">
        <w:rPr>
          <w:rFonts w:ascii="Arial" w:hAnsi="Arial" w:cs="Arial"/>
          <w:sz w:val="20"/>
          <w:szCs w:val="20"/>
        </w:rPr>
        <w:t>araştırılmaktadır</w:t>
      </w:r>
      <w:r w:rsidRPr="00CD0964">
        <w:rPr>
          <w:rFonts w:ascii="Arial" w:hAnsi="Arial" w:cs="Arial"/>
          <w:sz w:val="20"/>
          <w:szCs w:val="20"/>
        </w:rPr>
        <w:t>.</w:t>
      </w:r>
      <w:r w:rsidR="00073989" w:rsidRPr="00CD0964">
        <w:rPr>
          <w:rFonts w:ascii="Arial" w:hAnsi="Arial" w:cs="Arial"/>
          <w:sz w:val="20"/>
          <w:szCs w:val="20"/>
        </w:rPr>
        <w:t xml:space="preserve"> </w:t>
      </w:r>
      <w:r w:rsidRPr="00CD0964">
        <w:rPr>
          <w:rFonts w:ascii="Arial" w:hAnsi="Arial" w:cs="Arial"/>
          <w:sz w:val="20"/>
          <w:szCs w:val="20"/>
        </w:rPr>
        <w:t xml:space="preserve">Ortaya </w:t>
      </w:r>
      <w:r w:rsidR="003A4E9B" w:rsidRPr="00CD0964">
        <w:rPr>
          <w:rFonts w:ascii="Arial" w:hAnsi="Arial" w:cs="Arial"/>
          <w:sz w:val="20"/>
          <w:szCs w:val="20"/>
        </w:rPr>
        <w:t>at</w:t>
      </w:r>
      <w:r w:rsidR="00734E55" w:rsidRPr="00CD0964">
        <w:rPr>
          <w:rFonts w:ascii="Arial" w:hAnsi="Arial" w:cs="Arial"/>
          <w:sz w:val="20"/>
          <w:szCs w:val="20"/>
        </w:rPr>
        <w:t>tığımı</w:t>
      </w:r>
      <w:r w:rsidR="003A4E9B" w:rsidRPr="00CD0964">
        <w:rPr>
          <w:rFonts w:ascii="Arial" w:hAnsi="Arial" w:cs="Arial"/>
          <w:sz w:val="20"/>
          <w:szCs w:val="20"/>
        </w:rPr>
        <w:t>z</w:t>
      </w:r>
      <w:r w:rsidRPr="00CD0964">
        <w:rPr>
          <w:rFonts w:ascii="Arial" w:hAnsi="Arial" w:cs="Arial"/>
          <w:sz w:val="20"/>
          <w:szCs w:val="20"/>
        </w:rPr>
        <w:t xml:space="preserve"> ve test </w:t>
      </w:r>
      <w:r w:rsidR="003A4E9B" w:rsidRPr="00CD0964">
        <w:rPr>
          <w:rFonts w:ascii="Arial" w:hAnsi="Arial" w:cs="Arial"/>
          <w:sz w:val="20"/>
          <w:szCs w:val="20"/>
        </w:rPr>
        <w:t>ettiğimiz</w:t>
      </w:r>
      <w:r w:rsidRPr="00CD0964">
        <w:rPr>
          <w:rFonts w:ascii="Arial" w:hAnsi="Arial" w:cs="Arial"/>
          <w:sz w:val="20"/>
          <w:szCs w:val="20"/>
        </w:rPr>
        <w:t xml:space="preserve"> hipotez</w:t>
      </w:r>
      <w:r w:rsidR="00073989" w:rsidRPr="00CD0964">
        <w:rPr>
          <w:rFonts w:ascii="Arial" w:hAnsi="Arial" w:cs="Arial"/>
          <w:sz w:val="20"/>
          <w:szCs w:val="20"/>
        </w:rPr>
        <w:t xml:space="preserve"> iki kulüp arasındaki rekabetin performansları arasında </w:t>
      </w:r>
      <w:r w:rsidRPr="00CD0964">
        <w:rPr>
          <w:rFonts w:ascii="Arial" w:hAnsi="Arial" w:cs="Arial"/>
          <w:sz w:val="20"/>
          <w:szCs w:val="20"/>
        </w:rPr>
        <w:t xml:space="preserve">bir </w:t>
      </w:r>
      <w:r w:rsidR="003A4E9B" w:rsidRPr="00CD0964">
        <w:rPr>
          <w:rFonts w:ascii="Arial" w:hAnsi="Arial" w:cs="Arial"/>
          <w:sz w:val="20"/>
          <w:szCs w:val="20"/>
        </w:rPr>
        <w:t>nedenselliğe</w:t>
      </w:r>
      <w:r w:rsidRPr="00CD0964">
        <w:rPr>
          <w:rFonts w:ascii="Arial" w:hAnsi="Arial" w:cs="Arial"/>
          <w:sz w:val="20"/>
          <w:szCs w:val="20"/>
        </w:rPr>
        <w:t xml:space="preserve"> sebep </w:t>
      </w:r>
      <w:r w:rsidR="003A4E9B" w:rsidRPr="00CD0964">
        <w:rPr>
          <w:rFonts w:ascii="Arial" w:hAnsi="Arial" w:cs="Arial"/>
          <w:sz w:val="20"/>
          <w:szCs w:val="20"/>
        </w:rPr>
        <w:t>olacağıdır</w:t>
      </w:r>
      <w:r w:rsidRPr="00CD0964">
        <w:rPr>
          <w:rFonts w:ascii="Arial" w:hAnsi="Arial" w:cs="Arial"/>
          <w:sz w:val="20"/>
          <w:szCs w:val="20"/>
        </w:rPr>
        <w:t>.</w:t>
      </w:r>
      <w:r w:rsidR="00073989" w:rsidRPr="00CD0964">
        <w:rPr>
          <w:rFonts w:ascii="Arial" w:hAnsi="Arial" w:cs="Arial"/>
          <w:sz w:val="20"/>
          <w:szCs w:val="20"/>
        </w:rPr>
        <w:t xml:space="preserve"> </w:t>
      </w:r>
      <w:r w:rsidRPr="00CD0964">
        <w:rPr>
          <w:rFonts w:ascii="Arial" w:hAnsi="Arial" w:cs="Arial"/>
          <w:sz w:val="20"/>
          <w:szCs w:val="20"/>
        </w:rPr>
        <w:t xml:space="preserve">Başka bir deyişle, iki </w:t>
      </w:r>
      <w:r w:rsidR="003A4E9B" w:rsidRPr="00CD0964">
        <w:rPr>
          <w:rFonts w:ascii="Arial" w:hAnsi="Arial" w:cs="Arial"/>
          <w:sz w:val="20"/>
          <w:szCs w:val="20"/>
        </w:rPr>
        <w:t>kulüp</w:t>
      </w:r>
      <w:r w:rsidRPr="00CD0964">
        <w:rPr>
          <w:rFonts w:ascii="Arial" w:hAnsi="Arial" w:cs="Arial"/>
          <w:sz w:val="20"/>
          <w:szCs w:val="20"/>
        </w:rPr>
        <w:t xml:space="preserve"> </w:t>
      </w:r>
      <w:r w:rsidR="003A4E9B" w:rsidRPr="00CD0964">
        <w:rPr>
          <w:rFonts w:ascii="Arial" w:hAnsi="Arial" w:cs="Arial"/>
          <w:sz w:val="20"/>
          <w:szCs w:val="20"/>
        </w:rPr>
        <w:t>arasında</w:t>
      </w:r>
      <w:r w:rsidRPr="00CD0964">
        <w:rPr>
          <w:rFonts w:ascii="Arial" w:hAnsi="Arial" w:cs="Arial"/>
          <w:sz w:val="20"/>
          <w:szCs w:val="20"/>
        </w:rPr>
        <w:t xml:space="preserve"> </w:t>
      </w:r>
      <w:r w:rsidR="00ED4ED9" w:rsidRPr="00CD0964">
        <w:rPr>
          <w:rFonts w:ascii="Arial" w:hAnsi="Arial" w:cs="Arial"/>
          <w:sz w:val="20"/>
          <w:szCs w:val="20"/>
        </w:rPr>
        <w:t xml:space="preserve">popüler deyimle ezeli </w:t>
      </w:r>
      <w:r w:rsidRPr="00CD0964">
        <w:rPr>
          <w:rFonts w:ascii="Arial" w:hAnsi="Arial" w:cs="Arial"/>
          <w:sz w:val="20"/>
          <w:szCs w:val="20"/>
        </w:rPr>
        <w:t>bir rekabet varsa</w:t>
      </w:r>
      <w:r w:rsidR="00734E55" w:rsidRPr="00CD0964">
        <w:rPr>
          <w:rFonts w:ascii="Arial" w:hAnsi="Arial" w:cs="Arial"/>
          <w:sz w:val="20"/>
          <w:szCs w:val="20"/>
        </w:rPr>
        <w:t>,</w:t>
      </w:r>
      <w:r w:rsidR="00073989" w:rsidRPr="00CD0964">
        <w:rPr>
          <w:rFonts w:ascii="Arial" w:hAnsi="Arial" w:cs="Arial"/>
          <w:sz w:val="20"/>
          <w:szCs w:val="20"/>
        </w:rPr>
        <w:t xml:space="preserve"> bir kulübün performansının rakibinin performansını etkilemesi beklenir. </w:t>
      </w:r>
      <w:r w:rsidRPr="00CD0964">
        <w:rPr>
          <w:rFonts w:ascii="Arial" w:hAnsi="Arial" w:cs="Arial"/>
          <w:sz w:val="20"/>
          <w:szCs w:val="20"/>
        </w:rPr>
        <w:t>Öte yandan, performanslar</w:t>
      </w:r>
      <w:r w:rsidR="00073989" w:rsidRPr="00CD0964">
        <w:rPr>
          <w:rFonts w:ascii="Arial" w:hAnsi="Arial" w:cs="Arial"/>
          <w:sz w:val="20"/>
          <w:szCs w:val="20"/>
        </w:rPr>
        <w:t xml:space="preserve"> arasında </w:t>
      </w:r>
      <w:r w:rsidRPr="00CD0964">
        <w:rPr>
          <w:rFonts w:ascii="Arial" w:hAnsi="Arial" w:cs="Arial"/>
          <w:sz w:val="20"/>
          <w:szCs w:val="20"/>
        </w:rPr>
        <w:t>herhangi</w:t>
      </w:r>
      <w:r w:rsidR="00073989" w:rsidRPr="00CD0964">
        <w:rPr>
          <w:rFonts w:ascii="Arial" w:hAnsi="Arial" w:cs="Arial"/>
          <w:sz w:val="20"/>
          <w:szCs w:val="20"/>
        </w:rPr>
        <w:t xml:space="preserve"> bir nedensellik bulunmuyorsa, performans</w:t>
      </w:r>
      <w:r w:rsidRPr="00CD0964">
        <w:rPr>
          <w:rFonts w:ascii="Arial" w:hAnsi="Arial" w:cs="Arial"/>
          <w:sz w:val="20"/>
          <w:szCs w:val="20"/>
        </w:rPr>
        <w:t xml:space="preserve">tan </w:t>
      </w:r>
      <w:r w:rsidR="003A4E9B" w:rsidRPr="00CD0964">
        <w:rPr>
          <w:rFonts w:ascii="Arial" w:hAnsi="Arial" w:cs="Arial"/>
          <w:sz w:val="20"/>
          <w:szCs w:val="20"/>
        </w:rPr>
        <w:t>doğan</w:t>
      </w:r>
      <w:r w:rsidR="00073989" w:rsidRPr="00CD0964">
        <w:rPr>
          <w:rFonts w:ascii="Arial" w:hAnsi="Arial" w:cs="Arial"/>
          <w:sz w:val="20"/>
          <w:szCs w:val="20"/>
        </w:rPr>
        <w:t xml:space="preserve"> </w:t>
      </w:r>
      <w:r w:rsidRPr="00CD0964">
        <w:rPr>
          <w:rFonts w:ascii="Arial" w:hAnsi="Arial" w:cs="Arial"/>
          <w:sz w:val="20"/>
          <w:szCs w:val="20"/>
        </w:rPr>
        <w:t xml:space="preserve">veya performansa </w:t>
      </w:r>
      <w:r w:rsidR="003A4E9B" w:rsidRPr="00CD0964">
        <w:rPr>
          <w:rFonts w:ascii="Arial" w:hAnsi="Arial" w:cs="Arial"/>
          <w:sz w:val="20"/>
          <w:szCs w:val="20"/>
        </w:rPr>
        <w:t>dayalı</w:t>
      </w:r>
      <w:r w:rsidRPr="00CD0964">
        <w:rPr>
          <w:rFonts w:ascii="Arial" w:hAnsi="Arial" w:cs="Arial"/>
          <w:sz w:val="20"/>
          <w:szCs w:val="20"/>
        </w:rPr>
        <w:t xml:space="preserve"> </w:t>
      </w:r>
      <w:r w:rsidR="00073989" w:rsidRPr="00CD0964">
        <w:rPr>
          <w:rFonts w:ascii="Arial" w:hAnsi="Arial" w:cs="Arial"/>
          <w:sz w:val="20"/>
          <w:szCs w:val="20"/>
        </w:rPr>
        <w:t>bir rekabetin var</w:t>
      </w:r>
      <w:r w:rsidRPr="00CD0964">
        <w:rPr>
          <w:rFonts w:ascii="Arial" w:hAnsi="Arial" w:cs="Arial"/>
          <w:sz w:val="20"/>
          <w:szCs w:val="20"/>
        </w:rPr>
        <w:t xml:space="preserve"> </w:t>
      </w:r>
      <w:r w:rsidR="003A4E9B" w:rsidRPr="00CD0964">
        <w:rPr>
          <w:rFonts w:ascii="Arial" w:hAnsi="Arial" w:cs="Arial"/>
          <w:sz w:val="20"/>
          <w:szCs w:val="20"/>
        </w:rPr>
        <w:t>olmadığı</w:t>
      </w:r>
      <w:r w:rsidRPr="00CD0964">
        <w:rPr>
          <w:rFonts w:ascii="Arial" w:hAnsi="Arial" w:cs="Arial"/>
          <w:sz w:val="20"/>
          <w:szCs w:val="20"/>
        </w:rPr>
        <w:t xml:space="preserve"> sonucu ortaya </w:t>
      </w:r>
      <w:r w:rsidR="00E877C1" w:rsidRPr="00CD0964">
        <w:rPr>
          <w:rFonts w:ascii="Arial" w:hAnsi="Arial" w:cs="Arial"/>
          <w:sz w:val="20"/>
          <w:szCs w:val="20"/>
        </w:rPr>
        <w:t>çıkacaktır</w:t>
      </w:r>
      <w:r w:rsidR="00073989" w:rsidRPr="00CD0964">
        <w:rPr>
          <w:rFonts w:ascii="Arial" w:hAnsi="Arial" w:cs="Arial"/>
          <w:sz w:val="20"/>
          <w:szCs w:val="20"/>
        </w:rPr>
        <w:t xml:space="preserve">. Bu durumunda, </w:t>
      </w:r>
      <w:r w:rsidRPr="00CD0964">
        <w:rPr>
          <w:rFonts w:ascii="Arial" w:hAnsi="Arial" w:cs="Arial"/>
          <w:sz w:val="20"/>
          <w:szCs w:val="20"/>
        </w:rPr>
        <w:t xml:space="preserve">ezeli rakiplerin </w:t>
      </w:r>
      <w:r w:rsidR="00073989" w:rsidRPr="00CD0964">
        <w:rPr>
          <w:rFonts w:ascii="Arial" w:hAnsi="Arial" w:cs="Arial"/>
          <w:sz w:val="20"/>
          <w:szCs w:val="20"/>
        </w:rPr>
        <w:t>performansları arasın</w:t>
      </w:r>
      <w:r w:rsidR="00734E55" w:rsidRPr="00CD0964">
        <w:rPr>
          <w:rFonts w:ascii="Arial" w:hAnsi="Arial" w:cs="Arial"/>
          <w:sz w:val="20"/>
          <w:szCs w:val="20"/>
        </w:rPr>
        <w:t>da dinamik bir etkileşim yoktur. D</w:t>
      </w:r>
      <w:r w:rsidR="00073989" w:rsidRPr="00CD0964">
        <w:rPr>
          <w:rFonts w:ascii="Arial" w:hAnsi="Arial" w:cs="Arial"/>
          <w:sz w:val="20"/>
          <w:szCs w:val="20"/>
        </w:rPr>
        <w:t>olayısıyla</w:t>
      </w:r>
      <w:r w:rsidR="00F16390" w:rsidRPr="00CD0964">
        <w:rPr>
          <w:rFonts w:ascii="Arial" w:hAnsi="Arial" w:cs="Arial"/>
          <w:sz w:val="20"/>
          <w:szCs w:val="20"/>
        </w:rPr>
        <w:t>,</w:t>
      </w:r>
      <w:r w:rsidR="00073989" w:rsidRPr="00CD0964">
        <w:rPr>
          <w:rFonts w:ascii="Arial" w:hAnsi="Arial" w:cs="Arial"/>
          <w:sz w:val="20"/>
          <w:szCs w:val="20"/>
        </w:rPr>
        <w:t xml:space="preserve"> </w:t>
      </w:r>
      <w:r w:rsidR="00E877C1" w:rsidRPr="00CD0964">
        <w:rPr>
          <w:rFonts w:ascii="Arial" w:hAnsi="Arial" w:cs="Arial"/>
          <w:sz w:val="20"/>
          <w:szCs w:val="20"/>
        </w:rPr>
        <w:t>kulüpler</w:t>
      </w:r>
      <w:r w:rsidRPr="00CD0964">
        <w:rPr>
          <w:rFonts w:ascii="Arial" w:hAnsi="Arial" w:cs="Arial"/>
          <w:sz w:val="20"/>
          <w:szCs w:val="20"/>
        </w:rPr>
        <w:t xml:space="preserve"> </w:t>
      </w:r>
      <w:r w:rsidR="00E877C1" w:rsidRPr="00CD0964">
        <w:rPr>
          <w:rFonts w:ascii="Arial" w:hAnsi="Arial" w:cs="Arial"/>
          <w:sz w:val="20"/>
          <w:szCs w:val="20"/>
        </w:rPr>
        <w:t>arasındaki</w:t>
      </w:r>
      <w:r w:rsidRPr="00CD0964">
        <w:rPr>
          <w:rFonts w:ascii="Arial" w:hAnsi="Arial" w:cs="Arial"/>
          <w:sz w:val="20"/>
          <w:szCs w:val="20"/>
        </w:rPr>
        <w:t xml:space="preserve"> mevcut rekabetin</w:t>
      </w:r>
      <w:r w:rsidR="00073989" w:rsidRPr="00CD0964">
        <w:rPr>
          <w:rFonts w:ascii="Arial" w:hAnsi="Arial" w:cs="Arial"/>
          <w:sz w:val="20"/>
          <w:szCs w:val="20"/>
        </w:rPr>
        <w:t xml:space="preserve"> tarihsel, etnik, dilsel, dini veya ekonomik farklılıklar gibi </w:t>
      </w:r>
      <w:r w:rsidRPr="00CD0964">
        <w:rPr>
          <w:rFonts w:ascii="Arial" w:hAnsi="Arial" w:cs="Arial"/>
          <w:sz w:val="20"/>
          <w:szCs w:val="20"/>
        </w:rPr>
        <w:t xml:space="preserve">diğer nedenlerden </w:t>
      </w:r>
      <w:r w:rsidR="00E877C1" w:rsidRPr="00CD0964">
        <w:rPr>
          <w:rFonts w:ascii="Arial" w:hAnsi="Arial" w:cs="Arial"/>
          <w:sz w:val="20"/>
          <w:szCs w:val="20"/>
        </w:rPr>
        <w:t>kaynaklandığı</w:t>
      </w:r>
      <w:r w:rsidR="00073989" w:rsidRPr="00CD0964">
        <w:rPr>
          <w:rFonts w:ascii="Arial" w:hAnsi="Arial" w:cs="Arial"/>
          <w:sz w:val="20"/>
          <w:szCs w:val="20"/>
        </w:rPr>
        <w:t xml:space="preserve"> düşünülme</w:t>
      </w:r>
      <w:r w:rsidRPr="00CD0964">
        <w:rPr>
          <w:rFonts w:ascii="Arial" w:hAnsi="Arial" w:cs="Arial"/>
          <w:sz w:val="20"/>
          <w:szCs w:val="20"/>
        </w:rPr>
        <w:t>li</w:t>
      </w:r>
      <w:r w:rsidR="00073989" w:rsidRPr="00CD0964">
        <w:rPr>
          <w:rFonts w:ascii="Arial" w:hAnsi="Arial" w:cs="Arial"/>
          <w:sz w:val="20"/>
          <w:szCs w:val="20"/>
        </w:rPr>
        <w:t xml:space="preserve">dir. Bu </w:t>
      </w:r>
      <w:r w:rsidR="00E877C1" w:rsidRPr="00CD0964">
        <w:rPr>
          <w:rFonts w:ascii="Arial" w:hAnsi="Arial" w:cs="Arial"/>
          <w:sz w:val="20"/>
          <w:szCs w:val="20"/>
        </w:rPr>
        <w:t>çalışmanın</w:t>
      </w:r>
      <w:r w:rsidRPr="00CD0964">
        <w:rPr>
          <w:rFonts w:ascii="Arial" w:hAnsi="Arial" w:cs="Arial"/>
          <w:sz w:val="20"/>
          <w:szCs w:val="20"/>
        </w:rPr>
        <w:t xml:space="preserve"> en önemli </w:t>
      </w:r>
      <w:r w:rsidR="00ED4ED9" w:rsidRPr="00CD0964">
        <w:rPr>
          <w:rFonts w:ascii="Arial" w:hAnsi="Arial" w:cs="Arial"/>
          <w:sz w:val="20"/>
          <w:szCs w:val="20"/>
        </w:rPr>
        <w:t>bulgusu</w:t>
      </w:r>
      <w:r w:rsidRPr="00CD0964">
        <w:rPr>
          <w:rFonts w:ascii="Arial" w:hAnsi="Arial" w:cs="Arial"/>
          <w:sz w:val="20"/>
          <w:szCs w:val="20"/>
        </w:rPr>
        <w:t>, ezeli rekabet</w:t>
      </w:r>
      <w:r w:rsidR="0030377A" w:rsidRPr="00CD0964">
        <w:rPr>
          <w:rFonts w:ascii="Arial" w:hAnsi="Arial" w:cs="Arial"/>
          <w:sz w:val="20"/>
          <w:szCs w:val="20"/>
        </w:rPr>
        <w:t xml:space="preserve">in </w:t>
      </w:r>
      <w:r w:rsidR="00E877C1" w:rsidRPr="00CD0964">
        <w:rPr>
          <w:rFonts w:ascii="Arial" w:hAnsi="Arial" w:cs="Arial"/>
          <w:sz w:val="20"/>
          <w:szCs w:val="20"/>
        </w:rPr>
        <w:t>varlığının</w:t>
      </w:r>
      <w:r w:rsidR="00073989" w:rsidRPr="00CD0964">
        <w:rPr>
          <w:rFonts w:ascii="Arial" w:hAnsi="Arial" w:cs="Arial"/>
          <w:sz w:val="20"/>
          <w:szCs w:val="20"/>
        </w:rPr>
        <w:t xml:space="preserve"> </w:t>
      </w:r>
      <w:r w:rsidR="0030377A" w:rsidRPr="00CD0964">
        <w:rPr>
          <w:rFonts w:ascii="Arial" w:hAnsi="Arial" w:cs="Arial"/>
          <w:sz w:val="20"/>
          <w:szCs w:val="20"/>
        </w:rPr>
        <w:t xml:space="preserve">performanslar </w:t>
      </w:r>
      <w:r w:rsidR="00E877C1" w:rsidRPr="00CD0964">
        <w:rPr>
          <w:rFonts w:ascii="Arial" w:hAnsi="Arial" w:cs="Arial"/>
          <w:sz w:val="20"/>
          <w:szCs w:val="20"/>
        </w:rPr>
        <w:t>arasında</w:t>
      </w:r>
      <w:r w:rsidR="0030377A" w:rsidRPr="00CD0964">
        <w:rPr>
          <w:rFonts w:ascii="Arial" w:hAnsi="Arial" w:cs="Arial"/>
          <w:sz w:val="20"/>
          <w:szCs w:val="20"/>
        </w:rPr>
        <w:t xml:space="preserve"> bir </w:t>
      </w:r>
      <w:r w:rsidR="00ED4ED9" w:rsidRPr="00CD0964">
        <w:rPr>
          <w:rFonts w:ascii="Arial" w:hAnsi="Arial" w:cs="Arial"/>
          <w:sz w:val="20"/>
          <w:szCs w:val="20"/>
        </w:rPr>
        <w:t xml:space="preserve">etkileşimi her zaman </w:t>
      </w:r>
      <w:r w:rsidR="0030377A" w:rsidRPr="00CD0964">
        <w:rPr>
          <w:rFonts w:ascii="Arial" w:hAnsi="Arial" w:cs="Arial"/>
          <w:sz w:val="20"/>
          <w:szCs w:val="20"/>
        </w:rPr>
        <w:t xml:space="preserve">beraberinde </w:t>
      </w:r>
      <w:r w:rsidR="00E877C1" w:rsidRPr="00CD0964">
        <w:rPr>
          <w:rFonts w:ascii="Arial" w:hAnsi="Arial" w:cs="Arial"/>
          <w:sz w:val="20"/>
          <w:szCs w:val="20"/>
        </w:rPr>
        <w:t>getirme</w:t>
      </w:r>
      <w:r w:rsidR="00ED4ED9" w:rsidRPr="00CD0964">
        <w:rPr>
          <w:rFonts w:ascii="Arial" w:hAnsi="Arial" w:cs="Arial"/>
          <w:sz w:val="20"/>
          <w:szCs w:val="20"/>
        </w:rPr>
        <w:t>mekle birlikte</w:t>
      </w:r>
      <w:r w:rsidR="00F16390" w:rsidRPr="00CD0964">
        <w:rPr>
          <w:rFonts w:ascii="Arial" w:hAnsi="Arial" w:cs="Arial"/>
          <w:sz w:val="20"/>
          <w:szCs w:val="20"/>
        </w:rPr>
        <w:t>,</w:t>
      </w:r>
      <w:r w:rsidR="00CD0964">
        <w:rPr>
          <w:rFonts w:ascii="Arial" w:hAnsi="Arial" w:cs="Arial"/>
          <w:sz w:val="20"/>
          <w:szCs w:val="20"/>
        </w:rPr>
        <w:t xml:space="preserve"> Galatasaray-Fenerbahçe</w:t>
      </w:r>
      <w:r w:rsidR="00ED4ED9" w:rsidRPr="00CD0964">
        <w:rPr>
          <w:rFonts w:ascii="Arial" w:hAnsi="Arial" w:cs="Arial"/>
          <w:sz w:val="20"/>
          <w:szCs w:val="20"/>
        </w:rPr>
        <w:t xml:space="preserve"> </w:t>
      </w:r>
      <w:r w:rsidR="00CD0964" w:rsidRPr="00CD0964">
        <w:rPr>
          <w:rFonts w:ascii="Arial" w:hAnsi="Arial" w:cs="Arial"/>
          <w:sz w:val="20"/>
          <w:szCs w:val="20"/>
        </w:rPr>
        <w:t>dâhil</w:t>
      </w:r>
      <w:r w:rsidR="00ED4ED9" w:rsidRPr="00CD0964">
        <w:rPr>
          <w:rFonts w:ascii="Arial" w:hAnsi="Arial" w:cs="Arial"/>
          <w:sz w:val="20"/>
          <w:szCs w:val="20"/>
        </w:rPr>
        <w:t xml:space="preserve"> önemli sayıda örnekte olduğu gibi ezeli rekabetin kulüplerin performansını etkilediğinin</w:t>
      </w:r>
      <w:r w:rsidR="0030377A" w:rsidRPr="00CD0964">
        <w:rPr>
          <w:rFonts w:ascii="Arial" w:hAnsi="Arial" w:cs="Arial"/>
          <w:sz w:val="20"/>
          <w:szCs w:val="20"/>
        </w:rPr>
        <w:t xml:space="preserve"> ortaya </w:t>
      </w:r>
      <w:r w:rsidR="00E877C1" w:rsidRPr="00CD0964">
        <w:rPr>
          <w:rFonts w:ascii="Arial" w:hAnsi="Arial" w:cs="Arial"/>
          <w:sz w:val="20"/>
          <w:szCs w:val="20"/>
        </w:rPr>
        <w:t>konulmasıdır</w:t>
      </w:r>
      <w:r w:rsidR="0030377A" w:rsidRPr="00CD0964">
        <w:rPr>
          <w:rFonts w:ascii="Arial" w:hAnsi="Arial" w:cs="Arial"/>
          <w:sz w:val="20"/>
          <w:szCs w:val="20"/>
        </w:rPr>
        <w:t>.</w:t>
      </w:r>
      <w:r w:rsidR="0030377A" w:rsidRPr="00CD0964">
        <w:rPr>
          <w:rFonts w:ascii="Arial" w:hAnsi="Arial" w:cs="Arial"/>
          <w:color w:val="FF0000"/>
          <w:sz w:val="20"/>
          <w:szCs w:val="20"/>
        </w:rPr>
        <w:t xml:space="preserve"> </w:t>
      </w:r>
    </w:p>
    <w:p w:rsidR="0085773D" w:rsidRPr="00CD0964" w:rsidRDefault="0030377A" w:rsidP="001F3A29">
      <w:pPr>
        <w:pStyle w:val="Heading2"/>
        <w:spacing w:line="276" w:lineRule="auto"/>
        <w:ind w:firstLine="340"/>
        <w:rPr>
          <w:rFonts w:cs="Arial"/>
          <w:i w:val="0"/>
          <w:sz w:val="20"/>
          <w:szCs w:val="20"/>
          <w:lang w:val="tr-TR"/>
        </w:rPr>
      </w:pPr>
      <w:r w:rsidRPr="00CD0964">
        <w:rPr>
          <w:rFonts w:cs="Arial"/>
          <w:i w:val="0"/>
          <w:sz w:val="20"/>
          <w:szCs w:val="20"/>
          <w:lang w:val="tr-TR"/>
        </w:rPr>
        <w:t>Veriler ve</w:t>
      </w:r>
      <w:r w:rsidR="00843107" w:rsidRPr="00CD0964">
        <w:rPr>
          <w:rFonts w:cs="Arial"/>
          <w:i w:val="0"/>
          <w:sz w:val="20"/>
          <w:szCs w:val="20"/>
          <w:lang w:val="tr-TR"/>
        </w:rPr>
        <w:t xml:space="preserve"> yöntem</w:t>
      </w:r>
    </w:p>
    <w:p w:rsidR="00E671CD" w:rsidRPr="00CD0964" w:rsidRDefault="00734E55" w:rsidP="001F3A29">
      <w:pPr>
        <w:spacing w:line="276" w:lineRule="auto"/>
        <w:ind w:firstLine="340"/>
        <w:jc w:val="both"/>
        <w:rPr>
          <w:rFonts w:ascii="Arial" w:hAnsi="Arial" w:cs="Arial"/>
          <w:sz w:val="20"/>
          <w:szCs w:val="20"/>
        </w:rPr>
      </w:pPr>
      <w:r w:rsidRPr="00CD0964">
        <w:rPr>
          <w:rFonts w:ascii="Arial" w:hAnsi="Arial" w:cs="Arial"/>
          <w:sz w:val="20"/>
          <w:szCs w:val="20"/>
        </w:rPr>
        <w:t>Calışmamı</w:t>
      </w:r>
      <w:r w:rsidR="00133F92" w:rsidRPr="00CD0964">
        <w:rPr>
          <w:rFonts w:ascii="Arial" w:hAnsi="Arial" w:cs="Arial"/>
          <w:sz w:val="20"/>
          <w:szCs w:val="20"/>
        </w:rPr>
        <w:t>zda</w:t>
      </w:r>
      <w:r w:rsidR="0030377A" w:rsidRPr="00CD0964">
        <w:rPr>
          <w:rFonts w:ascii="Arial" w:hAnsi="Arial" w:cs="Arial"/>
          <w:sz w:val="20"/>
          <w:szCs w:val="20"/>
        </w:rPr>
        <w:t xml:space="preserve"> </w:t>
      </w:r>
      <w:r w:rsidR="00E877C1" w:rsidRPr="00CD0964">
        <w:rPr>
          <w:rFonts w:ascii="Arial" w:hAnsi="Arial" w:cs="Arial"/>
          <w:sz w:val="20"/>
          <w:szCs w:val="20"/>
        </w:rPr>
        <w:t>Avrupa’nın</w:t>
      </w:r>
      <w:r w:rsidR="0030377A" w:rsidRPr="00CD0964">
        <w:rPr>
          <w:rFonts w:ascii="Arial" w:hAnsi="Arial" w:cs="Arial"/>
          <w:sz w:val="20"/>
          <w:szCs w:val="20"/>
        </w:rPr>
        <w:t xml:space="preserve"> en </w:t>
      </w:r>
      <w:r w:rsidR="00E877C1" w:rsidRPr="00CD0964">
        <w:rPr>
          <w:rFonts w:ascii="Arial" w:hAnsi="Arial" w:cs="Arial"/>
          <w:sz w:val="20"/>
          <w:szCs w:val="20"/>
        </w:rPr>
        <w:t>önemli</w:t>
      </w:r>
      <w:r w:rsidR="0030377A" w:rsidRPr="00CD0964">
        <w:rPr>
          <w:rFonts w:ascii="Arial" w:hAnsi="Arial" w:cs="Arial"/>
          <w:sz w:val="20"/>
          <w:szCs w:val="20"/>
        </w:rPr>
        <w:t xml:space="preserve"> ligleri</w:t>
      </w:r>
      <w:r w:rsidR="00133F92" w:rsidRPr="00CD0964">
        <w:rPr>
          <w:rFonts w:ascii="Arial" w:hAnsi="Arial" w:cs="Arial"/>
          <w:sz w:val="20"/>
          <w:szCs w:val="20"/>
        </w:rPr>
        <w:t>ni</w:t>
      </w:r>
      <w:r w:rsidRPr="00CD0964">
        <w:rPr>
          <w:rFonts w:ascii="Arial" w:hAnsi="Arial" w:cs="Arial"/>
          <w:sz w:val="20"/>
          <w:szCs w:val="20"/>
        </w:rPr>
        <w:t xml:space="preserve"> ele alı</w:t>
      </w:r>
      <w:r w:rsidR="00133F92" w:rsidRPr="00CD0964">
        <w:rPr>
          <w:rFonts w:ascii="Arial" w:hAnsi="Arial" w:cs="Arial"/>
          <w:sz w:val="20"/>
          <w:szCs w:val="20"/>
        </w:rPr>
        <w:t>yoruz</w:t>
      </w:r>
      <w:r w:rsidR="0030377A" w:rsidRPr="00CD0964">
        <w:rPr>
          <w:rFonts w:ascii="Arial" w:hAnsi="Arial" w:cs="Arial"/>
          <w:sz w:val="20"/>
          <w:szCs w:val="20"/>
        </w:rPr>
        <w:t>. Bu ligler</w:t>
      </w:r>
      <w:r w:rsidR="00133F92" w:rsidRPr="00CD0964">
        <w:rPr>
          <w:rFonts w:ascii="Arial" w:hAnsi="Arial" w:cs="Arial"/>
          <w:sz w:val="20"/>
          <w:szCs w:val="20"/>
        </w:rPr>
        <w:t>,</w:t>
      </w:r>
      <w:r w:rsidR="0030377A" w:rsidRPr="00CD0964">
        <w:rPr>
          <w:rFonts w:ascii="Arial" w:hAnsi="Arial" w:cs="Arial"/>
          <w:sz w:val="20"/>
          <w:szCs w:val="20"/>
        </w:rPr>
        <w:t xml:space="preserve"> Premier League (</w:t>
      </w:r>
      <w:r w:rsidR="00E877C1" w:rsidRPr="00CD0964">
        <w:rPr>
          <w:rFonts w:ascii="Arial" w:hAnsi="Arial" w:cs="Arial"/>
          <w:sz w:val="20"/>
          <w:szCs w:val="20"/>
        </w:rPr>
        <w:t>İngiltere</w:t>
      </w:r>
      <w:r w:rsidR="0030377A" w:rsidRPr="00CD0964">
        <w:rPr>
          <w:rFonts w:ascii="Arial" w:hAnsi="Arial" w:cs="Arial"/>
          <w:sz w:val="20"/>
          <w:szCs w:val="20"/>
        </w:rPr>
        <w:t>), Ligue 1 (Fransa), Bundesliga (Almanya), Superleague (Yunanistan), Serie A (</w:t>
      </w:r>
      <w:r w:rsidR="00E877C1" w:rsidRPr="00CD0964">
        <w:rPr>
          <w:rFonts w:ascii="Arial" w:hAnsi="Arial" w:cs="Arial"/>
          <w:sz w:val="20"/>
          <w:szCs w:val="20"/>
        </w:rPr>
        <w:t>İtalya</w:t>
      </w:r>
      <w:r w:rsidR="0030377A" w:rsidRPr="00CD0964">
        <w:rPr>
          <w:rFonts w:ascii="Arial" w:hAnsi="Arial" w:cs="Arial"/>
          <w:sz w:val="20"/>
          <w:szCs w:val="20"/>
        </w:rPr>
        <w:t>), Eredivisie (Hollanda), Liga NOS (Portekiz), Premiership (</w:t>
      </w:r>
      <w:r w:rsidR="00E877C1" w:rsidRPr="00CD0964">
        <w:rPr>
          <w:rFonts w:ascii="Arial" w:hAnsi="Arial" w:cs="Arial"/>
          <w:sz w:val="20"/>
          <w:szCs w:val="20"/>
        </w:rPr>
        <w:t>İskoçya</w:t>
      </w:r>
      <w:r w:rsidR="0030377A" w:rsidRPr="00CD0964">
        <w:rPr>
          <w:rFonts w:ascii="Arial" w:hAnsi="Arial" w:cs="Arial"/>
          <w:sz w:val="20"/>
          <w:szCs w:val="20"/>
        </w:rPr>
        <w:t>), La Liga (</w:t>
      </w:r>
      <w:r w:rsidR="00E877C1" w:rsidRPr="00CD0964">
        <w:rPr>
          <w:rFonts w:ascii="Arial" w:hAnsi="Arial" w:cs="Arial"/>
          <w:sz w:val="20"/>
          <w:szCs w:val="20"/>
        </w:rPr>
        <w:t>İspanya</w:t>
      </w:r>
      <w:r w:rsidR="00293B96" w:rsidRPr="00CD0964">
        <w:rPr>
          <w:rFonts w:ascii="Arial" w:hAnsi="Arial" w:cs="Arial"/>
          <w:sz w:val="20"/>
          <w:szCs w:val="20"/>
        </w:rPr>
        <w:t>), ve Sü</w:t>
      </w:r>
      <w:r w:rsidR="0030377A" w:rsidRPr="00CD0964">
        <w:rPr>
          <w:rFonts w:ascii="Arial" w:hAnsi="Arial" w:cs="Arial"/>
          <w:sz w:val="20"/>
          <w:szCs w:val="20"/>
        </w:rPr>
        <w:t>per Lig (</w:t>
      </w:r>
      <w:r w:rsidR="00E877C1" w:rsidRPr="00CD0964">
        <w:rPr>
          <w:rFonts w:ascii="Arial" w:hAnsi="Arial" w:cs="Arial"/>
          <w:sz w:val="20"/>
          <w:szCs w:val="20"/>
        </w:rPr>
        <w:t>Türkiye</w:t>
      </w:r>
      <w:r w:rsidR="0030377A" w:rsidRPr="00CD0964">
        <w:rPr>
          <w:rFonts w:ascii="Arial" w:hAnsi="Arial" w:cs="Arial"/>
          <w:sz w:val="20"/>
          <w:szCs w:val="20"/>
        </w:rPr>
        <w:t>).</w:t>
      </w:r>
      <w:r w:rsidR="00664731" w:rsidRPr="00CD0964">
        <w:rPr>
          <w:rFonts w:ascii="Arial" w:hAnsi="Arial" w:cs="Arial"/>
          <w:sz w:val="20"/>
          <w:szCs w:val="20"/>
        </w:rPr>
        <w:t xml:space="preserve"> Rakip kulü</w:t>
      </w:r>
      <w:r w:rsidR="00DF7F76" w:rsidRPr="00CD0964">
        <w:rPr>
          <w:rFonts w:ascii="Arial" w:hAnsi="Arial" w:cs="Arial"/>
          <w:sz w:val="20"/>
          <w:szCs w:val="20"/>
        </w:rPr>
        <w:t>plerin listesi, incelenen dönemler</w:t>
      </w:r>
      <w:r w:rsidR="00664731" w:rsidRPr="00CD0964">
        <w:rPr>
          <w:rFonts w:ascii="Arial" w:hAnsi="Arial" w:cs="Arial"/>
          <w:sz w:val="20"/>
          <w:szCs w:val="20"/>
        </w:rPr>
        <w:t xml:space="preserve"> ve yıllık </w:t>
      </w:r>
      <w:r w:rsidR="00133F92" w:rsidRPr="00CD0964">
        <w:rPr>
          <w:rFonts w:ascii="Arial" w:hAnsi="Arial" w:cs="Arial"/>
          <w:sz w:val="20"/>
          <w:szCs w:val="20"/>
        </w:rPr>
        <w:t>performans serileri</w:t>
      </w:r>
      <w:r w:rsidR="00664731" w:rsidRPr="00CD0964">
        <w:rPr>
          <w:rFonts w:ascii="Arial" w:hAnsi="Arial" w:cs="Arial"/>
          <w:sz w:val="20"/>
          <w:szCs w:val="20"/>
        </w:rPr>
        <w:t xml:space="preserve"> için betimsel istatistikler Tablo 1'de verilmektedir.</w:t>
      </w:r>
      <w:r w:rsidR="00C563C0" w:rsidRPr="00CD0964">
        <w:rPr>
          <w:rFonts w:ascii="Arial" w:hAnsi="Arial" w:cs="Arial"/>
          <w:sz w:val="20"/>
          <w:szCs w:val="20"/>
        </w:rPr>
        <w:t xml:space="preserve"> </w:t>
      </w:r>
      <w:r w:rsidR="00133F92" w:rsidRPr="00CD0964">
        <w:rPr>
          <w:rFonts w:ascii="Arial" w:hAnsi="Arial" w:cs="Arial"/>
          <w:sz w:val="20"/>
          <w:szCs w:val="20"/>
        </w:rPr>
        <w:t>Analizlerimizde k</w:t>
      </w:r>
      <w:r w:rsidR="00E877C1" w:rsidRPr="00CD0964">
        <w:rPr>
          <w:rFonts w:ascii="Arial" w:hAnsi="Arial" w:cs="Arial"/>
          <w:sz w:val="20"/>
          <w:szCs w:val="20"/>
        </w:rPr>
        <w:t>ullanılan</w:t>
      </w:r>
      <w:r w:rsidR="00C563C0" w:rsidRPr="00CD0964">
        <w:rPr>
          <w:rFonts w:ascii="Arial" w:hAnsi="Arial" w:cs="Arial"/>
          <w:sz w:val="20"/>
          <w:szCs w:val="20"/>
        </w:rPr>
        <w:t xml:space="preserve"> veriler footballdatabase.eu, transfermarkt.com, eurocupshistory.com, </w:t>
      </w:r>
      <w:r w:rsidR="00C563C0" w:rsidRPr="00CD0964">
        <w:rPr>
          <w:rFonts w:ascii="Arial" w:hAnsi="Arial" w:cs="Arial"/>
          <w:sz w:val="20"/>
          <w:szCs w:val="20"/>
        </w:rPr>
        <w:lastRenderedPageBreak/>
        <w:t xml:space="preserve">Rec.Sport.Soccer Statistics Foundation (RSSSF), </w:t>
      </w:r>
      <w:r w:rsidR="00133F92" w:rsidRPr="00CD0964">
        <w:rPr>
          <w:rFonts w:ascii="Arial" w:hAnsi="Arial" w:cs="Arial"/>
          <w:sz w:val="20"/>
          <w:szCs w:val="20"/>
        </w:rPr>
        <w:t xml:space="preserve">ve </w:t>
      </w:r>
      <w:r w:rsidR="00C563C0" w:rsidRPr="00CD0964">
        <w:rPr>
          <w:rFonts w:ascii="Arial" w:hAnsi="Arial" w:cs="Arial"/>
          <w:sz w:val="20"/>
          <w:szCs w:val="20"/>
        </w:rPr>
        <w:t xml:space="preserve">UEFA’ya </w:t>
      </w:r>
      <w:r w:rsidR="00E877C1" w:rsidRPr="00CD0964">
        <w:rPr>
          <w:rFonts w:ascii="Arial" w:hAnsi="Arial" w:cs="Arial"/>
          <w:sz w:val="20"/>
          <w:szCs w:val="20"/>
        </w:rPr>
        <w:t>üye</w:t>
      </w:r>
      <w:r w:rsidR="00C563C0" w:rsidRPr="00CD0964">
        <w:rPr>
          <w:rFonts w:ascii="Arial" w:hAnsi="Arial" w:cs="Arial"/>
          <w:sz w:val="20"/>
          <w:szCs w:val="20"/>
        </w:rPr>
        <w:t xml:space="preserve"> </w:t>
      </w:r>
      <w:r w:rsidR="00E877C1" w:rsidRPr="00CD0964">
        <w:rPr>
          <w:rFonts w:ascii="Arial" w:hAnsi="Arial" w:cs="Arial"/>
          <w:sz w:val="20"/>
          <w:szCs w:val="20"/>
        </w:rPr>
        <w:t>ülkelerin</w:t>
      </w:r>
      <w:r w:rsidR="00C563C0" w:rsidRPr="00CD0964">
        <w:rPr>
          <w:rFonts w:ascii="Arial" w:hAnsi="Arial" w:cs="Arial"/>
          <w:sz w:val="20"/>
          <w:szCs w:val="20"/>
        </w:rPr>
        <w:t xml:space="preserve"> </w:t>
      </w:r>
      <w:r w:rsidR="00E877C1" w:rsidRPr="00CD0964">
        <w:rPr>
          <w:rFonts w:ascii="Arial" w:hAnsi="Arial" w:cs="Arial"/>
          <w:sz w:val="20"/>
          <w:szCs w:val="20"/>
        </w:rPr>
        <w:t>federasyonlarının</w:t>
      </w:r>
      <w:r w:rsidR="00C563C0" w:rsidRPr="00CD0964">
        <w:rPr>
          <w:rFonts w:ascii="Arial" w:hAnsi="Arial" w:cs="Arial"/>
          <w:sz w:val="20"/>
          <w:szCs w:val="20"/>
        </w:rPr>
        <w:t xml:space="preserve"> web sitelerinden elde edilmiştir.</w:t>
      </w:r>
    </w:p>
    <w:p w:rsidR="00932545" w:rsidRPr="00CD0964" w:rsidRDefault="007A2CB7" w:rsidP="00CD0964">
      <w:pPr>
        <w:spacing w:line="276" w:lineRule="auto"/>
        <w:ind w:firstLine="340"/>
        <w:jc w:val="both"/>
        <w:rPr>
          <w:rFonts w:ascii="Arial" w:hAnsi="Arial" w:cs="Arial"/>
          <w:sz w:val="20"/>
          <w:szCs w:val="20"/>
        </w:rPr>
      </w:pPr>
      <w:r w:rsidRPr="00CD0964">
        <w:rPr>
          <w:rFonts w:ascii="Arial" w:hAnsi="Arial" w:cs="Arial"/>
          <w:sz w:val="20"/>
          <w:szCs w:val="20"/>
        </w:rPr>
        <w:t xml:space="preserve">Rakip </w:t>
      </w:r>
      <w:r w:rsidR="007D0F3C" w:rsidRPr="00CD0964">
        <w:rPr>
          <w:rFonts w:ascii="Arial" w:hAnsi="Arial" w:cs="Arial"/>
          <w:sz w:val="20"/>
          <w:szCs w:val="20"/>
        </w:rPr>
        <w:t>takımların</w:t>
      </w:r>
      <w:r w:rsidR="00B1543A" w:rsidRPr="00CD0964">
        <w:rPr>
          <w:rFonts w:ascii="Arial" w:hAnsi="Arial" w:cs="Arial"/>
          <w:sz w:val="20"/>
          <w:szCs w:val="20"/>
        </w:rPr>
        <w:t xml:space="preserve"> başarısını</w:t>
      </w:r>
      <w:r w:rsidRPr="00CD0964">
        <w:rPr>
          <w:rFonts w:ascii="Arial" w:hAnsi="Arial" w:cs="Arial"/>
          <w:sz w:val="20"/>
          <w:szCs w:val="20"/>
        </w:rPr>
        <w:t xml:space="preserve"> </w:t>
      </w:r>
      <w:r w:rsidR="007D0F3C" w:rsidRPr="00CD0964">
        <w:rPr>
          <w:rFonts w:ascii="Arial" w:hAnsi="Arial" w:cs="Arial"/>
          <w:sz w:val="20"/>
          <w:szCs w:val="20"/>
        </w:rPr>
        <w:t>yıl</w:t>
      </w:r>
      <w:r w:rsidRPr="00CD0964">
        <w:rPr>
          <w:rFonts w:ascii="Arial" w:hAnsi="Arial" w:cs="Arial"/>
          <w:sz w:val="20"/>
          <w:szCs w:val="20"/>
        </w:rPr>
        <w:t xml:space="preserve"> içerisindeki genel saha </w:t>
      </w:r>
      <w:r w:rsidR="007D0F3C" w:rsidRPr="00CD0964">
        <w:rPr>
          <w:rFonts w:ascii="Arial" w:hAnsi="Arial" w:cs="Arial"/>
          <w:sz w:val="20"/>
          <w:szCs w:val="20"/>
        </w:rPr>
        <w:t>içi</w:t>
      </w:r>
      <w:r w:rsidRPr="00CD0964">
        <w:rPr>
          <w:rFonts w:ascii="Arial" w:hAnsi="Arial" w:cs="Arial"/>
          <w:sz w:val="20"/>
          <w:szCs w:val="20"/>
        </w:rPr>
        <w:t xml:space="preserve"> </w:t>
      </w:r>
      <w:r w:rsidR="007D0F3C" w:rsidRPr="00CD0964">
        <w:rPr>
          <w:rFonts w:ascii="Arial" w:hAnsi="Arial" w:cs="Arial"/>
          <w:sz w:val="20"/>
          <w:szCs w:val="20"/>
        </w:rPr>
        <w:t>performansları</w:t>
      </w:r>
      <w:r w:rsidRPr="00CD0964">
        <w:rPr>
          <w:rFonts w:ascii="Arial" w:hAnsi="Arial" w:cs="Arial"/>
          <w:sz w:val="20"/>
          <w:szCs w:val="20"/>
        </w:rPr>
        <w:t xml:space="preserve"> ile </w:t>
      </w:r>
      <w:r w:rsidR="007D0F3C" w:rsidRPr="00CD0964">
        <w:rPr>
          <w:rFonts w:ascii="Arial" w:hAnsi="Arial" w:cs="Arial"/>
          <w:sz w:val="20"/>
          <w:szCs w:val="20"/>
        </w:rPr>
        <w:t>ölçüyoruz</w:t>
      </w:r>
      <w:r w:rsidRPr="00CD0964">
        <w:rPr>
          <w:rFonts w:ascii="Arial" w:hAnsi="Arial" w:cs="Arial"/>
          <w:sz w:val="20"/>
          <w:szCs w:val="20"/>
        </w:rPr>
        <w:t xml:space="preserve">. Cikara et al. (2011) ve Havard (2014) </w:t>
      </w:r>
      <w:r w:rsidR="008331B0" w:rsidRPr="00CD0964">
        <w:rPr>
          <w:rFonts w:ascii="Arial" w:hAnsi="Arial" w:cs="Arial"/>
          <w:sz w:val="20"/>
          <w:szCs w:val="20"/>
        </w:rPr>
        <w:t xml:space="preserve">rekabetin sadece doğrudan yani iki rakip </w:t>
      </w:r>
      <w:r w:rsidR="007D0F3C" w:rsidRPr="00CD0964">
        <w:rPr>
          <w:rFonts w:ascii="Arial" w:hAnsi="Arial" w:cs="Arial"/>
          <w:sz w:val="20"/>
          <w:szCs w:val="20"/>
        </w:rPr>
        <w:t>takım</w:t>
      </w:r>
      <w:r w:rsidR="008331B0" w:rsidRPr="00CD0964">
        <w:rPr>
          <w:rFonts w:ascii="Arial" w:hAnsi="Arial" w:cs="Arial"/>
          <w:sz w:val="20"/>
          <w:szCs w:val="20"/>
        </w:rPr>
        <w:t xml:space="preserve"> </w:t>
      </w:r>
      <w:r w:rsidR="007D0F3C" w:rsidRPr="00CD0964">
        <w:rPr>
          <w:rFonts w:ascii="Arial" w:hAnsi="Arial" w:cs="Arial"/>
          <w:sz w:val="20"/>
          <w:szCs w:val="20"/>
        </w:rPr>
        <w:t>arasında</w:t>
      </w:r>
      <w:r w:rsidR="008331B0" w:rsidRPr="00CD0964">
        <w:rPr>
          <w:rFonts w:ascii="Arial" w:hAnsi="Arial" w:cs="Arial"/>
          <w:sz w:val="20"/>
          <w:szCs w:val="20"/>
        </w:rPr>
        <w:t xml:space="preserve"> değil</w:t>
      </w:r>
      <w:r w:rsidR="00B1543A" w:rsidRPr="00CD0964">
        <w:rPr>
          <w:rFonts w:ascii="Arial" w:hAnsi="Arial" w:cs="Arial"/>
          <w:sz w:val="20"/>
          <w:szCs w:val="20"/>
        </w:rPr>
        <w:t>, aynı</w:t>
      </w:r>
      <w:r w:rsidR="008331B0" w:rsidRPr="00CD0964">
        <w:rPr>
          <w:rFonts w:ascii="Arial" w:hAnsi="Arial" w:cs="Arial"/>
          <w:sz w:val="20"/>
          <w:szCs w:val="20"/>
        </w:rPr>
        <w:t xml:space="preserve"> zaman</w:t>
      </w:r>
      <w:r w:rsidR="00B1543A" w:rsidRPr="00CD0964">
        <w:rPr>
          <w:rFonts w:ascii="Arial" w:hAnsi="Arial" w:cs="Arial"/>
          <w:sz w:val="20"/>
          <w:szCs w:val="20"/>
        </w:rPr>
        <w:t>da</w:t>
      </w:r>
      <w:r w:rsidR="008331B0" w:rsidRPr="00CD0964">
        <w:rPr>
          <w:rFonts w:ascii="Arial" w:hAnsi="Arial" w:cs="Arial"/>
          <w:sz w:val="20"/>
          <w:szCs w:val="20"/>
        </w:rPr>
        <w:t xml:space="preserve"> </w:t>
      </w:r>
      <w:r w:rsidR="007D0F3C" w:rsidRPr="00CD0964">
        <w:rPr>
          <w:rFonts w:ascii="Arial" w:hAnsi="Arial" w:cs="Arial"/>
          <w:sz w:val="20"/>
          <w:szCs w:val="20"/>
        </w:rPr>
        <w:t>dolaylı</w:t>
      </w:r>
      <w:r w:rsidR="008331B0" w:rsidRPr="00CD0964">
        <w:rPr>
          <w:rFonts w:ascii="Arial" w:hAnsi="Arial" w:cs="Arial"/>
          <w:sz w:val="20"/>
          <w:szCs w:val="20"/>
        </w:rPr>
        <w:t xml:space="preserve"> oluşan bir olgu olduğunu </w:t>
      </w:r>
      <w:r w:rsidR="007D0F3C" w:rsidRPr="00CD0964">
        <w:rPr>
          <w:rFonts w:ascii="Arial" w:hAnsi="Arial" w:cs="Arial"/>
          <w:sz w:val="20"/>
          <w:szCs w:val="20"/>
        </w:rPr>
        <w:t>vurgulamaktadırlar</w:t>
      </w:r>
      <w:r w:rsidR="008331B0" w:rsidRPr="00CD0964">
        <w:rPr>
          <w:rFonts w:ascii="Arial" w:hAnsi="Arial" w:cs="Arial"/>
          <w:sz w:val="20"/>
          <w:szCs w:val="20"/>
        </w:rPr>
        <w:t xml:space="preserve">. </w:t>
      </w:r>
      <w:r w:rsidR="00CD0964" w:rsidRPr="00CD0964">
        <w:rPr>
          <w:rFonts w:ascii="Arial" w:hAnsi="Arial" w:cs="Arial"/>
          <w:sz w:val="20"/>
          <w:szCs w:val="20"/>
        </w:rPr>
        <w:t>Nitekim</w:t>
      </w:r>
      <w:r w:rsidR="008331B0" w:rsidRPr="00CD0964">
        <w:rPr>
          <w:rFonts w:ascii="Arial" w:hAnsi="Arial" w:cs="Arial"/>
          <w:sz w:val="20"/>
          <w:szCs w:val="20"/>
        </w:rPr>
        <w:t xml:space="preserve"> bir </w:t>
      </w:r>
      <w:r w:rsidR="007D0F3C" w:rsidRPr="00CD0964">
        <w:rPr>
          <w:rFonts w:ascii="Arial" w:hAnsi="Arial" w:cs="Arial"/>
          <w:sz w:val="20"/>
          <w:szCs w:val="20"/>
        </w:rPr>
        <w:t>takımın</w:t>
      </w:r>
      <w:r w:rsidR="008331B0" w:rsidRPr="00CD0964">
        <w:rPr>
          <w:rFonts w:ascii="Arial" w:hAnsi="Arial" w:cs="Arial"/>
          <w:sz w:val="20"/>
          <w:szCs w:val="20"/>
        </w:rPr>
        <w:t xml:space="preserve"> </w:t>
      </w:r>
      <w:r w:rsidR="007D0F3C" w:rsidRPr="00CD0964">
        <w:rPr>
          <w:rFonts w:ascii="Arial" w:hAnsi="Arial" w:cs="Arial"/>
          <w:sz w:val="20"/>
          <w:szCs w:val="20"/>
        </w:rPr>
        <w:t>taraftarları rakip takımın</w:t>
      </w:r>
      <w:r w:rsidR="00B1543A" w:rsidRPr="00CD0964">
        <w:rPr>
          <w:rFonts w:ascii="Arial" w:hAnsi="Arial" w:cs="Arial"/>
          <w:sz w:val="20"/>
          <w:szCs w:val="20"/>
        </w:rPr>
        <w:t xml:space="preserve"> </w:t>
      </w:r>
      <w:r w:rsidR="007D0F3C" w:rsidRPr="00CD0964">
        <w:rPr>
          <w:rFonts w:ascii="Arial" w:hAnsi="Arial" w:cs="Arial"/>
          <w:sz w:val="20"/>
          <w:szCs w:val="20"/>
        </w:rPr>
        <w:t>üçüncü</w:t>
      </w:r>
      <w:r w:rsidR="008331B0" w:rsidRPr="00CD0964">
        <w:rPr>
          <w:rFonts w:ascii="Arial" w:hAnsi="Arial" w:cs="Arial"/>
          <w:sz w:val="20"/>
          <w:szCs w:val="20"/>
        </w:rPr>
        <w:t xml:space="preserve"> </w:t>
      </w:r>
      <w:r w:rsidR="007D0F3C" w:rsidRPr="00CD0964">
        <w:rPr>
          <w:rFonts w:ascii="Arial" w:hAnsi="Arial" w:cs="Arial"/>
          <w:sz w:val="20"/>
          <w:szCs w:val="20"/>
        </w:rPr>
        <w:t>takımlar</w:t>
      </w:r>
      <w:r w:rsidR="008331B0" w:rsidRPr="00CD0964">
        <w:rPr>
          <w:rFonts w:ascii="Arial" w:hAnsi="Arial" w:cs="Arial"/>
          <w:sz w:val="20"/>
          <w:szCs w:val="20"/>
        </w:rPr>
        <w:t xml:space="preserve"> </w:t>
      </w:r>
      <w:r w:rsidR="007D0F3C" w:rsidRPr="00CD0964">
        <w:rPr>
          <w:rFonts w:ascii="Arial" w:hAnsi="Arial" w:cs="Arial"/>
          <w:sz w:val="20"/>
          <w:szCs w:val="20"/>
        </w:rPr>
        <w:t>karşısındaki</w:t>
      </w:r>
      <w:r w:rsidR="008331B0" w:rsidRPr="00CD0964">
        <w:rPr>
          <w:rFonts w:ascii="Arial" w:hAnsi="Arial" w:cs="Arial"/>
          <w:sz w:val="20"/>
          <w:szCs w:val="20"/>
        </w:rPr>
        <w:t xml:space="preserve"> </w:t>
      </w:r>
      <w:r w:rsidR="007D0F3C" w:rsidRPr="00CD0964">
        <w:rPr>
          <w:rFonts w:ascii="Arial" w:hAnsi="Arial" w:cs="Arial"/>
          <w:sz w:val="20"/>
          <w:szCs w:val="20"/>
        </w:rPr>
        <w:t>başarısızlığından</w:t>
      </w:r>
      <w:r w:rsidR="008331B0" w:rsidRPr="00CD0964">
        <w:rPr>
          <w:rFonts w:ascii="Arial" w:hAnsi="Arial" w:cs="Arial"/>
          <w:sz w:val="20"/>
          <w:szCs w:val="20"/>
        </w:rPr>
        <w:t xml:space="preserve"> memnuniyet duymaktadırlar. </w:t>
      </w:r>
      <w:r w:rsidR="00B1543A" w:rsidRPr="00CD0964">
        <w:rPr>
          <w:rFonts w:ascii="Arial" w:hAnsi="Arial" w:cs="Arial"/>
          <w:sz w:val="20"/>
          <w:szCs w:val="20"/>
        </w:rPr>
        <w:t>Dolayısı</w:t>
      </w:r>
      <w:r w:rsidR="00E94615" w:rsidRPr="00CD0964">
        <w:rPr>
          <w:rFonts w:ascii="Arial" w:hAnsi="Arial" w:cs="Arial"/>
          <w:sz w:val="20"/>
          <w:szCs w:val="20"/>
        </w:rPr>
        <w:t>yla</w:t>
      </w:r>
      <w:r w:rsidR="00B1543A" w:rsidRPr="00CD0964">
        <w:rPr>
          <w:rFonts w:ascii="Arial" w:hAnsi="Arial" w:cs="Arial"/>
          <w:sz w:val="20"/>
          <w:szCs w:val="20"/>
        </w:rPr>
        <w:t>, rakip takımların sadece birbiri ile yaptıkları maçları</w:t>
      </w:r>
      <w:r w:rsidR="00E94615" w:rsidRPr="00CD0964">
        <w:rPr>
          <w:rFonts w:ascii="Arial" w:hAnsi="Arial" w:cs="Arial"/>
          <w:sz w:val="20"/>
          <w:szCs w:val="20"/>
        </w:rPr>
        <w:t>n d</w:t>
      </w:r>
      <w:r w:rsidR="00B1543A" w:rsidRPr="00CD0964">
        <w:rPr>
          <w:rFonts w:ascii="Arial" w:hAnsi="Arial" w:cs="Arial"/>
          <w:sz w:val="20"/>
          <w:szCs w:val="20"/>
        </w:rPr>
        <w:t>eğil, genel lig performanslarının kullanılması doğru yöntem olacaktı</w:t>
      </w:r>
      <w:r w:rsidR="00E94615" w:rsidRPr="00CD0964">
        <w:rPr>
          <w:rFonts w:ascii="Arial" w:hAnsi="Arial" w:cs="Arial"/>
          <w:sz w:val="20"/>
          <w:szCs w:val="20"/>
        </w:rPr>
        <w:t>r.</w:t>
      </w:r>
      <w:r w:rsidR="00BE2ABF" w:rsidRPr="00CD0964">
        <w:rPr>
          <w:rFonts w:ascii="Arial" w:hAnsi="Arial" w:cs="Arial"/>
          <w:sz w:val="20"/>
          <w:szCs w:val="20"/>
        </w:rPr>
        <w:t xml:space="preserve"> Aşağıda Tablo 1’de incelemeye </w:t>
      </w:r>
      <w:r w:rsidR="00CD0964" w:rsidRPr="00CD0964">
        <w:rPr>
          <w:rFonts w:ascii="Arial" w:hAnsi="Arial" w:cs="Arial"/>
          <w:sz w:val="20"/>
          <w:szCs w:val="20"/>
        </w:rPr>
        <w:t>dâhil</w:t>
      </w:r>
      <w:r w:rsidR="00BE2ABF" w:rsidRPr="00CD0964">
        <w:rPr>
          <w:rFonts w:ascii="Arial" w:hAnsi="Arial" w:cs="Arial"/>
          <w:sz w:val="20"/>
          <w:szCs w:val="20"/>
        </w:rPr>
        <w:t xml:space="preserve"> ettiğimiz ülke liglerinde ezale rakip kulüplerin maç başı ortalama puanlarını veriyoruz.</w:t>
      </w:r>
    </w:p>
    <w:p w:rsidR="00BB2911" w:rsidRPr="00CD0964" w:rsidRDefault="00BB2911" w:rsidP="00BB2911">
      <w:pPr>
        <w:jc w:val="center"/>
        <w:outlineLvl w:val="0"/>
        <w:rPr>
          <w:rFonts w:ascii="Arial" w:hAnsi="Arial" w:cs="Arial"/>
          <w:sz w:val="20"/>
          <w:szCs w:val="20"/>
        </w:rPr>
      </w:pPr>
    </w:p>
    <w:p w:rsidR="00BB2911" w:rsidRPr="00CD0964" w:rsidRDefault="00BB2911" w:rsidP="00BB2911">
      <w:pPr>
        <w:rPr>
          <w:rFonts w:ascii="Arial" w:hAnsi="Arial" w:cs="Arial"/>
          <w:b/>
          <w:sz w:val="20"/>
          <w:szCs w:val="20"/>
        </w:rPr>
      </w:pPr>
      <w:r w:rsidRPr="00CD0964">
        <w:rPr>
          <w:rFonts w:ascii="Arial" w:hAnsi="Arial" w:cs="Arial"/>
          <w:b/>
          <w:sz w:val="20"/>
          <w:szCs w:val="20"/>
        </w:rPr>
        <w:t xml:space="preserve">Tablo 1. </w:t>
      </w:r>
      <w:r w:rsidR="00E639C2" w:rsidRPr="00CD0964">
        <w:rPr>
          <w:rFonts w:ascii="Arial" w:hAnsi="Arial" w:cs="Arial"/>
          <w:b/>
          <w:sz w:val="20"/>
          <w:szCs w:val="20"/>
        </w:rPr>
        <w:t>Kulüp</w:t>
      </w:r>
      <w:r w:rsidRPr="00CD0964">
        <w:rPr>
          <w:rFonts w:ascii="Arial" w:hAnsi="Arial" w:cs="Arial"/>
          <w:b/>
          <w:sz w:val="20"/>
          <w:szCs w:val="20"/>
        </w:rPr>
        <w:t xml:space="preserve"> listesi, sezonlar ve sezon sonu </w:t>
      </w:r>
      <w:r w:rsidR="00E639C2" w:rsidRPr="00CD0964">
        <w:rPr>
          <w:rFonts w:ascii="Arial" w:hAnsi="Arial" w:cs="Arial"/>
          <w:b/>
          <w:sz w:val="20"/>
          <w:szCs w:val="20"/>
        </w:rPr>
        <w:t>maç</w:t>
      </w:r>
      <w:r w:rsidRPr="00CD0964">
        <w:rPr>
          <w:rFonts w:ascii="Arial" w:hAnsi="Arial" w:cs="Arial"/>
          <w:b/>
          <w:sz w:val="20"/>
          <w:szCs w:val="20"/>
        </w:rPr>
        <w:t xml:space="preserve"> </w:t>
      </w:r>
      <w:r w:rsidR="00E639C2" w:rsidRPr="00CD0964">
        <w:rPr>
          <w:rFonts w:ascii="Arial" w:hAnsi="Arial" w:cs="Arial"/>
          <w:b/>
          <w:sz w:val="20"/>
          <w:szCs w:val="20"/>
        </w:rPr>
        <w:t>başına</w:t>
      </w:r>
      <w:r w:rsidRPr="00CD0964">
        <w:rPr>
          <w:rFonts w:ascii="Arial" w:hAnsi="Arial" w:cs="Arial"/>
          <w:b/>
          <w:sz w:val="20"/>
          <w:szCs w:val="20"/>
        </w:rPr>
        <w:t xml:space="preserve"> puan istatistikleri</w:t>
      </w:r>
    </w:p>
    <w:tbl>
      <w:tblPr>
        <w:tblW w:w="9443" w:type="dxa"/>
        <w:tblInd w:w="55" w:type="dxa"/>
        <w:tblLayout w:type="fixed"/>
        <w:tblCellMar>
          <w:left w:w="70" w:type="dxa"/>
          <w:right w:w="70" w:type="dxa"/>
        </w:tblCellMar>
        <w:tblLook w:val="04A0" w:firstRow="1" w:lastRow="0" w:firstColumn="1" w:lastColumn="0" w:noHBand="0" w:noVBand="1"/>
      </w:tblPr>
      <w:tblGrid>
        <w:gridCol w:w="1300"/>
        <w:gridCol w:w="2259"/>
        <w:gridCol w:w="1980"/>
        <w:gridCol w:w="1139"/>
        <w:gridCol w:w="1300"/>
        <w:gridCol w:w="678"/>
        <w:gridCol w:w="787"/>
      </w:tblGrid>
      <w:tr w:rsidR="00BB2911" w:rsidRPr="00CD0964" w:rsidTr="00EA201B">
        <w:trPr>
          <w:trHeight w:val="300"/>
        </w:trPr>
        <w:tc>
          <w:tcPr>
            <w:tcW w:w="1300" w:type="dxa"/>
            <w:tcBorders>
              <w:top w:val="single" w:sz="4" w:space="0" w:color="auto"/>
              <w:left w:val="nil"/>
              <w:bottom w:val="single" w:sz="4" w:space="0" w:color="auto"/>
              <w:right w:val="nil"/>
            </w:tcBorders>
            <w:shd w:val="clear" w:color="auto" w:fill="auto"/>
            <w:noWrap/>
            <w:vAlign w:val="center"/>
            <w:hideMark/>
          </w:tcPr>
          <w:p w:rsidR="00BB2911" w:rsidRPr="00CD0964" w:rsidRDefault="00E639C2" w:rsidP="00BB2911">
            <w:pPr>
              <w:rPr>
                <w:rFonts w:ascii="Arial" w:hAnsi="Arial" w:cs="Arial"/>
                <w:sz w:val="20"/>
                <w:szCs w:val="20"/>
                <w:lang w:eastAsia="fr-FR"/>
              </w:rPr>
            </w:pPr>
            <w:r w:rsidRPr="00CD0964">
              <w:rPr>
                <w:rFonts w:ascii="Arial" w:hAnsi="Arial" w:cs="Arial"/>
                <w:sz w:val="20"/>
                <w:szCs w:val="20"/>
                <w:lang w:eastAsia="fr-FR"/>
              </w:rPr>
              <w:t>Ülkeler</w:t>
            </w:r>
          </w:p>
        </w:tc>
        <w:tc>
          <w:tcPr>
            <w:tcW w:w="2259" w:type="dxa"/>
            <w:tcBorders>
              <w:top w:val="single" w:sz="4" w:space="0" w:color="auto"/>
              <w:left w:val="nil"/>
              <w:bottom w:val="single" w:sz="4" w:space="0" w:color="auto"/>
              <w:right w:val="nil"/>
            </w:tcBorders>
            <w:shd w:val="clear" w:color="auto" w:fill="auto"/>
            <w:noWrap/>
            <w:vAlign w:val="bottom"/>
            <w:hideMark/>
          </w:tcPr>
          <w:p w:rsidR="00BB2911" w:rsidRPr="00CD0964" w:rsidRDefault="00E639C2" w:rsidP="00BB2911">
            <w:pPr>
              <w:rPr>
                <w:rFonts w:ascii="Arial" w:hAnsi="Arial" w:cs="Arial"/>
                <w:sz w:val="20"/>
                <w:szCs w:val="20"/>
                <w:lang w:eastAsia="fr-FR"/>
              </w:rPr>
            </w:pPr>
            <w:r w:rsidRPr="00CD0964">
              <w:rPr>
                <w:rFonts w:ascii="Arial" w:hAnsi="Arial" w:cs="Arial"/>
                <w:sz w:val="20"/>
                <w:szCs w:val="20"/>
                <w:lang w:eastAsia="fr-FR"/>
              </w:rPr>
              <w:t>Kulüpler</w:t>
            </w:r>
          </w:p>
        </w:tc>
        <w:tc>
          <w:tcPr>
            <w:tcW w:w="1980" w:type="dxa"/>
            <w:tcBorders>
              <w:top w:val="single" w:sz="4" w:space="0" w:color="auto"/>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Sezonlar</w:t>
            </w:r>
          </w:p>
        </w:tc>
        <w:tc>
          <w:tcPr>
            <w:tcW w:w="1139" w:type="dxa"/>
            <w:tcBorders>
              <w:top w:val="single" w:sz="4" w:space="0" w:color="auto"/>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Ortalama</w:t>
            </w:r>
          </w:p>
        </w:tc>
        <w:tc>
          <w:tcPr>
            <w:tcW w:w="1300" w:type="dxa"/>
            <w:tcBorders>
              <w:top w:val="single" w:sz="4" w:space="0" w:color="auto"/>
              <w:left w:val="nil"/>
              <w:bottom w:val="single" w:sz="4" w:space="0" w:color="auto"/>
              <w:right w:val="nil"/>
            </w:tcBorders>
            <w:shd w:val="clear" w:color="auto" w:fill="auto"/>
            <w:noWrap/>
            <w:vAlign w:val="bottom"/>
            <w:hideMark/>
          </w:tcPr>
          <w:p w:rsidR="00BB2911" w:rsidRPr="00CD0964" w:rsidRDefault="00BB2911" w:rsidP="00BB2911">
            <w:pPr>
              <w:ind w:left="-77" w:right="-181"/>
              <w:rPr>
                <w:rFonts w:ascii="Arial" w:hAnsi="Arial" w:cs="Arial"/>
                <w:sz w:val="20"/>
                <w:szCs w:val="20"/>
                <w:lang w:eastAsia="fr-FR"/>
              </w:rPr>
            </w:pPr>
            <w:r w:rsidRPr="00CD0964">
              <w:rPr>
                <w:rFonts w:ascii="Arial" w:hAnsi="Arial" w:cs="Arial"/>
                <w:sz w:val="20"/>
                <w:szCs w:val="20"/>
                <w:lang w:eastAsia="fr-FR"/>
              </w:rPr>
              <w:t>Varyasyon</w:t>
            </w:r>
            <w:r w:rsidR="008304C8" w:rsidRPr="00CD0964">
              <w:rPr>
                <w:rFonts w:ascii="Arial" w:hAnsi="Arial" w:cs="Arial"/>
                <w:sz w:val="20"/>
                <w:szCs w:val="20"/>
                <w:lang w:eastAsia="fr-FR"/>
              </w:rPr>
              <w:t>*</w:t>
            </w:r>
            <w:r w:rsidRPr="00CD0964">
              <w:rPr>
                <w:rFonts w:ascii="Arial" w:hAnsi="Arial" w:cs="Arial"/>
                <w:sz w:val="20"/>
                <w:szCs w:val="20"/>
                <w:lang w:eastAsia="fr-FR"/>
              </w:rPr>
              <w:t xml:space="preserve"> </w:t>
            </w:r>
            <w:r w:rsidR="00E639C2" w:rsidRPr="00CD0964">
              <w:rPr>
                <w:rFonts w:ascii="Arial" w:hAnsi="Arial" w:cs="Arial"/>
                <w:sz w:val="20"/>
                <w:szCs w:val="20"/>
                <w:lang w:eastAsia="fr-FR"/>
              </w:rPr>
              <w:t>katsayısı</w:t>
            </w:r>
          </w:p>
        </w:tc>
        <w:tc>
          <w:tcPr>
            <w:tcW w:w="678" w:type="dxa"/>
            <w:tcBorders>
              <w:top w:val="single" w:sz="4" w:space="0" w:color="auto"/>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Min</w:t>
            </w:r>
            <w:r w:rsidR="00EA201B" w:rsidRPr="00CD0964">
              <w:rPr>
                <w:rFonts w:ascii="Arial" w:hAnsi="Arial" w:cs="Arial"/>
                <w:sz w:val="20"/>
                <w:szCs w:val="20"/>
                <w:lang w:eastAsia="fr-FR"/>
              </w:rPr>
              <w:t>.</w:t>
            </w:r>
          </w:p>
        </w:tc>
        <w:tc>
          <w:tcPr>
            <w:tcW w:w="787" w:type="dxa"/>
            <w:tcBorders>
              <w:top w:val="single" w:sz="4" w:space="0" w:color="auto"/>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Maks</w:t>
            </w:r>
            <w:r w:rsidR="00EA201B" w:rsidRPr="00CD0964">
              <w:rPr>
                <w:rFonts w:ascii="Arial" w:hAnsi="Arial" w:cs="Arial"/>
                <w:sz w:val="20"/>
                <w:szCs w:val="20"/>
                <w:lang w:eastAsia="fr-FR"/>
              </w:rPr>
              <w:t>.</w:t>
            </w:r>
          </w:p>
        </w:tc>
      </w:tr>
      <w:tr w:rsidR="00BB2911" w:rsidRPr="00CD0964" w:rsidTr="00EA201B">
        <w:trPr>
          <w:trHeight w:val="300"/>
        </w:trPr>
        <w:tc>
          <w:tcPr>
            <w:tcW w:w="1300" w:type="dxa"/>
            <w:vMerge w:val="restart"/>
            <w:tcBorders>
              <w:top w:val="nil"/>
              <w:left w:val="nil"/>
              <w:bottom w:val="single" w:sz="4" w:space="0" w:color="000000"/>
              <w:right w:val="nil"/>
            </w:tcBorders>
            <w:shd w:val="clear" w:color="auto" w:fill="auto"/>
            <w:noWrap/>
            <w:hideMark/>
          </w:tcPr>
          <w:p w:rsidR="00BB2911" w:rsidRPr="00CD0964" w:rsidRDefault="00E639C2" w:rsidP="00BB2911">
            <w:pPr>
              <w:rPr>
                <w:rFonts w:ascii="Arial" w:hAnsi="Arial" w:cs="Arial"/>
                <w:sz w:val="20"/>
                <w:szCs w:val="20"/>
                <w:lang w:eastAsia="fr-FR"/>
              </w:rPr>
            </w:pPr>
            <w:r w:rsidRPr="00CD0964">
              <w:rPr>
                <w:rFonts w:ascii="Arial" w:hAnsi="Arial" w:cs="Arial"/>
                <w:sz w:val="20"/>
                <w:szCs w:val="20"/>
                <w:lang w:eastAsia="fr-FR"/>
              </w:rPr>
              <w:t>İngiltere</w:t>
            </w: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Arsenal</w:t>
            </w:r>
          </w:p>
        </w:tc>
        <w:tc>
          <w:tcPr>
            <w:tcW w:w="1980"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1946/47 - 2015/16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1.69</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0.18</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1.17</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2.37</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Liverpool</w:t>
            </w:r>
          </w:p>
        </w:tc>
        <w:tc>
          <w:tcPr>
            <w:tcW w:w="1980"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1962/63 - 2015/16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1.83</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0.14</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1.37</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2.33</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Manchester United</w:t>
            </w:r>
          </w:p>
        </w:tc>
        <w:tc>
          <w:tcPr>
            <w:tcW w:w="1980"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1946/47 - 2015/16</w:t>
            </w:r>
          </w:p>
        </w:tc>
        <w:tc>
          <w:tcPr>
            <w:tcW w:w="1139"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1.81</w:t>
            </w:r>
          </w:p>
        </w:tc>
        <w:tc>
          <w:tcPr>
            <w:tcW w:w="1300"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0.19</w:t>
            </w:r>
          </w:p>
        </w:tc>
        <w:tc>
          <w:tcPr>
            <w:tcW w:w="678"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1.00</w:t>
            </w:r>
          </w:p>
        </w:tc>
        <w:tc>
          <w:tcPr>
            <w:tcW w:w="787"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2.39</w:t>
            </w:r>
          </w:p>
        </w:tc>
      </w:tr>
      <w:tr w:rsidR="00BB2911" w:rsidRPr="00CD0964" w:rsidTr="00EA201B">
        <w:trPr>
          <w:trHeight w:val="300"/>
        </w:trPr>
        <w:tc>
          <w:tcPr>
            <w:tcW w:w="1300" w:type="dxa"/>
            <w:vMerge w:val="restart"/>
            <w:tcBorders>
              <w:top w:val="nil"/>
              <w:left w:val="nil"/>
              <w:bottom w:val="single" w:sz="4" w:space="0" w:color="000000"/>
              <w:right w:val="nil"/>
            </w:tcBorders>
            <w:shd w:val="clear" w:color="auto" w:fill="auto"/>
            <w:noWrap/>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Fransa</w:t>
            </w: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Monaco</w:t>
            </w:r>
          </w:p>
        </w:tc>
        <w:tc>
          <w:tcPr>
            <w:tcW w:w="1980" w:type="dxa"/>
            <w:vMerge w:val="restart"/>
            <w:tcBorders>
              <w:top w:val="nil"/>
              <w:left w:val="nil"/>
              <w:bottom w:val="single" w:sz="4" w:space="0" w:color="000000"/>
              <w:right w:val="nil"/>
            </w:tcBorders>
            <w:shd w:val="clear" w:color="auto" w:fill="auto"/>
            <w:noWrap/>
            <w:vAlign w:val="center"/>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1985/86 - 2015/16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1.63</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0.19</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1.15</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2.11</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Paris Saint-Germain</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1.62</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0.21</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1.13</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2.34</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Olympique Marseille</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1.68</w:t>
            </w:r>
          </w:p>
        </w:tc>
        <w:tc>
          <w:tcPr>
            <w:tcW w:w="1300"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0.19</w:t>
            </w:r>
          </w:p>
        </w:tc>
        <w:tc>
          <w:tcPr>
            <w:tcW w:w="678"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1.16</w:t>
            </w:r>
          </w:p>
        </w:tc>
        <w:tc>
          <w:tcPr>
            <w:tcW w:w="787"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2.13</w:t>
            </w:r>
          </w:p>
        </w:tc>
      </w:tr>
      <w:tr w:rsidR="00BB2911" w:rsidRPr="00CD0964" w:rsidTr="00EA201B">
        <w:trPr>
          <w:trHeight w:val="300"/>
        </w:trPr>
        <w:tc>
          <w:tcPr>
            <w:tcW w:w="1300" w:type="dxa"/>
            <w:vMerge w:val="restart"/>
            <w:tcBorders>
              <w:top w:val="nil"/>
              <w:left w:val="nil"/>
              <w:bottom w:val="single" w:sz="4" w:space="0" w:color="000000"/>
              <w:right w:val="nil"/>
            </w:tcBorders>
            <w:shd w:val="clear" w:color="auto" w:fill="auto"/>
            <w:noWrap/>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Almanya</w:t>
            </w: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Bayern Munich</w:t>
            </w:r>
          </w:p>
        </w:tc>
        <w:tc>
          <w:tcPr>
            <w:tcW w:w="1980"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1965/66 - 2015/16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1.97</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0.15</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1.26</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2.68</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Borussia Dortmund</w:t>
            </w:r>
          </w:p>
        </w:tc>
        <w:tc>
          <w:tcPr>
            <w:tcW w:w="1980"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1965/66 - 2015/16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1.57</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0.21</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0.76</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2.38</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Schalke 04</w:t>
            </w:r>
          </w:p>
        </w:tc>
        <w:tc>
          <w:tcPr>
            <w:tcW w:w="1980"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1965/66 - 2015/16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1.48</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0.22</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0.88</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2.24</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Bayer Leverkusen</w:t>
            </w:r>
          </w:p>
        </w:tc>
        <w:tc>
          <w:tcPr>
            <w:tcW w:w="1980"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1975/76 - 2015/16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1.56</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0.19</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1.00</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2.18</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FC Cologne</w:t>
            </w:r>
          </w:p>
        </w:tc>
        <w:tc>
          <w:tcPr>
            <w:tcW w:w="1980"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1975/76 - 2015/16</w:t>
            </w:r>
          </w:p>
        </w:tc>
        <w:tc>
          <w:tcPr>
            <w:tcW w:w="1139"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1.45</w:t>
            </w:r>
          </w:p>
        </w:tc>
        <w:tc>
          <w:tcPr>
            <w:tcW w:w="1300"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0.24</w:t>
            </w:r>
          </w:p>
        </w:tc>
        <w:tc>
          <w:tcPr>
            <w:tcW w:w="678"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0.67</w:t>
            </w:r>
          </w:p>
        </w:tc>
        <w:tc>
          <w:tcPr>
            <w:tcW w:w="787"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2.05</w:t>
            </w:r>
          </w:p>
        </w:tc>
      </w:tr>
      <w:tr w:rsidR="00BB2911" w:rsidRPr="00CD0964" w:rsidTr="00EA201B">
        <w:trPr>
          <w:trHeight w:val="300"/>
        </w:trPr>
        <w:tc>
          <w:tcPr>
            <w:tcW w:w="1300" w:type="dxa"/>
            <w:vMerge w:val="restart"/>
            <w:tcBorders>
              <w:top w:val="nil"/>
              <w:left w:val="nil"/>
              <w:bottom w:val="single" w:sz="4" w:space="0" w:color="000000"/>
              <w:right w:val="nil"/>
            </w:tcBorders>
            <w:shd w:val="clear" w:color="auto" w:fill="auto"/>
            <w:noWrap/>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Yunanistan</w:t>
            </w:r>
          </w:p>
        </w:tc>
        <w:tc>
          <w:tcPr>
            <w:tcW w:w="2259" w:type="dxa"/>
            <w:tcBorders>
              <w:top w:val="single" w:sz="4" w:space="0" w:color="auto"/>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Olympiakos</w:t>
            </w:r>
          </w:p>
        </w:tc>
        <w:tc>
          <w:tcPr>
            <w:tcW w:w="1980" w:type="dxa"/>
            <w:vMerge w:val="restart"/>
            <w:tcBorders>
              <w:top w:val="nil"/>
              <w:left w:val="nil"/>
              <w:bottom w:val="single" w:sz="4" w:space="0" w:color="000000"/>
              <w:right w:val="nil"/>
            </w:tcBorders>
            <w:shd w:val="clear" w:color="auto" w:fill="auto"/>
            <w:noWrap/>
            <w:vAlign w:val="center"/>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1956/57 - 2015/16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2.19</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0.13</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1.33</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2.71</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Panathinaikos</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2.10</w:t>
            </w:r>
          </w:p>
        </w:tc>
        <w:tc>
          <w:tcPr>
            <w:tcW w:w="1300"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0.15</w:t>
            </w:r>
          </w:p>
        </w:tc>
        <w:tc>
          <w:tcPr>
            <w:tcW w:w="678"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1.40</w:t>
            </w:r>
          </w:p>
        </w:tc>
        <w:tc>
          <w:tcPr>
            <w:tcW w:w="787"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2.60</w:t>
            </w:r>
          </w:p>
        </w:tc>
      </w:tr>
      <w:tr w:rsidR="00BB2911" w:rsidRPr="00CD0964" w:rsidTr="00EA201B">
        <w:trPr>
          <w:trHeight w:val="300"/>
        </w:trPr>
        <w:tc>
          <w:tcPr>
            <w:tcW w:w="1300" w:type="dxa"/>
            <w:vMerge w:val="restart"/>
            <w:tcBorders>
              <w:top w:val="nil"/>
              <w:left w:val="nil"/>
              <w:bottom w:val="single" w:sz="4" w:space="0" w:color="000000"/>
              <w:right w:val="nil"/>
            </w:tcBorders>
            <w:shd w:val="clear" w:color="auto" w:fill="auto"/>
            <w:noWrap/>
            <w:hideMark/>
          </w:tcPr>
          <w:p w:rsidR="00BB2911" w:rsidRPr="00CD0964" w:rsidRDefault="00E639C2" w:rsidP="00BB2911">
            <w:pPr>
              <w:rPr>
                <w:rFonts w:ascii="Arial" w:hAnsi="Arial" w:cs="Arial"/>
                <w:sz w:val="20"/>
                <w:szCs w:val="20"/>
                <w:lang w:eastAsia="fr-FR"/>
              </w:rPr>
            </w:pPr>
            <w:r w:rsidRPr="00CD0964">
              <w:rPr>
                <w:rFonts w:ascii="Arial" w:hAnsi="Arial" w:cs="Arial"/>
                <w:sz w:val="20"/>
                <w:szCs w:val="20"/>
                <w:lang w:eastAsia="fr-FR"/>
              </w:rPr>
              <w:t>İtalya</w:t>
            </w: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Internazionale </w:t>
            </w:r>
          </w:p>
        </w:tc>
        <w:tc>
          <w:tcPr>
            <w:tcW w:w="1980" w:type="dxa"/>
            <w:vMerge w:val="restart"/>
            <w:tcBorders>
              <w:top w:val="nil"/>
              <w:left w:val="nil"/>
              <w:bottom w:val="single" w:sz="4" w:space="0" w:color="000000"/>
              <w:right w:val="nil"/>
            </w:tcBorders>
            <w:shd w:val="clear" w:color="auto" w:fill="auto"/>
            <w:noWrap/>
            <w:vAlign w:val="center"/>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1933/34 - 2015/16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1.76</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0.17</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1.10</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2.55</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Juventus</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1.88</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0.17</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1.15</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2.68</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A.C. Milan</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1.74</w:t>
            </w:r>
          </w:p>
        </w:tc>
        <w:tc>
          <w:tcPr>
            <w:tcW w:w="1300"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0.19</w:t>
            </w:r>
          </w:p>
        </w:tc>
        <w:tc>
          <w:tcPr>
            <w:tcW w:w="678"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1.03</w:t>
            </w:r>
          </w:p>
        </w:tc>
        <w:tc>
          <w:tcPr>
            <w:tcW w:w="787"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2.41</w:t>
            </w:r>
          </w:p>
        </w:tc>
      </w:tr>
      <w:tr w:rsidR="00BB2911" w:rsidRPr="00CD0964" w:rsidTr="00EA201B">
        <w:trPr>
          <w:trHeight w:val="300"/>
        </w:trPr>
        <w:tc>
          <w:tcPr>
            <w:tcW w:w="1300" w:type="dxa"/>
            <w:vMerge w:val="restart"/>
            <w:tcBorders>
              <w:top w:val="nil"/>
              <w:left w:val="nil"/>
              <w:bottom w:val="single" w:sz="4" w:space="0" w:color="000000"/>
              <w:right w:val="nil"/>
            </w:tcBorders>
            <w:shd w:val="clear" w:color="auto" w:fill="auto"/>
            <w:noWrap/>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Hollanda</w:t>
            </w: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Ajax</w:t>
            </w:r>
          </w:p>
        </w:tc>
        <w:tc>
          <w:tcPr>
            <w:tcW w:w="1980" w:type="dxa"/>
            <w:vMerge w:val="restart"/>
            <w:tcBorders>
              <w:top w:val="nil"/>
              <w:left w:val="nil"/>
              <w:bottom w:val="single" w:sz="4" w:space="0" w:color="000000"/>
              <w:right w:val="nil"/>
            </w:tcBorders>
            <w:shd w:val="clear" w:color="auto" w:fill="auto"/>
            <w:noWrap/>
            <w:vAlign w:val="center"/>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1954/55 - 2015/16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2.14</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0.14</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1.17</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2.74</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Feyenoord</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1.92</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0.18</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1.18</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2.50</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PSV Eindhoven</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2.02</w:t>
            </w:r>
          </w:p>
        </w:tc>
        <w:tc>
          <w:tcPr>
            <w:tcW w:w="1300"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0.17</w:t>
            </w:r>
          </w:p>
        </w:tc>
        <w:tc>
          <w:tcPr>
            <w:tcW w:w="678"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1.06</w:t>
            </w:r>
          </w:p>
        </w:tc>
        <w:tc>
          <w:tcPr>
            <w:tcW w:w="787"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2.59</w:t>
            </w:r>
          </w:p>
        </w:tc>
      </w:tr>
      <w:tr w:rsidR="00BB2911" w:rsidRPr="00CD0964" w:rsidTr="00EA201B">
        <w:trPr>
          <w:trHeight w:val="300"/>
        </w:trPr>
        <w:tc>
          <w:tcPr>
            <w:tcW w:w="1300" w:type="dxa"/>
            <w:vMerge w:val="restart"/>
            <w:tcBorders>
              <w:top w:val="nil"/>
              <w:left w:val="nil"/>
              <w:bottom w:val="single" w:sz="4" w:space="0" w:color="000000"/>
              <w:right w:val="nil"/>
            </w:tcBorders>
            <w:shd w:val="clear" w:color="auto" w:fill="auto"/>
            <w:noWrap/>
            <w:hideMark/>
          </w:tcPr>
          <w:p w:rsidR="00BB2911" w:rsidRPr="00CD0964" w:rsidRDefault="00E639C2" w:rsidP="00BB2911">
            <w:pPr>
              <w:rPr>
                <w:rFonts w:ascii="Arial" w:hAnsi="Arial" w:cs="Arial"/>
                <w:sz w:val="20"/>
                <w:szCs w:val="20"/>
                <w:lang w:eastAsia="fr-FR"/>
              </w:rPr>
            </w:pPr>
            <w:r w:rsidRPr="00CD0964">
              <w:rPr>
                <w:rFonts w:ascii="Arial" w:hAnsi="Arial" w:cs="Arial"/>
                <w:sz w:val="20"/>
                <w:szCs w:val="20"/>
                <w:lang w:eastAsia="fr-FR"/>
              </w:rPr>
              <w:t>Portekiz</w:t>
            </w: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Benfica</w:t>
            </w:r>
          </w:p>
        </w:tc>
        <w:tc>
          <w:tcPr>
            <w:tcW w:w="1980" w:type="dxa"/>
            <w:vMerge w:val="restart"/>
            <w:tcBorders>
              <w:top w:val="nil"/>
              <w:left w:val="nil"/>
              <w:bottom w:val="single" w:sz="4" w:space="0" w:color="000000"/>
              <w:right w:val="nil"/>
            </w:tcBorders>
            <w:shd w:val="clear" w:color="auto" w:fill="auto"/>
            <w:noWrap/>
            <w:vAlign w:val="center"/>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1960/61 - 2015/16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2.23</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0.13</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1.59</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2.87</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Porto</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2.20</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0.15</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1.15</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2.80</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Sporting Lisbon</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2.00</w:t>
            </w:r>
          </w:p>
        </w:tc>
        <w:tc>
          <w:tcPr>
            <w:tcW w:w="1300"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0.14</w:t>
            </w:r>
          </w:p>
        </w:tc>
        <w:tc>
          <w:tcPr>
            <w:tcW w:w="678"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1.40</w:t>
            </w:r>
          </w:p>
        </w:tc>
        <w:tc>
          <w:tcPr>
            <w:tcW w:w="787"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2.58</w:t>
            </w:r>
          </w:p>
        </w:tc>
      </w:tr>
      <w:tr w:rsidR="00BB2911" w:rsidRPr="00CD0964" w:rsidTr="00EA201B">
        <w:trPr>
          <w:trHeight w:val="300"/>
        </w:trPr>
        <w:tc>
          <w:tcPr>
            <w:tcW w:w="1300" w:type="dxa"/>
            <w:vMerge w:val="restart"/>
            <w:tcBorders>
              <w:top w:val="nil"/>
              <w:left w:val="nil"/>
              <w:bottom w:val="single" w:sz="4" w:space="0" w:color="000000"/>
              <w:right w:val="nil"/>
            </w:tcBorders>
            <w:shd w:val="clear" w:color="auto" w:fill="auto"/>
            <w:noWrap/>
            <w:hideMark/>
          </w:tcPr>
          <w:p w:rsidR="00BB2911" w:rsidRPr="00CD0964" w:rsidRDefault="00E639C2" w:rsidP="00BB2911">
            <w:pPr>
              <w:rPr>
                <w:rFonts w:ascii="Arial" w:hAnsi="Arial" w:cs="Arial"/>
                <w:sz w:val="20"/>
                <w:szCs w:val="20"/>
                <w:lang w:eastAsia="fr-FR"/>
              </w:rPr>
            </w:pPr>
            <w:r w:rsidRPr="00CD0964">
              <w:rPr>
                <w:rFonts w:ascii="Arial" w:hAnsi="Arial" w:cs="Arial"/>
                <w:sz w:val="20"/>
                <w:szCs w:val="20"/>
                <w:lang w:eastAsia="fr-FR"/>
              </w:rPr>
              <w:t>İskoçya</w:t>
            </w: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Celtic</w:t>
            </w:r>
          </w:p>
        </w:tc>
        <w:tc>
          <w:tcPr>
            <w:tcW w:w="1980" w:type="dxa"/>
            <w:vMerge w:val="restart"/>
            <w:tcBorders>
              <w:top w:val="nil"/>
              <w:left w:val="nil"/>
              <w:bottom w:val="single" w:sz="4" w:space="0" w:color="000000"/>
              <w:right w:val="nil"/>
            </w:tcBorders>
            <w:shd w:val="clear" w:color="auto" w:fill="auto"/>
            <w:noWrap/>
            <w:vAlign w:val="center"/>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1947/48 - 2015/16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2.01</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0.20</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1.17</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2.74</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Rangers</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2.09</w:t>
            </w:r>
          </w:p>
        </w:tc>
        <w:tc>
          <w:tcPr>
            <w:tcW w:w="1300"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0.15</w:t>
            </w:r>
          </w:p>
        </w:tc>
        <w:tc>
          <w:tcPr>
            <w:tcW w:w="678"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1.33</w:t>
            </w:r>
          </w:p>
        </w:tc>
        <w:tc>
          <w:tcPr>
            <w:tcW w:w="787"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2.83</w:t>
            </w:r>
          </w:p>
        </w:tc>
      </w:tr>
      <w:tr w:rsidR="00BB2911" w:rsidRPr="00CD0964" w:rsidTr="00EA201B">
        <w:trPr>
          <w:trHeight w:val="300"/>
        </w:trPr>
        <w:tc>
          <w:tcPr>
            <w:tcW w:w="1300" w:type="dxa"/>
            <w:vMerge w:val="restart"/>
            <w:tcBorders>
              <w:top w:val="nil"/>
              <w:left w:val="nil"/>
              <w:bottom w:val="single" w:sz="4" w:space="0" w:color="000000"/>
              <w:right w:val="nil"/>
            </w:tcBorders>
            <w:shd w:val="clear" w:color="auto" w:fill="auto"/>
            <w:noWrap/>
            <w:hideMark/>
          </w:tcPr>
          <w:p w:rsidR="00BB2911" w:rsidRPr="00CD0964" w:rsidRDefault="00E639C2" w:rsidP="00BB2911">
            <w:pPr>
              <w:rPr>
                <w:rFonts w:ascii="Arial" w:hAnsi="Arial" w:cs="Arial"/>
                <w:sz w:val="20"/>
                <w:szCs w:val="20"/>
                <w:lang w:eastAsia="fr-FR"/>
              </w:rPr>
            </w:pPr>
            <w:r w:rsidRPr="00CD0964">
              <w:rPr>
                <w:rFonts w:ascii="Arial" w:hAnsi="Arial" w:cs="Arial"/>
                <w:sz w:val="20"/>
                <w:szCs w:val="20"/>
                <w:lang w:eastAsia="fr-FR"/>
              </w:rPr>
              <w:t>İspanya</w:t>
            </w: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Atletico Madrid</w:t>
            </w:r>
          </w:p>
        </w:tc>
        <w:tc>
          <w:tcPr>
            <w:tcW w:w="1980" w:type="dxa"/>
            <w:vMerge w:val="restart"/>
            <w:tcBorders>
              <w:top w:val="nil"/>
              <w:left w:val="nil"/>
              <w:bottom w:val="single" w:sz="4" w:space="0" w:color="000000"/>
              <w:right w:val="nil"/>
            </w:tcBorders>
            <w:shd w:val="clear" w:color="auto" w:fill="auto"/>
            <w:noWrap/>
            <w:vAlign w:val="center"/>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1939/40 - 2015/16</w:t>
            </w: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1.66</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0.16</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1.00</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2.37</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Barcelona</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1.91</w:t>
            </w:r>
          </w:p>
        </w:tc>
        <w:tc>
          <w:tcPr>
            <w:tcW w:w="1300"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0.16</w:t>
            </w:r>
          </w:p>
        </w:tc>
        <w:tc>
          <w:tcPr>
            <w:tcW w:w="678"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1.04</w:t>
            </w:r>
          </w:p>
        </w:tc>
        <w:tc>
          <w:tcPr>
            <w:tcW w:w="787" w:type="dxa"/>
            <w:tcBorders>
              <w:top w:val="nil"/>
              <w:left w:val="nil"/>
              <w:bottom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2.63</w:t>
            </w:r>
          </w:p>
        </w:tc>
      </w:tr>
      <w:tr w:rsidR="00BB2911" w:rsidRPr="00CD0964" w:rsidTr="00EA201B">
        <w:trPr>
          <w:trHeight w:val="300"/>
        </w:trPr>
        <w:tc>
          <w:tcPr>
            <w:tcW w:w="130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Real Madrid</w:t>
            </w:r>
          </w:p>
        </w:tc>
        <w:tc>
          <w:tcPr>
            <w:tcW w:w="1980" w:type="dxa"/>
            <w:vMerge/>
            <w:tcBorders>
              <w:top w:val="nil"/>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1.97</w:t>
            </w:r>
          </w:p>
        </w:tc>
        <w:tc>
          <w:tcPr>
            <w:tcW w:w="1300"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0.16</w:t>
            </w:r>
          </w:p>
        </w:tc>
        <w:tc>
          <w:tcPr>
            <w:tcW w:w="678"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1.08</w:t>
            </w:r>
          </w:p>
        </w:tc>
        <w:tc>
          <w:tcPr>
            <w:tcW w:w="787" w:type="dxa"/>
            <w:tcBorders>
              <w:top w:val="nil"/>
              <w:left w:val="nil"/>
              <w:bottom w:val="single" w:sz="4" w:space="0" w:color="auto"/>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2.63</w:t>
            </w:r>
          </w:p>
        </w:tc>
      </w:tr>
      <w:tr w:rsidR="00BB2911" w:rsidRPr="00CD0964" w:rsidTr="00EA201B">
        <w:trPr>
          <w:trHeight w:val="300"/>
        </w:trPr>
        <w:tc>
          <w:tcPr>
            <w:tcW w:w="1300" w:type="dxa"/>
            <w:vMerge w:val="restart"/>
            <w:tcBorders>
              <w:top w:val="nil"/>
              <w:left w:val="nil"/>
              <w:right w:val="nil"/>
            </w:tcBorders>
            <w:shd w:val="clear" w:color="auto" w:fill="auto"/>
            <w:noWrap/>
            <w:hideMark/>
          </w:tcPr>
          <w:p w:rsidR="00BB2911" w:rsidRPr="00CD0964" w:rsidRDefault="00E639C2" w:rsidP="00BB2911">
            <w:pPr>
              <w:rPr>
                <w:rFonts w:ascii="Arial" w:hAnsi="Arial" w:cs="Arial"/>
                <w:sz w:val="20"/>
                <w:szCs w:val="20"/>
                <w:lang w:eastAsia="fr-FR"/>
              </w:rPr>
            </w:pPr>
            <w:r w:rsidRPr="00CD0964">
              <w:rPr>
                <w:rFonts w:ascii="Arial" w:hAnsi="Arial" w:cs="Arial"/>
                <w:sz w:val="20"/>
                <w:szCs w:val="20"/>
                <w:lang w:eastAsia="fr-FR"/>
              </w:rPr>
              <w:t>Türkiye</w:t>
            </w:r>
          </w:p>
        </w:tc>
        <w:tc>
          <w:tcPr>
            <w:tcW w:w="2259" w:type="dxa"/>
            <w:tcBorders>
              <w:top w:val="nil"/>
              <w:left w:val="nil"/>
              <w:right w:val="nil"/>
            </w:tcBorders>
            <w:shd w:val="clear" w:color="auto" w:fill="auto"/>
            <w:noWrap/>
            <w:vAlign w:val="bottom"/>
            <w:hideMark/>
          </w:tcPr>
          <w:p w:rsidR="00BB2911" w:rsidRPr="00CD0964" w:rsidRDefault="00A94C74" w:rsidP="00BB2911">
            <w:pPr>
              <w:rPr>
                <w:rFonts w:ascii="Arial" w:hAnsi="Arial" w:cs="Arial"/>
                <w:sz w:val="20"/>
                <w:szCs w:val="20"/>
                <w:lang w:eastAsia="fr-FR"/>
              </w:rPr>
            </w:pPr>
            <w:r w:rsidRPr="00CD0964">
              <w:rPr>
                <w:rFonts w:ascii="Arial" w:hAnsi="Arial" w:cs="Arial"/>
                <w:sz w:val="20"/>
                <w:szCs w:val="20"/>
                <w:lang w:eastAsia="fr-FR"/>
              </w:rPr>
              <w:t>Fenerbahçe</w:t>
            </w:r>
          </w:p>
        </w:tc>
        <w:tc>
          <w:tcPr>
            <w:tcW w:w="1980" w:type="dxa"/>
            <w:vMerge w:val="restart"/>
            <w:tcBorders>
              <w:top w:val="nil"/>
              <w:left w:val="nil"/>
              <w:right w:val="nil"/>
            </w:tcBorders>
            <w:shd w:val="clear" w:color="auto" w:fill="auto"/>
            <w:noWrap/>
            <w:vAlign w:val="center"/>
            <w:hideMark/>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1963/64 - 2015/16</w:t>
            </w:r>
          </w:p>
        </w:tc>
        <w:tc>
          <w:tcPr>
            <w:tcW w:w="1139" w:type="dxa"/>
            <w:tcBorders>
              <w:top w:val="nil"/>
              <w:left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1.96</w:t>
            </w:r>
          </w:p>
        </w:tc>
        <w:tc>
          <w:tcPr>
            <w:tcW w:w="1300" w:type="dxa"/>
            <w:tcBorders>
              <w:top w:val="nil"/>
              <w:left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0.15</w:t>
            </w:r>
          </w:p>
        </w:tc>
        <w:tc>
          <w:tcPr>
            <w:tcW w:w="678" w:type="dxa"/>
            <w:tcBorders>
              <w:top w:val="nil"/>
              <w:left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1.27</w:t>
            </w:r>
          </w:p>
        </w:tc>
        <w:tc>
          <w:tcPr>
            <w:tcW w:w="787" w:type="dxa"/>
            <w:tcBorders>
              <w:top w:val="nil"/>
              <w:left w:val="nil"/>
              <w:right w:val="nil"/>
            </w:tcBorders>
            <w:shd w:val="clear" w:color="auto" w:fill="auto"/>
            <w:noWrap/>
            <w:vAlign w:val="bottom"/>
            <w:hideMark/>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2.58</w:t>
            </w:r>
          </w:p>
        </w:tc>
      </w:tr>
      <w:tr w:rsidR="00BB2911" w:rsidRPr="00CD0964" w:rsidTr="00EA201B">
        <w:trPr>
          <w:trHeight w:val="300"/>
        </w:trPr>
        <w:tc>
          <w:tcPr>
            <w:tcW w:w="1300" w:type="dxa"/>
            <w:vMerge/>
            <w:tcBorders>
              <w:top w:val="nil"/>
              <w:left w:val="nil"/>
              <w:right w:val="nil"/>
            </w:tcBorders>
            <w:vAlign w:val="center"/>
          </w:tcPr>
          <w:p w:rsidR="00BB2911" w:rsidRPr="00CD0964" w:rsidRDefault="00BB2911" w:rsidP="00BB2911">
            <w:pPr>
              <w:rPr>
                <w:rFonts w:ascii="Arial" w:hAnsi="Arial" w:cs="Arial"/>
                <w:sz w:val="20"/>
                <w:szCs w:val="20"/>
                <w:lang w:eastAsia="fr-FR"/>
              </w:rPr>
            </w:pPr>
          </w:p>
        </w:tc>
        <w:tc>
          <w:tcPr>
            <w:tcW w:w="2259" w:type="dxa"/>
            <w:tcBorders>
              <w:top w:val="nil"/>
              <w:left w:val="nil"/>
              <w:right w:val="nil"/>
            </w:tcBorders>
            <w:shd w:val="clear" w:color="auto" w:fill="auto"/>
            <w:noWrap/>
            <w:vAlign w:val="bottom"/>
          </w:tcPr>
          <w:p w:rsidR="00BB2911" w:rsidRPr="00CD0964" w:rsidRDefault="00BB2911" w:rsidP="00BB2911">
            <w:pPr>
              <w:rPr>
                <w:rFonts w:ascii="Arial" w:hAnsi="Arial" w:cs="Arial"/>
                <w:sz w:val="20"/>
                <w:szCs w:val="20"/>
                <w:lang w:eastAsia="fr-FR"/>
              </w:rPr>
            </w:pPr>
            <w:r w:rsidRPr="00CD0964">
              <w:rPr>
                <w:rFonts w:ascii="Arial" w:hAnsi="Arial" w:cs="Arial"/>
                <w:sz w:val="20"/>
                <w:szCs w:val="20"/>
                <w:lang w:eastAsia="fr-FR"/>
              </w:rPr>
              <w:t>Galatasaray</w:t>
            </w:r>
          </w:p>
        </w:tc>
        <w:tc>
          <w:tcPr>
            <w:tcW w:w="1980" w:type="dxa"/>
            <w:vMerge/>
            <w:tcBorders>
              <w:top w:val="nil"/>
              <w:left w:val="nil"/>
              <w:right w:val="nil"/>
            </w:tcBorders>
            <w:vAlign w:val="center"/>
          </w:tcPr>
          <w:p w:rsidR="00BB2911" w:rsidRPr="00CD0964" w:rsidRDefault="00BB2911" w:rsidP="00BB2911">
            <w:pPr>
              <w:rPr>
                <w:rFonts w:ascii="Arial" w:hAnsi="Arial" w:cs="Arial"/>
                <w:sz w:val="20"/>
                <w:szCs w:val="20"/>
                <w:lang w:eastAsia="fr-FR"/>
              </w:rPr>
            </w:pPr>
          </w:p>
        </w:tc>
        <w:tc>
          <w:tcPr>
            <w:tcW w:w="1139" w:type="dxa"/>
            <w:tcBorders>
              <w:top w:val="nil"/>
              <w:left w:val="nil"/>
              <w:right w:val="nil"/>
            </w:tcBorders>
            <w:shd w:val="clear" w:color="auto" w:fill="auto"/>
            <w:noWrap/>
            <w:vAlign w:val="bottom"/>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1.93</w:t>
            </w:r>
          </w:p>
        </w:tc>
        <w:tc>
          <w:tcPr>
            <w:tcW w:w="1300" w:type="dxa"/>
            <w:tcBorders>
              <w:top w:val="nil"/>
              <w:left w:val="nil"/>
              <w:right w:val="nil"/>
            </w:tcBorders>
            <w:shd w:val="clear" w:color="auto" w:fill="auto"/>
            <w:noWrap/>
            <w:vAlign w:val="bottom"/>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0.17</w:t>
            </w:r>
          </w:p>
        </w:tc>
        <w:tc>
          <w:tcPr>
            <w:tcW w:w="678" w:type="dxa"/>
            <w:tcBorders>
              <w:top w:val="nil"/>
              <w:left w:val="nil"/>
              <w:right w:val="nil"/>
            </w:tcBorders>
            <w:shd w:val="clear" w:color="auto" w:fill="auto"/>
            <w:noWrap/>
            <w:vAlign w:val="bottom"/>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1.23</w:t>
            </w:r>
          </w:p>
        </w:tc>
        <w:tc>
          <w:tcPr>
            <w:tcW w:w="787" w:type="dxa"/>
            <w:tcBorders>
              <w:top w:val="nil"/>
              <w:left w:val="nil"/>
              <w:right w:val="nil"/>
            </w:tcBorders>
            <w:shd w:val="clear" w:color="auto" w:fill="auto"/>
            <w:noWrap/>
            <w:vAlign w:val="bottom"/>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2.44</w:t>
            </w:r>
          </w:p>
        </w:tc>
      </w:tr>
      <w:tr w:rsidR="00BB2911" w:rsidRPr="00CD0964" w:rsidTr="00EA201B">
        <w:trPr>
          <w:trHeight w:val="300"/>
        </w:trPr>
        <w:tc>
          <w:tcPr>
            <w:tcW w:w="1300" w:type="dxa"/>
            <w:vMerge/>
            <w:tcBorders>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2259" w:type="dxa"/>
            <w:tcBorders>
              <w:left w:val="nil"/>
              <w:bottom w:val="single" w:sz="4" w:space="0" w:color="auto"/>
              <w:right w:val="nil"/>
            </w:tcBorders>
            <w:shd w:val="clear" w:color="auto" w:fill="auto"/>
            <w:noWrap/>
            <w:vAlign w:val="bottom"/>
            <w:hideMark/>
          </w:tcPr>
          <w:p w:rsidR="00BB2911" w:rsidRPr="00CD0964" w:rsidRDefault="00A94C74" w:rsidP="00BB2911">
            <w:pPr>
              <w:rPr>
                <w:rFonts w:ascii="Arial" w:hAnsi="Arial" w:cs="Arial"/>
                <w:sz w:val="20"/>
                <w:szCs w:val="20"/>
                <w:lang w:eastAsia="fr-FR"/>
              </w:rPr>
            </w:pPr>
            <w:r w:rsidRPr="00CD0964">
              <w:rPr>
                <w:rFonts w:ascii="Arial" w:hAnsi="Arial" w:cs="Arial"/>
                <w:sz w:val="20"/>
                <w:szCs w:val="20"/>
                <w:lang w:eastAsia="fr-FR"/>
              </w:rPr>
              <w:t>Beşiktaş</w:t>
            </w:r>
          </w:p>
        </w:tc>
        <w:tc>
          <w:tcPr>
            <w:tcW w:w="1980" w:type="dxa"/>
            <w:vMerge/>
            <w:tcBorders>
              <w:left w:val="nil"/>
              <w:bottom w:val="single" w:sz="4" w:space="0" w:color="000000"/>
              <w:right w:val="nil"/>
            </w:tcBorders>
            <w:vAlign w:val="center"/>
            <w:hideMark/>
          </w:tcPr>
          <w:p w:rsidR="00BB2911" w:rsidRPr="00CD0964" w:rsidRDefault="00BB2911" w:rsidP="00BB2911">
            <w:pPr>
              <w:rPr>
                <w:rFonts w:ascii="Arial" w:hAnsi="Arial" w:cs="Arial"/>
                <w:sz w:val="20"/>
                <w:szCs w:val="20"/>
                <w:lang w:eastAsia="fr-FR"/>
              </w:rPr>
            </w:pPr>
          </w:p>
        </w:tc>
        <w:tc>
          <w:tcPr>
            <w:tcW w:w="1139" w:type="dxa"/>
            <w:tcBorders>
              <w:left w:val="nil"/>
              <w:bottom w:val="single" w:sz="4" w:space="0" w:color="auto"/>
              <w:right w:val="nil"/>
            </w:tcBorders>
            <w:shd w:val="clear" w:color="auto" w:fill="auto"/>
            <w:noWrap/>
            <w:vAlign w:val="bottom"/>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1.86</w:t>
            </w:r>
          </w:p>
        </w:tc>
        <w:tc>
          <w:tcPr>
            <w:tcW w:w="1300" w:type="dxa"/>
            <w:tcBorders>
              <w:left w:val="nil"/>
              <w:bottom w:val="single" w:sz="4" w:space="0" w:color="auto"/>
              <w:right w:val="nil"/>
            </w:tcBorders>
            <w:shd w:val="clear" w:color="auto" w:fill="auto"/>
            <w:noWrap/>
            <w:vAlign w:val="bottom"/>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0.18</w:t>
            </w:r>
          </w:p>
        </w:tc>
        <w:tc>
          <w:tcPr>
            <w:tcW w:w="678" w:type="dxa"/>
            <w:tcBorders>
              <w:left w:val="nil"/>
              <w:bottom w:val="single" w:sz="4" w:space="0" w:color="auto"/>
              <w:right w:val="nil"/>
            </w:tcBorders>
            <w:shd w:val="clear" w:color="auto" w:fill="auto"/>
            <w:noWrap/>
            <w:vAlign w:val="bottom"/>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1.06</w:t>
            </w:r>
          </w:p>
        </w:tc>
        <w:tc>
          <w:tcPr>
            <w:tcW w:w="787" w:type="dxa"/>
            <w:tcBorders>
              <w:left w:val="nil"/>
              <w:bottom w:val="single" w:sz="4" w:space="0" w:color="auto"/>
              <w:right w:val="nil"/>
            </w:tcBorders>
            <w:shd w:val="clear" w:color="auto" w:fill="auto"/>
            <w:noWrap/>
            <w:vAlign w:val="bottom"/>
          </w:tcPr>
          <w:p w:rsidR="00BB2911" w:rsidRPr="00CD0964" w:rsidRDefault="00BB2911" w:rsidP="00BB2911">
            <w:pPr>
              <w:jc w:val="right"/>
              <w:rPr>
                <w:rFonts w:ascii="Arial" w:hAnsi="Arial" w:cs="Arial"/>
                <w:sz w:val="20"/>
                <w:szCs w:val="20"/>
                <w:lang w:eastAsia="fr-FR"/>
              </w:rPr>
            </w:pPr>
            <w:r w:rsidRPr="00CD0964">
              <w:rPr>
                <w:rFonts w:ascii="Arial" w:hAnsi="Arial" w:cs="Arial"/>
                <w:sz w:val="20"/>
                <w:szCs w:val="20"/>
                <w:lang w:eastAsia="fr-FR"/>
              </w:rPr>
              <w:t>2.53</w:t>
            </w:r>
          </w:p>
        </w:tc>
      </w:tr>
    </w:tbl>
    <w:p w:rsidR="00CD0964" w:rsidRDefault="00CD0964" w:rsidP="001F3A29">
      <w:pPr>
        <w:rPr>
          <w:rFonts w:ascii="Arial" w:hAnsi="Arial" w:cs="Arial"/>
          <w:sz w:val="20"/>
          <w:szCs w:val="20"/>
        </w:rPr>
      </w:pPr>
    </w:p>
    <w:p w:rsidR="00BB2911" w:rsidRPr="00CD0964" w:rsidRDefault="008304C8" w:rsidP="001F3A29">
      <w:pPr>
        <w:rPr>
          <w:rFonts w:ascii="Arial" w:hAnsi="Arial" w:cs="Arial"/>
          <w:color w:val="FF0000"/>
          <w:sz w:val="18"/>
          <w:szCs w:val="20"/>
        </w:rPr>
      </w:pPr>
      <w:r w:rsidRPr="00CD0964">
        <w:rPr>
          <w:rFonts w:ascii="Arial" w:hAnsi="Arial" w:cs="Arial"/>
          <w:sz w:val="18"/>
          <w:szCs w:val="20"/>
        </w:rPr>
        <w:t>Kaynak: footballdatabase.eu, transfermarkt.com, eurocupshistory.com, Rec.Sport.Soccer Statistics Foundation (RSSSF), UEFA üye ülkelerin federasyonlarının web siteleri. Yazarın hesaplamaları</w:t>
      </w:r>
    </w:p>
    <w:p w:rsidR="00BE2ABF" w:rsidRPr="00CD0964" w:rsidRDefault="00AD2B10" w:rsidP="001F3A29">
      <w:pPr>
        <w:rPr>
          <w:rFonts w:ascii="Arial" w:hAnsi="Arial" w:cs="Arial"/>
          <w:sz w:val="18"/>
          <w:szCs w:val="20"/>
        </w:rPr>
      </w:pPr>
      <w:r w:rsidRPr="00CD0964">
        <w:rPr>
          <w:rFonts w:ascii="Arial" w:hAnsi="Arial" w:cs="Arial"/>
          <w:sz w:val="18"/>
          <w:szCs w:val="20"/>
        </w:rPr>
        <w:t>*İncelenen dönem boyunca kulübün maç başı ortalama puanına kıyasla her sezonda elde ettiği maç başı ortalama puan farklarının cesametinin ölçüsü. Ne ka</w:t>
      </w:r>
      <w:r w:rsidR="00390651" w:rsidRPr="00CD0964">
        <w:rPr>
          <w:rFonts w:ascii="Arial" w:hAnsi="Arial" w:cs="Arial"/>
          <w:sz w:val="18"/>
          <w:szCs w:val="20"/>
        </w:rPr>
        <w:t>dar düşük olu</w:t>
      </w:r>
      <w:r w:rsidRPr="00CD0964">
        <w:rPr>
          <w:rFonts w:ascii="Arial" w:hAnsi="Arial" w:cs="Arial"/>
          <w:sz w:val="18"/>
          <w:szCs w:val="20"/>
        </w:rPr>
        <w:t>rsa söz konusu kulübün sezon performanslarının birbirine o kadar yakın olduğunu gösterir.</w:t>
      </w:r>
    </w:p>
    <w:p w:rsidR="00CD0964" w:rsidRDefault="00CD0964" w:rsidP="001F3A29">
      <w:pPr>
        <w:rPr>
          <w:rFonts w:ascii="Arial" w:hAnsi="Arial" w:cs="Arial"/>
          <w:sz w:val="20"/>
          <w:szCs w:val="20"/>
        </w:rPr>
      </w:pPr>
    </w:p>
    <w:p w:rsidR="00CD0964" w:rsidRPr="00CD0964" w:rsidRDefault="00CD0964" w:rsidP="001F3A29">
      <w:pPr>
        <w:rPr>
          <w:rFonts w:ascii="Arial" w:hAnsi="Arial" w:cs="Arial"/>
          <w:sz w:val="20"/>
          <w:szCs w:val="20"/>
        </w:rPr>
      </w:pPr>
    </w:p>
    <w:p w:rsidR="00AD2B10" w:rsidRPr="00CD0964" w:rsidRDefault="00BE2ABF" w:rsidP="001F3A29">
      <w:pPr>
        <w:spacing w:line="276" w:lineRule="auto"/>
        <w:ind w:firstLine="340"/>
        <w:jc w:val="both"/>
        <w:rPr>
          <w:rFonts w:ascii="Arial" w:hAnsi="Arial" w:cs="Arial"/>
          <w:sz w:val="20"/>
          <w:szCs w:val="20"/>
        </w:rPr>
      </w:pPr>
      <w:r w:rsidRPr="00CD0964">
        <w:rPr>
          <w:rFonts w:ascii="Arial" w:hAnsi="Arial" w:cs="Arial"/>
          <w:sz w:val="20"/>
          <w:szCs w:val="20"/>
        </w:rPr>
        <w:t xml:space="preserve">       Bu bağlamda, her kulübün sezon sonundaki genel lig performansı şu şekilde hesaplanmıştır. Her bir galibiyet için üç, beraberlik için bir puan verilir ve bir sezonun sonunda elde edilen toplam puan, o sezon oynanan toplam maç sayısına bölünür. Sonuç olarak, her bir sezon ve her bir kulüp için maç başına puan verisi elde edilir. Bu tarz bir hesaplama iki nedenden dolayı gereklidir. Birincisi, 1980 ve 1990'larda galibiyet başına verilen iki puan sistemi yerini Avrupa futbol liglerinde üç puanlı lig sistemine bırakmıştır. İkincisi, liglerdeki takım sayıları seneden seneye farklılıklar gösterdiği için bir sezonda oynanan maç sayısı sabit değildir. Dolayısıyla sene sonu toplam puanları yerine maç başı ortalama puanları kullanmak daha doğru sonuçlar verecektir.</w:t>
      </w:r>
      <w:r w:rsidR="00AD2B10" w:rsidRPr="00CD0964">
        <w:rPr>
          <w:rFonts w:ascii="Arial" w:hAnsi="Arial" w:cs="Arial"/>
          <w:sz w:val="20"/>
          <w:szCs w:val="20"/>
        </w:rPr>
        <w:t xml:space="preserve"> </w:t>
      </w:r>
    </w:p>
    <w:p w:rsidR="000A4A29" w:rsidRPr="00CD0964" w:rsidRDefault="00317CCC" w:rsidP="001F3A29">
      <w:pPr>
        <w:spacing w:line="276" w:lineRule="auto"/>
        <w:ind w:firstLine="340"/>
        <w:jc w:val="both"/>
        <w:rPr>
          <w:rFonts w:ascii="Arial" w:hAnsi="Arial" w:cs="Arial"/>
          <w:sz w:val="20"/>
          <w:szCs w:val="20"/>
        </w:rPr>
      </w:pPr>
      <w:r w:rsidRPr="00CD0964">
        <w:rPr>
          <w:rFonts w:ascii="Arial" w:hAnsi="Arial" w:cs="Arial"/>
          <w:sz w:val="20"/>
          <w:szCs w:val="20"/>
        </w:rPr>
        <w:t>Burada birkaç noktanın tartışılması</w:t>
      </w:r>
      <w:r w:rsidR="00E94615" w:rsidRPr="00CD0964">
        <w:rPr>
          <w:rFonts w:ascii="Arial" w:hAnsi="Arial" w:cs="Arial"/>
          <w:sz w:val="20"/>
          <w:szCs w:val="20"/>
        </w:rPr>
        <w:t xml:space="preserve"> gerekiyor. </w:t>
      </w:r>
      <w:r w:rsidR="003E2183" w:rsidRPr="00CD0964">
        <w:rPr>
          <w:rFonts w:ascii="Arial" w:hAnsi="Arial" w:cs="Arial"/>
          <w:sz w:val="20"/>
          <w:szCs w:val="20"/>
        </w:rPr>
        <w:t xml:space="preserve">Sezon sonu </w:t>
      </w:r>
      <w:r w:rsidR="00E639C2" w:rsidRPr="00CD0964">
        <w:rPr>
          <w:rFonts w:ascii="Arial" w:hAnsi="Arial" w:cs="Arial"/>
          <w:sz w:val="20"/>
          <w:szCs w:val="20"/>
        </w:rPr>
        <w:t>maç</w:t>
      </w:r>
      <w:r w:rsidR="003E2183" w:rsidRPr="00CD0964">
        <w:rPr>
          <w:rFonts w:ascii="Arial" w:hAnsi="Arial" w:cs="Arial"/>
          <w:sz w:val="20"/>
          <w:szCs w:val="20"/>
        </w:rPr>
        <w:t xml:space="preserve"> </w:t>
      </w:r>
      <w:r w:rsidR="00E639C2" w:rsidRPr="00CD0964">
        <w:rPr>
          <w:rFonts w:ascii="Arial" w:hAnsi="Arial" w:cs="Arial"/>
          <w:sz w:val="20"/>
          <w:szCs w:val="20"/>
        </w:rPr>
        <w:t>başına</w:t>
      </w:r>
      <w:r w:rsidR="003E2183" w:rsidRPr="00CD0964">
        <w:rPr>
          <w:rFonts w:ascii="Arial" w:hAnsi="Arial" w:cs="Arial"/>
          <w:sz w:val="20"/>
          <w:szCs w:val="20"/>
        </w:rPr>
        <w:t xml:space="preserve"> puanlar ile performans </w:t>
      </w:r>
      <w:r w:rsidR="00E639C2" w:rsidRPr="00CD0964">
        <w:rPr>
          <w:rFonts w:ascii="Arial" w:hAnsi="Arial" w:cs="Arial"/>
          <w:sz w:val="20"/>
          <w:szCs w:val="20"/>
        </w:rPr>
        <w:t>ölçüldüğünde</w:t>
      </w:r>
      <w:r w:rsidRPr="00CD0964">
        <w:rPr>
          <w:rFonts w:ascii="Arial" w:hAnsi="Arial" w:cs="Arial"/>
          <w:sz w:val="20"/>
          <w:szCs w:val="20"/>
        </w:rPr>
        <w:t>,</w:t>
      </w:r>
      <w:r w:rsidR="003E2183" w:rsidRPr="00CD0964">
        <w:rPr>
          <w:rFonts w:ascii="Arial" w:hAnsi="Arial" w:cs="Arial"/>
          <w:sz w:val="20"/>
          <w:szCs w:val="20"/>
        </w:rPr>
        <w:t xml:space="preserve"> </w:t>
      </w:r>
      <w:r w:rsidR="00E639C2" w:rsidRPr="00CD0964">
        <w:rPr>
          <w:rFonts w:ascii="Arial" w:hAnsi="Arial" w:cs="Arial"/>
          <w:sz w:val="20"/>
          <w:szCs w:val="20"/>
        </w:rPr>
        <w:t>takım</w:t>
      </w:r>
      <w:r w:rsidRPr="00CD0964">
        <w:rPr>
          <w:rFonts w:ascii="Arial" w:hAnsi="Arial" w:cs="Arial"/>
          <w:sz w:val="20"/>
          <w:szCs w:val="20"/>
        </w:rPr>
        <w:t xml:space="preserve"> başarısı</w:t>
      </w:r>
      <w:r w:rsidR="003E2183" w:rsidRPr="00CD0964">
        <w:rPr>
          <w:rFonts w:ascii="Arial" w:hAnsi="Arial" w:cs="Arial"/>
          <w:sz w:val="20"/>
          <w:szCs w:val="20"/>
        </w:rPr>
        <w:t xml:space="preserve"> </w:t>
      </w:r>
      <w:r w:rsidR="00E639C2" w:rsidRPr="00CD0964">
        <w:rPr>
          <w:rFonts w:ascii="Arial" w:hAnsi="Arial" w:cs="Arial"/>
          <w:sz w:val="20"/>
          <w:szCs w:val="20"/>
        </w:rPr>
        <w:t>performansın</w:t>
      </w:r>
      <w:r w:rsidR="003E2183" w:rsidRPr="00CD0964">
        <w:rPr>
          <w:rFonts w:ascii="Arial" w:hAnsi="Arial" w:cs="Arial"/>
          <w:sz w:val="20"/>
          <w:szCs w:val="20"/>
        </w:rPr>
        <w:t xml:space="preserve"> </w:t>
      </w:r>
      <w:r w:rsidR="00AD2B10" w:rsidRPr="00CD0964">
        <w:rPr>
          <w:rFonts w:ascii="Arial" w:hAnsi="Arial" w:cs="Arial"/>
          <w:sz w:val="20"/>
          <w:szCs w:val="20"/>
        </w:rPr>
        <w:t>doğrusal</w:t>
      </w:r>
      <w:r w:rsidR="003E2183" w:rsidRPr="00CD0964">
        <w:rPr>
          <w:rFonts w:ascii="Arial" w:hAnsi="Arial" w:cs="Arial"/>
          <w:sz w:val="20"/>
          <w:szCs w:val="20"/>
        </w:rPr>
        <w:t xml:space="preserve"> bir fonksiyonu kabul edilmiş oluyor. </w:t>
      </w:r>
      <w:r w:rsidR="00E639C2" w:rsidRPr="00CD0964">
        <w:rPr>
          <w:rFonts w:ascii="Arial" w:hAnsi="Arial" w:cs="Arial"/>
          <w:sz w:val="20"/>
          <w:szCs w:val="20"/>
        </w:rPr>
        <w:t>Esasında</w:t>
      </w:r>
      <w:r w:rsidRPr="00CD0964">
        <w:rPr>
          <w:rFonts w:ascii="Arial" w:hAnsi="Arial" w:cs="Arial"/>
          <w:sz w:val="20"/>
          <w:szCs w:val="20"/>
        </w:rPr>
        <w:t>,</w:t>
      </w:r>
      <w:r w:rsidR="003E2183" w:rsidRPr="00CD0964">
        <w:rPr>
          <w:rFonts w:ascii="Arial" w:hAnsi="Arial" w:cs="Arial"/>
          <w:sz w:val="20"/>
          <w:szCs w:val="20"/>
        </w:rPr>
        <w:t xml:space="preserve"> ligi sekizinci veya dokuzuncu </w:t>
      </w:r>
      <w:r w:rsidR="00E639C2" w:rsidRPr="00CD0964">
        <w:rPr>
          <w:rFonts w:ascii="Arial" w:hAnsi="Arial" w:cs="Arial"/>
          <w:sz w:val="20"/>
          <w:szCs w:val="20"/>
        </w:rPr>
        <w:t>sırada</w:t>
      </w:r>
      <w:r w:rsidR="003E2183" w:rsidRPr="00CD0964">
        <w:rPr>
          <w:rFonts w:ascii="Arial" w:hAnsi="Arial" w:cs="Arial"/>
          <w:sz w:val="20"/>
          <w:szCs w:val="20"/>
        </w:rPr>
        <w:t xml:space="preserve"> bitirmek </w:t>
      </w:r>
      <w:r w:rsidR="00E639C2" w:rsidRPr="00CD0964">
        <w:rPr>
          <w:rFonts w:ascii="Arial" w:hAnsi="Arial" w:cs="Arial"/>
          <w:sz w:val="20"/>
          <w:szCs w:val="20"/>
        </w:rPr>
        <w:t>arasında</w:t>
      </w:r>
      <w:r w:rsidR="003E2183" w:rsidRPr="00CD0964">
        <w:rPr>
          <w:rFonts w:ascii="Arial" w:hAnsi="Arial" w:cs="Arial"/>
          <w:sz w:val="20"/>
          <w:szCs w:val="20"/>
        </w:rPr>
        <w:t xml:space="preserve"> bir fark yokken</w:t>
      </w:r>
      <w:r w:rsidR="00E94615" w:rsidRPr="00CD0964">
        <w:rPr>
          <w:rFonts w:ascii="Arial" w:hAnsi="Arial" w:cs="Arial"/>
          <w:sz w:val="20"/>
          <w:szCs w:val="20"/>
        </w:rPr>
        <w:t>,</w:t>
      </w:r>
      <w:r w:rsidR="003E2183" w:rsidRPr="00CD0964">
        <w:rPr>
          <w:rFonts w:ascii="Arial" w:hAnsi="Arial" w:cs="Arial"/>
          <w:sz w:val="20"/>
          <w:szCs w:val="20"/>
        </w:rPr>
        <w:t xml:space="preserve"> ikinci veya </w:t>
      </w:r>
      <w:r w:rsidR="00E639C2" w:rsidRPr="00CD0964">
        <w:rPr>
          <w:rFonts w:ascii="Arial" w:hAnsi="Arial" w:cs="Arial"/>
          <w:sz w:val="20"/>
          <w:szCs w:val="20"/>
        </w:rPr>
        <w:t>üçüncü</w:t>
      </w:r>
      <w:r w:rsidR="003E2183" w:rsidRPr="00CD0964">
        <w:rPr>
          <w:rFonts w:ascii="Arial" w:hAnsi="Arial" w:cs="Arial"/>
          <w:sz w:val="20"/>
          <w:szCs w:val="20"/>
        </w:rPr>
        <w:t xml:space="preserve"> </w:t>
      </w:r>
      <w:r w:rsidR="00E639C2" w:rsidRPr="00CD0964">
        <w:rPr>
          <w:rFonts w:ascii="Arial" w:hAnsi="Arial" w:cs="Arial"/>
          <w:sz w:val="20"/>
          <w:szCs w:val="20"/>
        </w:rPr>
        <w:t>sırada</w:t>
      </w:r>
      <w:r w:rsidR="003E2183" w:rsidRPr="00CD0964">
        <w:rPr>
          <w:rFonts w:ascii="Arial" w:hAnsi="Arial" w:cs="Arial"/>
          <w:sz w:val="20"/>
          <w:szCs w:val="20"/>
        </w:rPr>
        <w:t xml:space="preserve"> bitirmek </w:t>
      </w:r>
      <w:r w:rsidR="00E639C2" w:rsidRPr="00CD0964">
        <w:rPr>
          <w:rFonts w:ascii="Arial" w:hAnsi="Arial" w:cs="Arial"/>
          <w:sz w:val="20"/>
          <w:szCs w:val="20"/>
        </w:rPr>
        <w:t>arasında</w:t>
      </w:r>
      <w:r w:rsidR="003E2183" w:rsidRPr="00CD0964">
        <w:rPr>
          <w:rFonts w:ascii="Arial" w:hAnsi="Arial" w:cs="Arial"/>
          <w:sz w:val="20"/>
          <w:szCs w:val="20"/>
        </w:rPr>
        <w:t xml:space="preserve"> ciddi farklar olabilir. Nitekim</w:t>
      </w:r>
      <w:r w:rsidRPr="00CD0964">
        <w:rPr>
          <w:rFonts w:ascii="Arial" w:hAnsi="Arial" w:cs="Arial"/>
          <w:sz w:val="20"/>
          <w:szCs w:val="20"/>
        </w:rPr>
        <w:t>,</w:t>
      </w:r>
      <w:r w:rsidR="003E2183" w:rsidRPr="00CD0964">
        <w:rPr>
          <w:rFonts w:ascii="Arial" w:hAnsi="Arial" w:cs="Arial"/>
          <w:sz w:val="20"/>
          <w:szCs w:val="20"/>
        </w:rPr>
        <w:t xml:space="preserve"> </w:t>
      </w:r>
      <w:r w:rsidR="00E639C2" w:rsidRPr="00CD0964">
        <w:rPr>
          <w:rFonts w:ascii="Arial" w:hAnsi="Arial" w:cs="Arial"/>
          <w:sz w:val="20"/>
          <w:szCs w:val="20"/>
        </w:rPr>
        <w:t>örneğin</w:t>
      </w:r>
      <w:r w:rsidR="003E2183" w:rsidRPr="00CD0964">
        <w:rPr>
          <w:rFonts w:ascii="Arial" w:hAnsi="Arial" w:cs="Arial"/>
          <w:sz w:val="20"/>
          <w:szCs w:val="20"/>
        </w:rPr>
        <w:t xml:space="preserve"> </w:t>
      </w:r>
      <w:r w:rsidR="00E639C2" w:rsidRPr="00CD0964">
        <w:rPr>
          <w:rFonts w:ascii="Arial" w:hAnsi="Arial" w:cs="Arial"/>
          <w:sz w:val="20"/>
          <w:szCs w:val="20"/>
        </w:rPr>
        <w:t>Türkiye</w:t>
      </w:r>
      <w:r w:rsidR="003E2183" w:rsidRPr="00CD0964">
        <w:rPr>
          <w:rFonts w:ascii="Arial" w:hAnsi="Arial" w:cs="Arial"/>
          <w:sz w:val="20"/>
          <w:szCs w:val="20"/>
        </w:rPr>
        <w:t xml:space="preserve"> </w:t>
      </w:r>
      <w:r w:rsidR="00E639C2" w:rsidRPr="00CD0964">
        <w:rPr>
          <w:rFonts w:ascii="Arial" w:hAnsi="Arial" w:cs="Arial"/>
          <w:sz w:val="20"/>
          <w:szCs w:val="20"/>
        </w:rPr>
        <w:t>Süper Ligi’</w:t>
      </w:r>
      <w:r w:rsidR="003E2183" w:rsidRPr="00CD0964">
        <w:rPr>
          <w:rFonts w:ascii="Arial" w:hAnsi="Arial" w:cs="Arial"/>
          <w:sz w:val="20"/>
          <w:szCs w:val="20"/>
        </w:rPr>
        <w:t xml:space="preserve">nde ligi ikinci bitiren </w:t>
      </w:r>
      <w:r w:rsidR="00E639C2" w:rsidRPr="00CD0964">
        <w:rPr>
          <w:rFonts w:ascii="Arial" w:hAnsi="Arial" w:cs="Arial"/>
          <w:sz w:val="20"/>
          <w:szCs w:val="20"/>
        </w:rPr>
        <w:t>takım</w:t>
      </w:r>
      <w:r w:rsidR="003E2183" w:rsidRPr="00CD0964">
        <w:rPr>
          <w:rFonts w:ascii="Arial" w:hAnsi="Arial" w:cs="Arial"/>
          <w:sz w:val="20"/>
          <w:szCs w:val="20"/>
        </w:rPr>
        <w:t xml:space="preserve"> </w:t>
      </w:r>
      <w:r w:rsidR="00E639C2" w:rsidRPr="00CD0964">
        <w:rPr>
          <w:rFonts w:ascii="Arial" w:hAnsi="Arial" w:cs="Arial"/>
          <w:sz w:val="20"/>
          <w:szCs w:val="20"/>
        </w:rPr>
        <w:t>Şampiyonlar</w:t>
      </w:r>
      <w:r w:rsidR="00836F23" w:rsidRPr="00CD0964">
        <w:rPr>
          <w:rFonts w:ascii="Arial" w:hAnsi="Arial" w:cs="Arial"/>
          <w:sz w:val="20"/>
          <w:szCs w:val="20"/>
        </w:rPr>
        <w:t xml:space="preserve"> L</w:t>
      </w:r>
      <w:r w:rsidR="003E2183" w:rsidRPr="00CD0964">
        <w:rPr>
          <w:rFonts w:ascii="Arial" w:hAnsi="Arial" w:cs="Arial"/>
          <w:sz w:val="20"/>
          <w:szCs w:val="20"/>
        </w:rPr>
        <w:t>igi</w:t>
      </w:r>
      <w:r w:rsidR="00836F23" w:rsidRPr="00CD0964">
        <w:rPr>
          <w:rFonts w:ascii="Arial" w:hAnsi="Arial" w:cs="Arial"/>
          <w:sz w:val="20"/>
          <w:szCs w:val="20"/>
        </w:rPr>
        <w:t>’</w:t>
      </w:r>
      <w:r w:rsidR="003E2183" w:rsidRPr="00CD0964">
        <w:rPr>
          <w:rFonts w:ascii="Arial" w:hAnsi="Arial" w:cs="Arial"/>
          <w:sz w:val="20"/>
          <w:szCs w:val="20"/>
        </w:rPr>
        <w:t xml:space="preserve">ne </w:t>
      </w:r>
      <w:r w:rsidR="00E639C2" w:rsidRPr="00CD0964">
        <w:rPr>
          <w:rFonts w:ascii="Arial" w:hAnsi="Arial" w:cs="Arial"/>
          <w:sz w:val="20"/>
          <w:szCs w:val="20"/>
        </w:rPr>
        <w:t>katılma</w:t>
      </w:r>
      <w:r w:rsidRPr="00CD0964">
        <w:rPr>
          <w:rFonts w:ascii="Arial" w:hAnsi="Arial" w:cs="Arial"/>
          <w:sz w:val="20"/>
          <w:szCs w:val="20"/>
        </w:rPr>
        <w:t xml:space="preserve"> hakkı</w:t>
      </w:r>
      <w:r w:rsidR="003E2183" w:rsidRPr="00CD0964">
        <w:rPr>
          <w:rFonts w:ascii="Arial" w:hAnsi="Arial" w:cs="Arial"/>
          <w:sz w:val="20"/>
          <w:szCs w:val="20"/>
        </w:rPr>
        <w:t xml:space="preserve"> </w:t>
      </w:r>
      <w:r w:rsidR="00E639C2" w:rsidRPr="00CD0964">
        <w:rPr>
          <w:rFonts w:ascii="Arial" w:hAnsi="Arial" w:cs="Arial"/>
          <w:sz w:val="20"/>
          <w:szCs w:val="20"/>
        </w:rPr>
        <w:t>kazanırken</w:t>
      </w:r>
      <w:r w:rsidRPr="00CD0964">
        <w:rPr>
          <w:rFonts w:ascii="Arial" w:hAnsi="Arial" w:cs="Arial"/>
          <w:sz w:val="20"/>
          <w:szCs w:val="20"/>
        </w:rPr>
        <w:t>,</w:t>
      </w:r>
      <w:r w:rsidR="003E2183" w:rsidRPr="00CD0964">
        <w:rPr>
          <w:rFonts w:ascii="Arial" w:hAnsi="Arial" w:cs="Arial"/>
          <w:sz w:val="20"/>
          <w:szCs w:val="20"/>
        </w:rPr>
        <w:t xml:space="preserve"> </w:t>
      </w:r>
      <w:r w:rsidR="00E639C2" w:rsidRPr="00CD0964">
        <w:rPr>
          <w:rFonts w:ascii="Arial" w:hAnsi="Arial" w:cs="Arial"/>
          <w:sz w:val="20"/>
          <w:szCs w:val="20"/>
        </w:rPr>
        <w:t>üçüncü</w:t>
      </w:r>
      <w:r w:rsidR="003E2183" w:rsidRPr="00CD0964">
        <w:rPr>
          <w:rFonts w:ascii="Arial" w:hAnsi="Arial" w:cs="Arial"/>
          <w:sz w:val="20"/>
          <w:szCs w:val="20"/>
        </w:rPr>
        <w:t xml:space="preserve"> bitiren </w:t>
      </w:r>
      <w:r w:rsidR="00E639C2" w:rsidRPr="00CD0964">
        <w:rPr>
          <w:rFonts w:ascii="Arial" w:hAnsi="Arial" w:cs="Arial"/>
          <w:sz w:val="20"/>
          <w:szCs w:val="20"/>
        </w:rPr>
        <w:t>takım</w:t>
      </w:r>
      <w:r w:rsidR="00836F23" w:rsidRPr="00CD0964">
        <w:rPr>
          <w:rFonts w:ascii="Arial" w:hAnsi="Arial" w:cs="Arial"/>
          <w:sz w:val="20"/>
          <w:szCs w:val="20"/>
        </w:rPr>
        <w:t xml:space="preserve"> </w:t>
      </w:r>
      <w:r w:rsidR="003E2183" w:rsidRPr="00CD0964">
        <w:rPr>
          <w:rFonts w:ascii="Arial" w:hAnsi="Arial" w:cs="Arial"/>
          <w:sz w:val="20"/>
          <w:szCs w:val="20"/>
        </w:rPr>
        <w:t xml:space="preserve">UEFA </w:t>
      </w:r>
      <w:r w:rsidR="00836F23" w:rsidRPr="00CD0964">
        <w:rPr>
          <w:rFonts w:ascii="Arial" w:hAnsi="Arial" w:cs="Arial"/>
          <w:sz w:val="20"/>
          <w:szCs w:val="20"/>
        </w:rPr>
        <w:t>Avrupa Ligi’ne katılabiliyor.</w:t>
      </w:r>
      <w:r w:rsidR="003E2183" w:rsidRPr="00CD0964">
        <w:rPr>
          <w:rFonts w:ascii="Arial" w:hAnsi="Arial" w:cs="Arial"/>
          <w:sz w:val="20"/>
          <w:szCs w:val="20"/>
        </w:rPr>
        <w:t xml:space="preserve">  </w:t>
      </w:r>
      <w:r w:rsidR="00836F23" w:rsidRPr="00CD0964">
        <w:rPr>
          <w:rFonts w:ascii="Arial" w:hAnsi="Arial" w:cs="Arial"/>
          <w:sz w:val="20"/>
          <w:szCs w:val="20"/>
        </w:rPr>
        <w:t xml:space="preserve">Bu husus bu </w:t>
      </w:r>
      <w:r w:rsidR="00E639C2" w:rsidRPr="00CD0964">
        <w:rPr>
          <w:rFonts w:ascii="Arial" w:hAnsi="Arial" w:cs="Arial"/>
          <w:sz w:val="20"/>
          <w:szCs w:val="20"/>
        </w:rPr>
        <w:t>çalışmada</w:t>
      </w:r>
      <w:r w:rsidR="00836F23" w:rsidRPr="00CD0964">
        <w:rPr>
          <w:rFonts w:ascii="Arial" w:hAnsi="Arial" w:cs="Arial"/>
          <w:sz w:val="20"/>
          <w:szCs w:val="20"/>
        </w:rPr>
        <w:t xml:space="preserve"> hesaba </w:t>
      </w:r>
      <w:r w:rsidR="00E639C2" w:rsidRPr="00CD0964">
        <w:rPr>
          <w:rFonts w:ascii="Arial" w:hAnsi="Arial" w:cs="Arial"/>
          <w:sz w:val="20"/>
          <w:szCs w:val="20"/>
        </w:rPr>
        <w:t>katılmamıştır</w:t>
      </w:r>
      <w:r w:rsidR="00836F23" w:rsidRPr="00CD0964">
        <w:rPr>
          <w:rFonts w:ascii="Arial" w:hAnsi="Arial" w:cs="Arial"/>
          <w:sz w:val="20"/>
          <w:szCs w:val="20"/>
        </w:rPr>
        <w:t xml:space="preserve">. Bunun temel sebebi lig </w:t>
      </w:r>
      <w:r w:rsidR="002B1BB7" w:rsidRPr="00CD0964">
        <w:rPr>
          <w:rFonts w:ascii="Arial" w:hAnsi="Arial" w:cs="Arial"/>
          <w:sz w:val="20"/>
          <w:szCs w:val="20"/>
        </w:rPr>
        <w:t>sıralamalarının</w:t>
      </w:r>
      <w:r w:rsidR="00836F23" w:rsidRPr="00CD0964">
        <w:rPr>
          <w:rFonts w:ascii="Arial" w:hAnsi="Arial" w:cs="Arial"/>
          <w:sz w:val="20"/>
          <w:szCs w:val="20"/>
        </w:rPr>
        <w:t xml:space="preserve"> zaman içerisinde </w:t>
      </w:r>
      <w:r w:rsidR="002B1BB7" w:rsidRPr="00CD0964">
        <w:rPr>
          <w:rFonts w:ascii="Arial" w:hAnsi="Arial" w:cs="Arial"/>
          <w:sz w:val="20"/>
          <w:szCs w:val="20"/>
        </w:rPr>
        <w:t>anlamlarının</w:t>
      </w:r>
      <w:r w:rsidR="00836F23" w:rsidRPr="00CD0964">
        <w:rPr>
          <w:rFonts w:ascii="Arial" w:hAnsi="Arial" w:cs="Arial"/>
          <w:sz w:val="20"/>
          <w:szCs w:val="20"/>
        </w:rPr>
        <w:t xml:space="preserve"> değişiyor </w:t>
      </w:r>
      <w:r w:rsidR="002B1BB7" w:rsidRPr="00CD0964">
        <w:rPr>
          <w:rFonts w:ascii="Arial" w:hAnsi="Arial" w:cs="Arial"/>
          <w:sz w:val="20"/>
          <w:szCs w:val="20"/>
        </w:rPr>
        <w:t>olmasıdır</w:t>
      </w:r>
      <w:r w:rsidR="00836F23" w:rsidRPr="00CD0964">
        <w:rPr>
          <w:rFonts w:ascii="Arial" w:hAnsi="Arial" w:cs="Arial"/>
          <w:sz w:val="20"/>
          <w:szCs w:val="20"/>
        </w:rPr>
        <w:t xml:space="preserve">. </w:t>
      </w:r>
      <w:r w:rsidR="002B1BB7" w:rsidRPr="00CD0964">
        <w:rPr>
          <w:rFonts w:ascii="Arial" w:hAnsi="Arial" w:cs="Arial"/>
          <w:sz w:val="20"/>
          <w:szCs w:val="20"/>
        </w:rPr>
        <w:t>Bilindiği</w:t>
      </w:r>
      <w:r w:rsidR="00836F23" w:rsidRPr="00CD0964">
        <w:rPr>
          <w:rFonts w:ascii="Arial" w:hAnsi="Arial" w:cs="Arial"/>
          <w:sz w:val="20"/>
          <w:szCs w:val="20"/>
        </w:rPr>
        <w:t xml:space="preserve"> </w:t>
      </w:r>
      <w:r w:rsidR="002B1BB7" w:rsidRPr="00CD0964">
        <w:rPr>
          <w:rFonts w:ascii="Arial" w:hAnsi="Arial" w:cs="Arial"/>
          <w:sz w:val="20"/>
          <w:szCs w:val="20"/>
        </w:rPr>
        <w:t>üzere</w:t>
      </w:r>
      <w:r w:rsidRPr="00CD0964">
        <w:rPr>
          <w:rFonts w:ascii="Arial" w:hAnsi="Arial" w:cs="Arial"/>
          <w:sz w:val="20"/>
          <w:szCs w:val="20"/>
        </w:rPr>
        <w:t>,</w:t>
      </w:r>
      <w:r w:rsidR="00836F23" w:rsidRPr="00CD0964">
        <w:rPr>
          <w:rFonts w:ascii="Arial" w:hAnsi="Arial" w:cs="Arial"/>
          <w:sz w:val="20"/>
          <w:szCs w:val="20"/>
        </w:rPr>
        <w:t xml:space="preserve"> UEFA </w:t>
      </w:r>
      <w:r w:rsidR="002B1BB7" w:rsidRPr="00CD0964">
        <w:rPr>
          <w:rFonts w:ascii="Arial" w:hAnsi="Arial" w:cs="Arial"/>
          <w:sz w:val="20"/>
          <w:szCs w:val="20"/>
        </w:rPr>
        <w:t>ülke</w:t>
      </w:r>
      <w:r w:rsidR="00836F23" w:rsidRPr="00CD0964">
        <w:rPr>
          <w:rFonts w:ascii="Arial" w:hAnsi="Arial" w:cs="Arial"/>
          <w:sz w:val="20"/>
          <w:szCs w:val="20"/>
        </w:rPr>
        <w:t xml:space="preserve"> </w:t>
      </w:r>
      <w:r w:rsidR="002B1BB7" w:rsidRPr="00CD0964">
        <w:rPr>
          <w:rFonts w:ascii="Arial" w:hAnsi="Arial" w:cs="Arial"/>
          <w:sz w:val="20"/>
          <w:szCs w:val="20"/>
        </w:rPr>
        <w:t>puanlarını</w:t>
      </w:r>
      <w:r w:rsidR="00836F23" w:rsidRPr="00CD0964">
        <w:rPr>
          <w:rFonts w:ascii="Arial" w:hAnsi="Arial" w:cs="Arial"/>
          <w:sz w:val="20"/>
          <w:szCs w:val="20"/>
        </w:rPr>
        <w:t xml:space="preserve"> kullanarak </w:t>
      </w:r>
      <w:r w:rsidR="002B1BB7" w:rsidRPr="00CD0964">
        <w:rPr>
          <w:rFonts w:ascii="Arial" w:hAnsi="Arial" w:cs="Arial"/>
          <w:sz w:val="20"/>
          <w:szCs w:val="20"/>
        </w:rPr>
        <w:t>Şampiyonlar</w:t>
      </w:r>
      <w:r w:rsidR="00836F23" w:rsidRPr="00CD0964">
        <w:rPr>
          <w:rFonts w:ascii="Arial" w:hAnsi="Arial" w:cs="Arial"/>
          <w:sz w:val="20"/>
          <w:szCs w:val="20"/>
        </w:rPr>
        <w:t xml:space="preserve"> Ligi ve Avrupa Ligi için ülkelere </w:t>
      </w:r>
      <w:r w:rsidR="002B1BB7" w:rsidRPr="00CD0964">
        <w:rPr>
          <w:rFonts w:ascii="Arial" w:hAnsi="Arial" w:cs="Arial"/>
          <w:sz w:val="20"/>
          <w:szCs w:val="20"/>
        </w:rPr>
        <w:t>farklı</w:t>
      </w:r>
      <w:r w:rsidR="00836F23" w:rsidRPr="00CD0964">
        <w:rPr>
          <w:rFonts w:ascii="Arial" w:hAnsi="Arial" w:cs="Arial"/>
          <w:sz w:val="20"/>
          <w:szCs w:val="20"/>
        </w:rPr>
        <w:t xml:space="preserve"> </w:t>
      </w:r>
      <w:r w:rsidR="002B1BB7" w:rsidRPr="00CD0964">
        <w:rPr>
          <w:rFonts w:ascii="Arial" w:hAnsi="Arial" w:cs="Arial"/>
          <w:sz w:val="20"/>
          <w:szCs w:val="20"/>
        </w:rPr>
        <w:t>sayılarda</w:t>
      </w:r>
      <w:r w:rsidR="00836F23" w:rsidRPr="00CD0964">
        <w:rPr>
          <w:rFonts w:ascii="Arial" w:hAnsi="Arial" w:cs="Arial"/>
          <w:sz w:val="20"/>
          <w:szCs w:val="20"/>
        </w:rPr>
        <w:t xml:space="preserve"> kontenjanlar </w:t>
      </w:r>
      <w:r w:rsidR="002B1BB7" w:rsidRPr="00CD0964">
        <w:rPr>
          <w:rFonts w:ascii="Arial" w:hAnsi="Arial" w:cs="Arial"/>
          <w:sz w:val="20"/>
          <w:szCs w:val="20"/>
        </w:rPr>
        <w:t>ayırmakta</w:t>
      </w:r>
      <w:r w:rsidRPr="00CD0964">
        <w:rPr>
          <w:rFonts w:ascii="Arial" w:hAnsi="Arial" w:cs="Arial"/>
          <w:sz w:val="20"/>
          <w:szCs w:val="20"/>
        </w:rPr>
        <w:t>dır</w:t>
      </w:r>
      <w:r w:rsidR="00836F23" w:rsidRPr="00CD0964">
        <w:rPr>
          <w:rFonts w:ascii="Arial" w:hAnsi="Arial" w:cs="Arial"/>
          <w:sz w:val="20"/>
          <w:szCs w:val="20"/>
        </w:rPr>
        <w:t xml:space="preserve">. </w:t>
      </w:r>
      <w:r w:rsidR="002B1BB7" w:rsidRPr="00CD0964">
        <w:rPr>
          <w:rFonts w:ascii="Arial" w:hAnsi="Arial" w:cs="Arial"/>
          <w:sz w:val="20"/>
          <w:szCs w:val="20"/>
        </w:rPr>
        <w:t>Ülke</w:t>
      </w:r>
      <w:r w:rsidR="00836F23" w:rsidRPr="00CD0964">
        <w:rPr>
          <w:rFonts w:ascii="Arial" w:hAnsi="Arial" w:cs="Arial"/>
          <w:sz w:val="20"/>
          <w:szCs w:val="20"/>
        </w:rPr>
        <w:t xml:space="preserve"> </w:t>
      </w:r>
      <w:r w:rsidR="002B1BB7" w:rsidRPr="00CD0964">
        <w:rPr>
          <w:rFonts w:ascii="Arial" w:hAnsi="Arial" w:cs="Arial"/>
          <w:sz w:val="20"/>
          <w:szCs w:val="20"/>
        </w:rPr>
        <w:t>puanları</w:t>
      </w:r>
      <w:r w:rsidR="00836F23" w:rsidRPr="00CD0964">
        <w:rPr>
          <w:rFonts w:ascii="Arial" w:hAnsi="Arial" w:cs="Arial"/>
          <w:sz w:val="20"/>
          <w:szCs w:val="20"/>
        </w:rPr>
        <w:t xml:space="preserve"> zamanla </w:t>
      </w:r>
      <w:r w:rsidR="002B1BB7" w:rsidRPr="00CD0964">
        <w:rPr>
          <w:rFonts w:ascii="Arial" w:hAnsi="Arial" w:cs="Arial"/>
          <w:sz w:val="20"/>
          <w:szCs w:val="20"/>
        </w:rPr>
        <w:t>değiştiğinden</w:t>
      </w:r>
      <w:r w:rsidR="00836F23" w:rsidRPr="00CD0964">
        <w:rPr>
          <w:rFonts w:ascii="Arial" w:hAnsi="Arial" w:cs="Arial"/>
          <w:sz w:val="20"/>
          <w:szCs w:val="20"/>
        </w:rPr>
        <w:t xml:space="preserve">, kontenjan </w:t>
      </w:r>
      <w:r w:rsidR="002B1BB7" w:rsidRPr="00CD0964">
        <w:rPr>
          <w:rFonts w:ascii="Arial" w:hAnsi="Arial" w:cs="Arial"/>
          <w:sz w:val="20"/>
          <w:szCs w:val="20"/>
        </w:rPr>
        <w:t>sayıları</w:t>
      </w:r>
      <w:r w:rsidR="00836F23" w:rsidRPr="00CD0964">
        <w:rPr>
          <w:rFonts w:ascii="Arial" w:hAnsi="Arial" w:cs="Arial"/>
          <w:sz w:val="20"/>
          <w:szCs w:val="20"/>
        </w:rPr>
        <w:t xml:space="preserve"> ve </w:t>
      </w:r>
      <w:r w:rsidR="002B1BB7" w:rsidRPr="00CD0964">
        <w:rPr>
          <w:rFonts w:ascii="Arial" w:hAnsi="Arial" w:cs="Arial"/>
          <w:sz w:val="20"/>
          <w:szCs w:val="20"/>
        </w:rPr>
        <w:t>dolayısıyla</w:t>
      </w:r>
      <w:r w:rsidR="00836F23" w:rsidRPr="00CD0964">
        <w:rPr>
          <w:rFonts w:ascii="Arial" w:hAnsi="Arial" w:cs="Arial"/>
          <w:sz w:val="20"/>
          <w:szCs w:val="20"/>
        </w:rPr>
        <w:t xml:space="preserve"> da </w:t>
      </w:r>
      <w:r w:rsidR="002B1BB7" w:rsidRPr="00CD0964">
        <w:rPr>
          <w:rFonts w:ascii="Arial" w:hAnsi="Arial" w:cs="Arial"/>
          <w:sz w:val="20"/>
          <w:szCs w:val="20"/>
        </w:rPr>
        <w:t>sıralamaların</w:t>
      </w:r>
      <w:r w:rsidR="00836F23" w:rsidRPr="00CD0964">
        <w:rPr>
          <w:rFonts w:ascii="Arial" w:hAnsi="Arial" w:cs="Arial"/>
          <w:sz w:val="20"/>
          <w:szCs w:val="20"/>
        </w:rPr>
        <w:t xml:space="preserve"> </w:t>
      </w:r>
      <w:r w:rsidR="002B1BB7" w:rsidRPr="00CD0964">
        <w:rPr>
          <w:rFonts w:ascii="Arial" w:hAnsi="Arial" w:cs="Arial"/>
          <w:sz w:val="20"/>
          <w:szCs w:val="20"/>
        </w:rPr>
        <w:t>anlamı</w:t>
      </w:r>
      <w:r w:rsidR="00836F23" w:rsidRPr="00CD0964">
        <w:rPr>
          <w:rFonts w:ascii="Arial" w:hAnsi="Arial" w:cs="Arial"/>
          <w:sz w:val="20"/>
          <w:szCs w:val="20"/>
        </w:rPr>
        <w:t xml:space="preserve"> değişmektedir.</w:t>
      </w:r>
    </w:p>
    <w:p w:rsidR="002C729A" w:rsidRPr="00CD0964" w:rsidRDefault="00206BD0" w:rsidP="001F3A29">
      <w:pPr>
        <w:spacing w:line="276" w:lineRule="auto"/>
        <w:ind w:firstLine="340"/>
        <w:jc w:val="both"/>
        <w:rPr>
          <w:rFonts w:ascii="Arial" w:hAnsi="Arial" w:cs="Arial"/>
          <w:sz w:val="20"/>
          <w:szCs w:val="20"/>
        </w:rPr>
      </w:pPr>
      <w:r w:rsidRPr="00CD0964">
        <w:rPr>
          <w:rFonts w:ascii="Arial" w:hAnsi="Arial" w:cs="Arial"/>
          <w:sz w:val="20"/>
          <w:szCs w:val="20"/>
        </w:rPr>
        <w:t xml:space="preserve">Bir diğer husus, bu </w:t>
      </w:r>
      <w:r w:rsidR="002B1BB7" w:rsidRPr="00CD0964">
        <w:rPr>
          <w:rFonts w:ascii="Arial" w:hAnsi="Arial" w:cs="Arial"/>
          <w:sz w:val="20"/>
          <w:szCs w:val="20"/>
        </w:rPr>
        <w:t>çalışmada</w:t>
      </w:r>
      <w:r w:rsidRPr="00CD0964">
        <w:rPr>
          <w:rFonts w:ascii="Arial" w:hAnsi="Arial" w:cs="Arial"/>
          <w:sz w:val="20"/>
          <w:szCs w:val="20"/>
        </w:rPr>
        <w:t xml:space="preserve"> </w:t>
      </w:r>
      <w:r w:rsidR="002B1BB7" w:rsidRPr="00CD0964">
        <w:rPr>
          <w:rFonts w:ascii="Arial" w:hAnsi="Arial" w:cs="Arial"/>
          <w:sz w:val="20"/>
          <w:szCs w:val="20"/>
        </w:rPr>
        <w:t>takımların</w:t>
      </w:r>
      <w:r w:rsidRPr="00CD0964">
        <w:rPr>
          <w:rFonts w:ascii="Arial" w:hAnsi="Arial" w:cs="Arial"/>
          <w:sz w:val="20"/>
          <w:szCs w:val="20"/>
        </w:rPr>
        <w:t xml:space="preserve"> sadece</w:t>
      </w:r>
      <w:r w:rsidR="000A4A29" w:rsidRPr="00CD0964">
        <w:rPr>
          <w:rFonts w:ascii="Arial" w:hAnsi="Arial" w:cs="Arial"/>
          <w:sz w:val="20"/>
          <w:szCs w:val="20"/>
        </w:rPr>
        <w:t xml:space="preserve"> ulusal liglerindeki performansları</w:t>
      </w:r>
      <w:r w:rsidRPr="00CD0964">
        <w:rPr>
          <w:rFonts w:ascii="Arial" w:hAnsi="Arial" w:cs="Arial"/>
          <w:sz w:val="20"/>
          <w:szCs w:val="20"/>
        </w:rPr>
        <w:t xml:space="preserve"> </w:t>
      </w:r>
      <w:r w:rsidR="000A4A29" w:rsidRPr="00CD0964">
        <w:rPr>
          <w:rFonts w:ascii="Arial" w:hAnsi="Arial" w:cs="Arial"/>
          <w:sz w:val="20"/>
          <w:szCs w:val="20"/>
        </w:rPr>
        <w:t xml:space="preserve">göz önüne </w:t>
      </w:r>
      <w:r w:rsidR="002B1BB7" w:rsidRPr="00CD0964">
        <w:rPr>
          <w:rFonts w:ascii="Arial" w:hAnsi="Arial" w:cs="Arial"/>
          <w:sz w:val="20"/>
          <w:szCs w:val="20"/>
        </w:rPr>
        <w:t>alınmıştır</w:t>
      </w:r>
      <w:r w:rsidR="000A4A29" w:rsidRPr="00CD0964">
        <w:rPr>
          <w:rFonts w:ascii="Arial" w:hAnsi="Arial" w:cs="Arial"/>
          <w:sz w:val="20"/>
          <w:szCs w:val="20"/>
        </w:rPr>
        <w:t>. Bunun iki nedeni var. Birincisi, Şampiyonlar Ligi'nin</w:t>
      </w:r>
      <w:r w:rsidR="00CE3A13" w:rsidRPr="00CD0964">
        <w:rPr>
          <w:rFonts w:ascii="Arial" w:hAnsi="Arial" w:cs="Arial"/>
          <w:sz w:val="20"/>
          <w:szCs w:val="20"/>
        </w:rPr>
        <w:t>, başlangıçtaki ismi ile</w:t>
      </w:r>
      <w:r w:rsidR="000A4A29" w:rsidRPr="00CD0964">
        <w:rPr>
          <w:rFonts w:ascii="Arial" w:hAnsi="Arial" w:cs="Arial"/>
          <w:sz w:val="20"/>
          <w:szCs w:val="20"/>
        </w:rPr>
        <w:t xml:space="preserve"> Avrupa Şampiyon Ku</w:t>
      </w:r>
      <w:r w:rsidR="00CE3A13" w:rsidRPr="00CD0964">
        <w:rPr>
          <w:rFonts w:ascii="Arial" w:hAnsi="Arial" w:cs="Arial"/>
          <w:sz w:val="20"/>
          <w:szCs w:val="20"/>
        </w:rPr>
        <w:t xml:space="preserve">lüpler </w:t>
      </w:r>
      <w:r w:rsidR="002B1BB7" w:rsidRPr="00CD0964">
        <w:rPr>
          <w:rFonts w:ascii="Arial" w:hAnsi="Arial" w:cs="Arial"/>
          <w:sz w:val="20"/>
          <w:szCs w:val="20"/>
        </w:rPr>
        <w:t>Kupası’nın</w:t>
      </w:r>
      <w:r w:rsidR="000A4A29" w:rsidRPr="00CD0964">
        <w:rPr>
          <w:rFonts w:ascii="Arial" w:hAnsi="Arial" w:cs="Arial"/>
          <w:sz w:val="20"/>
          <w:szCs w:val="20"/>
        </w:rPr>
        <w:t xml:space="preserve"> </w:t>
      </w:r>
      <w:r w:rsidR="00CE3A13" w:rsidRPr="00CD0964">
        <w:rPr>
          <w:rFonts w:ascii="Arial" w:hAnsi="Arial" w:cs="Arial"/>
          <w:sz w:val="20"/>
          <w:szCs w:val="20"/>
        </w:rPr>
        <w:t xml:space="preserve">ve diğer Avrupa </w:t>
      </w:r>
      <w:r w:rsidR="002B1BB7" w:rsidRPr="00CD0964">
        <w:rPr>
          <w:rFonts w:ascii="Arial" w:hAnsi="Arial" w:cs="Arial"/>
          <w:sz w:val="20"/>
          <w:szCs w:val="20"/>
        </w:rPr>
        <w:t>kupaları</w:t>
      </w:r>
      <w:r w:rsidR="00CE3A13" w:rsidRPr="00CD0964">
        <w:rPr>
          <w:rFonts w:ascii="Arial" w:hAnsi="Arial" w:cs="Arial"/>
          <w:sz w:val="20"/>
          <w:szCs w:val="20"/>
        </w:rPr>
        <w:t xml:space="preserve"> </w:t>
      </w:r>
      <w:r w:rsidR="002B1BB7" w:rsidRPr="00CD0964">
        <w:rPr>
          <w:rFonts w:ascii="Arial" w:hAnsi="Arial" w:cs="Arial"/>
          <w:sz w:val="20"/>
          <w:szCs w:val="20"/>
        </w:rPr>
        <w:t>turnuvalarının</w:t>
      </w:r>
      <w:r w:rsidR="00CE3A13" w:rsidRPr="00CD0964">
        <w:rPr>
          <w:rFonts w:ascii="Arial" w:hAnsi="Arial" w:cs="Arial"/>
          <w:sz w:val="20"/>
          <w:szCs w:val="20"/>
        </w:rPr>
        <w:t xml:space="preserve"> </w:t>
      </w:r>
      <w:r w:rsidR="002B1BB7" w:rsidRPr="00CD0964">
        <w:rPr>
          <w:rFonts w:ascii="Arial" w:hAnsi="Arial" w:cs="Arial"/>
          <w:sz w:val="20"/>
          <w:szCs w:val="20"/>
        </w:rPr>
        <w:t>formatları</w:t>
      </w:r>
      <w:r w:rsidR="000A4A29" w:rsidRPr="00CD0964">
        <w:rPr>
          <w:rFonts w:ascii="Arial" w:hAnsi="Arial" w:cs="Arial"/>
          <w:sz w:val="20"/>
          <w:szCs w:val="20"/>
        </w:rPr>
        <w:t xml:space="preserve"> zamanla değişime uğradı. </w:t>
      </w:r>
      <w:r w:rsidR="002B1BB7" w:rsidRPr="00CD0964">
        <w:rPr>
          <w:rFonts w:ascii="Arial" w:hAnsi="Arial" w:cs="Arial"/>
          <w:sz w:val="20"/>
          <w:szCs w:val="20"/>
        </w:rPr>
        <w:t>Örneğin</w:t>
      </w:r>
      <w:r w:rsidR="00CE3A13" w:rsidRPr="00CD0964">
        <w:rPr>
          <w:rFonts w:ascii="Arial" w:hAnsi="Arial" w:cs="Arial"/>
          <w:sz w:val="20"/>
          <w:szCs w:val="20"/>
        </w:rPr>
        <w:t xml:space="preserve"> </w:t>
      </w:r>
      <w:r w:rsidR="000A4A29" w:rsidRPr="00CD0964">
        <w:rPr>
          <w:rFonts w:ascii="Arial" w:hAnsi="Arial" w:cs="Arial"/>
          <w:sz w:val="20"/>
          <w:szCs w:val="20"/>
        </w:rPr>
        <w:t xml:space="preserve">Şampiyonlar Ligi'nde </w:t>
      </w:r>
      <w:r w:rsidR="00E94615" w:rsidRPr="00CD0964">
        <w:rPr>
          <w:rFonts w:ascii="Arial" w:hAnsi="Arial" w:cs="Arial"/>
          <w:sz w:val="20"/>
          <w:szCs w:val="20"/>
        </w:rPr>
        <w:t>önceleri var olan</w:t>
      </w:r>
      <w:r w:rsidR="00CE3A13" w:rsidRPr="00CD0964">
        <w:rPr>
          <w:rFonts w:ascii="Arial" w:hAnsi="Arial" w:cs="Arial"/>
          <w:sz w:val="20"/>
          <w:szCs w:val="20"/>
        </w:rPr>
        <w:t xml:space="preserve"> iki </w:t>
      </w:r>
      <w:r w:rsidR="002B1BB7" w:rsidRPr="00CD0964">
        <w:rPr>
          <w:rFonts w:ascii="Arial" w:hAnsi="Arial" w:cs="Arial"/>
          <w:sz w:val="20"/>
          <w:szCs w:val="20"/>
        </w:rPr>
        <w:t>maçlı</w:t>
      </w:r>
      <w:r w:rsidR="00CE3A13" w:rsidRPr="00CD0964">
        <w:rPr>
          <w:rFonts w:ascii="Arial" w:hAnsi="Arial" w:cs="Arial"/>
          <w:sz w:val="20"/>
          <w:szCs w:val="20"/>
        </w:rPr>
        <w:t xml:space="preserve"> eliminasyon sistem</w:t>
      </w:r>
      <w:r w:rsidR="00E94615" w:rsidRPr="00CD0964">
        <w:rPr>
          <w:rFonts w:ascii="Arial" w:hAnsi="Arial" w:cs="Arial"/>
          <w:sz w:val="20"/>
          <w:szCs w:val="20"/>
        </w:rPr>
        <w:t>i</w:t>
      </w:r>
      <w:r w:rsidR="00CE3A13" w:rsidRPr="00CD0964">
        <w:rPr>
          <w:rFonts w:ascii="Arial" w:hAnsi="Arial" w:cs="Arial"/>
          <w:sz w:val="20"/>
          <w:szCs w:val="20"/>
        </w:rPr>
        <w:t xml:space="preserve"> 1992’de yerini grup maçlarına </w:t>
      </w:r>
      <w:r w:rsidR="002B1BB7" w:rsidRPr="00CD0964">
        <w:rPr>
          <w:rFonts w:ascii="Arial" w:hAnsi="Arial" w:cs="Arial"/>
          <w:sz w:val="20"/>
          <w:szCs w:val="20"/>
        </w:rPr>
        <w:t>bıraktı</w:t>
      </w:r>
      <w:r w:rsidR="000A4A29" w:rsidRPr="00CD0964">
        <w:rPr>
          <w:rFonts w:ascii="Arial" w:hAnsi="Arial" w:cs="Arial"/>
          <w:sz w:val="20"/>
          <w:szCs w:val="20"/>
        </w:rPr>
        <w:t xml:space="preserve">. </w:t>
      </w:r>
      <w:r w:rsidR="00CE3A13" w:rsidRPr="00CD0964">
        <w:rPr>
          <w:rFonts w:ascii="Arial" w:hAnsi="Arial" w:cs="Arial"/>
          <w:sz w:val="20"/>
          <w:szCs w:val="20"/>
        </w:rPr>
        <w:t xml:space="preserve">Turnuvaya </w:t>
      </w:r>
      <w:r w:rsidR="002B1BB7" w:rsidRPr="00CD0964">
        <w:rPr>
          <w:rFonts w:ascii="Arial" w:hAnsi="Arial" w:cs="Arial"/>
          <w:sz w:val="20"/>
          <w:szCs w:val="20"/>
        </w:rPr>
        <w:t>katılan</w:t>
      </w:r>
      <w:r w:rsidR="00CE3A13" w:rsidRPr="00CD0964">
        <w:rPr>
          <w:rFonts w:ascii="Arial" w:hAnsi="Arial" w:cs="Arial"/>
          <w:sz w:val="20"/>
          <w:szCs w:val="20"/>
        </w:rPr>
        <w:t xml:space="preserve"> t</w:t>
      </w:r>
      <w:r w:rsidR="000A4A29" w:rsidRPr="00CD0964">
        <w:rPr>
          <w:rFonts w:ascii="Arial" w:hAnsi="Arial" w:cs="Arial"/>
          <w:sz w:val="20"/>
          <w:szCs w:val="20"/>
        </w:rPr>
        <w:t>akımların sayısı birkaç kez değişti</w:t>
      </w:r>
      <w:r w:rsidR="00CE3A13" w:rsidRPr="00CD0964">
        <w:rPr>
          <w:rFonts w:ascii="Arial" w:hAnsi="Arial" w:cs="Arial"/>
          <w:sz w:val="20"/>
          <w:szCs w:val="20"/>
        </w:rPr>
        <w:t>rildi</w:t>
      </w:r>
      <w:r w:rsidR="000A4A29" w:rsidRPr="00CD0964">
        <w:rPr>
          <w:rFonts w:ascii="Arial" w:hAnsi="Arial" w:cs="Arial"/>
          <w:sz w:val="20"/>
          <w:szCs w:val="20"/>
        </w:rPr>
        <w:t>. Bö</w:t>
      </w:r>
      <w:r w:rsidR="00CE3A13" w:rsidRPr="00CD0964">
        <w:rPr>
          <w:rFonts w:ascii="Arial" w:hAnsi="Arial" w:cs="Arial"/>
          <w:sz w:val="20"/>
          <w:szCs w:val="20"/>
        </w:rPr>
        <w:t>yle değişken</w:t>
      </w:r>
      <w:r w:rsidR="000A4A29" w:rsidRPr="00CD0964">
        <w:rPr>
          <w:rFonts w:ascii="Arial" w:hAnsi="Arial" w:cs="Arial"/>
          <w:sz w:val="20"/>
          <w:szCs w:val="20"/>
        </w:rPr>
        <w:t xml:space="preserve"> bir ortamda futbol kulüplerinin performanslarını ölçmek </w:t>
      </w:r>
      <w:r w:rsidR="00CE3A13" w:rsidRPr="00CD0964">
        <w:rPr>
          <w:rFonts w:ascii="Arial" w:hAnsi="Arial" w:cs="Arial"/>
          <w:sz w:val="20"/>
          <w:szCs w:val="20"/>
        </w:rPr>
        <w:t>hayli</w:t>
      </w:r>
      <w:r w:rsidR="000A4A29" w:rsidRPr="00CD0964">
        <w:rPr>
          <w:rFonts w:ascii="Arial" w:hAnsi="Arial" w:cs="Arial"/>
          <w:sz w:val="20"/>
          <w:szCs w:val="20"/>
        </w:rPr>
        <w:t xml:space="preserve"> zordur. </w:t>
      </w:r>
      <w:r w:rsidR="00CE3A13" w:rsidRPr="00CD0964">
        <w:rPr>
          <w:rFonts w:ascii="Arial" w:hAnsi="Arial" w:cs="Arial"/>
          <w:sz w:val="20"/>
          <w:szCs w:val="20"/>
        </w:rPr>
        <w:t xml:space="preserve">Bu </w:t>
      </w:r>
      <w:r w:rsidR="002B1BB7" w:rsidRPr="00CD0964">
        <w:rPr>
          <w:rFonts w:ascii="Arial" w:hAnsi="Arial" w:cs="Arial"/>
          <w:sz w:val="20"/>
          <w:szCs w:val="20"/>
        </w:rPr>
        <w:t>ölçülse</w:t>
      </w:r>
      <w:r w:rsidR="00CE3A13" w:rsidRPr="00CD0964">
        <w:rPr>
          <w:rFonts w:ascii="Arial" w:hAnsi="Arial" w:cs="Arial"/>
          <w:sz w:val="20"/>
          <w:szCs w:val="20"/>
        </w:rPr>
        <w:t xml:space="preserve"> dahi</w:t>
      </w:r>
      <w:r w:rsidR="002424A5" w:rsidRPr="00CD0964">
        <w:rPr>
          <w:rFonts w:ascii="Arial" w:hAnsi="Arial" w:cs="Arial"/>
          <w:sz w:val="20"/>
          <w:szCs w:val="20"/>
        </w:rPr>
        <w:t>,</w:t>
      </w:r>
      <w:r w:rsidR="002B1BB7" w:rsidRPr="00CD0964">
        <w:rPr>
          <w:rFonts w:ascii="Arial" w:hAnsi="Arial" w:cs="Arial"/>
          <w:sz w:val="20"/>
          <w:szCs w:val="20"/>
        </w:rPr>
        <w:t xml:space="preserve"> herhangi bir takımın</w:t>
      </w:r>
      <w:r w:rsidR="00CD090C" w:rsidRPr="00CD0964">
        <w:rPr>
          <w:rFonts w:ascii="Arial" w:hAnsi="Arial" w:cs="Arial"/>
          <w:sz w:val="20"/>
          <w:szCs w:val="20"/>
        </w:rPr>
        <w:t xml:space="preserve"> </w:t>
      </w:r>
      <w:r w:rsidR="002B1BB7" w:rsidRPr="00CD0964">
        <w:rPr>
          <w:rFonts w:ascii="Arial" w:hAnsi="Arial" w:cs="Arial"/>
          <w:sz w:val="20"/>
          <w:szCs w:val="20"/>
        </w:rPr>
        <w:t>yıl</w:t>
      </w:r>
      <w:r w:rsidR="00CD090C" w:rsidRPr="00CD0964">
        <w:rPr>
          <w:rFonts w:ascii="Arial" w:hAnsi="Arial" w:cs="Arial"/>
          <w:sz w:val="20"/>
          <w:szCs w:val="20"/>
        </w:rPr>
        <w:t xml:space="preserve"> içerisindeki </w:t>
      </w:r>
      <w:r w:rsidR="002B1BB7" w:rsidRPr="00CD0964">
        <w:rPr>
          <w:rFonts w:ascii="Arial" w:hAnsi="Arial" w:cs="Arial"/>
          <w:sz w:val="20"/>
          <w:szCs w:val="20"/>
        </w:rPr>
        <w:t>performansını</w:t>
      </w:r>
      <w:r w:rsidR="00CD090C" w:rsidRPr="00CD0964">
        <w:rPr>
          <w:rFonts w:ascii="Arial" w:hAnsi="Arial" w:cs="Arial"/>
          <w:sz w:val="20"/>
          <w:szCs w:val="20"/>
        </w:rPr>
        <w:t xml:space="preserve"> ölçmek </w:t>
      </w:r>
      <w:r w:rsidR="002B1BB7" w:rsidRPr="00CD0964">
        <w:rPr>
          <w:rFonts w:ascii="Arial" w:hAnsi="Arial" w:cs="Arial"/>
          <w:sz w:val="20"/>
          <w:szCs w:val="20"/>
        </w:rPr>
        <w:t>için</w:t>
      </w:r>
      <w:r w:rsidR="000A4A29" w:rsidRPr="00CD0964">
        <w:rPr>
          <w:rFonts w:ascii="Arial" w:hAnsi="Arial" w:cs="Arial"/>
          <w:sz w:val="20"/>
          <w:szCs w:val="20"/>
        </w:rPr>
        <w:t xml:space="preserve"> </w:t>
      </w:r>
      <w:r w:rsidR="002B1BB7" w:rsidRPr="00CD0964">
        <w:rPr>
          <w:rFonts w:ascii="Arial" w:hAnsi="Arial" w:cs="Arial"/>
          <w:sz w:val="20"/>
          <w:szCs w:val="20"/>
        </w:rPr>
        <w:t>takımın</w:t>
      </w:r>
      <w:r w:rsidR="00CD090C" w:rsidRPr="00CD0964">
        <w:rPr>
          <w:rFonts w:ascii="Arial" w:hAnsi="Arial" w:cs="Arial"/>
          <w:sz w:val="20"/>
          <w:szCs w:val="20"/>
        </w:rPr>
        <w:t xml:space="preserve"> </w:t>
      </w:r>
      <w:r w:rsidR="000A4A29" w:rsidRPr="00CD0964">
        <w:rPr>
          <w:rFonts w:ascii="Arial" w:hAnsi="Arial" w:cs="Arial"/>
          <w:sz w:val="20"/>
          <w:szCs w:val="20"/>
        </w:rPr>
        <w:t xml:space="preserve">Şampiyonlar Ligi ve ulusal ligdeki performanslarını birleştirmek </w:t>
      </w:r>
      <w:r w:rsidR="00CD090C" w:rsidRPr="00CD0964">
        <w:rPr>
          <w:rFonts w:ascii="Arial" w:hAnsi="Arial" w:cs="Arial"/>
          <w:sz w:val="20"/>
          <w:szCs w:val="20"/>
        </w:rPr>
        <w:t xml:space="preserve">gerekecektir. Oysa ki </w:t>
      </w:r>
      <w:r w:rsidR="002B1BB7" w:rsidRPr="00CD0964">
        <w:rPr>
          <w:rFonts w:ascii="Arial" w:hAnsi="Arial" w:cs="Arial"/>
          <w:sz w:val="20"/>
          <w:szCs w:val="20"/>
        </w:rPr>
        <w:t>Şampiyonlar</w:t>
      </w:r>
      <w:r w:rsidR="00CD090C" w:rsidRPr="00CD0964">
        <w:rPr>
          <w:rFonts w:ascii="Arial" w:hAnsi="Arial" w:cs="Arial"/>
          <w:sz w:val="20"/>
          <w:szCs w:val="20"/>
        </w:rPr>
        <w:t xml:space="preserve"> Ligi ve ulusal liglerdeki rekabet </w:t>
      </w:r>
      <w:r w:rsidR="002B1BB7" w:rsidRPr="00CD0964">
        <w:rPr>
          <w:rFonts w:ascii="Arial" w:hAnsi="Arial" w:cs="Arial"/>
          <w:sz w:val="20"/>
          <w:szCs w:val="20"/>
        </w:rPr>
        <w:t>ortamları</w:t>
      </w:r>
      <w:r w:rsidR="00CD090C" w:rsidRPr="00CD0964">
        <w:rPr>
          <w:rFonts w:ascii="Arial" w:hAnsi="Arial" w:cs="Arial"/>
          <w:sz w:val="20"/>
          <w:szCs w:val="20"/>
        </w:rPr>
        <w:t xml:space="preserve"> birbirinden </w:t>
      </w:r>
      <w:r w:rsidR="002B1BB7" w:rsidRPr="00CD0964">
        <w:rPr>
          <w:rFonts w:ascii="Arial" w:hAnsi="Arial" w:cs="Arial"/>
          <w:sz w:val="20"/>
          <w:szCs w:val="20"/>
        </w:rPr>
        <w:t>çok</w:t>
      </w:r>
      <w:r w:rsidR="00CD090C" w:rsidRPr="00CD0964">
        <w:rPr>
          <w:rFonts w:ascii="Arial" w:hAnsi="Arial" w:cs="Arial"/>
          <w:sz w:val="20"/>
          <w:szCs w:val="20"/>
        </w:rPr>
        <w:t xml:space="preserve"> </w:t>
      </w:r>
      <w:r w:rsidR="002B1BB7" w:rsidRPr="00CD0964">
        <w:rPr>
          <w:rFonts w:ascii="Arial" w:hAnsi="Arial" w:cs="Arial"/>
          <w:sz w:val="20"/>
          <w:szCs w:val="20"/>
        </w:rPr>
        <w:t>farklı</w:t>
      </w:r>
      <w:r w:rsidR="00CD090C" w:rsidRPr="00CD0964">
        <w:rPr>
          <w:rFonts w:ascii="Arial" w:hAnsi="Arial" w:cs="Arial"/>
          <w:sz w:val="20"/>
          <w:szCs w:val="20"/>
        </w:rPr>
        <w:t xml:space="preserve"> olduğundan</w:t>
      </w:r>
      <w:r w:rsidR="002424A5" w:rsidRPr="00CD0964">
        <w:rPr>
          <w:rFonts w:ascii="Arial" w:hAnsi="Arial" w:cs="Arial"/>
          <w:sz w:val="20"/>
          <w:szCs w:val="20"/>
        </w:rPr>
        <w:t>,</w:t>
      </w:r>
      <w:r w:rsidR="00CD090C" w:rsidRPr="00CD0964">
        <w:rPr>
          <w:rFonts w:ascii="Arial" w:hAnsi="Arial" w:cs="Arial"/>
          <w:sz w:val="20"/>
          <w:szCs w:val="20"/>
        </w:rPr>
        <w:t xml:space="preserve"> böyle bir birleştirme işlemi elmalarla </w:t>
      </w:r>
      <w:r w:rsidR="002B1BB7" w:rsidRPr="00CD0964">
        <w:rPr>
          <w:rFonts w:ascii="Arial" w:hAnsi="Arial" w:cs="Arial"/>
          <w:sz w:val="20"/>
          <w:szCs w:val="20"/>
        </w:rPr>
        <w:t>armutları</w:t>
      </w:r>
      <w:r w:rsidR="00CD090C" w:rsidRPr="00CD0964">
        <w:rPr>
          <w:rFonts w:ascii="Arial" w:hAnsi="Arial" w:cs="Arial"/>
          <w:sz w:val="20"/>
          <w:szCs w:val="20"/>
        </w:rPr>
        <w:t xml:space="preserve"> toplamak gibidir. </w:t>
      </w:r>
    </w:p>
    <w:p w:rsidR="00034BBD" w:rsidRPr="00CD0964" w:rsidRDefault="000A4A29" w:rsidP="001F3A29">
      <w:pPr>
        <w:spacing w:line="276" w:lineRule="auto"/>
        <w:ind w:firstLine="340"/>
        <w:jc w:val="both"/>
        <w:rPr>
          <w:rFonts w:ascii="Arial" w:hAnsi="Arial" w:cs="Arial"/>
          <w:sz w:val="20"/>
          <w:szCs w:val="20"/>
        </w:rPr>
      </w:pPr>
      <w:r w:rsidRPr="00CD0964">
        <w:rPr>
          <w:rFonts w:ascii="Arial" w:hAnsi="Arial" w:cs="Arial"/>
          <w:sz w:val="20"/>
          <w:szCs w:val="20"/>
        </w:rPr>
        <w:t xml:space="preserve">İkinci </w:t>
      </w:r>
      <w:r w:rsidR="00CD090C" w:rsidRPr="00CD0964">
        <w:rPr>
          <w:rFonts w:ascii="Arial" w:hAnsi="Arial" w:cs="Arial"/>
          <w:sz w:val="20"/>
          <w:szCs w:val="20"/>
        </w:rPr>
        <w:t>bir husus</w:t>
      </w:r>
      <w:r w:rsidRPr="00CD0964">
        <w:rPr>
          <w:rFonts w:ascii="Arial" w:hAnsi="Arial" w:cs="Arial"/>
          <w:sz w:val="20"/>
          <w:szCs w:val="20"/>
        </w:rPr>
        <w:t xml:space="preserve">, taraftarların </w:t>
      </w:r>
      <w:r w:rsidR="00CD090C" w:rsidRPr="00CD0964">
        <w:rPr>
          <w:rFonts w:ascii="Arial" w:hAnsi="Arial" w:cs="Arial"/>
          <w:sz w:val="20"/>
          <w:szCs w:val="20"/>
        </w:rPr>
        <w:t xml:space="preserve">rakip </w:t>
      </w:r>
      <w:r w:rsidR="002B1BB7" w:rsidRPr="00CD0964">
        <w:rPr>
          <w:rFonts w:ascii="Arial" w:hAnsi="Arial" w:cs="Arial"/>
          <w:sz w:val="20"/>
          <w:szCs w:val="20"/>
        </w:rPr>
        <w:t>takım</w:t>
      </w:r>
      <w:r w:rsidR="00CD090C" w:rsidRPr="00CD0964">
        <w:rPr>
          <w:rFonts w:ascii="Arial" w:hAnsi="Arial" w:cs="Arial"/>
          <w:sz w:val="20"/>
          <w:szCs w:val="20"/>
        </w:rPr>
        <w:t xml:space="preserve"> hakkındaki </w:t>
      </w:r>
      <w:r w:rsidR="002424A5" w:rsidRPr="00CD0964">
        <w:rPr>
          <w:rFonts w:ascii="Arial" w:hAnsi="Arial" w:cs="Arial"/>
          <w:sz w:val="20"/>
          <w:szCs w:val="20"/>
        </w:rPr>
        <w:t xml:space="preserve">hisleri ve </w:t>
      </w:r>
      <w:r w:rsidR="002B1BB7" w:rsidRPr="00CD0964">
        <w:rPr>
          <w:rFonts w:ascii="Arial" w:hAnsi="Arial" w:cs="Arial"/>
          <w:sz w:val="20"/>
          <w:szCs w:val="20"/>
        </w:rPr>
        <w:t>düşünceleri</w:t>
      </w:r>
      <w:r w:rsidRPr="00CD0964">
        <w:rPr>
          <w:rFonts w:ascii="Arial" w:hAnsi="Arial" w:cs="Arial"/>
          <w:sz w:val="20"/>
          <w:szCs w:val="20"/>
        </w:rPr>
        <w:t xml:space="preserve">, </w:t>
      </w:r>
      <w:r w:rsidR="002B1BB7" w:rsidRPr="00CD0964">
        <w:rPr>
          <w:rFonts w:ascii="Arial" w:hAnsi="Arial" w:cs="Arial"/>
          <w:sz w:val="20"/>
          <w:szCs w:val="20"/>
        </w:rPr>
        <w:t>söz</w:t>
      </w:r>
      <w:r w:rsidR="00CD090C" w:rsidRPr="00CD0964">
        <w:rPr>
          <w:rFonts w:ascii="Arial" w:hAnsi="Arial" w:cs="Arial"/>
          <w:sz w:val="20"/>
          <w:szCs w:val="20"/>
        </w:rPr>
        <w:t xml:space="preserve"> konusu </w:t>
      </w:r>
      <w:r w:rsidRPr="00CD0964">
        <w:rPr>
          <w:rFonts w:ascii="Arial" w:hAnsi="Arial" w:cs="Arial"/>
          <w:sz w:val="20"/>
          <w:szCs w:val="20"/>
        </w:rPr>
        <w:t>Şampiyonlar Ligi</w:t>
      </w:r>
      <w:r w:rsidR="00CD090C" w:rsidRPr="00CD0964">
        <w:rPr>
          <w:rFonts w:ascii="Arial" w:hAnsi="Arial" w:cs="Arial"/>
          <w:sz w:val="20"/>
          <w:szCs w:val="20"/>
        </w:rPr>
        <w:t xml:space="preserve"> olduğunda </w:t>
      </w:r>
      <w:r w:rsidR="002B1BB7" w:rsidRPr="00CD0964">
        <w:rPr>
          <w:rFonts w:ascii="Arial" w:hAnsi="Arial" w:cs="Arial"/>
          <w:sz w:val="20"/>
          <w:szCs w:val="20"/>
        </w:rPr>
        <w:t>farklılıklar</w:t>
      </w:r>
      <w:r w:rsidR="00CD090C" w:rsidRPr="00CD0964">
        <w:rPr>
          <w:rFonts w:ascii="Arial" w:hAnsi="Arial" w:cs="Arial"/>
          <w:sz w:val="20"/>
          <w:szCs w:val="20"/>
        </w:rPr>
        <w:t xml:space="preserve"> </w:t>
      </w:r>
      <w:r w:rsidR="002B1BB7" w:rsidRPr="00CD0964">
        <w:rPr>
          <w:rFonts w:ascii="Arial" w:hAnsi="Arial" w:cs="Arial"/>
          <w:sz w:val="20"/>
          <w:szCs w:val="20"/>
        </w:rPr>
        <w:t>gösterebilir</w:t>
      </w:r>
      <w:r w:rsidRPr="00CD0964">
        <w:rPr>
          <w:rFonts w:ascii="Arial" w:hAnsi="Arial" w:cs="Arial"/>
          <w:sz w:val="20"/>
          <w:szCs w:val="20"/>
        </w:rPr>
        <w:t xml:space="preserve">. </w:t>
      </w:r>
      <w:r w:rsidR="002B1BB7" w:rsidRPr="00CD0964">
        <w:rPr>
          <w:rFonts w:ascii="Arial" w:hAnsi="Arial" w:cs="Arial"/>
          <w:sz w:val="20"/>
          <w:szCs w:val="20"/>
        </w:rPr>
        <w:t>Örneğin</w:t>
      </w:r>
      <w:r w:rsidRPr="00CD0964">
        <w:rPr>
          <w:rFonts w:ascii="Arial" w:hAnsi="Arial" w:cs="Arial"/>
          <w:sz w:val="20"/>
          <w:szCs w:val="20"/>
        </w:rPr>
        <w:t xml:space="preserve"> </w:t>
      </w:r>
      <w:r w:rsidR="002B1BB7" w:rsidRPr="00CD0964">
        <w:rPr>
          <w:rFonts w:ascii="Arial" w:hAnsi="Arial" w:cs="Arial"/>
          <w:sz w:val="20"/>
          <w:szCs w:val="20"/>
        </w:rPr>
        <w:t>bir takımın</w:t>
      </w:r>
      <w:r w:rsidR="00CD090C" w:rsidRPr="00CD0964">
        <w:rPr>
          <w:rFonts w:ascii="Arial" w:hAnsi="Arial" w:cs="Arial"/>
          <w:sz w:val="20"/>
          <w:szCs w:val="20"/>
        </w:rPr>
        <w:t xml:space="preserve"> </w:t>
      </w:r>
      <w:r w:rsidR="006356FB" w:rsidRPr="00CD0964">
        <w:rPr>
          <w:rFonts w:ascii="Arial" w:hAnsi="Arial" w:cs="Arial"/>
          <w:sz w:val="20"/>
          <w:szCs w:val="20"/>
        </w:rPr>
        <w:t>taraftarları</w:t>
      </w:r>
      <w:r w:rsidR="00CD090C" w:rsidRPr="00CD0964">
        <w:rPr>
          <w:rFonts w:ascii="Arial" w:hAnsi="Arial" w:cs="Arial"/>
          <w:sz w:val="20"/>
          <w:szCs w:val="20"/>
        </w:rPr>
        <w:t xml:space="preserve"> ezeli rakipleri olan bir diğer </w:t>
      </w:r>
      <w:r w:rsidR="00C017B2" w:rsidRPr="00CD0964">
        <w:rPr>
          <w:rFonts w:ascii="Arial" w:hAnsi="Arial" w:cs="Arial"/>
          <w:sz w:val="20"/>
          <w:szCs w:val="20"/>
        </w:rPr>
        <w:t>takımı</w:t>
      </w:r>
      <w:r w:rsidR="00CD090C" w:rsidRPr="00CD0964">
        <w:rPr>
          <w:rFonts w:ascii="Arial" w:hAnsi="Arial" w:cs="Arial"/>
          <w:sz w:val="20"/>
          <w:szCs w:val="20"/>
        </w:rPr>
        <w:t xml:space="preserve"> destekleyebilirler. Bu durum farklı motivasyonlardan kaynaklanabilir. Rakip takımın başarısı o </w:t>
      </w:r>
      <w:r w:rsidR="00C017B2" w:rsidRPr="00CD0964">
        <w:rPr>
          <w:rFonts w:ascii="Arial" w:hAnsi="Arial" w:cs="Arial"/>
          <w:sz w:val="20"/>
          <w:szCs w:val="20"/>
        </w:rPr>
        <w:t>ligdeki</w:t>
      </w:r>
      <w:r w:rsidR="00CD090C" w:rsidRPr="00CD0964">
        <w:rPr>
          <w:rFonts w:ascii="Arial" w:hAnsi="Arial" w:cs="Arial"/>
          <w:sz w:val="20"/>
          <w:szCs w:val="20"/>
        </w:rPr>
        <w:t xml:space="preserve"> diğer </w:t>
      </w:r>
      <w:r w:rsidR="00C017B2" w:rsidRPr="00CD0964">
        <w:rPr>
          <w:rFonts w:ascii="Arial" w:hAnsi="Arial" w:cs="Arial"/>
          <w:sz w:val="20"/>
          <w:szCs w:val="20"/>
        </w:rPr>
        <w:t>takımların</w:t>
      </w:r>
      <w:r w:rsidR="00CD090C" w:rsidRPr="00CD0964">
        <w:rPr>
          <w:rFonts w:ascii="Arial" w:hAnsi="Arial" w:cs="Arial"/>
          <w:sz w:val="20"/>
          <w:szCs w:val="20"/>
        </w:rPr>
        <w:t xml:space="preserve"> da (</w:t>
      </w:r>
      <w:r w:rsidR="00C017B2" w:rsidRPr="00CD0964">
        <w:rPr>
          <w:rFonts w:ascii="Arial" w:hAnsi="Arial" w:cs="Arial"/>
          <w:sz w:val="20"/>
          <w:szCs w:val="20"/>
        </w:rPr>
        <w:t>dolayısıyla</w:t>
      </w:r>
      <w:r w:rsidR="00CD090C" w:rsidRPr="00CD0964">
        <w:rPr>
          <w:rFonts w:ascii="Arial" w:hAnsi="Arial" w:cs="Arial"/>
          <w:sz w:val="20"/>
          <w:szCs w:val="20"/>
        </w:rPr>
        <w:t xml:space="preserve"> </w:t>
      </w:r>
      <w:r w:rsidR="00C017B2" w:rsidRPr="00CD0964">
        <w:rPr>
          <w:rFonts w:ascii="Arial" w:hAnsi="Arial" w:cs="Arial"/>
          <w:sz w:val="20"/>
          <w:szCs w:val="20"/>
        </w:rPr>
        <w:t>tuttukları takımın</w:t>
      </w:r>
      <w:r w:rsidR="00CD090C" w:rsidRPr="00CD0964">
        <w:rPr>
          <w:rFonts w:ascii="Arial" w:hAnsi="Arial" w:cs="Arial"/>
          <w:sz w:val="20"/>
          <w:szCs w:val="20"/>
        </w:rPr>
        <w:t xml:space="preserve"> da)</w:t>
      </w:r>
      <w:r w:rsidRPr="00CD0964">
        <w:rPr>
          <w:rFonts w:ascii="Arial" w:hAnsi="Arial" w:cs="Arial"/>
          <w:sz w:val="20"/>
          <w:szCs w:val="20"/>
        </w:rPr>
        <w:t xml:space="preserve"> </w:t>
      </w:r>
      <w:r w:rsidR="00CD090C" w:rsidRPr="00CD0964">
        <w:rPr>
          <w:rFonts w:ascii="Arial" w:hAnsi="Arial" w:cs="Arial"/>
          <w:sz w:val="20"/>
          <w:szCs w:val="20"/>
        </w:rPr>
        <w:t xml:space="preserve">yüksek standartlara sahip olduğu sinyalini vermektedir. </w:t>
      </w:r>
      <w:r w:rsidRPr="00CD0964">
        <w:rPr>
          <w:rFonts w:ascii="Arial" w:hAnsi="Arial" w:cs="Arial"/>
          <w:sz w:val="20"/>
          <w:szCs w:val="20"/>
        </w:rPr>
        <w:t xml:space="preserve">Aynı zamanda, </w:t>
      </w:r>
      <w:r w:rsidR="00C017B2" w:rsidRPr="00CD0964">
        <w:rPr>
          <w:rFonts w:ascii="Arial" w:hAnsi="Arial" w:cs="Arial"/>
          <w:sz w:val="20"/>
          <w:szCs w:val="20"/>
        </w:rPr>
        <w:t>rakip takımın</w:t>
      </w:r>
      <w:r w:rsidR="00CD090C" w:rsidRPr="00CD0964">
        <w:rPr>
          <w:rFonts w:ascii="Arial" w:hAnsi="Arial" w:cs="Arial"/>
          <w:sz w:val="20"/>
          <w:szCs w:val="20"/>
        </w:rPr>
        <w:t xml:space="preserve"> </w:t>
      </w:r>
      <w:r w:rsidR="002424A5" w:rsidRPr="00CD0964">
        <w:rPr>
          <w:rFonts w:ascii="Arial" w:hAnsi="Arial" w:cs="Arial"/>
          <w:sz w:val="20"/>
          <w:szCs w:val="20"/>
        </w:rPr>
        <w:t>uluslararası platformdaki başarısı</w:t>
      </w:r>
      <w:r w:rsidR="00122FB6" w:rsidRPr="00CD0964">
        <w:rPr>
          <w:rFonts w:ascii="Arial" w:hAnsi="Arial" w:cs="Arial"/>
          <w:sz w:val="20"/>
          <w:szCs w:val="20"/>
        </w:rPr>
        <w:t>,</w:t>
      </w:r>
      <w:r w:rsidR="00C017B2" w:rsidRPr="00CD0964">
        <w:rPr>
          <w:rFonts w:ascii="Arial" w:hAnsi="Arial" w:cs="Arial"/>
          <w:sz w:val="20"/>
          <w:szCs w:val="20"/>
        </w:rPr>
        <w:t xml:space="preserve"> takımın</w:t>
      </w:r>
      <w:r w:rsidR="00CD090C" w:rsidRPr="00CD0964">
        <w:rPr>
          <w:rFonts w:ascii="Arial" w:hAnsi="Arial" w:cs="Arial"/>
          <w:sz w:val="20"/>
          <w:szCs w:val="20"/>
        </w:rPr>
        <w:t xml:space="preserve"> </w:t>
      </w:r>
      <w:r w:rsidR="00C017B2" w:rsidRPr="00CD0964">
        <w:rPr>
          <w:rFonts w:ascii="Arial" w:hAnsi="Arial" w:cs="Arial"/>
          <w:sz w:val="20"/>
          <w:szCs w:val="20"/>
        </w:rPr>
        <w:t>oynadığı</w:t>
      </w:r>
      <w:r w:rsidR="00CD090C" w:rsidRPr="00CD0964">
        <w:rPr>
          <w:rFonts w:ascii="Arial" w:hAnsi="Arial" w:cs="Arial"/>
          <w:sz w:val="20"/>
          <w:szCs w:val="20"/>
        </w:rPr>
        <w:t xml:space="preserve"> lige dünya </w:t>
      </w:r>
      <w:r w:rsidR="00C017B2" w:rsidRPr="00CD0964">
        <w:rPr>
          <w:rFonts w:ascii="Arial" w:hAnsi="Arial" w:cs="Arial"/>
          <w:sz w:val="20"/>
          <w:szCs w:val="20"/>
        </w:rPr>
        <w:t>çapında</w:t>
      </w:r>
      <w:r w:rsidR="00CD090C" w:rsidRPr="00CD0964">
        <w:rPr>
          <w:rFonts w:ascii="Arial" w:hAnsi="Arial" w:cs="Arial"/>
          <w:sz w:val="20"/>
          <w:szCs w:val="20"/>
        </w:rPr>
        <w:t xml:space="preserve"> ilgiyi </w:t>
      </w:r>
      <w:r w:rsidR="00C017B2" w:rsidRPr="00CD0964">
        <w:rPr>
          <w:rFonts w:ascii="Arial" w:hAnsi="Arial" w:cs="Arial"/>
          <w:sz w:val="20"/>
          <w:szCs w:val="20"/>
        </w:rPr>
        <w:t>artıracağından</w:t>
      </w:r>
      <w:r w:rsidR="002424A5" w:rsidRPr="00CD0964">
        <w:rPr>
          <w:rFonts w:ascii="Arial" w:hAnsi="Arial" w:cs="Arial"/>
          <w:sz w:val="20"/>
          <w:szCs w:val="20"/>
        </w:rPr>
        <w:t>,</w:t>
      </w:r>
      <w:r w:rsidR="00CD090C" w:rsidRPr="00CD0964">
        <w:rPr>
          <w:rFonts w:ascii="Arial" w:hAnsi="Arial" w:cs="Arial"/>
          <w:sz w:val="20"/>
          <w:szCs w:val="20"/>
        </w:rPr>
        <w:t xml:space="preserve"> bu durumdan </w:t>
      </w:r>
      <w:r w:rsidR="00C017B2" w:rsidRPr="00CD0964">
        <w:rPr>
          <w:rFonts w:ascii="Arial" w:hAnsi="Arial" w:cs="Arial"/>
          <w:sz w:val="20"/>
          <w:szCs w:val="20"/>
        </w:rPr>
        <w:t>bütün</w:t>
      </w:r>
      <w:r w:rsidR="00CD090C" w:rsidRPr="00CD0964">
        <w:rPr>
          <w:rFonts w:ascii="Arial" w:hAnsi="Arial" w:cs="Arial"/>
          <w:sz w:val="20"/>
          <w:szCs w:val="20"/>
        </w:rPr>
        <w:t xml:space="preserve"> </w:t>
      </w:r>
      <w:r w:rsidR="00C017B2" w:rsidRPr="00CD0964">
        <w:rPr>
          <w:rFonts w:ascii="Arial" w:hAnsi="Arial" w:cs="Arial"/>
          <w:sz w:val="20"/>
          <w:szCs w:val="20"/>
        </w:rPr>
        <w:t>takımlar</w:t>
      </w:r>
      <w:r w:rsidR="00CD090C" w:rsidRPr="00CD0964">
        <w:rPr>
          <w:rFonts w:ascii="Arial" w:hAnsi="Arial" w:cs="Arial"/>
          <w:sz w:val="20"/>
          <w:szCs w:val="20"/>
        </w:rPr>
        <w:t xml:space="preserve"> faydalanabilirler. </w:t>
      </w:r>
    </w:p>
    <w:p w:rsidR="00E37B72" w:rsidRPr="00CD0964" w:rsidRDefault="000A4A29" w:rsidP="001F3A29">
      <w:pPr>
        <w:spacing w:line="276" w:lineRule="auto"/>
        <w:ind w:firstLine="340"/>
        <w:jc w:val="both"/>
        <w:rPr>
          <w:rFonts w:ascii="Arial" w:hAnsi="Arial" w:cs="Arial"/>
          <w:sz w:val="20"/>
          <w:szCs w:val="20"/>
        </w:rPr>
      </w:pPr>
      <w:r w:rsidRPr="00CD0964">
        <w:rPr>
          <w:rFonts w:ascii="Arial" w:hAnsi="Arial" w:cs="Arial"/>
          <w:sz w:val="20"/>
          <w:szCs w:val="20"/>
        </w:rPr>
        <w:t xml:space="preserve">Son olarak, </w:t>
      </w:r>
      <w:r w:rsidR="00C017B2" w:rsidRPr="00CD0964">
        <w:rPr>
          <w:rFonts w:ascii="Arial" w:hAnsi="Arial" w:cs="Arial"/>
          <w:sz w:val="20"/>
          <w:szCs w:val="20"/>
        </w:rPr>
        <w:t>bazı</w:t>
      </w:r>
      <w:r w:rsidR="00CD090C" w:rsidRPr="00CD0964">
        <w:rPr>
          <w:rFonts w:ascii="Arial" w:hAnsi="Arial" w:cs="Arial"/>
          <w:sz w:val="20"/>
          <w:szCs w:val="20"/>
        </w:rPr>
        <w:t xml:space="preserve"> taraftarlar rakip takımların</w:t>
      </w:r>
      <w:r w:rsidRPr="00CD0964">
        <w:rPr>
          <w:rFonts w:ascii="Arial" w:hAnsi="Arial" w:cs="Arial"/>
          <w:sz w:val="20"/>
          <w:szCs w:val="20"/>
        </w:rPr>
        <w:t xml:space="preserve"> A</w:t>
      </w:r>
      <w:r w:rsidR="00CD090C" w:rsidRPr="00CD0964">
        <w:rPr>
          <w:rFonts w:ascii="Arial" w:hAnsi="Arial" w:cs="Arial"/>
          <w:sz w:val="20"/>
          <w:szCs w:val="20"/>
        </w:rPr>
        <w:t xml:space="preserve">vrupa'da daha uzun süre </w:t>
      </w:r>
      <w:r w:rsidR="00C017B2" w:rsidRPr="00CD0964">
        <w:rPr>
          <w:rFonts w:ascii="Arial" w:hAnsi="Arial" w:cs="Arial"/>
          <w:sz w:val="20"/>
          <w:szCs w:val="20"/>
        </w:rPr>
        <w:t>oynamalarını</w:t>
      </w:r>
      <w:r w:rsidRPr="00CD0964">
        <w:rPr>
          <w:rFonts w:ascii="Arial" w:hAnsi="Arial" w:cs="Arial"/>
          <w:sz w:val="20"/>
          <w:szCs w:val="20"/>
        </w:rPr>
        <w:t xml:space="preserve"> tercih edebilir</w:t>
      </w:r>
      <w:r w:rsidR="00CD090C" w:rsidRPr="00CD0964">
        <w:rPr>
          <w:rFonts w:ascii="Arial" w:hAnsi="Arial" w:cs="Arial"/>
          <w:sz w:val="20"/>
          <w:szCs w:val="20"/>
        </w:rPr>
        <w:t>ler</w:t>
      </w:r>
      <w:r w:rsidRPr="00CD0964">
        <w:rPr>
          <w:rFonts w:ascii="Arial" w:hAnsi="Arial" w:cs="Arial"/>
          <w:sz w:val="20"/>
          <w:szCs w:val="20"/>
        </w:rPr>
        <w:t>. Çünkü bu durumda, bu takımlar</w:t>
      </w:r>
      <w:r w:rsidR="00CD090C" w:rsidRPr="00CD0964">
        <w:rPr>
          <w:rFonts w:ascii="Arial" w:hAnsi="Arial" w:cs="Arial"/>
          <w:sz w:val="20"/>
          <w:szCs w:val="20"/>
        </w:rPr>
        <w:t xml:space="preserve"> ulusal lige daha az odaklanacak</w:t>
      </w:r>
      <w:r w:rsidRPr="00CD0964">
        <w:rPr>
          <w:rFonts w:ascii="Arial" w:hAnsi="Arial" w:cs="Arial"/>
          <w:sz w:val="20"/>
          <w:szCs w:val="20"/>
        </w:rPr>
        <w:t xml:space="preserve"> ve diğer rakip takımlara bir avantaj </w:t>
      </w:r>
      <w:r w:rsidR="00C017B2" w:rsidRPr="00CD0964">
        <w:rPr>
          <w:rFonts w:ascii="Arial" w:hAnsi="Arial" w:cs="Arial"/>
          <w:sz w:val="20"/>
          <w:szCs w:val="20"/>
        </w:rPr>
        <w:t>doğacaktır</w:t>
      </w:r>
      <w:r w:rsidRPr="00CD0964">
        <w:rPr>
          <w:rFonts w:ascii="Arial" w:hAnsi="Arial" w:cs="Arial"/>
          <w:sz w:val="20"/>
          <w:szCs w:val="20"/>
        </w:rPr>
        <w:t>. Bununla birlikte, bu</w:t>
      </w:r>
      <w:r w:rsidR="00963D3F" w:rsidRPr="00CD0964">
        <w:rPr>
          <w:rFonts w:ascii="Arial" w:hAnsi="Arial" w:cs="Arial"/>
          <w:sz w:val="20"/>
          <w:szCs w:val="20"/>
        </w:rPr>
        <w:t>rada</w:t>
      </w:r>
      <w:r w:rsidRPr="00CD0964">
        <w:rPr>
          <w:rFonts w:ascii="Arial" w:hAnsi="Arial" w:cs="Arial"/>
          <w:sz w:val="20"/>
          <w:szCs w:val="20"/>
        </w:rPr>
        <w:t xml:space="preserve"> </w:t>
      </w:r>
      <w:r w:rsidR="00C017B2" w:rsidRPr="00CD0964">
        <w:rPr>
          <w:rFonts w:ascii="Arial" w:hAnsi="Arial" w:cs="Arial"/>
          <w:sz w:val="20"/>
          <w:szCs w:val="20"/>
        </w:rPr>
        <w:t>yaptığımız</w:t>
      </w:r>
      <w:r w:rsidR="00963D3F" w:rsidRPr="00CD0964">
        <w:rPr>
          <w:rFonts w:ascii="Arial" w:hAnsi="Arial" w:cs="Arial"/>
          <w:sz w:val="20"/>
          <w:szCs w:val="20"/>
        </w:rPr>
        <w:t xml:space="preserve"> </w:t>
      </w:r>
      <w:r w:rsidRPr="00CD0964">
        <w:rPr>
          <w:rFonts w:ascii="Arial" w:hAnsi="Arial" w:cs="Arial"/>
          <w:sz w:val="20"/>
          <w:szCs w:val="20"/>
        </w:rPr>
        <w:t xml:space="preserve">varsayımların kanıtlanması gerekmekte olup, bu da gelecek araştırmalarda </w:t>
      </w:r>
      <w:r w:rsidR="00963D3F" w:rsidRPr="00CD0964">
        <w:rPr>
          <w:rFonts w:ascii="Arial" w:hAnsi="Arial" w:cs="Arial"/>
          <w:sz w:val="20"/>
          <w:szCs w:val="20"/>
        </w:rPr>
        <w:t>daha fazla incelemeyi gerektirmektedir</w:t>
      </w:r>
      <w:r w:rsidRPr="00CD0964">
        <w:rPr>
          <w:rFonts w:ascii="Arial" w:hAnsi="Arial" w:cs="Arial"/>
          <w:sz w:val="20"/>
          <w:szCs w:val="20"/>
        </w:rPr>
        <w:t>.</w:t>
      </w:r>
    </w:p>
    <w:p w:rsidR="003E2183" w:rsidRPr="00CD0964" w:rsidRDefault="00E37B72" w:rsidP="001F3A29">
      <w:pPr>
        <w:spacing w:line="276" w:lineRule="auto"/>
        <w:ind w:firstLine="340"/>
        <w:jc w:val="both"/>
        <w:rPr>
          <w:rFonts w:ascii="Arial" w:hAnsi="Arial" w:cs="Arial"/>
          <w:sz w:val="20"/>
          <w:szCs w:val="20"/>
        </w:rPr>
      </w:pPr>
      <w:r w:rsidRPr="00CD0964">
        <w:rPr>
          <w:rFonts w:ascii="Arial" w:hAnsi="Arial" w:cs="Arial"/>
          <w:sz w:val="20"/>
          <w:szCs w:val="20"/>
        </w:rPr>
        <w:t xml:space="preserve">Bu çalışmada kullandığımız ekonometrik yöntemlerin açıklaması için Kutu 1’e bakılabilir. </w:t>
      </w:r>
      <w:r w:rsidR="000A4A29" w:rsidRPr="00CD0964">
        <w:rPr>
          <w:rFonts w:ascii="Arial" w:hAnsi="Arial" w:cs="Arial"/>
          <w:sz w:val="20"/>
          <w:szCs w:val="20"/>
        </w:rPr>
        <w:t xml:space="preserve"> </w:t>
      </w:r>
    </w:p>
    <w:p w:rsidR="00937E3B" w:rsidRDefault="00937E3B" w:rsidP="00CF3047">
      <w:pPr>
        <w:spacing w:line="360" w:lineRule="auto"/>
        <w:ind w:firstLine="340"/>
        <w:jc w:val="both"/>
        <w:rPr>
          <w:rFonts w:ascii="Arial" w:hAnsi="Arial" w:cs="Arial"/>
          <w:b/>
          <w:sz w:val="20"/>
          <w:szCs w:val="20"/>
        </w:rPr>
      </w:pPr>
    </w:p>
    <w:p w:rsidR="00E37B72" w:rsidRPr="00CD0964" w:rsidRDefault="00DB3B89" w:rsidP="00CF3047">
      <w:pPr>
        <w:spacing w:line="360" w:lineRule="auto"/>
        <w:ind w:firstLine="340"/>
        <w:jc w:val="both"/>
        <w:rPr>
          <w:rFonts w:ascii="Arial" w:hAnsi="Arial" w:cs="Arial"/>
          <w:b/>
          <w:sz w:val="20"/>
          <w:szCs w:val="20"/>
        </w:rPr>
      </w:pPr>
      <w:r w:rsidRPr="00CD0964">
        <w:rPr>
          <w:rFonts w:ascii="Arial" w:hAnsi="Arial" w:cs="Arial"/>
          <w:b/>
          <w:sz w:val="20"/>
          <w:szCs w:val="20"/>
        </w:rPr>
        <w:t>Performansı etkiyelen ezeli rekabetler</w:t>
      </w:r>
    </w:p>
    <w:p w:rsidR="00661BE5" w:rsidRPr="00CD0964" w:rsidRDefault="00122FB6" w:rsidP="001F3A29">
      <w:pPr>
        <w:spacing w:line="276" w:lineRule="auto"/>
        <w:ind w:firstLine="340"/>
        <w:jc w:val="both"/>
        <w:rPr>
          <w:rFonts w:ascii="Arial" w:hAnsi="Arial" w:cs="Arial"/>
          <w:sz w:val="20"/>
          <w:szCs w:val="20"/>
        </w:rPr>
      </w:pPr>
      <w:r w:rsidRPr="00CD0964">
        <w:rPr>
          <w:rFonts w:ascii="Arial" w:hAnsi="Arial" w:cs="Arial"/>
          <w:sz w:val="20"/>
          <w:szCs w:val="20"/>
        </w:rPr>
        <w:t>Kutu 1'de bulunan</w:t>
      </w:r>
      <w:r w:rsidR="009D32D6" w:rsidRPr="00CD0964">
        <w:rPr>
          <w:rFonts w:ascii="Arial" w:hAnsi="Arial" w:cs="Arial"/>
          <w:sz w:val="20"/>
          <w:szCs w:val="20"/>
        </w:rPr>
        <w:t xml:space="preserve"> denklem </w:t>
      </w:r>
      <w:r w:rsidR="00682032" w:rsidRPr="00CD0964">
        <w:rPr>
          <w:rFonts w:ascii="Arial" w:hAnsi="Arial" w:cs="Arial"/>
          <w:sz w:val="20"/>
          <w:szCs w:val="20"/>
        </w:rPr>
        <w:t>kullanılarak</w:t>
      </w:r>
      <w:r w:rsidR="009D32D6" w:rsidRPr="00CD0964">
        <w:rPr>
          <w:rFonts w:ascii="Arial" w:hAnsi="Arial" w:cs="Arial"/>
          <w:sz w:val="20"/>
          <w:szCs w:val="20"/>
        </w:rPr>
        <w:t xml:space="preserve"> </w:t>
      </w:r>
      <w:r w:rsidR="00682032" w:rsidRPr="00CD0964">
        <w:rPr>
          <w:rFonts w:ascii="Arial" w:hAnsi="Arial" w:cs="Arial"/>
          <w:sz w:val="20"/>
          <w:szCs w:val="20"/>
        </w:rPr>
        <w:t>yapılan</w:t>
      </w:r>
      <w:r w:rsidR="009D32D6" w:rsidRPr="00CD0964">
        <w:rPr>
          <w:rFonts w:ascii="Arial" w:hAnsi="Arial" w:cs="Arial"/>
          <w:sz w:val="20"/>
          <w:szCs w:val="20"/>
        </w:rPr>
        <w:t xml:space="preserve"> tahminler neticesinde elde edilen</w:t>
      </w:r>
      <w:r w:rsidR="00661BE5" w:rsidRPr="00CD0964">
        <w:rPr>
          <w:rFonts w:ascii="Arial" w:hAnsi="Arial" w:cs="Arial"/>
          <w:sz w:val="20"/>
          <w:szCs w:val="20"/>
        </w:rPr>
        <w:t xml:space="preserve"> </w:t>
      </w:r>
      <w:r w:rsidR="009D32D6" w:rsidRPr="00CD0964">
        <w:rPr>
          <w:rFonts w:ascii="Arial" w:hAnsi="Arial" w:cs="Arial"/>
          <w:sz w:val="20"/>
          <w:szCs w:val="20"/>
        </w:rPr>
        <w:t xml:space="preserve">nedensellik </w:t>
      </w:r>
      <w:r w:rsidR="00661BE5" w:rsidRPr="00CD0964">
        <w:rPr>
          <w:rFonts w:ascii="Arial" w:hAnsi="Arial" w:cs="Arial"/>
          <w:sz w:val="20"/>
          <w:szCs w:val="20"/>
        </w:rPr>
        <w:t>(Granger anlamında</w:t>
      </w:r>
      <w:r w:rsidRPr="00CD0964">
        <w:rPr>
          <w:rFonts w:ascii="Arial" w:hAnsi="Arial" w:cs="Arial"/>
          <w:sz w:val="20"/>
          <w:szCs w:val="20"/>
        </w:rPr>
        <w:t>, b</w:t>
      </w:r>
      <w:r w:rsidR="00661BE5" w:rsidRPr="00CD0964">
        <w:rPr>
          <w:rFonts w:ascii="Arial" w:hAnsi="Arial" w:cs="Arial"/>
          <w:sz w:val="20"/>
          <w:szCs w:val="20"/>
        </w:rPr>
        <w:t>kz</w:t>
      </w:r>
      <w:r w:rsidRPr="00CD0964">
        <w:rPr>
          <w:rFonts w:ascii="Arial" w:hAnsi="Arial" w:cs="Arial"/>
          <w:sz w:val="20"/>
          <w:szCs w:val="20"/>
        </w:rPr>
        <w:t>.</w:t>
      </w:r>
      <w:r w:rsidR="00661BE5" w:rsidRPr="00CD0964">
        <w:rPr>
          <w:rFonts w:ascii="Arial" w:hAnsi="Arial" w:cs="Arial"/>
          <w:sz w:val="20"/>
          <w:szCs w:val="20"/>
        </w:rPr>
        <w:t xml:space="preserve"> Kutu 1) </w:t>
      </w:r>
      <w:r w:rsidR="00682032" w:rsidRPr="00CD0964">
        <w:rPr>
          <w:rFonts w:ascii="Arial" w:hAnsi="Arial" w:cs="Arial"/>
          <w:sz w:val="20"/>
          <w:szCs w:val="20"/>
        </w:rPr>
        <w:t>sonuçları</w:t>
      </w:r>
      <w:r w:rsidR="009D32D6" w:rsidRPr="00CD0964">
        <w:rPr>
          <w:rFonts w:ascii="Arial" w:hAnsi="Arial" w:cs="Arial"/>
          <w:sz w:val="20"/>
          <w:szCs w:val="20"/>
        </w:rPr>
        <w:t xml:space="preserve"> Tablo 2’de </w:t>
      </w:r>
      <w:r w:rsidR="00682032" w:rsidRPr="00CD0964">
        <w:rPr>
          <w:rFonts w:ascii="Arial" w:hAnsi="Arial" w:cs="Arial"/>
          <w:sz w:val="20"/>
          <w:szCs w:val="20"/>
        </w:rPr>
        <w:t>gösterilmektedir</w:t>
      </w:r>
      <w:r w:rsidR="009D32D6" w:rsidRPr="00CD0964">
        <w:rPr>
          <w:rFonts w:ascii="Arial" w:hAnsi="Arial" w:cs="Arial"/>
          <w:sz w:val="20"/>
          <w:szCs w:val="20"/>
        </w:rPr>
        <w:t xml:space="preserve">. Burada </w:t>
      </w:r>
      <w:r w:rsidR="00682032" w:rsidRPr="00CD0964">
        <w:rPr>
          <w:rFonts w:ascii="Arial" w:hAnsi="Arial" w:cs="Arial"/>
          <w:sz w:val="20"/>
          <w:szCs w:val="20"/>
        </w:rPr>
        <w:t>görüldüğü</w:t>
      </w:r>
      <w:r w:rsidR="009D32D6" w:rsidRPr="00CD0964">
        <w:rPr>
          <w:rFonts w:ascii="Arial" w:hAnsi="Arial" w:cs="Arial"/>
          <w:sz w:val="20"/>
          <w:szCs w:val="20"/>
        </w:rPr>
        <w:t xml:space="preserve"> </w:t>
      </w:r>
      <w:r w:rsidR="00682032" w:rsidRPr="00CD0964">
        <w:rPr>
          <w:rFonts w:ascii="Arial" w:hAnsi="Arial" w:cs="Arial"/>
          <w:sz w:val="20"/>
          <w:szCs w:val="20"/>
        </w:rPr>
        <w:t>üzere</w:t>
      </w:r>
      <w:r w:rsidR="00291E35" w:rsidRPr="00CD0964">
        <w:rPr>
          <w:rFonts w:ascii="Arial" w:hAnsi="Arial" w:cs="Arial"/>
          <w:sz w:val="20"/>
          <w:szCs w:val="20"/>
        </w:rPr>
        <w:t>,</w:t>
      </w:r>
      <w:r w:rsidR="009D32D6" w:rsidRPr="00CD0964">
        <w:rPr>
          <w:rFonts w:ascii="Arial" w:hAnsi="Arial" w:cs="Arial"/>
          <w:sz w:val="20"/>
          <w:szCs w:val="20"/>
        </w:rPr>
        <w:t xml:space="preserve"> incelenen 23 rekabetten sadece 11’inde nedensellik sonucu ortaya </w:t>
      </w:r>
      <w:r w:rsidR="00682032" w:rsidRPr="00CD0964">
        <w:rPr>
          <w:rFonts w:ascii="Arial" w:hAnsi="Arial" w:cs="Arial"/>
          <w:sz w:val="20"/>
          <w:szCs w:val="20"/>
        </w:rPr>
        <w:t>çıkmıştır</w:t>
      </w:r>
      <w:r w:rsidR="009D32D6" w:rsidRPr="00CD0964">
        <w:rPr>
          <w:rFonts w:ascii="Arial" w:hAnsi="Arial" w:cs="Arial"/>
          <w:sz w:val="20"/>
          <w:szCs w:val="20"/>
        </w:rPr>
        <w:t xml:space="preserve">. </w:t>
      </w:r>
      <w:r w:rsidR="00682032" w:rsidRPr="00CD0964">
        <w:rPr>
          <w:rFonts w:ascii="Arial" w:hAnsi="Arial" w:cs="Arial"/>
          <w:sz w:val="20"/>
          <w:szCs w:val="20"/>
        </w:rPr>
        <w:t>İngiltere’de</w:t>
      </w:r>
      <w:r w:rsidR="009D32D6" w:rsidRPr="00CD0964">
        <w:rPr>
          <w:rFonts w:ascii="Arial" w:hAnsi="Arial" w:cs="Arial"/>
          <w:sz w:val="20"/>
          <w:szCs w:val="20"/>
        </w:rPr>
        <w:t xml:space="preserve"> Arsenal - Manchester United rekabeti, Kuzey Batı derbisi (Liverpool - Manchester United) ve Arsenal - Liverpool rekabeti; Fransa'da, Monaco ve Paris Saint-Germain arasındaki rekabet; İtalya'da Milan derbisi (A.C. Milan - Internazionale); Hollanda'da "De Klassieker " (Ajax - Feyenoord); Portekiz'de "O Clássico" (Benfica - Porto); İspanya'da "El Clásico" (Real Madrid - Barcelona); Türkiye'de, "üç </w:t>
      </w:r>
      <w:r w:rsidR="00682032" w:rsidRPr="00CD0964">
        <w:rPr>
          <w:rFonts w:ascii="Arial" w:hAnsi="Arial" w:cs="Arial"/>
          <w:sz w:val="20"/>
          <w:szCs w:val="20"/>
        </w:rPr>
        <w:t>büyükler</w:t>
      </w:r>
      <w:r w:rsidR="009D32D6" w:rsidRPr="00CD0964">
        <w:rPr>
          <w:rFonts w:ascii="Arial" w:hAnsi="Arial" w:cs="Arial"/>
          <w:sz w:val="20"/>
          <w:szCs w:val="20"/>
        </w:rPr>
        <w:t xml:space="preserve"> rekabeti" (Fenerbahçe – Galatasaray, Fenerbahçe - Beşiktaş ve Galatasaray - Beşiktaş) </w:t>
      </w:r>
      <w:r w:rsidR="004B732D" w:rsidRPr="00CD0964">
        <w:rPr>
          <w:rFonts w:ascii="Arial" w:hAnsi="Arial" w:cs="Arial"/>
          <w:sz w:val="20"/>
          <w:szCs w:val="20"/>
        </w:rPr>
        <w:t>performanslar</w:t>
      </w:r>
      <w:r w:rsidR="00636542" w:rsidRPr="00CD0964">
        <w:rPr>
          <w:rFonts w:ascii="Arial" w:hAnsi="Arial" w:cs="Arial"/>
          <w:sz w:val="20"/>
          <w:szCs w:val="20"/>
        </w:rPr>
        <w:t>ı</w:t>
      </w:r>
      <w:r w:rsidR="004B732D" w:rsidRPr="00CD0964">
        <w:rPr>
          <w:rFonts w:ascii="Arial" w:hAnsi="Arial" w:cs="Arial"/>
          <w:sz w:val="20"/>
          <w:szCs w:val="20"/>
        </w:rPr>
        <w:t xml:space="preserve"> </w:t>
      </w:r>
      <w:r w:rsidR="00682032" w:rsidRPr="00CD0964">
        <w:rPr>
          <w:rFonts w:ascii="Arial" w:hAnsi="Arial" w:cs="Arial"/>
          <w:sz w:val="20"/>
          <w:szCs w:val="20"/>
        </w:rPr>
        <w:t>arasında</w:t>
      </w:r>
      <w:r w:rsidR="004B732D" w:rsidRPr="00CD0964">
        <w:rPr>
          <w:rFonts w:ascii="Arial" w:hAnsi="Arial" w:cs="Arial"/>
          <w:sz w:val="20"/>
          <w:szCs w:val="20"/>
        </w:rPr>
        <w:t xml:space="preserve"> en azından bir yönde </w:t>
      </w:r>
      <w:r w:rsidR="00682032" w:rsidRPr="00CD0964">
        <w:rPr>
          <w:rFonts w:ascii="Arial" w:hAnsi="Arial" w:cs="Arial"/>
          <w:sz w:val="20"/>
          <w:szCs w:val="20"/>
        </w:rPr>
        <w:t>nedenselliğin</w:t>
      </w:r>
      <w:r w:rsidR="009D32D6" w:rsidRPr="00CD0964">
        <w:rPr>
          <w:rFonts w:ascii="Arial" w:hAnsi="Arial" w:cs="Arial"/>
          <w:sz w:val="20"/>
          <w:szCs w:val="20"/>
        </w:rPr>
        <w:t xml:space="preserve"> </w:t>
      </w:r>
      <w:r w:rsidR="00682032" w:rsidRPr="00CD0964">
        <w:rPr>
          <w:rFonts w:ascii="Arial" w:hAnsi="Arial" w:cs="Arial"/>
          <w:sz w:val="20"/>
          <w:szCs w:val="20"/>
        </w:rPr>
        <w:t>bulunduğu</w:t>
      </w:r>
      <w:r w:rsidR="004B732D" w:rsidRPr="00CD0964">
        <w:rPr>
          <w:rFonts w:ascii="Arial" w:hAnsi="Arial" w:cs="Arial"/>
          <w:sz w:val="20"/>
          <w:szCs w:val="20"/>
        </w:rPr>
        <w:t xml:space="preserve"> rekabetler </w:t>
      </w:r>
      <w:r w:rsidR="00682032" w:rsidRPr="00CD0964">
        <w:rPr>
          <w:rFonts w:ascii="Arial" w:hAnsi="Arial" w:cs="Arial"/>
          <w:sz w:val="20"/>
          <w:szCs w:val="20"/>
        </w:rPr>
        <w:t>olduğu</w:t>
      </w:r>
      <w:r w:rsidR="004B732D" w:rsidRPr="00CD0964">
        <w:rPr>
          <w:rFonts w:ascii="Arial" w:hAnsi="Arial" w:cs="Arial"/>
          <w:sz w:val="20"/>
          <w:szCs w:val="20"/>
        </w:rPr>
        <w:t xml:space="preserve"> </w:t>
      </w:r>
      <w:r w:rsidR="00682032" w:rsidRPr="00CD0964">
        <w:rPr>
          <w:rFonts w:ascii="Arial" w:hAnsi="Arial" w:cs="Arial"/>
          <w:sz w:val="20"/>
          <w:szCs w:val="20"/>
        </w:rPr>
        <w:t>görülmektedir</w:t>
      </w:r>
      <w:r w:rsidR="009D32D6" w:rsidRPr="00CD0964">
        <w:rPr>
          <w:rFonts w:ascii="Arial" w:hAnsi="Arial" w:cs="Arial"/>
          <w:sz w:val="20"/>
          <w:szCs w:val="20"/>
        </w:rPr>
        <w:t xml:space="preserve">. Diğer bir deyişle, sadece bu futbol kulüpleri için, bir kulübün performansındaki </w:t>
      </w:r>
      <w:r w:rsidR="00682032" w:rsidRPr="00CD0964">
        <w:rPr>
          <w:rFonts w:ascii="Arial" w:hAnsi="Arial" w:cs="Arial"/>
          <w:sz w:val="20"/>
          <w:szCs w:val="20"/>
        </w:rPr>
        <w:t>değişim</w:t>
      </w:r>
      <w:r w:rsidR="009D32D6" w:rsidRPr="00CD0964">
        <w:rPr>
          <w:rFonts w:ascii="Arial" w:hAnsi="Arial" w:cs="Arial"/>
          <w:sz w:val="20"/>
          <w:szCs w:val="20"/>
        </w:rPr>
        <w:t xml:space="preserve"> rak</w:t>
      </w:r>
      <w:r w:rsidR="004B732D" w:rsidRPr="00CD0964">
        <w:rPr>
          <w:rFonts w:ascii="Arial" w:hAnsi="Arial" w:cs="Arial"/>
          <w:sz w:val="20"/>
          <w:szCs w:val="20"/>
        </w:rPr>
        <w:t xml:space="preserve">ibinde bir reaksiyona neden </w:t>
      </w:r>
      <w:r w:rsidR="00682032" w:rsidRPr="00CD0964">
        <w:rPr>
          <w:rFonts w:ascii="Arial" w:hAnsi="Arial" w:cs="Arial"/>
          <w:sz w:val="20"/>
          <w:szCs w:val="20"/>
        </w:rPr>
        <w:t>olmaktadır</w:t>
      </w:r>
      <w:r w:rsidR="009D32D6" w:rsidRPr="00CD0964">
        <w:rPr>
          <w:rFonts w:ascii="Arial" w:hAnsi="Arial" w:cs="Arial"/>
          <w:sz w:val="20"/>
          <w:szCs w:val="20"/>
        </w:rPr>
        <w:t xml:space="preserve">. </w:t>
      </w:r>
    </w:p>
    <w:p w:rsidR="00661BE5" w:rsidRPr="00CD0964" w:rsidRDefault="00661BE5" w:rsidP="001F3A29">
      <w:pPr>
        <w:spacing w:line="276" w:lineRule="auto"/>
        <w:ind w:firstLine="340"/>
        <w:jc w:val="both"/>
        <w:rPr>
          <w:rFonts w:ascii="Arial" w:hAnsi="Arial" w:cs="Arial"/>
          <w:sz w:val="20"/>
          <w:szCs w:val="20"/>
        </w:rPr>
      </w:pPr>
    </w:p>
    <w:p w:rsidR="00CD0964" w:rsidRDefault="00CD0964" w:rsidP="00661BE5">
      <w:pPr>
        <w:jc w:val="both"/>
        <w:rPr>
          <w:rFonts w:ascii="Arial" w:hAnsi="Arial" w:cs="Arial"/>
          <w:b/>
          <w:sz w:val="20"/>
          <w:szCs w:val="20"/>
        </w:rPr>
      </w:pPr>
    </w:p>
    <w:p w:rsidR="00CD0964" w:rsidRDefault="00CD0964" w:rsidP="00661BE5">
      <w:pPr>
        <w:jc w:val="both"/>
        <w:rPr>
          <w:rFonts w:ascii="Arial" w:hAnsi="Arial" w:cs="Arial"/>
          <w:b/>
          <w:sz w:val="20"/>
          <w:szCs w:val="20"/>
        </w:rPr>
      </w:pPr>
    </w:p>
    <w:p w:rsidR="00661BE5" w:rsidRPr="00CD0964" w:rsidRDefault="00661BE5" w:rsidP="00661BE5">
      <w:pPr>
        <w:jc w:val="both"/>
        <w:rPr>
          <w:rFonts w:ascii="Arial" w:hAnsi="Arial" w:cs="Arial"/>
          <w:b/>
          <w:sz w:val="20"/>
          <w:szCs w:val="20"/>
        </w:rPr>
      </w:pPr>
      <w:r w:rsidRPr="00CD0964">
        <w:rPr>
          <w:rFonts w:ascii="Arial" w:hAnsi="Arial" w:cs="Arial"/>
          <w:b/>
          <w:sz w:val="20"/>
          <w:szCs w:val="20"/>
        </w:rPr>
        <w:lastRenderedPageBreak/>
        <w:t xml:space="preserve">Tablo 2. Rakip takımların birbirini izleyen sezonlardaki performansları arasındaki Granger nedensellik testi sonuçları </w:t>
      </w:r>
    </w:p>
    <w:tbl>
      <w:tblPr>
        <w:tblW w:w="9845" w:type="dxa"/>
        <w:tblInd w:w="55" w:type="dxa"/>
        <w:tblCellMar>
          <w:left w:w="70" w:type="dxa"/>
          <w:right w:w="70" w:type="dxa"/>
        </w:tblCellMar>
        <w:tblLook w:val="04A0" w:firstRow="1" w:lastRow="0" w:firstColumn="1" w:lastColumn="0" w:noHBand="0" w:noVBand="1"/>
      </w:tblPr>
      <w:tblGrid>
        <w:gridCol w:w="1300"/>
        <w:gridCol w:w="2259"/>
        <w:gridCol w:w="1399"/>
        <w:gridCol w:w="1500"/>
        <w:gridCol w:w="1185"/>
        <w:gridCol w:w="1260"/>
        <w:gridCol w:w="960"/>
      </w:tblGrid>
      <w:tr w:rsidR="00661BE5" w:rsidRPr="00CD0964" w:rsidTr="00E944A8">
        <w:trPr>
          <w:trHeight w:val="113"/>
        </w:trPr>
        <w:tc>
          <w:tcPr>
            <w:tcW w:w="130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Ülkeler</w:t>
            </w:r>
          </w:p>
        </w:tc>
        <w:tc>
          <w:tcPr>
            <w:tcW w:w="2259" w:type="dxa"/>
            <w:tcBorders>
              <w:top w:val="single" w:sz="4" w:space="0" w:color="auto"/>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Bağımlı değişkenler</w:t>
            </w:r>
          </w:p>
        </w:tc>
        <w:tc>
          <w:tcPr>
            <w:tcW w:w="4066" w:type="dxa"/>
            <w:gridSpan w:val="3"/>
            <w:tcBorders>
              <w:top w:val="single" w:sz="4" w:space="0" w:color="auto"/>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Bağımsız değişkenler</w:t>
            </w:r>
          </w:p>
        </w:tc>
        <w:tc>
          <w:tcPr>
            <w:tcW w:w="12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val="restart"/>
            <w:tcBorders>
              <w:top w:val="nil"/>
              <w:left w:val="nil"/>
              <w:bottom w:val="single" w:sz="4" w:space="0" w:color="000000"/>
              <w:right w:val="nil"/>
            </w:tcBorders>
            <w:shd w:val="clear" w:color="auto" w:fill="auto"/>
            <w:noWrap/>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Ingiltere</w:t>
            </w: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399"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Arsenal</w:t>
            </w:r>
          </w:p>
        </w:tc>
        <w:tc>
          <w:tcPr>
            <w:tcW w:w="1500"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Liverpool</w:t>
            </w:r>
          </w:p>
        </w:tc>
        <w:tc>
          <w:tcPr>
            <w:tcW w:w="1167"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Manchester United</w:t>
            </w:r>
          </w:p>
        </w:tc>
        <w:tc>
          <w:tcPr>
            <w:tcW w:w="12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Arsenal</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0.20*</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11.05**</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Liverpool</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1.97</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0.83</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Manchester United</w:t>
            </w:r>
          </w:p>
        </w:tc>
        <w:tc>
          <w:tcPr>
            <w:tcW w:w="1399"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6.88*</w:t>
            </w:r>
          </w:p>
        </w:tc>
        <w:tc>
          <w:tcPr>
            <w:tcW w:w="1500"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3.39*</w:t>
            </w:r>
          </w:p>
        </w:tc>
        <w:tc>
          <w:tcPr>
            <w:tcW w:w="1167"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val="restart"/>
            <w:tcBorders>
              <w:top w:val="nil"/>
              <w:left w:val="nil"/>
              <w:bottom w:val="single" w:sz="4" w:space="0" w:color="000000"/>
              <w:right w:val="nil"/>
            </w:tcBorders>
            <w:shd w:val="clear" w:color="auto" w:fill="auto"/>
            <w:noWrap/>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Fransa</w:t>
            </w: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399"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Monaco</w:t>
            </w:r>
          </w:p>
        </w:tc>
        <w:tc>
          <w:tcPr>
            <w:tcW w:w="1500"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Paris Saint-Germain</w:t>
            </w:r>
          </w:p>
        </w:tc>
        <w:tc>
          <w:tcPr>
            <w:tcW w:w="1167"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Olympique Marseille</w:t>
            </w:r>
          </w:p>
        </w:tc>
        <w:tc>
          <w:tcPr>
            <w:tcW w:w="12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Monaco</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5.61*</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Paris Saint-Germain</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0.38</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0.15</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Olympique Marseille</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0.69</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val="restart"/>
            <w:tcBorders>
              <w:top w:val="nil"/>
              <w:left w:val="nil"/>
              <w:bottom w:val="single" w:sz="4" w:space="0" w:color="000000"/>
              <w:right w:val="nil"/>
            </w:tcBorders>
            <w:shd w:val="clear" w:color="auto" w:fill="auto"/>
            <w:noWrap/>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Almanya</w:t>
            </w: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1399"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Bayern Munich</w:t>
            </w:r>
          </w:p>
        </w:tc>
        <w:tc>
          <w:tcPr>
            <w:tcW w:w="150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Borussia Dortmund</w:t>
            </w:r>
          </w:p>
        </w:tc>
        <w:tc>
          <w:tcPr>
            <w:tcW w:w="1167"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Schalke 04</w:t>
            </w:r>
          </w:p>
        </w:tc>
        <w:tc>
          <w:tcPr>
            <w:tcW w:w="126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Bayer Leverkusen</w:t>
            </w:r>
          </w:p>
        </w:tc>
        <w:tc>
          <w:tcPr>
            <w:tcW w:w="96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FC Cologne</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Bayern Munich</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0.23</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96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Borussia Dortmund</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0.44</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1.30</w:t>
            </w:r>
          </w:p>
        </w:tc>
        <w:tc>
          <w:tcPr>
            <w:tcW w:w="126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96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Schalke 04</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0.73</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96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Bayer Leverkusen</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0.01</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FC Cologne</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0.29</w:t>
            </w:r>
          </w:p>
        </w:tc>
        <w:tc>
          <w:tcPr>
            <w:tcW w:w="96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r>
      <w:tr w:rsidR="00661BE5" w:rsidRPr="00CD0964" w:rsidTr="00E944A8">
        <w:trPr>
          <w:trHeight w:val="113"/>
        </w:trPr>
        <w:tc>
          <w:tcPr>
            <w:tcW w:w="1300" w:type="dxa"/>
            <w:vMerge w:val="restart"/>
            <w:tcBorders>
              <w:top w:val="nil"/>
              <w:left w:val="nil"/>
              <w:bottom w:val="single" w:sz="4" w:space="0" w:color="000000"/>
              <w:right w:val="nil"/>
            </w:tcBorders>
            <w:shd w:val="clear" w:color="auto" w:fill="auto"/>
            <w:noWrap/>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Yunanistan</w:t>
            </w:r>
          </w:p>
        </w:tc>
        <w:tc>
          <w:tcPr>
            <w:tcW w:w="2259" w:type="dxa"/>
            <w:tcBorders>
              <w:top w:val="single" w:sz="4" w:space="0" w:color="auto"/>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399"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Olympiakos</w:t>
            </w:r>
          </w:p>
        </w:tc>
        <w:tc>
          <w:tcPr>
            <w:tcW w:w="150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Panathinaikos</w:t>
            </w:r>
          </w:p>
        </w:tc>
        <w:tc>
          <w:tcPr>
            <w:tcW w:w="1167"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2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Olympiakos</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2.54</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Panathinaikos</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0.92</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val="restart"/>
            <w:tcBorders>
              <w:top w:val="nil"/>
              <w:left w:val="nil"/>
              <w:bottom w:val="single" w:sz="4" w:space="0" w:color="000000"/>
              <w:right w:val="nil"/>
            </w:tcBorders>
            <w:shd w:val="clear" w:color="auto" w:fill="auto"/>
            <w:noWrap/>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İtalya</w:t>
            </w: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399"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Internazionale</w:t>
            </w:r>
          </w:p>
        </w:tc>
        <w:tc>
          <w:tcPr>
            <w:tcW w:w="150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Juventus</w:t>
            </w:r>
          </w:p>
        </w:tc>
        <w:tc>
          <w:tcPr>
            <w:tcW w:w="1167"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A.C. Milan</w:t>
            </w:r>
          </w:p>
        </w:tc>
        <w:tc>
          <w:tcPr>
            <w:tcW w:w="12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Internazionale</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1.62</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7.97**</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Juventus</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2.32</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0.79</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A.C. Milan</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4.00</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0.18</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val="restart"/>
            <w:tcBorders>
              <w:top w:val="nil"/>
              <w:left w:val="nil"/>
              <w:bottom w:val="single" w:sz="4" w:space="0" w:color="000000"/>
              <w:right w:val="nil"/>
            </w:tcBorders>
            <w:shd w:val="clear" w:color="auto" w:fill="auto"/>
            <w:noWrap/>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Hollanda</w:t>
            </w: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399"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Ajax</w:t>
            </w:r>
          </w:p>
        </w:tc>
        <w:tc>
          <w:tcPr>
            <w:tcW w:w="150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Feyenoord</w:t>
            </w:r>
          </w:p>
        </w:tc>
        <w:tc>
          <w:tcPr>
            <w:tcW w:w="1167"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PSV Eindhoven</w:t>
            </w:r>
          </w:p>
        </w:tc>
        <w:tc>
          <w:tcPr>
            <w:tcW w:w="12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Ajax</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2.31</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0.08</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Feyenoord</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2.76*</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PSV Eindhoven</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1.40</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val="restart"/>
            <w:tcBorders>
              <w:top w:val="nil"/>
              <w:left w:val="nil"/>
              <w:bottom w:val="single" w:sz="4" w:space="0" w:color="000000"/>
              <w:right w:val="nil"/>
            </w:tcBorders>
            <w:shd w:val="clear" w:color="auto" w:fill="auto"/>
            <w:noWrap/>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Portekiz</w:t>
            </w: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399"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Benfica</w:t>
            </w:r>
          </w:p>
        </w:tc>
        <w:tc>
          <w:tcPr>
            <w:tcW w:w="150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Porto</w:t>
            </w:r>
          </w:p>
        </w:tc>
        <w:tc>
          <w:tcPr>
            <w:tcW w:w="1167"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Sporting Lisbon</w:t>
            </w:r>
          </w:p>
        </w:tc>
        <w:tc>
          <w:tcPr>
            <w:tcW w:w="12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Benfica</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15.04**</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0.73</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Porto</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9.70**</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0.79</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Sporting Lisbon</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0.01</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2.00</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val="restart"/>
            <w:tcBorders>
              <w:top w:val="nil"/>
              <w:left w:val="nil"/>
              <w:bottom w:val="single" w:sz="4" w:space="0" w:color="000000"/>
              <w:right w:val="nil"/>
            </w:tcBorders>
            <w:shd w:val="clear" w:color="auto" w:fill="auto"/>
            <w:noWrap/>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İskoçya</w:t>
            </w: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399"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Celtic</w:t>
            </w:r>
          </w:p>
        </w:tc>
        <w:tc>
          <w:tcPr>
            <w:tcW w:w="150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Rangers</w:t>
            </w:r>
          </w:p>
        </w:tc>
        <w:tc>
          <w:tcPr>
            <w:tcW w:w="1167"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2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Celtic</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0.01</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Rangers</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0.27</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val="restart"/>
            <w:tcBorders>
              <w:top w:val="nil"/>
              <w:left w:val="nil"/>
              <w:bottom w:val="single" w:sz="4" w:space="0" w:color="000000"/>
              <w:right w:val="nil"/>
            </w:tcBorders>
            <w:shd w:val="clear" w:color="auto" w:fill="auto"/>
            <w:noWrap/>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İspanya</w:t>
            </w: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399"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Atletico Madrid</w:t>
            </w:r>
          </w:p>
        </w:tc>
        <w:tc>
          <w:tcPr>
            <w:tcW w:w="1500"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Barcelona</w:t>
            </w:r>
          </w:p>
        </w:tc>
        <w:tc>
          <w:tcPr>
            <w:tcW w:w="1167" w:type="dxa"/>
            <w:tcBorders>
              <w:top w:val="single" w:sz="4" w:space="0" w:color="auto"/>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Real Madrid</w:t>
            </w:r>
          </w:p>
        </w:tc>
        <w:tc>
          <w:tcPr>
            <w:tcW w:w="12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top w:val="single" w:sz="4" w:space="0" w:color="auto"/>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Atletico Madrid</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2.92</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Barcelona</w:t>
            </w:r>
          </w:p>
        </w:tc>
        <w:tc>
          <w:tcPr>
            <w:tcW w:w="1399"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top w:val="nil"/>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4.93*</w:t>
            </w:r>
          </w:p>
        </w:tc>
        <w:tc>
          <w:tcPr>
            <w:tcW w:w="12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auto"/>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Real Madrid</w:t>
            </w:r>
          </w:p>
        </w:tc>
        <w:tc>
          <w:tcPr>
            <w:tcW w:w="1399"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0.30</w:t>
            </w:r>
          </w:p>
        </w:tc>
        <w:tc>
          <w:tcPr>
            <w:tcW w:w="1500"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4.96*</w:t>
            </w:r>
          </w:p>
        </w:tc>
        <w:tc>
          <w:tcPr>
            <w:tcW w:w="1167"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260"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tcBorders>
              <w:top w:val="single" w:sz="4" w:space="0" w:color="auto"/>
              <w:left w:val="nil"/>
              <w:right w:val="nil"/>
            </w:tcBorders>
            <w:shd w:val="clear" w:color="auto" w:fill="auto"/>
            <w:noWrap/>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Türkiye</w:t>
            </w:r>
          </w:p>
        </w:tc>
        <w:tc>
          <w:tcPr>
            <w:tcW w:w="2259" w:type="dxa"/>
            <w:tcBorders>
              <w:top w:val="single" w:sz="4" w:space="0" w:color="auto"/>
              <w:left w:val="nil"/>
              <w:right w:val="nil"/>
            </w:tcBorders>
            <w:shd w:val="clear" w:color="auto" w:fill="auto"/>
            <w:noWrap/>
            <w:vAlign w:val="bottom"/>
          </w:tcPr>
          <w:p w:rsidR="00661BE5" w:rsidRPr="00CD0964" w:rsidRDefault="00661BE5" w:rsidP="00E944A8">
            <w:pPr>
              <w:rPr>
                <w:rFonts w:ascii="Arial" w:hAnsi="Arial" w:cs="Arial"/>
                <w:sz w:val="20"/>
                <w:szCs w:val="20"/>
                <w:lang w:eastAsia="fr-FR"/>
              </w:rPr>
            </w:pPr>
          </w:p>
        </w:tc>
        <w:tc>
          <w:tcPr>
            <w:tcW w:w="1399" w:type="dxa"/>
            <w:tcBorders>
              <w:top w:val="single" w:sz="4" w:space="0" w:color="auto"/>
              <w:left w:val="nil"/>
              <w:bottom w:val="single" w:sz="4" w:space="0" w:color="auto"/>
              <w:right w:val="nil"/>
            </w:tcBorders>
            <w:shd w:val="clear" w:color="auto" w:fill="auto"/>
            <w:noWrap/>
            <w:vAlign w:val="center"/>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Fenerbahçe</w:t>
            </w:r>
          </w:p>
        </w:tc>
        <w:tc>
          <w:tcPr>
            <w:tcW w:w="1500" w:type="dxa"/>
            <w:tcBorders>
              <w:top w:val="single" w:sz="4" w:space="0" w:color="auto"/>
              <w:left w:val="nil"/>
              <w:bottom w:val="single" w:sz="4" w:space="0" w:color="auto"/>
              <w:right w:val="nil"/>
            </w:tcBorders>
            <w:shd w:val="clear" w:color="auto" w:fill="auto"/>
            <w:noWrap/>
            <w:vAlign w:val="center"/>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Galatasaray</w:t>
            </w:r>
          </w:p>
        </w:tc>
        <w:tc>
          <w:tcPr>
            <w:tcW w:w="1167" w:type="dxa"/>
            <w:tcBorders>
              <w:top w:val="single" w:sz="4" w:space="0" w:color="auto"/>
              <w:left w:val="nil"/>
              <w:bottom w:val="single" w:sz="4" w:space="0" w:color="auto"/>
              <w:right w:val="nil"/>
            </w:tcBorders>
            <w:shd w:val="clear" w:color="auto" w:fill="auto"/>
            <w:noWrap/>
            <w:vAlign w:val="center"/>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Beşiktaş</w:t>
            </w:r>
          </w:p>
        </w:tc>
        <w:tc>
          <w:tcPr>
            <w:tcW w:w="1260" w:type="dxa"/>
            <w:tcBorders>
              <w:top w:val="single" w:sz="4" w:space="0" w:color="auto"/>
              <w:left w:val="nil"/>
              <w:right w:val="nil"/>
            </w:tcBorders>
            <w:shd w:val="clear" w:color="auto" w:fill="auto"/>
            <w:noWrap/>
            <w:vAlign w:val="center"/>
          </w:tcPr>
          <w:p w:rsidR="00661BE5" w:rsidRPr="00CD0964" w:rsidRDefault="00661BE5" w:rsidP="00E944A8">
            <w:pPr>
              <w:rPr>
                <w:rFonts w:ascii="Arial" w:hAnsi="Arial" w:cs="Arial"/>
                <w:sz w:val="20"/>
                <w:szCs w:val="20"/>
                <w:lang w:eastAsia="fr-FR"/>
              </w:rPr>
            </w:pPr>
          </w:p>
        </w:tc>
        <w:tc>
          <w:tcPr>
            <w:tcW w:w="960" w:type="dxa"/>
            <w:tcBorders>
              <w:top w:val="single" w:sz="4" w:space="0" w:color="auto"/>
              <w:left w:val="nil"/>
              <w:right w:val="nil"/>
            </w:tcBorders>
            <w:shd w:val="clear" w:color="auto" w:fill="auto"/>
            <w:noWrap/>
            <w:vAlign w:val="center"/>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val="restart"/>
            <w:tcBorders>
              <w:left w:val="nil"/>
              <w:right w:val="nil"/>
            </w:tcBorders>
            <w:shd w:val="clear" w:color="auto" w:fill="auto"/>
            <w:noWrap/>
          </w:tcPr>
          <w:p w:rsidR="00661BE5" w:rsidRPr="00CD0964" w:rsidRDefault="00661BE5" w:rsidP="00E944A8">
            <w:pPr>
              <w:rPr>
                <w:rFonts w:ascii="Arial" w:hAnsi="Arial" w:cs="Arial"/>
                <w:sz w:val="20"/>
                <w:szCs w:val="20"/>
                <w:lang w:eastAsia="fr-FR"/>
              </w:rPr>
            </w:pPr>
          </w:p>
        </w:tc>
        <w:tc>
          <w:tcPr>
            <w:tcW w:w="2259" w:type="dxa"/>
            <w:tcBorders>
              <w:left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Fenerbahçe </w:t>
            </w:r>
          </w:p>
        </w:tc>
        <w:tc>
          <w:tcPr>
            <w:tcW w:w="1399" w:type="dxa"/>
            <w:tcBorders>
              <w:top w:val="single" w:sz="4" w:space="0" w:color="auto"/>
              <w:left w:val="nil"/>
              <w:right w:val="nil"/>
            </w:tcBorders>
            <w:shd w:val="clear" w:color="auto" w:fill="auto"/>
            <w:noWrap/>
            <w:vAlign w:val="center"/>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500" w:type="dxa"/>
            <w:tcBorders>
              <w:top w:val="single" w:sz="4" w:space="0" w:color="auto"/>
              <w:left w:val="nil"/>
              <w:right w:val="nil"/>
            </w:tcBorders>
            <w:shd w:val="clear" w:color="auto" w:fill="auto"/>
            <w:noWrap/>
            <w:vAlign w:val="center"/>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13.32***</w:t>
            </w:r>
          </w:p>
        </w:tc>
        <w:tc>
          <w:tcPr>
            <w:tcW w:w="1167" w:type="dxa"/>
            <w:tcBorders>
              <w:top w:val="single" w:sz="4" w:space="0" w:color="auto"/>
              <w:left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5.54**</w:t>
            </w:r>
          </w:p>
        </w:tc>
        <w:tc>
          <w:tcPr>
            <w:tcW w:w="1260" w:type="dxa"/>
            <w:tcBorders>
              <w:left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960" w:type="dxa"/>
            <w:tcBorders>
              <w:left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r>
      <w:tr w:rsidR="00661BE5" w:rsidRPr="00CD0964" w:rsidTr="00E944A8">
        <w:trPr>
          <w:trHeight w:val="113"/>
        </w:trPr>
        <w:tc>
          <w:tcPr>
            <w:tcW w:w="1300" w:type="dxa"/>
            <w:vMerge/>
            <w:tcBorders>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Galatasaray</w:t>
            </w:r>
          </w:p>
        </w:tc>
        <w:tc>
          <w:tcPr>
            <w:tcW w:w="1399" w:type="dxa"/>
            <w:tcBorders>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6.47**</w:t>
            </w:r>
          </w:p>
        </w:tc>
        <w:tc>
          <w:tcPr>
            <w:tcW w:w="1500" w:type="dxa"/>
            <w:tcBorders>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w:t>
            </w:r>
          </w:p>
        </w:tc>
        <w:tc>
          <w:tcPr>
            <w:tcW w:w="1167" w:type="dxa"/>
            <w:tcBorders>
              <w:left w:val="nil"/>
              <w:bottom w:val="nil"/>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5.28*</w:t>
            </w:r>
          </w:p>
        </w:tc>
        <w:tc>
          <w:tcPr>
            <w:tcW w:w="1260" w:type="dxa"/>
            <w:tcBorders>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left w:val="nil"/>
              <w:bottom w:val="nil"/>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r w:rsidR="00661BE5" w:rsidRPr="00CD0964" w:rsidTr="00E944A8">
        <w:trPr>
          <w:trHeight w:val="113"/>
        </w:trPr>
        <w:tc>
          <w:tcPr>
            <w:tcW w:w="1300" w:type="dxa"/>
            <w:vMerge/>
            <w:tcBorders>
              <w:top w:val="nil"/>
              <w:left w:val="nil"/>
              <w:bottom w:val="single" w:sz="4" w:space="0" w:color="000000"/>
              <w:right w:val="nil"/>
            </w:tcBorders>
            <w:vAlign w:val="center"/>
            <w:hideMark/>
          </w:tcPr>
          <w:p w:rsidR="00661BE5" w:rsidRPr="00CD0964" w:rsidRDefault="00661BE5" w:rsidP="00E944A8">
            <w:pPr>
              <w:rPr>
                <w:rFonts w:ascii="Arial" w:hAnsi="Arial" w:cs="Arial"/>
                <w:sz w:val="20"/>
                <w:szCs w:val="20"/>
                <w:lang w:eastAsia="fr-FR"/>
              </w:rPr>
            </w:pPr>
          </w:p>
        </w:tc>
        <w:tc>
          <w:tcPr>
            <w:tcW w:w="2259"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Beşiktaş</w:t>
            </w:r>
          </w:p>
        </w:tc>
        <w:tc>
          <w:tcPr>
            <w:tcW w:w="1399"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1.19</w:t>
            </w:r>
          </w:p>
        </w:tc>
        <w:tc>
          <w:tcPr>
            <w:tcW w:w="1500"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2.17</w:t>
            </w:r>
          </w:p>
        </w:tc>
        <w:tc>
          <w:tcPr>
            <w:tcW w:w="1167" w:type="dxa"/>
            <w:tcBorders>
              <w:top w:val="nil"/>
              <w:left w:val="nil"/>
              <w:bottom w:val="single" w:sz="4" w:space="0" w:color="auto"/>
              <w:right w:val="nil"/>
            </w:tcBorders>
            <w:shd w:val="clear" w:color="auto" w:fill="auto"/>
            <w:noWrap/>
            <w:vAlign w:val="center"/>
            <w:hideMark/>
          </w:tcPr>
          <w:p w:rsidR="00661BE5" w:rsidRPr="00CD0964" w:rsidRDefault="00661BE5" w:rsidP="00E944A8">
            <w:pPr>
              <w:rPr>
                <w:rFonts w:ascii="Arial" w:hAnsi="Arial" w:cs="Arial"/>
                <w:sz w:val="20"/>
                <w:szCs w:val="20"/>
                <w:lang w:eastAsia="fr-FR"/>
              </w:rPr>
            </w:pPr>
            <w:r w:rsidRPr="00CD0964">
              <w:rPr>
                <w:rFonts w:ascii="Arial" w:hAnsi="Arial" w:cs="Arial"/>
                <w:sz w:val="20"/>
                <w:szCs w:val="20"/>
                <w:lang w:eastAsia="fr-FR"/>
              </w:rPr>
              <w:t> -</w:t>
            </w:r>
          </w:p>
        </w:tc>
        <w:tc>
          <w:tcPr>
            <w:tcW w:w="1260"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c>
          <w:tcPr>
            <w:tcW w:w="960" w:type="dxa"/>
            <w:tcBorders>
              <w:top w:val="nil"/>
              <w:left w:val="nil"/>
              <w:bottom w:val="single" w:sz="4" w:space="0" w:color="auto"/>
              <w:right w:val="nil"/>
            </w:tcBorders>
            <w:shd w:val="clear" w:color="auto" w:fill="auto"/>
            <w:noWrap/>
            <w:vAlign w:val="bottom"/>
            <w:hideMark/>
          </w:tcPr>
          <w:p w:rsidR="00661BE5" w:rsidRPr="00CD0964" w:rsidRDefault="00661BE5" w:rsidP="00E944A8">
            <w:pPr>
              <w:rPr>
                <w:rFonts w:ascii="Arial" w:hAnsi="Arial" w:cs="Arial"/>
                <w:sz w:val="20"/>
                <w:szCs w:val="20"/>
                <w:lang w:eastAsia="fr-FR"/>
              </w:rPr>
            </w:pPr>
          </w:p>
        </w:tc>
      </w:tr>
    </w:tbl>
    <w:p w:rsidR="00661BE5" w:rsidRPr="00CD0964" w:rsidRDefault="00661BE5" w:rsidP="00661BE5">
      <w:pPr>
        <w:ind w:firstLine="340"/>
        <w:jc w:val="both"/>
        <w:rPr>
          <w:rFonts w:ascii="Arial" w:hAnsi="Arial" w:cs="Arial"/>
          <w:sz w:val="20"/>
          <w:szCs w:val="20"/>
        </w:rPr>
      </w:pPr>
      <w:r w:rsidRPr="00CD0964">
        <w:rPr>
          <w:rFonts w:ascii="Arial" w:hAnsi="Arial" w:cs="Arial"/>
          <w:sz w:val="20"/>
          <w:szCs w:val="20"/>
        </w:rPr>
        <w:t>Notlar: *, ** ve *** nedensellik olmadığı hipotezinin %10, %5 ve %1 anlamlılık düzeyinde reddedildiğini işaret etmektedir.</w:t>
      </w:r>
    </w:p>
    <w:p w:rsidR="00932545" w:rsidRPr="00CD0964" w:rsidRDefault="00932545" w:rsidP="001F3A29">
      <w:pPr>
        <w:spacing w:line="276" w:lineRule="auto"/>
        <w:ind w:firstLine="340"/>
        <w:jc w:val="both"/>
        <w:rPr>
          <w:rFonts w:ascii="Arial" w:hAnsi="Arial" w:cs="Arial"/>
          <w:b/>
          <w:sz w:val="20"/>
          <w:szCs w:val="20"/>
        </w:rPr>
      </w:pPr>
    </w:p>
    <w:p w:rsidR="00DE7E6F" w:rsidRPr="00CD0964" w:rsidRDefault="00DE7E6F" w:rsidP="001F3A29">
      <w:pPr>
        <w:spacing w:line="276" w:lineRule="auto"/>
        <w:ind w:firstLine="340"/>
        <w:jc w:val="both"/>
        <w:rPr>
          <w:rFonts w:ascii="Arial" w:hAnsi="Arial" w:cs="Arial"/>
          <w:b/>
          <w:sz w:val="20"/>
          <w:szCs w:val="20"/>
        </w:rPr>
      </w:pPr>
      <w:r w:rsidRPr="00CD0964">
        <w:rPr>
          <w:rFonts w:ascii="Arial" w:hAnsi="Arial" w:cs="Arial"/>
          <w:b/>
          <w:sz w:val="20"/>
          <w:szCs w:val="20"/>
        </w:rPr>
        <w:t>Performans yerine tarih</w:t>
      </w:r>
      <w:r w:rsidR="0058569E" w:rsidRPr="00CD0964">
        <w:rPr>
          <w:rFonts w:ascii="Arial" w:hAnsi="Arial" w:cs="Arial"/>
          <w:b/>
          <w:sz w:val="20"/>
          <w:szCs w:val="20"/>
        </w:rPr>
        <w:t>in</w:t>
      </w:r>
      <w:r w:rsidRPr="00CD0964">
        <w:rPr>
          <w:rFonts w:ascii="Arial" w:hAnsi="Arial" w:cs="Arial"/>
          <w:b/>
          <w:sz w:val="20"/>
          <w:szCs w:val="20"/>
        </w:rPr>
        <w:t xml:space="preserve"> belirlediği ezeli rekabetler </w:t>
      </w:r>
    </w:p>
    <w:p w:rsidR="002471E6" w:rsidRPr="00CD0964" w:rsidRDefault="00DE7E6F" w:rsidP="001F3A29">
      <w:pPr>
        <w:spacing w:line="276" w:lineRule="auto"/>
        <w:ind w:firstLine="340"/>
        <w:jc w:val="both"/>
        <w:rPr>
          <w:rFonts w:ascii="Arial" w:hAnsi="Arial" w:cs="Arial"/>
          <w:sz w:val="20"/>
          <w:szCs w:val="20"/>
        </w:rPr>
      </w:pPr>
      <w:r w:rsidRPr="00CD0964">
        <w:rPr>
          <w:rFonts w:ascii="Arial" w:hAnsi="Arial" w:cs="Arial"/>
          <w:sz w:val="20"/>
          <w:szCs w:val="20"/>
        </w:rPr>
        <w:t xml:space="preserve">Tablo 2’de yer alan nedensellik sonuçlarına göre Alman Bundesliga, Yunan Superleague ve İskoç Premiership'te yer alan tüm rekabetler ile yukarıda belirlenen 11 rekabetin dışında kalan tüm rekabetlerde (örneğin Ajax-PSV Eindhoven, Paris St. Germain-Olympique Marseille ya da Benfica-Sporting Lizbon) performans ile rekabet arasında bir nedensellik ilişkisinin mevcut olmadığı görülüyor. </w:t>
      </w:r>
      <w:r w:rsidR="009D32D6" w:rsidRPr="00CD0964">
        <w:rPr>
          <w:rFonts w:ascii="Arial" w:hAnsi="Arial" w:cs="Arial"/>
          <w:sz w:val="20"/>
          <w:szCs w:val="20"/>
        </w:rPr>
        <w:t xml:space="preserve">Bu </w:t>
      </w:r>
      <w:r w:rsidRPr="00CD0964">
        <w:rPr>
          <w:rFonts w:ascii="Arial" w:hAnsi="Arial" w:cs="Arial"/>
          <w:sz w:val="20"/>
          <w:szCs w:val="20"/>
        </w:rPr>
        <w:t>kategorideki kulüpler arasındaki ezeli rekabetin kaynakları başka alanlarda ara</w:t>
      </w:r>
      <w:r w:rsidR="001837E5" w:rsidRPr="00CD0964">
        <w:rPr>
          <w:rFonts w:ascii="Arial" w:hAnsi="Arial" w:cs="Arial"/>
          <w:sz w:val="20"/>
          <w:szCs w:val="20"/>
        </w:rPr>
        <w:t>nmalı</w:t>
      </w:r>
      <w:r w:rsidRPr="00CD0964">
        <w:rPr>
          <w:rFonts w:ascii="Arial" w:hAnsi="Arial" w:cs="Arial"/>
          <w:sz w:val="20"/>
          <w:szCs w:val="20"/>
        </w:rPr>
        <w:t xml:space="preserve">dır. </w:t>
      </w:r>
    </w:p>
    <w:p w:rsidR="007D46CA" w:rsidRPr="00CD0964" w:rsidRDefault="002D66E3" w:rsidP="001F3A29">
      <w:pPr>
        <w:spacing w:line="276" w:lineRule="auto"/>
        <w:ind w:firstLine="340"/>
        <w:jc w:val="both"/>
        <w:rPr>
          <w:rFonts w:ascii="Arial" w:hAnsi="Arial" w:cs="Arial"/>
          <w:sz w:val="20"/>
          <w:szCs w:val="20"/>
        </w:rPr>
      </w:pPr>
      <w:r w:rsidRPr="00CD0964">
        <w:rPr>
          <w:rFonts w:ascii="Arial" w:hAnsi="Arial" w:cs="Arial"/>
          <w:sz w:val="20"/>
          <w:szCs w:val="20"/>
        </w:rPr>
        <w:lastRenderedPageBreak/>
        <w:t xml:space="preserve">Örneğin, Wilson (2012) tarafından “Old Firm” derbisi (Celtic ve Rangers) için belirtildiği üzere, iki kulüp İskoç toplumunun </w:t>
      </w:r>
      <w:r w:rsidR="007D46CA" w:rsidRPr="00CD0964">
        <w:rPr>
          <w:rFonts w:ascii="Arial" w:hAnsi="Arial" w:cs="Arial"/>
          <w:sz w:val="20"/>
          <w:szCs w:val="20"/>
        </w:rPr>
        <w:t xml:space="preserve">tarihsel olarak </w:t>
      </w:r>
      <w:r w:rsidRPr="00CD0964">
        <w:rPr>
          <w:rFonts w:ascii="Arial" w:hAnsi="Arial" w:cs="Arial"/>
          <w:sz w:val="20"/>
          <w:szCs w:val="20"/>
        </w:rPr>
        <w:t xml:space="preserve">iki </w:t>
      </w:r>
      <w:r w:rsidR="007D46CA" w:rsidRPr="00CD0964">
        <w:rPr>
          <w:rFonts w:ascii="Arial" w:hAnsi="Arial" w:cs="Arial"/>
          <w:sz w:val="20"/>
          <w:szCs w:val="20"/>
        </w:rPr>
        <w:t xml:space="preserve">çatışmacı kesimini </w:t>
      </w:r>
      <w:r w:rsidRPr="00CD0964">
        <w:rPr>
          <w:rFonts w:ascii="Arial" w:hAnsi="Arial" w:cs="Arial"/>
          <w:sz w:val="20"/>
          <w:szCs w:val="20"/>
        </w:rPr>
        <w:t>temsil etmektedir. Celtic</w:t>
      </w:r>
      <w:r w:rsidR="002670FB" w:rsidRPr="00CD0964">
        <w:rPr>
          <w:rFonts w:ascii="Arial" w:hAnsi="Arial" w:cs="Arial"/>
          <w:sz w:val="20"/>
          <w:szCs w:val="20"/>
        </w:rPr>
        <w:t>,</w:t>
      </w:r>
      <w:r w:rsidRPr="00CD0964">
        <w:rPr>
          <w:rFonts w:ascii="Arial" w:hAnsi="Arial" w:cs="Arial"/>
          <w:sz w:val="20"/>
          <w:szCs w:val="20"/>
        </w:rPr>
        <w:t xml:space="preserve"> Katolik ve </w:t>
      </w:r>
      <w:r w:rsidR="00D877FF" w:rsidRPr="00CD0964">
        <w:rPr>
          <w:rFonts w:ascii="Arial" w:hAnsi="Arial" w:cs="Arial"/>
          <w:sz w:val="20"/>
          <w:szCs w:val="20"/>
        </w:rPr>
        <w:t>bağımsız</w:t>
      </w:r>
      <w:r w:rsidRPr="00CD0964">
        <w:rPr>
          <w:rFonts w:ascii="Arial" w:hAnsi="Arial" w:cs="Arial"/>
          <w:sz w:val="20"/>
          <w:szCs w:val="20"/>
        </w:rPr>
        <w:t xml:space="preserve"> cumhuriyetçi</w:t>
      </w:r>
      <w:r w:rsidR="00AB5C99" w:rsidRPr="00CD0964">
        <w:rPr>
          <w:rFonts w:ascii="Arial" w:hAnsi="Arial" w:cs="Arial"/>
          <w:sz w:val="20"/>
          <w:szCs w:val="20"/>
        </w:rPr>
        <w:t>lerin</w:t>
      </w:r>
      <w:r w:rsidRPr="00CD0964">
        <w:rPr>
          <w:rFonts w:ascii="Arial" w:hAnsi="Arial" w:cs="Arial"/>
          <w:sz w:val="20"/>
          <w:szCs w:val="20"/>
        </w:rPr>
        <w:t xml:space="preserve"> </w:t>
      </w:r>
      <w:r w:rsidR="00D877FF" w:rsidRPr="00CD0964">
        <w:rPr>
          <w:rFonts w:ascii="Arial" w:hAnsi="Arial" w:cs="Arial"/>
          <w:sz w:val="20"/>
          <w:szCs w:val="20"/>
        </w:rPr>
        <w:t>takımı</w:t>
      </w:r>
      <w:r w:rsidR="00291E35" w:rsidRPr="00CD0964">
        <w:rPr>
          <w:rFonts w:ascii="Arial" w:hAnsi="Arial" w:cs="Arial"/>
          <w:sz w:val="20"/>
          <w:szCs w:val="20"/>
        </w:rPr>
        <w:t>,</w:t>
      </w:r>
      <w:r w:rsidRPr="00CD0964">
        <w:rPr>
          <w:rFonts w:ascii="Arial" w:hAnsi="Arial" w:cs="Arial"/>
          <w:sz w:val="20"/>
          <w:szCs w:val="20"/>
        </w:rPr>
        <w:t xml:space="preserve"> </w:t>
      </w:r>
      <w:r w:rsidR="00CD0964" w:rsidRPr="00CD0964">
        <w:rPr>
          <w:rFonts w:ascii="Arial" w:hAnsi="Arial" w:cs="Arial"/>
          <w:sz w:val="20"/>
          <w:szCs w:val="20"/>
        </w:rPr>
        <w:t>oysaki</w:t>
      </w:r>
      <w:r w:rsidRPr="00CD0964">
        <w:rPr>
          <w:rFonts w:ascii="Arial" w:hAnsi="Arial" w:cs="Arial"/>
          <w:sz w:val="20"/>
          <w:szCs w:val="20"/>
        </w:rPr>
        <w:t xml:space="preserve"> Rangers</w:t>
      </w:r>
      <w:r w:rsidR="00291E35" w:rsidRPr="00CD0964">
        <w:rPr>
          <w:rFonts w:ascii="Arial" w:hAnsi="Arial" w:cs="Arial"/>
          <w:sz w:val="20"/>
          <w:szCs w:val="20"/>
        </w:rPr>
        <w:t>,</w:t>
      </w:r>
      <w:r w:rsidRPr="00CD0964">
        <w:rPr>
          <w:rFonts w:ascii="Arial" w:hAnsi="Arial" w:cs="Arial"/>
          <w:sz w:val="20"/>
          <w:szCs w:val="20"/>
        </w:rPr>
        <w:t xml:space="preserve"> Protestan ve </w:t>
      </w:r>
      <w:r w:rsidR="00D877FF" w:rsidRPr="00CD0964">
        <w:rPr>
          <w:rFonts w:ascii="Arial" w:hAnsi="Arial" w:cs="Arial"/>
          <w:sz w:val="20"/>
          <w:szCs w:val="20"/>
        </w:rPr>
        <w:t>birlikçi</w:t>
      </w:r>
      <w:r w:rsidR="00AB5C99" w:rsidRPr="00CD0964">
        <w:rPr>
          <w:rFonts w:ascii="Arial" w:hAnsi="Arial" w:cs="Arial"/>
          <w:sz w:val="20"/>
          <w:szCs w:val="20"/>
        </w:rPr>
        <w:t xml:space="preserve"> zihniyetli </w:t>
      </w:r>
      <w:r w:rsidR="00D877FF" w:rsidRPr="00CD0964">
        <w:rPr>
          <w:rFonts w:ascii="Arial" w:hAnsi="Arial" w:cs="Arial"/>
          <w:sz w:val="20"/>
          <w:szCs w:val="20"/>
        </w:rPr>
        <w:t>taraftarların</w:t>
      </w:r>
      <w:r w:rsidR="00AB5C99" w:rsidRPr="00CD0964">
        <w:rPr>
          <w:rFonts w:ascii="Arial" w:hAnsi="Arial" w:cs="Arial"/>
          <w:sz w:val="20"/>
          <w:szCs w:val="20"/>
        </w:rPr>
        <w:t xml:space="preserve"> </w:t>
      </w:r>
      <w:r w:rsidR="00D877FF" w:rsidRPr="00CD0964">
        <w:rPr>
          <w:rFonts w:ascii="Arial" w:hAnsi="Arial" w:cs="Arial"/>
          <w:sz w:val="20"/>
          <w:szCs w:val="20"/>
        </w:rPr>
        <w:t>takımı</w:t>
      </w:r>
      <w:r w:rsidR="002670FB" w:rsidRPr="00CD0964">
        <w:rPr>
          <w:rFonts w:ascii="Arial" w:hAnsi="Arial" w:cs="Arial"/>
          <w:sz w:val="20"/>
          <w:szCs w:val="20"/>
        </w:rPr>
        <w:t>dır</w:t>
      </w:r>
      <w:r w:rsidRPr="00CD0964">
        <w:rPr>
          <w:rFonts w:ascii="Arial" w:hAnsi="Arial" w:cs="Arial"/>
          <w:sz w:val="20"/>
          <w:szCs w:val="20"/>
        </w:rPr>
        <w:t>. Bu ar</w:t>
      </w:r>
      <w:r w:rsidR="00AB5C99" w:rsidRPr="00CD0964">
        <w:rPr>
          <w:rFonts w:ascii="Arial" w:hAnsi="Arial" w:cs="Arial"/>
          <w:sz w:val="20"/>
          <w:szCs w:val="20"/>
        </w:rPr>
        <w:t xml:space="preserve">gümana destek olarak, bu </w:t>
      </w:r>
      <w:r w:rsidR="00D877FF" w:rsidRPr="00CD0964">
        <w:rPr>
          <w:rFonts w:ascii="Arial" w:hAnsi="Arial" w:cs="Arial"/>
          <w:sz w:val="20"/>
          <w:szCs w:val="20"/>
        </w:rPr>
        <w:t>araştırmanın</w:t>
      </w:r>
      <w:r w:rsidRPr="00CD0964">
        <w:rPr>
          <w:rFonts w:ascii="Arial" w:hAnsi="Arial" w:cs="Arial"/>
          <w:sz w:val="20"/>
          <w:szCs w:val="20"/>
        </w:rPr>
        <w:t xml:space="preserve"> sonuçları, Old Firm derbisinin performansa dayalı bir rekabet olmadığını göstermektedir. Benzer şekilde, Dmowski (2013) tarafından belirtildiği üzere</w:t>
      </w:r>
      <w:r w:rsidR="00291E35" w:rsidRPr="00CD0964">
        <w:rPr>
          <w:rFonts w:ascii="Arial" w:hAnsi="Arial" w:cs="Arial"/>
          <w:sz w:val="20"/>
          <w:szCs w:val="20"/>
        </w:rPr>
        <w:t>,</w:t>
      </w:r>
      <w:r w:rsidRPr="00CD0964">
        <w:rPr>
          <w:rFonts w:ascii="Arial" w:hAnsi="Arial" w:cs="Arial"/>
          <w:sz w:val="20"/>
          <w:szCs w:val="20"/>
        </w:rPr>
        <w:t xml:space="preserve"> Olympiacos çoğunlukla Pire limanlarından gelen işçi sınıfı tarafından desteklen</w:t>
      </w:r>
      <w:r w:rsidR="00AB5C99" w:rsidRPr="00CD0964">
        <w:rPr>
          <w:rFonts w:ascii="Arial" w:hAnsi="Arial" w:cs="Arial"/>
          <w:sz w:val="20"/>
          <w:szCs w:val="20"/>
        </w:rPr>
        <w:t xml:space="preserve"> bir </w:t>
      </w:r>
      <w:r w:rsidR="00D877FF" w:rsidRPr="00CD0964">
        <w:rPr>
          <w:rFonts w:ascii="Arial" w:hAnsi="Arial" w:cs="Arial"/>
          <w:sz w:val="20"/>
          <w:szCs w:val="20"/>
        </w:rPr>
        <w:t>takım</w:t>
      </w:r>
      <w:r w:rsidRPr="00CD0964">
        <w:rPr>
          <w:rFonts w:ascii="Arial" w:hAnsi="Arial" w:cs="Arial"/>
          <w:sz w:val="20"/>
          <w:szCs w:val="20"/>
        </w:rPr>
        <w:t>,</w:t>
      </w:r>
      <w:r w:rsidR="00AB5C99" w:rsidRPr="00CD0964">
        <w:rPr>
          <w:rFonts w:ascii="Arial" w:hAnsi="Arial" w:cs="Arial"/>
          <w:sz w:val="20"/>
          <w:szCs w:val="20"/>
        </w:rPr>
        <w:t xml:space="preserve"> buna </w:t>
      </w:r>
      <w:r w:rsidR="00D877FF" w:rsidRPr="00CD0964">
        <w:rPr>
          <w:rFonts w:ascii="Arial" w:hAnsi="Arial" w:cs="Arial"/>
          <w:sz w:val="20"/>
          <w:szCs w:val="20"/>
        </w:rPr>
        <w:t>karşın</w:t>
      </w:r>
      <w:r w:rsidR="00AB5C99" w:rsidRPr="00CD0964">
        <w:rPr>
          <w:rFonts w:ascii="Arial" w:hAnsi="Arial" w:cs="Arial"/>
          <w:sz w:val="20"/>
          <w:szCs w:val="20"/>
        </w:rPr>
        <w:t xml:space="preserve"> ezeli rakibi</w:t>
      </w:r>
      <w:r w:rsidRPr="00CD0964">
        <w:rPr>
          <w:rFonts w:ascii="Arial" w:hAnsi="Arial" w:cs="Arial"/>
          <w:sz w:val="20"/>
          <w:szCs w:val="20"/>
        </w:rPr>
        <w:t xml:space="preserve"> Panathinaikos </w:t>
      </w:r>
      <w:r w:rsidR="00AB5C99" w:rsidRPr="00CD0964">
        <w:rPr>
          <w:rFonts w:ascii="Arial" w:hAnsi="Arial" w:cs="Arial"/>
          <w:sz w:val="20"/>
          <w:szCs w:val="20"/>
        </w:rPr>
        <w:t xml:space="preserve">geleneksel olarak daha ziyade </w:t>
      </w:r>
      <w:r w:rsidR="00D877FF" w:rsidRPr="00CD0964">
        <w:rPr>
          <w:rFonts w:ascii="Arial" w:hAnsi="Arial" w:cs="Arial"/>
          <w:sz w:val="20"/>
          <w:szCs w:val="20"/>
        </w:rPr>
        <w:t>sağ</w:t>
      </w:r>
      <w:r w:rsidR="00AB5C99" w:rsidRPr="00CD0964">
        <w:rPr>
          <w:rFonts w:ascii="Arial" w:hAnsi="Arial" w:cs="Arial"/>
          <w:sz w:val="20"/>
          <w:szCs w:val="20"/>
        </w:rPr>
        <w:t xml:space="preserve"> </w:t>
      </w:r>
      <w:r w:rsidR="00D877FF" w:rsidRPr="00CD0964">
        <w:rPr>
          <w:rFonts w:ascii="Arial" w:hAnsi="Arial" w:cs="Arial"/>
          <w:sz w:val="20"/>
          <w:szCs w:val="20"/>
        </w:rPr>
        <w:t>görüşlü</w:t>
      </w:r>
      <w:r w:rsidR="00AB5C99" w:rsidRPr="00CD0964">
        <w:rPr>
          <w:rFonts w:ascii="Arial" w:hAnsi="Arial" w:cs="Arial"/>
          <w:sz w:val="20"/>
          <w:szCs w:val="20"/>
        </w:rPr>
        <w:t xml:space="preserve"> ve</w:t>
      </w:r>
      <w:r w:rsidRPr="00CD0964">
        <w:rPr>
          <w:rFonts w:ascii="Arial" w:hAnsi="Arial" w:cs="Arial"/>
          <w:sz w:val="20"/>
          <w:szCs w:val="20"/>
        </w:rPr>
        <w:t xml:space="preserve"> askeri </w:t>
      </w:r>
      <w:r w:rsidR="00D877FF" w:rsidRPr="00CD0964">
        <w:rPr>
          <w:rFonts w:ascii="Arial" w:hAnsi="Arial" w:cs="Arial"/>
          <w:sz w:val="20"/>
          <w:szCs w:val="20"/>
        </w:rPr>
        <w:t>yönetim</w:t>
      </w:r>
      <w:r w:rsidR="00AB5C99" w:rsidRPr="00CD0964">
        <w:rPr>
          <w:rFonts w:ascii="Arial" w:hAnsi="Arial" w:cs="Arial"/>
          <w:sz w:val="20"/>
          <w:szCs w:val="20"/>
        </w:rPr>
        <w:t xml:space="preserve"> </w:t>
      </w:r>
      <w:r w:rsidR="00D877FF" w:rsidRPr="00CD0964">
        <w:rPr>
          <w:rFonts w:ascii="Arial" w:hAnsi="Arial" w:cs="Arial"/>
          <w:sz w:val="20"/>
          <w:szCs w:val="20"/>
        </w:rPr>
        <w:t>yanlısı</w:t>
      </w:r>
      <w:r w:rsidR="00AB5C99" w:rsidRPr="00CD0964">
        <w:rPr>
          <w:rFonts w:ascii="Arial" w:hAnsi="Arial" w:cs="Arial"/>
          <w:sz w:val="20"/>
          <w:szCs w:val="20"/>
        </w:rPr>
        <w:t xml:space="preserve"> </w:t>
      </w:r>
      <w:r w:rsidR="00D877FF" w:rsidRPr="00CD0964">
        <w:rPr>
          <w:rFonts w:ascii="Arial" w:hAnsi="Arial" w:cs="Arial"/>
          <w:sz w:val="20"/>
          <w:szCs w:val="20"/>
        </w:rPr>
        <w:t>kişilerin</w:t>
      </w:r>
      <w:r w:rsidR="00AB5C99" w:rsidRPr="00CD0964">
        <w:rPr>
          <w:rFonts w:ascii="Arial" w:hAnsi="Arial" w:cs="Arial"/>
          <w:sz w:val="20"/>
          <w:szCs w:val="20"/>
        </w:rPr>
        <w:t xml:space="preserve"> </w:t>
      </w:r>
      <w:r w:rsidR="00D877FF" w:rsidRPr="00CD0964">
        <w:rPr>
          <w:rFonts w:ascii="Arial" w:hAnsi="Arial" w:cs="Arial"/>
          <w:sz w:val="20"/>
          <w:szCs w:val="20"/>
        </w:rPr>
        <w:t>takımıdır</w:t>
      </w:r>
      <w:r w:rsidRPr="00CD0964">
        <w:rPr>
          <w:rFonts w:ascii="Arial" w:hAnsi="Arial" w:cs="Arial"/>
          <w:sz w:val="20"/>
          <w:szCs w:val="20"/>
        </w:rPr>
        <w:t>.</w:t>
      </w:r>
    </w:p>
    <w:p w:rsidR="00937E3B" w:rsidRDefault="00937E3B" w:rsidP="001F3A29">
      <w:pPr>
        <w:spacing w:line="276" w:lineRule="auto"/>
        <w:ind w:firstLine="340"/>
        <w:jc w:val="both"/>
        <w:rPr>
          <w:rFonts w:ascii="Arial" w:hAnsi="Arial" w:cs="Arial"/>
          <w:b/>
          <w:sz w:val="20"/>
          <w:szCs w:val="20"/>
        </w:rPr>
      </w:pPr>
    </w:p>
    <w:p w:rsidR="00CF3047" w:rsidRPr="00CD0964" w:rsidRDefault="00796E82" w:rsidP="001F3A29">
      <w:pPr>
        <w:spacing w:line="276" w:lineRule="auto"/>
        <w:ind w:firstLine="340"/>
        <w:jc w:val="both"/>
        <w:rPr>
          <w:rFonts w:ascii="Arial" w:hAnsi="Arial" w:cs="Arial"/>
          <w:sz w:val="20"/>
          <w:szCs w:val="20"/>
        </w:rPr>
      </w:pPr>
      <w:r w:rsidRPr="00CD0964">
        <w:rPr>
          <w:rFonts w:ascii="Arial" w:hAnsi="Arial" w:cs="Arial"/>
          <w:b/>
          <w:sz w:val="20"/>
          <w:szCs w:val="20"/>
        </w:rPr>
        <w:t>Türkiye’de ü</w:t>
      </w:r>
      <w:r w:rsidR="007D46CA" w:rsidRPr="00CD0964">
        <w:rPr>
          <w:rFonts w:ascii="Arial" w:hAnsi="Arial" w:cs="Arial"/>
          <w:b/>
          <w:sz w:val="20"/>
          <w:szCs w:val="20"/>
        </w:rPr>
        <w:t>ç büyükler arası rekabetin asimetrik boyutu</w:t>
      </w:r>
      <w:r w:rsidR="00337822" w:rsidRPr="00CD0964">
        <w:rPr>
          <w:rFonts w:ascii="Arial" w:hAnsi="Arial" w:cs="Arial"/>
          <w:sz w:val="20"/>
          <w:szCs w:val="20"/>
        </w:rPr>
        <w:t xml:space="preserve"> </w:t>
      </w:r>
    </w:p>
    <w:p w:rsidR="00832547" w:rsidRPr="00CD0964" w:rsidRDefault="00137F86" w:rsidP="001F3A29">
      <w:pPr>
        <w:spacing w:line="276" w:lineRule="auto"/>
        <w:ind w:firstLine="340"/>
        <w:jc w:val="both"/>
        <w:rPr>
          <w:rFonts w:ascii="Arial" w:hAnsi="Arial" w:cs="Arial"/>
          <w:sz w:val="20"/>
          <w:szCs w:val="20"/>
        </w:rPr>
      </w:pPr>
      <w:r w:rsidRPr="00CD0964">
        <w:rPr>
          <w:rFonts w:ascii="Arial" w:hAnsi="Arial" w:cs="Arial"/>
          <w:sz w:val="20"/>
          <w:szCs w:val="20"/>
        </w:rPr>
        <w:t xml:space="preserve">Tablo 2'den çıkan bir diğer </w:t>
      </w:r>
      <w:r w:rsidR="00EA0C82" w:rsidRPr="00CD0964">
        <w:rPr>
          <w:rFonts w:ascii="Arial" w:hAnsi="Arial" w:cs="Arial"/>
          <w:sz w:val="20"/>
          <w:szCs w:val="20"/>
        </w:rPr>
        <w:t>sonuç</w:t>
      </w:r>
      <w:r w:rsidRPr="00CD0964">
        <w:rPr>
          <w:rFonts w:ascii="Arial" w:hAnsi="Arial" w:cs="Arial"/>
          <w:sz w:val="20"/>
          <w:szCs w:val="20"/>
        </w:rPr>
        <w:t xml:space="preserve">, Türkiye Süper Ligi'nde Galatasaray ile Fenerbahçe arasında çift yönlü nedensellik bulunurken, Beşiktaş'tan Galatasaray'a ve Fenerbahçe'ye sadece tek yönlü nedensellik </w:t>
      </w:r>
      <w:r w:rsidR="00EA0C82" w:rsidRPr="00CD0964">
        <w:rPr>
          <w:rFonts w:ascii="Arial" w:hAnsi="Arial" w:cs="Arial"/>
          <w:sz w:val="20"/>
          <w:szCs w:val="20"/>
        </w:rPr>
        <w:t>bulunmakta</w:t>
      </w:r>
      <w:r w:rsidR="00280DC1" w:rsidRPr="00CD0964">
        <w:rPr>
          <w:rFonts w:ascii="Arial" w:hAnsi="Arial" w:cs="Arial"/>
          <w:sz w:val="20"/>
          <w:szCs w:val="20"/>
        </w:rPr>
        <w:t xml:space="preserve"> olduğudur</w:t>
      </w:r>
      <w:r w:rsidRPr="00CD0964">
        <w:rPr>
          <w:rFonts w:ascii="Arial" w:hAnsi="Arial" w:cs="Arial"/>
          <w:sz w:val="20"/>
          <w:szCs w:val="20"/>
        </w:rPr>
        <w:t>. Başka bir deyişle, Beşiktaş'ın lig performansı rakiplerinin performansından etkilenmemekte</w:t>
      </w:r>
      <w:r w:rsidR="00314F29" w:rsidRPr="00CD0964">
        <w:rPr>
          <w:rFonts w:ascii="Arial" w:hAnsi="Arial" w:cs="Arial"/>
          <w:sz w:val="20"/>
          <w:szCs w:val="20"/>
        </w:rPr>
        <w:t>,</w:t>
      </w:r>
      <w:r w:rsidR="00272144" w:rsidRPr="00CD0964">
        <w:rPr>
          <w:rFonts w:ascii="Arial" w:hAnsi="Arial" w:cs="Arial"/>
          <w:sz w:val="20"/>
          <w:szCs w:val="20"/>
        </w:rPr>
        <w:t xml:space="preserve"> buna karşılık Beşiktaş’ın performansı Galatasaray ve Fenerbahçe’nin performansını etkilemektedir</w:t>
      </w:r>
      <w:r w:rsidRPr="00CD0964">
        <w:rPr>
          <w:rFonts w:ascii="Arial" w:hAnsi="Arial" w:cs="Arial"/>
          <w:sz w:val="20"/>
          <w:szCs w:val="20"/>
        </w:rPr>
        <w:t xml:space="preserve">. </w:t>
      </w:r>
    </w:p>
    <w:p w:rsidR="00CA25D3" w:rsidRPr="00CD0964" w:rsidRDefault="00137F86" w:rsidP="001F3A29">
      <w:pPr>
        <w:spacing w:line="276" w:lineRule="auto"/>
        <w:ind w:firstLine="340"/>
        <w:jc w:val="both"/>
        <w:rPr>
          <w:rFonts w:ascii="Arial" w:hAnsi="Arial" w:cs="Arial"/>
          <w:sz w:val="20"/>
          <w:szCs w:val="20"/>
        </w:rPr>
      </w:pPr>
      <w:r w:rsidRPr="00CD0964">
        <w:rPr>
          <w:rFonts w:ascii="Arial" w:hAnsi="Arial" w:cs="Arial"/>
          <w:sz w:val="20"/>
          <w:szCs w:val="20"/>
        </w:rPr>
        <w:t>Geleneksel olarak</w:t>
      </w:r>
      <w:r w:rsidR="00280DC1" w:rsidRPr="00CD0964">
        <w:rPr>
          <w:rFonts w:ascii="Arial" w:hAnsi="Arial" w:cs="Arial"/>
          <w:sz w:val="20"/>
          <w:szCs w:val="20"/>
        </w:rPr>
        <w:t>,</w:t>
      </w:r>
      <w:r w:rsidRPr="00CD0964">
        <w:rPr>
          <w:rFonts w:ascii="Arial" w:hAnsi="Arial" w:cs="Arial"/>
          <w:sz w:val="20"/>
          <w:szCs w:val="20"/>
        </w:rPr>
        <w:t xml:space="preserve"> Beşiktaş hal</w:t>
      </w:r>
      <w:r w:rsidR="00291E35" w:rsidRPr="00CD0964">
        <w:rPr>
          <w:rFonts w:ascii="Arial" w:hAnsi="Arial" w:cs="Arial"/>
          <w:sz w:val="20"/>
          <w:szCs w:val="20"/>
        </w:rPr>
        <w:t>k</w:t>
      </w:r>
      <w:r w:rsidRPr="00CD0964">
        <w:rPr>
          <w:rFonts w:ascii="Arial" w:hAnsi="Arial" w:cs="Arial"/>
          <w:sz w:val="20"/>
          <w:szCs w:val="20"/>
        </w:rPr>
        <w:t xml:space="preserve"> </w:t>
      </w:r>
      <w:r w:rsidR="00EA0C82" w:rsidRPr="00CD0964">
        <w:rPr>
          <w:rFonts w:ascii="Arial" w:hAnsi="Arial" w:cs="Arial"/>
          <w:sz w:val="20"/>
          <w:szCs w:val="20"/>
        </w:rPr>
        <w:t>takımı</w:t>
      </w:r>
      <w:r w:rsidRPr="00CD0964">
        <w:rPr>
          <w:rFonts w:ascii="Arial" w:hAnsi="Arial" w:cs="Arial"/>
          <w:sz w:val="20"/>
          <w:szCs w:val="20"/>
        </w:rPr>
        <w:t xml:space="preserve"> olarak bilinirken, Galatasaray</w:t>
      </w:r>
      <w:r w:rsidR="00272144" w:rsidRPr="00CD0964">
        <w:rPr>
          <w:rFonts w:ascii="Arial" w:hAnsi="Arial" w:cs="Arial"/>
          <w:sz w:val="20"/>
          <w:szCs w:val="20"/>
        </w:rPr>
        <w:t>’ın</w:t>
      </w:r>
      <w:r w:rsidRPr="00CD0964">
        <w:rPr>
          <w:rFonts w:ascii="Arial" w:hAnsi="Arial" w:cs="Arial"/>
          <w:sz w:val="20"/>
          <w:szCs w:val="20"/>
        </w:rPr>
        <w:t xml:space="preserve"> aristokrat</w:t>
      </w:r>
      <w:r w:rsidR="00291E35" w:rsidRPr="00CD0964">
        <w:rPr>
          <w:rFonts w:ascii="Arial" w:hAnsi="Arial" w:cs="Arial"/>
          <w:sz w:val="20"/>
          <w:szCs w:val="20"/>
        </w:rPr>
        <w:t>,</w:t>
      </w:r>
      <w:r w:rsidR="00EA0C82" w:rsidRPr="00CD0964">
        <w:rPr>
          <w:rFonts w:ascii="Arial" w:hAnsi="Arial" w:cs="Arial"/>
          <w:sz w:val="20"/>
          <w:szCs w:val="20"/>
        </w:rPr>
        <w:t xml:space="preserve"> Fenerbahçe</w:t>
      </w:r>
      <w:r w:rsidR="00272144" w:rsidRPr="00CD0964">
        <w:rPr>
          <w:rFonts w:ascii="Arial" w:hAnsi="Arial" w:cs="Arial"/>
          <w:sz w:val="20"/>
          <w:szCs w:val="20"/>
        </w:rPr>
        <w:t>’nin</w:t>
      </w:r>
      <w:r w:rsidR="00EA0C82" w:rsidRPr="00CD0964">
        <w:rPr>
          <w:rFonts w:ascii="Arial" w:hAnsi="Arial" w:cs="Arial"/>
          <w:sz w:val="20"/>
          <w:szCs w:val="20"/>
        </w:rPr>
        <w:t xml:space="preserve"> ise burjuva takımı</w:t>
      </w:r>
      <w:r w:rsidR="00272144" w:rsidRPr="00CD0964">
        <w:rPr>
          <w:rFonts w:ascii="Arial" w:hAnsi="Arial" w:cs="Arial"/>
          <w:sz w:val="20"/>
          <w:szCs w:val="20"/>
        </w:rPr>
        <w:t xml:space="preserve"> olduğu düşünülmektedir</w:t>
      </w:r>
      <w:r w:rsidRPr="00CD0964">
        <w:rPr>
          <w:rFonts w:ascii="Arial" w:hAnsi="Arial" w:cs="Arial"/>
          <w:sz w:val="20"/>
          <w:szCs w:val="20"/>
        </w:rPr>
        <w:t xml:space="preserve"> (Kytö, 2011). Beşiktaş taraftar grubu Çarşı</w:t>
      </w:r>
      <w:r w:rsidR="00291E35" w:rsidRPr="00CD0964">
        <w:rPr>
          <w:rFonts w:ascii="Arial" w:hAnsi="Arial" w:cs="Arial"/>
          <w:sz w:val="20"/>
          <w:szCs w:val="20"/>
        </w:rPr>
        <w:t>,</w:t>
      </w:r>
      <w:r w:rsidRPr="00CD0964">
        <w:rPr>
          <w:rFonts w:ascii="Arial" w:hAnsi="Arial" w:cs="Arial"/>
          <w:sz w:val="20"/>
          <w:szCs w:val="20"/>
        </w:rPr>
        <w:t xml:space="preserve"> </w:t>
      </w:r>
      <w:r w:rsidR="00EA0C82" w:rsidRPr="00CD0964">
        <w:rPr>
          <w:rFonts w:ascii="Arial" w:hAnsi="Arial" w:cs="Arial"/>
          <w:sz w:val="20"/>
          <w:szCs w:val="20"/>
        </w:rPr>
        <w:t>bilindiği</w:t>
      </w:r>
      <w:r w:rsidRPr="00CD0964">
        <w:rPr>
          <w:rFonts w:ascii="Arial" w:hAnsi="Arial" w:cs="Arial"/>
          <w:sz w:val="20"/>
          <w:szCs w:val="20"/>
        </w:rPr>
        <w:t xml:space="preserve"> </w:t>
      </w:r>
      <w:r w:rsidR="00EA0C82" w:rsidRPr="00CD0964">
        <w:rPr>
          <w:rFonts w:ascii="Arial" w:hAnsi="Arial" w:cs="Arial"/>
          <w:sz w:val="20"/>
          <w:szCs w:val="20"/>
        </w:rPr>
        <w:t>üzere</w:t>
      </w:r>
      <w:r w:rsidRPr="00CD0964">
        <w:rPr>
          <w:rFonts w:ascii="Arial" w:hAnsi="Arial" w:cs="Arial"/>
          <w:sz w:val="20"/>
          <w:szCs w:val="20"/>
        </w:rPr>
        <w:t xml:space="preserve"> pek çok sosyal ve siyasi meselede yer </w:t>
      </w:r>
      <w:r w:rsidR="00280DC1" w:rsidRPr="00CD0964">
        <w:rPr>
          <w:rFonts w:ascii="Arial" w:hAnsi="Arial" w:cs="Arial"/>
          <w:sz w:val="20"/>
          <w:szCs w:val="20"/>
        </w:rPr>
        <w:t>almaktadı</w:t>
      </w:r>
      <w:r w:rsidR="00291E35" w:rsidRPr="00CD0964">
        <w:rPr>
          <w:rFonts w:ascii="Arial" w:hAnsi="Arial" w:cs="Arial"/>
          <w:sz w:val="20"/>
          <w:szCs w:val="20"/>
        </w:rPr>
        <w:t>r</w:t>
      </w:r>
      <w:r w:rsidRPr="00CD0964">
        <w:rPr>
          <w:rFonts w:ascii="Arial" w:hAnsi="Arial" w:cs="Arial"/>
          <w:sz w:val="20"/>
          <w:szCs w:val="20"/>
        </w:rPr>
        <w:t xml:space="preserve">. Burada elde edilen </w:t>
      </w:r>
      <w:r w:rsidR="00832547" w:rsidRPr="00CD0964">
        <w:rPr>
          <w:rFonts w:ascii="Arial" w:hAnsi="Arial" w:cs="Arial"/>
          <w:sz w:val="20"/>
          <w:szCs w:val="20"/>
        </w:rPr>
        <w:t xml:space="preserve">tek yönlü </w:t>
      </w:r>
      <w:r w:rsidRPr="00CD0964">
        <w:rPr>
          <w:rFonts w:ascii="Arial" w:hAnsi="Arial" w:cs="Arial"/>
          <w:sz w:val="20"/>
          <w:szCs w:val="20"/>
        </w:rPr>
        <w:t xml:space="preserve">nedensellik sonuçları, </w:t>
      </w:r>
      <w:r w:rsidR="00EA0C82" w:rsidRPr="00CD0964">
        <w:rPr>
          <w:rFonts w:ascii="Arial" w:hAnsi="Arial" w:cs="Arial"/>
          <w:sz w:val="20"/>
          <w:szCs w:val="20"/>
        </w:rPr>
        <w:t>Çarşı’nın</w:t>
      </w:r>
      <w:r w:rsidRPr="00CD0964">
        <w:rPr>
          <w:rFonts w:ascii="Arial" w:hAnsi="Arial" w:cs="Arial"/>
          <w:sz w:val="20"/>
          <w:szCs w:val="20"/>
        </w:rPr>
        <w:t xml:space="preserve"> neden Beşiktaş taraftarlarının </w:t>
      </w:r>
      <w:r w:rsidR="00EA0C82" w:rsidRPr="00CD0964">
        <w:rPr>
          <w:rFonts w:ascii="Arial" w:hAnsi="Arial" w:cs="Arial"/>
          <w:sz w:val="20"/>
          <w:szCs w:val="20"/>
        </w:rPr>
        <w:t>kulüp</w:t>
      </w:r>
      <w:r w:rsidRPr="00CD0964">
        <w:rPr>
          <w:rFonts w:ascii="Arial" w:hAnsi="Arial" w:cs="Arial"/>
          <w:sz w:val="20"/>
          <w:szCs w:val="20"/>
        </w:rPr>
        <w:t xml:space="preserve"> ile özdeşleşmesinde etkili bir faktör halin</w:t>
      </w:r>
      <w:r w:rsidR="00EA0C82" w:rsidRPr="00CD0964">
        <w:rPr>
          <w:rFonts w:ascii="Arial" w:hAnsi="Arial" w:cs="Arial"/>
          <w:sz w:val="20"/>
          <w:szCs w:val="20"/>
        </w:rPr>
        <w:t xml:space="preserve">e </w:t>
      </w:r>
      <w:r w:rsidR="00291E35" w:rsidRPr="00CD0964">
        <w:rPr>
          <w:rFonts w:ascii="Arial" w:hAnsi="Arial" w:cs="Arial"/>
          <w:sz w:val="20"/>
          <w:szCs w:val="20"/>
        </w:rPr>
        <w:t>geld</w:t>
      </w:r>
      <w:r w:rsidR="00280DC1" w:rsidRPr="00CD0964">
        <w:rPr>
          <w:rFonts w:ascii="Arial" w:hAnsi="Arial" w:cs="Arial"/>
          <w:sz w:val="20"/>
          <w:szCs w:val="20"/>
        </w:rPr>
        <w:t>iğine dair bilgiler sağlamaktadı</w:t>
      </w:r>
      <w:r w:rsidR="00291E35" w:rsidRPr="00CD0964">
        <w:rPr>
          <w:rFonts w:ascii="Arial" w:hAnsi="Arial" w:cs="Arial"/>
          <w:sz w:val="20"/>
          <w:szCs w:val="20"/>
        </w:rPr>
        <w:t>r</w:t>
      </w:r>
      <w:r w:rsidRPr="00CD0964">
        <w:rPr>
          <w:rFonts w:ascii="Arial" w:hAnsi="Arial" w:cs="Arial"/>
          <w:sz w:val="20"/>
          <w:szCs w:val="20"/>
        </w:rPr>
        <w:t>.</w:t>
      </w:r>
      <w:r w:rsidR="005D61D4" w:rsidRPr="00CD0964">
        <w:rPr>
          <w:rFonts w:ascii="Arial" w:hAnsi="Arial" w:cs="Arial"/>
          <w:sz w:val="20"/>
          <w:szCs w:val="20"/>
        </w:rPr>
        <w:t xml:space="preserve"> </w:t>
      </w:r>
      <w:r w:rsidR="00D35BB4" w:rsidRPr="00CD0964">
        <w:rPr>
          <w:rFonts w:ascii="Arial" w:hAnsi="Arial" w:cs="Arial"/>
          <w:sz w:val="20"/>
          <w:szCs w:val="20"/>
        </w:rPr>
        <w:t>Türkiye ligi için ç</w:t>
      </w:r>
      <w:r w:rsidR="00FD4C25" w:rsidRPr="00CD0964">
        <w:rPr>
          <w:rFonts w:ascii="Arial" w:hAnsi="Arial" w:cs="Arial"/>
          <w:sz w:val="20"/>
          <w:szCs w:val="20"/>
        </w:rPr>
        <w:t>alışmamızda</w:t>
      </w:r>
      <w:r w:rsidR="00BA183A" w:rsidRPr="00CD0964">
        <w:rPr>
          <w:rFonts w:ascii="Arial" w:hAnsi="Arial" w:cs="Arial"/>
          <w:sz w:val="20"/>
          <w:szCs w:val="20"/>
        </w:rPr>
        <w:t xml:space="preserve"> ele </w:t>
      </w:r>
      <w:r w:rsidR="00FD4C25" w:rsidRPr="00CD0964">
        <w:rPr>
          <w:rFonts w:ascii="Arial" w:hAnsi="Arial" w:cs="Arial"/>
          <w:sz w:val="20"/>
          <w:szCs w:val="20"/>
        </w:rPr>
        <w:t>alınan</w:t>
      </w:r>
      <w:r w:rsidR="00BA183A" w:rsidRPr="00CD0964">
        <w:rPr>
          <w:rFonts w:ascii="Arial" w:hAnsi="Arial" w:cs="Arial"/>
          <w:sz w:val="20"/>
          <w:szCs w:val="20"/>
        </w:rPr>
        <w:t xml:space="preserve"> </w:t>
      </w:r>
      <w:r w:rsidR="00280DC1" w:rsidRPr="00CD0964">
        <w:rPr>
          <w:rFonts w:ascii="Arial" w:hAnsi="Arial" w:cs="Arial"/>
          <w:sz w:val="20"/>
          <w:szCs w:val="20"/>
        </w:rPr>
        <w:t>1963/64-</w:t>
      </w:r>
      <w:r w:rsidR="00D35BB4" w:rsidRPr="00CD0964">
        <w:rPr>
          <w:rFonts w:ascii="Arial" w:hAnsi="Arial" w:cs="Arial"/>
          <w:sz w:val="20"/>
          <w:szCs w:val="20"/>
        </w:rPr>
        <w:t xml:space="preserve">2015/16 </w:t>
      </w:r>
      <w:r w:rsidR="009A3BEA" w:rsidRPr="00CD0964">
        <w:rPr>
          <w:rFonts w:ascii="Arial" w:hAnsi="Arial" w:cs="Arial"/>
          <w:sz w:val="20"/>
          <w:szCs w:val="20"/>
        </w:rPr>
        <w:t>döneminde</w:t>
      </w:r>
      <w:r w:rsidR="00280DC1" w:rsidRPr="00CD0964">
        <w:rPr>
          <w:rFonts w:ascii="Arial" w:hAnsi="Arial" w:cs="Arial"/>
          <w:sz w:val="20"/>
          <w:szCs w:val="20"/>
        </w:rPr>
        <w:t>,</w:t>
      </w:r>
      <w:r w:rsidR="00D35BB4" w:rsidRPr="00CD0964">
        <w:rPr>
          <w:rFonts w:ascii="Arial" w:hAnsi="Arial" w:cs="Arial"/>
          <w:sz w:val="20"/>
          <w:szCs w:val="20"/>
        </w:rPr>
        <w:t xml:space="preserve"> </w:t>
      </w:r>
      <w:r w:rsidRPr="00CD0964">
        <w:rPr>
          <w:rFonts w:ascii="Arial" w:hAnsi="Arial" w:cs="Arial"/>
          <w:sz w:val="20"/>
          <w:szCs w:val="20"/>
        </w:rPr>
        <w:t>Beşiktaş'ın performansı</w:t>
      </w:r>
      <w:r w:rsidR="00280DC1" w:rsidRPr="00CD0964">
        <w:rPr>
          <w:rFonts w:ascii="Arial" w:hAnsi="Arial" w:cs="Arial"/>
          <w:sz w:val="20"/>
          <w:szCs w:val="20"/>
        </w:rPr>
        <w:t>nın</w:t>
      </w:r>
      <w:r w:rsidRPr="00CD0964">
        <w:rPr>
          <w:rFonts w:ascii="Arial" w:hAnsi="Arial" w:cs="Arial"/>
          <w:sz w:val="20"/>
          <w:szCs w:val="20"/>
        </w:rPr>
        <w:t xml:space="preserve">, Galatasaray ve Fenerbahçe ile </w:t>
      </w:r>
      <w:r w:rsidR="00EA0C82" w:rsidRPr="00CD0964">
        <w:rPr>
          <w:rFonts w:ascii="Arial" w:hAnsi="Arial" w:cs="Arial"/>
          <w:sz w:val="20"/>
          <w:szCs w:val="20"/>
        </w:rPr>
        <w:t xml:space="preserve">rekabeti </w:t>
      </w:r>
      <w:r w:rsidRPr="00CD0964">
        <w:rPr>
          <w:rFonts w:ascii="Arial" w:hAnsi="Arial" w:cs="Arial"/>
          <w:sz w:val="20"/>
          <w:szCs w:val="20"/>
        </w:rPr>
        <w:t>devam ettirmek için gerekli olan</w:t>
      </w:r>
      <w:r w:rsidR="00EA0C82" w:rsidRPr="00CD0964">
        <w:rPr>
          <w:rFonts w:ascii="Arial" w:hAnsi="Arial" w:cs="Arial"/>
          <w:sz w:val="20"/>
          <w:szCs w:val="20"/>
        </w:rPr>
        <w:t xml:space="preserve"> </w:t>
      </w:r>
      <w:r w:rsidR="00FD4C25" w:rsidRPr="00CD0964">
        <w:rPr>
          <w:rFonts w:ascii="Arial" w:hAnsi="Arial" w:cs="Arial"/>
          <w:sz w:val="20"/>
          <w:szCs w:val="20"/>
        </w:rPr>
        <w:t>performansın</w:t>
      </w:r>
      <w:r w:rsidRPr="00CD0964">
        <w:rPr>
          <w:rFonts w:ascii="Arial" w:hAnsi="Arial" w:cs="Arial"/>
          <w:sz w:val="20"/>
          <w:szCs w:val="20"/>
        </w:rPr>
        <w:t xml:space="preserve"> altında </w:t>
      </w:r>
      <w:r w:rsidR="00FD4C25" w:rsidRPr="00CD0964">
        <w:rPr>
          <w:rFonts w:ascii="Arial" w:hAnsi="Arial" w:cs="Arial"/>
          <w:sz w:val="20"/>
          <w:szCs w:val="20"/>
        </w:rPr>
        <w:t>kaldığı</w:t>
      </w:r>
      <w:r w:rsidR="00EA0C82" w:rsidRPr="00CD0964">
        <w:rPr>
          <w:rFonts w:ascii="Arial" w:hAnsi="Arial" w:cs="Arial"/>
          <w:sz w:val="20"/>
          <w:szCs w:val="20"/>
        </w:rPr>
        <w:t xml:space="preserve"> </w:t>
      </w:r>
      <w:r w:rsidR="00FD4C25" w:rsidRPr="00CD0964">
        <w:rPr>
          <w:rFonts w:ascii="Arial" w:hAnsi="Arial" w:cs="Arial"/>
          <w:sz w:val="20"/>
          <w:szCs w:val="20"/>
        </w:rPr>
        <w:t>görülüyor</w:t>
      </w:r>
      <w:r w:rsidRPr="00CD0964">
        <w:rPr>
          <w:rFonts w:ascii="Arial" w:hAnsi="Arial" w:cs="Arial"/>
          <w:sz w:val="20"/>
          <w:szCs w:val="20"/>
        </w:rPr>
        <w:t xml:space="preserve">. </w:t>
      </w:r>
      <w:r w:rsidR="00280DC1" w:rsidRPr="00CD0964">
        <w:rPr>
          <w:rFonts w:ascii="Arial" w:hAnsi="Arial" w:cs="Arial"/>
          <w:sz w:val="20"/>
          <w:szCs w:val="20"/>
        </w:rPr>
        <w:t>Bu dö</w:t>
      </w:r>
      <w:r w:rsidR="00EA0C82" w:rsidRPr="00CD0964">
        <w:rPr>
          <w:rFonts w:ascii="Arial" w:hAnsi="Arial" w:cs="Arial"/>
          <w:sz w:val="20"/>
          <w:szCs w:val="20"/>
        </w:rPr>
        <w:t>nemde</w:t>
      </w:r>
      <w:r w:rsidR="00280DC1" w:rsidRPr="00CD0964">
        <w:rPr>
          <w:rFonts w:ascii="Arial" w:hAnsi="Arial" w:cs="Arial"/>
          <w:sz w:val="20"/>
          <w:szCs w:val="20"/>
        </w:rPr>
        <w:t>,</w:t>
      </w:r>
      <w:r w:rsidR="00EA0C82" w:rsidRPr="00CD0964">
        <w:rPr>
          <w:rFonts w:ascii="Arial" w:hAnsi="Arial" w:cs="Arial"/>
          <w:sz w:val="20"/>
          <w:szCs w:val="20"/>
        </w:rPr>
        <w:t xml:space="preserve"> </w:t>
      </w:r>
      <w:r w:rsidR="00BA183A" w:rsidRPr="00CD0964">
        <w:rPr>
          <w:rFonts w:ascii="Arial" w:hAnsi="Arial" w:cs="Arial"/>
          <w:sz w:val="20"/>
          <w:szCs w:val="20"/>
        </w:rPr>
        <w:t>Galatasaray 18 kez</w:t>
      </w:r>
      <w:r w:rsidR="00280DC1" w:rsidRPr="00CD0964">
        <w:rPr>
          <w:rFonts w:ascii="Arial" w:hAnsi="Arial" w:cs="Arial"/>
          <w:sz w:val="20"/>
          <w:szCs w:val="20"/>
        </w:rPr>
        <w:t>,</w:t>
      </w:r>
      <w:r w:rsidR="00BA183A" w:rsidRPr="00CD0964">
        <w:rPr>
          <w:rFonts w:ascii="Arial" w:hAnsi="Arial" w:cs="Arial"/>
          <w:sz w:val="20"/>
          <w:szCs w:val="20"/>
        </w:rPr>
        <w:t xml:space="preserve"> </w:t>
      </w:r>
      <w:r w:rsidR="00EA0C82" w:rsidRPr="00CD0964">
        <w:rPr>
          <w:rFonts w:ascii="Arial" w:hAnsi="Arial" w:cs="Arial"/>
          <w:sz w:val="20"/>
          <w:szCs w:val="20"/>
        </w:rPr>
        <w:t xml:space="preserve">Fenerbahçe 17 kez, Beşiktaş ise </w:t>
      </w:r>
      <w:r w:rsidR="00BA183A" w:rsidRPr="00CD0964">
        <w:rPr>
          <w:rFonts w:ascii="Arial" w:hAnsi="Arial" w:cs="Arial"/>
          <w:sz w:val="20"/>
          <w:szCs w:val="20"/>
        </w:rPr>
        <w:t xml:space="preserve">sadece 11 kez lig </w:t>
      </w:r>
      <w:r w:rsidR="00FD4C25" w:rsidRPr="00CD0964">
        <w:rPr>
          <w:rFonts w:ascii="Arial" w:hAnsi="Arial" w:cs="Arial"/>
          <w:sz w:val="20"/>
          <w:szCs w:val="20"/>
        </w:rPr>
        <w:t>şampiyonlu</w:t>
      </w:r>
      <w:r w:rsidR="00CC171B" w:rsidRPr="00CD0964">
        <w:rPr>
          <w:rFonts w:ascii="Arial" w:hAnsi="Arial" w:cs="Arial"/>
          <w:sz w:val="20"/>
          <w:szCs w:val="20"/>
        </w:rPr>
        <w:t>ğu</w:t>
      </w:r>
      <w:r w:rsidR="00FD4C25" w:rsidRPr="00CD0964">
        <w:rPr>
          <w:rFonts w:ascii="Arial" w:hAnsi="Arial" w:cs="Arial"/>
          <w:sz w:val="20"/>
          <w:szCs w:val="20"/>
        </w:rPr>
        <w:t xml:space="preserve"> elde etti</w:t>
      </w:r>
      <w:r w:rsidR="00BA183A" w:rsidRPr="00CD0964">
        <w:rPr>
          <w:rFonts w:ascii="Arial" w:hAnsi="Arial" w:cs="Arial"/>
          <w:sz w:val="20"/>
          <w:szCs w:val="20"/>
        </w:rPr>
        <w:t xml:space="preserve">. Ekonometrik analizimizin </w:t>
      </w:r>
      <w:r w:rsidR="00D35BB4" w:rsidRPr="00CD0964">
        <w:rPr>
          <w:rFonts w:ascii="Arial" w:hAnsi="Arial" w:cs="Arial"/>
          <w:sz w:val="20"/>
          <w:szCs w:val="20"/>
        </w:rPr>
        <w:t>sonuçlarının</w:t>
      </w:r>
      <w:r w:rsidR="00BA183A" w:rsidRPr="00CD0964">
        <w:rPr>
          <w:rFonts w:ascii="Arial" w:hAnsi="Arial" w:cs="Arial"/>
          <w:sz w:val="20"/>
          <w:szCs w:val="20"/>
        </w:rPr>
        <w:t xml:space="preserve"> gösterdiği </w:t>
      </w:r>
      <w:r w:rsidR="00FD4C25" w:rsidRPr="00CD0964">
        <w:rPr>
          <w:rFonts w:ascii="Arial" w:hAnsi="Arial" w:cs="Arial"/>
          <w:sz w:val="20"/>
          <w:szCs w:val="20"/>
        </w:rPr>
        <w:t>üzere</w:t>
      </w:r>
      <w:r w:rsidR="00280DC1" w:rsidRPr="00CD0964">
        <w:rPr>
          <w:rFonts w:ascii="Arial" w:hAnsi="Arial" w:cs="Arial"/>
          <w:sz w:val="20"/>
          <w:szCs w:val="20"/>
        </w:rPr>
        <w:t>,</w:t>
      </w:r>
      <w:r w:rsidR="00BA183A" w:rsidRPr="00CD0964">
        <w:rPr>
          <w:rFonts w:ascii="Arial" w:hAnsi="Arial" w:cs="Arial"/>
          <w:sz w:val="20"/>
          <w:szCs w:val="20"/>
        </w:rPr>
        <w:t xml:space="preserve"> </w:t>
      </w:r>
      <w:r w:rsidR="00FD4C25" w:rsidRPr="00CD0964">
        <w:rPr>
          <w:rFonts w:ascii="Arial" w:hAnsi="Arial" w:cs="Arial"/>
          <w:sz w:val="20"/>
          <w:szCs w:val="20"/>
        </w:rPr>
        <w:t>Beşiktaş</w:t>
      </w:r>
      <w:r w:rsidR="00BA183A" w:rsidRPr="00CD0964">
        <w:rPr>
          <w:rFonts w:ascii="Arial" w:hAnsi="Arial" w:cs="Arial"/>
          <w:sz w:val="20"/>
          <w:szCs w:val="20"/>
        </w:rPr>
        <w:t xml:space="preserve"> </w:t>
      </w:r>
      <w:r w:rsidR="00FD4C25" w:rsidRPr="00CD0964">
        <w:rPr>
          <w:rFonts w:ascii="Arial" w:hAnsi="Arial" w:cs="Arial"/>
          <w:sz w:val="20"/>
          <w:szCs w:val="20"/>
        </w:rPr>
        <w:t>takımının</w:t>
      </w:r>
      <w:r w:rsidR="00BA183A" w:rsidRPr="00CD0964">
        <w:rPr>
          <w:rFonts w:ascii="Arial" w:hAnsi="Arial" w:cs="Arial"/>
          <w:sz w:val="20"/>
          <w:szCs w:val="20"/>
        </w:rPr>
        <w:t xml:space="preserve"> performansı ezeli rakiplerinin</w:t>
      </w:r>
      <w:r w:rsidRPr="00CD0964">
        <w:rPr>
          <w:rFonts w:ascii="Arial" w:hAnsi="Arial" w:cs="Arial"/>
          <w:sz w:val="20"/>
          <w:szCs w:val="20"/>
        </w:rPr>
        <w:t xml:space="preserve"> </w:t>
      </w:r>
      <w:r w:rsidR="00FD4C25" w:rsidRPr="00CD0964">
        <w:rPr>
          <w:rFonts w:ascii="Arial" w:hAnsi="Arial" w:cs="Arial"/>
          <w:sz w:val="20"/>
          <w:szCs w:val="20"/>
        </w:rPr>
        <w:t>performanslarındaki</w:t>
      </w:r>
      <w:r w:rsidR="00BA183A" w:rsidRPr="00CD0964">
        <w:rPr>
          <w:rFonts w:ascii="Arial" w:hAnsi="Arial" w:cs="Arial"/>
          <w:sz w:val="20"/>
          <w:szCs w:val="20"/>
        </w:rPr>
        <w:t xml:space="preserve"> değişimlere etkin bir </w:t>
      </w:r>
      <w:r w:rsidR="00FD4C25" w:rsidRPr="00CD0964">
        <w:rPr>
          <w:rFonts w:ascii="Arial" w:hAnsi="Arial" w:cs="Arial"/>
          <w:sz w:val="20"/>
          <w:szCs w:val="20"/>
        </w:rPr>
        <w:t>şekilde</w:t>
      </w:r>
      <w:r w:rsidR="00BA183A" w:rsidRPr="00CD0964">
        <w:rPr>
          <w:rFonts w:ascii="Arial" w:hAnsi="Arial" w:cs="Arial"/>
          <w:sz w:val="20"/>
          <w:szCs w:val="20"/>
        </w:rPr>
        <w:t xml:space="preserve"> </w:t>
      </w:r>
      <w:r w:rsidR="00FD4C25" w:rsidRPr="00CD0964">
        <w:rPr>
          <w:rFonts w:ascii="Arial" w:hAnsi="Arial" w:cs="Arial"/>
          <w:sz w:val="20"/>
          <w:szCs w:val="20"/>
        </w:rPr>
        <w:t>karşılık</w:t>
      </w:r>
      <w:r w:rsidR="00BA183A" w:rsidRPr="00CD0964">
        <w:rPr>
          <w:rFonts w:ascii="Arial" w:hAnsi="Arial" w:cs="Arial"/>
          <w:sz w:val="20"/>
          <w:szCs w:val="20"/>
        </w:rPr>
        <w:t xml:space="preserve"> </w:t>
      </w:r>
      <w:r w:rsidR="00FD4C25" w:rsidRPr="00CD0964">
        <w:rPr>
          <w:rFonts w:ascii="Arial" w:hAnsi="Arial" w:cs="Arial"/>
          <w:sz w:val="20"/>
          <w:szCs w:val="20"/>
        </w:rPr>
        <w:t>veremediği</w:t>
      </w:r>
      <w:r w:rsidR="00606D1B" w:rsidRPr="00CD0964">
        <w:rPr>
          <w:rFonts w:ascii="Arial" w:hAnsi="Arial" w:cs="Arial"/>
          <w:sz w:val="20"/>
          <w:szCs w:val="20"/>
        </w:rPr>
        <w:t>nden</w:t>
      </w:r>
      <w:r w:rsidR="00D35BB4" w:rsidRPr="00CD0964">
        <w:rPr>
          <w:rFonts w:ascii="Arial" w:hAnsi="Arial" w:cs="Arial"/>
          <w:sz w:val="20"/>
          <w:szCs w:val="20"/>
        </w:rPr>
        <w:t>,</w:t>
      </w:r>
      <w:r w:rsidRPr="00CD0964">
        <w:rPr>
          <w:rFonts w:ascii="Arial" w:hAnsi="Arial" w:cs="Arial"/>
          <w:sz w:val="20"/>
          <w:szCs w:val="20"/>
        </w:rPr>
        <w:t xml:space="preserve"> Beşiktaş taraftarları</w:t>
      </w:r>
      <w:r w:rsidR="00280DC1" w:rsidRPr="00CD0964">
        <w:rPr>
          <w:rFonts w:ascii="Arial" w:hAnsi="Arial" w:cs="Arial"/>
          <w:sz w:val="20"/>
          <w:szCs w:val="20"/>
        </w:rPr>
        <w:t>,</w:t>
      </w:r>
      <w:r w:rsidRPr="00CD0964">
        <w:rPr>
          <w:rFonts w:ascii="Arial" w:hAnsi="Arial" w:cs="Arial"/>
          <w:sz w:val="20"/>
          <w:szCs w:val="20"/>
        </w:rPr>
        <w:t xml:space="preserve"> </w:t>
      </w:r>
      <w:r w:rsidR="00FD4C25" w:rsidRPr="00CD0964">
        <w:rPr>
          <w:rFonts w:ascii="Arial" w:hAnsi="Arial" w:cs="Arial"/>
          <w:sz w:val="20"/>
          <w:szCs w:val="20"/>
        </w:rPr>
        <w:t>takımları için besledikleri aidiyet duygularını veya toplumsal kimliklerini pekiştirmek için</w:t>
      </w:r>
      <w:r w:rsidR="00280DC1" w:rsidRPr="00CD0964">
        <w:rPr>
          <w:rFonts w:ascii="Arial" w:hAnsi="Arial" w:cs="Arial"/>
          <w:sz w:val="20"/>
          <w:szCs w:val="20"/>
        </w:rPr>
        <w:t>,</w:t>
      </w:r>
      <w:r w:rsidR="00FD4C25" w:rsidRPr="00CD0964">
        <w:rPr>
          <w:rFonts w:ascii="Arial" w:hAnsi="Arial" w:cs="Arial"/>
          <w:sz w:val="20"/>
          <w:szCs w:val="20"/>
        </w:rPr>
        <w:t xml:space="preserve"> </w:t>
      </w:r>
      <w:r w:rsidRPr="00CD0964">
        <w:rPr>
          <w:rFonts w:ascii="Arial" w:hAnsi="Arial" w:cs="Arial"/>
          <w:sz w:val="20"/>
          <w:szCs w:val="20"/>
        </w:rPr>
        <w:t xml:space="preserve">kendilerini </w:t>
      </w:r>
      <w:r w:rsidR="00FD4C25" w:rsidRPr="00CD0964">
        <w:rPr>
          <w:rFonts w:ascii="Arial" w:hAnsi="Arial" w:cs="Arial"/>
          <w:sz w:val="20"/>
          <w:szCs w:val="20"/>
        </w:rPr>
        <w:t>Beşiktaş taraftarı olmanın yanında</w:t>
      </w:r>
      <w:r w:rsidR="00D35BB4" w:rsidRPr="00CD0964">
        <w:rPr>
          <w:rFonts w:ascii="Arial" w:hAnsi="Arial" w:cs="Arial"/>
          <w:sz w:val="20"/>
          <w:szCs w:val="20"/>
        </w:rPr>
        <w:t>,</w:t>
      </w:r>
      <w:r w:rsidR="00FD4C25" w:rsidRPr="00CD0964">
        <w:rPr>
          <w:rFonts w:ascii="Arial" w:hAnsi="Arial" w:cs="Arial"/>
          <w:sz w:val="20"/>
          <w:szCs w:val="20"/>
        </w:rPr>
        <w:t xml:space="preserve"> </w:t>
      </w:r>
      <w:r w:rsidRPr="00CD0964">
        <w:rPr>
          <w:rFonts w:ascii="Arial" w:hAnsi="Arial" w:cs="Arial"/>
          <w:sz w:val="20"/>
          <w:szCs w:val="20"/>
        </w:rPr>
        <w:t>Çarşı</w:t>
      </w:r>
      <w:r w:rsidR="00FD4C25" w:rsidRPr="00CD0964">
        <w:rPr>
          <w:rFonts w:ascii="Arial" w:hAnsi="Arial" w:cs="Arial"/>
          <w:sz w:val="20"/>
          <w:szCs w:val="20"/>
        </w:rPr>
        <w:t xml:space="preserve"> Grubu’nun</w:t>
      </w:r>
      <w:r w:rsidRPr="00CD0964">
        <w:rPr>
          <w:rFonts w:ascii="Arial" w:hAnsi="Arial" w:cs="Arial"/>
          <w:sz w:val="20"/>
          <w:szCs w:val="20"/>
        </w:rPr>
        <w:t xml:space="preserve"> üye</w:t>
      </w:r>
      <w:r w:rsidR="00FD4C25" w:rsidRPr="00CD0964">
        <w:rPr>
          <w:rFonts w:ascii="Arial" w:hAnsi="Arial" w:cs="Arial"/>
          <w:sz w:val="20"/>
          <w:szCs w:val="20"/>
        </w:rPr>
        <w:t>si ya da sempatizanı ol</w:t>
      </w:r>
      <w:r w:rsidR="00291E35" w:rsidRPr="00CD0964">
        <w:rPr>
          <w:rFonts w:ascii="Arial" w:hAnsi="Arial" w:cs="Arial"/>
          <w:sz w:val="20"/>
          <w:szCs w:val="20"/>
        </w:rPr>
        <w:t>arak d</w:t>
      </w:r>
      <w:r w:rsidR="00565095" w:rsidRPr="00CD0964">
        <w:rPr>
          <w:rFonts w:ascii="Arial" w:hAnsi="Arial" w:cs="Arial"/>
          <w:sz w:val="20"/>
          <w:szCs w:val="20"/>
        </w:rPr>
        <w:t>a görmeyi tercih ettikleri anlaşılmaktadı</w:t>
      </w:r>
      <w:r w:rsidR="00291E35" w:rsidRPr="00CD0964">
        <w:rPr>
          <w:rFonts w:ascii="Arial" w:hAnsi="Arial" w:cs="Arial"/>
          <w:sz w:val="20"/>
          <w:szCs w:val="20"/>
        </w:rPr>
        <w:t>r</w:t>
      </w:r>
      <w:r w:rsidR="00FD4C25" w:rsidRPr="00CD0964">
        <w:rPr>
          <w:rFonts w:ascii="Arial" w:hAnsi="Arial" w:cs="Arial"/>
          <w:sz w:val="20"/>
          <w:szCs w:val="20"/>
        </w:rPr>
        <w:t>.</w:t>
      </w:r>
      <w:r w:rsidR="00795C28" w:rsidRPr="00CD0964">
        <w:rPr>
          <w:rFonts w:ascii="Arial" w:hAnsi="Arial" w:cs="Arial"/>
          <w:sz w:val="20"/>
          <w:szCs w:val="20"/>
        </w:rPr>
        <w:t xml:space="preserve"> </w:t>
      </w:r>
    </w:p>
    <w:p w:rsidR="00060509" w:rsidRPr="00CD0964" w:rsidRDefault="00CA25D3" w:rsidP="001F3A29">
      <w:pPr>
        <w:spacing w:line="276" w:lineRule="auto"/>
        <w:ind w:firstLine="340"/>
        <w:jc w:val="both"/>
        <w:rPr>
          <w:rFonts w:ascii="Arial" w:hAnsi="Arial" w:cs="Arial"/>
          <w:sz w:val="20"/>
          <w:szCs w:val="20"/>
        </w:rPr>
      </w:pPr>
      <w:r w:rsidRPr="00CD0964">
        <w:rPr>
          <w:rFonts w:ascii="Arial" w:hAnsi="Arial" w:cs="Arial"/>
          <w:sz w:val="20"/>
          <w:szCs w:val="20"/>
        </w:rPr>
        <w:t>Bu bağlamda</w:t>
      </w:r>
      <w:r w:rsidRPr="00CD0964">
        <w:rPr>
          <w:rFonts w:ascii="Arial" w:hAnsi="Arial" w:cs="Arial"/>
          <w:color w:val="0070C0"/>
          <w:sz w:val="20"/>
          <w:szCs w:val="20"/>
        </w:rPr>
        <w:t xml:space="preserve"> </w:t>
      </w:r>
      <w:r w:rsidR="00795C28" w:rsidRPr="00CD0964">
        <w:rPr>
          <w:rFonts w:ascii="Arial" w:hAnsi="Arial" w:cs="Arial"/>
          <w:sz w:val="20"/>
          <w:szCs w:val="20"/>
        </w:rPr>
        <w:t>Çarşı, Beşiktaş'ın varlığından doğan, fakat Beşiktaş'ın performansından bağımsız gelişen ve büyüyen bir sosyal kimlik haline geldi.</w:t>
      </w:r>
      <w:r w:rsidR="008F13F7" w:rsidRPr="00CD0964">
        <w:rPr>
          <w:rFonts w:ascii="Arial" w:hAnsi="Arial" w:cs="Arial"/>
          <w:sz w:val="20"/>
          <w:szCs w:val="20"/>
        </w:rPr>
        <w:t xml:space="preserve"> Beşiktaş taraftarı b</w:t>
      </w:r>
      <w:r w:rsidR="00E96027" w:rsidRPr="00CD0964">
        <w:rPr>
          <w:rFonts w:ascii="Arial" w:hAnsi="Arial" w:cs="Arial"/>
          <w:sz w:val="20"/>
          <w:szCs w:val="20"/>
        </w:rPr>
        <w:t>u vesileyle</w:t>
      </w:r>
      <w:r w:rsidR="008F13F7" w:rsidRPr="00CD0964">
        <w:rPr>
          <w:rFonts w:ascii="Arial" w:hAnsi="Arial" w:cs="Arial"/>
          <w:sz w:val="20"/>
          <w:szCs w:val="20"/>
        </w:rPr>
        <w:t xml:space="preserve"> Çarşı'nın varlığından ve yapmış olduğu aktivitelerden gurur duyarak, takımlarının ezeli rakiplerini yeterince takip edememesinden ve saha performansının </w:t>
      </w:r>
      <w:r w:rsidR="00B810EE" w:rsidRPr="00CD0964">
        <w:rPr>
          <w:rFonts w:ascii="Arial" w:hAnsi="Arial" w:cs="Arial"/>
          <w:sz w:val="20"/>
          <w:szCs w:val="20"/>
        </w:rPr>
        <w:t xml:space="preserve">tarihsel olarak </w:t>
      </w:r>
      <w:r w:rsidR="008F13F7" w:rsidRPr="00CD0964">
        <w:rPr>
          <w:rFonts w:ascii="Arial" w:hAnsi="Arial" w:cs="Arial"/>
          <w:sz w:val="20"/>
          <w:szCs w:val="20"/>
        </w:rPr>
        <w:t>ezeli rakiplerine görece düşük kalmasından duy</w:t>
      </w:r>
      <w:r w:rsidR="00E96027" w:rsidRPr="00CD0964">
        <w:rPr>
          <w:rFonts w:ascii="Arial" w:hAnsi="Arial" w:cs="Arial"/>
          <w:sz w:val="20"/>
          <w:szCs w:val="20"/>
        </w:rPr>
        <w:t>dukları</w:t>
      </w:r>
      <w:r w:rsidR="008F13F7" w:rsidRPr="00CD0964">
        <w:rPr>
          <w:rFonts w:ascii="Arial" w:hAnsi="Arial" w:cs="Arial"/>
          <w:sz w:val="20"/>
          <w:szCs w:val="20"/>
        </w:rPr>
        <w:t xml:space="preserve"> üzüntüyü telafi edebil</w:t>
      </w:r>
      <w:r w:rsidR="00B810EE" w:rsidRPr="00CD0964">
        <w:rPr>
          <w:rFonts w:ascii="Arial" w:hAnsi="Arial" w:cs="Arial"/>
          <w:sz w:val="20"/>
          <w:szCs w:val="20"/>
        </w:rPr>
        <w:t>miştir.</w:t>
      </w:r>
      <w:r w:rsidR="008F13F7" w:rsidRPr="00CD0964">
        <w:rPr>
          <w:rFonts w:ascii="Arial" w:hAnsi="Arial" w:cs="Arial"/>
          <w:sz w:val="20"/>
          <w:szCs w:val="20"/>
        </w:rPr>
        <w:t xml:space="preserve"> </w:t>
      </w:r>
      <w:r w:rsidR="00795C28" w:rsidRPr="00CD0964">
        <w:rPr>
          <w:rFonts w:ascii="Arial" w:hAnsi="Arial" w:cs="Arial"/>
          <w:sz w:val="20"/>
          <w:szCs w:val="20"/>
        </w:rPr>
        <w:t xml:space="preserve"> </w:t>
      </w:r>
    </w:p>
    <w:p w:rsidR="00932545" w:rsidRPr="00CD0964" w:rsidRDefault="00932545" w:rsidP="001F3A29">
      <w:pPr>
        <w:spacing w:line="276" w:lineRule="auto"/>
        <w:ind w:firstLine="340"/>
        <w:jc w:val="both"/>
        <w:rPr>
          <w:rFonts w:ascii="Arial" w:hAnsi="Arial" w:cs="Arial"/>
          <w:b/>
          <w:sz w:val="20"/>
          <w:szCs w:val="20"/>
        </w:rPr>
      </w:pPr>
    </w:p>
    <w:p w:rsidR="009A3BEA" w:rsidRPr="00CD0964" w:rsidRDefault="009A3BEA" w:rsidP="001F3A29">
      <w:pPr>
        <w:spacing w:line="276" w:lineRule="auto"/>
        <w:ind w:firstLine="340"/>
        <w:jc w:val="both"/>
        <w:rPr>
          <w:rFonts w:ascii="Arial" w:hAnsi="Arial" w:cs="Arial"/>
          <w:b/>
          <w:sz w:val="20"/>
          <w:szCs w:val="20"/>
        </w:rPr>
      </w:pPr>
      <w:r w:rsidRPr="00CD0964">
        <w:rPr>
          <w:rFonts w:ascii="Arial" w:hAnsi="Arial" w:cs="Arial"/>
          <w:b/>
          <w:sz w:val="20"/>
          <w:szCs w:val="20"/>
        </w:rPr>
        <w:t>Ezeli rekabette rakibin başarısına zıt yönlü tepkiler</w:t>
      </w:r>
    </w:p>
    <w:p w:rsidR="004204F9" w:rsidRPr="00CD0964" w:rsidRDefault="00CC75BC" w:rsidP="001F3A29">
      <w:pPr>
        <w:spacing w:line="276" w:lineRule="auto"/>
        <w:ind w:firstLine="340"/>
        <w:jc w:val="both"/>
        <w:rPr>
          <w:rFonts w:ascii="Arial" w:hAnsi="Arial" w:cs="Arial"/>
          <w:strike/>
          <w:sz w:val="20"/>
          <w:szCs w:val="20"/>
        </w:rPr>
      </w:pPr>
      <w:r w:rsidRPr="00CD0964">
        <w:rPr>
          <w:rFonts w:ascii="Arial" w:hAnsi="Arial" w:cs="Arial"/>
          <w:sz w:val="20"/>
          <w:szCs w:val="20"/>
        </w:rPr>
        <w:t>Son olarak</w:t>
      </w:r>
      <w:r w:rsidR="009A3BEA" w:rsidRPr="00CD0964">
        <w:rPr>
          <w:rFonts w:ascii="Arial" w:hAnsi="Arial" w:cs="Arial"/>
          <w:sz w:val="20"/>
          <w:szCs w:val="20"/>
        </w:rPr>
        <w:t xml:space="preserve"> ezeli rekabet koşulları altında bir kulübün başarısının rakip kulübün başarısını kamçılayabileceği gibi dumura da uğratabileceğini göstermeye çalışacağız. </w:t>
      </w:r>
      <w:r w:rsidRPr="00CD0964">
        <w:rPr>
          <w:rFonts w:ascii="Arial" w:hAnsi="Arial" w:cs="Arial"/>
          <w:sz w:val="20"/>
          <w:szCs w:val="20"/>
        </w:rPr>
        <w:t xml:space="preserve"> </w:t>
      </w:r>
      <w:r w:rsidR="009A3BEA" w:rsidRPr="00CD0964">
        <w:rPr>
          <w:rFonts w:ascii="Arial" w:hAnsi="Arial" w:cs="Arial"/>
          <w:sz w:val="20"/>
          <w:szCs w:val="20"/>
        </w:rPr>
        <w:t xml:space="preserve">Bu amaçla </w:t>
      </w:r>
      <w:r w:rsidR="001752CB" w:rsidRPr="00CD0964">
        <w:rPr>
          <w:rFonts w:ascii="Arial" w:hAnsi="Arial" w:cs="Arial"/>
          <w:sz w:val="20"/>
          <w:szCs w:val="20"/>
        </w:rPr>
        <w:t xml:space="preserve">Kutu 1'de gösterilen </w:t>
      </w:r>
      <w:r w:rsidRPr="00CD0964">
        <w:rPr>
          <w:rFonts w:ascii="Arial" w:hAnsi="Arial" w:cs="Arial"/>
          <w:sz w:val="20"/>
          <w:szCs w:val="20"/>
        </w:rPr>
        <w:t>VAR modelimizden elde ettiğimiz parametre tahminlerini kullan</w:t>
      </w:r>
      <w:r w:rsidR="009A3BEA" w:rsidRPr="00CD0964">
        <w:rPr>
          <w:rFonts w:ascii="Arial" w:hAnsi="Arial" w:cs="Arial"/>
          <w:sz w:val="20"/>
          <w:szCs w:val="20"/>
        </w:rPr>
        <w:t>arak</w:t>
      </w:r>
      <w:r w:rsidRPr="00CD0964">
        <w:rPr>
          <w:rFonts w:ascii="Arial" w:hAnsi="Arial" w:cs="Arial"/>
          <w:sz w:val="20"/>
          <w:szCs w:val="20"/>
        </w:rPr>
        <w:t xml:space="preserve"> </w:t>
      </w:r>
      <w:r w:rsidR="00A34DE9" w:rsidRPr="00CD0964">
        <w:rPr>
          <w:rFonts w:ascii="Arial" w:hAnsi="Arial" w:cs="Arial"/>
          <w:sz w:val="20"/>
          <w:szCs w:val="20"/>
        </w:rPr>
        <w:t xml:space="preserve">Şekil 1'de yer alan </w:t>
      </w:r>
      <w:r w:rsidR="00743F42" w:rsidRPr="00CD0964">
        <w:rPr>
          <w:rFonts w:ascii="Arial" w:hAnsi="Arial" w:cs="Arial"/>
          <w:sz w:val="20"/>
          <w:szCs w:val="20"/>
        </w:rPr>
        <w:t>performanslar arası</w:t>
      </w:r>
      <w:r w:rsidR="001752CB" w:rsidRPr="00CD0964">
        <w:rPr>
          <w:rFonts w:ascii="Arial" w:hAnsi="Arial" w:cs="Arial"/>
          <w:sz w:val="20"/>
          <w:szCs w:val="20"/>
        </w:rPr>
        <w:t xml:space="preserve"> e</w:t>
      </w:r>
      <w:r w:rsidRPr="00CD0964">
        <w:rPr>
          <w:rFonts w:ascii="Arial" w:hAnsi="Arial" w:cs="Arial"/>
          <w:sz w:val="20"/>
          <w:szCs w:val="20"/>
        </w:rPr>
        <w:t xml:space="preserve">tki-tepki fonksiyonlarını </w:t>
      </w:r>
      <w:r w:rsidR="00A34DE9" w:rsidRPr="00CD0964">
        <w:rPr>
          <w:rFonts w:ascii="Arial" w:hAnsi="Arial" w:cs="Arial"/>
          <w:sz w:val="20"/>
          <w:szCs w:val="20"/>
        </w:rPr>
        <w:t>oluşturduk</w:t>
      </w:r>
      <w:r w:rsidR="001752CB" w:rsidRPr="00CD0964">
        <w:rPr>
          <w:rStyle w:val="FootnoteReference"/>
          <w:rFonts w:ascii="Arial" w:hAnsi="Arial" w:cs="Arial"/>
          <w:sz w:val="20"/>
          <w:szCs w:val="20"/>
        </w:rPr>
        <w:footnoteReference w:id="2"/>
      </w:r>
      <w:r w:rsidR="00CC171B" w:rsidRPr="00CD0964">
        <w:rPr>
          <w:rFonts w:ascii="Arial" w:hAnsi="Arial" w:cs="Arial"/>
          <w:sz w:val="20"/>
          <w:szCs w:val="20"/>
        </w:rPr>
        <w:t>.</w:t>
      </w:r>
      <w:r w:rsidR="00743F42" w:rsidRPr="00CD0964">
        <w:rPr>
          <w:rFonts w:ascii="Arial" w:hAnsi="Arial" w:cs="Arial"/>
          <w:sz w:val="20"/>
          <w:szCs w:val="20"/>
        </w:rPr>
        <w:t xml:space="preserve"> </w:t>
      </w:r>
      <w:r w:rsidR="00A34DE9" w:rsidRPr="00CD0964">
        <w:rPr>
          <w:rFonts w:ascii="Arial" w:hAnsi="Arial" w:cs="Arial"/>
          <w:sz w:val="20"/>
          <w:szCs w:val="20"/>
        </w:rPr>
        <w:t>Bu sayede rakip takımın başarılı bir performansına ne yönde tepki verildiği ve tepkinin ne kadar sürüde ortaya çıktığı görülebilecektir.</w:t>
      </w:r>
    </w:p>
    <w:p w:rsidR="006A09FC" w:rsidRPr="00CD0964" w:rsidRDefault="00EC4EEC" w:rsidP="001F3A29">
      <w:pPr>
        <w:spacing w:line="276" w:lineRule="auto"/>
        <w:ind w:firstLine="340"/>
        <w:jc w:val="both"/>
        <w:rPr>
          <w:rFonts w:ascii="Arial" w:hAnsi="Arial" w:cs="Arial"/>
          <w:sz w:val="20"/>
          <w:szCs w:val="20"/>
        </w:rPr>
      </w:pPr>
      <w:r w:rsidRPr="00CD0964">
        <w:rPr>
          <w:rFonts w:ascii="Arial" w:hAnsi="Arial" w:cs="Arial"/>
          <w:sz w:val="20"/>
          <w:szCs w:val="20"/>
        </w:rPr>
        <w:t>Şekil 1’e bakıldığında performansları</w:t>
      </w:r>
      <w:r w:rsidR="00876B93" w:rsidRPr="00CD0964">
        <w:rPr>
          <w:rFonts w:ascii="Arial" w:hAnsi="Arial" w:cs="Arial"/>
          <w:sz w:val="20"/>
          <w:szCs w:val="20"/>
        </w:rPr>
        <w:t xml:space="preserve">n dinamik ilişkilerinde iki </w:t>
      </w:r>
      <w:r w:rsidRPr="00CD0964">
        <w:rPr>
          <w:rFonts w:ascii="Arial" w:hAnsi="Arial" w:cs="Arial"/>
          <w:sz w:val="20"/>
          <w:szCs w:val="20"/>
        </w:rPr>
        <w:t>farklı</w:t>
      </w:r>
      <w:r w:rsidR="00086577" w:rsidRPr="00CD0964">
        <w:rPr>
          <w:rFonts w:ascii="Arial" w:hAnsi="Arial" w:cs="Arial"/>
          <w:sz w:val="20"/>
          <w:szCs w:val="20"/>
        </w:rPr>
        <w:t xml:space="preserve"> </w:t>
      </w:r>
      <w:r w:rsidR="00876B93" w:rsidRPr="00CD0964">
        <w:rPr>
          <w:rFonts w:ascii="Arial" w:hAnsi="Arial" w:cs="Arial"/>
          <w:sz w:val="20"/>
          <w:szCs w:val="20"/>
        </w:rPr>
        <w:t>tür</w:t>
      </w:r>
      <w:r w:rsidR="00AF34EE" w:rsidRPr="00CD0964">
        <w:rPr>
          <w:rFonts w:ascii="Arial" w:hAnsi="Arial" w:cs="Arial"/>
          <w:sz w:val="20"/>
          <w:szCs w:val="20"/>
        </w:rPr>
        <w:t xml:space="preserve"> </w:t>
      </w:r>
      <w:r w:rsidR="00876B93" w:rsidRPr="00CD0964">
        <w:rPr>
          <w:rFonts w:ascii="Arial" w:hAnsi="Arial" w:cs="Arial"/>
          <w:sz w:val="20"/>
          <w:szCs w:val="20"/>
        </w:rPr>
        <w:t>o</w:t>
      </w:r>
      <w:r w:rsidRPr="00CD0964">
        <w:rPr>
          <w:rFonts w:ascii="Arial" w:hAnsi="Arial" w:cs="Arial"/>
          <w:sz w:val="20"/>
          <w:szCs w:val="20"/>
        </w:rPr>
        <w:t>lduğu görü</w:t>
      </w:r>
      <w:r w:rsidR="00876B93" w:rsidRPr="00CD0964">
        <w:rPr>
          <w:rFonts w:ascii="Arial" w:hAnsi="Arial" w:cs="Arial"/>
          <w:sz w:val="20"/>
          <w:szCs w:val="20"/>
        </w:rPr>
        <w:t>lmektedir</w:t>
      </w:r>
      <w:r w:rsidR="00AF34EE" w:rsidRPr="00CD0964">
        <w:rPr>
          <w:rFonts w:ascii="Arial" w:hAnsi="Arial" w:cs="Arial"/>
          <w:sz w:val="20"/>
          <w:szCs w:val="20"/>
        </w:rPr>
        <w:t xml:space="preserve">: </w:t>
      </w:r>
      <w:r w:rsidR="00C11A33" w:rsidRPr="00CD0964">
        <w:rPr>
          <w:rFonts w:ascii="Arial" w:hAnsi="Arial" w:cs="Arial"/>
          <w:sz w:val="20"/>
          <w:szCs w:val="20"/>
        </w:rPr>
        <w:t>rakip takımların performanslarının birbirini olumlu etkilediğ</w:t>
      </w:r>
      <w:r w:rsidR="00876B93" w:rsidRPr="00CD0964">
        <w:rPr>
          <w:rFonts w:ascii="Arial" w:hAnsi="Arial" w:cs="Arial"/>
          <w:sz w:val="20"/>
          <w:szCs w:val="20"/>
        </w:rPr>
        <w:t>i durum</w:t>
      </w:r>
      <w:r w:rsidR="00AF34EE" w:rsidRPr="00CD0964">
        <w:rPr>
          <w:rFonts w:ascii="Arial" w:hAnsi="Arial" w:cs="Arial"/>
          <w:sz w:val="20"/>
          <w:szCs w:val="20"/>
        </w:rPr>
        <w:t xml:space="preserve"> (başarı başarı</w:t>
      </w:r>
      <w:r w:rsidR="00C11A33" w:rsidRPr="00CD0964">
        <w:rPr>
          <w:rFonts w:ascii="Arial" w:hAnsi="Arial" w:cs="Arial"/>
          <w:sz w:val="20"/>
          <w:szCs w:val="20"/>
        </w:rPr>
        <w:t>yı</w:t>
      </w:r>
      <w:r w:rsidR="00AF34EE" w:rsidRPr="00CD0964">
        <w:rPr>
          <w:rFonts w:ascii="Arial" w:hAnsi="Arial" w:cs="Arial"/>
          <w:sz w:val="20"/>
          <w:szCs w:val="20"/>
        </w:rPr>
        <w:t xml:space="preserve"> getirir) ve </w:t>
      </w:r>
      <w:r w:rsidR="00C11A33" w:rsidRPr="00CD0964">
        <w:rPr>
          <w:rFonts w:ascii="Arial" w:hAnsi="Arial" w:cs="Arial"/>
          <w:sz w:val="20"/>
          <w:szCs w:val="20"/>
        </w:rPr>
        <w:t>rakip takımların birbirini olumsuz etkilediğ</w:t>
      </w:r>
      <w:r w:rsidR="00876B93" w:rsidRPr="00CD0964">
        <w:rPr>
          <w:rFonts w:ascii="Arial" w:hAnsi="Arial" w:cs="Arial"/>
          <w:sz w:val="20"/>
          <w:szCs w:val="20"/>
        </w:rPr>
        <w:t>i durum</w:t>
      </w:r>
      <w:r w:rsidR="00AF34EE" w:rsidRPr="00CD0964">
        <w:rPr>
          <w:rFonts w:ascii="Arial" w:hAnsi="Arial" w:cs="Arial"/>
          <w:sz w:val="20"/>
          <w:szCs w:val="20"/>
        </w:rPr>
        <w:t xml:space="preserve"> (başarı başarısızlığı getirir). </w:t>
      </w:r>
      <w:r w:rsidR="00171275" w:rsidRPr="00CD0964">
        <w:rPr>
          <w:rFonts w:ascii="Arial" w:hAnsi="Arial" w:cs="Arial"/>
          <w:sz w:val="20"/>
          <w:szCs w:val="20"/>
        </w:rPr>
        <w:t>Arsenal –</w:t>
      </w:r>
      <w:r w:rsidR="00876B93" w:rsidRPr="00CD0964">
        <w:rPr>
          <w:rFonts w:ascii="Arial" w:hAnsi="Arial" w:cs="Arial"/>
          <w:sz w:val="20"/>
          <w:szCs w:val="20"/>
        </w:rPr>
        <w:t xml:space="preserve"> </w:t>
      </w:r>
      <w:r w:rsidR="00AF34EE" w:rsidRPr="00CD0964">
        <w:rPr>
          <w:rFonts w:ascii="Arial" w:hAnsi="Arial" w:cs="Arial"/>
          <w:sz w:val="20"/>
          <w:szCs w:val="20"/>
        </w:rPr>
        <w:t>Manchester United</w:t>
      </w:r>
      <w:r w:rsidR="007C26FC" w:rsidRPr="00CD0964">
        <w:rPr>
          <w:rFonts w:ascii="Arial" w:hAnsi="Arial" w:cs="Arial"/>
          <w:sz w:val="20"/>
          <w:szCs w:val="20"/>
        </w:rPr>
        <w:t>,</w:t>
      </w:r>
      <w:r w:rsidR="00171275" w:rsidRPr="00CD0964">
        <w:rPr>
          <w:rFonts w:ascii="Arial" w:hAnsi="Arial" w:cs="Arial"/>
          <w:sz w:val="20"/>
          <w:szCs w:val="20"/>
        </w:rPr>
        <w:t xml:space="preserve"> Monaco –</w:t>
      </w:r>
      <w:r w:rsidR="00AF34EE" w:rsidRPr="00CD0964">
        <w:rPr>
          <w:rFonts w:ascii="Arial" w:hAnsi="Arial" w:cs="Arial"/>
          <w:sz w:val="20"/>
          <w:szCs w:val="20"/>
        </w:rPr>
        <w:t xml:space="preserve"> Paris Saint-Germain, A.C. Milan </w:t>
      </w:r>
      <w:r w:rsidR="00BA42C0" w:rsidRPr="00CD0964">
        <w:rPr>
          <w:rFonts w:ascii="Arial" w:hAnsi="Arial" w:cs="Arial"/>
          <w:sz w:val="20"/>
          <w:szCs w:val="20"/>
        </w:rPr>
        <w:t>–</w:t>
      </w:r>
      <w:r w:rsidR="00AF34EE" w:rsidRPr="00CD0964">
        <w:rPr>
          <w:rFonts w:ascii="Arial" w:hAnsi="Arial" w:cs="Arial"/>
          <w:sz w:val="20"/>
          <w:szCs w:val="20"/>
        </w:rPr>
        <w:t xml:space="preserve"> Internazionale</w:t>
      </w:r>
      <w:r w:rsidR="00BA42C0" w:rsidRPr="00CD0964">
        <w:rPr>
          <w:rFonts w:ascii="Arial" w:hAnsi="Arial" w:cs="Arial"/>
          <w:sz w:val="20"/>
          <w:szCs w:val="20"/>
        </w:rPr>
        <w:t xml:space="preserve"> </w:t>
      </w:r>
      <w:r w:rsidR="00AF34EE" w:rsidRPr="00CD0964">
        <w:rPr>
          <w:rFonts w:ascii="Arial" w:hAnsi="Arial" w:cs="Arial"/>
          <w:sz w:val="20"/>
          <w:szCs w:val="20"/>
        </w:rPr>
        <w:t xml:space="preserve">ve </w:t>
      </w:r>
      <w:r w:rsidR="00C11A33" w:rsidRPr="00CD0964">
        <w:rPr>
          <w:rFonts w:ascii="Arial" w:hAnsi="Arial" w:cs="Arial"/>
          <w:sz w:val="20"/>
          <w:szCs w:val="20"/>
        </w:rPr>
        <w:t>Türkiye’deki üç büyü</w:t>
      </w:r>
      <w:r w:rsidR="00876B93" w:rsidRPr="00CD0964">
        <w:rPr>
          <w:rFonts w:ascii="Arial" w:hAnsi="Arial" w:cs="Arial"/>
          <w:sz w:val="20"/>
          <w:szCs w:val="20"/>
        </w:rPr>
        <w:t xml:space="preserve">kler </w:t>
      </w:r>
      <w:r w:rsidR="00AF34EE" w:rsidRPr="00CD0964">
        <w:rPr>
          <w:rFonts w:ascii="Arial" w:hAnsi="Arial" w:cs="Arial"/>
          <w:sz w:val="20"/>
          <w:szCs w:val="20"/>
        </w:rPr>
        <w:t>rekabeti</w:t>
      </w:r>
      <w:r w:rsidR="00AF34EE" w:rsidRPr="00CD0964">
        <w:rPr>
          <w:rFonts w:ascii="Arial" w:hAnsi="Arial" w:cs="Arial"/>
          <w:color w:val="FF0000"/>
          <w:sz w:val="20"/>
          <w:szCs w:val="20"/>
        </w:rPr>
        <w:t xml:space="preserve"> </w:t>
      </w:r>
      <w:r w:rsidR="00876B93" w:rsidRPr="00CD0964">
        <w:rPr>
          <w:rFonts w:ascii="Arial" w:hAnsi="Arial" w:cs="Arial"/>
          <w:sz w:val="20"/>
          <w:szCs w:val="20"/>
        </w:rPr>
        <w:t>ilk</w:t>
      </w:r>
      <w:r w:rsidR="00AF34EE" w:rsidRPr="00CD0964">
        <w:rPr>
          <w:rFonts w:ascii="Arial" w:hAnsi="Arial" w:cs="Arial"/>
          <w:sz w:val="20"/>
          <w:szCs w:val="20"/>
        </w:rPr>
        <w:t xml:space="preserve"> gruba gir</w:t>
      </w:r>
      <w:r w:rsidR="00876B93" w:rsidRPr="00CD0964">
        <w:rPr>
          <w:rFonts w:ascii="Arial" w:hAnsi="Arial" w:cs="Arial"/>
          <w:sz w:val="20"/>
          <w:szCs w:val="20"/>
        </w:rPr>
        <w:t>mektedir</w:t>
      </w:r>
      <w:r w:rsidR="00AF34EE" w:rsidRPr="00CD0964">
        <w:rPr>
          <w:rFonts w:ascii="Arial" w:hAnsi="Arial" w:cs="Arial"/>
          <w:sz w:val="20"/>
          <w:szCs w:val="20"/>
        </w:rPr>
        <w:t>.</w:t>
      </w:r>
      <w:r w:rsidR="00BA42C0" w:rsidRPr="00CD0964">
        <w:rPr>
          <w:rFonts w:ascii="Arial" w:hAnsi="Arial" w:cs="Arial"/>
          <w:sz w:val="20"/>
          <w:szCs w:val="20"/>
        </w:rPr>
        <w:t xml:space="preserve"> </w:t>
      </w:r>
      <w:r w:rsidR="00171275" w:rsidRPr="00CD0964">
        <w:rPr>
          <w:rFonts w:ascii="Arial" w:hAnsi="Arial" w:cs="Arial"/>
          <w:sz w:val="20"/>
          <w:szCs w:val="20"/>
        </w:rPr>
        <w:t>Bu rekabetlerin bazılarında iki takım arasında karşılıklı etkileşim bulunurken bazılarında tek yönlü bir etki-tepki oluşmaktadır. Örneğin Galatasaray'ın başarısı Fenerbahçe'nin</w:t>
      </w:r>
      <w:r w:rsidR="00171275" w:rsidRPr="00CD0964">
        <w:rPr>
          <w:rFonts w:ascii="Arial" w:hAnsi="Arial" w:cs="Arial"/>
          <w:color w:val="0070C0"/>
          <w:sz w:val="20"/>
          <w:szCs w:val="20"/>
        </w:rPr>
        <w:t xml:space="preserve"> </w:t>
      </w:r>
      <w:r w:rsidR="00171275" w:rsidRPr="00CD0964">
        <w:rPr>
          <w:rFonts w:ascii="Arial" w:hAnsi="Arial" w:cs="Arial"/>
          <w:sz w:val="20"/>
          <w:szCs w:val="20"/>
        </w:rPr>
        <w:t>performansını kamçılarken</w:t>
      </w:r>
      <w:r w:rsidR="008671BC" w:rsidRPr="00CD0964">
        <w:rPr>
          <w:rFonts w:ascii="Arial" w:hAnsi="Arial" w:cs="Arial"/>
          <w:sz w:val="20"/>
          <w:szCs w:val="20"/>
        </w:rPr>
        <w:t>,</w:t>
      </w:r>
      <w:r w:rsidR="00171275" w:rsidRPr="00CD0964">
        <w:rPr>
          <w:rFonts w:ascii="Arial" w:hAnsi="Arial" w:cs="Arial"/>
          <w:sz w:val="20"/>
          <w:szCs w:val="20"/>
        </w:rPr>
        <w:t xml:space="preserve"> aynı şekilde Fenerbahçe'nin başarısı da Galatasaray'ınkini olumlu etkilemektedir. Diğer taraftan Beşiktaş'ın başarısı Fenerbahçe ve Galatasaray'ın performanslarını olumlu etkilerken, Beşiktaş'ın performansı ezeli rakiplerinin performanslarından olumlu ya da olumsuz etkilenmemektedir (Galatasaray ve Fenerbahçe'nin performanslarından Beşiktaş'ınkine bir nedensellik olmadığını hatırlayalım). </w:t>
      </w:r>
    </w:p>
    <w:p w:rsidR="00AF34EE" w:rsidRPr="00CD0964" w:rsidRDefault="00AF34EE" w:rsidP="001F3A29">
      <w:pPr>
        <w:spacing w:line="276" w:lineRule="auto"/>
        <w:ind w:firstLine="340"/>
        <w:jc w:val="both"/>
        <w:rPr>
          <w:rFonts w:ascii="Arial" w:hAnsi="Arial" w:cs="Arial"/>
          <w:sz w:val="20"/>
          <w:szCs w:val="20"/>
        </w:rPr>
      </w:pPr>
      <w:r w:rsidRPr="00CD0964">
        <w:rPr>
          <w:rFonts w:ascii="Arial" w:hAnsi="Arial" w:cs="Arial"/>
          <w:sz w:val="20"/>
          <w:szCs w:val="20"/>
        </w:rPr>
        <w:t xml:space="preserve">Öte yandan, Benfica ile Porto arasındaki rekabet </w:t>
      </w:r>
      <w:r w:rsidR="00CC171B" w:rsidRPr="00CD0964">
        <w:rPr>
          <w:rFonts w:ascii="Arial" w:hAnsi="Arial" w:cs="Arial"/>
          <w:sz w:val="20"/>
          <w:szCs w:val="20"/>
        </w:rPr>
        <w:t>a</w:t>
      </w:r>
      <w:r w:rsidR="003E2C58" w:rsidRPr="00CD0964">
        <w:rPr>
          <w:rFonts w:ascii="Arial" w:hAnsi="Arial" w:cs="Arial"/>
          <w:sz w:val="20"/>
          <w:szCs w:val="20"/>
        </w:rPr>
        <w:t>simetrik bir ilişkiyi içerdiği için</w:t>
      </w:r>
      <w:r w:rsidR="00876B93" w:rsidRPr="00CD0964">
        <w:rPr>
          <w:rFonts w:ascii="Arial" w:hAnsi="Arial" w:cs="Arial"/>
          <w:sz w:val="20"/>
          <w:szCs w:val="20"/>
        </w:rPr>
        <w:t xml:space="preserve"> </w:t>
      </w:r>
      <w:r w:rsidRPr="00CD0964">
        <w:rPr>
          <w:rFonts w:ascii="Arial" w:hAnsi="Arial" w:cs="Arial"/>
          <w:sz w:val="20"/>
          <w:szCs w:val="20"/>
        </w:rPr>
        <w:t>özel bir önemi hak ediyor: Benfica'nın başarısı Porto'nun başarısını getirirken</w:t>
      </w:r>
      <w:r w:rsidR="00086577" w:rsidRPr="00CD0964">
        <w:rPr>
          <w:rFonts w:ascii="Arial" w:hAnsi="Arial" w:cs="Arial"/>
          <w:sz w:val="20"/>
          <w:szCs w:val="20"/>
        </w:rPr>
        <w:t>,</w:t>
      </w:r>
      <w:r w:rsidRPr="00CD0964">
        <w:rPr>
          <w:rFonts w:ascii="Arial" w:hAnsi="Arial" w:cs="Arial"/>
          <w:sz w:val="20"/>
          <w:szCs w:val="20"/>
        </w:rPr>
        <w:t xml:space="preserve"> Porto'nun başarısı </w:t>
      </w:r>
      <w:r w:rsidR="00C11A33" w:rsidRPr="00CD0964">
        <w:rPr>
          <w:rFonts w:ascii="Arial" w:hAnsi="Arial" w:cs="Arial"/>
          <w:sz w:val="20"/>
          <w:szCs w:val="20"/>
        </w:rPr>
        <w:t>Benfica’nı</w:t>
      </w:r>
      <w:r w:rsidR="00876B93" w:rsidRPr="00CD0964">
        <w:rPr>
          <w:rFonts w:ascii="Arial" w:hAnsi="Arial" w:cs="Arial"/>
          <w:sz w:val="20"/>
          <w:szCs w:val="20"/>
        </w:rPr>
        <w:t xml:space="preserve">n </w:t>
      </w:r>
      <w:r w:rsidRPr="00CD0964">
        <w:rPr>
          <w:rFonts w:ascii="Arial" w:hAnsi="Arial" w:cs="Arial"/>
          <w:sz w:val="20"/>
          <w:szCs w:val="20"/>
        </w:rPr>
        <w:t>performansı</w:t>
      </w:r>
      <w:r w:rsidR="00C11A33" w:rsidRPr="00CD0964">
        <w:rPr>
          <w:rFonts w:ascii="Arial" w:hAnsi="Arial" w:cs="Arial"/>
          <w:sz w:val="20"/>
          <w:szCs w:val="20"/>
        </w:rPr>
        <w:t>nı</w:t>
      </w:r>
      <w:r w:rsidRPr="00CD0964">
        <w:rPr>
          <w:rFonts w:ascii="Arial" w:hAnsi="Arial" w:cs="Arial"/>
          <w:sz w:val="20"/>
          <w:szCs w:val="20"/>
        </w:rPr>
        <w:t xml:space="preserve"> </w:t>
      </w:r>
      <w:r w:rsidRPr="00CD0964">
        <w:rPr>
          <w:rFonts w:ascii="Arial" w:hAnsi="Arial" w:cs="Arial"/>
          <w:sz w:val="20"/>
          <w:szCs w:val="20"/>
        </w:rPr>
        <w:lastRenderedPageBreak/>
        <w:t>olumsuz etkilemektedir</w:t>
      </w:r>
      <w:r w:rsidR="00876B93" w:rsidRPr="00CD0964">
        <w:rPr>
          <w:rFonts w:ascii="Arial" w:hAnsi="Arial" w:cs="Arial"/>
          <w:sz w:val="20"/>
          <w:szCs w:val="20"/>
        </w:rPr>
        <w:t>.</w:t>
      </w:r>
      <w:r w:rsidRPr="00CD0964">
        <w:rPr>
          <w:rFonts w:ascii="Arial" w:hAnsi="Arial" w:cs="Arial"/>
          <w:sz w:val="20"/>
          <w:szCs w:val="20"/>
        </w:rPr>
        <w:t xml:space="preserve"> Rekabetlerin çoğunda olduğu gibi, Porto</w:t>
      </w:r>
      <w:r w:rsidR="00695AB7" w:rsidRPr="00CD0964">
        <w:rPr>
          <w:rFonts w:ascii="Arial" w:hAnsi="Arial" w:cs="Arial"/>
          <w:sz w:val="20"/>
          <w:szCs w:val="20"/>
        </w:rPr>
        <w:t xml:space="preserve"> ile Benfica arasındaki "O Clássico"</w:t>
      </w:r>
      <w:r w:rsidR="00C11A33" w:rsidRPr="00CD0964">
        <w:rPr>
          <w:rFonts w:ascii="Arial" w:hAnsi="Arial" w:cs="Arial"/>
          <w:sz w:val="20"/>
          <w:szCs w:val="20"/>
        </w:rPr>
        <w:t>,</w:t>
      </w:r>
      <w:r w:rsidRPr="00CD0964">
        <w:rPr>
          <w:rFonts w:ascii="Arial" w:hAnsi="Arial" w:cs="Arial"/>
          <w:sz w:val="20"/>
          <w:szCs w:val="20"/>
        </w:rPr>
        <w:t xml:space="preserve"> Portekiz'in ekonomik, siyasi</w:t>
      </w:r>
      <w:r w:rsidR="00695AB7" w:rsidRPr="00CD0964">
        <w:rPr>
          <w:rFonts w:ascii="Arial" w:hAnsi="Arial" w:cs="Arial"/>
          <w:sz w:val="20"/>
          <w:szCs w:val="20"/>
        </w:rPr>
        <w:t xml:space="preserve"> ve sportif tarihine dayanır</w:t>
      </w:r>
      <w:r w:rsidRPr="00CD0964">
        <w:rPr>
          <w:rFonts w:ascii="Arial" w:hAnsi="Arial" w:cs="Arial"/>
          <w:sz w:val="20"/>
          <w:szCs w:val="20"/>
        </w:rPr>
        <w:t>. Porto, kuzeyde tarihsel olarak işçi sınıfı nüfusu olan bir endüstri kenti iken, Benfica, güneydeki zengin ve görkemli başkenti</w:t>
      </w:r>
      <w:r w:rsidR="00C11A33" w:rsidRPr="00CD0964">
        <w:rPr>
          <w:rFonts w:ascii="Arial" w:hAnsi="Arial" w:cs="Arial"/>
          <w:sz w:val="20"/>
          <w:szCs w:val="20"/>
        </w:rPr>
        <w:t>,</w:t>
      </w:r>
      <w:r w:rsidRPr="00CD0964">
        <w:rPr>
          <w:rFonts w:ascii="Arial" w:hAnsi="Arial" w:cs="Arial"/>
          <w:sz w:val="20"/>
          <w:szCs w:val="20"/>
        </w:rPr>
        <w:t xml:space="preserve"> yani Lizbon'u temsil ediyor (FIFA, 2009). Bu iki kulüp Portekiz futbol liginde büyük bir </w:t>
      </w:r>
      <w:r w:rsidR="008049DC" w:rsidRPr="00CD0964">
        <w:rPr>
          <w:rFonts w:ascii="Arial" w:hAnsi="Arial" w:cs="Arial"/>
          <w:sz w:val="20"/>
          <w:szCs w:val="20"/>
        </w:rPr>
        <w:t>hâkimiyete</w:t>
      </w:r>
      <w:r w:rsidR="00C11A33" w:rsidRPr="00CD0964">
        <w:rPr>
          <w:rFonts w:ascii="Arial" w:hAnsi="Arial" w:cs="Arial"/>
          <w:sz w:val="20"/>
          <w:szCs w:val="20"/>
        </w:rPr>
        <w:t xml:space="preserve"> sahiptirler. Şö</w:t>
      </w:r>
      <w:r w:rsidR="00695AB7" w:rsidRPr="00CD0964">
        <w:rPr>
          <w:rFonts w:ascii="Arial" w:hAnsi="Arial" w:cs="Arial"/>
          <w:sz w:val="20"/>
          <w:szCs w:val="20"/>
        </w:rPr>
        <w:t xml:space="preserve">yle ki </w:t>
      </w:r>
      <w:r w:rsidRPr="00CD0964">
        <w:rPr>
          <w:rFonts w:ascii="Arial" w:hAnsi="Arial" w:cs="Arial"/>
          <w:sz w:val="20"/>
          <w:szCs w:val="20"/>
        </w:rPr>
        <w:t xml:space="preserve">son 34 lig </w:t>
      </w:r>
      <w:r w:rsidR="00695AB7" w:rsidRPr="00CD0964">
        <w:rPr>
          <w:rFonts w:ascii="Arial" w:hAnsi="Arial" w:cs="Arial"/>
          <w:sz w:val="20"/>
          <w:szCs w:val="20"/>
        </w:rPr>
        <w:t>sezonunun</w:t>
      </w:r>
      <w:r w:rsidRPr="00CD0964">
        <w:rPr>
          <w:rFonts w:ascii="Arial" w:hAnsi="Arial" w:cs="Arial"/>
          <w:sz w:val="20"/>
          <w:szCs w:val="20"/>
        </w:rPr>
        <w:t xml:space="preserve"> 31'ini </w:t>
      </w:r>
      <w:r w:rsidR="00C11A33" w:rsidRPr="00CD0964">
        <w:rPr>
          <w:rFonts w:ascii="Arial" w:hAnsi="Arial" w:cs="Arial"/>
          <w:sz w:val="20"/>
          <w:szCs w:val="20"/>
        </w:rPr>
        <w:t>bu iki kulüp kazanmıştı</w:t>
      </w:r>
      <w:r w:rsidR="00695AB7" w:rsidRPr="00CD0964">
        <w:rPr>
          <w:rFonts w:ascii="Arial" w:hAnsi="Arial" w:cs="Arial"/>
          <w:sz w:val="20"/>
          <w:szCs w:val="20"/>
        </w:rPr>
        <w:t xml:space="preserve">r. </w:t>
      </w:r>
      <w:r w:rsidRPr="00CD0964">
        <w:rPr>
          <w:rFonts w:ascii="Arial" w:hAnsi="Arial" w:cs="Arial"/>
          <w:sz w:val="20"/>
          <w:szCs w:val="20"/>
        </w:rPr>
        <w:t xml:space="preserve">Bununla birlikte, </w:t>
      </w:r>
      <w:r w:rsidR="00C11A33" w:rsidRPr="00CD0964">
        <w:rPr>
          <w:rFonts w:ascii="Arial" w:hAnsi="Arial" w:cs="Arial"/>
          <w:sz w:val="20"/>
          <w:szCs w:val="20"/>
        </w:rPr>
        <w:t>bu takımların dönem dönem birbirlerine üstünlük kurduğu görü</w:t>
      </w:r>
      <w:r w:rsidR="00695AB7" w:rsidRPr="00CD0964">
        <w:rPr>
          <w:rFonts w:ascii="Arial" w:hAnsi="Arial" w:cs="Arial"/>
          <w:sz w:val="20"/>
          <w:szCs w:val="20"/>
        </w:rPr>
        <w:t>lmektedir</w:t>
      </w:r>
      <w:r w:rsidRPr="00CD0964">
        <w:rPr>
          <w:rFonts w:ascii="Arial" w:hAnsi="Arial" w:cs="Arial"/>
          <w:sz w:val="20"/>
          <w:szCs w:val="20"/>
        </w:rPr>
        <w:t xml:space="preserve">. </w:t>
      </w:r>
      <w:r w:rsidR="009B057F" w:rsidRPr="00CD0964">
        <w:rPr>
          <w:rFonts w:ascii="Arial" w:hAnsi="Arial" w:cs="Arial"/>
          <w:sz w:val="20"/>
          <w:szCs w:val="20"/>
        </w:rPr>
        <w:t xml:space="preserve">Benfica </w:t>
      </w:r>
      <w:r w:rsidRPr="00CD0964">
        <w:rPr>
          <w:rFonts w:ascii="Arial" w:hAnsi="Arial" w:cs="Arial"/>
          <w:sz w:val="20"/>
          <w:szCs w:val="20"/>
        </w:rPr>
        <w:t>1</w:t>
      </w:r>
      <w:r w:rsidR="009B057F" w:rsidRPr="00CD0964">
        <w:rPr>
          <w:rFonts w:ascii="Arial" w:hAnsi="Arial" w:cs="Arial"/>
          <w:sz w:val="20"/>
          <w:szCs w:val="20"/>
        </w:rPr>
        <w:t>970'lerde lige hâkim olurken</w:t>
      </w:r>
      <w:r w:rsidRPr="00CD0964">
        <w:rPr>
          <w:rFonts w:ascii="Arial" w:hAnsi="Arial" w:cs="Arial"/>
          <w:sz w:val="20"/>
          <w:szCs w:val="20"/>
        </w:rPr>
        <w:t>,</w:t>
      </w:r>
      <w:r w:rsidR="009B057F" w:rsidRPr="00CD0964">
        <w:rPr>
          <w:rFonts w:ascii="Arial" w:hAnsi="Arial" w:cs="Arial"/>
          <w:sz w:val="20"/>
          <w:szCs w:val="20"/>
        </w:rPr>
        <w:t xml:space="preserve"> Porto</w:t>
      </w:r>
      <w:r w:rsidRPr="00CD0964">
        <w:rPr>
          <w:rFonts w:ascii="Arial" w:hAnsi="Arial" w:cs="Arial"/>
          <w:sz w:val="20"/>
          <w:szCs w:val="20"/>
        </w:rPr>
        <w:t xml:space="preserve"> son otuz yıl boyunca neredeyse Po</w:t>
      </w:r>
      <w:r w:rsidR="003E2C58" w:rsidRPr="00CD0964">
        <w:rPr>
          <w:rFonts w:ascii="Arial" w:hAnsi="Arial" w:cs="Arial"/>
          <w:sz w:val="20"/>
          <w:szCs w:val="20"/>
        </w:rPr>
        <w:t>rtekiz futbolunu tekeli altı</w:t>
      </w:r>
      <w:r w:rsidR="009B057F" w:rsidRPr="00CD0964">
        <w:rPr>
          <w:rFonts w:ascii="Arial" w:hAnsi="Arial" w:cs="Arial"/>
          <w:sz w:val="20"/>
          <w:szCs w:val="20"/>
        </w:rPr>
        <w:t>na alarak</w:t>
      </w:r>
      <w:r w:rsidRPr="00CD0964">
        <w:rPr>
          <w:rFonts w:ascii="Arial" w:hAnsi="Arial" w:cs="Arial"/>
          <w:sz w:val="20"/>
          <w:szCs w:val="20"/>
        </w:rPr>
        <w:t xml:space="preserve"> 1990'lı yıllarda beş ardışık lig şampiyonluğunu ve 2002/03 ve 2012/13 sezonları arasındaki 11 lig şampiyonluğunun 9'unu kazandı. Sonuçlarımız, Porto'nun </w:t>
      </w:r>
      <w:r w:rsidR="00695AB7" w:rsidRPr="00CD0964">
        <w:rPr>
          <w:rFonts w:ascii="Arial" w:hAnsi="Arial" w:cs="Arial"/>
          <w:sz w:val="20"/>
          <w:szCs w:val="20"/>
        </w:rPr>
        <w:t xml:space="preserve">bu </w:t>
      </w:r>
      <w:r w:rsidRPr="00CD0964">
        <w:rPr>
          <w:rFonts w:ascii="Arial" w:hAnsi="Arial" w:cs="Arial"/>
          <w:sz w:val="20"/>
          <w:szCs w:val="20"/>
        </w:rPr>
        <w:t xml:space="preserve">muazzam başarısının </w:t>
      </w:r>
      <w:r w:rsidR="00695AB7" w:rsidRPr="00CD0964">
        <w:rPr>
          <w:rFonts w:ascii="Arial" w:hAnsi="Arial" w:cs="Arial"/>
          <w:sz w:val="20"/>
          <w:szCs w:val="20"/>
        </w:rPr>
        <w:t>ezeli</w:t>
      </w:r>
      <w:r w:rsidRPr="00CD0964">
        <w:rPr>
          <w:rFonts w:ascii="Arial" w:hAnsi="Arial" w:cs="Arial"/>
          <w:sz w:val="20"/>
          <w:szCs w:val="20"/>
        </w:rPr>
        <w:t xml:space="preserve"> rakibini </w:t>
      </w:r>
      <w:r w:rsidR="009B057F" w:rsidRPr="00CD0964">
        <w:rPr>
          <w:rFonts w:ascii="Arial" w:hAnsi="Arial" w:cs="Arial"/>
          <w:sz w:val="20"/>
          <w:szCs w:val="20"/>
        </w:rPr>
        <w:t xml:space="preserve">hayli </w:t>
      </w:r>
      <w:r w:rsidR="00E62CE7" w:rsidRPr="00CD0964">
        <w:rPr>
          <w:rFonts w:ascii="Arial" w:hAnsi="Arial" w:cs="Arial"/>
          <w:sz w:val="20"/>
          <w:szCs w:val="20"/>
        </w:rPr>
        <w:t>olumsuz</w:t>
      </w:r>
      <w:r w:rsidR="009B057F" w:rsidRPr="00CD0964">
        <w:rPr>
          <w:rFonts w:ascii="Arial" w:hAnsi="Arial" w:cs="Arial"/>
          <w:sz w:val="20"/>
          <w:szCs w:val="20"/>
        </w:rPr>
        <w:t xml:space="preserve"> </w:t>
      </w:r>
      <w:r w:rsidR="008049DC" w:rsidRPr="00CD0964">
        <w:rPr>
          <w:rFonts w:ascii="Arial" w:hAnsi="Arial" w:cs="Arial"/>
          <w:sz w:val="20"/>
          <w:szCs w:val="20"/>
        </w:rPr>
        <w:t>etkilediğini</w:t>
      </w:r>
      <w:r w:rsidRPr="00CD0964">
        <w:rPr>
          <w:rFonts w:ascii="Arial" w:hAnsi="Arial" w:cs="Arial"/>
          <w:sz w:val="20"/>
          <w:szCs w:val="20"/>
        </w:rPr>
        <w:t xml:space="preserve"> göster</w:t>
      </w:r>
      <w:r w:rsidR="00684DE5" w:rsidRPr="00CD0964">
        <w:rPr>
          <w:rFonts w:ascii="Arial" w:hAnsi="Arial" w:cs="Arial"/>
          <w:sz w:val="20"/>
          <w:szCs w:val="20"/>
        </w:rPr>
        <w:t>mektedir</w:t>
      </w:r>
      <w:r w:rsidRPr="00CD0964">
        <w:rPr>
          <w:rFonts w:ascii="Arial" w:hAnsi="Arial" w:cs="Arial"/>
          <w:sz w:val="20"/>
          <w:szCs w:val="20"/>
        </w:rPr>
        <w:t>.</w:t>
      </w:r>
    </w:p>
    <w:p w:rsidR="00AF34EE" w:rsidRPr="00CD0964" w:rsidRDefault="00BB50FA" w:rsidP="001F3A29">
      <w:pPr>
        <w:spacing w:line="276" w:lineRule="auto"/>
        <w:ind w:firstLine="340"/>
        <w:jc w:val="both"/>
        <w:rPr>
          <w:rFonts w:ascii="Arial" w:hAnsi="Arial" w:cs="Arial"/>
          <w:sz w:val="20"/>
          <w:szCs w:val="20"/>
        </w:rPr>
      </w:pPr>
      <w:r w:rsidRPr="00CD0964">
        <w:rPr>
          <w:rFonts w:ascii="Arial" w:hAnsi="Arial" w:cs="Arial"/>
          <w:sz w:val="20"/>
          <w:szCs w:val="20"/>
        </w:rPr>
        <w:t xml:space="preserve">Şekil 1’den </w:t>
      </w:r>
      <w:r w:rsidR="008049DC" w:rsidRPr="00CD0964">
        <w:rPr>
          <w:rFonts w:ascii="Arial" w:hAnsi="Arial" w:cs="Arial"/>
          <w:sz w:val="20"/>
          <w:szCs w:val="20"/>
        </w:rPr>
        <w:t>ortaya</w:t>
      </w:r>
      <w:r w:rsidRPr="00CD0964">
        <w:rPr>
          <w:rFonts w:ascii="Arial" w:hAnsi="Arial" w:cs="Arial"/>
          <w:sz w:val="20"/>
          <w:szCs w:val="20"/>
        </w:rPr>
        <w:t xml:space="preserve"> çıkan bir diğer sonuç, rakip takımların performanslarındaki tepkimelerin hemen oluşmadığı ve 2-3 lig sezonundan sonra meydana çıktığıdır. Bu bulgu, futbol kulüplerinin rakiplerinin performanslarındaki değişikliklere hızlı bir şekilde tepki verme imkânı bulamadığını göstermektedir. Esasında, kulüp yöneticilerinin rakip kulüplerin performanslarına tepki verme yetenekleri sınırlıdır. Futbol sezonu başlamadan önce, takımların kadroları hemen hemen kesinleşmiş olur ve sezon boyunca takım yapısını değiştirmek hayli zordur. Ayrıca, bir transfer sezonu boyunca bütün kadro değiştirilemeyeceğinden, ancak kısmi değişiklikler mümkün olmaktadır. Burada </w:t>
      </w:r>
      <w:r w:rsidR="008049DC" w:rsidRPr="00CD0964">
        <w:rPr>
          <w:rFonts w:ascii="Arial" w:hAnsi="Arial" w:cs="Arial"/>
          <w:sz w:val="20"/>
          <w:szCs w:val="20"/>
        </w:rPr>
        <w:t>görülüyor ki</w:t>
      </w:r>
      <w:r w:rsidRPr="00CD0964">
        <w:rPr>
          <w:rFonts w:ascii="Arial" w:hAnsi="Arial" w:cs="Arial"/>
          <w:sz w:val="20"/>
          <w:szCs w:val="20"/>
        </w:rPr>
        <w:t xml:space="preserve">, bir transfer sezonunda yapılan transferler rakip performansını yakalamakta yeterli olmamaktadır. </w:t>
      </w:r>
    </w:p>
    <w:p w:rsidR="00932545" w:rsidRPr="00CD0964" w:rsidRDefault="00932545" w:rsidP="001F3A29">
      <w:pPr>
        <w:spacing w:line="276" w:lineRule="auto"/>
        <w:ind w:firstLine="340"/>
        <w:jc w:val="both"/>
        <w:rPr>
          <w:rFonts w:ascii="Arial" w:hAnsi="Arial" w:cs="Arial"/>
          <w:b/>
          <w:bCs/>
          <w:iCs/>
          <w:sz w:val="20"/>
          <w:szCs w:val="20"/>
        </w:rPr>
      </w:pPr>
    </w:p>
    <w:p w:rsidR="0034579C" w:rsidRPr="00CD0964" w:rsidRDefault="0034579C" w:rsidP="001F3A29">
      <w:pPr>
        <w:spacing w:line="276" w:lineRule="auto"/>
        <w:ind w:firstLine="340"/>
        <w:jc w:val="both"/>
        <w:rPr>
          <w:rFonts w:ascii="Arial" w:hAnsi="Arial" w:cs="Arial"/>
          <w:b/>
          <w:bCs/>
          <w:iCs/>
          <w:sz w:val="20"/>
          <w:szCs w:val="20"/>
        </w:rPr>
      </w:pPr>
      <w:r w:rsidRPr="00CD0964">
        <w:rPr>
          <w:rFonts w:ascii="Arial" w:hAnsi="Arial" w:cs="Arial"/>
          <w:b/>
          <w:bCs/>
          <w:iCs/>
          <w:sz w:val="20"/>
          <w:szCs w:val="20"/>
        </w:rPr>
        <w:t>Genel Değerlendirme</w:t>
      </w:r>
    </w:p>
    <w:p w:rsidR="00444AA8" w:rsidRPr="00CD0964" w:rsidRDefault="0034579C" w:rsidP="001F3A29">
      <w:pPr>
        <w:spacing w:line="276" w:lineRule="auto"/>
        <w:ind w:firstLine="340"/>
        <w:jc w:val="both"/>
        <w:rPr>
          <w:rFonts w:ascii="Arial" w:hAnsi="Arial" w:cs="Arial"/>
          <w:sz w:val="20"/>
          <w:szCs w:val="20"/>
        </w:rPr>
      </w:pPr>
      <w:r w:rsidRPr="00CD0964">
        <w:rPr>
          <w:rFonts w:ascii="Arial" w:hAnsi="Arial" w:cs="Arial"/>
          <w:sz w:val="20"/>
          <w:szCs w:val="20"/>
        </w:rPr>
        <w:t xml:space="preserve">Zaman serileri teknikleri kullanarak yaptığımız bu </w:t>
      </w:r>
      <w:r w:rsidR="008049DC" w:rsidRPr="00CD0964">
        <w:rPr>
          <w:rFonts w:ascii="Arial" w:hAnsi="Arial" w:cs="Arial"/>
          <w:sz w:val="20"/>
          <w:szCs w:val="20"/>
        </w:rPr>
        <w:t>çalışmada</w:t>
      </w:r>
      <w:r w:rsidRPr="00CD0964">
        <w:rPr>
          <w:rFonts w:ascii="Arial" w:hAnsi="Arial" w:cs="Arial"/>
          <w:sz w:val="20"/>
          <w:szCs w:val="20"/>
        </w:rPr>
        <w:t xml:space="preserve"> Avrupa liglerindeki ezeli rakiplerin performans etkileşimlerini inceledik. Sonuçlar 23 rekabetten sadece 11'inin </w:t>
      </w:r>
      <w:r w:rsidR="00444AA8" w:rsidRPr="00CD0964">
        <w:rPr>
          <w:rFonts w:ascii="Arial" w:hAnsi="Arial" w:cs="Arial"/>
          <w:sz w:val="20"/>
          <w:szCs w:val="20"/>
        </w:rPr>
        <w:t xml:space="preserve">rakibin </w:t>
      </w:r>
      <w:r w:rsidRPr="00CD0964">
        <w:rPr>
          <w:rFonts w:ascii="Arial" w:hAnsi="Arial" w:cs="Arial"/>
          <w:sz w:val="20"/>
          <w:szCs w:val="20"/>
        </w:rPr>
        <w:t>performans</w:t>
      </w:r>
      <w:r w:rsidR="00444AA8" w:rsidRPr="00CD0964">
        <w:rPr>
          <w:rFonts w:ascii="Arial" w:hAnsi="Arial" w:cs="Arial"/>
          <w:sz w:val="20"/>
          <w:szCs w:val="20"/>
        </w:rPr>
        <w:t>ına</w:t>
      </w:r>
      <w:r w:rsidRPr="00CD0964">
        <w:rPr>
          <w:rFonts w:ascii="Arial" w:hAnsi="Arial" w:cs="Arial"/>
          <w:sz w:val="20"/>
          <w:szCs w:val="20"/>
        </w:rPr>
        <w:t xml:space="preserve"> dayalı rekabet olarak nitelendirilebileceğini göstermektedir. Perf</w:t>
      </w:r>
      <w:r w:rsidR="00444AA8" w:rsidRPr="00CD0964">
        <w:rPr>
          <w:rFonts w:ascii="Arial" w:hAnsi="Arial" w:cs="Arial"/>
          <w:sz w:val="20"/>
          <w:szCs w:val="20"/>
        </w:rPr>
        <w:t>o</w:t>
      </w:r>
      <w:r w:rsidRPr="00CD0964">
        <w:rPr>
          <w:rFonts w:ascii="Arial" w:hAnsi="Arial" w:cs="Arial"/>
          <w:sz w:val="20"/>
          <w:szCs w:val="20"/>
        </w:rPr>
        <w:t xml:space="preserve">rmansa dayalı rekabetlerin çoğunda “başarı başarıyı getirir” tarzında bir etkileşim olduğu ortaya çıkmaktadır. Diğer </w:t>
      </w:r>
      <w:r w:rsidR="008049DC" w:rsidRPr="00CD0964">
        <w:rPr>
          <w:rFonts w:ascii="Arial" w:hAnsi="Arial" w:cs="Arial"/>
          <w:sz w:val="20"/>
          <w:szCs w:val="20"/>
        </w:rPr>
        <w:t>taraftan</w:t>
      </w:r>
      <w:r w:rsidRPr="00CD0964">
        <w:rPr>
          <w:rFonts w:ascii="Arial" w:hAnsi="Arial" w:cs="Arial"/>
          <w:sz w:val="20"/>
          <w:szCs w:val="20"/>
        </w:rPr>
        <w:t xml:space="preserve"> </w:t>
      </w:r>
      <w:r w:rsidR="00444AA8" w:rsidRPr="00CD0964">
        <w:rPr>
          <w:rFonts w:ascii="Arial" w:hAnsi="Arial" w:cs="Arial"/>
          <w:sz w:val="20"/>
          <w:szCs w:val="20"/>
        </w:rPr>
        <w:t xml:space="preserve">çalışmamızın bulguları tarihsel bir perspektifle </w:t>
      </w:r>
      <w:r w:rsidRPr="00CD0964">
        <w:rPr>
          <w:rFonts w:ascii="Arial" w:hAnsi="Arial" w:cs="Arial"/>
          <w:sz w:val="20"/>
          <w:szCs w:val="20"/>
        </w:rPr>
        <w:t xml:space="preserve">dinin, siyasetin, ekonominin, ulusal kimliğin ve sosyal ideolojinin bir futbol rekabeti oluşturmada performans kadar önemli olduğu görüşüne </w:t>
      </w:r>
      <w:r w:rsidR="00444AA8" w:rsidRPr="00CD0964">
        <w:rPr>
          <w:rFonts w:ascii="Arial" w:hAnsi="Arial" w:cs="Arial"/>
          <w:sz w:val="20"/>
          <w:szCs w:val="20"/>
        </w:rPr>
        <w:t xml:space="preserve">de </w:t>
      </w:r>
      <w:r w:rsidRPr="00CD0964">
        <w:rPr>
          <w:rFonts w:ascii="Arial" w:hAnsi="Arial" w:cs="Arial"/>
          <w:sz w:val="20"/>
          <w:szCs w:val="20"/>
        </w:rPr>
        <w:t>destek vermektedir.</w:t>
      </w:r>
      <w:r w:rsidRPr="00CD0964">
        <w:rPr>
          <w:rFonts w:ascii="Arial" w:hAnsi="Arial" w:cs="Arial"/>
          <w:color w:val="FF0000"/>
          <w:sz w:val="20"/>
          <w:szCs w:val="20"/>
        </w:rPr>
        <w:t xml:space="preserve"> </w:t>
      </w:r>
      <w:r w:rsidRPr="00CD0964">
        <w:rPr>
          <w:rFonts w:ascii="Arial" w:hAnsi="Arial" w:cs="Arial"/>
          <w:sz w:val="20"/>
          <w:szCs w:val="20"/>
        </w:rPr>
        <w:t>Taraftarların rekabet algısı ile rakip takımlar arasındaki saha rekabetinin yoğunluğu arasında genel geçer bir ili</w:t>
      </w:r>
      <w:r w:rsidR="00444AA8" w:rsidRPr="00CD0964">
        <w:rPr>
          <w:rFonts w:ascii="Arial" w:hAnsi="Arial" w:cs="Arial"/>
          <w:sz w:val="20"/>
          <w:szCs w:val="20"/>
        </w:rPr>
        <w:t>ş</w:t>
      </w:r>
      <w:r w:rsidRPr="00CD0964">
        <w:rPr>
          <w:rFonts w:ascii="Arial" w:hAnsi="Arial" w:cs="Arial"/>
          <w:sz w:val="20"/>
          <w:szCs w:val="20"/>
        </w:rPr>
        <w:t xml:space="preserve">kinin </w:t>
      </w:r>
      <w:r w:rsidR="008049DC" w:rsidRPr="00CD0964">
        <w:rPr>
          <w:rFonts w:ascii="Arial" w:hAnsi="Arial" w:cs="Arial"/>
          <w:sz w:val="20"/>
          <w:szCs w:val="20"/>
        </w:rPr>
        <w:t>olmadığı</w:t>
      </w:r>
      <w:r w:rsidRPr="00CD0964">
        <w:rPr>
          <w:rFonts w:ascii="Arial" w:hAnsi="Arial" w:cs="Arial"/>
          <w:sz w:val="20"/>
          <w:szCs w:val="20"/>
        </w:rPr>
        <w:t xml:space="preserve"> görülmektedir. </w:t>
      </w:r>
    </w:p>
    <w:p w:rsidR="00E16C1E" w:rsidRPr="00074139" w:rsidRDefault="00444AA8" w:rsidP="001F3A29">
      <w:pPr>
        <w:spacing w:line="276" w:lineRule="auto"/>
        <w:ind w:firstLine="340"/>
        <w:jc w:val="both"/>
        <w:rPr>
          <w:rFonts w:ascii="Arial" w:hAnsi="Arial" w:cs="Arial"/>
          <w:sz w:val="20"/>
          <w:szCs w:val="20"/>
        </w:rPr>
      </w:pPr>
      <w:r w:rsidRPr="00CD0964">
        <w:rPr>
          <w:rFonts w:ascii="Arial" w:hAnsi="Arial" w:cs="Arial"/>
          <w:sz w:val="20"/>
          <w:szCs w:val="20"/>
        </w:rPr>
        <w:t>B</w:t>
      </w:r>
      <w:r w:rsidR="0034579C" w:rsidRPr="00CD0964">
        <w:rPr>
          <w:rFonts w:ascii="Arial" w:hAnsi="Arial" w:cs="Arial"/>
          <w:sz w:val="20"/>
          <w:szCs w:val="20"/>
        </w:rPr>
        <w:t xml:space="preserve">u çalışmanın bulguları </w:t>
      </w:r>
      <w:r w:rsidRPr="00CD0964">
        <w:rPr>
          <w:rFonts w:ascii="Arial" w:hAnsi="Arial" w:cs="Arial"/>
          <w:sz w:val="20"/>
          <w:szCs w:val="20"/>
        </w:rPr>
        <w:t xml:space="preserve">ayrıca </w:t>
      </w:r>
      <w:r w:rsidR="0034579C" w:rsidRPr="00CD0964">
        <w:rPr>
          <w:rFonts w:ascii="Arial" w:hAnsi="Arial" w:cs="Arial"/>
          <w:sz w:val="20"/>
          <w:szCs w:val="20"/>
        </w:rPr>
        <w:t xml:space="preserve">kulüplerin ezeli rakiplerini yeterince takip edemedikleri </w:t>
      </w:r>
      <w:r w:rsidR="008049DC" w:rsidRPr="00CD0964">
        <w:rPr>
          <w:rFonts w:ascii="Arial" w:hAnsi="Arial" w:cs="Arial"/>
          <w:sz w:val="20"/>
          <w:szCs w:val="20"/>
        </w:rPr>
        <w:t>takdirde</w:t>
      </w:r>
      <w:r w:rsidR="0034579C" w:rsidRPr="00CD0964">
        <w:rPr>
          <w:rFonts w:ascii="Arial" w:hAnsi="Arial" w:cs="Arial"/>
          <w:sz w:val="20"/>
          <w:szCs w:val="20"/>
        </w:rPr>
        <w:t>, taraftarların takımları için olan duygularının yo</w:t>
      </w:r>
      <w:r w:rsidR="0034579C" w:rsidRPr="00074139">
        <w:rPr>
          <w:rFonts w:ascii="Arial" w:hAnsi="Arial" w:cs="Arial"/>
          <w:sz w:val="20"/>
          <w:szCs w:val="20"/>
        </w:rPr>
        <w:t xml:space="preserve">ğunluğunda zayıflama olabileceğini düşündürmektedir. Bu nedenle, kulüp yöneticileri, stratejilerini geliştirirken, takım performanslarının </w:t>
      </w:r>
      <w:r w:rsidR="00B74042" w:rsidRPr="00074139">
        <w:rPr>
          <w:rFonts w:ascii="Arial" w:hAnsi="Arial" w:cs="Arial"/>
          <w:sz w:val="20"/>
          <w:szCs w:val="20"/>
        </w:rPr>
        <w:t xml:space="preserve">ezeli rakiplerininkinden </w:t>
      </w:r>
      <w:r w:rsidR="0034579C" w:rsidRPr="00074139">
        <w:rPr>
          <w:rFonts w:ascii="Arial" w:hAnsi="Arial" w:cs="Arial"/>
          <w:sz w:val="20"/>
          <w:szCs w:val="20"/>
        </w:rPr>
        <w:t>kopmasını önlemek için gerekli önlemler almalıdır.</w:t>
      </w:r>
      <w:r w:rsidRPr="00074139">
        <w:rPr>
          <w:rFonts w:ascii="Arial" w:hAnsi="Arial" w:cs="Arial"/>
          <w:sz w:val="20"/>
          <w:szCs w:val="20"/>
        </w:rPr>
        <w:t xml:space="preserve"> </w:t>
      </w:r>
      <w:r w:rsidR="00B74042" w:rsidRPr="00074139">
        <w:rPr>
          <w:rFonts w:ascii="Arial" w:hAnsi="Arial" w:cs="Arial"/>
          <w:sz w:val="20"/>
          <w:szCs w:val="20"/>
        </w:rPr>
        <w:t>Aksi durumda ezeli rekabet ciddi oranda yara alacaktır. Bu sonucu Türkiye Ligi özelinde değerlendir</w:t>
      </w:r>
      <w:r w:rsidR="00F87E80" w:rsidRPr="00074139">
        <w:rPr>
          <w:rFonts w:ascii="Arial" w:hAnsi="Arial" w:cs="Arial"/>
          <w:sz w:val="20"/>
          <w:szCs w:val="20"/>
        </w:rPr>
        <w:t>irsek, çalışmamız Fenerbahçe-</w:t>
      </w:r>
      <w:r w:rsidR="00B74042" w:rsidRPr="00074139">
        <w:rPr>
          <w:rFonts w:ascii="Arial" w:hAnsi="Arial" w:cs="Arial"/>
          <w:sz w:val="20"/>
          <w:szCs w:val="20"/>
        </w:rPr>
        <w:t xml:space="preserve">Galatasaray </w:t>
      </w:r>
      <w:r w:rsidR="00F87E80" w:rsidRPr="00074139">
        <w:rPr>
          <w:rFonts w:ascii="Arial" w:hAnsi="Arial" w:cs="Arial"/>
          <w:sz w:val="20"/>
          <w:szCs w:val="20"/>
        </w:rPr>
        <w:t xml:space="preserve">rekabeti </w:t>
      </w:r>
      <w:r w:rsidR="00B74042" w:rsidRPr="00074139">
        <w:rPr>
          <w:rFonts w:ascii="Arial" w:hAnsi="Arial" w:cs="Arial"/>
          <w:sz w:val="20"/>
          <w:szCs w:val="20"/>
        </w:rPr>
        <w:t xml:space="preserve">için böyle bir tehlikenin söz konusu olmadığını gösteriyor. Her iki kulüp birbirini yakından takip ediyor </w:t>
      </w:r>
      <w:r w:rsidR="008C4308" w:rsidRPr="00074139">
        <w:rPr>
          <w:rFonts w:ascii="Arial" w:hAnsi="Arial" w:cs="Arial"/>
          <w:sz w:val="20"/>
          <w:szCs w:val="20"/>
        </w:rPr>
        <w:t xml:space="preserve">ve </w:t>
      </w:r>
      <w:r w:rsidR="00B74042" w:rsidRPr="00074139">
        <w:rPr>
          <w:rFonts w:ascii="Arial" w:hAnsi="Arial" w:cs="Arial"/>
          <w:sz w:val="20"/>
          <w:szCs w:val="20"/>
        </w:rPr>
        <w:t xml:space="preserve">performansları birbirlerini kamçılıyor. Böylesi bir durumda Fenerbahçe-Galatasaray </w:t>
      </w:r>
      <w:r w:rsidR="00326723" w:rsidRPr="00074139">
        <w:rPr>
          <w:rFonts w:ascii="Arial" w:hAnsi="Arial" w:cs="Arial"/>
          <w:sz w:val="20"/>
          <w:szCs w:val="20"/>
        </w:rPr>
        <w:t xml:space="preserve">futbol </w:t>
      </w:r>
      <w:r w:rsidR="00B74042" w:rsidRPr="00074139">
        <w:rPr>
          <w:rFonts w:ascii="Arial" w:hAnsi="Arial" w:cs="Arial"/>
          <w:sz w:val="20"/>
          <w:szCs w:val="20"/>
        </w:rPr>
        <w:t>rekabet</w:t>
      </w:r>
      <w:r w:rsidR="008C4308" w:rsidRPr="00074139">
        <w:rPr>
          <w:rFonts w:ascii="Arial" w:hAnsi="Arial" w:cs="Arial"/>
          <w:sz w:val="20"/>
          <w:szCs w:val="20"/>
        </w:rPr>
        <w:t xml:space="preserve">i </w:t>
      </w:r>
      <w:r w:rsidR="00326723" w:rsidRPr="00074139">
        <w:rPr>
          <w:rFonts w:ascii="Arial" w:hAnsi="Arial" w:cs="Arial"/>
          <w:sz w:val="20"/>
          <w:szCs w:val="20"/>
        </w:rPr>
        <w:t>devamlı var olacaktır. Beşiktaş için ise durum biraz daha karışık. Beşiktaş ezeli rakiplerini takip etmede yetersiz kalırsa üç büyükler rekabetinde</w:t>
      </w:r>
      <w:r w:rsidR="00A0678B" w:rsidRPr="00074139">
        <w:rPr>
          <w:rFonts w:ascii="Arial" w:hAnsi="Arial" w:cs="Arial"/>
          <w:sz w:val="20"/>
          <w:szCs w:val="20"/>
        </w:rPr>
        <w:t>n</w:t>
      </w:r>
      <w:r w:rsidR="00326723" w:rsidRPr="00074139">
        <w:rPr>
          <w:rFonts w:ascii="Arial" w:hAnsi="Arial" w:cs="Arial"/>
          <w:sz w:val="20"/>
          <w:szCs w:val="20"/>
        </w:rPr>
        <w:t xml:space="preserve"> kopması kaçınılmaz olacaktır.</w:t>
      </w:r>
      <w:r w:rsidR="00A0678B" w:rsidRPr="00074139">
        <w:rPr>
          <w:rFonts w:ascii="Arial" w:hAnsi="Arial" w:cs="Arial"/>
          <w:sz w:val="20"/>
          <w:szCs w:val="20"/>
        </w:rPr>
        <w:t xml:space="preserve"> Böylesi bir durumda dahi, Beşiktaş taraftarı her zaman Fenerbahçe ve Galatasaray'ı rakipleri olarak göreceklerdir. Ancak bu rekabet futbol sahasının içinde değil dışında olacaktır. Beşiktaşlılık kimliği</w:t>
      </w:r>
      <w:r w:rsidR="00F87E80" w:rsidRPr="00074139">
        <w:rPr>
          <w:rFonts w:ascii="Arial" w:hAnsi="Arial" w:cs="Arial"/>
          <w:sz w:val="20"/>
          <w:szCs w:val="20"/>
        </w:rPr>
        <w:t>,</w:t>
      </w:r>
      <w:r w:rsidR="00A0678B" w:rsidRPr="00074139">
        <w:rPr>
          <w:rFonts w:ascii="Arial" w:hAnsi="Arial" w:cs="Arial"/>
          <w:sz w:val="20"/>
          <w:szCs w:val="20"/>
        </w:rPr>
        <w:t xml:space="preserve"> Fenerbahçe ve Galatasaray ile saha içi rekabeti zayıf kaldığından</w:t>
      </w:r>
      <w:r w:rsidR="00F87E80" w:rsidRPr="00074139">
        <w:rPr>
          <w:rFonts w:ascii="Arial" w:hAnsi="Arial" w:cs="Arial"/>
          <w:sz w:val="20"/>
          <w:szCs w:val="20"/>
        </w:rPr>
        <w:t>,</w:t>
      </w:r>
      <w:r w:rsidR="00A0678B" w:rsidRPr="00074139">
        <w:rPr>
          <w:rFonts w:ascii="Arial" w:hAnsi="Arial" w:cs="Arial"/>
          <w:sz w:val="20"/>
          <w:szCs w:val="20"/>
        </w:rPr>
        <w:t xml:space="preserve"> yeterince beslenemeyecek ve Çarşı'nın bir üst kimlik haline gelmesi ihtimali ortaya çıkacaktır. </w:t>
      </w:r>
    </w:p>
    <w:p w:rsidR="0034579C" w:rsidRPr="00074139" w:rsidRDefault="00F87E80" w:rsidP="001F3A29">
      <w:pPr>
        <w:spacing w:line="276" w:lineRule="auto"/>
        <w:ind w:firstLine="340"/>
        <w:jc w:val="both"/>
        <w:rPr>
          <w:rFonts w:ascii="Arial" w:hAnsi="Arial" w:cs="Arial"/>
          <w:sz w:val="20"/>
          <w:szCs w:val="20"/>
        </w:rPr>
      </w:pPr>
      <w:r w:rsidRPr="00074139">
        <w:rPr>
          <w:rFonts w:ascii="Arial" w:hAnsi="Arial" w:cs="Arial"/>
          <w:sz w:val="20"/>
          <w:szCs w:val="20"/>
        </w:rPr>
        <w:t>Futbol takımının kalitesini artıracak transferler yapılarak, Fenerbahçe ve Galatasaray'ın ligi domine etmeleri engellenmelidir. Son dönemde Beşiktaş'ın elde ettiği başarılar bu yönde olumlu adımların atıldığını gösteriyor. Ayrıca Twitter gibi sosyal mecralarda Fenerbahçe ve Galatasaray ile olan ezeli rekabeti hatırlatıcı paylaşımlar, Beşiktaş taraftarlarının takımlarına olan aidiyet duygularını pekiştirmeye yardımcı olacaktır.</w:t>
      </w:r>
      <w:r w:rsidR="00326723" w:rsidRPr="00074139">
        <w:rPr>
          <w:rFonts w:ascii="Arial" w:hAnsi="Arial" w:cs="Arial"/>
          <w:sz w:val="20"/>
          <w:szCs w:val="20"/>
        </w:rPr>
        <w:t xml:space="preserve"> </w:t>
      </w:r>
    </w:p>
    <w:p w:rsidR="00A77D6F" w:rsidRDefault="00A77D6F" w:rsidP="00A77D6F">
      <w:pPr>
        <w:suppressAutoHyphens w:val="0"/>
        <w:jc w:val="center"/>
        <w:rPr>
          <w:rFonts w:ascii="Arial" w:eastAsiaTheme="minorEastAsia" w:hAnsi="Arial" w:cs="Arial"/>
          <w:b/>
          <w:sz w:val="20"/>
          <w:szCs w:val="20"/>
          <w:lang w:eastAsia="fr-FR"/>
        </w:rPr>
      </w:pPr>
      <w:r>
        <w:rPr>
          <w:rFonts w:ascii="Arial" w:eastAsiaTheme="minorEastAsia" w:hAnsi="Arial" w:cs="Arial"/>
          <w:b/>
          <w:noProof/>
          <w:sz w:val="20"/>
          <w:szCs w:val="20"/>
          <w:lang w:eastAsia="tr-TR"/>
        </w:rPr>
        <w:lastRenderedPageBreak/>
        <w:drawing>
          <wp:inline distT="0" distB="0" distL="0" distR="0" wp14:anchorId="2D2FB9C2" wp14:editId="1AF61EEC">
            <wp:extent cx="4429125" cy="552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4429125" cy="5524500"/>
                    </a:xfrm>
                    <a:prstGeom prst="rect">
                      <a:avLst/>
                    </a:prstGeom>
                  </pic:spPr>
                </pic:pic>
              </a:graphicData>
            </a:graphic>
          </wp:inline>
        </w:drawing>
      </w:r>
    </w:p>
    <w:p w:rsidR="00A77D6F" w:rsidRDefault="00A77D6F" w:rsidP="00A77D6F">
      <w:pPr>
        <w:suppressAutoHyphens w:val="0"/>
        <w:jc w:val="center"/>
        <w:rPr>
          <w:rFonts w:ascii="Arial" w:eastAsiaTheme="minorEastAsia" w:hAnsi="Arial" w:cs="Arial"/>
          <w:b/>
          <w:sz w:val="20"/>
          <w:szCs w:val="20"/>
          <w:lang w:eastAsia="fr-FR"/>
        </w:rPr>
      </w:pPr>
      <w:r>
        <w:rPr>
          <w:rFonts w:ascii="Arial" w:eastAsiaTheme="minorEastAsia" w:hAnsi="Arial" w:cs="Arial"/>
          <w:b/>
          <w:noProof/>
          <w:sz w:val="20"/>
          <w:szCs w:val="20"/>
          <w:lang w:eastAsia="tr-TR"/>
        </w:rPr>
        <w:drawing>
          <wp:inline distT="0" distB="0" distL="0" distR="0" wp14:anchorId="6F0CF63C" wp14:editId="5F4F45F8">
            <wp:extent cx="4457700"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2.png"/>
                    <pic:cNvPicPr/>
                  </pic:nvPicPr>
                  <pic:blipFill>
                    <a:blip r:embed="rId10">
                      <a:extLst>
                        <a:ext uri="{28A0092B-C50C-407E-A947-70E740481C1C}">
                          <a14:useLocalDpi xmlns:a14="http://schemas.microsoft.com/office/drawing/2010/main" val="0"/>
                        </a:ext>
                      </a:extLst>
                    </a:blip>
                    <a:stretch>
                      <a:fillRect/>
                    </a:stretch>
                  </pic:blipFill>
                  <pic:spPr>
                    <a:xfrm>
                      <a:off x="0" y="0"/>
                      <a:ext cx="4458325" cy="2048162"/>
                    </a:xfrm>
                    <a:prstGeom prst="rect">
                      <a:avLst/>
                    </a:prstGeom>
                  </pic:spPr>
                </pic:pic>
              </a:graphicData>
            </a:graphic>
          </wp:inline>
        </w:drawing>
      </w:r>
      <w:r>
        <w:rPr>
          <w:rFonts w:ascii="Arial" w:eastAsiaTheme="minorEastAsia" w:hAnsi="Arial" w:cs="Arial"/>
          <w:b/>
          <w:sz w:val="20"/>
          <w:szCs w:val="20"/>
          <w:lang w:eastAsia="fr-FR"/>
        </w:rPr>
        <w:br w:type="page"/>
      </w:r>
    </w:p>
    <w:p w:rsidR="00691702" w:rsidRDefault="00074139" w:rsidP="00691702">
      <w:pPr>
        <w:spacing w:line="360" w:lineRule="auto"/>
        <w:jc w:val="both"/>
        <w:rPr>
          <w:rFonts w:ascii="Arial" w:hAnsi="Arial" w:cs="Arial"/>
          <w:b/>
          <w:sz w:val="20"/>
          <w:szCs w:val="20"/>
        </w:rPr>
      </w:pPr>
      <w:r>
        <w:rPr>
          <w:rFonts w:asciiTheme="majorHAnsi" w:hAnsiTheme="majorHAnsi" w:cs="Arial"/>
          <w:b/>
          <w:noProof/>
          <w:sz w:val="22"/>
          <w:szCs w:val="22"/>
          <w:lang w:eastAsia="tr-TR"/>
        </w:rPr>
        <w:lastRenderedPageBreak/>
        <mc:AlternateContent>
          <mc:Choice Requires="wps">
            <w:drawing>
              <wp:anchor distT="0" distB="0" distL="114300" distR="114300" simplePos="0" relativeHeight="251666944" behindDoc="1" locked="0" layoutInCell="1" allowOverlap="1" wp14:anchorId="7F3C23C4" wp14:editId="41350CE4">
                <wp:simplePos x="0" y="0"/>
                <wp:positionH relativeFrom="margin">
                  <wp:posOffset>-251460</wp:posOffset>
                </wp:positionH>
                <wp:positionV relativeFrom="paragraph">
                  <wp:posOffset>139065</wp:posOffset>
                </wp:positionV>
                <wp:extent cx="6305550" cy="4371975"/>
                <wp:effectExtent l="0" t="0" r="1905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3719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C5F4C" id="Rectangle 6" o:spid="_x0000_s1026" style="position:absolute;margin-left:-19.8pt;margin-top:10.95pt;width:496.5pt;height:344.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">
                <v:fill opacity="0"/>
                <w10:wrap anchorx="margin"/>
              </v:rect>
            </w:pict>
          </mc:Fallback>
        </mc:AlternateContent>
      </w:r>
      <w:r w:rsidR="00691702" w:rsidRPr="00CD0964">
        <w:rPr>
          <w:rFonts w:ascii="Arial" w:hAnsi="Arial" w:cs="Arial"/>
          <w:b/>
          <w:sz w:val="20"/>
          <w:szCs w:val="20"/>
        </w:rPr>
        <w:t>Kutu 1</w:t>
      </w:r>
      <w:r>
        <w:rPr>
          <w:rFonts w:ascii="Arial" w:hAnsi="Arial" w:cs="Arial"/>
          <w:b/>
          <w:sz w:val="20"/>
          <w:szCs w:val="20"/>
        </w:rPr>
        <w:t>. Ekonometrik Yöntem</w:t>
      </w:r>
    </w:p>
    <w:p w:rsidR="00074139" w:rsidRPr="00CD0964" w:rsidRDefault="00074139" w:rsidP="00691702">
      <w:pPr>
        <w:spacing w:line="360" w:lineRule="auto"/>
        <w:jc w:val="both"/>
        <w:rPr>
          <w:rFonts w:ascii="Arial" w:hAnsi="Arial" w:cs="Arial"/>
          <w:b/>
          <w:sz w:val="20"/>
          <w:szCs w:val="20"/>
        </w:rPr>
      </w:pPr>
    </w:p>
    <w:p w:rsidR="00691702" w:rsidRPr="00CD0964" w:rsidRDefault="00691702" w:rsidP="00932545">
      <w:pPr>
        <w:spacing w:line="276" w:lineRule="auto"/>
        <w:ind w:firstLine="340"/>
        <w:jc w:val="both"/>
        <w:rPr>
          <w:rFonts w:ascii="Arial" w:hAnsi="Arial" w:cs="Arial"/>
          <w:sz w:val="20"/>
          <w:szCs w:val="20"/>
        </w:rPr>
      </w:pPr>
      <w:r w:rsidRPr="00CD0964">
        <w:rPr>
          <w:rFonts w:ascii="Arial" w:hAnsi="Arial" w:cs="Arial"/>
          <w:sz w:val="20"/>
          <w:szCs w:val="20"/>
        </w:rPr>
        <w:t xml:space="preserve">Performanslar arasındaki nedensellik testleri yapılmadan önce performans serilerinin durağan olup olmadıkları test edilmesi gerekir. Bu maksatla çalışmamızda Augmented Dickey Fuller (ADF; Dickey &amp; Fuller, 1979) ve Phillips &amp; Perron (PP; Phillips &amp; Perron, 1988) birim kök testleri kullanılmıştır. Her iki test de performans serilerinin durağan olduğunu göstermektedir. Performans serilerinin 0 ile 3 arasında sınırlı olduğu düşünüldüğünde, serilerin durağan çıkması gayet normal karşılanmalıdır.  </w:t>
      </w:r>
    </w:p>
    <w:p w:rsidR="00691702" w:rsidRPr="00CD0964" w:rsidRDefault="00691702" w:rsidP="00932545">
      <w:pPr>
        <w:spacing w:line="276" w:lineRule="auto"/>
        <w:ind w:firstLine="340"/>
        <w:jc w:val="both"/>
        <w:rPr>
          <w:rFonts w:ascii="Arial" w:hAnsi="Arial" w:cs="Arial"/>
          <w:sz w:val="20"/>
          <w:szCs w:val="20"/>
        </w:rPr>
      </w:pPr>
      <w:r w:rsidRPr="00CD0964">
        <w:rPr>
          <w:rFonts w:ascii="Arial" w:hAnsi="Arial" w:cs="Arial"/>
          <w:sz w:val="20"/>
          <w:szCs w:val="20"/>
        </w:rPr>
        <w:t xml:space="preserve">Granger (1998) nedenselliği tahmin edilebilirlik perspektifinden ele almakta ve iki zaman serisinin (örneğin </w:t>
      </w:r>
      <m:oMath>
        <m:sSub>
          <m:sSubPr>
            <m:ctrlPr>
              <w:rPr>
                <w:rFonts w:ascii="Cambria Math" w:hAnsi="Cambria Math" w:cs="Arial"/>
                <w:sz w:val="20"/>
                <w:szCs w:val="20"/>
              </w:rPr>
            </m:ctrlPr>
          </m:sSubPr>
          <m:e>
            <m:r>
              <m:rPr>
                <m:sty m:val="p"/>
              </m:rPr>
              <w:rPr>
                <w:rFonts w:ascii="Cambria Math" w:hAnsi="Cambria Math" w:cs="Arial"/>
                <w:sz w:val="20"/>
                <w:szCs w:val="20"/>
              </w:rPr>
              <m:t>X</m:t>
            </m:r>
          </m:e>
          <m:sub>
            <m:r>
              <m:rPr>
                <m:sty m:val="p"/>
              </m:rPr>
              <w:rPr>
                <w:rFonts w:ascii="Cambria Math" w:hAnsi="Cambria Math" w:cs="Arial"/>
                <w:sz w:val="20"/>
                <w:szCs w:val="20"/>
              </w:rPr>
              <m:t>t</m:t>
            </m:r>
          </m:sub>
        </m:sSub>
      </m:oMath>
      <w:r w:rsidRPr="00CD0964">
        <w:rPr>
          <w:rFonts w:ascii="Arial" w:hAnsi="Arial" w:cs="Arial"/>
          <w:sz w:val="20"/>
          <w:szCs w:val="20"/>
        </w:rPr>
        <w:t xml:space="preserve"> ve </w:t>
      </w:r>
      <m:oMath>
        <m:sSub>
          <m:sSubPr>
            <m:ctrlPr>
              <w:rPr>
                <w:rFonts w:ascii="Cambria Math" w:hAnsi="Cambria Math" w:cs="Arial"/>
                <w:sz w:val="20"/>
                <w:szCs w:val="20"/>
              </w:rPr>
            </m:ctrlPr>
          </m:sSubPr>
          <m:e>
            <m:r>
              <m:rPr>
                <m:sty m:val="p"/>
              </m:rPr>
              <w:rPr>
                <w:rFonts w:ascii="Cambria Math" w:hAnsi="Cambria Math" w:cs="Arial"/>
                <w:sz w:val="20"/>
                <w:szCs w:val="20"/>
              </w:rPr>
              <m:t>Y</m:t>
            </m:r>
          </m:e>
          <m:sub>
            <m:r>
              <m:rPr>
                <m:sty m:val="p"/>
              </m:rPr>
              <w:rPr>
                <w:rFonts w:ascii="Cambria Math" w:hAnsi="Cambria Math" w:cs="Arial"/>
                <w:sz w:val="20"/>
                <w:szCs w:val="20"/>
              </w:rPr>
              <m:t>t</m:t>
            </m:r>
          </m:sub>
        </m:sSub>
      </m:oMath>
      <w:r w:rsidRPr="00CD0964">
        <w:rPr>
          <w:rFonts w:ascii="Arial" w:hAnsi="Arial" w:cs="Arial"/>
          <w:sz w:val="20"/>
          <w:szCs w:val="20"/>
        </w:rPr>
        <w:t xml:space="preserve">) gecikmeli değerlerinin anlamlılığı ile açıklamaktadır. Bu bağlamda, eğer </w:t>
      </w:r>
      <m:oMath>
        <m:sSub>
          <m:sSubPr>
            <m:ctrlPr>
              <w:rPr>
                <w:rFonts w:ascii="Cambria Math" w:hAnsi="Cambria Math" w:cs="Arial"/>
                <w:sz w:val="20"/>
                <w:szCs w:val="20"/>
              </w:rPr>
            </m:ctrlPr>
          </m:sSubPr>
          <m:e>
            <m:r>
              <m:rPr>
                <m:sty m:val="p"/>
              </m:rPr>
              <w:rPr>
                <w:rFonts w:ascii="Cambria Math" w:hAnsi="Cambria Math" w:cs="Arial"/>
                <w:sz w:val="20"/>
                <w:szCs w:val="20"/>
              </w:rPr>
              <m:t>Y</m:t>
            </m:r>
          </m:e>
          <m:sub>
            <m:r>
              <m:rPr>
                <m:sty m:val="p"/>
              </m:rPr>
              <w:rPr>
                <w:rFonts w:ascii="Cambria Math" w:hAnsi="Cambria Math" w:cs="Arial"/>
                <w:sz w:val="20"/>
                <w:szCs w:val="20"/>
              </w:rPr>
              <m:t>t</m:t>
            </m:r>
          </m:sub>
        </m:sSub>
      </m:oMath>
      <w:r w:rsidRPr="00CD0964">
        <w:rPr>
          <w:rFonts w:ascii="Arial" w:hAnsi="Arial" w:cs="Arial"/>
          <w:sz w:val="20"/>
          <w:szCs w:val="20"/>
        </w:rPr>
        <w:t xml:space="preserve"> </w:t>
      </w:r>
      <m:oMath>
        <m:sSub>
          <m:sSubPr>
            <m:ctrlPr>
              <w:rPr>
                <w:rFonts w:ascii="Cambria Math" w:hAnsi="Cambria Math" w:cs="Arial"/>
                <w:sz w:val="20"/>
                <w:szCs w:val="20"/>
              </w:rPr>
            </m:ctrlPr>
          </m:sSubPr>
          <m:e>
            <m:r>
              <m:rPr>
                <m:sty m:val="p"/>
              </m:rPr>
              <w:rPr>
                <w:rFonts w:ascii="Cambria Math" w:hAnsi="Cambria Math" w:cs="Arial"/>
                <w:sz w:val="20"/>
                <w:szCs w:val="20"/>
              </w:rPr>
              <m:t>X</m:t>
            </m:r>
          </m:e>
          <m:sub>
            <m:r>
              <m:rPr>
                <m:sty m:val="p"/>
              </m:rPr>
              <w:rPr>
                <w:rFonts w:ascii="Cambria Math" w:hAnsi="Cambria Math" w:cs="Arial"/>
                <w:sz w:val="20"/>
                <w:szCs w:val="20"/>
              </w:rPr>
              <m:t>t</m:t>
            </m:r>
          </m:sub>
        </m:sSub>
      </m:oMath>
      <w:r w:rsidRPr="00CD0964">
        <w:rPr>
          <w:rFonts w:ascii="Arial" w:hAnsi="Arial" w:cs="Arial"/>
          <w:sz w:val="20"/>
          <w:szCs w:val="20"/>
        </w:rPr>
        <w:t xml:space="preserve">’ye neden oluyor ise, o halde </w:t>
      </w:r>
      <m:oMath>
        <m:sSub>
          <m:sSubPr>
            <m:ctrlPr>
              <w:rPr>
                <w:rFonts w:ascii="Cambria Math" w:hAnsi="Cambria Math" w:cs="Arial"/>
                <w:sz w:val="20"/>
                <w:szCs w:val="20"/>
              </w:rPr>
            </m:ctrlPr>
          </m:sSubPr>
          <m:e>
            <m:r>
              <m:rPr>
                <m:sty m:val="p"/>
              </m:rPr>
              <w:rPr>
                <w:rFonts w:ascii="Cambria Math" w:hAnsi="Cambria Math" w:cs="Arial"/>
                <w:sz w:val="20"/>
                <w:szCs w:val="20"/>
              </w:rPr>
              <m:t>X</m:t>
            </m:r>
          </m:e>
          <m:sub>
            <m:r>
              <m:rPr>
                <m:sty m:val="p"/>
              </m:rPr>
              <w:rPr>
                <w:rFonts w:ascii="Cambria Math" w:hAnsi="Cambria Math" w:cs="Arial"/>
                <w:sz w:val="20"/>
                <w:szCs w:val="20"/>
              </w:rPr>
              <m:t>t+1</m:t>
            </m:r>
          </m:sub>
        </m:sSub>
      </m:oMath>
      <w:r w:rsidRPr="00CD0964">
        <w:rPr>
          <w:rFonts w:ascii="Arial" w:hAnsi="Arial" w:cs="Arial"/>
          <w:sz w:val="20"/>
          <w:szCs w:val="20"/>
        </w:rPr>
        <w:t xml:space="preserve"> </w:t>
      </w:r>
      <m:oMath>
        <m:sSub>
          <m:sSubPr>
            <m:ctrlPr>
              <w:rPr>
                <w:rFonts w:ascii="Cambria Math" w:hAnsi="Cambria Math" w:cs="Arial"/>
                <w:sz w:val="20"/>
                <w:szCs w:val="20"/>
              </w:rPr>
            </m:ctrlPr>
          </m:sSubPr>
          <m:e>
            <m:r>
              <m:rPr>
                <m:sty m:val="p"/>
              </m:rPr>
              <w:rPr>
                <w:rFonts w:ascii="Cambria Math" w:hAnsi="Cambria Math" w:cs="Arial"/>
                <w:sz w:val="20"/>
                <w:szCs w:val="20"/>
              </w:rPr>
              <m:t>Y</m:t>
            </m:r>
          </m:e>
          <m:sub>
            <m:r>
              <m:rPr>
                <m:sty m:val="p"/>
              </m:rPr>
              <w:rPr>
                <w:rFonts w:ascii="Cambria Math" w:hAnsi="Cambria Math" w:cs="Arial"/>
                <w:sz w:val="20"/>
                <w:szCs w:val="20"/>
              </w:rPr>
              <m:t>t-j</m:t>
            </m:r>
          </m:sub>
        </m:sSub>
      </m:oMath>
      <w:r w:rsidRPr="00CD0964">
        <w:rPr>
          <w:rFonts w:ascii="Arial" w:hAnsi="Arial" w:cs="Arial"/>
          <w:sz w:val="20"/>
          <w:szCs w:val="20"/>
        </w:rPr>
        <w:t xml:space="preserve"> kullanildiginda daha iyi tahmin edilebilir. Buradaki gibi zaman serilerinin durağan olduğu durumda Granger nedenselliğini test etmek için aşağıdaki Vektör otoregresyon (VAR) modelini kullanıyoruz.</w:t>
      </w:r>
    </w:p>
    <w:p w:rsidR="00691702" w:rsidRPr="00CD0964" w:rsidRDefault="00E6308E" w:rsidP="00932545">
      <w:pPr>
        <w:spacing w:line="276" w:lineRule="auto"/>
        <w:ind w:firstLine="340"/>
        <w:jc w:val="right"/>
        <w:rPr>
          <w:rFonts w:ascii="Arial" w:hAnsi="Arial" w:cs="Arial"/>
          <w:sz w:val="20"/>
          <w:szCs w:val="20"/>
        </w:rPr>
      </w:pPr>
      <m:oMath>
        <m:sSub>
          <m:sSubPr>
            <m:ctrlPr>
              <w:rPr>
                <w:rFonts w:ascii="Cambria Math" w:hAnsi="Cambria Math" w:cs="Arial"/>
                <w:sz w:val="20"/>
                <w:szCs w:val="20"/>
              </w:rPr>
            </m:ctrlPr>
          </m:sSubPr>
          <m:e>
            <m:r>
              <m:rPr>
                <m:sty m:val="p"/>
              </m:rPr>
              <w:rPr>
                <w:rFonts w:ascii="Cambria Math" w:hAnsi="Cambria Math" w:cs="Arial"/>
                <w:sz w:val="20"/>
                <w:szCs w:val="20"/>
              </w:rPr>
              <m:t>z</m:t>
            </m:r>
          </m:e>
          <m:sub>
            <m:r>
              <m:rPr>
                <m:sty m:val="p"/>
              </m:rPr>
              <w:rPr>
                <w:rFonts w:ascii="Cambria Math" w:hAnsi="Cambria Math" w:cs="Arial"/>
                <w:sz w:val="20"/>
                <w:szCs w:val="20"/>
              </w:rPr>
              <m:t>t</m:t>
            </m:r>
          </m:sub>
        </m:sSub>
        <m:r>
          <m:rPr>
            <m:sty m:val="p"/>
          </m:rPr>
          <w:rPr>
            <w:rFonts w:ascii="Cambria Math" w:hAnsi="Cambria Math" w:cs="Arial"/>
            <w:sz w:val="20"/>
            <w:szCs w:val="20"/>
          </w:rPr>
          <m:t>=</m:t>
        </m:r>
        <m:sSub>
          <m:sSubPr>
            <m:ctrlPr>
              <w:rPr>
                <w:rFonts w:ascii="Cambria Math" w:hAnsi="Cambria Math" w:cs="Arial"/>
                <w:sz w:val="20"/>
                <w:szCs w:val="20"/>
              </w:rPr>
            </m:ctrlPr>
          </m:sSubPr>
          <m:e>
            <m:r>
              <m:rPr>
                <m:sty m:val="p"/>
              </m:rPr>
              <w:rPr>
                <w:rFonts w:ascii="Cambria Math" w:hAnsi="Cambria Math" w:cs="Arial"/>
                <w:sz w:val="20"/>
                <w:szCs w:val="20"/>
              </w:rPr>
              <m:t>Φ</m:t>
            </m:r>
          </m:e>
          <m:sub>
            <m:r>
              <m:rPr>
                <m:sty m:val="p"/>
              </m:rPr>
              <w:rPr>
                <w:rFonts w:ascii="Cambria Math" w:hAnsi="Cambria Math" w:cs="Arial"/>
                <w:sz w:val="20"/>
                <w:szCs w:val="20"/>
              </w:rPr>
              <m:t>0</m:t>
            </m:r>
          </m:sub>
        </m:sSub>
        <m:r>
          <m:rPr>
            <m:sty m:val="p"/>
          </m:rPr>
          <w:rPr>
            <w:rFonts w:ascii="Cambria Math" w:hAnsi="Cambria Math" w:cs="Arial"/>
            <w:sz w:val="20"/>
            <w:szCs w:val="20"/>
          </w:rPr>
          <m:t>+</m:t>
        </m:r>
        <m:sSub>
          <m:sSubPr>
            <m:ctrlPr>
              <w:rPr>
                <w:rFonts w:ascii="Cambria Math" w:hAnsi="Cambria Math" w:cs="Arial"/>
                <w:sz w:val="20"/>
                <w:szCs w:val="20"/>
              </w:rPr>
            </m:ctrlPr>
          </m:sSubPr>
          <m:e>
            <m:r>
              <m:rPr>
                <m:sty m:val="p"/>
              </m:rPr>
              <w:rPr>
                <w:rFonts w:ascii="Cambria Math" w:hAnsi="Cambria Math" w:cs="Arial"/>
                <w:sz w:val="20"/>
                <w:szCs w:val="20"/>
              </w:rPr>
              <m:t>Φ</m:t>
            </m:r>
          </m:e>
          <m:sub>
            <m:r>
              <m:rPr>
                <m:sty m:val="p"/>
              </m:rPr>
              <w:rPr>
                <w:rFonts w:ascii="Cambria Math" w:hAnsi="Cambria Math" w:cs="Arial"/>
                <w:sz w:val="20"/>
                <w:szCs w:val="20"/>
              </w:rPr>
              <m:t>1</m:t>
            </m:r>
          </m:sub>
        </m:sSub>
        <m:sSub>
          <m:sSubPr>
            <m:ctrlPr>
              <w:rPr>
                <w:rFonts w:ascii="Cambria Math" w:hAnsi="Cambria Math" w:cs="Arial"/>
                <w:sz w:val="20"/>
                <w:szCs w:val="20"/>
              </w:rPr>
            </m:ctrlPr>
          </m:sSubPr>
          <m:e>
            <m:r>
              <m:rPr>
                <m:sty m:val="p"/>
              </m:rPr>
              <w:rPr>
                <w:rFonts w:ascii="Cambria Math" w:hAnsi="Cambria Math" w:cs="Arial"/>
                <w:sz w:val="20"/>
                <w:szCs w:val="20"/>
              </w:rPr>
              <m:t>z</m:t>
            </m:r>
          </m:e>
          <m:sub>
            <m:r>
              <m:rPr>
                <m:sty m:val="p"/>
              </m:rPr>
              <w:rPr>
                <w:rFonts w:ascii="Cambria Math" w:hAnsi="Cambria Math" w:cs="Arial"/>
                <w:sz w:val="20"/>
                <w:szCs w:val="20"/>
              </w:rPr>
              <m:t>t-1</m:t>
            </m:r>
          </m:sub>
        </m:sSub>
        <m:r>
          <m:rPr>
            <m:sty m:val="p"/>
          </m:rPr>
          <w:rPr>
            <w:rFonts w:ascii="Cambria Math" w:hAnsi="Cambria Math" w:cs="Arial"/>
            <w:sz w:val="20"/>
            <w:szCs w:val="20"/>
          </w:rPr>
          <m:t>+</m:t>
        </m:r>
        <m:sSub>
          <m:sSubPr>
            <m:ctrlPr>
              <w:rPr>
                <w:rFonts w:ascii="Cambria Math" w:hAnsi="Cambria Math" w:cs="Arial"/>
                <w:sz w:val="20"/>
                <w:szCs w:val="20"/>
              </w:rPr>
            </m:ctrlPr>
          </m:sSubPr>
          <m:e>
            <m:r>
              <m:rPr>
                <m:sty m:val="p"/>
              </m:rPr>
              <w:rPr>
                <w:rFonts w:ascii="Cambria Math" w:hAnsi="Cambria Math" w:cs="Arial"/>
                <w:sz w:val="20"/>
                <w:szCs w:val="20"/>
              </w:rPr>
              <m:t>Φ</m:t>
            </m:r>
          </m:e>
          <m:sub>
            <m:r>
              <m:rPr>
                <m:sty m:val="p"/>
              </m:rPr>
              <w:rPr>
                <w:rFonts w:ascii="Cambria Math" w:hAnsi="Cambria Math" w:cs="Arial"/>
                <w:sz w:val="20"/>
                <w:szCs w:val="20"/>
              </w:rPr>
              <m:t>2</m:t>
            </m:r>
          </m:sub>
        </m:sSub>
        <m:sSub>
          <m:sSubPr>
            <m:ctrlPr>
              <w:rPr>
                <w:rFonts w:ascii="Cambria Math" w:hAnsi="Cambria Math" w:cs="Arial"/>
                <w:sz w:val="20"/>
                <w:szCs w:val="20"/>
              </w:rPr>
            </m:ctrlPr>
          </m:sSubPr>
          <m:e>
            <m:r>
              <m:rPr>
                <m:sty m:val="p"/>
              </m:rPr>
              <w:rPr>
                <w:rFonts w:ascii="Cambria Math" w:hAnsi="Cambria Math" w:cs="Arial"/>
                <w:sz w:val="20"/>
                <w:szCs w:val="20"/>
              </w:rPr>
              <m:t>z</m:t>
            </m:r>
          </m:e>
          <m:sub>
            <m:r>
              <m:rPr>
                <m:sty m:val="p"/>
              </m:rPr>
              <w:rPr>
                <w:rFonts w:ascii="Cambria Math" w:hAnsi="Cambria Math" w:cs="Arial"/>
                <w:sz w:val="20"/>
                <w:szCs w:val="20"/>
              </w:rPr>
              <m:t>t-2</m:t>
            </m:r>
          </m:sub>
        </m:sSub>
        <m:r>
          <m:rPr>
            <m:sty m:val="p"/>
          </m:rPr>
          <w:rPr>
            <w:rFonts w:ascii="Cambria Math" w:hAnsi="Cambria Math" w:cs="Arial"/>
            <w:sz w:val="20"/>
            <w:szCs w:val="20"/>
          </w:rPr>
          <m:t>+…+</m:t>
        </m:r>
        <m:sSub>
          <m:sSubPr>
            <m:ctrlPr>
              <w:rPr>
                <w:rFonts w:ascii="Cambria Math" w:hAnsi="Cambria Math" w:cs="Arial"/>
                <w:sz w:val="20"/>
                <w:szCs w:val="20"/>
              </w:rPr>
            </m:ctrlPr>
          </m:sSubPr>
          <m:e>
            <m:r>
              <m:rPr>
                <m:sty m:val="p"/>
              </m:rPr>
              <w:rPr>
                <w:rFonts w:ascii="Cambria Math" w:hAnsi="Cambria Math" w:cs="Arial"/>
                <w:sz w:val="20"/>
                <w:szCs w:val="20"/>
              </w:rPr>
              <m:t>Φ</m:t>
            </m:r>
          </m:e>
          <m:sub>
            <m:r>
              <m:rPr>
                <m:sty m:val="p"/>
              </m:rPr>
              <w:rPr>
                <w:rFonts w:ascii="Cambria Math" w:hAnsi="Cambria Math" w:cs="Arial"/>
                <w:sz w:val="20"/>
                <w:szCs w:val="20"/>
              </w:rPr>
              <m:t>p</m:t>
            </m:r>
          </m:sub>
        </m:sSub>
        <m:sSub>
          <m:sSubPr>
            <m:ctrlPr>
              <w:rPr>
                <w:rFonts w:ascii="Cambria Math" w:hAnsi="Cambria Math" w:cs="Arial"/>
                <w:sz w:val="20"/>
                <w:szCs w:val="20"/>
              </w:rPr>
            </m:ctrlPr>
          </m:sSubPr>
          <m:e>
            <m:r>
              <m:rPr>
                <m:sty m:val="p"/>
              </m:rPr>
              <w:rPr>
                <w:rFonts w:ascii="Cambria Math" w:hAnsi="Cambria Math" w:cs="Arial"/>
                <w:sz w:val="20"/>
                <w:szCs w:val="20"/>
              </w:rPr>
              <m:t>z</m:t>
            </m:r>
          </m:e>
          <m:sub>
            <m:r>
              <m:rPr>
                <m:sty m:val="p"/>
              </m:rPr>
              <w:rPr>
                <w:rFonts w:ascii="Cambria Math" w:hAnsi="Cambria Math" w:cs="Arial"/>
                <w:sz w:val="20"/>
                <w:szCs w:val="20"/>
              </w:rPr>
              <m:t>t-p</m:t>
            </m:r>
          </m:sub>
        </m:sSub>
        <m:r>
          <m:rPr>
            <m:sty m:val="p"/>
          </m:rPr>
          <w:rPr>
            <w:rFonts w:ascii="Cambria Math" w:hAnsi="Cambria Math" w:cs="Arial"/>
            <w:sz w:val="20"/>
            <w:szCs w:val="20"/>
          </w:rPr>
          <m:t>+</m:t>
        </m:r>
        <m:sSub>
          <m:sSubPr>
            <m:ctrlPr>
              <w:rPr>
                <w:rFonts w:ascii="Cambria Math" w:hAnsi="Cambria Math" w:cs="Arial"/>
                <w:sz w:val="20"/>
                <w:szCs w:val="20"/>
              </w:rPr>
            </m:ctrlPr>
          </m:sSubPr>
          <m:e>
            <m:r>
              <m:rPr>
                <m:sty m:val="p"/>
              </m:rPr>
              <w:rPr>
                <w:rFonts w:ascii="Cambria Math" w:hAnsi="Cambria Math" w:cs="Arial"/>
                <w:sz w:val="20"/>
                <w:szCs w:val="20"/>
              </w:rPr>
              <m:t>ε</m:t>
            </m:r>
          </m:e>
          <m:sub>
            <m:r>
              <m:rPr>
                <m:sty m:val="p"/>
              </m:rPr>
              <w:rPr>
                <w:rFonts w:ascii="Cambria Math" w:hAnsi="Cambria Math" w:cs="Arial"/>
                <w:sz w:val="20"/>
                <w:szCs w:val="20"/>
              </w:rPr>
              <m:t>t</m:t>
            </m:r>
          </m:sub>
        </m:sSub>
      </m:oMath>
      <w:r w:rsidR="00691702" w:rsidRPr="00CD0964">
        <w:rPr>
          <w:rFonts w:ascii="Arial" w:hAnsi="Arial" w:cs="Arial"/>
          <w:sz w:val="20"/>
          <w:szCs w:val="20"/>
        </w:rPr>
        <w:tab/>
      </w:r>
      <w:r w:rsidR="00691702" w:rsidRPr="00CD0964">
        <w:rPr>
          <w:rFonts w:ascii="Arial" w:hAnsi="Arial" w:cs="Arial"/>
          <w:sz w:val="20"/>
          <w:szCs w:val="20"/>
        </w:rPr>
        <w:tab/>
        <w:t xml:space="preserve">               (1)</w:t>
      </w:r>
    </w:p>
    <w:p w:rsidR="0031133C" w:rsidRDefault="00691702" w:rsidP="00932545">
      <w:pPr>
        <w:spacing w:line="276" w:lineRule="auto"/>
        <w:ind w:firstLine="340"/>
        <w:jc w:val="both"/>
        <w:rPr>
          <w:rFonts w:ascii="Arial" w:hAnsi="Arial" w:cs="Arial"/>
          <w:sz w:val="20"/>
          <w:szCs w:val="20"/>
        </w:rPr>
      </w:pPr>
      <w:r w:rsidRPr="00CD0964">
        <w:rPr>
          <w:rFonts w:ascii="Arial" w:hAnsi="Arial" w:cs="Arial"/>
          <w:sz w:val="20"/>
          <w:szCs w:val="20"/>
        </w:rPr>
        <w:t xml:space="preserve">Burada </w:t>
      </w:r>
      <m:oMath>
        <m:sSub>
          <m:sSubPr>
            <m:ctrlPr>
              <w:rPr>
                <w:rFonts w:ascii="Cambria Math" w:hAnsi="Cambria Math" w:cs="Arial"/>
                <w:sz w:val="20"/>
                <w:szCs w:val="20"/>
              </w:rPr>
            </m:ctrlPr>
          </m:sSubPr>
          <m:e>
            <m:r>
              <m:rPr>
                <m:sty m:val="p"/>
              </m:rPr>
              <w:rPr>
                <w:rFonts w:ascii="Cambria Math" w:hAnsi="Cambria Math" w:cs="Arial"/>
                <w:sz w:val="20"/>
                <w:szCs w:val="20"/>
              </w:rPr>
              <m:t>z</m:t>
            </m:r>
          </m:e>
          <m:sub>
            <m:r>
              <m:rPr>
                <m:sty m:val="p"/>
              </m:rPr>
              <w:rPr>
                <w:rFonts w:ascii="Cambria Math" w:hAnsi="Cambria Math" w:cs="Arial"/>
                <w:sz w:val="20"/>
                <w:szCs w:val="20"/>
              </w:rPr>
              <m:t>t</m:t>
            </m:r>
          </m:sub>
        </m:sSub>
        <m:r>
          <m:rPr>
            <m:sty m:val="p"/>
          </m:rPr>
          <w:rPr>
            <w:rFonts w:ascii="Cambria Math" w:hAnsi="Cambria Math" w:cs="Arial"/>
            <w:sz w:val="20"/>
            <w:szCs w:val="20"/>
          </w:rPr>
          <m:t>=(</m:t>
        </m:r>
        <m:sSub>
          <m:sSubPr>
            <m:ctrlPr>
              <w:rPr>
                <w:rFonts w:ascii="Cambria Math" w:hAnsi="Cambria Math" w:cs="Arial"/>
                <w:sz w:val="20"/>
                <w:szCs w:val="20"/>
              </w:rPr>
            </m:ctrlPr>
          </m:sSubPr>
          <m:e>
            <m:r>
              <m:rPr>
                <m:sty m:val="p"/>
              </m:rPr>
              <w:rPr>
                <w:rFonts w:ascii="Cambria Math" w:hAnsi="Cambria Math" w:cs="Arial"/>
                <w:sz w:val="20"/>
                <w:szCs w:val="20"/>
              </w:rPr>
              <m:t>X</m:t>
            </m:r>
          </m:e>
          <m:sub>
            <m:r>
              <m:rPr>
                <m:sty m:val="p"/>
              </m:rPr>
              <w:rPr>
                <w:rFonts w:ascii="Cambria Math" w:hAnsi="Cambria Math" w:cs="Arial"/>
                <w:sz w:val="20"/>
                <w:szCs w:val="20"/>
              </w:rPr>
              <m:t>t</m:t>
            </m:r>
          </m:sub>
        </m:sSub>
        <m:r>
          <m:rPr>
            <m:sty m:val="p"/>
          </m:rPr>
          <w:rPr>
            <w:rFonts w:ascii="Cambria Math" w:hAnsi="Cambria Math" w:cs="Arial"/>
            <w:sz w:val="20"/>
            <w:szCs w:val="20"/>
          </w:rPr>
          <m:t xml:space="preserve">,  </m:t>
        </m:r>
        <m:sSub>
          <m:sSubPr>
            <m:ctrlPr>
              <w:rPr>
                <w:rFonts w:ascii="Cambria Math" w:hAnsi="Cambria Math" w:cs="Arial"/>
                <w:sz w:val="20"/>
                <w:szCs w:val="20"/>
              </w:rPr>
            </m:ctrlPr>
          </m:sSubPr>
          <m:e>
            <m:r>
              <m:rPr>
                <m:sty m:val="p"/>
              </m:rPr>
              <w:rPr>
                <w:rFonts w:ascii="Cambria Math" w:hAnsi="Cambria Math" w:cs="Arial"/>
                <w:sz w:val="20"/>
                <w:szCs w:val="20"/>
              </w:rPr>
              <m:t>Y</m:t>
            </m:r>
          </m:e>
          <m:sub>
            <m:r>
              <m:rPr>
                <m:sty m:val="p"/>
              </m:rPr>
              <w:rPr>
                <w:rFonts w:ascii="Cambria Math" w:hAnsi="Cambria Math" w:cs="Arial"/>
                <w:sz w:val="20"/>
                <w:szCs w:val="20"/>
              </w:rPr>
              <m:t>t</m:t>
            </m:r>
          </m:sub>
        </m:sSub>
        <m:r>
          <m:rPr>
            <m:sty m:val="p"/>
          </m:rPr>
          <w:rPr>
            <w:rFonts w:ascii="Cambria Math" w:hAnsi="Cambria Math" w:cs="Arial"/>
            <w:sz w:val="20"/>
            <w:szCs w:val="20"/>
          </w:rPr>
          <m:t>)'</m:t>
        </m:r>
      </m:oMath>
      <w:r w:rsidRPr="00CD0964">
        <w:rPr>
          <w:rFonts w:ascii="Arial" w:hAnsi="Arial" w:cs="Arial"/>
          <w:sz w:val="20"/>
          <w:szCs w:val="20"/>
        </w:rPr>
        <w:t xml:space="preserve"> iki rakip takımın performanslarından müteşekkil bağımlı değişkenler vektörü;</w:t>
      </w:r>
    </w:p>
    <w:p w:rsidR="00691702" w:rsidRPr="00CD0964" w:rsidRDefault="00691702" w:rsidP="0031133C">
      <w:pPr>
        <w:spacing w:line="276" w:lineRule="auto"/>
        <w:jc w:val="both"/>
        <w:rPr>
          <w:rFonts w:ascii="Arial" w:hAnsi="Arial" w:cs="Arial"/>
          <w:color w:val="FF0000"/>
          <w:sz w:val="20"/>
          <w:szCs w:val="20"/>
        </w:rPr>
      </w:pPr>
      <w:r w:rsidRPr="00CD0964">
        <w:rPr>
          <w:rFonts w:ascii="Arial" w:hAnsi="Arial" w:cs="Arial"/>
          <w:sz w:val="20"/>
          <w:szCs w:val="20"/>
        </w:rPr>
        <w:t xml:space="preserve"> </w:t>
      </w:r>
      <m:oMath>
        <m:sSub>
          <m:sSubPr>
            <m:ctrlPr>
              <w:rPr>
                <w:rFonts w:ascii="Cambria Math" w:hAnsi="Cambria Math" w:cs="Arial"/>
                <w:sz w:val="20"/>
                <w:szCs w:val="20"/>
              </w:rPr>
            </m:ctrlPr>
          </m:sSubPr>
          <m:e>
            <m:r>
              <m:rPr>
                <m:sty m:val="p"/>
              </m:rPr>
              <w:rPr>
                <w:rFonts w:ascii="Cambria Math" w:hAnsi="Cambria Math" w:cs="Arial"/>
                <w:sz w:val="20"/>
                <w:szCs w:val="20"/>
              </w:rPr>
              <m:t>ε</m:t>
            </m:r>
          </m:e>
          <m:sub>
            <m:r>
              <m:rPr>
                <m:sty m:val="p"/>
              </m:rPr>
              <w:rPr>
                <w:rFonts w:ascii="Cambria Math" w:hAnsi="Cambria Math" w:cs="Arial"/>
                <w:sz w:val="20"/>
                <w:szCs w:val="20"/>
              </w:rPr>
              <m:t>t</m:t>
            </m:r>
          </m:sub>
        </m:sSub>
      </m:oMath>
      <w:r w:rsidRPr="00CD0964">
        <w:rPr>
          <w:rFonts w:ascii="Arial" w:hAnsi="Arial" w:cs="Arial"/>
          <w:sz w:val="20"/>
          <w:szCs w:val="20"/>
        </w:rPr>
        <w:t xml:space="preserve"> (2 x 1) beyaz gürültü vektörü</w:t>
      </w:r>
      <m:oMath>
        <m:r>
          <m:rPr>
            <m:sty m:val="p"/>
          </m:rPr>
          <w:rPr>
            <w:rFonts w:ascii="Cambria Math" w:hAnsi="Cambria Math" w:cs="Arial"/>
            <w:sz w:val="20"/>
            <w:szCs w:val="20"/>
          </w:rPr>
          <m:t xml:space="preserve">; </m:t>
        </m:r>
        <m:sSub>
          <m:sSubPr>
            <m:ctrlPr>
              <w:rPr>
                <w:rFonts w:ascii="Cambria Math" w:hAnsi="Cambria Math" w:cs="Arial"/>
                <w:sz w:val="20"/>
                <w:szCs w:val="20"/>
              </w:rPr>
            </m:ctrlPr>
          </m:sSubPr>
          <m:e>
            <m:r>
              <m:rPr>
                <m:sty m:val="p"/>
              </m:rPr>
              <w:rPr>
                <w:rFonts w:ascii="Cambria Math" w:hAnsi="Cambria Math" w:cs="Arial"/>
                <w:sz w:val="20"/>
                <w:szCs w:val="20"/>
              </w:rPr>
              <m:t>Φ</m:t>
            </m:r>
          </m:e>
          <m:sub>
            <m:r>
              <m:rPr>
                <m:sty m:val="p"/>
              </m:rPr>
              <w:rPr>
                <w:rFonts w:ascii="Cambria Math" w:hAnsi="Cambria Math" w:cs="Arial"/>
                <w:sz w:val="20"/>
                <w:szCs w:val="20"/>
              </w:rPr>
              <m:t>0</m:t>
            </m:r>
          </m:sub>
        </m:sSub>
      </m:oMath>
      <w:r w:rsidRPr="00CD0964">
        <w:rPr>
          <w:rFonts w:ascii="Arial" w:hAnsi="Arial" w:cs="Arial"/>
          <w:sz w:val="20"/>
          <w:szCs w:val="20"/>
        </w:rPr>
        <w:t xml:space="preserve"> (2 x 1) sabitler vektörü; </w:t>
      </w:r>
      <m:oMath>
        <m:sSub>
          <m:sSubPr>
            <m:ctrlPr>
              <w:rPr>
                <w:rFonts w:ascii="Cambria Math" w:hAnsi="Cambria Math" w:cs="Arial"/>
                <w:sz w:val="20"/>
                <w:szCs w:val="20"/>
              </w:rPr>
            </m:ctrlPr>
          </m:sSubPr>
          <m:e>
            <m:r>
              <m:rPr>
                <m:sty m:val="p"/>
              </m:rPr>
              <w:rPr>
                <w:rFonts w:ascii="Cambria Math" w:hAnsi="Cambria Math" w:cs="Arial"/>
                <w:sz w:val="20"/>
                <w:szCs w:val="20"/>
              </w:rPr>
              <m:t>Φ</m:t>
            </m:r>
          </m:e>
          <m:sub>
            <m:r>
              <m:rPr>
                <m:sty m:val="p"/>
              </m:rPr>
              <w:rPr>
                <w:rFonts w:ascii="Cambria Math" w:hAnsi="Cambria Math" w:cs="Arial"/>
                <w:sz w:val="20"/>
                <w:szCs w:val="20"/>
              </w:rPr>
              <m:t>i</m:t>
            </m:r>
          </m:sub>
        </m:sSub>
      </m:oMath>
      <w:r w:rsidRPr="00CD0964">
        <w:rPr>
          <w:rFonts w:ascii="Arial" w:hAnsi="Arial" w:cs="Arial"/>
          <w:sz w:val="20"/>
          <w:szCs w:val="20"/>
        </w:rPr>
        <w:t xml:space="preserve"> andojen (içsel) değişkenlerin gecikmeli değerlerinin parametrelerinden oluşan (2 x 2) matrislerdir. Optimal gecikme değerleri Akaike ölçütü (Akaike information criterion-AIC; Akaike, 1974) ile belirlenmiştir. Wald istatistiği kullanılarak, eğer </w:t>
      </w:r>
      <m:oMath>
        <m:sSub>
          <m:sSubPr>
            <m:ctrlPr>
              <w:rPr>
                <w:rFonts w:ascii="Cambria Math" w:hAnsi="Cambria Math" w:cs="Arial"/>
                <w:sz w:val="20"/>
                <w:szCs w:val="20"/>
              </w:rPr>
            </m:ctrlPr>
          </m:sSubPr>
          <m:e>
            <m:r>
              <m:rPr>
                <m:sty m:val="p"/>
              </m:rPr>
              <w:rPr>
                <w:rFonts w:ascii="Cambria Math" w:hAnsi="Cambria Math" w:cs="Arial"/>
                <w:sz w:val="20"/>
                <w:szCs w:val="20"/>
              </w:rPr>
              <m:t>Φ</m:t>
            </m:r>
          </m:e>
          <m:sub>
            <m:r>
              <m:rPr>
                <m:sty m:val="p"/>
              </m:rPr>
              <w:rPr>
                <w:rFonts w:ascii="Cambria Math" w:hAnsi="Cambria Math" w:cs="Arial"/>
                <w:sz w:val="20"/>
                <w:szCs w:val="20"/>
              </w:rPr>
              <m:t>i</m:t>
            </m:r>
          </m:sub>
        </m:sSub>
      </m:oMath>
      <w:r w:rsidRPr="00CD0964">
        <w:rPr>
          <w:rFonts w:ascii="Arial" w:hAnsi="Arial" w:cs="Arial"/>
          <w:sz w:val="20"/>
          <w:szCs w:val="20"/>
        </w:rPr>
        <w:t xml:space="preserve"> içerisindeki bazı parametreler istatistiki olarak anlamlı bulunursa, değişkenler arasında nedenselliğin olduğu sonucu ortaya çıkacaktır. Nedenselliğin olduğu durumda ise performanstan doğan bir rekabetin varlığından söz edilebilecektir. </w:t>
      </w:r>
    </w:p>
    <w:p w:rsidR="00691702" w:rsidRPr="00CD0964" w:rsidRDefault="00691702" w:rsidP="00932545">
      <w:pPr>
        <w:spacing w:line="276" w:lineRule="auto"/>
        <w:ind w:firstLine="340"/>
        <w:jc w:val="both"/>
        <w:rPr>
          <w:rFonts w:ascii="Arial" w:hAnsi="Arial" w:cs="Arial"/>
          <w:sz w:val="20"/>
          <w:szCs w:val="20"/>
        </w:rPr>
      </w:pPr>
      <w:r w:rsidRPr="00CD0964">
        <w:rPr>
          <w:rFonts w:ascii="Arial" w:hAnsi="Arial" w:cs="Arial"/>
          <w:sz w:val="20"/>
          <w:szCs w:val="20"/>
        </w:rPr>
        <w:t>Granger nedensellik analizlerinden sonra yukarıdaki modelde yer alan performans değişkenlerine bir standart sapmalık şok verildiğinde, bu değişkenlerin tepkisini ölçmek için etki-tepki (impulse-response) fonksiyonları kullanılabilir. Böylece belirli bir futbol kulübünün performansının sistemdeki performans şoklarına nasıl cevap vereceği konusunda bilgi edinebiliriz.</w:t>
      </w:r>
    </w:p>
    <w:p w:rsidR="008B76CD" w:rsidRDefault="008B76CD" w:rsidP="00932545">
      <w:pPr>
        <w:spacing w:line="276" w:lineRule="auto"/>
        <w:rPr>
          <w:rFonts w:ascii="Arial" w:hAnsi="Arial" w:cs="Arial"/>
          <w:sz w:val="20"/>
          <w:szCs w:val="20"/>
        </w:rPr>
      </w:pPr>
    </w:p>
    <w:p w:rsidR="0011721A" w:rsidRDefault="0011721A" w:rsidP="00932545">
      <w:pPr>
        <w:spacing w:line="276" w:lineRule="auto"/>
        <w:rPr>
          <w:rFonts w:ascii="Arial" w:hAnsi="Arial" w:cs="Arial"/>
          <w:sz w:val="20"/>
          <w:szCs w:val="20"/>
        </w:rPr>
      </w:pPr>
    </w:p>
    <w:p w:rsidR="0011721A" w:rsidRPr="00CD0964" w:rsidRDefault="0011721A" w:rsidP="0011721A">
      <w:pPr>
        <w:pStyle w:val="Heading2"/>
        <w:spacing w:line="360" w:lineRule="auto"/>
        <w:ind w:firstLine="340"/>
        <w:rPr>
          <w:rFonts w:cs="Arial"/>
          <w:i w:val="0"/>
          <w:color w:val="FF0000"/>
          <w:sz w:val="20"/>
          <w:szCs w:val="20"/>
          <w:lang w:val="tr-TR"/>
        </w:rPr>
      </w:pPr>
      <w:r w:rsidRPr="00CD0964">
        <w:rPr>
          <w:rFonts w:cs="Arial"/>
          <w:i w:val="0"/>
          <w:sz w:val="20"/>
          <w:szCs w:val="20"/>
          <w:lang w:val="tr-TR"/>
        </w:rPr>
        <w:t xml:space="preserve">Kaynaklar </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Akaike, H. 1974. “A new look at the statistical model identification”. Automatic Control, IEEE Transactions on 19, 716-723.</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Cikara, M., Botninick, M.M., Fiske, S.T. 2011. “Us versus them: Social identity shaped neural responses to intergroup competition and harm”. Psychological Science, 22, 306-313.</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Dickey, D.A., Fuller, W.A. 1979. “Distribution of the estimators for autoregressive time series with a unit root”. Journal of the American Statistical Society, 75, 427-431.</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Dmowski, S. 2013. “Geographical typology of European football rivalries”. Soccer &amp; Society, 14, 331-343.</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FIFA 2009. Classic Rivalries: Portugal's great divide. The Fédération Internationale de Football Association. http://www.fifa.com/news/y=2009/m=2/news=portugal-great-divide-1015039.html</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Granger C.W.J. 1988. “Some Recent Developments in a Concept of Causality”. Journal of Econometrics, 39, 199-211.</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Havard, C.T. 2014. “Glory Out of Reflected Failure: The examination of how rivalry affects sport fans”. Sport Management Review, 17, 243-253.</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Kytö, M. 2011. “‘We are the rebellious voice of the terraces, we are Çarşı’: constructing a football supporter group through sound”. Soccer &amp; Society, 12, 77-93.</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Phillips, P.C.B., Perron, P. 1988. “Testing for a unit root in time series regressions”. Biometrica, 75, 335-346.</w:t>
      </w:r>
    </w:p>
    <w:p w:rsidR="0011721A" w:rsidRPr="00CD0964" w:rsidRDefault="0011721A" w:rsidP="0011721A">
      <w:pPr>
        <w:pStyle w:val="ListParagraph"/>
        <w:numPr>
          <w:ilvl w:val="0"/>
          <w:numId w:val="11"/>
        </w:numPr>
        <w:jc w:val="both"/>
        <w:rPr>
          <w:rFonts w:ascii="Arial" w:hAnsi="Arial" w:cs="Arial"/>
          <w:sz w:val="20"/>
          <w:szCs w:val="20"/>
        </w:rPr>
      </w:pPr>
      <w:r w:rsidRPr="00CD0964">
        <w:rPr>
          <w:rFonts w:ascii="Arial" w:hAnsi="Arial" w:cs="Arial"/>
          <w:sz w:val="20"/>
          <w:szCs w:val="20"/>
        </w:rPr>
        <w:t>Triplett, N. 1898. “The dynamogenic factors in pacemaking and competition”. The American Journal of Psychology, 9, 507-533.</w:t>
      </w:r>
    </w:p>
    <w:p w:rsidR="0011721A" w:rsidRPr="0011721A" w:rsidRDefault="0011721A" w:rsidP="0011721A">
      <w:pPr>
        <w:pStyle w:val="ListParagraph"/>
        <w:numPr>
          <w:ilvl w:val="0"/>
          <w:numId w:val="11"/>
        </w:numPr>
        <w:spacing w:line="360" w:lineRule="auto"/>
        <w:jc w:val="both"/>
        <w:rPr>
          <w:rFonts w:ascii="Arial" w:hAnsi="Arial" w:cs="Arial"/>
          <w:color w:val="FF0000"/>
          <w:sz w:val="20"/>
          <w:szCs w:val="20"/>
        </w:rPr>
      </w:pPr>
      <w:r w:rsidRPr="0011721A">
        <w:rPr>
          <w:rFonts w:ascii="Arial" w:hAnsi="Arial" w:cs="Arial"/>
          <w:sz w:val="20"/>
          <w:szCs w:val="20"/>
        </w:rPr>
        <w:t xml:space="preserve">Wilson, R. 2012. Inside the Divide: One City, Two Teams - The Old Firm. Canongate Books Ltd. Edinburgh, GB. </w:t>
      </w:r>
    </w:p>
    <w:p w:rsidR="0011721A" w:rsidRPr="00CD0964" w:rsidRDefault="0011721A" w:rsidP="00932545">
      <w:pPr>
        <w:spacing w:line="276" w:lineRule="auto"/>
        <w:rPr>
          <w:rFonts w:ascii="Arial" w:hAnsi="Arial" w:cs="Arial"/>
          <w:sz w:val="20"/>
          <w:szCs w:val="20"/>
        </w:rPr>
      </w:pPr>
    </w:p>
    <w:sectPr w:rsidR="0011721A" w:rsidRPr="00CD0964" w:rsidSect="00492AE5">
      <w:footerReference w:type="default" r:id="rId11"/>
      <w:pgSz w:w="11905" w:h="16837"/>
      <w:pgMar w:top="1296" w:right="1296" w:bottom="1296" w:left="129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18" w:rsidRDefault="00692518" w:rsidP="00640379">
      <w:r>
        <w:separator/>
      </w:r>
    </w:p>
  </w:endnote>
  <w:endnote w:type="continuationSeparator" w:id="0">
    <w:p w:rsidR="00692518" w:rsidRDefault="00692518" w:rsidP="0064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01"/>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272647"/>
      <w:docPartObj>
        <w:docPartGallery w:val="Page Numbers (Bottom of Page)"/>
        <w:docPartUnique/>
      </w:docPartObj>
    </w:sdtPr>
    <w:sdtContent>
      <w:p w:rsidR="00E6308E" w:rsidRDefault="00E6308E">
        <w:pPr>
          <w:pStyle w:val="Footer"/>
          <w:jc w:val="right"/>
        </w:pPr>
        <w:r>
          <w:fldChar w:fldCharType="begin"/>
        </w:r>
        <w:r>
          <w:instrText>PAGE   \* MERGEFORMAT</w:instrText>
        </w:r>
        <w:r>
          <w:fldChar w:fldCharType="separate"/>
        </w:r>
        <w:r w:rsidR="008049DC" w:rsidRPr="008049DC">
          <w:rPr>
            <w:noProof/>
            <w:lang w:val="fr-FR"/>
          </w:rPr>
          <w:t>2</w:t>
        </w:r>
        <w:r>
          <w:rPr>
            <w:noProof/>
            <w:lang w:val="fr-FR"/>
          </w:rPr>
          <w:fldChar w:fldCharType="end"/>
        </w:r>
      </w:p>
    </w:sdtContent>
  </w:sdt>
  <w:p w:rsidR="00E6308E" w:rsidRDefault="00E630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18" w:rsidRDefault="00692518" w:rsidP="00640379">
      <w:r>
        <w:separator/>
      </w:r>
    </w:p>
  </w:footnote>
  <w:footnote w:type="continuationSeparator" w:id="0">
    <w:p w:rsidR="00692518" w:rsidRDefault="00692518" w:rsidP="00640379">
      <w:r>
        <w:continuationSeparator/>
      </w:r>
    </w:p>
  </w:footnote>
  <w:footnote w:id="1">
    <w:p w:rsidR="00E6308E" w:rsidRPr="0082469D" w:rsidRDefault="00E6308E" w:rsidP="00E4254A">
      <w:pPr>
        <w:pStyle w:val="FootnoteText"/>
        <w:jc w:val="both"/>
        <w:rPr>
          <w:rFonts w:ascii="Palatino Linotype" w:hAnsi="Palatino Linotype" w:cs="Arial"/>
          <w:sz w:val="18"/>
          <w:szCs w:val="18"/>
        </w:rPr>
      </w:pPr>
      <w:r w:rsidRPr="0082469D">
        <w:rPr>
          <w:rFonts w:ascii="Palatino Linotype" w:hAnsi="Palatino Linotype" w:cs="Arial"/>
          <w:sz w:val="18"/>
          <w:szCs w:val="18"/>
        </w:rPr>
        <w:t>* Betam’ın notu: Bu araştırma notu Betam’ın talebi üzerine Spor</w:t>
      </w:r>
      <w:r>
        <w:rPr>
          <w:rFonts w:ascii="Palatino Linotype" w:hAnsi="Palatino Linotype" w:cs="Arial"/>
          <w:sz w:val="18"/>
          <w:szCs w:val="18"/>
        </w:rPr>
        <w:t>t Management Review dergisinde "</w:t>
      </w:r>
      <w:r w:rsidRPr="0082469D">
        <w:rPr>
          <w:rFonts w:ascii="Palatino Linotype" w:hAnsi="Palatino Linotype" w:cs="Arial"/>
          <w:sz w:val="18"/>
          <w:szCs w:val="18"/>
        </w:rPr>
        <w:t>An empirical analysis of European football rivalries based on on-field performances</w:t>
      </w:r>
      <w:r>
        <w:rPr>
          <w:rFonts w:ascii="Palatino Linotype" w:hAnsi="Palatino Linotype" w:cs="Arial"/>
          <w:sz w:val="18"/>
          <w:szCs w:val="18"/>
        </w:rPr>
        <w:t>"</w:t>
      </w:r>
      <w:r w:rsidRPr="0082469D">
        <w:rPr>
          <w:rFonts w:ascii="Palatino Linotype" w:hAnsi="Palatino Linotype" w:cs="Arial"/>
          <w:sz w:val="18"/>
          <w:szCs w:val="18"/>
        </w:rPr>
        <w:t xml:space="preserve"> başlığıyla yayımlanan makalenin yazarı Fatih Karanfil tarafından basitleştirilerek kaleme alınan halidir. </w:t>
      </w:r>
    </w:p>
    <w:p w:rsidR="00E6308E" w:rsidRPr="003B6E15" w:rsidRDefault="00E6308E" w:rsidP="003B6E15">
      <w:pPr>
        <w:pStyle w:val="FootnoteText"/>
        <w:jc w:val="both"/>
      </w:pPr>
      <w:r>
        <w:t xml:space="preserve">** </w:t>
      </w:r>
      <w:r>
        <w:rPr>
          <w:rFonts w:ascii="Palatino Linotype" w:hAnsi="Palatino Linotype" w:cs="Arial"/>
          <w:sz w:val="18"/>
          <w:szCs w:val="18"/>
        </w:rPr>
        <w:t>Doç. Dr. Fatih Karanfil</w:t>
      </w:r>
      <w:r w:rsidRPr="00BB7057">
        <w:rPr>
          <w:rFonts w:ascii="Palatino Linotype" w:hAnsi="Palatino Linotype" w:cs="Arial"/>
          <w:sz w:val="18"/>
          <w:szCs w:val="18"/>
        </w:rPr>
        <w:t xml:space="preserve">, </w:t>
      </w:r>
      <w:r>
        <w:rPr>
          <w:rFonts w:ascii="Palatino Linotype" w:hAnsi="Palatino Linotype" w:cs="Arial"/>
          <w:b/>
          <w:sz w:val="18"/>
          <w:szCs w:val="18"/>
        </w:rPr>
        <w:t>Paris Nanterre Universitesi, EconomiX-CNRS</w:t>
      </w:r>
      <w:r w:rsidRPr="00BB7057">
        <w:rPr>
          <w:rFonts w:ascii="Palatino Linotype" w:hAnsi="Palatino Linotype" w:cs="Arial"/>
          <w:sz w:val="18"/>
          <w:szCs w:val="18"/>
        </w:rPr>
        <w:t>,</w:t>
      </w:r>
      <w:r>
        <w:t xml:space="preserve"> </w:t>
      </w:r>
      <w:hyperlink r:id="rId1" w:history="1">
        <w:r w:rsidRPr="00C33E9E">
          <w:rPr>
            <w:rStyle w:val="Hyperlink"/>
          </w:rPr>
          <w:t>fkaranfil@parisnanterre.fr</w:t>
        </w:r>
      </w:hyperlink>
      <w:r>
        <w:t xml:space="preserve">. </w:t>
      </w:r>
    </w:p>
  </w:footnote>
  <w:footnote w:id="2">
    <w:p w:rsidR="00E6308E" w:rsidRPr="00E96BCF" w:rsidRDefault="00E6308E">
      <w:pPr>
        <w:pStyle w:val="FootnoteText"/>
      </w:pPr>
      <w:r w:rsidRPr="00E96BCF">
        <w:rPr>
          <w:rStyle w:val="FootnoteReference"/>
        </w:rPr>
        <w:footnoteRef/>
      </w:r>
      <w:r w:rsidRPr="00E96BCF">
        <w:t xml:space="preserve"> Sadece istatistiksel olarak anlamlı olan etki-tepki fonksiyonları gösterilmiştir.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20744C"/>
    <w:multiLevelType w:val="hybridMultilevel"/>
    <w:tmpl w:val="92EC0794"/>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B4001C"/>
    <w:multiLevelType w:val="hybridMultilevel"/>
    <w:tmpl w:val="9CE2FB68"/>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1811AC"/>
    <w:multiLevelType w:val="hybridMultilevel"/>
    <w:tmpl w:val="444EFA1C"/>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6E1668"/>
    <w:multiLevelType w:val="hybridMultilevel"/>
    <w:tmpl w:val="85C8F232"/>
    <w:lvl w:ilvl="0" w:tplc="44083DE2">
      <w:numFmt w:val="bullet"/>
      <w:lvlText w:val="-"/>
      <w:lvlJc w:val="left"/>
      <w:pPr>
        <w:ind w:left="1065" w:hanging="360"/>
      </w:pPr>
      <w:rPr>
        <w:rFonts w:ascii="Arial" w:eastAsia="Times New Roman" w:hAnsi="Arial" w:cs="Arial" w:hint="default"/>
        <w:b w:val="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15:restartNumberingAfterBreak="0">
    <w:nsid w:val="3C0C5DBD"/>
    <w:multiLevelType w:val="hybridMultilevel"/>
    <w:tmpl w:val="F4FE394A"/>
    <w:lvl w:ilvl="0" w:tplc="198A2D4A">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15:restartNumberingAfterBreak="0">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6CB197A"/>
    <w:multiLevelType w:val="hybridMultilevel"/>
    <w:tmpl w:val="32846B00"/>
    <w:lvl w:ilvl="0" w:tplc="6F7E9CC8">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C0D70"/>
    <w:multiLevelType w:val="hybridMultilevel"/>
    <w:tmpl w:val="B8F08712"/>
    <w:lvl w:ilvl="0" w:tplc="C97AE5C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8"/>
  </w:num>
  <w:num w:numId="5">
    <w:abstractNumId w:val="11"/>
  </w:num>
  <w:num w:numId="6">
    <w:abstractNumId w:val="4"/>
  </w:num>
  <w:num w:numId="7">
    <w:abstractNumId w:val="3"/>
  </w:num>
  <w:num w:numId="8">
    <w:abstractNumId w:val="6"/>
  </w:num>
  <w:num w:numId="9">
    <w:abstractNumId w:val="10"/>
  </w:num>
  <w:num w:numId="10">
    <w:abstractNumId w:val="7"/>
  </w:num>
  <w:num w:numId="11">
    <w:abstractNumId w:val="9"/>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9"/>
    <w:rsid w:val="00006AF6"/>
    <w:rsid w:val="00007666"/>
    <w:rsid w:val="00007E63"/>
    <w:rsid w:val="00013729"/>
    <w:rsid w:val="000148D1"/>
    <w:rsid w:val="00014E33"/>
    <w:rsid w:val="00017E0F"/>
    <w:rsid w:val="00017EC6"/>
    <w:rsid w:val="00022C3C"/>
    <w:rsid w:val="00023AE1"/>
    <w:rsid w:val="00023EAD"/>
    <w:rsid w:val="00025E10"/>
    <w:rsid w:val="000277AE"/>
    <w:rsid w:val="00034BBD"/>
    <w:rsid w:val="0003728E"/>
    <w:rsid w:val="00043C2F"/>
    <w:rsid w:val="00047577"/>
    <w:rsid w:val="0005778E"/>
    <w:rsid w:val="00060509"/>
    <w:rsid w:val="000640B4"/>
    <w:rsid w:val="00065B87"/>
    <w:rsid w:val="00070EEB"/>
    <w:rsid w:val="000729FF"/>
    <w:rsid w:val="00073308"/>
    <w:rsid w:val="000738AA"/>
    <w:rsid w:val="00073989"/>
    <w:rsid w:val="00074139"/>
    <w:rsid w:val="00074311"/>
    <w:rsid w:val="00075CAC"/>
    <w:rsid w:val="00076DE2"/>
    <w:rsid w:val="00077634"/>
    <w:rsid w:val="00082852"/>
    <w:rsid w:val="00082DAD"/>
    <w:rsid w:val="00082EA8"/>
    <w:rsid w:val="00084B74"/>
    <w:rsid w:val="0008507E"/>
    <w:rsid w:val="00086577"/>
    <w:rsid w:val="00086D46"/>
    <w:rsid w:val="00087A79"/>
    <w:rsid w:val="00096B8E"/>
    <w:rsid w:val="000A201B"/>
    <w:rsid w:val="000A2836"/>
    <w:rsid w:val="000A3336"/>
    <w:rsid w:val="000A48F8"/>
    <w:rsid w:val="000A4A29"/>
    <w:rsid w:val="000A59DC"/>
    <w:rsid w:val="000A5E39"/>
    <w:rsid w:val="000A7078"/>
    <w:rsid w:val="000A71A8"/>
    <w:rsid w:val="000B0261"/>
    <w:rsid w:val="000B4E35"/>
    <w:rsid w:val="000C07FB"/>
    <w:rsid w:val="000C1380"/>
    <w:rsid w:val="000C2EE8"/>
    <w:rsid w:val="000C39DE"/>
    <w:rsid w:val="000C51BE"/>
    <w:rsid w:val="000D03D9"/>
    <w:rsid w:val="000D1186"/>
    <w:rsid w:val="000D7EB3"/>
    <w:rsid w:val="000E09BC"/>
    <w:rsid w:val="000E158E"/>
    <w:rsid w:val="000E185F"/>
    <w:rsid w:val="000E6298"/>
    <w:rsid w:val="000F3071"/>
    <w:rsid w:val="000F5450"/>
    <w:rsid w:val="00104145"/>
    <w:rsid w:val="00107FCA"/>
    <w:rsid w:val="001107FC"/>
    <w:rsid w:val="001128D9"/>
    <w:rsid w:val="001163F4"/>
    <w:rsid w:val="00116DFB"/>
    <w:rsid w:val="0011718E"/>
    <w:rsid w:val="0011721A"/>
    <w:rsid w:val="0011756F"/>
    <w:rsid w:val="001178B9"/>
    <w:rsid w:val="0012130F"/>
    <w:rsid w:val="00122FB6"/>
    <w:rsid w:val="00131F8A"/>
    <w:rsid w:val="00133F92"/>
    <w:rsid w:val="00137F86"/>
    <w:rsid w:val="001411AE"/>
    <w:rsid w:val="00141A0F"/>
    <w:rsid w:val="001429E8"/>
    <w:rsid w:val="001469DC"/>
    <w:rsid w:val="00151710"/>
    <w:rsid w:val="00152283"/>
    <w:rsid w:val="00152E2A"/>
    <w:rsid w:val="001547D9"/>
    <w:rsid w:val="00157906"/>
    <w:rsid w:val="00163268"/>
    <w:rsid w:val="0016555A"/>
    <w:rsid w:val="00166449"/>
    <w:rsid w:val="00171275"/>
    <w:rsid w:val="001752CB"/>
    <w:rsid w:val="00182C1B"/>
    <w:rsid w:val="001837E5"/>
    <w:rsid w:val="0018447F"/>
    <w:rsid w:val="00184833"/>
    <w:rsid w:val="0018499B"/>
    <w:rsid w:val="00185154"/>
    <w:rsid w:val="00185A19"/>
    <w:rsid w:val="00185CE6"/>
    <w:rsid w:val="00191DEE"/>
    <w:rsid w:val="001922B3"/>
    <w:rsid w:val="00195AA6"/>
    <w:rsid w:val="00197D6B"/>
    <w:rsid w:val="001A355C"/>
    <w:rsid w:val="001A6364"/>
    <w:rsid w:val="001A77B8"/>
    <w:rsid w:val="001B0FDA"/>
    <w:rsid w:val="001B107F"/>
    <w:rsid w:val="001B163F"/>
    <w:rsid w:val="001B3FD2"/>
    <w:rsid w:val="001B5B86"/>
    <w:rsid w:val="001B5C0D"/>
    <w:rsid w:val="001B736C"/>
    <w:rsid w:val="001C0D5F"/>
    <w:rsid w:val="001C12FD"/>
    <w:rsid w:val="001C1A21"/>
    <w:rsid w:val="001C38E5"/>
    <w:rsid w:val="001C68B9"/>
    <w:rsid w:val="001D15F6"/>
    <w:rsid w:val="001D25F7"/>
    <w:rsid w:val="001D39B3"/>
    <w:rsid w:val="001D790F"/>
    <w:rsid w:val="001E0C08"/>
    <w:rsid w:val="001E3187"/>
    <w:rsid w:val="001E4A24"/>
    <w:rsid w:val="001E4F62"/>
    <w:rsid w:val="001F3A29"/>
    <w:rsid w:val="001F5B6B"/>
    <w:rsid w:val="001F7F8A"/>
    <w:rsid w:val="00204754"/>
    <w:rsid w:val="00204782"/>
    <w:rsid w:val="00206BD0"/>
    <w:rsid w:val="00206D18"/>
    <w:rsid w:val="002103D9"/>
    <w:rsid w:val="002112BA"/>
    <w:rsid w:val="002119E2"/>
    <w:rsid w:val="0021265A"/>
    <w:rsid w:val="00213E16"/>
    <w:rsid w:val="00214E81"/>
    <w:rsid w:val="00215F11"/>
    <w:rsid w:val="002216E1"/>
    <w:rsid w:val="00222F0B"/>
    <w:rsid w:val="00226222"/>
    <w:rsid w:val="00235788"/>
    <w:rsid w:val="002408E1"/>
    <w:rsid w:val="002424A5"/>
    <w:rsid w:val="002448F3"/>
    <w:rsid w:val="002471E6"/>
    <w:rsid w:val="00247A1E"/>
    <w:rsid w:val="00252C7A"/>
    <w:rsid w:val="00262F48"/>
    <w:rsid w:val="002670FB"/>
    <w:rsid w:val="0027168A"/>
    <w:rsid w:val="00272144"/>
    <w:rsid w:val="0027354C"/>
    <w:rsid w:val="00280DC1"/>
    <w:rsid w:val="00281174"/>
    <w:rsid w:val="00282CE2"/>
    <w:rsid w:val="00290B19"/>
    <w:rsid w:val="00291E35"/>
    <w:rsid w:val="00293B96"/>
    <w:rsid w:val="00293F89"/>
    <w:rsid w:val="00294320"/>
    <w:rsid w:val="002959DA"/>
    <w:rsid w:val="002A0024"/>
    <w:rsid w:val="002A06D6"/>
    <w:rsid w:val="002A0B64"/>
    <w:rsid w:val="002A24B1"/>
    <w:rsid w:val="002A38BD"/>
    <w:rsid w:val="002A5334"/>
    <w:rsid w:val="002A5C0F"/>
    <w:rsid w:val="002A5ED7"/>
    <w:rsid w:val="002A6B38"/>
    <w:rsid w:val="002B0479"/>
    <w:rsid w:val="002B1BB7"/>
    <w:rsid w:val="002B1BE6"/>
    <w:rsid w:val="002B3437"/>
    <w:rsid w:val="002B770E"/>
    <w:rsid w:val="002C151D"/>
    <w:rsid w:val="002C28AC"/>
    <w:rsid w:val="002C729A"/>
    <w:rsid w:val="002D0F95"/>
    <w:rsid w:val="002D2127"/>
    <w:rsid w:val="002D652D"/>
    <w:rsid w:val="002D656B"/>
    <w:rsid w:val="002D66E3"/>
    <w:rsid w:val="002D739A"/>
    <w:rsid w:val="002E0A3C"/>
    <w:rsid w:val="002E2714"/>
    <w:rsid w:val="002E4210"/>
    <w:rsid w:val="002E4792"/>
    <w:rsid w:val="002F0434"/>
    <w:rsid w:val="002F07F2"/>
    <w:rsid w:val="002F25AD"/>
    <w:rsid w:val="002F401D"/>
    <w:rsid w:val="002F7855"/>
    <w:rsid w:val="00300455"/>
    <w:rsid w:val="00302840"/>
    <w:rsid w:val="0030377A"/>
    <w:rsid w:val="00304B22"/>
    <w:rsid w:val="00305661"/>
    <w:rsid w:val="00307ACF"/>
    <w:rsid w:val="0031133C"/>
    <w:rsid w:val="00311CA6"/>
    <w:rsid w:val="00313662"/>
    <w:rsid w:val="00313F4D"/>
    <w:rsid w:val="00314F29"/>
    <w:rsid w:val="00315475"/>
    <w:rsid w:val="00317CCC"/>
    <w:rsid w:val="003208C7"/>
    <w:rsid w:val="003210EA"/>
    <w:rsid w:val="0032258D"/>
    <w:rsid w:val="00324DB1"/>
    <w:rsid w:val="00325473"/>
    <w:rsid w:val="00326723"/>
    <w:rsid w:val="00326807"/>
    <w:rsid w:val="00327112"/>
    <w:rsid w:val="00330495"/>
    <w:rsid w:val="00332DF7"/>
    <w:rsid w:val="00332F54"/>
    <w:rsid w:val="0033592D"/>
    <w:rsid w:val="00337822"/>
    <w:rsid w:val="0034185B"/>
    <w:rsid w:val="003438E6"/>
    <w:rsid w:val="00344462"/>
    <w:rsid w:val="00344E64"/>
    <w:rsid w:val="0034579C"/>
    <w:rsid w:val="00345CAB"/>
    <w:rsid w:val="00347021"/>
    <w:rsid w:val="00347957"/>
    <w:rsid w:val="0035080F"/>
    <w:rsid w:val="00354510"/>
    <w:rsid w:val="00354A5A"/>
    <w:rsid w:val="00355C0D"/>
    <w:rsid w:val="0035747E"/>
    <w:rsid w:val="00357F18"/>
    <w:rsid w:val="003622EA"/>
    <w:rsid w:val="00364EE4"/>
    <w:rsid w:val="00366188"/>
    <w:rsid w:val="00366E3C"/>
    <w:rsid w:val="00371274"/>
    <w:rsid w:val="003712B6"/>
    <w:rsid w:val="00374F9E"/>
    <w:rsid w:val="00380FAF"/>
    <w:rsid w:val="0038390D"/>
    <w:rsid w:val="00384675"/>
    <w:rsid w:val="00384FBA"/>
    <w:rsid w:val="00387373"/>
    <w:rsid w:val="00390651"/>
    <w:rsid w:val="003920C1"/>
    <w:rsid w:val="0039548D"/>
    <w:rsid w:val="003A0637"/>
    <w:rsid w:val="003A0D1A"/>
    <w:rsid w:val="003A17FD"/>
    <w:rsid w:val="003A2098"/>
    <w:rsid w:val="003A21E5"/>
    <w:rsid w:val="003A25E2"/>
    <w:rsid w:val="003A4E9B"/>
    <w:rsid w:val="003B0FF6"/>
    <w:rsid w:val="003B650D"/>
    <w:rsid w:val="003B6D4F"/>
    <w:rsid w:val="003B6E15"/>
    <w:rsid w:val="003B7CA7"/>
    <w:rsid w:val="003C38EF"/>
    <w:rsid w:val="003C5332"/>
    <w:rsid w:val="003C5577"/>
    <w:rsid w:val="003D306A"/>
    <w:rsid w:val="003D3F28"/>
    <w:rsid w:val="003D5C80"/>
    <w:rsid w:val="003E03E1"/>
    <w:rsid w:val="003E0B22"/>
    <w:rsid w:val="003E2183"/>
    <w:rsid w:val="003E27D9"/>
    <w:rsid w:val="003E2C58"/>
    <w:rsid w:val="003E32FF"/>
    <w:rsid w:val="003E4BA0"/>
    <w:rsid w:val="003E6816"/>
    <w:rsid w:val="003E6DC1"/>
    <w:rsid w:val="003F5C5F"/>
    <w:rsid w:val="004009D4"/>
    <w:rsid w:val="00402256"/>
    <w:rsid w:val="004037E0"/>
    <w:rsid w:val="00404C0F"/>
    <w:rsid w:val="0040699C"/>
    <w:rsid w:val="00416A24"/>
    <w:rsid w:val="00417DC3"/>
    <w:rsid w:val="00420346"/>
    <w:rsid w:val="004204F9"/>
    <w:rsid w:val="004209A5"/>
    <w:rsid w:val="0042103B"/>
    <w:rsid w:val="00427721"/>
    <w:rsid w:val="004305D8"/>
    <w:rsid w:val="00431B6F"/>
    <w:rsid w:val="0043290B"/>
    <w:rsid w:val="00432DAB"/>
    <w:rsid w:val="0043512B"/>
    <w:rsid w:val="00435889"/>
    <w:rsid w:val="004369BD"/>
    <w:rsid w:val="0043734C"/>
    <w:rsid w:val="00437EC6"/>
    <w:rsid w:val="004425C3"/>
    <w:rsid w:val="00444AA8"/>
    <w:rsid w:val="00446C25"/>
    <w:rsid w:val="004470D3"/>
    <w:rsid w:val="00450268"/>
    <w:rsid w:val="00451BF4"/>
    <w:rsid w:val="004549ED"/>
    <w:rsid w:val="00454C3A"/>
    <w:rsid w:val="00456FCA"/>
    <w:rsid w:val="00457534"/>
    <w:rsid w:val="004602E5"/>
    <w:rsid w:val="00460D2A"/>
    <w:rsid w:val="00462D3C"/>
    <w:rsid w:val="00467873"/>
    <w:rsid w:val="0047105D"/>
    <w:rsid w:val="00475AF7"/>
    <w:rsid w:val="00475CFB"/>
    <w:rsid w:val="00477F87"/>
    <w:rsid w:val="004847BA"/>
    <w:rsid w:val="00492AE5"/>
    <w:rsid w:val="00495135"/>
    <w:rsid w:val="004966D9"/>
    <w:rsid w:val="0049714E"/>
    <w:rsid w:val="004972D1"/>
    <w:rsid w:val="00497B3C"/>
    <w:rsid w:val="004A1AFF"/>
    <w:rsid w:val="004A27C3"/>
    <w:rsid w:val="004A34C4"/>
    <w:rsid w:val="004A38F0"/>
    <w:rsid w:val="004A6291"/>
    <w:rsid w:val="004A70CC"/>
    <w:rsid w:val="004A7DDD"/>
    <w:rsid w:val="004B0D3D"/>
    <w:rsid w:val="004B2C4C"/>
    <w:rsid w:val="004B393D"/>
    <w:rsid w:val="004B3D21"/>
    <w:rsid w:val="004B732D"/>
    <w:rsid w:val="004C4AFA"/>
    <w:rsid w:val="004C5EE8"/>
    <w:rsid w:val="004C6180"/>
    <w:rsid w:val="004C75A9"/>
    <w:rsid w:val="004D0BCC"/>
    <w:rsid w:val="004D1E97"/>
    <w:rsid w:val="004E03E4"/>
    <w:rsid w:val="004E1192"/>
    <w:rsid w:val="004E1EFC"/>
    <w:rsid w:val="004E5EB5"/>
    <w:rsid w:val="004E7EC9"/>
    <w:rsid w:val="004F4B73"/>
    <w:rsid w:val="004F62A4"/>
    <w:rsid w:val="004F63B2"/>
    <w:rsid w:val="005011D8"/>
    <w:rsid w:val="0050523F"/>
    <w:rsid w:val="00517B51"/>
    <w:rsid w:val="00521D1C"/>
    <w:rsid w:val="00522133"/>
    <w:rsid w:val="005269F5"/>
    <w:rsid w:val="00530066"/>
    <w:rsid w:val="00531630"/>
    <w:rsid w:val="00533ED4"/>
    <w:rsid w:val="005356EB"/>
    <w:rsid w:val="005363EC"/>
    <w:rsid w:val="005364F6"/>
    <w:rsid w:val="00541B24"/>
    <w:rsid w:val="00547550"/>
    <w:rsid w:val="005501A5"/>
    <w:rsid w:val="00550DCC"/>
    <w:rsid w:val="00551FDA"/>
    <w:rsid w:val="0055508E"/>
    <w:rsid w:val="00555489"/>
    <w:rsid w:val="00555E86"/>
    <w:rsid w:val="00556B72"/>
    <w:rsid w:val="0056006C"/>
    <w:rsid w:val="00561265"/>
    <w:rsid w:val="00562D23"/>
    <w:rsid w:val="005635E6"/>
    <w:rsid w:val="00564130"/>
    <w:rsid w:val="00565095"/>
    <w:rsid w:val="0056516B"/>
    <w:rsid w:val="00566DA0"/>
    <w:rsid w:val="0057381B"/>
    <w:rsid w:val="00577959"/>
    <w:rsid w:val="00577984"/>
    <w:rsid w:val="00577D0A"/>
    <w:rsid w:val="005826C4"/>
    <w:rsid w:val="00583C57"/>
    <w:rsid w:val="0058569E"/>
    <w:rsid w:val="0058630B"/>
    <w:rsid w:val="00587136"/>
    <w:rsid w:val="005920D2"/>
    <w:rsid w:val="00593D04"/>
    <w:rsid w:val="00593FF1"/>
    <w:rsid w:val="00594EB4"/>
    <w:rsid w:val="00595CBE"/>
    <w:rsid w:val="00596A7E"/>
    <w:rsid w:val="005A10A2"/>
    <w:rsid w:val="005A2C0A"/>
    <w:rsid w:val="005A5329"/>
    <w:rsid w:val="005A7B17"/>
    <w:rsid w:val="005B02AD"/>
    <w:rsid w:val="005B1133"/>
    <w:rsid w:val="005B2AB5"/>
    <w:rsid w:val="005B3B24"/>
    <w:rsid w:val="005B670E"/>
    <w:rsid w:val="005B7E2F"/>
    <w:rsid w:val="005C0367"/>
    <w:rsid w:val="005C0B69"/>
    <w:rsid w:val="005C45A5"/>
    <w:rsid w:val="005C5A85"/>
    <w:rsid w:val="005C5EB5"/>
    <w:rsid w:val="005C6598"/>
    <w:rsid w:val="005C669E"/>
    <w:rsid w:val="005C6833"/>
    <w:rsid w:val="005D2071"/>
    <w:rsid w:val="005D27B9"/>
    <w:rsid w:val="005D3649"/>
    <w:rsid w:val="005D61D4"/>
    <w:rsid w:val="005D6CE9"/>
    <w:rsid w:val="005E2721"/>
    <w:rsid w:val="005E2F59"/>
    <w:rsid w:val="005E75F5"/>
    <w:rsid w:val="005F008F"/>
    <w:rsid w:val="005F1270"/>
    <w:rsid w:val="005F25E2"/>
    <w:rsid w:val="005F3D42"/>
    <w:rsid w:val="005F3E52"/>
    <w:rsid w:val="005F4771"/>
    <w:rsid w:val="005F51A3"/>
    <w:rsid w:val="006017D3"/>
    <w:rsid w:val="00601895"/>
    <w:rsid w:val="00604CF5"/>
    <w:rsid w:val="00605001"/>
    <w:rsid w:val="00606D1B"/>
    <w:rsid w:val="006123B8"/>
    <w:rsid w:val="00614A88"/>
    <w:rsid w:val="0061670A"/>
    <w:rsid w:val="00616E4E"/>
    <w:rsid w:val="00617109"/>
    <w:rsid w:val="00626613"/>
    <w:rsid w:val="00631C37"/>
    <w:rsid w:val="00631E3D"/>
    <w:rsid w:val="006356FB"/>
    <w:rsid w:val="00636542"/>
    <w:rsid w:val="006373CC"/>
    <w:rsid w:val="00640379"/>
    <w:rsid w:val="00642DA3"/>
    <w:rsid w:val="006466BE"/>
    <w:rsid w:val="006469FF"/>
    <w:rsid w:val="00647F76"/>
    <w:rsid w:val="006516DE"/>
    <w:rsid w:val="00653DA1"/>
    <w:rsid w:val="00654351"/>
    <w:rsid w:val="00656793"/>
    <w:rsid w:val="00661BE5"/>
    <w:rsid w:val="00662338"/>
    <w:rsid w:val="00663A58"/>
    <w:rsid w:val="00663B4F"/>
    <w:rsid w:val="00664731"/>
    <w:rsid w:val="00667BAB"/>
    <w:rsid w:val="00667F4D"/>
    <w:rsid w:val="00671E87"/>
    <w:rsid w:val="00672654"/>
    <w:rsid w:val="0067317F"/>
    <w:rsid w:val="00673FC6"/>
    <w:rsid w:val="006761D5"/>
    <w:rsid w:val="0067740A"/>
    <w:rsid w:val="00681DA7"/>
    <w:rsid w:val="00682032"/>
    <w:rsid w:val="006829C2"/>
    <w:rsid w:val="00684666"/>
    <w:rsid w:val="00684DE5"/>
    <w:rsid w:val="00686D8D"/>
    <w:rsid w:val="006876DD"/>
    <w:rsid w:val="00687E12"/>
    <w:rsid w:val="0069123C"/>
    <w:rsid w:val="00691702"/>
    <w:rsid w:val="006924FF"/>
    <w:rsid w:val="00692518"/>
    <w:rsid w:val="00695AB7"/>
    <w:rsid w:val="00695C7D"/>
    <w:rsid w:val="0069643C"/>
    <w:rsid w:val="00696593"/>
    <w:rsid w:val="006A0167"/>
    <w:rsid w:val="006A09FC"/>
    <w:rsid w:val="006A204E"/>
    <w:rsid w:val="006A3C0F"/>
    <w:rsid w:val="006A5C1A"/>
    <w:rsid w:val="006A6546"/>
    <w:rsid w:val="006B2D7D"/>
    <w:rsid w:val="006B30EB"/>
    <w:rsid w:val="006B4B20"/>
    <w:rsid w:val="006B4C72"/>
    <w:rsid w:val="006B61C9"/>
    <w:rsid w:val="006B72D1"/>
    <w:rsid w:val="006B79F3"/>
    <w:rsid w:val="006D2241"/>
    <w:rsid w:val="006D3550"/>
    <w:rsid w:val="006D68E0"/>
    <w:rsid w:val="006E11FB"/>
    <w:rsid w:val="006E1839"/>
    <w:rsid w:val="006E20A4"/>
    <w:rsid w:val="006E4EBF"/>
    <w:rsid w:val="006F30D1"/>
    <w:rsid w:val="006F43AF"/>
    <w:rsid w:val="006F4CBD"/>
    <w:rsid w:val="006F50DE"/>
    <w:rsid w:val="006F5F83"/>
    <w:rsid w:val="006F5FC0"/>
    <w:rsid w:val="00700570"/>
    <w:rsid w:val="00701438"/>
    <w:rsid w:val="00703EE4"/>
    <w:rsid w:val="00713054"/>
    <w:rsid w:val="00713B00"/>
    <w:rsid w:val="00714AB7"/>
    <w:rsid w:val="00714C03"/>
    <w:rsid w:val="00716B8D"/>
    <w:rsid w:val="00717040"/>
    <w:rsid w:val="007205C5"/>
    <w:rsid w:val="00721248"/>
    <w:rsid w:val="007226BF"/>
    <w:rsid w:val="00724E30"/>
    <w:rsid w:val="00733B85"/>
    <w:rsid w:val="007344E0"/>
    <w:rsid w:val="00734E55"/>
    <w:rsid w:val="00743F42"/>
    <w:rsid w:val="00751886"/>
    <w:rsid w:val="007538C8"/>
    <w:rsid w:val="00753ED7"/>
    <w:rsid w:val="00761B66"/>
    <w:rsid w:val="00763184"/>
    <w:rsid w:val="00764ED2"/>
    <w:rsid w:val="00766910"/>
    <w:rsid w:val="00770435"/>
    <w:rsid w:val="007706FB"/>
    <w:rsid w:val="0077381B"/>
    <w:rsid w:val="007762D0"/>
    <w:rsid w:val="007836D1"/>
    <w:rsid w:val="00784F01"/>
    <w:rsid w:val="0078615F"/>
    <w:rsid w:val="007870FD"/>
    <w:rsid w:val="00790D32"/>
    <w:rsid w:val="007911BC"/>
    <w:rsid w:val="00791332"/>
    <w:rsid w:val="00795C28"/>
    <w:rsid w:val="00796E82"/>
    <w:rsid w:val="007A1252"/>
    <w:rsid w:val="007A2CB7"/>
    <w:rsid w:val="007A3B8F"/>
    <w:rsid w:val="007A4254"/>
    <w:rsid w:val="007A6D2B"/>
    <w:rsid w:val="007B2792"/>
    <w:rsid w:val="007B3C87"/>
    <w:rsid w:val="007B4902"/>
    <w:rsid w:val="007C18CF"/>
    <w:rsid w:val="007C26FC"/>
    <w:rsid w:val="007C2FAB"/>
    <w:rsid w:val="007C4077"/>
    <w:rsid w:val="007C6456"/>
    <w:rsid w:val="007D0C70"/>
    <w:rsid w:val="007D0DAD"/>
    <w:rsid w:val="007D0F3C"/>
    <w:rsid w:val="007D398D"/>
    <w:rsid w:val="007D3C93"/>
    <w:rsid w:val="007D42C0"/>
    <w:rsid w:val="007D46CA"/>
    <w:rsid w:val="007D5DBC"/>
    <w:rsid w:val="007D6E1D"/>
    <w:rsid w:val="007E339D"/>
    <w:rsid w:val="007E642F"/>
    <w:rsid w:val="007E7462"/>
    <w:rsid w:val="007F4D5A"/>
    <w:rsid w:val="008012DC"/>
    <w:rsid w:val="00803A9D"/>
    <w:rsid w:val="008049DC"/>
    <w:rsid w:val="00805765"/>
    <w:rsid w:val="00806624"/>
    <w:rsid w:val="00807EC9"/>
    <w:rsid w:val="00817B20"/>
    <w:rsid w:val="00821820"/>
    <w:rsid w:val="0082469D"/>
    <w:rsid w:val="008304C8"/>
    <w:rsid w:val="008306D5"/>
    <w:rsid w:val="00831303"/>
    <w:rsid w:val="0083155C"/>
    <w:rsid w:val="008317D7"/>
    <w:rsid w:val="00832547"/>
    <w:rsid w:val="008331B0"/>
    <w:rsid w:val="0083449A"/>
    <w:rsid w:val="00836991"/>
    <w:rsid w:val="00836F23"/>
    <w:rsid w:val="00837730"/>
    <w:rsid w:val="0084126A"/>
    <w:rsid w:val="0084191B"/>
    <w:rsid w:val="00842618"/>
    <w:rsid w:val="00842ED0"/>
    <w:rsid w:val="00843107"/>
    <w:rsid w:val="00844348"/>
    <w:rsid w:val="00844DC3"/>
    <w:rsid w:val="00845501"/>
    <w:rsid w:val="008507FE"/>
    <w:rsid w:val="00853697"/>
    <w:rsid w:val="00856712"/>
    <w:rsid w:val="0085773D"/>
    <w:rsid w:val="00860C3F"/>
    <w:rsid w:val="00860C7D"/>
    <w:rsid w:val="008610B3"/>
    <w:rsid w:val="00863038"/>
    <w:rsid w:val="00864CED"/>
    <w:rsid w:val="008671BC"/>
    <w:rsid w:val="008702CA"/>
    <w:rsid w:val="00874250"/>
    <w:rsid w:val="00876B93"/>
    <w:rsid w:val="008813B7"/>
    <w:rsid w:val="008821F2"/>
    <w:rsid w:val="008835BF"/>
    <w:rsid w:val="00886FDA"/>
    <w:rsid w:val="00887B8A"/>
    <w:rsid w:val="00893437"/>
    <w:rsid w:val="00894E5F"/>
    <w:rsid w:val="00894EEE"/>
    <w:rsid w:val="00895F09"/>
    <w:rsid w:val="008A40F6"/>
    <w:rsid w:val="008A65F0"/>
    <w:rsid w:val="008B0D71"/>
    <w:rsid w:val="008B1B11"/>
    <w:rsid w:val="008B26A6"/>
    <w:rsid w:val="008B37DB"/>
    <w:rsid w:val="008B5C28"/>
    <w:rsid w:val="008B65B4"/>
    <w:rsid w:val="008B7180"/>
    <w:rsid w:val="008B7607"/>
    <w:rsid w:val="008B76CD"/>
    <w:rsid w:val="008C295C"/>
    <w:rsid w:val="008C2E64"/>
    <w:rsid w:val="008C4308"/>
    <w:rsid w:val="008C761C"/>
    <w:rsid w:val="008C7982"/>
    <w:rsid w:val="008D09C8"/>
    <w:rsid w:val="008D3FAF"/>
    <w:rsid w:val="008D6E40"/>
    <w:rsid w:val="008E45A9"/>
    <w:rsid w:val="008E73B8"/>
    <w:rsid w:val="008E7F5C"/>
    <w:rsid w:val="008F0BFF"/>
    <w:rsid w:val="008F13F7"/>
    <w:rsid w:val="008F18E3"/>
    <w:rsid w:val="008F23D2"/>
    <w:rsid w:val="008F520A"/>
    <w:rsid w:val="008F6064"/>
    <w:rsid w:val="008F6B9F"/>
    <w:rsid w:val="009056D7"/>
    <w:rsid w:val="009119CB"/>
    <w:rsid w:val="00914E49"/>
    <w:rsid w:val="00917AD0"/>
    <w:rsid w:val="009310E4"/>
    <w:rsid w:val="009321DA"/>
    <w:rsid w:val="00932545"/>
    <w:rsid w:val="009337CF"/>
    <w:rsid w:val="00937DBC"/>
    <w:rsid w:val="00937E3B"/>
    <w:rsid w:val="009406CB"/>
    <w:rsid w:val="00941FE8"/>
    <w:rsid w:val="00947733"/>
    <w:rsid w:val="009508B2"/>
    <w:rsid w:val="0095279C"/>
    <w:rsid w:val="00953FCC"/>
    <w:rsid w:val="00957EAD"/>
    <w:rsid w:val="00963D3F"/>
    <w:rsid w:val="00970F1A"/>
    <w:rsid w:val="00971131"/>
    <w:rsid w:val="009726ED"/>
    <w:rsid w:val="0097367D"/>
    <w:rsid w:val="00976A93"/>
    <w:rsid w:val="00983F62"/>
    <w:rsid w:val="00985C37"/>
    <w:rsid w:val="00985CC9"/>
    <w:rsid w:val="009939F4"/>
    <w:rsid w:val="009A1B79"/>
    <w:rsid w:val="009A2202"/>
    <w:rsid w:val="009A3BEA"/>
    <w:rsid w:val="009A50F8"/>
    <w:rsid w:val="009B057F"/>
    <w:rsid w:val="009B5D84"/>
    <w:rsid w:val="009B6F3A"/>
    <w:rsid w:val="009B70AD"/>
    <w:rsid w:val="009B7DA4"/>
    <w:rsid w:val="009C0BDC"/>
    <w:rsid w:val="009C0DA1"/>
    <w:rsid w:val="009C2ABF"/>
    <w:rsid w:val="009C31F2"/>
    <w:rsid w:val="009C6549"/>
    <w:rsid w:val="009C6A8E"/>
    <w:rsid w:val="009D0CC4"/>
    <w:rsid w:val="009D1684"/>
    <w:rsid w:val="009D32D6"/>
    <w:rsid w:val="009D3AC7"/>
    <w:rsid w:val="009D70EB"/>
    <w:rsid w:val="009E0CFD"/>
    <w:rsid w:val="009E1946"/>
    <w:rsid w:val="009E45E7"/>
    <w:rsid w:val="009F0195"/>
    <w:rsid w:val="009F1BBF"/>
    <w:rsid w:val="009F232F"/>
    <w:rsid w:val="009F31D5"/>
    <w:rsid w:val="009F58D1"/>
    <w:rsid w:val="009F7D21"/>
    <w:rsid w:val="00A0172D"/>
    <w:rsid w:val="00A0678B"/>
    <w:rsid w:val="00A11F08"/>
    <w:rsid w:val="00A120F9"/>
    <w:rsid w:val="00A132BE"/>
    <w:rsid w:val="00A15C3D"/>
    <w:rsid w:val="00A15DA2"/>
    <w:rsid w:val="00A160C8"/>
    <w:rsid w:val="00A161B2"/>
    <w:rsid w:val="00A214AE"/>
    <w:rsid w:val="00A218E5"/>
    <w:rsid w:val="00A24E9F"/>
    <w:rsid w:val="00A25E4D"/>
    <w:rsid w:val="00A269DC"/>
    <w:rsid w:val="00A34DE9"/>
    <w:rsid w:val="00A35391"/>
    <w:rsid w:val="00A366B7"/>
    <w:rsid w:val="00A40AE3"/>
    <w:rsid w:val="00A40CAD"/>
    <w:rsid w:val="00A4360E"/>
    <w:rsid w:val="00A44230"/>
    <w:rsid w:val="00A46653"/>
    <w:rsid w:val="00A50641"/>
    <w:rsid w:val="00A57768"/>
    <w:rsid w:val="00A632F9"/>
    <w:rsid w:val="00A6357A"/>
    <w:rsid w:val="00A64EFD"/>
    <w:rsid w:val="00A6503E"/>
    <w:rsid w:val="00A65EC5"/>
    <w:rsid w:val="00A66BBD"/>
    <w:rsid w:val="00A70B68"/>
    <w:rsid w:val="00A7119E"/>
    <w:rsid w:val="00A754A7"/>
    <w:rsid w:val="00A76B6E"/>
    <w:rsid w:val="00A77272"/>
    <w:rsid w:val="00A77A95"/>
    <w:rsid w:val="00A77D6F"/>
    <w:rsid w:val="00A80ACA"/>
    <w:rsid w:val="00A81C31"/>
    <w:rsid w:val="00A823AA"/>
    <w:rsid w:val="00A8692F"/>
    <w:rsid w:val="00A9009C"/>
    <w:rsid w:val="00A901B3"/>
    <w:rsid w:val="00A93904"/>
    <w:rsid w:val="00A93F77"/>
    <w:rsid w:val="00A94C74"/>
    <w:rsid w:val="00AA21DD"/>
    <w:rsid w:val="00AA2A84"/>
    <w:rsid w:val="00AA3354"/>
    <w:rsid w:val="00AA3A67"/>
    <w:rsid w:val="00AA59F3"/>
    <w:rsid w:val="00AA63AC"/>
    <w:rsid w:val="00AB0F9D"/>
    <w:rsid w:val="00AB5C99"/>
    <w:rsid w:val="00AB7668"/>
    <w:rsid w:val="00AC01E8"/>
    <w:rsid w:val="00AC217D"/>
    <w:rsid w:val="00AC30BA"/>
    <w:rsid w:val="00AC3BE1"/>
    <w:rsid w:val="00AC3E11"/>
    <w:rsid w:val="00AD0877"/>
    <w:rsid w:val="00AD2833"/>
    <w:rsid w:val="00AD2B10"/>
    <w:rsid w:val="00AD4FC8"/>
    <w:rsid w:val="00AD6A5B"/>
    <w:rsid w:val="00AE042B"/>
    <w:rsid w:val="00AE0C66"/>
    <w:rsid w:val="00AE106A"/>
    <w:rsid w:val="00AE160D"/>
    <w:rsid w:val="00AE2FAA"/>
    <w:rsid w:val="00AE443E"/>
    <w:rsid w:val="00AE518A"/>
    <w:rsid w:val="00AE67B6"/>
    <w:rsid w:val="00AF34EE"/>
    <w:rsid w:val="00AF4F7B"/>
    <w:rsid w:val="00AF56C7"/>
    <w:rsid w:val="00AF693A"/>
    <w:rsid w:val="00AF73FC"/>
    <w:rsid w:val="00B01099"/>
    <w:rsid w:val="00B010B2"/>
    <w:rsid w:val="00B02E38"/>
    <w:rsid w:val="00B03195"/>
    <w:rsid w:val="00B039A2"/>
    <w:rsid w:val="00B03D3C"/>
    <w:rsid w:val="00B10C09"/>
    <w:rsid w:val="00B1110A"/>
    <w:rsid w:val="00B151BA"/>
    <w:rsid w:val="00B1543A"/>
    <w:rsid w:val="00B16C6F"/>
    <w:rsid w:val="00B174D5"/>
    <w:rsid w:val="00B177AF"/>
    <w:rsid w:val="00B226B5"/>
    <w:rsid w:val="00B22F76"/>
    <w:rsid w:val="00B26434"/>
    <w:rsid w:val="00B305A5"/>
    <w:rsid w:val="00B31B42"/>
    <w:rsid w:val="00B31C94"/>
    <w:rsid w:val="00B33F01"/>
    <w:rsid w:val="00B36DB8"/>
    <w:rsid w:val="00B372F7"/>
    <w:rsid w:val="00B378BD"/>
    <w:rsid w:val="00B4254B"/>
    <w:rsid w:val="00B45ED3"/>
    <w:rsid w:val="00B471CA"/>
    <w:rsid w:val="00B50A13"/>
    <w:rsid w:val="00B62FD0"/>
    <w:rsid w:val="00B6413B"/>
    <w:rsid w:val="00B641C3"/>
    <w:rsid w:val="00B64AF5"/>
    <w:rsid w:val="00B74042"/>
    <w:rsid w:val="00B76F0A"/>
    <w:rsid w:val="00B810EE"/>
    <w:rsid w:val="00B82C44"/>
    <w:rsid w:val="00B85FCA"/>
    <w:rsid w:val="00B9010B"/>
    <w:rsid w:val="00B90F1C"/>
    <w:rsid w:val="00B92FAC"/>
    <w:rsid w:val="00B93CD3"/>
    <w:rsid w:val="00B95FB8"/>
    <w:rsid w:val="00BA12B4"/>
    <w:rsid w:val="00BA183A"/>
    <w:rsid w:val="00BA42C0"/>
    <w:rsid w:val="00BA6A12"/>
    <w:rsid w:val="00BB1F2F"/>
    <w:rsid w:val="00BB2911"/>
    <w:rsid w:val="00BB50FA"/>
    <w:rsid w:val="00BB5E76"/>
    <w:rsid w:val="00BB6051"/>
    <w:rsid w:val="00BB69B6"/>
    <w:rsid w:val="00BB7057"/>
    <w:rsid w:val="00BB7843"/>
    <w:rsid w:val="00BC5629"/>
    <w:rsid w:val="00BC7009"/>
    <w:rsid w:val="00BC79F0"/>
    <w:rsid w:val="00BD0CFB"/>
    <w:rsid w:val="00BD3F96"/>
    <w:rsid w:val="00BD4AAA"/>
    <w:rsid w:val="00BD641C"/>
    <w:rsid w:val="00BE08D2"/>
    <w:rsid w:val="00BE240A"/>
    <w:rsid w:val="00BE2ABF"/>
    <w:rsid w:val="00BE3BD0"/>
    <w:rsid w:val="00BE4EF4"/>
    <w:rsid w:val="00BE6B3B"/>
    <w:rsid w:val="00BE7A17"/>
    <w:rsid w:val="00BF3290"/>
    <w:rsid w:val="00BF4262"/>
    <w:rsid w:val="00BF4E3A"/>
    <w:rsid w:val="00BF58AA"/>
    <w:rsid w:val="00C017B2"/>
    <w:rsid w:val="00C036E8"/>
    <w:rsid w:val="00C049BE"/>
    <w:rsid w:val="00C06B5F"/>
    <w:rsid w:val="00C06BE2"/>
    <w:rsid w:val="00C06D69"/>
    <w:rsid w:val="00C11A33"/>
    <w:rsid w:val="00C14CED"/>
    <w:rsid w:val="00C155C6"/>
    <w:rsid w:val="00C1640C"/>
    <w:rsid w:val="00C16992"/>
    <w:rsid w:val="00C226F1"/>
    <w:rsid w:val="00C22FD3"/>
    <w:rsid w:val="00C277D8"/>
    <w:rsid w:val="00C32B59"/>
    <w:rsid w:val="00C3455D"/>
    <w:rsid w:val="00C34B4A"/>
    <w:rsid w:val="00C35AD3"/>
    <w:rsid w:val="00C36159"/>
    <w:rsid w:val="00C36654"/>
    <w:rsid w:val="00C36B17"/>
    <w:rsid w:val="00C36EAD"/>
    <w:rsid w:val="00C45534"/>
    <w:rsid w:val="00C45975"/>
    <w:rsid w:val="00C468AC"/>
    <w:rsid w:val="00C5223E"/>
    <w:rsid w:val="00C563C0"/>
    <w:rsid w:val="00C563F6"/>
    <w:rsid w:val="00C56DBA"/>
    <w:rsid w:val="00C57D88"/>
    <w:rsid w:val="00C61B9F"/>
    <w:rsid w:val="00C622D1"/>
    <w:rsid w:val="00C63EF5"/>
    <w:rsid w:val="00C70D35"/>
    <w:rsid w:val="00C71279"/>
    <w:rsid w:val="00C71395"/>
    <w:rsid w:val="00C730A3"/>
    <w:rsid w:val="00C756FC"/>
    <w:rsid w:val="00C77849"/>
    <w:rsid w:val="00C80C6F"/>
    <w:rsid w:val="00C85586"/>
    <w:rsid w:val="00C86288"/>
    <w:rsid w:val="00C92372"/>
    <w:rsid w:val="00C93926"/>
    <w:rsid w:val="00C94FFC"/>
    <w:rsid w:val="00C966B6"/>
    <w:rsid w:val="00CA0865"/>
    <w:rsid w:val="00CA0A3A"/>
    <w:rsid w:val="00CA1D33"/>
    <w:rsid w:val="00CA25D3"/>
    <w:rsid w:val="00CA4007"/>
    <w:rsid w:val="00CB2135"/>
    <w:rsid w:val="00CB2CD9"/>
    <w:rsid w:val="00CB52AD"/>
    <w:rsid w:val="00CC0F19"/>
    <w:rsid w:val="00CC0F85"/>
    <w:rsid w:val="00CC171B"/>
    <w:rsid w:val="00CC49C2"/>
    <w:rsid w:val="00CC50E3"/>
    <w:rsid w:val="00CC526E"/>
    <w:rsid w:val="00CC75BC"/>
    <w:rsid w:val="00CD0632"/>
    <w:rsid w:val="00CD0803"/>
    <w:rsid w:val="00CD090C"/>
    <w:rsid w:val="00CD0964"/>
    <w:rsid w:val="00CD4B2A"/>
    <w:rsid w:val="00CD58F7"/>
    <w:rsid w:val="00CE01FB"/>
    <w:rsid w:val="00CE0227"/>
    <w:rsid w:val="00CE0987"/>
    <w:rsid w:val="00CE2083"/>
    <w:rsid w:val="00CE3A13"/>
    <w:rsid w:val="00CE54B1"/>
    <w:rsid w:val="00CE63AF"/>
    <w:rsid w:val="00CF3047"/>
    <w:rsid w:val="00CF65C1"/>
    <w:rsid w:val="00CF66E7"/>
    <w:rsid w:val="00D046C9"/>
    <w:rsid w:val="00D11A8E"/>
    <w:rsid w:val="00D145A9"/>
    <w:rsid w:val="00D15846"/>
    <w:rsid w:val="00D20C6A"/>
    <w:rsid w:val="00D231BE"/>
    <w:rsid w:val="00D263F4"/>
    <w:rsid w:val="00D31AF6"/>
    <w:rsid w:val="00D33367"/>
    <w:rsid w:val="00D351C9"/>
    <w:rsid w:val="00D35BB4"/>
    <w:rsid w:val="00D36080"/>
    <w:rsid w:val="00D36759"/>
    <w:rsid w:val="00D44626"/>
    <w:rsid w:val="00D468C4"/>
    <w:rsid w:val="00D47139"/>
    <w:rsid w:val="00D4794A"/>
    <w:rsid w:val="00D47B52"/>
    <w:rsid w:val="00D50FE3"/>
    <w:rsid w:val="00D53261"/>
    <w:rsid w:val="00D566C2"/>
    <w:rsid w:val="00D60BE4"/>
    <w:rsid w:val="00D6253C"/>
    <w:rsid w:val="00D65493"/>
    <w:rsid w:val="00D663BE"/>
    <w:rsid w:val="00D664FF"/>
    <w:rsid w:val="00D70C80"/>
    <w:rsid w:val="00D718A4"/>
    <w:rsid w:val="00D71CC6"/>
    <w:rsid w:val="00D771A8"/>
    <w:rsid w:val="00D85A6E"/>
    <w:rsid w:val="00D877FF"/>
    <w:rsid w:val="00D9195B"/>
    <w:rsid w:val="00DA22C2"/>
    <w:rsid w:val="00DA5B49"/>
    <w:rsid w:val="00DB1016"/>
    <w:rsid w:val="00DB2C52"/>
    <w:rsid w:val="00DB3B89"/>
    <w:rsid w:val="00DB4916"/>
    <w:rsid w:val="00DB494A"/>
    <w:rsid w:val="00DC13C4"/>
    <w:rsid w:val="00DC19D9"/>
    <w:rsid w:val="00DC2F6F"/>
    <w:rsid w:val="00DC37AE"/>
    <w:rsid w:val="00DD05AD"/>
    <w:rsid w:val="00DD15E1"/>
    <w:rsid w:val="00DD4270"/>
    <w:rsid w:val="00DD4347"/>
    <w:rsid w:val="00DE283E"/>
    <w:rsid w:val="00DE2B2C"/>
    <w:rsid w:val="00DE4105"/>
    <w:rsid w:val="00DE45D3"/>
    <w:rsid w:val="00DE7E6F"/>
    <w:rsid w:val="00DF0115"/>
    <w:rsid w:val="00DF10E8"/>
    <w:rsid w:val="00DF35F0"/>
    <w:rsid w:val="00DF51EA"/>
    <w:rsid w:val="00DF6744"/>
    <w:rsid w:val="00DF7F76"/>
    <w:rsid w:val="00E01CD6"/>
    <w:rsid w:val="00E030E8"/>
    <w:rsid w:val="00E03967"/>
    <w:rsid w:val="00E052CE"/>
    <w:rsid w:val="00E06808"/>
    <w:rsid w:val="00E1418A"/>
    <w:rsid w:val="00E1680A"/>
    <w:rsid w:val="00E16C1E"/>
    <w:rsid w:val="00E17D45"/>
    <w:rsid w:val="00E20B86"/>
    <w:rsid w:val="00E2104A"/>
    <w:rsid w:val="00E21937"/>
    <w:rsid w:val="00E257F5"/>
    <w:rsid w:val="00E25D28"/>
    <w:rsid w:val="00E26636"/>
    <w:rsid w:val="00E3345A"/>
    <w:rsid w:val="00E3709C"/>
    <w:rsid w:val="00E37AEE"/>
    <w:rsid w:val="00E37B72"/>
    <w:rsid w:val="00E4151D"/>
    <w:rsid w:val="00E4254A"/>
    <w:rsid w:val="00E433A0"/>
    <w:rsid w:val="00E514CF"/>
    <w:rsid w:val="00E51638"/>
    <w:rsid w:val="00E5219A"/>
    <w:rsid w:val="00E53CFB"/>
    <w:rsid w:val="00E54A61"/>
    <w:rsid w:val="00E54BC9"/>
    <w:rsid w:val="00E55EC4"/>
    <w:rsid w:val="00E6002E"/>
    <w:rsid w:val="00E6215D"/>
    <w:rsid w:val="00E62374"/>
    <w:rsid w:val="00E62CE7"/>
    <w:rsid w:val="00E6308E"/>
    <w:rsid w:val="00E639C2"/>
    <w:rsid w:val="00E64892"/>
    <w:rsid w:val="00E65C89"/>
    <w:rsid w:val="00E67100"/>
    <w:rsid w:val="00E671CD"/>
    <w:rsid w:val="00E71DEE"/>
    <w:rsid w:val="00E72A5A"/>
    <w:rsid w:val="00E73F35"/>
    <w:rsid w:val="00E8137D"/>
    <w:rsid w:val="00E8169E"/>
    <w:rsid w:val="00E866D7"/>
    <w:rsid w:val="00E87152"/>
    <w:rsid w:val="00E877C1"/>
    <w:rsid w:val="00E9234C"/>
    <w:rsid w:val="00E92EA3"/>
    <w:rsid w:val="00E935B7"/>
    <w:rsid w:val="00E944A8"/>
    <w:rsid w:val="00E94615"/>
    <w:rsid w:val="00E96027"/>
    <w:rsid w:val="00E96501"/>
    <w:rsid w:val="00E96BCF"/>
    <w:rsid w:val="00EA0C82"/>
    <w:rsid w:val="00EA201B"/>
    <w:rsid w:val="00EA2F72"/>
    <w:rsid w:val="00EA45B9"/>
    <w:rsid w:val="00EA67D8"/>
    <w:rsid w:val="00EA7278"/>
    <w:rsid w:val="00EB0999"/>
    <w:rsid w:val="00EB18B8"/>
    <w:rsid w:val="00EB2230"/>
    <w:rsid w:val="00EB53B2"/>
    <w:rsid w:val="00EB544A"/>
    <w:rsid w:val="00EB5CFD"/>
    <w:rsid w:val="00EB7D3C"/>
    <w:rsid w:val="00EC264A"/>
    <w:rsid w:val="00EC4EEC"/>
    <w:rsid w:val="00EC52E9"/>
    <w:rsid w:val="00ED057D"/>
    <w:rsid w:val="00ED1985"/>
    <w:rsid w:val="00ED1C4D"/>
    <w:rsid w:val="00ED3865"/>
    <w:rsid w:val="00ED4ED9"/>
    <w:rsid w:val="00ED6ED4"/>
    <w:rsid w:val="00ED7FFA"/>
    <w:rsid w:val="00EE51C0"/>
    <w:rsid w:val="00EE6BF3"/>
    <w:rsid w:val="00EF2811"/>
    <w:rsid w:val="00EF6C95"/>
    <w:rsid w:val="00EF7A65"/>
    <w:rsid w:val="00EF7E93"/>
    <w:rsid w:val="00F01493"/>
    <w:rsid w:val="00F016FC"/>
    <w:rsid w:val="00F02D6A"/>
    <w:rsid w:val="00F04F68"/>
    <w:rsid w:val="00F07E67"/>
    <w:rsid w:val="00F11CFE"/>
    <w:rsid w:val="00F16390"/>
    <w:rsid w:val="00F20E86"/>
    <w:rsid w:val="00F217CC"/>
    <w:rsid w:val="00F229BA"/>
    <w:rsid w:val="00F22C80"/>
    <w:rsid w:val="00F233C0"/>
    <w:rsid w:val="00F23F10"/>
    <w:rsid w:val="00F255FF"/>
    <w:rsid w:val="00F25BB3"/>
    <w:rsid w:val="00F269F7"/>
    <w:rsid w:val="00F2735D"/>
    <w:rsid w:val="00F35842"/>
    <w:rsid w:val="00F3760C"/>
    <w:rsid w:val="00F46F09"/>
    <w:rsid w:val="00F54F38"/>
    <w:rsid w:val="00F61782"/>
    <w:rsid w:val="00F61853"/>
    <w:rsid w:val="00F61E44"/>
    <w:rsid w:val="00F658F9"/>
    <w:rsid w:val="00F70844"/>
    <w:rsid w:val="00F76E8B"/>
    <w:rsid w:val="00F822BF"/>
    <w:rsid w:val="00F853DA"/>
    <w:rsid w:val="00F85995"/>
    <w:rsid w:val="00F87E80"/>
    <w:rsid w:val="00F90C5E"/>
    <w:rsid w:val="00F90E99"/>
    <w:rsid w:val="00F939DE"/>
    <w:rsid w:val="00F95A1D"/>
    <w:rsid w:val="00F9678B"/>
    <w:rsid w:val="00FA18F1"/>
    <w:rsid w:val="00FA2D7B"/>
    <w:rsid w:val="00FA41DB"/>
    <w:rsid w:val="00FB1DED"/>
    <w:rsid w:val="00FB2AEC"/>
    <w:rsid w:val="00FB2E12"/>
    <w:rsid w:val="00FB408A"/>
    <w:rsid w:val="00FB4A7C"/>
    <w:rsid w:val="00FB4FC4"/>
    <w:rsid w:val="00FB5E4E"/>
    <w:rsid w:val="00FC152A"/>
    <w:rsid w:val="00FD4C25"/>
    <w:rsid w:val="00FD4EBE"/>
    <w:rsid w:val="00FE249F"/>
    <w:rsid w:val="00FE284A"/>
    <w:rsid w:val="00FE3123"/>
    <w:rsid w:val="00FE3770"/>
    <w:rsid w:val="00FE5FD7"/>
    <w:rsid w:val="00FF119A"/>
    <w:rsid w:val="00FF200B"/>
    <w:rsid w:val="00FF2CF7"/>
    <w:rsid w:val="00FF372B"/>
    <w:rsid w:val="00FF567A"/>
    <w:rsid w:val="00FF5BF3"/>
    <w:rsid w:val="00FF68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731CB"/>
  <w15:docId w15:val="{F2925B6B-2711-4D93-A26E-86F01856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79"/>
    <w:pPr>
      <w:suppressAutoHyphens/>
    </w:pPr>
    <w:rPr>
      <w:sz w:val="24"/>
      <w:szCs w:val="24"/>
      <w:lang w:val="tr-TR" w:eastAsia="ar-SA"/>
    </w:rPr>
  </w:style>
  <w:style w:type="paragraph" w:styleId="Heading1">
    <w:name w:val="heading 1"/>
    <w:basedOn w:val="Normal"/>
    <w:next w:val="Normal"/>
    <w:link w:val="Heading1Char"/>
    <w:uiPriority w:val="99"/>
    <w:qFormat/>
    <w:rsid w:val="00A132BE"/>
    <w:pPr>
      <w:keepNext/>
      <w:jc w:val="center"/>
      <w:outlineLvl w:val="0"/>
    </w:pPr>
    <w:rPr>
      <w:rFonts w:ascii="Arial" w:hAnsi="Arial"/>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132BE"/>
    <w:rPr>
      <w:rFonts w:ascii="Arial" w:hAnsi="Arial"/>
      <w:b/>
      <w:iCs/>
      <w:sz w:val="18"/>
      <w:szCs w:val="18"/>
      <w:lang w:val="tr-TR" w:eastAsia="ar-SA"/>
    </w:rPr>
  </w:style>
  <w:style w:type="character" w:customStyle="1" w:styleId="Heading2Char">
    <w:name w:val="Heading 2 Char"/>
    <w:link w:val="Heading2"/>
    <w:uiPriority w:val="99"/>
    <w:rsid w:val="00A132BE"/>
    <w:rPr>
      <w:rFonts w:ascii="Arial" w:hAnsi="Arial" w:cs="Arial"/>
      <w:b/>
      <w:bCs/>
      <w:i/>
      <w:iCs/>
      <w:sz w:val="28"/>
      <w:szCs w:val="28"/>
      <w:lang w:val="en-GB" w:eastAsia="ar-SA"/>
    </w:rPr>
  </w:style>
  <w:style w:type="character" w:customStyle="1" w:styleId="Heading3Char">
    <w:name w:val="Heading 3 Char"/>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qFormat/>
    <w:rsid w:val="00A132BE"/>
    <w:rPr>
      <w:b/>
      <w:bCs/>
    </w:rPr>
  </w:style>
  <w:style w:type="character" w:styleId="Emphasis">
    <w:name w:val="Emphasis"/>
    <w:uiPriority w:val="20"/>
    <w:qFormat/>
    <w:rsid w:val="00A132BE"/>
    <w:rPr>
      <w:i/>
      <w:iCs/>
    </w:rPr>
  </w:style>
  <w:style w:type="character" w:styleId="FootnoteReference">
    <w:name w:val="footnote reference"/>
    <w:uiPriority w:val="99"/>
    <w:semiHidden/>
    <w:rsid w:val="00640379"/>
    <w:rPr>
      <w:vertAlign w:val="superscript"/>
    </w:rPr>
  </w:style>
  <w:style w:type="paragraph" w:styleId="FootnoteText">
    <w:name w:val="footnote text"/>
    <w:basedOn w:val="Normal"/>
    <w:link w:val="FootnoteTextChar"/>
    <w:uiPriority w:val="99"/>
    <w:semiHidden/>
    <w:rsid w:val="00640379"/>
    <w:rPr>
      <w:sz w:val="20"/>
      <w:szCs w:val="20"/>
    </w:rPr>
  </w:style>
  <w:style w:type="character" w:customStyle="1" w:styleId="FootnoteTextChar">
    <w:name w:val="Footnote Text Char"/>
    <w:link w:val="FootnoteText"/>
    <w:uiPriority w:val="99"/>
    <w:semiHidden/>
    <w:rsid w:val="00640379"/>
    <w:rPr>
      <w:lang w:eastAsia="ar-SA"/>
    </w:rPr>
  </w:style>
  <w:style w:type="paragraph" w:styleId="Footer">
    <w:name w:val="footer"/>
    <w:basedOn w:val="Normal"/>
    <w:link w:val="FooterChar"/>
    <w:uiPriority w:val="99"/>
    <w:rsid w:val="00640379"/>
    <w:pPr>
      <w:tabs>
        <w:tab w:val="center" w:pos="4536"/>
        <w:tab w:val="right" w:pos="9072"/>
      </w:tabs>
    </w:pPr>
  </w:style>
  <w:style w:type="character" w:customStyle="1" w:styleId="FooterChar">
    <w:name w:val="Footer Char"/>
    <w:link w:val="Footer"/>
    <w:uiPriority w:val="99"/>
    <w:rsid w:val="00640379"/>
    <w:rPr>
      <w:sz w:val="24"/>
      <w:szCs w:val="24"/>
      <w:lang w:eastAsia="ar-SA"/>
    </w:rPr>
  </w:style>
  <w:style w:type="character" w:styleId="PageNumber">
    <w:name w:val="page number"/>
    <w:basedOn w:val="DefaultParagraphFont"/>
    <w:uiPriority w:val="99"/>
    <w:rsid w:val="00640379"/>
  </w:style>
  <w:style w:type="paragraph" w:styleId="BalloonText">
    <w:name w:val="Balloon Text"/>
    <w:basedOn w:val="Normal"/>
    <w:link w:val="BalloonTextChar"/>
    <w:uiPriority w:val="99"/>
    <w:semiHidden/>
    <w:unhideWhenUsed/>
    <w:rsid w:val="00EB0999"/>
    <w:rPr>
      <w:rFonts w:ascii="Tahoma" w:hAnsi="Tahoma"/>
      <w:sz w:val="16"/>
      <w:szCs w:val="16"/>
    </w:rPr>
  </w:style>
  <w:style w:type="character" w:customStyle="1" w:styleId="BalloonTextChar">
    <w:name w:val="Balloon Text Char"/>
    <w:link w:val="BalloonText"/>
    <w:uiPriority w:val="99"/>
    <w:semiHidden/>
    <w:rsid w:val="00EB0999"/>
    <w:rPr>
      <w:rFonts w:ascii="Tahoma" w:hAnsi="Tahoma" w:cs="Tahoma"/>
      <w:sz w:val="16"/>
      <w:szCs w:val="16"/>
      <w:lang w:eastAsia="ar-SA"/>
    </w:rPr>
  </w:style>
  <w:style w:type="table" w:styleId="TableGrid">
    <w:name w:val="Table Grid"/>
    <w:basedOn w:val="TableNormal"/>
    <w:uiPriority w:val="59"/>
    <w:rsid w:val="002A00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link w:val="CommentText"/>
    <w:uiPriority w:val="99"/>
    <w:semiHidden/>
    <w:rsid w:val="0084191B"/>
    <w:rPr>
      <w:lang w:eastAsia="ar-SA"/>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link w:val="CommentSubject"/>
    <w:uiPriority w:val="99"/>
    <w:semiHidden/>
    <w:rsid w:val="0084191B"/>
    <w:rPr>
      <w:b/>
      <w:bCs/>
      <w:lang w:eastAsia="ar-SA"/>
    </w:rPr>
  </w:style>
  <w:style w:type="paragraph" w:styleId="Header">
    <w:name w:val="header"/>
    <w:basedOn w:val="Normal"/>
    <w:link w:val="HeaderChar"/>
    <w:uiPriority w:val="99"/>
    <w:unhideWhenUsed/>
    <w:rsid w:val="005011D8"/>
    <w:pPr>
      <w:tabs>
        <w:tab w:val="center" w:pos="4536"/>
        <w:tab w:val="right" w:pos="9072"/>
      </w:tabs>
    </w:pPr>
  </w:style>
  <w:style w:type="character" w:customStyle="1" w:styleId="HeaderChar">
    <w:name w:val="Header Char"/>
    <w:link w:val="Header"/>
    <w:uiPriority w:val="99"/>
    <w:rsid w:val="005011D8"/>
    <w:rPr>
      <w:sz w:val="24"/>
      <w:szCs w:val="24"/>
      <w:lang w:eastAsia="ar-SA"/>
    </w:rPr>
  </w:style>
  <w:style w:type="paragraph" w:styleId="EndnoteText">
    <w:name w:val="endnote text"/>
    <w:basedOn w:val="Normal"/>
    <w:link w:val="EndnoteTextChar"/>
    <w:uiPriority w:val="99"/>
    <w:semiHidden/>
    <w:unhideWhenUsed/>
    <w:rsid w:val="00222F0B"/>
    <w:rPr>
      <w:sz w:val="20"/>
      <w:szCs w:val="20"/>
    </w:rPr>
  </w:style>
  <w:style w:type="character" w:customStyle="1" w:styleId="EndnoteTextChar">
    <w:name w:val="Endnote Text Char"/>
    <w:basedOn w:val="DefaultParagraphFont"/>
    <w:link w:val="EndnoteText"/>
    <w:uiPriority w:val="99"/>
    <w:semiHidden/>
    <w:rsid w:val="00222F0B"/>
    <w:rPr>
      <w:lang w:val="tr-TR" w:eastAsia="ar-SA"/>
    </w:rPr>
  </w:style>
  <w:style w:type="character" w:styleId="EndnoteReference">
    <w:name w:val="endnote reference"/>
    <w:basedOn w:val="DefaultParagraphFont"/>
    <w:uiPriority w:val="99"/>
    <w:semiHidden/>
    <w:unhideWhenUsed/>
    <w:rsid w:val="00222F0B"/>
    <w:rPr>
      <w:vertAlign w:val="superscript"/>
    </w:rPr>
  </w:style>
  <w:style w:type="paragraph" w:styleId="ListParagraph">
    <w:name w:val="List Paragraph"/>
    <w:basedOn w:val="Normal"/>
    <w:uiPriority w:val="34"/>
    <w:qFormat/>
    <w:rsid w:val="001A6364"/>
    <w:pPr>
      <w:ind w:left="720"/>
      <w:contextualSpacing/>
    </w:pPr>
  </w:style>
  <w:style w:type="character" w:styleId="Hyperlink">
    <w:name w:val="Hyperlink"/>
    <w:basedOn w:val="DefaultParagraphFont"/>
    <w:uiPriority w:val="99"/>
    <w:unhideWhenUsed/>
    <w:rsid w:val="001A6364"/>
    <w:rPr>
      <w:color w:val="0000FF" w:themeColor="hyperlink"/>
      <w:u w:val="single"/>
    </w:rPr>
  </w:style>
  <w:style w:type="paragraph" w:styleId="NormalWeb">
    <w:name w:val="Normal (Web)"/>
    <w:basedOn w:val="Normal"/>
    <w:uiPriority w:val="99"/>
    <w:semiHidden/>
    <w:unhideWhenUsed/>
    <w:rsid w:val="00562D23"/>
    <w:pPr>
      <w:suppressAutoHyphens w:val="0"/>
      <w:spacing w:before="100" w:beforeAutospacing="1" w:after="100" w:afterAutospacing="1"/>
    </w:pPr>
    <w:rPr>
      <w:rFonts w:eastAsiaTheme="minorEastAsia"/>
      <w:lang w:eastAsia="tr-TR"/>
    </w:rPr>
  </w:style>
  <w:style w:type="character" w:styleId="PlaceholderText">
    <w:name w:val="Placeholder Text"/>
    <w:basedOn w:val="DefaultParagraphFont"/>
    <w:uiPriority w:val="99"/>
    <w:semiHidden/>
    <w:rsid w:val="001E4A24"/>
    <w:rPr>
      <w:color w:val="808080"/>
    </w:rPr>
  </w:style>
  <w:style w:type="character" w:customStyle="1" w:styleId="Mention1">
    <w:name w:val="Mention1"/>
    <w:basedOn w:val="DefaultParagraphFont"/>
    <w:uiPriority w:val="99"/>
    <w:semiHidden/>
    <w:unhideWhenUsed/>
    <w:rsid w:val="00A65E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1085">
      <w:bodyDiv w:val="1"/>
      <w:marLeft w:val="0"/>
      <w:marRight w:val="0"/>
      <w:marTop w:val="0"/>
      <w:marBottom w:val="0"/>
      <w:divBdr>
        <w:top w:val="none" w:sz="0" w:space="0" w:color="auto"/>
        <w:left w:val="none" w:sz="0" w:space="0" w:color="auto"/>
        <w:bottom w:val="none" w:sz="0" w:space="0" w:color="auto"/>
        <w:right w:val="none" w:sz="0" w:space="0" w:color="auto"/>
      </w:divBdr>
    </w:div>
    <w:div w:id="143859789">
      <w:bodyDiv w:val="1"/>
      <w:marLeft w:val="0"/>
      <w:marRight w:val="0"/>
      <w:marTop w:val="0"/>
      <w:marBottom w:val="0"/>
      <w:divBdr>
        <w:top w:val="none" w:sz="0" w:space="0" w:color="auto"/>
        <w:left w:val="none" w:sz="0" w:space="0" w:color="auto"/>
        <w:bottom w:val="none" w:sz="0" w:space="0" w:color="auto"/>
        <w:right w:val="none" w:sz="0" w:space="0" w:color="auto"/>
      </w:divBdr>
    </w:div>
    <w:div w:id="160707282">
      <w:bodyDiv w:val="1"/>
      <w:marLeft w:val="0"/>
      <w:marRight w:val="0"/>
      <w:marTop w:val="0"/>
      <w:marBottom w:val="0"/>
      <w:divBdr>
        <w:top w:val="none" w:sz="0" w:space="0" w:color="auto"/>
        <w:left w:val="none" w:sz="0" w:space="0" w:color="auto"/>
        <w:bottom w:val="none" w:sz="0" w:space="0" w:color="auto"/>
        <w:right w:val="none" w:sz="0" w:space="0" w:color="auto"/>
      </w:divBdr>
    </w:div>
    <w:div w:id="166485511">
      <w:bodyDiv w:val="1"/>
      <w:marLeft w:val="0"/>
      <w:marRight w:val="0"/>
      <w:marTop w:val="0"/>
      <w:marBottom w:val="0"/>
      <w:divBdr>
        <w:top w:val="none" w:sz="0" w:space="0" w:color="auto"/>
        <w:left w:val="none" w:sz="0" w:space="0" w:color="auto"/>
        <w:bottom w:val="none" w:sz="0" w:space="0" w:color="auto"/>
        <w:right w:val="none" w:sz="0" w:space="0" w:color="auto"/>
      </w:divBdr>
    </w:div>
    <w:div w:id="171729738">
      <w:bodyDiv w:val="1"/>
      <w:marLeft w:val="0"/>
      <w:marRight w:val="0"/>
      <w:marTop w:val="0"/>
      <w:marBottom w:val="0"/>
      <w:divBdr>
        <w:top w:val="none" w:sz="0" w:space="0" w:color="auto"/>
        <w:left w:val="none" w:sz="0" w:space="0" w:color="auto"/>
        <w:bottom w:val="none" w:sz="0" w:space="0" w:color="auto"/>
        <w:right w:val="none" w:sz="0" w:space="0" w:color="auto"/>
      </w:divBdr>
    </w:div>
    <w:div w:id="287202934">
      <w:bodyDiv w:val="1"/>
      <w:marLeft w:val="0"/>
      <w:marRight w:val="0"/>
      <w:marTop w:val="0"/>
      <w:marBottom w:val="0"/>
      <w:divBdr>
        <w:top w:val="none" w:sz="0" w:space="0" w:color="auto"/>
        <w:left w:val="none" w:sz="0" w:space="0" w:color="auto"/>
        <w:bottom w:val="none" w:sz="0" w:space="0" w:color="auto"/>
        <w:right w:val="none" w:sz="0" w:space="0" w:color="auto"/>
      </w:divBdr>
    </w:div>
    <w:div w:id="328367946">
      <w:bodyDiv w:val="1"/>
      <w:marLeft w:val="0"/>
      <w:marRight w:val="0"/>
      <w:marTop w:val="0"/>
      <w:marBottom w:val="0"/>
      <w:divBdr>
        <w:top w:val="none" w:sz="0" w:space="0" w:color="auto"/>
        <w:left w:val="none" w:sz="0" w:space="0" w:color="auto"/>
        <w:bottom w:val="none" w:sz="0" w:space="0" w:color="auto"/>
        <w:right w:val="none" w:sz="0" w:space="0" w:color="auto"/>
      </w:divBdr>
    </w:div>
    <w:div w:id="386682911">
      <w:bodyDiv w:val="1"/>
      <w:marLeft w:val="0"/>
      <w:marRight w:val="0"/>
      <w:marTop w:val="0"/>
      <w:marBottom w:val="0"/>
      <w:divBdr>
        <w:top w:val="none" w:sz="0" w:space="0" w:color="auto"/>
        <w:left w:val="none" w:sz="0" w:space="0" w:color="auto"/>
        <w:bottom w:val="none" w:sz="0" w:space="0" w:color="auto"/>
        <w:right w:val="none" w:sz="0" w:space="0" w:color="auto"/>
      </w:divBdr>
    </w:div>
    <w:div w:id="574782380">
      <w:bodyDiv w:val="1"/>
      <w:marLeft w:val="0"/>
      <w:marRight w:val="0"/>
      <w:marTop w:val="0"/>
      <w:marBottom w:val="0"/>
      <w:divBdr>
        <w:top w:val="none" w:sz="0" w:space="0" w:color="auto"/>
        <w:left w:val="none" w:sz="0" w:space="0" w:color="auto"/>
        <w:bottom w:val="none" w:sz="0" w:space="0" w:color="auto"/>
        <w:right w:val="none" w:sz="0" w:space="0" w:color="auto"/>
      </w:divBdr>
    </w:div>
    <w:div w:id="686249772">
      <w:bodyDiv w:val="1"/>
      <w:marLeft w:val="0"/>
      <w:marRight w:val="0"/>
      <w:marTop w:val="0"/>
      <w:marBottom w:val="0"/>
      <w:divBdr>
        <w:top w:val="none" w:sz="0" w:space="0" w:color="auto"/>
        <w:left w:val="none" w:sz="0" w:space="0" w:color="auto"/>
        <w:bottom w:val="none" w:sz="0" w:space="0" w:color="auto"/>
        <w:right w:val="none" w:sz="0" w:space="0" w:color="auto"/>
      </w:divBdr>
    </w:div>
    <w:div w:id="782459435">
      <w:bodyDiv w:val="1"/>
      <w:marLeft w:val="0"/>
      <w:marRight w:val="0"/>
      <w:marTop w:val="0"/>
      <w:marBottom w:val="0"/>
      <w:divBdr>
        <w:top w:val="none" w:sz="0" w:space="0" w:color="auto"/>
        <w:left w:val="none" w:sz="0" w:space="0" w:color="auto"/>
        <w:bottom w:val="none" w:sz="0" w:space="0" w:color="auto"/>
        <w:right w:val="none" w:sz="0" w:space="0" w:color="auto"/>
      </w:divBdr>
    </w:div>
    <w:div w:id="855535346">
      <w:bodyDiv w:val="1"/>
      <w:marLeft w:val="0"/>
      <w:marRight w:val="0"/>
      <w:marTop w:val="0"/>
      <w:marBottom w:val="0"/>
      <w:divBdr>
        <w:top w:val="none" w:sz="0" w:space="0" w:color="auto"/>
        <w:left w:val="none" w:sz="0" w:space="0" w:color="auto"/>
        <w:bottom w:val="none" w:sz="0" w:space="0" w:color="auto"/>
        <w:right w:val="none" w:sz="0" w:space="0" w:color="auto"/>
      </w:divBdr>
      <w:divsChild>
        <w:div w:id="2124954395">
          <w:marLeft w:val="0"/>
          <w:marRight w:val="0"/>
          <w:marTop w:val="0"/>
          <w:marBottom w:val="0"/>
          <w:divBdr>
            <w:top w:val="none" w:sz="0" w:space="0" w:color="auto"/>
            <w:left w:val="none" w:sz="0" w:space="0" w:color="auto"/>
            <w:bottom w:val="none" w:sz="0" w:space="0" w:color="auto"/>
            <w:right w:val="none" w:sz="0" w:space="0" w:color="auto"/>
          </w:divBdr>
        </w:div>
        <w:div w:id="289672154">
          <w:marLeft w:val="0"/>
          <w:marRight w:val="0"/>
          <w:marTop w:val="0"/>
          <w:marBottom w:val="0"/>
          <w:divBdr>
            <w:top w:val="none" w:sz="0" w:space="0" w:color="auto"/>
            <w:left w:val="none" w:sz="0" w:space="0" w:color="auto"/>
            <w:bottom w:val="none" w:sz="0" w:space="0" w:color="auto"/>
            <w:right w:val="none" w:sz="0" w:space="0" w:color="auto"/>
          </w:divBdr>
        </w:div>
      </w:divsChild>
    </w:div>
    <w:div w:id="888146431">
      <w:bodyDiv w:val="1"/>
      <w:marLeft w:val="0"/>
      <w:marRight w:val="0"/>
      <w:marTop w:val="0"/>
      <w:marBottom w:val="0"/>
      <w:divBdr>
        <w:top w:val="none" w:sz="0" w:space="0" w:color="auto"/>
        <w:left w:val="none" w:sz="0" w:space="0" w:color="auto"/>
        <w:bottom w:val="none" w:sz="0" w:space="0" w:color="auto"/>
        <w:right w:val="none" w:sz="0" w:space="0" w:color="auto"/>
      </w:divBdr>
    </w:div>
    <w:div w:id="910429544">
      <w:bodyDiv w:val="1"/>
      <w:marLeft w:val="0"/>
      <w:marRight w:val="0"/>
      <w:marTop w:val="0"/>
      <w:marBottom w:val="0"/>
      <w:divBdr>
        <w:top w:val="none" w:sz="0" w:space="0" w:color="auto"/>
        <w:left w:val="none" w:sz="0" w:space="0" w:color="auto"/>
        <w:bottom w:val="none" w:sz="0" w:space="0" w:color="auto"/>
        <w:right w:val="none" w:sz="0" w:space="0" w:color="auto"/>
      </w:divBdr>
    </w:div>
    <w:div w:id="929236498">
      <w:bodyDiv w:val="1"/>
      <w:marLeft w:val="0"/>
      <w:marRight w:val="0"/>
      <w:marTop w:val="0"/>
      <w:marBottom w:val="0"/>
      <w:divBdr>
        <w:top w:val="none" w:sz="0" w:space="0" w:color="auto"/>
        <w:left w:val="none" w:sz="0" w:space="0" w:color="auto"/>
        <w:bottom w:val="none" w:sz="0" w:space="0" w:color="auto"/>
        <w:right w:val="none" w:sz="0" w:space="0" w:color="auto"/>
      </w:divBdr>
    </w:div>
    <w:div w:id="1115366550">
      <w:bodyDiv w:val="1"/>
      <w:marLeft w:val="0"/>
      <w:marRight w:val="0"/>
      <w:marTop w:val="0"/>
      <w:marBottom w:val="0"/>
      <w:divBdr>
        <w:top w:val="none" w:sz="0" w:space="0" w:color="auto"/>
        <w:left w:val="none" w:sz="0" w:space="0" w:color="auto"/>
        <w:bottom w:val="none" w:sz="0" w:space="0" w:color="auto"/>
        <w:right w:val="none" w:sz="0" w:space="0" w:color="auto"/>
      </w:divBdr>
    </w:div>
    <w:div w:id="1121339265">
      <w:bodyDiv w:val="1"/>
      <w:marLeft w:val="0"/>
      <w:marRight w:val="0"/>
      <w:marTop w:val="0"/>
      <w:marBottom w:val="0"/>
      <w:divBdr>
        <w:top w:val="none" w:sz="0" w:space="0" w:color="auto"/>
        <w:left w:val="none" w:sz="0" w:space="0" w:color="auto"/>
        <w:bottom w:val="none" w:sz="0" w:space="0" w:color="auto"/>
        <w:right w:val="none" w:sz="0" w:space="0" w:color="auto"/>
      </w:divBdr>
    </w:div>
    <w:div w:id="1121727680">
      <w:bodyDiv w:val="1"/>
      <w:marLeft w:val="0"/>
      <w:marRight w:val="0"/>
      <w:marTop w:val="0"/>
      <w:marBottom w:val="0"/>
      <w:divBdr>
        <w:top w:val="none" w:sz="0" w:space="0" w:color="auto"/>
        <w:left w:val="none" w:sz="0" w:space="0" w:color="auto"/>
        <w:bottom w:val="none" w:sz="0" w:space="0" w:color="auto"/>
        <w:right w:val="none" w:sz="0" w:space="0" w:color="auto"/>
      </w:divBdr>
    </w:div>
    <w:div w:id="1156727256">
      <w:bodyDiv w:val="1"/>
      <w:marLeft w:val="0"/>
      <w:marRight w:val="0"/>
      <w:marTop w:val="0"/>
      <w:marBottom w:val="0"/>
      <w:divBdr>
        <w:top w:val="none" w:sz="0" w:space="0" w:color="auto"/>
        <w:left w:val="none" w:sz="0" w:space="0" w:color="auto"/>
        <w:bottom w:val="none" w:sz="0" w:space="0" w:color="auto"/>
        <w:right w:val="none" w:sz="0" w:space="0" w:color="auto"/>
      </w:divBdr>
    </w:div>
    <w:div w:id="1163207572">
      <w:bodyDiv w:val="1"/>
      <w:marLeft w:val="0"/>
      <w:marRight w:val="0"/>
      <w:marTop w:val="0"/>
      <w:marBottom w:val="0"/>
      <w:divBdr>
        <w:top w:val="none" w:sz="0" w:space="0" w:color="auto"/>
        <w:left w:val="none" w:sz="0" w:space="0" w:color="auto"/>
        <w:bottom w:val="none" w:sz="0" w:space="0" w:color="auto"/>
        <w:right w:val="none" w:sz="0" w:space="0" w:color="auto"/>
      </w:divBdr>
    </w:div>
    <w:div w:id="1170680961">
      <w:bodyDiv w:val="1"/>
      <w:marLeft w:val="0"/>
      <w:marRight w:val="0"/>
      <w:marTop w:val="0"/>
      <w:marBottom w:val="0"/>
      <w:divBdr>
        <w:top w:val="none" w:sz="0" w:space="0" w:color="auto"/>
        <w:left w:val="none" w:sz="0" w:space="0" w:color="auto"/>
        <w:bottom w:val="none" w:sz="0" w:space="0" w:color="auto"/>
        <w:right w:val="none" w:sz="0" w:space="0" w:color="auto"/>
      </w:divBdr>
    </w:div>
    <w:div w:id="1198735835">
      <w:bodyDiv w:val="1"/>
      <w:marLeft w:val="0"/>
      <w:marRight w:val="0"/>
      <w:marTop w:val="0"/>
      <w:marBottom w:val="0"/>
      <w:divBdr>
        <w:top w:val="none" w:sz="0" w:space="0" w:color="auto"/>
        <w:left w:val="none" w:sz="0" w:space="0" w:color="auto"/>
        <w:bottom w:val="none" w:sz="0" w:space="0" w:color="auto"/>
        <w:right w:val="none" w:sz="0" w:space="0" w:color="auto"/>
      </w:divBdr>
    </w:div>
    <w:div w:id="1206528503">
      <w:bodyDiv w:val="1"/>
      <w:marLeft w:val="0"/>
      <w:marRight w:val="0"/>
      <w:marTop w:val="0"/>
      <w:marBottom w:val="0"/>
      <w:divBdr>
        <w:top w:val="none" w:sz="0" w:space="0" w:color="auto"/>
        <w:left w:val="none" w:sz="0" w:space="0" w:color="auto"/>
        <w:bottom w:val="none" w:sz="0" w:space="0" w:color="auto"/>
        <w:right w:val="none" w:sz="0" w:space="0" w:color="auto"/>
      </w:divBdr>
    </w:div>
    <w:div w:id="1282616707">
      <w:bodyDiv w:val="1"/>
      <w:marLeft w:val="0"/>
      <w:marRight w:val="0"/>
      <w:marTop w:val="0"/>
      <w:marBottom w:val="0"/>
      <w:divBdr>
        <w:top w:val="none" w:sz="0" w:space="0" w:color="auto"/>
        <w:left w:val="none" w:sz="0" w:space="0" w:color="auto"/>
        <w:bottom w:val="none" w:sz="0" w:space="0" w:color="auto"/>
        <w:right w:val="none" w:sz="0" w:space="0" w:color="auto"/>
      </w:divBdr>
    </w:div>
    <w:div w:id="1287270228">
      <w:bodyDiv w:val="1"/>
      <w:marLeft w:val="0"/>
      <w:marRight w:val="0"/>
      <w:marTop w:val="0"/>
      <w:marBottom w:val="0"/>
      <w:divBdr>
        <w:top w:val="none" w:sz="0" w:space="0" w:color="auto"/>
        <w:left w:val="none" w:sz="0" w:space="0" w:color="auto"/>
        <w:bottom w:val="none" w:sz="0" w:space="0" w:color="auto"/>
        <w:right w:val="none" w:sz="0" w:space="0" w:color="auto"/>
      </w:divBdr>
    </w:div>
    <w:div w:id="1341078595">
      <w:bodyDiv w:val="1"/>
      <w:marLeft w:val="0"/>
      <w:marRight w:val="0"/>
      <w:marTop w:val="0"/>
      <w:marBottom w:val="0"/>
      <w:divBdr>
        <w:top w:val="none" w:sz="0" w:space="0" w:color="auto"/>
        <w:left w:val="none" w:sz="0" w:space="0" w:color="auto"/>
        <w:bottom w:val="none" w:sz="0" w:space="0" w:color="auto"/>
        <w:right w:val="none" w:sz="0" w:space="0" w:color="auto"/>
      </w:divBdr>
    </w:div>
    <w:div w:id="1357271098">
      <w:bodyDiv w:val="1"/>
      <w:marLeft w:val="0"/>
      <w:marRight w:val="0"/>
      <w:marTop w:val="0"/>
      <w:marBottom w:val="0"/>
      <w:divBdr>
        <w:top w:val="none" w:sz="0" w:space="0" w:color="auto"/>
        <w:left w:val="none" w:sz="0" w:space="0" w:color="auto"/>
        <w:bottom w:val="none" w:sz="0" w:space="0" w:color="auto"/>
        <w:right w:val="none" w:sz="0" w:space="0" w:color="auto"/>
      </w:divBdr>
    </w:div>
    <w:div w:id="1405838212">
      <w:bodyDiv w:val="1"/>
      <w:marLeft w:val="0"/>
      <w:marRight w:val="0"/>
      <w:marTop w:val="0"/>
      <w:marBottom w:val="0"/>
      <w:divBdr>
        <w:top w:val="none" w:sz="0" w:space="0" w:color="auto"/>
        <w:left w:val="none" w:sz="0" w:space="0" w:color="auto"/>
        <w:bottom w:val="none" w:sz="0" w:space="0" w:color="auto"/>
        <w:right w:val="none" w:sz="0" w:space="0" w:color="auto"/>
      </w:divBdr>
    </w:div>
    <w:div w:id="1533298811">
      <w:bodyDiv w:val="1"/>
      <w:marLeft w:val="0"/>
      <w:marRight w:val="0"/>
      <w:marTop w:val="0"/>
      <w:marBottom w:val="0"/>
      <w:divBdr>
        <w:top w:val="none" w:sz="0" w:space="0" w:color="auto"/>
        <w:left w:val="none" w:sz="0" w:space="0" w:color="auto"/>
        <w:bottom w:val="none" w:sz="0" w:space="0" w:color="auto"/>
        <w:right w:val="none" w:sz="0" w:space="0" w:color="auto"/>
      </w:divBdr>
    </w:div>
    <w:div w:id="1555392667">
      <w:bodyDiv w:val="1"/>
      <w:marLeft w:val="0"/>
      <w:marRight w:val="0"/>
      <w:marTop w:val="0"/>
      <w:marBottom w:val="0"/>
      <w:divBdr>
        <w:top w:val="none" w:sz="0" w:space="0" w:color="auto"/>
        <w:left w:val="none" w:sz="0" w:space="0" w:color="auto"/>
        <w:bottom w:val="none" w:sz="0" w:space="0" w:color="auto"/>
        <w:right w:val="none" w:sz="0" w:space="0" w:color="auto"/>
      </w:divBdr>
    </w:div>
    <w:div w:id="1591740748">
      <w:bodyDiv w:val="1"/>
      <w:marLeft w:val="0"/>
      <w:marRight w:val="0"/>
      <w:marTop w:val="0"/>
      <w:marBottom w:val="0"/>
      <w:divBdr>
        <w:top w:val="none" w:sz="0" w:space="0" w:color="auto"/>
        <w:left w:val="none" w:sz="0" w:space="0" w:color="auto"/>
        <w:bottom w:val="none" w:sz="0" w:space="0" w:color="auto"/>
        <w:right w:val="none" w:sz="0" w:space="0" w:color="auto"/>
      </w:divBdr>
    </w:div>
    <w:div w:id="1677538884">
      <w:bodyDiv w:val="1"/>
      <w:marLeft w:val="0"/>
      <w:marRight w:val="0"/>
      <w:marTop w:val="0"/>
      <w:marBottom w:val="0"/>
      <w:divBdr>
        <w:top w:val="none" w:sz="0" w:space="0" w:color="auto"/>
        <w:left w:val="none" w:sz="0" w:space="0" w:color="auto"/>
        <w:bottom w:val="none" w:sz="0" w:space="0" w:color="auto"/>
        <w:right w:val="none" w:sz="0" w:space="0" w:color="auto"/>
      </w:divBdr>
    </w:div>
    <w:div w:id="1723629337">
      <w:bodyDiv w:val="1"/>
      <w:marLeft w:val="0"/>
      <w:marRight w:val="0"/>
      <w:marTop w:val="0"/>
      <w:marBottom w:val="0"/>
      <w:divBdr>
        <w:top w:val="none" w:sz="0" w:space="0" w:color="auto"/>
        <w:left w:val="none" w:sz="0" w:space="0" w:color="auto"/>
        <w:bottom w:val="none" w:sz="0" w:space="0" w:color="auto"/>
        <w:right w:val="none" w:sz="0" w:space="0" w:color="auto"/>
      </w:divBdr>
    </w:div>
    <w:div w:id="1751535059">
      <w:bodyDiv w:val="1"/>
      <w:marLeft w:val="0"/>
      <w:marRight w:val="0"/>
      <w:marTop w:val="0"/>
      <w:marBottom w:val="0"/>
      <w:divBdr>
        <w:top w:val="none" w:sz="0" w:space="0" w:color="auto"/>
        <w:left w:val="none" w:sz="0" w:space="0" w:color="auto"/>
        <w:bottom w:val="none" w:sz="0" w:space="0" w:color="auto"/>
        <w:right w:val="none" w:sz="0" w:space="0" w:color="auto"/>
      </w:divBdr>
    </w:div>
    <w:div w:id="183618935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36089845">
      <w:bodyDiv w:val="1"/>
      <w:marLeft w:val="0"/>
      <w:marRight w:val="0"/>
      <w:marTop w:val="0"/>
      <w:marBottom w:val="0"/>
      <w:divBdr>
        <w:top w:val="none" w:sz="0" w:space="0" w:color="auto"/>
        <w:left w:val="none" w:sz="0" w:space="0" w:color="auto"/>
        <w:bottom w:val="none" w:sz="0" w:space="0" w:color="auto"/>
        <w:right w:val="none" w:sz="0" w:space="0" w:color="auto"/>
      </w:divBdr>
    </w:div>
    <w:div w:id="20830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fkaranfil@parisnanterr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8C1B-E9E3-43C7-951E-F43A0335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3785</Words>
  <Characters>21580</Characters>
  <Application>Microsoft Office Word</Application>
  <DocSecurity>0</DocSecurity>
  <Lines>179</Lines>
  <Paragraphs>50</Paragraphs>
  <ScaleCrop>false</ScaleCrop>
  <HeadingPairs>
    <vt:vector size="6" baseType="variant">
      <vt:variant>
        <vt:lpstr>Title</vt:lpstr>
      </vt:variant>
      <vt:variant>
        <vt:i4>1</vt:i4>
      </vt:variant>
      <vt:variant>
        <vt:lpstr>Titre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aysenur acar</dc:creator>
  <cp:lastModifiedBy>merve.akgul</cp:lastModifiedBy>
  <cp:revision>24</cp:revision>
  <cp:lastPrinted>2017-11-02T07:53:00Z</cp:lastPrinted>
  <dcterms:created xsi:type="dcterms:W3CDTF">2017-10-31T09:31:00Z</dcterms:created>
  <dcterms:modified xsi:type="dcterms:W3CDTF">2017-11-02T08:10:00Z</dcterms:modified>
</cp:coreProperties>
</file>