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FE8" w:rsidRPr="0025721B" w:rsidRDefault="00250E5D">
      <w:pPr>
        <w:rPr>
          <w:rFonts w:ascii="Arial" w:hAnsi="Arial" w:cs="Arial"/>
          <w:color w:val="FF0000"/>
          <w:sz w:val="20"/>
          <w:szCs w:val="20"/>
        </w:rPr>
      </w:pPr>
      <w:bookmarkStart w:id="0" w:name="_GoBack"/>
      <w:bookmarkEnd w:id="0"/>
      <w:r w:rsidRPr="0025721B">
        <w:rPr>
          <w:noProof/>
          <w:color w:val="FF0000"/>
          <w:sz w:val="20"/>
          <w:szCs w:val="20"/>
          <w:lang w:val="tr-TR" w:eastAsia="tr-TR"/>
        </w:rPr>
        <mc:AlternateContent>
          <mc:Choice Requires="wps">
            <w:drawing>
              <wp:anchor distT="0" distB="0" distL="114935" distR="114935" simplePos="0" relativeHeight="251656704" behindDoc="0" locked="0" layoutInCell="1" allowOverlap="1" wp14:anchorId="02C90D18" wp14:editId="7607F90E">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D4C" w:rsidRPr="009529DA" w:rsidRDefault="00974D4C" w:rsidP="00B50CC1">
                            <w:pPr>
                              <w:jc w:val="center"/>
                              <w:rPr>
                                <w:b/>
                                <w:sz w:val="40"/>
                                <w:szCs w:val="40"/>
                              </w:rPr>
                            </w:pPr>
                            <w:r>
                              <w:rPr>
                                <w:b/>
                                <w:sz w:val="40"/>
                                <w:szCs w:val="40"/>
                              </w:rPr>
                              <w:t>Labor Market Outlook</w:t>
                            </w:r>
                            <w:r w:rsidRPr="009529DA">
                              <w:rPr>
                                <w:b/>
                                <w:sz w:val="40"/>
                                <w:szCs w:val="40"/>
                              </w:rPr>
                              <w:t>:</w:t>
                            </w:r>
                          </w:p>
                          <w:p w:rsidR="00974D4C" w:rsidRPr="009529DA" w:rsidRDefault="00974D4C" w:rsidP="00B50CC1">
                            <w:pPr>
                              <w:jc w:val="center"/>
                              <w:rPr>
                                <w:b/>
                                <w:sz w:val="40"/>
                                <w:szCs w:val="40"/>
                              </w:rPr>
                            </w:pPr>
                            <w:r>
                              <w:rPr>
                                <w:b/>
                                <w:sz w:val="40"/>
                                <w:szCs w:val="40"/>
                              </w:rPr>
                              <w:t>July 2017</w:t>
                            </w:r>
                          </w:p>
                          <w:p w:rsidR="00974D4C" w:rsidRPr="00526178" w:rsidRDefault="00974D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90D18"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974D4C" w:rsidRPr="009529DA" w:rsidRDefault="00974D4C" w:rsidP="00B50CC1">
                      <w:pPr>
                        <w:jc w:val="center"/>
                        <w:rPr>
                          <w:b/>
                          <w:sz w:val="40"/>
                          <w:szCs w:val="40"/>
                        </w:rPr>
                      </w:pPr>
                      <w:r>
                        <w:rPr>
                          <w:b/>
                          <w:sz w:val="40"/>
                          <w:szCs w:val="40"/>
                        </w:rPr>
                        <w:t>Labor Market Outlook</w:t>
                      </w:r>
                      <w:r w:rsidRPr="009529DA">
                        <w:rPr>
                          <w:b/>
                          <w:sz w:val="40"/>
                          <w:szCs w:val="40"/>
                        </w:rPr>
                        <w:t>:</w:t>
                      </w:r>
                    </w:p>
                    <w:p w:rsidR="00974D4C" w:rsidRPr="009529DA" w:rsidRDefault="00974D4C" w:rsidP="00B50CC1">
                      <w:pPr>
                        <w:jc w:val="center"/>
                        <w:rPr>
                          <w:b/>
                          <w:sz w:val="40"/>
                          <w:szCs w:val="40"/>
                        </w:rPr>
                      </w:pPr>
                      <w:r>
                        <w:rPr>
                          <w:b/>
                          <w:sz w:val="40"/>
                          <w:szCs w:val="40"/>
                        </w:rPr>
                        <w:t>July 2017</w:t>
                      </w:r>
                    </w:p>
                    <w:p w:rsidR="00974D4C" w:rsidRPr="00526178" w:rsidRDefault="00974D4C"/>
                  </w:txbxContent>
                </v:textbox>
              </v:shape>
            </w:pict>
          </mc:Fallback>
        </mc:AlternateContent>
      </w:r>
      <w:r w:rsidR="009A4578" w:rsidRPr="0025721B">
        <w:rPr>
          <w:noProof/>
          <w:color w:val="FF0000"/>
          <w:sz w:val="20"/>
          <w:szCs w:val="20"/>
          <w:lang w:val="tr-TR" w:eastAsia="tr-TR"/>
        </w:rPr>
        <w:drawing>
          <wp:anchor distT="0" distB="0" distL="114300" distR="114300" simplePos="0" relativeHeight="251658752" behindDoc="1" locked="0" layoutInCell="1" allowOverlap="1" wp14:anchorId="2AEA75CA" wp14:editId="7FB59FEB">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25721B" w:rsidRDefault="00250E5D">
      <w:pPr>
        <w:rPr>
          <w:rFonts w:ascii="Arial" w:hAnsi="Arial" w:cs="Arial"/>
          <w:color w:val="FF0000"/>
          <w:sz w:val="20"/>
          <w:szCs w:val="20"/>
        </w:rPr>
      </w:pPr>
      <w:r w:rsidRPr="0025721B">
        <w:rPr>
          <w:noProof/>
          <w:color w:val="FF0000"/>
          <w:sz w:val="20"/>
          <w:szCs w:val="20"/>
          <w:lang w:val="tr-TR" w:eastAsia="tr-TR"/>
        </w:rPr>
        <mc:AlternateContent>
          <mc:Choice Requires="wps">
            <w:drawing>
              <wp:anchor distT="0" distB="0" distL="114935" distR="114935" simplePos="0" relativeHeight="251657728" behindDoc="0" locked="0" layoutInCell="1" allowOverlap="1" wp14:anchorId="75C4FCE5" wp14:editId="2126C738">
                <wp:simplePos x="0" y="0"/>
                <wp:positionH relativeFrom="column">
                  <wp:posOffset>5779135</wp:posOffset>
                </wp:positionH>
                <wp:positionV relativeFrom="paragraph">
                  <wp:posOffset>134620</wp:posOffset>
                </wp:positionV>
                <wp:extent cx="1019175" cy="2476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D4C" w:rsidRPr="00F81BD8" w:rsidRDefault="00974D4C" w:rsidP="00C24EA0">
                            <w:pPr>
                              <w:rPr>
                                <w:b/>
                                <w:color w:val="FFFFFF"/>
                                <w:sz w:val="22"/>
                                <w:szCs w:val="22"/>
                              </w:rPr>
                            </w:pPr>
                            <w:r>
                              <w:rPr>
                                <w:b/>
                                <w:color w:val="FFFFFF"/>
                                <w:sz w:val="22"/>
                                <w:szCs w:val="22"/>
                              </w:rPr>
                              <w:t xml:space="preserve"> 17 July</w:t>
                            </w:r>
                            <w:r w:rsidRPr="00F81BD8">
                              <w:rPr>
                                <w:b/>
                                <w:color w:val="FFFFFF"/>
                                <w:sz w:val="22"/>
                                <w:szCs w:val="22"/>
                              </w:rPr>
                              <w:t xml:space="preserve"> 2017</w:t>
                            </w:r>
                          </w:p>
                          <w:p w:rsidR="00974D4C" w:rsidRPr="00F81BD8" w:rsidRDefault="00974D4C">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4FCE5" id="Text Box 4" o:spid="_x0000_s1027" type="#_x0000_t202" style="position:absolute;margin-left:455.05pt;margin-top:10.6pt;width:80.25pt;height: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" stroked="f">
                <v:fill opacity="0"/>
                <v:textbox inset="0,0,0,0">
                  <w:txbxContent>
                    <w:p w:rsidR="00974D4C" w:rsidRPr="00F81BD8" w:rsidRDefault="00974D4C" w:rsidP="00C24EA0">
                      <w:pPr>
                        <w:rPr>
                          <w:b/>
                          <w:color w:val="FFFFFF"/>
                          <w:sz w:val="22"/>
                          <w:szCs w:val="22"/>
                        </w:rPr>
                      </w:pPr>
                      <w:r>
                        <w:rPr>
                          <w:b/>
                          <w:color w:val="FFFFFF"/>
                          <w:sz w:val="22"/>
                          <w:szCs w:val="22"/>
                        </w:rPr>
                        <w:t xml:space="preserve"> 17 July</w:t>
                      </w:r>
                      <w:r w:rsidRPr="00F81BD8">
                        <w:rPr>
                          <w:b/>
                          <w:color w:val="FFFFFF"/>
                          <w:sz w:val="22"/>
                          <w:szCs w:val="22"/>
                        </w:rPr>
                        <w:t xml:space="preserve"> 2017</w:t>
                      </w:r>
                    </w:p>
                    <w:p w:rsidR="00974D4C" w:rsidRPr="00F81BD8" w:rsidRDefault="00974D4C">
                      <w:pPr>
                        <w:rPr>
                          <w:b/>
                        </w:rPr>
                      </w:pPr>
                    </w:p>
                  </w:txbxContent>
                </v:textbox>
              </v:shape>
            </w:pict>
          </mc:Fallback>
        </mc:AlternateContent>
      </w:r>
    </w:p>
    <w:p w:rsidR="00667FE8" w:rsidRPr="0025721B" w:rsidRDefault="00667FE8">
      <w:pPr>
        <w:rPr>
          <w:rFonts w:ascii="Arial" w:hAnsi="Arial" w:cs="Arial"/>
          <w:color w:val="FF0000"/>
          <w:sz w:val="20"/>
          <w:szCs w:val="20"/>
        </w:rPr>
      </w:pPr>
    </w:p>
    <w:p w:rsidR="00667FE8" w:rsidRPr="0025721B" w:rsidRDefault="00667FE8">
      <w:pPr>
        <w:rPr>
          <w:rFonts w:ascii="Arial" w:hAnsi="Arial" w:cs="Arial"/>
          <w:color w:val="FF0000"/>
          <w:sz w:val="20"/>
          <w:szCs w:val="20"/>
        </w:rPr>
      </w:pPr>
    </w:p>
    <w:p w:rsidR="00A168BF" w:rsidRPr="0025721B" w:rsidRDefault="00A168BF" w:rsidP="008D57FF">
      <w:pPr>
        <w:spacing w:before="120"/>
        <w:jc w:val="center"/>
        <w:rPr>
          <w:rFonts w:ascii="Arial" w:hAnsi="Arial" w:cs="Arial"/>
          <w:b/>
          <w:bCs/>
          <w:color w:val="FF0000"/>
          <w:sz w:val="20"/>
          <w:szCs w:val="20"/>
        </w:rPr>
      </w:pPr>
    </w:p>
    <w:p w:rsidR="00F81BD8" w:rsidRPr="007038E3" w:rsidRDefault="004B3197" w:rsidP="00F81BD8">
      <w:pPr>
        <w:spacing w:before="120"/>
        <w:jc w:val="center"/>
        <w:rPr>
          <w:rFonts w:ascii="Arial" w:hAnsi="Arial" w:cs="Arial"/>
          <w:b/>
          <w:bCs/>
        </w:rPr>
      </w:pPr>
      <w:r w:rsidRPr="007038E3">
        <w:rPr>
          <w:rFonts w:ascii="Arial" w:hAnsi="Arial" w:cs="Arial"/>
          <w:b/>
          <w:bCs/>
        </w:rPr>
        <w:t xml:space="preserve">UNEMPLOYMENT </w:t>
      </w:r>
      <w:r w:rsidR="0025721B" w:rsidRPr="007038E3">
        <w:rPr>
          <w:rFonts w:ascii="Arial" w:hAnsi="Arial" w:cs="Arial"/>
          <w:b/>
          <w:bCs/>
        </w:rPr>
        <w:t>CONTINUES TO DECREASE</w:t>
      </w:r>
    </w:p>
    <w:p w:rsidR="00627BF7" w:rsidRPr="007038E3" w:rsidRDefault="00627BF7" w:rsidP="00627BF7">
      <w:pPr>
        <w:spacing w:before="120"/>
        <w:jc w:val="center"/>
        <w:rPr>
          <w:rFonts w:ascii="Arial" w:hAnsi="Arial" w:cs="Arial"/>
          <w:b/>
          <w:bCs/>
          <w:sz w:val="20"/>
          <w:szCs w:val="20"/>
        </w:rPr>
      </w:pPr>
      <w:r w:rsidRPr="007038E3">
        <w:rPr>
          <w:rFonts w:ascii="Arial" w:hAnsi="Arial" w:cs="Arial"/>
          <w:b/>
          <w:bCs/>
          <w:sz w:val="20"/>
          <w:szCs w:val="20"/>
        </w:rPr>
        <w:t>Seyfettin Gürsel</w:t>
      </w:r>
      <w:r w:rsidRPr="007038E3">
        <w:rPr>
          <w:rStyle w:val="FootnoteReference"/>
          <w:rFonts w:ascii="Arial" w:hAnsi="Arial" w:cs="Arial"/>
          <w:b/>
          <w:bCs/>
          <w:sz w:val="20"/>
          <w:szCs w:val="20"/>
        </w:rPr>
        <w:footnoteReference w:customMarkFollows="1" w:id="1"/>
        <w:t>*</w:t>
      </w:r>
      <w:r w:rsidR="00F4670B" w:rsidRPr="007038E3">
        <w:rPr>
          <w:rFonts w:ascii="Arial" w:hAnsi="Arial" w:cs="Arial"/>
          <w:b/>
          <w:bCs/>
          <w:sz w:val="20"/>
          <w:szCs w:val="20"/>
        </w:rPr>
        <w:t xml:space="preserve"> </w:t>
      </w:r>
      <w:r w:rsidR="0036101B" w:rsidRPr="007038E3">
        <w:rPr>
          <w:rFonts w:ascii="Arial" w:hAnsi="Arial" w:cs="Arial"/>
          <w:b/>
          <w:bCs/>
          <w:sz w:val="20"/>
          <w:szCs w:val="20"/>
        </w:rPr>
        <w:t>Gökçe Uysal</w:t>
      </w:r>
      <w:r w:rsidRPr="007038E3">
        <w:rPr>
          <w:rStyle w:val="FootnoteReference"/>
          <w:rFonts w:ascii="Arial" w:hAnsi="Arial" w:cs="Arial"/>
          <w:b/>
          <w:bCs/>
          <w:sz w:val="20"/>
          <w:szCs w:val="20"/>
        </w:rPr>
        <w:footnoteReference w:customMarkFollows="1" w:id="2"/>
        <w:sym w:font="Symbol" w:char="F02A"/>
      </w:r>
      <w:r w:rsidRPr="007038E3">
        <w:rPr>
          <w:rStyle w:val="FootnoteReference"/>
          <w:rFonts w:ascii="Arial" w:hAnsi="Arial" w:cs="Arial"/>
          <w:b/>
          <w:bCs/>
          <w:sz w:val="20"/>
          <w:szCs w:val="20"/>
        </w:rPr>
        <w:sym w:font="Symbol" w:char="F02A"/>
      </w:r>
      <w:r w:rsidRPr="007038E3">
        <w:rPr>
          <w:rFonts w:ascii="Arial" w:hAnsi="Arial" w:cs="Arial"/>
          <w:b/>
          <w:bCs/>
          <w:sz w:val="20"/>
          <w:szCs w:val="20"/>
        </w:rPr>
        <w:t xml:space="preserve">  </w:t>
      </w:r>
      <w:r w:rsidR="00B94ECE" w:rsidRPr="007038E3">
        <w:rPr>
          <w:rFonts w:ascii="Arial" w:hAnsi="Arial" w:cs="Arial"/>
          <w:b/>
          <w:bCs/>
          <w:sz w:val="20"/>
          <w:szCs w:val="20"/>
        </w:rPr>
        <w:t>and</w:t>
      </w:r>
      <w:r w:rsidRPr="007038E3">
        <w:rPr>
          <w:rFonts w:ascii="Arial" w:hAnsi="Arial" w:cs="Arial"/>
          <w:b/>
          <w:bCs/>
          <w:sz w:val="20"/>
          <w:szCs w:val="20"/>
        </w:rPr>
        <w:t xml:space="preserve"> </w:t>
      </w:r>
      <w:r w:rsidR="00F81BD8" w:rsidRPr="007038E3">
        <w:rPr>
          <w:rFonts w:ascii="Arial" w:hAnsi="Arial" w:cs="Arial"/>
          <w:b/>
          <w:bCs/>
          <w:sz w:val="20"/>
          <w:szCs w:val="20"/>
        </w:rPr>
        <w:t>Mine Durmaz</w:t>
      </w:r>
      <w:r w:rsidR="00F81BD8" w:rsidRPr="007038E3">
        <w:rPr>
          <w:rStyle w:val="FootnoteReference"/>
          <w:rFonts w:ascii="Arial" w:hAnsi="Arial" w:cs="Arial"/>
          <w:b/>
          <w:bCs/>
          <w:sz w:val="20"/>
          <w:szCs w:val="20"/>
        </w:rPr>
        <w:t xml:space="preserve"> </w:t>
      </w:r>
      <w:r w:rsidRPr="007038E3">
        <w:rPr>
          <w:rStyle w:val="FootnoteReference"/>
          <w:rFonts w:ascii="Arial" w:hAnsi="Arial" w:cs="Arial"/>
          <w:b/>
          <w:bCs/>
          <w:sz w:val="20"/>
          <w:szCs w:val="20"/>
        </w:rPr>
        <w:footnoteReference w:customMarkFollows="1" w:id="3"/>
        <w:sym w:font="Symbol" w:char="F02A"/>
      </w:r>
      <w:r w:rsidRPr="007038E3">
        <w:rPr>
          <w:rStyle w:val="FootnoteReference"/>
          <w:rFonts w:ascii="Arial" w:hAnsi="Arial" w:cs="Arial"/>
          <w:b/>
          <w:bCs/>
          <w:sz w:val="20"/>
          <w:szCs w:val="20"/>
        </w:rPr>
        <w:sym w:font="Symbol" w:char="F02A"/>
      </w:r>
      <w:r w:rsidRPr="007038E3">
        <w:rPr>
          <w:rStyle w:val="FootnoteReference"/>
          <w:rFonts w:ascii="Arial" w:hAnsi="Arial" w:cs="Arial"/>
          <w:b/>
          <w:bCs/>
          <w:sz w:val="20"/>
          <w:szCs w:val="20"/>
        </w:rPr>
        <w:sym w:font="Symbol" w:char="F02A"/>
      </w:r>
    </w:p>
    <w:p w:rsidR="00DC4633" w:rsidRPr="007038E3" w:rsidRDefault="00DC4633" w:rsidP="00223B63">
      <w:pPr>
        <w:jc w:val="center"/>
        <w:rPr>
          <w:rFonts w:ascii="Arial" w:hAnsi="Arial" w:cs="Arial"/>
          <w:b/>
          <w:bCs/>
          <w:sz w:val="20"/>
          <w:szCs w:val="20"/>
        </w:rPr>
      </w:pPr>
    </w:p>
    <w:p w:rsidR="00667FE8" w:rsidRPr="007038E3" w:rsidRDefault="000F464F" w:rsidP="00223B63">
      <w:pPr>
        <w:jc w:val="center"/>
        <w:rPr>
          <w:rFonts w:ascii="Arial" w:hAnsi="Arial" w:cs="Arial"/>
          <w:b/>
          <w:bCs/>
          <w:sz w:val="20"/>
          <w:szCs w:val="20"/>
        </w:rPr>
      </w:pPr>
      <w:r w:rsidRPr="007038E3">
        <w:rPr>
          <w:rFonts w:ascii="Arial" w:hAnsi="Arial" w:cs="Arial"/>
          <w:b/>
          <w:bCs/>
          <w:sz w:val="20"/>
          <w:szCs w:val="20"/>
        </w:rPr>
        <w:t>Executive Summary</w:t>
      </w:r>
    </w:p>
    <w:p w:rsidR="00667FE8" w:rsidRPr="007038E3" w:rsidRDefault="00667FE8" w:rsidP="00A153B7">
      <w:pPr>
        <w:jc w:val="both"/>
        <w:rPr>
          <w:rFonts w:ascii="Arial" w:hAnsi="Arial" w:cs="Arial"/>
          <w:sz w:val="20"/>
          <w:szCs w:val="20"/>
        </w:rPr>
      </w:pPr>
    </w:p>
    <w:p w:rsidR="003107D8" w:rsidRPr="0025721B" w:rsidRDefault="003107D8" w:rsidP="003107D8">
      <w:pPr>
        <w:jc w:val="both"/>
        <w:rPr>
          <w:rFonts w:ascii="Arial" w:hAnsi="Arial" w:cs="Arial"/>
          <w:color w:val="FF0000"/>
          <w:sz w:val="20"/>
          <w:szCs w:val="20"/>
        </w:rPr>
      </w:pPr>
      <w:r w:rsidRPr="007038E3">
        <w:rPr>
          <w:rFonts w:ascii="Arial" w:hAnsi="Arial" w:cs="Arial"/>
          <w:sz w:val="20"/>
          <w:szCs w:val="20"/>
        </w:rPr>
        <w:t xml:space="preserve">Seasonally adjusted labor market data show that </w:t>
      </w:r>
      <w:r w:rsidR="00CF19CA">
        <w:rPr>
          <w:rFonts w:ascii="Arial" w:hAnsi="Arial" w:cs="Arial"/>
          <w:sz w:val="20"/>
          <w:szCs w:val="20"/>
        </w:rPr>
        <w:t xml:space="preserve">the </w:t>
      </w:r>
      <w:r w:rsidRPr="007038E3">
        <w:rPr>
          <w:rFonts w:ascii="Arial" w:hAnsi="Arial" w:cs="Arial"/>
          <w:sz w:val="20"/>
          <w:szCs w:val="20"/>
        </w:rPr>
        <w:t xml:space="preserve">nonagricultural unemployment rate decreased by 0.2 </w:t>
      </w:r>
      <w:r w:rsidRPr="002E1C84">
        <w:rPr>
          <w:rFonts w:ascii="Arial" w:hAnsi="Arial" w:cs="Arial"/>
          <w:sz w:val="20"/>
          <w:szCs w:val="20"/>
        </w:rPr>
        <w:t>percentage points and is recorded as 13.</w:t>
      </w:r>
      <w:r w:rsidR="0025721B" w:rsidRPr="002E1C84">
        <w:rPr>
          <w:rFonts w:ascii="Arial" w:hAnsi="Arial" w:cs="Arial"/>
          <w:sz w:val="20"/>
          <w:szCs w:val="20"/>
        </w:rPr>
        <w:t>4</w:t>
      </w:r>
      <w:r w:rsidRPr="002E1C84">
        <w:rPr>
          <w:rFonts w:ascii="Arial" w:hAnsi="Arial" w:cs="Arial"/>
          <w:sz w:val="20"/>
          <w:szCs w:val="20"/>
        </w:rPr>
        <w:t xml:space="preserve"> percent in the period of </w:t>
      </w:r>
      <w:r w:rsidR="0025721B" w:rsidRPr="002E1C84">
        <w:rPr>
          <w:rFonts w:ascii="Arial" w:hAnsi="Arial" w:cs="Arial"/>
          <w:sz w:val="20"/>
          <w:szCs w:val="20"/>
        </w:rPr>
        <w:t>April</w:t>
      </w:r>
      <w:r w:rsidRPr="002E1C84">
        <w:rPr>
          <w:rFonts w:ascii="Arial" w:hAnsi="Arial" w:cs="Arial"/>
          <w:sz w:val="20"/>
          <w:szCs w:val="20"/>
        </w:rPr>
        <w:t xml:space="preserve"> 2017. </w:t>
      </w:r>
      <w:r w:rsidR="007038E3" w:rsidRPr="002E1C84">
        <w:rPr>
          <w:rFonts w:ascii="Arial" w:hAnsi="Arial" w:cs="Arial"/>
          <w:sz w:val="20"/>
          <w:szCs w:val="20"/>
        </w:rPr>
        <w:t xml:space="preserve">In the period of April 2017 compared to the period of March 2017, increases in </w:t>
      </w:r>
      <w:r w:rsidR="00CF19CA" w:rsidRPr="002E1C84">
        <w:rPr>
          <w:rFonts w:ascii="Arial" w:hAnsi="Arial" w:cs="Arial"/>
          <w:sz w:val="20"/>
          <w:szCs w:val="20"/>
        </w:rPr>
        <w:t xml:space="preserve">the </w:t>
      </w:r>
      <w:r w:rsidR="007038E3" w:rsidRPr="002E1C84">
        <w:rPr>
          <w:rFonts w:ascii="Arial" w:hAnsi="Arial" w:cs="Arial"/>
          <w:sz w:val="20"/>
          <w:szCs w:val="20"/>
        </w:rPr>
        <w:t>nonagricultural employment continue</w:t>
      </w:r>
      <w:r w:rsidR="00CF19CA" w:rsidRPr="002E1C84">
        <w:rPr>
          <w:rFonts w:ascii="Arial" w:hAnsi="Arial" w:cs="Arial"/>
          <w:sz w:val="20"/>
          <w:szCs w:val="20"/>
        </w:rPr>
        <w:t>d</w:t>
      </w:r>
      <w:r w:rsidR="00B1367E">
        <w:rPr>
          <w:rFonts w:ascii="Arial" w:hAnsi="Arial" w:cs="Arial"/>
          <w:sz w:val="20"/>
          <w:szCs w:val="20"/>
        </w:rPr>
        <w:t>.</w:t>
      </w:r>
      <w:r w:rsidR="007038E3" w:rsidRPr="002E1C84">
        <w:rPr>
          <w:rFonts w:ascii="Arial" w:hAnsi="Arial" w:cs="Arial"/>
          <w:sz w:val="20"/>
          <w:szCs w:val="20"/>
        </w:rPr>
        <w:t xml:space="preserve"> </w:t>
      </w:r>
      <w:r w:rsidR="00CF19CA" w:rsidRPr="002E1C84">
        <w:rPr>
          <w:rFonts w:ascii="Arial" w:hAnsi="Arial" w:cs="Arial"/>
          <w:sz w:val="20"/>
          <w:szCs w:val="20"/>
        </w:rPr>
        <w:t xml:space="preserve">Parallel to these developments, </w:t>
      </w:r>
      <w:r w:rsidR="00D32EE1" w:rsidRPr="002E1C84">
        <w:rPr>
          <w:rFonts w:ascii="Arial" w:hAnsi="Arial" w:cs="Arial"/>
          <w:sz w:val="20"/>
          <w:szCs w:val="20"/>
        </w:rPr>
        <w:t xml:space="preserve">the </w:t>
      </w:r>
      <w:r w:rsidR="00CF19CA" w:rsidRPr="002E1C84">
        <w:rPr>
          <w:rFonts w:ascii="Arial" w:hAnsi="Arial" w:cs="Arial"/>
          <w:sz w:val="20"/>
          <w:szCs w:val="20"/>
        </w:rPr>
        <w:t xml:space="preserve">nonagricultural unemployment </w:t>
      </w:r>
      <w:r w:rsidR="00D32EE1" w:rsidRPr="002E1C84">
        <w:rPr>
          <w:rFonts w:ascii="Arial" w:hAnsi="Arial" w:cs="Arial"/>
          <w:sz w:val="20"/>
          <w:szCs w:val="20"/>
        </w:rPr>
        <w:t xml:space="preserve">decreased. </w:t>
      </w:r>
      <w:r w:rsidR="00B05C41" w:rsidRPr="002E1C84">
        <w:rPr>
          <w:rFonts w:ascii="Arial" w:hAnsi="Arial" w:cs="Arial"/>
          <w:sz w:val="20"/>
          <w:szCs w:val="20"/>
        </w:rPr>
        <w:t xml:space="preserve">In this period, </w:t>
      </w:r>
      <w:r w:rsidR="003E04A0">
        <w:rPr>
          <w:rFonts w:ascii="Arial" w:hAnsi="Arial" w:cs="Arial"/>
          <w:sz w:val="20"/>
          <w:szCs w:val="20"/>
        </w:rPr>
        <w:t xml:space="preserve">we observed </w:t>
      </w:r>
      <w:r w:rsidR="00B05C41" w:rsidRPr="002E1C84">
        <w:rPr>
          <w:rFonts w:ascii="Arial" w:hAnsi="Arial" w:cs="Arial"/>
          <w:sz w:val="20"/>
          <w:szCs w:val="20"/>
        </w:rPr>
        <w:t>employment increases in all nonag</w:t>
      </w:r>
      <w:r w:rsidR="003E04A0">
        <w:rPr>
          <w:rFonts w:ascii="Arial" w:hAnsi="Arial" w:cs="Arial"/>
          <w:sz w:val="20"/>
          <w:szCs w:val="20"/>
        </w:rPr>
        <w:t>ricultural sectors.</w:t>
      </w:r>
      <w:r w:rsidR="00B05C41" w:rsidRPr="002E1C84">
        <w:rPr>
          <w:rFonts w:ascii="Arial" w:hAnsi="Arial" w:cs="Arial"/>
          <w:sz w:val="20"/>
          <w:szCs w:val="20"/>
        </w:rPr>
        <w:t xml:space="preserve"> </w:t>
      </w:r>
      <w:r w:rsidR="00AE0ADD" w:rsidRPr="002E1C84">
        <w:rPr>
          <w:rFonts w:ascii="Arial" w:hAnsi="Arial" w:cs="Arial"/>
          <w:sz w:val="20"/>
          <w:szCs w:val="20"/>
        </w:rPr>
        <w:t xml:space="preserve">According to seasonally adjusted labor market data, </w:t>
      </w:r>
      <w:r w:rsidR="001B2BA4" w:rsidRPr="002E1C84">
        <w:rPr>
          <w:rFonts w:ascii="Arial" w:hAnsi="Arial" w:cs="Arial"/>
          <w:sz w:val="20"/>
          <w:szCs w:val="20"/>
        </w:rPr>
        <w:t xml:space="preserve">in looking at gender breakdown, </w:t>
      </w:r>
      <w:r w:rsidR="00AE0ADD" w:rsidRPr="002E1C84">
        <w:rPr>
          <w:rFonts w:ascii="Arial" w:hAnsi="Arial" w:cs="Arial"/>
          <w:sz w:val="20"/>
          <w:szCs w:val="20"/>
        </w:rPr>
        <w:t>the male unemployment rate remained constant while the female unemployment rate decreased</w:t>
      </w:r>
      <w:r w:rsidR="005652D5" w:rsidRPr="002E1C84">
        <w:rPr>
          <w:rFonts w:ascii="Arial" w:hAnsi="Arial" w:cs="Arial"/>
          <w:sz w:val="20"/>
          <w:szCs w:val="20"/>
        </w:rPr>
        <w:t xml:space="preserve">. </w:t>
      </w:r>
      <w:r w:rsidR="00AE0ADD" w:rsidRPr="002E1C84">
        <w:rPr>
          <w:rFonts w:ascii="Arial" w:hAnsi="Arial" w:cs="Arial"/>
          <w:sz w:val="20"/>
          <w:szCs w:val="20"/>
        </w:rPr>
        <w:t xml:space="preserve"> </w:t>
      </w:r>
      <w:r w:rsidRPr="002E1C84">
        <w:rPr>
          <w:rFonts w:ascii="Arial" w:hAnsi="Arial" w:cs="Arial"/>
          <w:sz w:val="20"/>
          <w:szCs w:val="20"/>
        </w:rPr>
        <w:t>Betam forecast model predicts that the non-agricultural unemployment rate will dec</w:t>
      </w:r>
      <w:r w:rsidR="00463980" w:rsidRPr="002E1C84">
        <w:rPr>
          <w:rFonts w:ascii="Arial" w:hAnsi="Arial" w:cs="Arial"/>
          <w:sz w:val="20"/>
          <w:szCs w:val="20"/>
        </w:rPr>
        <w:t>line</w:t>
      </w:r>
      <w:r w:rsidR="005652D5" w:rsidRPr="002E1C84">
        <w:rPr>
          <w:rFonts w:ascii="Arial" w:hAnsi="Arial" w:cs="Arial"/>
          <w:sz w:val="20"/>
          <w:szCs w:val="20"/>
        </w:rPr>
        <w:t xml:space="preserve"> by 0.1 percentage points </w:t>
      </w:r>
      <w:r w:rsidR="00B1367E">
        <w:rPr>
          <w:rFonts w:ascii="Arial" w:hAnsi="Arial" w:cs="Arial"/>
          <w:sz w:val="20"/>
          <w:szCs w:val="20"/>
        </w:rPr>
        <w:t>down to</w:t>
      </w:r>
      <w:r w:rsidR="005652D5" w:rsidRPr="002E1C84">
        <w:rPr>
          <w:rFonts w:ascii="Arial" w:hAnsi="Arial" w:cs="Arial"/>
          <w:sz w:val="20"/>
          <w:szCs w:val="20"/>
        </w:rPr>
        <w:t xml:space="preserve"> </w:t>
      </w:r>
      <w:r w:rsidRPr="002E1C84">
        <w:rPr>
          <w:rFonts w:ascii="Arial" w:hAnsi="Arial" w:cs="Arial"/>
          <w:sz w:val="20"/>
          <w:szCs w:val="20"/>
        </w:rPr>
        <w:t>13.</w:t>
      </w:r>
      <w:r w:rsidR="005652D5" w:rsidRPr="002E1C84">
        <w:rPr>
          <w:rFonts w:ascii="Arial" w:hAnsi="Arial" w:cs="Arial"/>
          <w:sz w:val="20"/>
          <w:szCs w:val="20"/>
        </w:rPr>
        <w:t>3</w:t>
      </w:r>
      <w:r w:rsidRPr="002E1C84">
        <w:rPr>
          <w:rFonts w:ascii="Arial" w:hAnsi="Arial" w:cs="Arial"/>
          <w:sz w:val="20"/>
          <w:szCs w:val="20"/>
        </w:rPr>
        <w:t xml:space="preserve"> percent in </w:t>
      </w:r>
      <w:r w:rsidR="00463980" w:rsidRPr="002E1C84">
        <w:rPr>
          <w:rFonts w:ascii="Arial" w:hAnsi="Arial" w:cs="Arial"/>
          <w:sz w:val="20"/>
          <w:szCs w:val="20"/>
        </w:rPr>
        <w:t xml:space="preserve">the period of </w:t>
      </w:r>
      <w:r w:rsidR="00865722" w:rsidRPr="002E1C84">
        <w:rPr>
          <w:rFonts w:ascii="Arial" w:hAnsi="Arial" w:cs="Arial"/>
          <w:sz w:val="20"/>
          <w:szCs w:val="20"/>
        </w:rPr>
        <w:t>May</w:t>
      </w:r>
      <w:r w:rsidRPr="002E1C84">
        <w:rPr>
          <w:rFonts w:ascii="Arial" w:hAnsi="Arial" w:cs="Arial"/>
          <w:sz w:val="20"/>
          <w:szCs w:val="20"/>
        </w:rPr>
        <w:t xml:space="preserve"> 2017.</w:t>
      </w:r>
    </w:p>
    <w:p w:rsidR="00B161EB" w:rsidRPr="0025721B" w:rsidRDefault="00B161EB" w:rsidP="007158A6">
      <w:pPr>
        <w:jc w:val="both"/>
        <w:rPr>
          <w:rFonts w:ascii="Arial" w:hAnsi="Arial" w:cs="Arial"/>
          <w:color w:val="FF0000"/>
          <w:sz w:val="20"/>
          <w:szCs w:val="20"/>
        </w:rPr>
      </w:pPr>
    </w:p>
    <w:p w:rsidR="00D00EC3" w:rsidRPr="0013033F" w:rsidRDefault="0013033F" w:rsidP="00493BE0">
      <w:pPr>
        <w:jc w:val="both"/>
        <w:rPr>
          <w:rFonts w:ascii="Arial" w:hAnsi="Arial" w:cs="Arial"/>
          <w:b/>
          <w:bCs/>
          <w:sz w:val="22"/>
          <w:szCs w:val="22"/>
        </w:rPr>
      </w:pPr>
      <w:r>
        <w:rPr>
          <w:rFonts w:ascii="Arial" w:hAnsi="Arial" w:cs="Arial"/>
          <w:b/>
          <w:bCs/>
          <w:sz w:val="22"/>
          <w:szCs w:val="22"/>
        </w:rPr>
        <w:t>I</w:t>
      </w:r>
      <w:r w:rsidR="00BF1D9D" w:rsidRPr="0013033F">
        <w:rPr>
          <w:rFonts w:ascii="Arial" w:hAnsi="Arial" w:cs="Arial"/>
          <w:b/>
          <w:bCs/>
          <w:sz w:val="22"/>
          <w:szCs w:val="22"/>
        </w:rPr>
        <w:t>ncrease in nonagricultural employment</w:t>
      </w:r>
      <w:r w:rsidR="0079135C" w:rsidRPr="0013033F">
        <w:rPr>
          <w:rFonts w:ascii="Arial" w:hAnsi="Arial" w:cs="Arial"/>
          <w:b/>
          <w:bCs/>
          <w:sz w:val="22"/>
          <w:szCs w:val="22"/>
        </w:rPr>
        <w:t xml:space="preserve"> has</w:t>
      </w:r>
      <w:r w:rsidR="00BF1D9D" w:rsidRPr="0013033F">
        <w:rPr>
          <w:rFonts w:ascii="Arial" w:hAnsi="Arial" w:cs="Arial"/>
          <w:b/>
          <w:bCs/>
          <w:sz w:val="22"/>
          <w:szCs w:val="22"/>
        </w:rPr>
        <w:t xml:space="preserve"> d</w:t>
      </w:r>
      <w:r w:rsidR="0079135C" w:rsidRPr="0013033F">
        <w:rPr>
          <w:rFonts w:ascii="Arial" w:hAnsi="Arial" w:cs="Arial"/>
          <w:b/>
          <w:bCs/>
          <w:sz w:val="22"/>
          <w:szCs w:val="22"/>
        </w:rPr>
        <w:t>riven</w:t>
      </w:r>
      <w:r w:rsidR="00D00EC3" w:rsidRPr="0013033F">
        <w:rPr>
          <w:rFonts w:ascii="Arial" w:hAnsi="Arial" w:cs="Arial"/>
          <w:b/>
          <w:bCs/>
          <w:sz w:val="22"/>
          <w:szCs w:val="22"/>
        </w:rPr>
        <w:t xml:space="preserve"> unemployment down </w:t>
      </w:r>
    </w:p>
    <w:p w:rsidR="00F35782" w:rsidRPr="0025721B" w:rsidRDefault="00F35782" w:rsidP="00224A7B">
      <w:pPr>
        <w:rPr>
          <w:rFonts w:ascii="Arial" w:hAnsi="Arial" w:cs="Arial"/>
          <w:b/>
          <w:bCs/>
          <w:color w:val="FF0000"/>
          <w:sz w:val="20"/>
          <w:szCs w:val="20"/>
          <w:highlight w:val="yellow"/>
        </w:rPr>
      </w:pPr>
    </w:p>
    <w:p w:rsidR="005572B0" w:rsidRDefault="00463980" w:rsidP="006E6D7B">
      <w:pPr>
        <w:jc w:val="both"/>
        <w:rPr>
          <w:rFonts w:ascii="Arial" w:hAnsi="Arial" w:cs="Arial"/>
          <w:sz w:val="20"/>
          <w:szCs w:val="20"/>
        </w:rPr>
      </w:pPr>
      <w:r w:rsidRPr="005572B0">
        <w:rPr>
          <w:rFonts w:ascii="Arial" w:hAnsi="Arial" w:cs="Arial"/>
          <w:sz w:val="20"/>
          <w:szCs w:val="20"/>
        </w:rPr>
        <w:t xml:space="preserve">According to seasonally adjusted data, the nonagricultural labor force increased by </w:t>
      </w:r>
      <w:r w:rsidR="001B36ED" w:rsidRPr="005572B0">
        <w:rPr>
          <w:rFonts w:ascii="Arial" w:hAnsi="Arial" w:cs="Arial"/>
          <w:sz w:val="20"/>
          <w:szCs w:val="20"/>
        </w:rPr>
        <w:t>79</w:t>
      </w:r>
      <w:r w:rsidRPr="005572B0">
        <w:rPr>
          <w:rFonts w:ascii="Arial" w:hAnsi="Arial" w:cs="Arial"/>
          <w:sz w:val="20"/>
          <w:szCs w:val="20"/>
        </w:rPr>
        <w:t xml:space="preserve"> thousand and reached </w:t>
      </w:r>
      <w:r w:rsidR="001B36ED" w:rsidRPr="005572B0">
        <w:rPr>
          <w:rFonts w:ascii="Arial" w:hAnsi="Arial" w:cs="Arial"/>
          <w:sz w:val="20"/>
          <w:szCs w:val="20"/>
        </w:rPr>
        <w:t>26</w:t>
      </w:r>
      <w:r w:rsidRPr="005572B0">
        <w:rPr>
          <w:rFonts w:ascii="Arial" w:hAnsi="Arial" w:cs="Arial"/>
          <w:sz w:val="20"/>
          <w:szCs w:val="20"/>
        </w:rPr>
        <w:t xml:space="preserve"> million </w:t>
      </w:r>
      <w:r w:rsidR="001B36ED" w:rsidRPr="005572B0">
        <w:rPr>
          <w:rFonts w:ascii="Arial" w:hAnsi="Arial" w:cs="Arial"/>
          <w:sz w:val="20"/>
          <w:szCs w:val="20"/>
        </w:rPr>
        <w:t xml:space="preserve">57 thousand </w:t>
      </w:r>
      <w:r w:rsidRPr="005572B0">
        <w:rPr>
          <w:rFonts w:ascii="Arial" w:hAnsi="Arial" w:cs="Arial"/>
          <w:sz w:val="20"/>
          <w:szCs w:val="20"/>
        </w:rPr>
        <w:t xml:space="preserve">and the number of people employed in non-agricultural sectors increased by </w:t>
      </w:r>
      <w:r w:rsidR="001B36ED" w:rsidRPr="005572B0">
        <w:rPr>
          <w:rFonts w:ascii="Arial" w:hAnsi="Arial" w:cs="Arial"/>
          <w:sz w:val="20"/>
          <w:szCs w:val="20"/>
        </w:rPr>
        <w:t>1</w:t>
      </w:r>
      <w:r w:rsidRPr="005572B0">
        <w:rPr>
          <w:rFonts w:ascii="Arial" w:hAnsi="Arial" w:cs="Arial"/>
          <w:sz w:val="20"/>
          <w:szCs w:val="20"/>
        </w:rPr>
        <w:t xml:space="preserve">20 thousand and reached 22 million </w:t>
      </w:r>
      <w:r w:rsidR="001B36ED" w:rsidRPr="005572B0">
        <w:rPr>
          <w:rFonts w:ascii="Arial" w:hAnsi="Arial" w:cs="Arial"/>
          <w:sz w:val="20"/>
          <w:szCs w:val="20"/>
        </w:rPr>
        <w:t>565</w:t>
      </w:r>
      <w:r w:rsidRPr="005572B0">
        <w:rPr>
          <w:rFonts w:ascii="Arial" w:hAnsi="Arial" w:cs="Arial"/>
          <w:sz w:val="20"/>
          <w:szCs w:val="20"/>
        </w:rPr>
        <w:t xml:space="preserve"> thousand in the period of </w:t>
      </w:r>
      <w:r w:rsidR="001B36ED" w:rsidRPr="005572B0">
        <w:rPr>
          <w:rFonts w:ascii="Arial" w:hAnsi="Arial" w:cs="Arial"/>
          <w:sz w:val="20"/>
          <w:szCs w:val="20"/>
        </w:rPr>
        <w:t>April</w:t>
      </w:r>
      <w:r w:rsidRPr="005572B0">
        <w:rPr>
          <w:rFonts w:ascii="Arial" w:hAnsi="Arial" w:cs="Arial"/>
          <w:sz w:val="20"/>
          <w:szCs w:val="20"/>
        </w:rPr>
        <w:t xml:space="preserve"> 2017 compared to the period of </w:t>
      </w:r>
      <w:r w:rsidR="001B36ED" w:rsidRPr="005572B0">
        <w:rPr>
          <w:rFonts w:ascii="Arial" w:hAnsi="Arial" w:cs="Arial"/>
          <w:sz w:val="20"/>
          <w:szCs w:val="20"/>
        </w:rPr>
        <w:t>March</w:t>
      </w:r>
      <w:r w:rsidRPr="005572B0">
        <w:rPr>
          <w:rFonts w:ascii="Arial" w:hAnsi="Arial" w:cs="Arial"/>
          <w:sz w:val="20"/>
          <w:szCs w:val="20"/>
        </w:rPr>
        <w:t xml:space="preserve"> 2017  </w:t>
      </w:r>
      <w:r w:rsidR="005B4EB6" w:rsidRPr="005572B0">
        <w:rPr>
          <w:rFonts w:ascii="Arial" w:hAnsi="Arial" w:cs="Arial"/>
          <w:sz w:val="20"/>
          <w:szCs w:val="20"/>
        </w:rPr>
        <w:t>(</w:t>
      </w:r>
      <w:r w:rsidR="005B4EB6" w:rsidRPr="005572B0">
        <w:rPr>
          <w:rFonts w:ascii="Arial" w:hAnsi="Arial" w:cs="Arial"/>
          <w:sz w:val="20"/>
          <w:szCs w:val="20"/>
        </w:rPr>
        <w:fldChar w:fldCharType="begin"/>
      </w:r>
      <w:r w:rsidR="005B4EB6" w:rsidRPr="005572B0">
        <w:rPr>
          <w:rFonts w:ascii="Arial" w:hAnsi="Arial" w:cs="Arial"/>
          <w:sz w:val="20"/>
          <w:szCs w:val="20"/>
        </w:rPr>
        <w:instrText xml:space="preserve"> REF _Ref472412190 \h  \* MERGEFORMAT </w:instrText>
      </w:r>
      <w:r w:rsidR="005B4EB6" w:rsidRPr="005572B0">
        <w:rPr>
          <w:rFonts w:ascii="Arial" w:hAnsi="Arial" w:cs="Arial"/>
          <w:sz w:val="20"/>
          <w:szCs w:val="20"/>
        </w:rPr>
      </w:r>
      <w:r w:rsidR="005B4EB6" w:rsidRPr="005572B0">
        <w:rPr>
          <w:rFonts w:ascii="Arial" w:hAnsi="Arial" w:cs="Arial"/>
          <w:sz w:val="20"/>
          <w:szCs w:val="20"/>
        </w:rPr>
        <w:fldChar w:fldCharType="separate"/>
      </w:r>
      <w:r w:rsidR="005B4EB6" w:rsidRPr="005572B0">
        <w:rPr>
          <w:rFonts w:ascii="Arial" w:hAnsi="Arial" w:cs="Arial"/>
          <w:sz w:val="20"/>
          <w:szCs w:val="20"/>
        </w:rPr>
        <w:t>Figure 1</w:t>
      </w:r>
      <w:r w:rsidR="005B4EB6" w:rsidRPr="005572B0">
        <w:rPr>
          <w:rFonts w:ascii="Arial" w:hAnsi="Arial" w:cs="Arial"/>
          <w:sz w:val="20"/>
          <w:szCs w:val="20"/>
        </w:rPr>
        <w:fldChar w:fldCharType="end"/>
      </w:r>
      <w:r w:rsidR="005B4EB6" w:rsidRPr="005572B0">
        <w:rPr>
          <w:rFonts w:ascii="Arial" w:hAnsi="Arial" w:cs="Arial"/>
          <w:sz w:val="20"/>
          <w:szCs w:val="20"/>
        </w:rPr>
        <w:t xml:space="preserve">, </w:t>
      </w:r>
      <w:r w:rsidR="005B4EB6" w:rsidRPr="005572B0">
        <w:rPr>
          <w:rFonts w:ascii="Arial" w:hAnsi="Arial" w:cs="Arial"/>
          <w:sz w:val="20"/>
          <w:szCs w:val="20"/>
        </w:rPr>
        <w:fldChar w:fldCharType="begin"/>
      </w:r>
      <w:r w:rsidR="005B4EB6" w:rsidRPr="005572B0">
        <w:rPr>
          <w:rFonts w:ascii="Arial" w:hAnsi="Arial" w:cs="Arial"/>
          <w:sz w:val="20"/>
          <w:szCs w:val="20"/>
        </w:rPr>
        <w:instrText xml:space="preserve"> REF _Ref474941597 \h  \* MERGEFORMAT </w:instrText>
      </w:r>
      <w:r w:rsidR="005B4EB6" w:rsidRPr="005572B0">
        <w:rPr>
          <w:rFonts w:ascii="Arial" w:hAnsi="Arial" w:cs="Arial"/>
          <w:sz w:val="20"/>
          <w:szCs w:val="20"/>
        </w:rPr>
      </w:r>
      <w:r w:rsidR="005B4EB6" w:rsidRPr="005572B0">
        <w:rPr>
          <w:rFonts w:ascii="Arial" w:hAnsi="Arial" w:cs="Arial"/>
          <w:sz w:val="20"/>
          <w:szCs w:val="20"/>
        </w:rPr>
        <w:fldChar w:fldCharType="separate"/>
      </w:r>
      <w:r w:rsidR="005B4EB6" w:rsidRPr="005572B0">
        <w:rPr>
          <w:rFonts w:ascii="Arial" w:hAnsi="Arial" w:cs="Arial"/>
          <w:sz w:val="20"/>
          <w:szCs w:val="20"/>
        </w:rPr>
        <w:t>Table 1</w:t>
      </w:r>
      <w:r w:rsidR="005B4EB6" w:rsidRPr="005572B0">
        <w:rPr>
          <w:rFonts w:ascii="Arial" w:hAnsi="Arial" w:cs="Arial"/>
          <w:sz w:val="20"/>
          <w:szCs w:val="20"/>
        </w:rPr>
        <w:fldChar w:fldCharType="end"/>
      </w:r>
      <w:r w:rsidR="007B4B2C" w:rsidRPr="005572B0">
        <w:rPr>
          <w:rFonts w:ascii="Arial" w:hAnsi="Arial" w:cs="Arial"/>
          <w:sz w:val="20"/>
          <w:szCs w:val="20"/>
        </w:rPr>
        <w:t xml:space="preserve">). </w:t>
      </w:r>
      <w:r w:rsidRPr="005572B0">
        <w:rPr>
          <w:rFonts w:ascii="Arial" w:hAnsi="Arial" w:cs="Arial"/>
          <w:sz w:val="20"/>
          <w:szCs w:val="20"/>
        </w:rPr>
        <w:t xml:space="preserve">While the number of people unemployed in nonagricultural sectors decreased by </w:t>
      </w:r>
      <w:r w:rsidR="005572B0" w:rsidRPr="005572B0">
        <w:rPr>
          <w:rFonts w:ascii="Arial" w:hAnsi="Arial" w:cs="Arial"/>
          <w:sz w:val="20"/>
          <w:szCs w:val="20"/>
        </w:rPr>
        <w:t>41</w:t>
      </w:r>
      <w:r w:rsidRPr="005572B0">
        <w:rPr>
          <w:rFonts w:ascii="Arial" w:hAnsi="Arial" w:cs="Arial"/>
          <w:sz w:val="20"/>
          <w:szCs w:val="20"/>
        </w:rPr>
        <w:t xml:space="preserve"> thousand and is recoded as 3 million </w:t>
      </w:r>
      <w:r w:rsidR="005572B0" w:rsidRPr="005572B0">
        <w:rPr>
          <w:rFonts w:ascii="Arial" w:hAnsi="Arial" w:cs="Arial"/>
          <w:sz w:val="20"/>
          <w:szCs w:val="20"/>
        </w:rPr>
        <w:t>492</w:t>
      </w:r>
      <w:r w:rsidRPr="005572B0">
        <w:rPr>
          <w:rFonts w:ascii="Arial" w:hAnsi="Arial" w:cs="Arial"/>
          <w:sz w:val="20"/>
          <w:szCs w:val="20"/>
        </w:rPr>
        <w:t xml:space="preserve"> thousand, the nonagricultural unemployment rate declined to 13.</w:t>
      </w:r>
      <w:r w:rsidR="005572B0" w:rsidRPr="005572B0">
        <w:rPr>
          <w:rFonts w:ascii="Arial" w:hAnsi="Arial" w:cs="Arial"/>
          <w:sz w:val="20"/>
          <w:szCs w:val="20"/>
        </w:rPr>
        <w:t>4</w:t>
      </w:r>
      <w:r w:rsidRPr="005572B0">
        <w:rPr>
          <w:rFonts w:ascii="Arial" w:hAnsi="Arial" w:cs="Arial"/>
          <w:sz w:val="20"/>
          <w:szCs w:val="20"/>
        </w:rPr>
        <w:t xml:space="preserve"> percent. </w:t>
      </w:r>
      <w:r w:rsidR="003E04A0">
        <w:rPr>
          <w:rFonts w:ascii="Arial" w:hAnsi="Arial" w:cs="Arial"/>
          <w:sz w:val="20"/>
          <w:szCs w:val="20"/>
        </w:rPr>
        <w:t xml:space="preserve">Since the period of September 2016, except December 2016, </w:t>
      </w:r>
      <w:r w:rsidR="004774A8">
        <w:rPr>
          <w:rFonts w:ascii="Arial" w:hAnsi="Arial" w:cs="Arial"/>
          <w:sz w:val="20"/>
          <w:szCs w:val="20"/>
        </w:rPr>
        <w:t xml:space="preserve">the </w:t>
      </w:r>
      <w:r w:rsidR="003E04A0">
        <w:rPr>
          <w:rFonts w:ascii="Arial" w:hAnsi="Arial" w:cs="Arial"/>
          <w:sz w:val="20"/>
          <w:szCs w:val="20"/>
        </w:rPr>
        <w:t xml:space="preserve">non-agricultural labor force </w:t>
      </w:r>
      <w:r w:rsidR="004774A8">
        <w:rPr>
          <w:rFonts w:ascii="Arial" w:hAnsi="Arial" w:cs="Arial"/>
          <w:sz w:val="20"/>
          <w:szCs w:val="20"/>
        </w:rPr>
        <w:t>has</w:t>
      </w:r>
      <w:r w:rsidR="003E04A0">
        <w:rPr>
          <w:rFonts w:ascii="Arial" w:hAnsi="Arial" w:cs="Arial"/>
          <w:sz w:val="20"/>
          <w:szCs w:val="20"/>
        </w:rPr>
        <w:t xml:space="preserve"> been increasing over 100 thousand. However, it has slowed down during the period of April 2017 and declined to the level of 79 thousand. </w:t>
      </w:r>
      <w:r w:rsidR="00B30B6E">
        <w:rPr>
          <w:rFonts w:ascii="Arial" w:hAnsi="Arial" w:cs="Arial"/>
          <w:sz w:val="20"/>
          <w:szCs w:val="20"/>
        </w:rPr>
        <w:t xml:space="preserve">Therefore, relatively high increase in the nonagricultural employment pulled the nonagricultural unemployment </w:t>
      </w:r>
      <w:r w:rsidR="003E04A0">
        <w:rPr>
          <w:rFonts w:ascii="Arial" w:hAnsi="Arial" w:cs="Arial"/>
          <w:sz w:val="20"/>
          <w:szCs w:val="20"/>
        </w:rPr>
        <w:t xml:space="preserve">rate </w:t>
      </w:r>
      <w:r w:rsidR="00B30B6E">
        <w:rPr>
          <w:rFonts w:ascii="Arial" w:hAnsi="Arial" w:cs="Arial"/>
          <w:sz w:val="20"/>
          <w:szCs w:val="20"/>
        </w:rPr>
        <w:t xml:space="preserve">down. </w:t>
      </w:r>
    </w:p>
    <w:p w:rsidR="00294CFF" w:rsidRPr="0025721B" w:rsidRDefault="00294CFF" w:rsidP="006E6D7B">
      <w:pPr>
        <w:jc w:val="both"/>
        <w:rPr>
          <w:rFonts w:ascii="Arial" w:hAnsi="Arial" w:cs="Arial"/>
          <w:color w:val="FF0000"/>
          <w:sz w:val="20"/>
          <w:szCs w:val="20"/>
        </w:rPr>
      </w:pPr>
    </w:p>
    <w:p w:rsidR="00805BE4" w:rsidRPr="004774A8" w:rsidRDefault="00805BE4" w:rsidP="00805BE4">
      <w:pPr>
        <w:pStyle w:val="Caption"/>
        <w:rPr>
          <w:rFonts w:ascii="Arial" w:hAnsi="Arial" w:cs="Arial"/>
        </w:rPr>
      </w:pPr>
      <w:bookmarkStart w:id="1" w:name="_Ref472412190"/>
      <w:r w:rsidRPr="004774A8">
        <w:rPr>
          <w:rFonts w:ascii="Arial" w:hAnsi="Arial" w:cs="Arial"/>
        </w:rPr>
        <w:t xml:space="preserve">Figure </w:t>
      </w:r>
      <w:r w:rsidRPr="004774A8">
        <w:rPr>
          <w:rFonts w:ascii="Arial" w:hAnsi="Arial" w:cs="Arial"/>
        </w:rPr>
        <w:fldChar w:fldCharType="begin"/>
      </w:r>
      <w:r w:rsidRPr="004774A8">
        <w:rPr>
          <w:rFonts w:ascii="Arial" w:hAnsi="Arial" w:cs="Arial"/>
        </w:rPr>
        <w:instrText xml:space="preserve"> SEQ Figure \* ARABIC </w:instrText>
      </w:r>
      <w:r w:rsidRPr="004774A8">
        <w:rPr>
          <w:rFonts w:ascii="Arial" w:hAnsi="Arial" w:cs="Arial"/>
        </w:rPr>
        <w:fldChar w:fldCharType="separate"/>
      </w:r>
      <w:r w:rsidR="000705D3" w:rsidRPr="004774A8">
        <w:rPr>
          <w:rFonts w:ascii="Arial" w:hAnsi="Arial" w:cs="Arial"/>
          <w:noProof/>
        </w:rPr>
        <w:t>1</w:t>
      </w:r>
      <w:r w:rsidRPr="004774A8">
        <w:rPr>
          <w:rFonts w:ascii="Arial" w:hAnsi="Arial" w:cs="Arial"/>
        </w:rPr>
        <w:fldChar w:fldCharType="end"/>
      </w:r>
      <w:bookmarkEnd w:id="1"/>
      <w:r w:rsidRPr="004774A8">
        <w:rPr>
          <w:rFonts w:ascii="Arial" w:hAnsi="Arial" w:cs="Arial"/>
        </w:rPr>
        <w:t xml:space="preserve"> Seasonally adjusted non-agricultural labor force, employment, and unemployment</w:t>
      </w:r>
    </w:p>
    <w:p w:rsidR="006528F3" w:rsidRPr="0025721B" w:rsidRDefault="004774A8" w:rsidP="00224A7B">
      <w:pPr>
        <w:rPr>
          <w:color w:val="FF0000"/>
        </w:rPr>
      </w:pPr>
      <w:r w:rsidRPr="004774A8">
        <w:rPr>
          <w:noProof/>
          <w:lang w:val="tr-TR" w:eastAsia="tr-TR"/>
        </w:rPr>
        <w:lastRenderedPageBreak/>
        <w:drawing>
          <wp:inline distT="0" distB="0" distL="0" distR="0">
            <wp:extent cx="5000625" cy="283654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1441" cy="2837003"/>
                    </a:xfrm>
                    <a:prstGeom prst="rect">
                      <a:avLst/>
                    </a:prstGeom>
                    <a:noFill/>
                    <a:ln>
                      <a:noFill/>
                    </a:ln>
                  </pic:spPr>
                </pic:pic>
              </a:graphicData>
            </a:graphic>
          </wp:inline>
        </w:drawing>
      </w:r>
    </w:p>
    <w:p w:rsidR="004B0007" w:rsidRPr="0025721B" w:rsidRDefault="004B0007" w:rsidP="00224A7B">
      <w:pPr>
        <w:rPr>
          <w:color w:val="FF0000"/>
        </w:rPr>
      </w:pPr>
    </w:p>
    <w:p w:rsidR="002F0E89" w:rsidRPr="00904975" w:rsidRDefault="000F464F" w:rsidP="00805BE4">
      <w:pPr>
        <w:rPr>
          <w:rFonts w:ascii="Arial" w:hAnsi="Arial" w:cs="Arial"/>
          <w:sz w:val="18"/>
          <w:szCs w:val="18"/>
        </w:rPr>
      </w:pPr>
      <w:r w:rsidRPr="00904975">
        <w:rPr>
          <w:rFonts w:ascii="Arial" w:hAnsi="Arial" w:cs="Arial"/>
          <w:sz w:val="18"/>
          <w:szCs w:val="18"/>
        </w:rPr>
        <w:t xml:space="preserve">Source: Turkstat, </w:t>
      </w:r>
      <w:r w:rsidRPr="00904975">
        <w:rPr>
          <w:rFonts w:ascii="Arial" w:hAnsi="Arial" w:cs="Arial"/>
          <w:bCs/>
          <w:sz w:val="18"/>
          <w:szCs w:val="18"/>
        </w:rPr>
        <w:t>Betam</w:t>
      </w:r>
    </w:p>
    <w:p w:rsidR="00881A4F" w:rsidRPr="00AA4D18" w:rsidRDefault="00434118" w:rsidP="00805BE4">
      <w:pPr>
        <w:rPr>
          <w:rFonts w:ascii="Arial" w:hAnsi="Arial" w:cs="Arial"/>
          <w:b/>
          <w:bCs/>
          <w:sz w:val="22"/>
          <w:szCs w:val="22"/>
        </w:rPr>
      </w:pPr>
      <w:r w:rsidRPr="00AA4D18">
        <w:rPr>
          <w:rFonts w:ascii="Arial" w:hAnsi="Arial" w:cs="Arial"/>
          <w:b/>
          <w:bCs/>
          <w:sz w:val="22"/>
          <w:szCs w:val="22"/>
        </w:rPr>
        <w:t>T</w:t>
      </w:r>
      <w:r w:rsidR="00881A4F" w:rsidRPr="00AA4D18">
        <w:rPr>
          <w:rFonts w:ascii="Arial" w:hAnsi="Arial" w:cs="Arial"/>
          <w:b/>
          <w:bCs/>
          <w:sz w:val="22"/>
          <w:szCs w:val="22"/>
        </w:rPr>
        <w:t>he unemployment</w:t>
      </w:r>
      <w:r w:rsidR="00EE1863" w:rsidRPr="00AA4D18">
        <w:rPr>
          <w:rFonts w:ascii="Arial" w:hAnsi="Arial" w:cs="Arial"/>
          <w:b/>
          <w:bCs/>
          <w:sz w:val="22"/>
          <w:szCs w:val="22"/>
        </w:rPr>
        <w:t xml:space="preserve"> rate</w:t>
      </w:r>
      <w:r w:rsidR="00881A4F" w:rsidRPr="00AA4D18">
        <w:rPr>
          <w:rFonts w:ascii="Arial" w:hAnsi="Arial" w:cs="Arial"/>
          <w:b/>
          <w:bCs/>
          <w:sz w:val="22"/>
          <w:szCs w:val="22"/>
        </w:rPr>
        <w:t xml:space="preserve"> is expected </w:t>
      </w:r>
      <w:r w:rsidRPr="00AA4D18">
        <w:rPr>
          <w:rFonts w:ascii="Arial" w:hAnsi="Arial" w:cs="Arial"/>
          <w:b/>
          <w:bCs/>
          <w:sz w:val="22"/>
          <w:szCs w:val="22"/>
        </w:rPr>
        <w:t xml:space="preserve">to </w:t>
      </w:r>
      <w:r w:rsidR="00EE1863" w:rsidRPr="00AA4D18">
        <w:rPr>
          <w:rFonts w:ascii="Arial" w:hAnsi="Arial" w:cs="Arial"/>
          <w:b/>
          <w:bCs/>
          <w:sz w:val="22"/>
          <w:szCs w:val="22"/>
        </w:rPr>
        <w:t>decline</w:t>
      </w:r>
      <w:r w:rsidRPr="00AA4D18">
        <w:rPr>
          <w:rFonts w:ascii="Arial" w:hAnsi="Arial" w:cs="Arial"/>
          <w:b/>
          <w:bCs/>
          <w:sz w:val="22"/>
          <w:szCs w:val="22"/>
        </w:rPr>
        <w:t xml:space="preserve"> </w:t>
      </w:r>
      <w:r w:rsidR="00881A4F" w:rsidRPr="00AA4D18">
        <w:rPr>
          <w:rFonts w:ascii="Arial" w:hAnsi="Arial" w:cs="Arial"/>
          <w:b/>
          <w:bCs/>
          <w:sz w:val="22"/>
          <w:szCs w:val="22"/>
        </w:rPr>
        <w:t xml:space="preserve">in the period of </w:t>
      </w:r>
      <w:r w:rsidR="00AA4D18" w:rsidRPr="00AA4D18">
        <w:rPr>
          <w:rFonts w:ascii="Arial" w:hAnsi="Arial" w:cs="Arial"/>
          <w:b/>
          <w:bCs/>
          <w:sz w:val="22"/>
          <w:szCs w:val="22"/>
        </w:rPr>
        <w:t>May</w:t>
      </w:r>
      <w:r w:rsidR="00881A4F" w:rsidRPr="00AA4D18">
        <w:rPr>
          <w:rFonts w:ascii="Arial" w:hAnsi="Arial" w:cs="Arial"/>
          <w:b/>
          <w:bCs/>
          <w:sz w:val="22"/>
          <w:szCs w:val="22"/>
        </w:rPr>
        <w:t xml:space="preserve"> 2017 </w:t>
      </w:r>
      <w:r w:rsidR="00EE1863" w:rsidRPr="00AA4D18">
        <w:rPr>
          <w:rFonts w:ascii="Arial" w:hAnsi="Arial" w:cs="Arial"/>
          <w:b/>
          <w:bCs/>
          <w:sz w:val="22"/>
          <w:szCs w:val="22"/>
        </w:rPr>
        <w:br/>
      </w:r>
      <w:r w:rsidR="00881A4F" w:rsidRPr="00AA4D18">
        <w:rPr>
          <w:rFonts w:ascii="Arial" w:hAnsi="Arial" w:cs="Arial"/>
          <w:b/>
          <w:bCs/>
          <w:sz w:val="22"/>
          <w:szCs w:val="22"/>
        </w:rPr>
        <w:t xml:space="preserve"> </w:t>
      </w:r>
    </w:p>
    <w:p w:rsidR="0043040A" w:rsidRPr="000B6F1B" w:rsidRDefault="00EE1863" w:rsidP="0043040A">
      <w:pPr>
        <w:jc w:val="both"/>
        <w:rPr>
          <w:rFonts w:ascii="Arial" w:hAnsi="Arial" w:cs="Arial"/>
          <w:bCs/>
          <w:sz w:val="20"/>
          <w:szCs w:val="20"/>
        </w:rPr>
      </w:pPr>
      <w:r w:rsidRPr="008815C6">
        <w:rPr>
          <w:rFonts w:ascii="Arial" w:hAnsi="Arial" w:cs="Arial"/>
          <w:sz w:val="20"/>
          <w:szCs w:val="20"/>
        </w:rPr>
        <w:t xml:space="preserve">Betam's forecasting model had predicted that the seasonally adjusted nonagricultural unemployment rate would </w:t>
      </w:r>
      <w:r w:rsidR="00904975" w:rsidRPr="008815C6">
        <w:rPr>
          <w:rFonts w:ascii="Arial" w:hAnsi="Arial" w:cs="Arial"/>
          <w:sz w:val="20"/>
          <w:szCs w:val="20"/>
        </w:rPr>
        <w:t xml:space="preserve">decrease by 0.1 percentage points and would be 13.6 </w:t>
      </w:r>
      <w:r w:rsidRPr="008815C6">
        <w:rPr>
          <w:rFonts w:ascii="Arial" w:hAnsi="Arial" w:cs="Arial"/>
          <w:sz w:val="20"/>
          <w:szCs w:val="20"/>
        </w:rPr>
        <w:t xml:space="preserve">percent in the period of </w:t>
      </w:r>
      <w:r w:rsidR="00904975" w:rsidRPr="008815C6">
        <w:rPr>
          <w:rFonts w:ascii="Arial" w:hAnsi="Arial" w:cs="Arial"/>
          <w:sz w:val="20"/>
          <w:szCs w:val="20"/>
        </w:rPr>
        <w:t>April</w:t>
      </w:r>
      <w:r w:rsidRPr="008815C6">
        <w:rPr>
          <w:rFonts w:ascii="Arial" w:hAnsi="Arial" w:cs="Arial"/>
          <w:sz w:val="20"/>
          <w:szCs w:val="20"/>
        </w:rPr>
        <w:t xml:space="preserve"> 2017. Turkstat revised seasonally adjusted nonagricultural unemployment rate of the </w:t>
      </w:r>
      <w:r w:rsidR="00904975" w:rsidRPr="008815C6">
        <w:rPr>
          <w:rFonts w:ascii="Arial" w:hAnsi="Arial" w:cs="Arial"/>
          <w:sz w:val="20"/>
          <w:szCs w:val="20"/>
        </w:rPr>
        <w:t>March</w:t>
      </w:r>
      <w:r w:rsidRPr="008815C6">
        <w:rPr>
          <w:rFonts w:ascii="Arial" w:hAnsi="Arial" w:cs="Arial"/>
          <w:sz w:val="20"/>
          <w:szCs w:val="20"/>
        </w:rPr>
        <w:t xml:space="preserve"> 2017 period from </w:t>
      </w:r>
      <w:r w:rsidR="00904975" w:rsidRPr="008815C6">
        <w:rPr>
          <w:rFonts w:ascii="Arial" w:hAnsi="Arial" w:cs="Arial"/>
          <w:sz w:val="20"/>
          <w:szCs w:val="20"/>
        </w:rPr>
        <w:t>13.7</w:t>
      </w:r>
      <w:r w:rsidRPr="008815C6">
        <w:rPr>
          <w:rFonts w:ascii="Arial" w:hAnsi="Arial" w:cs="Arial"/>
          <w:sz w:val="20"/>
          <w:szCs w:val="20"/>
        </w:rPr>
        <w:t xml:space="preserve"> percent to 13.</w:t>
      </w:r>
      <w:r w:rsidR="00904975" w:rsidRPr="008815C6">
        <w:rPr>
          <w:rFonts w:ascii="Arial" w:hAnsi="Arial" w:cs="Arial"/>
          <w:sz w:val="20"/>
          <w:szCs w:val="20"/>
        </w:rPr>
        <w:t>6</w:t>
      </w:r>
      <w:r w:rsidRPr="008815C6">
        <w:rPr>
          <w:rFonts w:ascii="Arial" w:hAnsi="Arial" w:cs="Arial"/>
          <w:sz w:val="20"/>
          <w:szCs w:val="20"/>
        </w:rPr>
        <w:t xml:space="preserve"> percent. As a result, the non-agricultural unemployment rate in </w:t>
      </w:r>
      <w:r w:rsidR="00904975" w:rsidRPr="008815C6">
        <w:rPr>
          <w:rFonts w:ascii="Arial" w:hAnsi="Arial" w:cs="Arial"/>
          <w:sz w:val="20"/>
          <w:szCs w:val="20"/>
        </w:rPr>
        <w:t>April</w:t>
      </w:r>
      <w:r w:rsidRPr="008815C6">
        <w:rPr>
          <w:rFonts w:ascii="Arial" w:hAnsi="Arial" w:cs="Arial"/>
          <w:sz w:val="20"/>
          <w:szCs w:val="20"/>
        </w:rPr>
        <w:t xml:space="preserve"> period decreased</w:t>
      </w:r>
      <w:r w:rsidR="008815C6" w:rsidRPr="008815C6">
        <w:rPr>
          <w:rFonts w:ascii="Arial" w:hAnsi="Arial" w:cs="Arial"/>
          <w:sz w:val="20"/>
          <w:szCs w:val="20"/>
        </w:rPr>
        <w:t xml:space="preserve"> by 0.2 percentage points and it recorded as </w:t>
      </w:r>
      <w:r w:rsidRPr="008815C6">
        <w:rPr>
          <w:rFonts w:ascii="Arial" w:hAnsi="Arial" w:cs="Arial"/>
          <w:sz w:val="20"/>
          <w:szCs w:val="20"/>
        </w:rPr>
        <w:t>13.</w:t>
      </w:r>
      <w:r w:rsidR="008815C6" w:rsidRPr="008815C6">
        <w:rPr>
          <w:rFonts w:ascii="Arial" w:hAnsi="Arial" w:cs="Arial"/>
          <w:sz w:val="20"/>
          <w:szCs w:val="20"/>
        </w:rPr>
        <w:t>4</w:t>
      </w:r>
      <w:r w:rsidRPr="008815C6">
        <w:rPr>
          <w:rFonts w:ascii="Arial" w:hAnsi="Arial" w:cs="Arial"/>
          <w:sz w:val="20"/>
          <w:szCs w:val="20"/>
        </w:rPr>
        <w:t xml:space="preserve"> percent. Betam’s forecasting model predicts the seasonally adjusted </w:t>
      </w:r>
      <w:r w:rsidR="008815C6" w:rsidRPr="008815C6">
        <w:rPr>
          <w:rFonts w:ascii="Arial" w:hAnsi="Arial" w:cs="Arial"/>
          <w:sz w:val="20"/>
          <w:szCs w:val="20"/>
        </w:rPr>
        <w:t>May</w:t>
      </w:r>
      <w:r w:rsidRPr="008815C6">
        <w:rPr>
          <w:rFonts w:ascii="Arial" w:hAnsi="Arial" w:cs="Arial"/>
          <w:sz w:val="20"/>
          <w:szCs w:val="20"/>
        </w:rPr>
        <w:t xml:space="preserve"> 2017 nonagricultural unemployment will decrease by 0.1 points</w:t>
      </w:r>
      <w:r w:rsidR="00A94156">
        <w:rPr>
          <w:rFonts w:ascii="Arial" w:hAnsi="Arial" w:cs="Arial"/>
          <w:sz w:val="20"/>
          <w:szCs w:val="20"/>
        </w:rPr>
        <w:t xml:space="preserve"> to</w:t>
      </w:r>
      <w:r w:rsidRPr="008815C6">
        <w:rPr>
          <w:rFonts w:ascii="Arial" w:hAnsi="Arial" w:cs="Arial"/>
          <w:sz w:val="20"/>
          <w:szCs w:val="20"/>
        </w:rPr>
        <w:t xml:space="preserve"> 13.</w:t>
      </w:r>
      <w:r w:rsidR="008815C6" w:rsidRPr="008815C6">
        <w:rPr>
          <w:rFonts w:ascii="Arial" w:hAnsi="Arial" w:cs="Arial"/>
          <w:sz w:val="20"/>
          <w:szCs w:val="20"/>
        </w:rPr>
        <w:t>3</w:t>
      </w:r>
      <w:r w:rsidRPr="008815C6">
        <w:rPr>
          <w:rFonts w:ascii="Arial" w:hAnsi="Arial" w:cs="Arial"/>
          <w:sz w:val="20"/>
          <w:szCs w:val="20"/>
        </w:rPr>
        <w:t xml:space="preserve"> percent. </w:t>
      </w:r>
      <w:r w:rsidR="0043040A" w:rsidRPr="008815C6">
        <w:rPr>
          <w:rFonts w:ascii="Arial" w:hAnsi="Arial" w:cs="Arial"/>
          <w:sz w:val="20"/>
          <w:szCs w:val="20"/>
        </w:rPr>
        <w:t>Forecasting model details are available on Betam's website.</w:t>
      </w:r>
      <w:r w:rsidR="0043040A" w:rsidRPr="008815C6">
        <w:rPr>
          <w:rStyle w:val="FootnoteReference"/>
          <w:rFonts w:ascii="Arial" w:hAnsi="Arial" w:cs="Arial"/>
          <w:sz w:val="20"/>
          <w:szCs w:val="20"/>
        </w:rPr>
        <w:footnoteReference w:id="4"/>
      </w:r>
      <w:r w:rsidR="0043040A" w:rsidRPr="008815C6">
        <w:rPr>
          <w:rFonts w:ascii="Arial" w:hAnsi="Arial" w:cs="Arial"/>
          <w:sz w:val="20"/>
          <w:szCs w:val="20"/>
        </w:rPr>
        <w:t xml:space="preserve"> Kariyer.net</w:t>
      </w:r>
      <w:r w:rsidR="0043040A" w:rsidRPr="008815C6">
        <w:rPr>
          <w:rStyle w:val="FootnoteReference"/>
          <w:rFonts w:ascii="Arial" w:hAnsi="Arial" w:cs="Arial"/>
          <w:sz w:val="20"/>
          <w:szCs w:val="20"/>
        </w:rPr>
        <w:footnoteReference w:id="5"/>
      </w:r>
      <w:r w:rsidR="0043040A" w:rsidRPr="008815C6">
        <w:rPr>
          <w:rFonts w:ascii="Arial" w:hAnsi="Arial" w:cs="Arial"/>
          <w:sz w:val="20"/>
          <w:szCs w:val="20"/>
        </w:rPr>
        <w:t xml:space="preserve"> application </w:t>
      </w:r>
      <w:r w:rsidR="0043040A" w:rsidRPr="008815C6">
        <w:rPr>
          <w:rFonts w:ascii="Arial" w:hAnsi="Arial" w:cs="Arial"/>
          <w:bCs/>
          <w:sz w:val="20"/>
          <w:szCs w:val="20"/>
        </w:rPr>
        <w:t xml:space="preserve">per vacancy series used in the Betam forecasting model is depicted in </w:t>
      </w:r>
      <w:r w:rsidR="0043040A" w:rsidRPr="008815C6">
        <w:rPr>
          <w:rFonts w:ascii="Arial" w:hAnsi="Arial" w:cs="Arial"/>
          <w:bCs/>
          <w:sz w:val="20"/>
          <w:szCs w:val="20"/>
        </w:rPr>
        <w:fldChar w:fldCharType="begin"/>
      </w:r>
      <w:r w:rsidR="0043040A" w:rsidRPr="008815C6">
        <w:rPr>
          <w:rFonts w:ascii="Arial" w:hAnsi="Arial" w:cs="Arial"/>
          <w:bCs/>
          <w:sz w:val="20"/>
          <w:szCs w:val="20"/>
        </w:rPr>
        <w:instrText xml:space="preserve"> REF _Ref464482098 \h  \* MERGEFORMAT </w:instrText>
      </w:r>
      <w:r w:rsidR="0043040A" w:rsidRPr="008815C6">
        <w:rPr>
          <w:rFonts w:ascii="Arial" w:hAnsi="Arial" w:cs="Arial"/>
          <w:bCs/>
          <w:sz w:val="20"/>
          <w:szCs w:val="20"/>
        </w:rPr>
      </w:r>
      <w:r w:rsidR="0043040A" w:rsidRPr="008815C6">
        <w:rPr>
          <w:rFonts w:ascii="Arial" w:hAnsi="Arial" w:cs="Arial"/>
          <w:bCs/>
          <w:sz w:val="20"/>
          <w:szCs w:val="20"/>
        </w:rPr>
        <w:fldChar w:fldCharType="separate"/>
      </w:r>
      <w:r w:rsidR="0043040A" w:rsidRPr="008815C6">
        <w:rPr>
          <w:rFonts w:ascii="Arial" w:hAnsi="Arial" w:cs="Arial"/>
          <w:bCs/>
          <w:sz w:val="20"/>
          <w:szCs w:val="20"/>
        </w:rPr>
        <w:t>Figure 1</w:t>
      </w:r>
      <w:r w:rsidR="0043040A" w:rsidRPr="008815C6">
        <w:rPr>
          <w:rFonts w:ascii="Arial" w:hAnsi="Arial" w:cs="Arial"/>
          <w:bCs/>
          <w:sz w:val="20"/>
          <w:szCs w:val="20"/>
        </w:rPr>
        <w:fldChar w:fldCharType="end"/>
      </w:r>
      <w:r w:rsidR="0043040A" w:rsidRPr="008815C6">
        <w:rPr>
          <w:rFonts w:ascii="Arial" w:hAnsi="Arial" w:cs="Arial"/>
          <w:bCs/>
          <w:sz w:val="20"/>
          <w:szCs w:val="20"/>
        </w:rPr>
        <w:t xml:space="preserve">. Kariyer.net </w:t>
      </w:r>
      <w:r w:rsidR="0043040A" w:rsidRPr="00B97FA7">
        <w:rPr>
          <w:rFonts w:ascii="Arial" w:hAnsi="Arial" w:cs="Arial"/>
          <w:bCs/>
          <w:sz w:val="20"/>
          <w:szCs w:val="20"/>
        </w:rPr>
        <w:t>series is only one of the inputs of Betam forecast model. Indeed, several variables such as employment agency (İŞKUR) data, reel sector confidence index, capacity utilization rate are used in forecasting. Taken into account all these factors, Betam's forecasting model predicts that seasonally adjusted nonagricultural unemplo</w:t>
      </w:r>
      <w:r w:rsidRPr="00B97FA7">
        <w:rPr>
          <w:rFonts w:ascii="Arial" w:hAnsi="Arial" w:cs="Arial"/>
          <w:bCs/>
          <w:sz w:val="20"/>
          <w:szCs w:val="20"/>
        </w:rPr>
        <w:t xml:space="preserve">yment rate will </w:t>
      </w:r>
      <w:r w:rsidR="00AA4D18" w:rsidRPr="00B97FA7">
        <w:rPr>
          <w:rFonts w:ascii="Arial" w:hAnsi="Arial" w:cs="Arial"/>
          <w:bCs/>
          <w:sz w:val="20"/>
          <w:szCs w:val="20"/>
        </w:rPr>
        <w:t xml:space="preserve">continue to </w:t>
      </w:r>
      <w:r w:rsidRPr="00B97FA7">
        <w:rPr>
          <w:rFonts w:ascii="Arial" w:hAnsi="Arial" w:cs="Arial"/>
          <w:bCs/>
          <w:sz w:val="20"/>
          <w:szCs w:val="20"/>
        </w:rPr>
        <w:t xml:space="preserve">decrease in the period of </w:t>
      </w:r>
      <w:r w:rsidR="00EB3A01" w:rsidRPr="00B97FA7">
        <w:rPr>
          <w:rFonts w:ascii="Arial" w:hAnsi="Arial" w:cs="Arial"/>
          <w:bCs/>
          <w:sz w:val="20"/>
          <w:szCs w:val="20"/>
        </w:rPr>
        <w:t>May</w:t>
      </w:r>
      <w:r w:rsidR="0043040A" w:rsidRPr="00B97FA7">
        <w:rPr>
          <w:rFonts w:ascii="Arial" w:hAnsi="Arial" w:cs="Arial"/>
          <w:bCs/>
          <w:sz w:val="20"/>
          <w:szCs w:val="20"/>
        </w:rPr>
        <w:t xml:space="preserve"> 2017. </w:t>
      </w:r>
    </w:p>
    <w:p w:rsidR="00904975" w:rsidRDefault="00904975" w:rsidP="0043040A">
      <w:pPr>
        <w:jc w:val="both"/>
        <w:rPr>
          <w:rFonts w:ascii="Arial" w:hAnsi="Arial" w:cs="Arial"/>
          <w:bCs/>
          <w:color w:val="FF0000"/>
          <w:sz w:val="20"/>
          <w:szCs w:val="20"/>
        </w:rPr>
      </w:pPr>
    </w:p>
    <w:p w:rsidR="004B6125" w:rsidRPr="004774A8" w:rsidRDefault="004B6125" w:rsidP="004B6125">
      <w:pPr>
        <w:jc w:val="both"/>
        <w:rPr>
          <w:rFonts w:ascii="Arial" w:hAnsi="Arial" w:cs="Arial"/>
          <w:b/>
          <w:bCs/>
          <w:sz w:val="20"/>
          <w:szCs w:val="20"/>
        </w:rPr>
      </w:pPr>
      <w:r w:rsidRPr="004774A8">
        <w:rPr>
          <w:rFonts w:ascii="Arial" w:hAnsi="Arial" w:cs="Arial"/>
          <w:b/>
          <w:bCs/>
          <w:sz w:val="20"/>
          <w:szCs w:val="20"/>
        </w:rPr>
        <w:t xml:space="preserve">Figure </w:t>
      </w:r>
      <w:r w:rsidRPr="004774A8">
        <w:rPr>
          <w:rFonts w:ascii="Arial" w:hAnsi="Arial" w:cs="Arial"/>
          <w:b/>
          <w:bCs/>
          <w:sz w:val="20"/>
          <w:szCs w:val="20"/>
        </w:rPr>
        <w:fldChar w:fldCharType="begin"/>
      </w:r>
      <w:r w:rsidRPr="004774A8">
        <w:rPr>
          <w:rFonts w:ascii="Arial" w:hAnsi="Arial" w:cs="Arial"/>
          <w:b/>
          <w:bCs/>
          <w:sz w:val="20"/>
          <w:szCs w:val="20"/>
        </w:rPr>
        <w:instrText xml:space="preserve"> SEQ Figure \* ARABIC </w:instrText>
      </w:r>
      <w:r w:rsidRPr="004774A8">
        <w:rPr>
          <w:rFonts w:ascii="Arial" w:hAnsi="Arial" w:cs="Arial"/>
          <w:b/>
          <w:bCs/>
          <w:sz w:val="20"/>
          <w:szCs w:val="20"/>
        </w:rPr>
        <w:fldChar w:fldCharType="separate"/>
      </w:r>
      <w:r w:rsidR="000705D3" w:rsidRPr="004774A8">
        <w:rPr>
          <w:rFonts w:ascii="Arial" w:hAnsi="Arial" w:cs="Arial"/>
          <w:b/>
          <w:bCs/>
          <w:noProof/>
          <w:sz w:val="20"/>
          <w:szCs w:val="20"/>
        </w:rPr>
        <w:t>2</w:t>
      </w:r>
      <w:r w:rsidRPr="004774A8">
        <w:rPr>
          <w:rFonts w:ascii="Arial" w:hAnsi="Arial" w:cs="Arial"/>
          <w:b/>
          <w:bCs/>
          <w:sz w:val="20"/>
          <w:szCs w:val="20"/>
        </w:rPr>
        <w:fldChar w:fldCharType="end"/>
      </w:r>
      <w:r w:rsidRPr="004774A8">
        <w:rPr>
          <w:rFonts w:ascii="Arial" w:hAnsi="Arial" w:cs="Arial"/>
          <w:b/>
          <w:bCs/>
          <w:sz w:val="20"/>
          <w:szCs w:val="20"/>
        </w:rPr>
        <w:t xml:space="preserve"> Seasonally adjusted nonagricultural unemployment rate and application per vacancy</w:t>
      </w:r>
    </w:p>
    <w:p w:rsidR="006528F3" w:rsidRPr="0025721B" w:rsidRDefault="004774A8" w:rsidP="00224A7B">
      <w:pPr>
        <w:rPr>
          <w:color w:val="FF0000"/>
        </w:rPr>
      </w:pPr>
      <w:r>
        <w:rPr>
          <w:noProof/>
          <w:lang w:val="tr-TR" w:eastAsia="tr-TR"/>
        </w:rPr>
        <w:lastRenderedPageBreak/>
        <w:drawing>
          <wp:inline distT="0" distB="0" distL="0" distR="0" wp14:anchorId="3582507D" wp14:editId="6AF4E2DA">
            <wp:extent cx="5943600" cy="35337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464F" w:rsidRPr="00E00EB8" w:rsidRDefault="000F464F" w:rsidP="000F464F">
      <w:pPr>
        <w:rPr>
          <w:rFonts w:ascii="Arial" w:hAnsi="Arial" w:cs="Arial"/>
          <w:sz w:val="18"/>
          <w:szCs w:val="18"/>
        </w:rPr>
      </w:pPr>
      <w:r w:rsidRPr="00E00EB8">
        <w:rPr>
          <w:rFonts w:ascii="Arial" w:hAnsi="Arial" w:cs="Arial"/>
          <w:sz w:val="18"/>
          <w:szCs w:val="18"/>
        </w:rPr>
        <w:t xml:space="preserve">Source: Turkstat, </w:t>
      </w:r>
      <w:r w:rsidRPr="00E00EB8">
        <w:rPr>
          <w:rFonts w:ascii="Arial" w:hAnsi="Arial" w:cs="Arial"/>
          <w:bCs/>
          <w:sz w:val="18"/>
          <w:szCs w:val="18"/>
        </w:rPr>
        <w:t>Betam</w:t>
      </w:r>
    </w:p>
    <w:p w:rsidR="009A44F5" w:rsidRPr="0025721B" w:rsidRDefault="009A44F5" w:rsidP="00224A7B">
      <w:pPr>
        <w:suppressAutoHyphens w:val="0"/>
        <w:rPr>
          <w:rFonts w:ascii="Arial" w:hAnsi="Arial" w:cs="Arial"/>
          <w:b/>
          <w:color w:val="FF0000"/>
          <w:sz w:val="22"/>
          <w:szCs w:val="22"/>
        </w:rPr>
      </w:pPr>
    </w:p>
    <w:p w:rsidR="00931217" w:rsidRPr="00EF016E" w:rsidRDefault="00270E93" w:rsidP="00931217">
      <w:pPr>
        <w:suppressAutoHyphens w:val="0"/>
        <w:jc w:val="both"/>
        <w:rPr>
          <w:rFonts w:ascii="Arial" w:hAnsi="Arial" w:cs="Arial"/>
          <w:b/>
          <w:sz w:val="22"/>
          <w:szCs w:val="22"/>
        </w:rPr>
      </w:pPr>
      <w:r>
        <w:rPr>
          <w:rFonts w:ascii="Arial" w:hAnsi="Arial" w:cs="Arial"/>
          <w:b/>
          <w:sz w:val="22"/>
          <w:szCs w:val="22"/>
        </w:rPr>
        <w:t>S</w:t>
      </w:r>
      <w:r w:rsidR="00EF016E" w:rsidRPr="00EF016E">
        <w:rPr>
          <w:rFonts w:ascii="Arial" w:hAnsi="Arial" w:cs="Arial"/>
          <w:b/>
          <w:sz w:val="22"/>
          <w:szCs w:val="22"/>
        </w:rPr>
        <w:t xml:space="preserve">lowdown </w:t>
      </w:r>
      <w:r>
        <w:rPr>
          <w:rFonts w:ascii="Arial" w:hAnsi="Arial" w:cs="Arial"/>
          <w:b/>
          <w:sz w:val="22"/>
          <w:szCs w:val="22"/>
        </w:rPr>
        <w:t>in sectoral</w:t>
      </w:r>
      <w:r w:rsidR="00EF016E" w:rsidRPr="00EF016E">
        <w:rPr>
          <w:rFonts w:ascii="Arial" w:hAnsi="Arial" w:cs="Arial"/>
          <w:b/>
          <w:sz w:val="22"/>
          <w:szCs w:val="22"/>
        </w:rPr>
        <w:t xml:space="preserve"> </w:t>
      </w:r>
      <w:r w:rsidR="00931217" w:rsidRPr="00EF016E">
        <w:rPr>
          <w:rFonts w:ascii="Arial" w:hAnsi="Arial" w:cs="Arial"/>
          <w:b/>
          <w:sz w:val="22"/>
          <w:szCs w:val="22"/>
        </w:rPr>
        <w:t xml:space="preserve">employment </w:t>
      </w:r>
      <w:r>
        <w:rPr>
          <w:rFonts w:ascii="Arial" w:hAnsi="Arial" w:cs="Arial"/>
          <w:b/>
          <w:sz w:val="22"/>
          <w:szCs w:val="22"/>
        </w:rPr>
        <w:t>increases</w:t>
      </w:r>
    </w:p>
    <w:p w:rsidR="00B36EFF" w:rsidRPr="0025721B" w:rsidRDefault="00B36EFF" w:rsidP="00DD695A">
      <w:pPr>
        <w:suppressAutoHyphens w:val="0"/>
        <w:jc w:val="both"/>
        <w:rPr>
          <w:rFonts w:ascii="Arial" w:hAnsi="Arial" w:cs="Arial"/>
          <w:bCs/>
          <w:color w:val="FF0000"/>
          <w:sz w:val="20"/>
          <w:szCs w:val="20"/>
          <w:highlight w:val="yellow"/>
        </w:rPr>
      </w:pPr>
    </w:p>
    <w:p w:rsidR="00EF016E" w:rsidRPr="00B15422" w:rsidRDefault="00931217" w:rsidP="004774A8">
      <w:pPr>
        <w:jc w:val="both"/>
        <w:rPr>
          <w:rFonts w:ascii="Arial" w:hAnsi="Arial" w:cs="Arial"/>
          <w:sz w:val="20"/>
          <w:szCs w:val="20"/>
        </w:rPr>
      </w:pPr>
      <w:r w:rsidRPr="00B15422">
        <w:rPr>
          <w:rFonts w:ascii="Arial" w:hAnsi="Arial" w:cs="Arial"/>
          <w:sz w:val="20"/>
          <w:szCs w:val="20"/>
        </w:rPr>
        <w:t xml:space="preserve">According to seasonally adjusted sectoral labor market data, </w:t>
      </w:r>
      <w:r w:rsidR="00EF016E" w:rsidRPr="00B15422">
        <w:rPr>
          <w:rFonts w:ascii="Arial" w:hAnsi="Arial" w:cs="Arial"/>
          <w:sz w:val="20"/>
          <w:szCs w:val="20"/>
        </w:rPr>
        <w:t xml:space="preserve">strong increases in the employment </w:t>
      </w:r>
      <w:r w:rsidR="00270E93">
        <w:rPr>
          <w:rFonts w:ascii="Arial" w:hAnsi="Arial" w:cs="Arial"/>
          <w:sz w:val="20"/>
          <w:szCs w:val="20"/>
        </w:rPr>
        <w:t>of</w:t>
      </w:r>
      <w:r w:rsidR="00EF016E" w:rsidRPr="00B15422">
        <w:rPr>
          <w:rFonts w:ascii="Arial" w:hAnsi="Arial" w:cs="Arial"/>
          <w:sz w:val="20"/>
          <w:szCs w:val="20"/>
        </w:rPr>
        <w:t xml:space="preserve"> the </w:t>
      </w:r>
      <w:r w:rsidR="004774A8">
        <w:rPr>
          <w:rFonts w:ascii="Arial" w:hAnsi="Arial" w:cs="Arial"/>
          <w:sz w:val="20"/>
          <w:szCs w:val="20"/>
        </w:rPr>
        <w:t>n</w:t>
      </w:r>
      <w:r w:rsidR="00EF016E" w:rsidRPr="00B15422">
        <w:rPr>
          <w:rFonts w:ascii="Arial" w:hAnsi="Arial" w:cs="Arial"/>
          <w:sz w:val="20"/>
          <w:szCs w:val="20"/>
        </w:rPr>
        <w:t xml:space="preserve">onagricultural sectors </w:t>
      </w:r>
      <w:r w:rsidR="00AC6D5E" w:rsidRPr="00B15422">
        <w:rPr>
          <w:rFonts w:ascii="Arial" w:hAnsi="Arial" w:cs="Arial"/>
          <w:sz w:val="20"/>
          <w:szCs w:val="20"/>
        </w:rPr>
        <w:t xml:space="preserve">were recorded in the period of March 2017. </w:t>
      </w:r>
      <w:r w:rsidR="00B15422">
        <w:rPr>
          <w:rFonts w:ascii="Arial" w:hAnsi="Arial" w:cs="Arial"/>
          <w:sz w:val="20"/>
          <w:szCs w:val="20"/>
        </w:rPr>
        <w:t>Even though we observe employment increase in all non-agricultural sectors during the period of April 2017, their pace is relatively slower compared to previous periods</w:t>
      </w:r>
      <w:r w:rsidR="00B15422" w:rsidRPr="002A0E09">
        <w:rPr>
          <w:rFonts w:ascii="Arial" w:hAnsi="Arial" w:cs="Arial"/>
          <w:bCs/>
          <w:sz w:val="20"/>
          <w:szCs w:val="20"/>
        </w:rPr>
        <w:t xml:space="preserve"> </w:t>
      </w:r>
      <w:r w:rsidR="00AA1CFD" w:rsidRPr="002A0E09">
        <w:rPr>
          <w:rFonts w:ascii="Arial" w:hAnsi="Arial" w:cs="Arial"/>
          <w:bCs/>
          <w:sz w:val="20"/>
          <w:szCs w:val="20"/>
        </w:rPr>
        <w:t>(</w:t>
      </w:r>
      <w:r w:rsidR="00AA1CFD" w:rsidRPr="002A0E09">
        <w:rPr>
          <w:rFonts w:ascii="Arial" w:hAnsi="Arial" w:cs="Arial"/>
          <w:bCs/>
          <w:sz w:val="20"/>
          <w:szCs w:val="20"/>
        </w:rPr>
        <w:fldChar w:fldCharType="begin"/>
      </w:r>
      <w:r w:rsidR="00AA1CFD" w:rsidRPr="002A0E09">
        <w:rPr>
          <w:rFonts w:ascii="Arial" w:hAnsi="Arial" w:cs="Arial"/>
          <w:bCs/>
          <w:sz w:val="20"/>
          <w:szCs w:val="20"/>
        </w:rPr>
        <w:instrText xml:space="preserve"> REF _Ref472411377 \h  \* MERGEFORMAT </w:instrText>
      </w:r>
      <w:r w:rsidR="00AA1CFD" w:rsidRPr="002A0E09">
        <w:rPr>
          <w:rFonts w:ascii="Arial" w:hAnsi="Arial" w:cs="Arial"/>
          <w:bCs/>
          <w:sz w:val="20"/>
          <w:szCs w:val="20"/>
        </w:rPr>
      </w:r>
      <w:r w:rsidR="00AA1CFD" w:rsidRPr="002A0E09">
        <w:rPr>
          <w:rFonts w:ascii="Arial" w:hAnsi="Arial" w:cs="Arial"/>
          <w:bCs/>
          <w:sz w:val="20"/>
          <w:szCs w:val="20"/>
        </w:rPr>
        <w:fldChar w:fldCharType="separate"/>
      </w:r>
      <w:r w:rsidR="00AA1CFD" w:rsidRPr="002A0E09">
        <w:rPr>
          <w:rFonts w:ascii="Arial" w:hAnsi="Arial" w:cs="Arial"/>
          <w:bCs/>
          <w:sz w:val="20"/>
          <w:szCs w:val="20"/>
        </w:rPr>
        <w:t>Figure 3</w:t>
      </w:r>
      <w:r w:rsidR="00AA1CFD" w:rsidRPr="002A0E09">
        <w:rPr>
          <w:rFonts w:ascii="Arial" w:hAnsi="Arial" w:cs="Arial"/>
          <w:bCs/>
          <w:sz w:val="20"/>
          <w:szCs w:val="20"/>
        </w:rPr>
        <w:fldChar w:fldCharType="end"/>
      </w:r>
      <w:r w:rsidR="00AA1CFD" w:rsidRPr="002A0E09">
        <w:rPr>
          <w:rFonts w:ascii="Arial" w:hAnsi="Arial" w:cs="Arial"/>
          <w:bCs/>
          <w:sz w:val="20"/>
          <w:szCs w:val="20"/>
        </w:rPr>
        <w:t>,</w:t>
      </w:r>
      <w:r w:rsidR="00AA1CFD" w:rsidRPr="002A0E09">
        <w:rPr>
          <w:rFonts w:ascii="Arial" w:hAnsi="Arial" w:cs="Arial"/>
          <w:bCs/>
          <w:sz w:val="20"/>
          <w:szCs w:val="20"/>
        </w:rPr>
        <w:fldChar w:fldCharType="begin"/>
      </w:r>
      <w:r w:rsidR="00AA1CFD" w:rsidRPr="002A0E09">
        <w:rPr>
          <w:rFonts w:ascii="Arial" w:hAnsi="Arial" w:cs="Arial"/>
          <w:bCs/>
          <w:sz w:val="20"/>
          <w:szCs w:val="20"/>
        </w:rPr>
        <w:instrText xml:space="preserve"> REF _Ref374950055 \h  \* MERGEFORMAT </w:instrText>
      </w:r>
      <w:r w:rsidR="00AA1CFD" w:rsidRPr="002A0E09">
        <w:rPr>
          <w:rFonts w:ascii="Arial" w:hAnsi="Arial" w:cs="Arial"/>
          <w:bCs/>
          <w:sz w:val="20"/>
          <w:szCs w:val="20"/>
        </w:rPr>
      </w:r>
      <w:r w:rsidR="00AA1CFD" w:rsidRPr="002A0E09">
        <w:rPr>
          <w:rFonts w:ascii="Arial" w:hAnsi="Arial" w:cs="Arial"/>
          <w:bCs/>
          <w:sz w:val="20"/>
          <w:szCs w:val="20"/>
        </w:rPr>
        <w:fldChar w:fldCharType="end"/>
      </w:r>
      <w:r w:rsidR="00AA1CFD" w:rsidRPr="002A0E09">
        <w:rPr>
          <w:rFonts w:ascii="Arial" w:hAnsi="Arial" w:cs="Arial"/>
          <w:bCs/>
          <w:sz w:val="20"/>
          <w:szCs w:val="20"/>
        </w:rPr>
        <w:t xml:space="preserve"> </w:t>
      </w:r>
      <w:r w:rsidR="00AA1CFD" w:rsidRPr="002A0E09">
        <w:rPr>
          <w:rFonts w:ascii="Arial" w:hAnsi="Arial" w:cs="Arial"/>
          <w:bCs/>
          <w:sz w:val="20"/>
          <w:szCs w:val="20"/>
        </w:rPr>
        <w:fldChar w:fldCharType="begin"/>
      </w:r>
      <w:r w:rsidR="00AA1CFD" w:rsidRPr="002A0E09">
        <w:rPr>
          <w:rFonts w:ascii="Arial" w:hAnsi="Arial" w:cs="Arial"/>
          <w:bCs/>
          <w:sz w:val="20"/>
          <w:szCs w:val="20"/>
        </w:rPr>
        <w:instrText xml:space="preserve"> REF _Ref472411395 \h  \* MERGEFORMAT </w:instrText>
      </w:r>
      <w:r w:rsidR="00AA1CFD" w:rsidRPr="002A0E09">
        <w:rPr>
          <w:rFonts w:ascii="Arial" w:hAnsi="Arial" w:cs="Arial"/>
          <w:bCs/>
          <w:sz w:val="20"/>
          <w:szCs w:val="20"/>
        </w:rPr>
      </w:r>
      <w:r w:rsidR="00AA1CFD" w:rsidRPr="002A0E09">
        <w:rPr>
          <w:rFonts w:ascii="Arial" w:hAnsi="Arial" w:cs="Arial"/>
          <w:bCs/>
          <w:sz w:val="20"/>
          <w:szCs w:val="20"/>
        </w:rPr>
        <w:fldChar w:fldCharType="separate"/>
      </w:r>
      <w:r w:rsidR="00AA1CFD" w:rsidRPr="002A0E09">
        <w:rPr>
          <w:rFonts w:ascii="Arial" w:hAnsi="Arial" w:cs="Arial"/>
          <w:bCs/>
          <w:sz w:val="20"/>
          <w:szCs w:val="20"/>
        </w:rPr>
        <w:t>Table 2</w:t>
      </w:r>
      <w:r w:rsidR="00AA1CFD" w:rsidRPr="002A0E09">
        <w:rPr>
          <w:rFonts w:ascii="Arial" w:hAnsi="Arial" w:cs="Arial"/>
          <w:bCs/>
          <w:sz w:val="20"/>
          <w:szCs w:val="20"/>
        </w:rPr>
        <w:fldChar w:fldCharType="end"/>
      </w:r>
      <w:r w:rsidR="00AA1CFD" w:rsidRPr="002A0E09">
        <w:rPr>
          <w:rFonts w:ascii="Arial" w:hAnsi="Arial" w:cs="Arial"/>
          <w:bCs/>
          <w:sz w:val="20"/>
          <w:szCs w:val="20"/>
        </w:rPr>
        <w:t>)</w:t>
      </w:r>
      <w:r w:rsidR="00AA1CFD" w:rsidRPr="002A0E09">
        <w:rPr>
          <w:rFonts w:ascii="Arial" w:hAnsi="Arial" w:cs="Arial"/>
          <w:sz w:val="20"/>
          <w:szCs w:val="20"/>
        </w:rPr>
        <w:t>.</w:t>
      </w:r>
      <w:r w:rsidR="00AA1CFD" w:rsidRPr="002A0E09">
        <w:rPr>
          <w:rFonts w:ascii="Arial" w:hAnsi="Arial" w:cs="Arial"/>
          <w:sz w:val="20"/>
          <w:szCs w:val="20"/>
          <w:vertAlign w:val="superscript"/>
        </w:rPr>
        <w:t xml:space="preserve"> </w:t>
      </w:r>
      <w:r w:rsidR="00AA1CFD" w:rsidRPr="002A0E09">
        <w:rPr>
          <w:rFonts w:ascii="Arial" w:hAnsi="Arial" w:cs="Arial"/>
          <w:sz w:val="20"/>
          <w:szCs w:val="20"/>
          <w:vertAlign w:val="superscript"/>
        </w:rPr>
        <w:footnoteReference w:id="6"/>
      </w:r>
      <w:r w:rsidR="00AA1CFD" w:rsidRPr="002A0E09">
        <w:rPr>
          <w:rFonts w:ascii="Arial" w:hAnsi="Arial" w:cs="Arial"/>
          <w:sz w:val="20"/>
          <w:szCs w:val="20"/>
          <w:vertAlign w:val="superscript"/>
        </w:rPr>
        <w:t xml:space="preserve">  </w:t>
      </w:r>
      <w:r w:rsidR="005A78E2" w:rsidRPr="002A0E09">
        <w:rPr>
          <w:rFonts w:ascii="Arial" w:hAnsi="Arial" w:cs="Arial"/>
          <w:sz w:val="20"/>
          <w:szCs w:val="20"/>
          <w:vertAlign w:val="superscript"/>
        </w:rPr>
        <w:t xml:space="preserve"> </w:t>
      </w:r>
      <w:r w:rsidR="005A78E2" w:rsidRPr="002A0E09">
        <w:rPr>
          <w:rFonts w:ascii="Arial" w:hAnsi="Arial" w:cs="Arial"/>
          <w:sz w:val="20"/>
          <w:szCs w:val="20"/>
        </w:rPr>
        <w:t xml:space="preserve">In this period, the employment increased by 26 thousand in industry, by 17 thousand in construction and by 76 thousand in services sector. </w:t>
      </w:r>
    </w:p>
    <w:p w:rsidR="00AA1CFD" w:rsidRPr="002A0E09" w:rsidRDefault="00AA1CFD" w:rsidP="004774A8">
      <w:pPr>
        <w:suppressAutoHyphens w:val="0"/>
        <w:jc w:val="both"/>
        <w:rPr>
          <w:rFonts w:ascii="Arial" w:hAnsi="Arial" w:cs="Arial"/>
          <w:bCs/>
          <w:sz w:val="20"/>
          <w:szCs w:val="20"/>
        </w:rPr>
      </w:pPr>
    </w:p>
    <w:p w:rsidR="00EF016E" w:rsidRPr="0025721B" w:rsidRDefault="00EF016E" w:rsidP="00D771B7">
      <w:pPr>
        <w:suppressAutoHyphens w:val="0"/>
        <w:jc w:val="both"/>
        <w:rPr>
          <w:rFonts w:ascii="Arial" w:hAnsi="Arial" w:cs="Arial"/>
          <w:bCs/>
          <w:color w:val="FF0000"/>
          <w:sz w:val="20"/>
          <w:szCs w:val="20"/>
        </w:rPr>
        <w:sectPr w:rsidR="00EF016E" w:rsidRPr="0025721B" w:rsidSect="0000377B">
          <w:footerReference w:type="default" r:id="rId11"/>
          <w:pgSz w:w="11905" w:h="16837"/>
          <w:pgMar w:top="1418" w:right="992" w:bottom="777" w:left="709" w:header="709" w:footer="709" w:gutter="0"/>
          <w:cols w:space="708"/>
          <w:docGrid w:linePitch="360"/>
        </w:sectPr>
      </w:pPr>
    </w:p>
    <w:p w:rsidR="00805BE4" w:rsidRPr="004774A8" w:rsidRDefault="00805BE4" w:rsidP="00805BE4">
      <w:pPr>
        <w:pStyle w:val="Caption"/>
      </w:pPr>
      <w:bookmarkStart w:id="2" w:name="_Ref472411377"/>
      <w:bookmarkStart w:id="3" w:name="_Ref374950067"/>
      <w:r w:rsidRPr="004774A8">
        <w:rPr>
          <w:rFonts w:ascii="Arial" w:hAnsi="Arial" w:cs="Arial"/>
        </w:rPr>
        <w:lastRenderedPageBreak/>
        <w:t xml:space="preserve">Figure </w:t>
      </w:r>
      <w:r w:rsidRPr="004774A8">
        <w:rPr>
          <w:rFonts w:ascii="Arial" w:hAnsi="Arial" w:cs="Arial"/>
        </w:rPr>
        <w:fldChar w:fldCharType="begin"/>
      </w:r>
      <w:r w:rsidRPr="004774A8">
        <w:rPr>
          <w:rFonts w:ascii="Arial" w:hAnsi="Arial" w:cs="Arial"/>
        </w:rPr>
        <w:instrText xml:space="preserve"> SEQ Figure \* ARABIC </w:instrText>
      </w:r>
      <w:r w:rsidRPr="004774A8">
        <w:rPr>
          <w:rFonts w:ascii="Arial" w:hAnsi="Arial" w:cs="Arial"/>
        </w:rPr>
        <w:fldChar w:fldCharType="separate"/>
      </w:r>
      <w:r w:rsidR="000705D3" w:rsidRPr="004774A8">
        <w:rPr>
          <w:rFonts w:ascii="Arial" w:hAnsi="Arial" w:cs="Arial"/>
          <w:noProof/>
        </w:rPr>
        <w:t>3</w:t>
      </w:r>
      <w:r w:rsidRPr="004774A8">
        <w:rPr>
          <w:rFonts w:ascii="Arial" w:hAnsi="Arial" w:cs="Arial"/>
        </w:rPr>
        <w:fldChar w:fldCharType="end"/>
      </w:r>
      <w:bookmarkEnd w:id="2"/>
      <w:r w:rsidRPr="004774A8">
        <w:t xml:space="preserve"> </w:t>
      </w:r>
      <w:r w:rsidRPr="004774A8">
        <w:rPr>
          <w:rFonts w:ascii="Arial" w:hAnsi="Arial" w:cs="Arial"/>
        </w:rPr>
        <w:t>Employment by sectors (in thousands)</w:t>
      </w:r>
      <w:bookmarkEnd w:id="3"/>
      <w:r w:rsidRPr="004774A8">
        <w:rPr>
          <w:rFonts w:ascii="Arial" w:hAnsi="Arial" w:cs="Arial"/>
          <w:b w:val="0"/>
          <w:bCs w:val="0"/>
        </w:rPr>
        <w:t xml:space="preserve"> </w:t>
      </w:r>
    </w:p>
    <w:p w:rsidR="00B04467" w:rsidRPr="0025721B" w:rsidRDefault="004774A8" w:rsidP="00B04467">
      <w:pPr>
        <w:rPr>
          <w:color w:val="FF0000"/>
        </w:rPr>
      </w:pPr>
      <w:r>
        <w:rPr>
          <w:noProof/>
          <w:color w:val="FF0000"/>
          <w:lang w:val="tr-TR" w:eastAsia="tr-TR"/>
        </w:rPr>
        <w:drawing>
          <wp:inline distT="0" distB="0" distL="0" distR="0" wp14:anchorId="6B4057D8">
            <wp:extent cx="8096250" cy="580548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357" cy="5805557"/>
                    </a:xfrm>
                    <a:prstGeom prst="rect">
                      <a:avLst/>
                    </a:prstGeom>
                    <a:noFill/>
                  </pic:spPr>
                </pic:pic>
              </a:graphicData>
            </a:graphic>
          </wp:inline>
        </w:drawing>
      </w:r>
    </w:p>
    <w:p w:rsidR="00667FE8" w:rsidRPr="004774A8" w:rsidRDefault="000F464F" w:rsidP="00323218">
      <w:pPr>
        <w:rPr>
          <w:rFonts w:ascii="Arial" w:hAnsi="Arial" w:cs="Arial"/>
          <w:b/>
          <w:bCs/>
          <w:sz w:val="18"/>
          <w:szCs w:val="18"/>
        </w:rPr>
        <w:sectPr w:rsidR="00667FE8" w:rsidRPr="004774A8" w:rsidSect="00323218">
          <w:pgSz w:w="16837" w:h="11905" w:orient="landscape"/>
          <w:pgMar w:top="992" w:right="777" w:bottom="709" w:left="1418" w:header="709" w:footer="709" w:gutter="0"/>
          <w:cols w:space="708"/>
          <w:docGrid w:linePitch="360"/>
        </w:sectPr>
      </w:pPr>
      <w:r w:rsidRPr="004774A8">
        <w:rPr>
          <w:rFonts w:ascii="Arial" w:hAnsi="Arial" w:cs="Arial"/>
          <w:sz w:val="18"/>
          <w:szCs w:val="18"/>
        </w:rPr>
        <w:t>Source: Turkstat</w:t>
      </w:r>
      <w:r w:rsidR="00667FE8" w:rsidRPr="004774A8">
        <w:rPr>
          <w:rFonts w:ascii="Arial" w:hAnsi="Arial" w:cs="Arial"/>
          <w:sz w:val="18"/>
          <w:szCs w:val="18"/>
        </w:rPr>
        <w:t xml:space="preserve">, </w:t>
      </w:r>
      <w:r w:rsidR="00667FE8" w:rsidRPr="004774A8">
        <w:rPr>
          <w:rFonts w:ascii="Arial" w:hAnsi="Arial" w:cs="Arial"/>
          <w:bCs/>
          <w:sz w:val="18"/>
          <w:szCs w:val="18"/>
        </w:rPr>
        <w:t>Beta</w:t>
      </w:r>
      <w:r w:rsidR="00B17276" w:rsidRPr="004774A8">
        <w:rPr>
          <w:rFonts w:ascii="Arial" w:hAnsi="Arial" w:cs="Arial"/>
          <w:bCs/>
          <w:sz w:val="18"/>
          <w:szCs w:val="18"/>
        </w:rPr>
        <w:t>m</w:t>
      </w:r>
    </w:p>
    <w:p w:rsidR="00714ADD" w:rsidRPr="0025721B" w:rsidRDefault="00714ADD" w:rsidP="001314EB">
      <w:pPr>
        <w:pStyle w:val="Caption"/>
        <w:keepNext/>
        <w:rPr>
          <w:rFonts w:ascii="Arial" w:hAnsi="Arial" w:cs="Arial"/>
          <w:color w:val="FF0000"/>
        </w:rPr>
      </w:pPr>
      <w:bookmarkStart w:id="4" w:name="_Ref374950011"/>
      <w:bookmarkStart w:id="5" w:name="_Ref374950008"/>
    </w:p>
    <w:p w:rsidR="00714ADD" w:rsidRDefault="00E44D7F" w:rsidP="00714ADD">
      <w:pPr>
        <w:rPr>
          <w:rFonts w:ascii="Arial" w:hAnsi="Arial" w:cs="Arial"/>
          <w:b/>
          <w:sz w:val="22"/>
          <w:szCs w:val="22"/>
        </w:rPr>
      </w:pPr>
      <w:r>
        <w:rPr>
          <w:rFonts w:ascii="Arial" w:hAnsi="Arial" w:cs="Arial"/>
          <w:b/>
          <w:sz w:val="22"/>
          <w:szCs w:val="22"/>
        </w:rPr>
        <w:t>Decrease</w:t>
      </w:r>
      <w:r w:rsidR="00AA1CFD" w:rsidRPr="00874D96">
        <w:rPr>
          <w:rFonts w:ascii="Arial" w:hAnsi="Arial" w:cs="Arial"/>
          <w:b/>
          <w:sz w:val="22"/>
          <w:szCs w:val="22"/>
        </w:rPr>
        <w:t xml:space="preserve"> </w:t>
      </w:r>
      <w:r w:rsidR="00AA1CFD" w:rsidRPr="00AA1CFD">
        <w:rPr>
          <w:rFonts w:ascii="Arial" w:hAnsi="Arial" w:cs="Arial"/>
          <w:b/>
          <w:sz w:val="22"/>
          <w:szCs w:val="22"/>
        </w:rPr>
        <w:t>in year-on-year non</w:t>
      </w:r>
      <w:r w:rsidR="00805BE4" w:rsidRPr="00AA1CFD">
        <w:rPr>
          <w:rFonts w:ascii="Arial" w:hAnsi="Arial" w:cs="Arial"/>
          <w:b/>
          <w:sz w:val="22"/>
          <w:szCs w:val="22"/>
        </w:rPr>
        <w:t xml:space="preserve">agricultural </w:t>
      </w:r>
      <w:r w:rsidR="00AA1CFD" w:rsidRPr="00AA1CFD">
        <w:rPr>
          <w:rFonts w:ascii="Arial" w:hAnsi="Arial" w:cs="Arial"/>
          <w:b/>
          <w:sz w:val="22"/>
          <w:szCs w:val="22"/>
        </w:rPr>
        <w:t>un</w:t>
      </w:r>
      <w:r w:rsidR="00805BE4" w:rsidRPr="00AA1CFD">
        <w:rPr>
          <w:rFonts w:ascii="Arial" w:hAnsi="Arial" w:cs="Arial"/>
          <w:b/>
          <w:sz w:val="22"/>
          <w:szCs w:val="22"/>
        </w:rPr>
        <w:t xml:space="preserve">employment </w:t>
      </w:r>
    </w:p>
    <w:p w:rsidR="00714ADD" w:rsidRPr="0025721B" w:rsidRDefault="00714ADD" w:rsidP="00714ADD">
      <w:pPr>
        <w:rPr>
          <w:rFonts w:ascii="Arial" w:hAnsi="Arial" w:cs="Arial"/>
          <w:color w:val="FF0000"/>
          <w:sz w:val="20"/>
          <w:szCs w:val="20"/>
          <w:highlight w:val="yellow"/>
        </w:rPr>
      </w:pPr>
    </w:p>
    <w:p w:rsidR="00734156" w:rsidRPr="00AA1CFD" w:rsidRDefault="00AA59EF" w:rsidP="00AA59EF">
      <w:pPr>
        <w:jc w:val="both"/>
        <w:rPr>
          <w:rFonts w:ascii="Arial" w:hAnsi="Arial" w:cs="Arial"/>
          <w:sz w:val="20"/>
          <w:szCs w:val="20"/>
        </w:rPr>
      </w:pPr>
      <w:r w:rsidRPr="00AA1CFD">
        <w:rPr>
          <w:rFonts w:ascii="Arial" w:hAnsi="Arial" w:cs="Arial"/>
          <w:sz w:val="20"/>
          <w:szCs w:val="20"/>
        </w:rPr>
        <w:t xml:space="preserve">From </w:t>
      </w:r>
      <w:r w:rsidR="00874D96" w:rsidRPr="00874D96">
        <w:rPr>
          <w:rFonts w:ascii="Arial" w:hAnsi="Arial" w:cs="Arial"/>
          <w:sz w:val="20"/>
          <w:szCs w:val="20"/>
        </w:rPr>
        <w:t xml:space="preserve">March </w:t>
      </w:r>
      <w:r w:rsidRPr="00AA1CFD">
        <w:rPr>
          <w:rFonts w:ascii="Arial" w:hAnsi="Arial" w:cs="Arial"/>
          <w:sz w:val="20"/>
          <w:szCs w:val="20"/>
        </w:rPr>
        <w:t xml:space="preserve">2016 to </w:t>
      </w:r>
      <w:r w:rsidR="00E343A7" w:rsidRPr="00AA1CFD">
        <w:rPr>
          <w:rFonts w:ascii="Arial" w:hAnsi="Arial" w:cs="Arial"/>
          <w:sz w:val="20"/>
          <w:szCs w:val="20"/>
        </w:rPr>
        <w:t>April</w:t>
      </w:r>
      <w:r w:rsidRPr="00AA1CFD">
        <w:rPr>
          <w:rFonts w:ascii="Arial" w:hAnsi="Arial" w:cs="Arial"/>
          <w:sz w:val="20"/>
          <w:szCs w:val="20"/>
        </w:rPr>
        <w:t xml:space="preserve"> 2017 the nonagricultural labor force increased by 1 million 1</w:t>
      </w:r>
      <w:r w:rsidR="00E343A7" w:rsidRPr="00AA1CFD">
        <w:rPr>
          <w:rFonts w:ascii="Arial" w:hAnsi="Arial" w:cs="Arial"/>
          <w:sz w:val="20"/>
          <w:szCs w:val="20"/>
        </w:rPr>
        <w:t>28 thousand (4.1</w:t>
      </w:r>
      <w:r w:rsidRPr="00AA1CFD">
        <w:rPr>
          <w:rFonts w:ascii="Arial" w:hAnsi="Arial" w:cs="Arial"/>
          <w:sz w:val="20"/>
          <w:szCs w:val="20"/>
        </w:rPr>
        <w:t xml:space="preserve"> percent) and nonagricultural employment increased by </w:t>
      </w:r>
      <w:r w:rsidR="00E343A7" w:rsidRPr="00AA1CFD">
        <w:rPr>
          <w:rFonts w:ascii="Arial" w:hAnsi="Arial" w:cs="Arial"/>
          <w:sz w:val="20"/>
          <w:szCs w:val="20"/>
        </w:rPr>
        <w:t>550</w:t>
      </w:r>
      <w:r w:rsidRPr="00AA1CFD">
        <w:rPr>
          <w:rFonts w:ascii="Arial" w:hAnsi="Arial" w:cs="Arial"/>
          <w:sz w:val="20"/>
          <w:szCs w:val="20"/>
        </w:rPr>
        <w:t xml:space="preserve"> thousand (2.5 percent) </w:t>
      </w:r>
      <w:r w:rsidR="000B1E69" w:rsidRPr="00AA1CFD">
        <w:rPr>
          <w:rFonts w:ascii="Arial" w:hAnsi="Arial" w:cs="Arial"/>
          <w:sz w:val="20"/>
          <w:szCs w:val="20"/>
        </w:rPr>
        <w:t>(</w:t>
      </w:r>
      <w:r w:rsidR="000B1E69" w:rsidRPr="00AA1CFD">
        <w:rPr>
          <w:rFonts w:ascii="Arial" w:hAnsi="Arial" w:cs="Arial"/>
          <w:sz w:val="20"/>
          <w:szCs w:val="20"/>
        </w:rPr>
        <w:fldChar w:fldCharType="begin"/>
      </w:r>
      <w:r w:rsidR="000B1E69" w:rsidRPr="00AA1CFD">
        <w:rPr>
          <w:rFonts w:ascii="Arial" w:hAnsi="Arial" w:cs="Arial"/>
          <w:sz w:val="20"/>
          <w:szCs w:val="20"/>
        </w:rPr>
        <w:instrText xml:space="preserve"> REF _Ref472410593 \h  \* MERGEFORMAT </w:instrText>
      </w:r>
      <w:r w:rsidR="000B1E69" w:rsidRPr="00AA1CFD">
        <w:rPr>
          <w:rFonts w:ascii="Arial" w:hAnsi="Arial" w:cs="Arial"/>
          <w:sz w:val="20"/>
          <w:szCs w:val="20"/>
        </w:rPr>
      </w:r>
      <w:r w:rsidR="000B1E69" w:rsidRPr="00AA1CFD">
        <w:rPr>
          <w:rFonts w:ascii="Arial" w:hAnsi="Arial" w:cs="Arial"/>
          <w:sz w:val="20"/>
          <w:szCs w:val="20"/>
        </w:rPr>
        <w:fldChar w:fldCharType="separate"/>
      </w:r>
      <w:r w:rsidR="000B1E69" w:rsidRPr="00AA1CFD">
        <w:rPr>
          <w:rFonts w:ascii="Arial" w:hAnsi="Arial" w:cs="Arial"/>
          <w:sz w:val="20"/>
          <w:szCs w:val="20"/>
        </w:rPr>
        <w:t>Figure 4</w:t>
      </w:r>
      <w:r w:rsidR="000B1E69" w:rsidRPr="00AA1CFD">
        <w:rPr>
          <w:rFonts w:ascii="Arial" w:hAnsi="Arial" w:cs="Arial"/>
          <w:sz w:val="20"/>
          <w:szCs w:val="20"/>
        </w:rPr>
        <w:fldChar w:fldCharType="end"/>
      </w:r>
      <w:r w:rsidR="000B1E69" w:rsidRPr="00AA1CFD">
        <w:rPr>
          <w:rFonts w:ascii="Arial" w:hAnsi="Arial" w:cs="Arial"/>
          <w:sz w:val="20"/>
          <w:szCs w:val="20"/>
        </w:rPr>
        <w:t xml:space="preserve">). </w:t>
      </w:r>
      <w:r w:rsidRPr="00AA1CFD">
        <w:rPr>
          <w:rFonts w:ascii="Arial" w:hAnsi="Arial" w:cs="Arial"/>
          <w:sz w:val="20"/>
          <w:szCs w:val="20"/>
        </w:rPr>
        <w:t xml:space="preserve">Thus, the number of non-agricultural unemployed increased by </w:t>
      </w:r>
      <w:r w:rsidR="00E343A7" w:rsidRPr="00AA1CFD">
        <w:rPr>
          <w:rFonts w:ascii="Arial" w:hAnsi="Arial" w:cs="Arial"/>
          <w:sz w:val="20"/>
          <w:szCs w:val="20"/>
        </w:rPr>
        <w:t>478</w:t>
      </w:r>
      <w:r w:rsidRPr="00AA1CFD">
        <w:rPr>
          <w:rFonts w:ascii="Arial" w:hAnsi="Arial" w:cs="Arial"/>
          <w:sz w:val="20"/>
          <w:szCs w:val="20"/>
        </w:rPr>
        <w:t xml:space="preserve"> thousand (</w:t>
      </w:r>
      <w:r w:rsidR="00E343A7" w:rsidRPr="00AA1CFD">
        <w:rPr>
          <w:rFonts w:ascii="Arial" w:hAnsi="Arial" w:cs="Arial"/>
          <w:sz w:val="20"/>
          <w:szCs w:val="20"/>
        </w:rPr>
        <w:t>17.4</w:t>
      </w:r>
      <w:r w:rsidR="0077577F">
        <w:rPr>
          <w:rFonts w:ascii="Arial" w:hAnsi="Arial" w:cs="Arial"/>
          <w:sz w:val="20"/>
          <w:szCs w:val="20"/>
        </w:rPr>
        <w:t xml:space="preserve"> percent). </w:t>
      </w:r>
    </w:p>
    <w:p w:rsidR="0087493A" w:rsidRPr="002F4A08" w:rsidRDefault="0087493A" w:rsidP="00714ADD">
      <w:pPr>
        <w:jc w:val="both"/>
        <w:rPr>
          <w:rFonts w:ascii="Arial" w:hAnsi="Arial" w:cs="Arial"/>
          <w:sz w:val="20"/>
          <w:szCs w:val="20"/>
        </w:rPr>
      </w:pPr>
    </w:p>
    <w:p w:rsidR="00714ADD" w:rsidRPr="002F4A08" w:rsidRDefault="00425E47" w:rsidP="002F4A08">
      <w:pPr>
        <w:pStyle w:val="Caption"/>
        <w:keepNext/>
      </w:pPr>
      <w:bookmarkStart w:id="6" w:name="_Ref472410593"/>
      <w:r w:rsidRPr="002F4A08">
        <w:rPr>
          <w:rFonts w:ascii="Arial" w:hAnsi="Arial" w:cs="Arial"/>
          <w:bCs w:val="0"/>
        </w:rPr>
        <w:t xml:space="preserve">Figure </w:t>
      </w:r>
      <w:r w:rsidRPr="002F4A08">
        <w:rPr>
          <w:rFonts w:ascii="Arial" w:hAnsi="Arial" w:cs="Arial"/>
          <w:bCs w:val="0"/>
        </w:rPr>
        <w:fldChar w:fldCharType="begin"/>
      </w:r>
      <w:r w:rsidRPr="002F4A08">
        <w:rPr>
          <w:rFonts w:ascii="Arial" w:hAnsi="Arial" w:cs="Arial"/>
          <w:bCs w:val="0"/>
        </w:rPr>
        <w:instrText xml:space="preserve"> SEQ Figure \* ARABIC </w:instrText>
      </w:r>
      <w:r w:rsidRPr="002F4A08">
        <w:rPr>
          <w:rFonts w:ascii="Arial" w:hAnsi="Arial" w:cs="Arial"/>
          <w:bCs w:val="0"/>
        </w:rPr>
        <w:fldChar w:fldCharType="separate"/>
      </w:r>
      <w:r w:rsidR="000705D3" w:rsidRPr="002F4A08">
        <w:rPr>
          <w:rFonts w:ascii="Arial" w:hAnsi="Arial" w:cs="Arial"/>
          <w:bCs w:val="0"/>
          <w:noProof/>
        </w:rPr>
        <w:t>4</w:t>
      </w:r>
      <w:r w:rsidRPr="002F4A08">
        <w:rPr>
          <w:rFonts w:ascii="Arial" w:hAnsi="Arial" w:cs="Arial"/>
          <w:bCs w:val="0"/>
        </w:rPr>
        <w:fldChar w:fldCharType="end"/>
      </w:r>
      <w:bookmarkEnd w:id="6"/>
      <w:r w:rsidRPr="002F4A08">
        <w:t xml:space="preserve"> </w:t>
      </w:r>
      <w:r w:rsidRPr="002F4A08">
        <w:rPr>
          <w:rFonts w:ascii="Arial" w:hAnsi="Arial" w:cs="Arial"/>
          <w:bCs w:val="0"/>
        </w:rPr>
        <w:t>Year-on-year changes in non-agricultural labor force, employment, and unemployment</w:t>
      </w:r>
    </w:p>
    <w:p w:rsidR="00DD5C6A" w:rsidRPr="002F4A08" w:rsidRDefault="002F4A08" w:rsidP="00714ADD">
      <w:r w:rsidRPr="002F4A08">
        <w:rPr>
          <w:noProof/>
          <w:lang w:val="tr-TR" w:eastAsia="tr-TR"/>
        </w:rPr>
        <w:drawing>
          <wp:inline distT="0" distB="0" distL="0" distR="0" wp14:anchorId="05A849EA" wp14:editId="24285C38">
            <wp:extent cx="5705475" cy="350293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3502930"/>
                    </a:xfrm>
                    <a:prstGeom prst="rect">
                      <a:avLst/>
                    </a:prstGeom>
                    <a:noFill/>
                  </pic:spPr>
                </pic:pic>
              </a:graphicData>
            </a:graphic>
          </wp:inline>
        </w:drawing>
      </w:r>
    </w:p>
    <w:p w:rsidR="000F464F" w:rsidRPr="002F4A08" w:rsidRDefault="000F464F" w:rsidP="000F464F">
      <w:pPr>
        <w:rPr>
          <w:rFonts w:ascii="Arial" w:hAnsi="Arial" w:cs="Arial"/>
          <w:sz w:val="18"/>
          <w:szCs w:val="18"/>
        </w:rPr>
      </w:pPr>
      <w:r w:rsidRPr="002F4A08">
        <w:rPr>
          <w:rFonts w:ascii="Arial" w:hAnsi="Arial" w:cs="Arial"/>
          <w:sz w:val="18"/>
          <w:szCs w:val="18"/>
        </w:rPr>
        <w:t xml:space="preserve">Source: Turkstat, </w:t>
      </w:r>
      <w:r w:rsidRPr="002F4A08">
        <w:rPr>
          <w:rFonts w:ascii="Arial" w:hAnsi="Arial" w:cs="Arial"/>
          <w:bCs/>
          <w:sz w:val="18"/>
          <w:szCs w:val="18"/>
        </w:rPr>
        <w:t>Betam</w:t>
      </w:r>
    </w:p>
    <w:p w:rsidR="00714ADD" w:rsidRPr="0025721B" w:rsidRDefault="00714ADD" w:rsidP="001314EB">
      <w:pPr>
        <w:pStyle w:val="Caption"/>
        <w:keepNext/>
        <w:rPr>
          <w:rFonts w:ascii="Arial" w:hAnsi="Arial" w:cs="Arial"/>
          <w:color w:val="FF0000"/>
        </w:rPr>
      </w:pPr>
    </w:p>
    <w:p w:rsidR="008A312B" w:rsidRPr="0025721B" w:rsidRDefault="008A312B" w:rsidP="008A312B">
      <w:pPr>
        <w:rPr>
          <w:color w:val="FF0000"/>
        </w:rPr>
      </w:pPr>
    </w:p>
    <w:p w:rsidR="00132059" w:rsidRPr="003C462E" w:rsidRDefault="003C462E" w:rsidP="00CA1307">
      <w:pPr>
        <w:pStyle w:val="Caption"/>
        <w:keepNext/>
        <w:rPr>
          <w:rFonts w:ascii="Arial" w:hAnsi="Arial" w:cs="Arial"/>
          <w:sz w:val="22"/>
          <w:szCs w:val="22"/>
        </w:rPr>
      </w:pPr>
      <w:r w:rsidRPr="003C462E">
        <w:rPr>
          <w:rFonts w:ascii="Arial" w:hAnsi="Arial" w:cs="Arial"/>
          <w:sz w:val="22"/>
          <w:szCs w:val="22"/>
        </w:rPr>
        <w:t xml:space="preserve">Female unemployment decreased, male unemployment remained constant </w:t>
      </w:r>
    </w:p>
    <w:p w:rsidR="003C7897" w:rsidRPr="00E343A7" w:rsidRDefault="003C7897" w:rsidP="003C7897">
      <w:pPr>
        <w:jc w:val="both"/>
        <w:rPr>
          <w:rFonts w:ascii="Arial" w:hAnsi="Arial" w:cs="Arial"/>
          <w:sz w:val="20"/>
          <w:szCs w:val="20"/>
          <w:highlight w:val="yellow"/>
        </w:rPr>
      </w:pPr>
    </w:p>
    <w:p w:rsidR="00BC365A" w:rsidRPr="00E343A7" w:rsidRDefault="003C7897" w:rsidP="00FF2B60">
      <w:pPr>
        <w:jc w:val="both"/>
        <w:rPr>
          <w:rFonts w:ascii="Arial" w:hAnsi="Arial" w:cs="Arial"/>
          <w:sz w:val="20"/>
          <w:szCs w:val="20"/>
        </w:rPr>
      </w:pPr>
      <w:r w:rsidRPr="00E343A7">
        <w:rPr>
          <w:rFonts w:ascii="Arial" w:hAnsi="Arial" w:cs="Arial"/>
          <w:sz w:val="20"/>
          <w:szCs w:val="20"/>
        </w:rPr>
        <w:t xml:space="preserve">Turkstat revised the labor market statistics drastically in February 2014. Within this framework, they back casted various labor market indicators and they also continued to announce seasonally adjusted series. However, Turkstat </w:t>
      </w:r>
      <w:r w:rsidR="00BF7645" w:rsidRPr="00E343A7">
        <w:rPr>
          <w:rFonts w:ascii="Arial" w:hAnsi="Arial" w:cs="Arial"/>
          <w:sz w:val="20"/>
          <w:szCs w:val="20"/>
        </w:rPr>
        <w:t xml:space="preserve">is </w:t>
      </w:r>
      <w:r w:rsidRPr="00E343A7">
        <w:rPr>
          <w:rFonts w:ascii="Arial" w:hAnsi="Arial" w:cs="Arial"/>
          <w:sz w:val="20"/>
          <w:szCs w:val="20"/>
        </w:rPr>
        <w:t xml:space="preserve">not providing back-casted series by gender. Therefore, female and male labor market statistics </w:t>
      </w:r>
      <w:r w:rsidR="0087493A" w:rsidRPr="00E343A7">
        <w:rPr>
          <w:rFonts w:ascii="Arial" w:hAnsi="Arial" w:cs="Arial"/>
          <w:sz w:val="20"/>
          <w:szCs w:val="20"/>
        </w:rPr>
        <w:t>were</w:t>
      </w:r>
      <w:r w:rsidR="00AA59EF" w:rsidRPr="00E343A7">
        <w:rPr>
          <w:rFonts w:ascii="Arial" w:hAnsi="Arial" w:cs="Arial"/>
          <w:sz w:val="20"/>
          <w:szCs w:val="20"/>
        </w:rPr>
        <w:t xml:space="preserve"> not sufficiently long for a reliable seasonal-adjustment process and we need</w:t>
      </w:r>
      <w:r w:rsidR="0087493A" w:rsidRPr="00E343A7">
        <w:rPr>
          <w:rFonts w:ascii="Arial" w:hAnsi="Arial" w:cs="Arial"/>
          <w:sz w:val="20"/>
          <w:szCs w:val="20"/>
        </w:rPr>
        <w:t xml:space="preserve"> at least 3</w:t>
      </w:r>
      <w:r w:rsidR="00BF7645" w:rsidRPr="00E343A7">
        <w:rPr>
          <w:rFonts w:ascii="Arial" w:hAnsi="Arial" w:cs="Arial"/>
          <w:sz w:val="20"/>
          <w:szCs w:val="20"/>
        </w:rPr>
        <w:t xml:space="preserve">6 observations </w:t>
      </w:r>
      <w:r w:rsidR="00AA59EF" w:rsidRPr="00E343A7">
        <w:rPr>
          <w:rFonts w:ascii="Arial" w:hAnsi="Arial" w:cs="Arial"/>
          <w:sz w:val="20"/>
          <w:szCs w:val="20"/>
        </w:rPr>
        <w:t>to apply</w:t>
      </w:r>
      <w:r w:rsidR="00BF7645" w:rsidRPr="00E343A7">
        <w:rPr>
          <w:rFonts w:ascii="Arial" w:hAnsi="Arial" w:cs="Arial"/>
          <w:sz w:val="20"/>
          <w:szCs w:val="20"/>
        </w:rPr>
        <w:t xml:space="preserve"> </w:t>
      </w:r>
      <w:r w:rsidR="00AA59EF" w:rsidRPr="00E343A7">
        <w:rPr>
          <w:rFonts w:ascii="Arial" w:hAnsi="Arial" w:cs="Arial"/>
          <w:sz w:val="20"/>
          <w:szCs w:val="20"/>
        </w:rPr>
        <w:t xml:space="preserve">it. As of February 2017, we obtain the </w:t>
      </w:r>
      <w:r w:rsidR="00BF7645" w:rsidRPr="00E343A7">
        <w:rPr>
          <w:rFonts w:ascii="Arial" w:hAnsi="Arial" w:cs="Arial"/>
          <w:sz w:val="20"/>
          <w:szCs w:val="20"/>
        </w:rPr>
        <w:t>sufficient 36 observations to run t</w:t>
      </w:r>
      <w:r w:rsidR="00AA59EF" w:rsidRPr="00E343A7">
        <w:rPr>
          <w:rFonts w:ascii="Arial" w:hAnsi="Arial" w:cs="Arial"/>
          <w:sz w:val="20"/>
          <w:szCs w:val="20"/>
        </w:rPr>
        <w:t>he seasonal-adjustment process</w:t>
      </w:r>
      <w:r w:rsidR="00BF7645" w:rsidRPr="00E343A7">
        <w:rPr>
          <w:rFonts w:ascii="Arial" w:hAnsi="Arial" w:cs="Arial"/>
          <w:sz w:val="20"/>
          <w:szCs w:val="20"/>
        </w:rPr>
        <w:t xml:space="preserve">. </w:t>
      </w:r>
      <w:r w:rsidR="003C21D5" w:rsidRPr="00E343A7">
        <w:rPr>
          <w:rFonts w:ascii="Arial" w:hAnsi="Arial" w:cs="Arial"/>
          <w:sz w:val="20"/>
          <w:szCs w:val="20"/>
        </w:rPr>
        <w:t>Note that t</w:t>
      </w:r>
      <w:r w:rsidR="00AA59EF" w:rsidRPr="00E343A7">
        <w:rPr>
          <w:rFonts w:ascii="Arial" w:hAnsi="Arial" w:cs="Arial"/>
          <w:sz w:val="20"/>
          <w:szCs w:val="20"/>
        </w:rPr>
        <w:t>he seasonal-adjustment process</w:t>
      </w:r>
      <w:r w:rsidR="003C21D5" w:rsidRPr="00E343A7">
        <w:rPr>
          <w:rFonts w:ascii="Arial" w:hAnsi="Arial" w:cs="Arial"/>
          <w:sz w:val="20"/>
          <w:szCs w:val="20"/>
        </w:rPr>
        <w:t xml:space="preserve"> might generate volatility in the series </w:t>
      </w:r>
      <w:r w:rsidR="003F42CD" w:rsidRPr="00E343A7">
        <w:rPr>
          <w:rFonts w:ascii="Arial" w:hAnsi="Arial" w:cs="Arial"/>
          <w:sz w:val="20"/>
          <w:szCs w:val="20"/>
        </w:rPr>
        <w:t xml:space="preserve">for </w:t>
      </w:r>
      <w:r w:rsidR="00AA59EF" w:rsidRPr="00E343A7">
        <w:rPr>
          <w:rFonts w:ascii="Arial" w:hAnsi="Arial" w:cs="Arial"/>
          <w:sz w:val="20"/>
          <w:szCs w:val="20"/>
        </w:rPr>
        <w:t>some more time.</w:t>
      </w:r>
    </w:p>
    <w:p w:rsidR="00BC365A" w:rsidRPr="00E343A7" w:rsidRDefault="00BC365A" w:rsidP="00FF2B60">
      <w:pPr>
        <w:jc w:val="both"/>
        <w:rPr>
          <w:rFonts w:ascii="Arial" w:hAnsi="Arial" w:cs="Arial"/>
          <w:sz w:val="20"/>
          <w:szCs w:val="20"/>
        </w:rPr>
      </w:pPr>
    </w:p>
    <w:p w:rsidR="003242DD" w:rsidRPr="00E343A7" w:rsidRDefault="00AA59EF" w:rsidP="00FF2B60">
      <w:pPr>
        <w:jc w:val="both"/>
        <w:rPr>
          <w:rFonts w:ascii="Arial" w:hAnsi="Arial" w:cs="Arial"/>
          <w:sz w:val="20"/>
          <w:szCs w:val="20"/>
        </w:rPr>
      </w:pPr>
      <w:r w:rsidRPr="00E343A7">
        <w:rPr>
          <w:rFonts w:ascii="Arial" w:hAnsi="Arial" w:cs="Arial"/>
          <w:sz w:val="20"/>
          <w:szCs w:val="20"/>
        </w:rPr>
        <w:fldChar w:fldCharType="begin"/>
      </w:r>
      <w:r w:rsidRPr="00E343A7">
        <w:rPr>
          <w:rFonts w:ascii="Arial" w:hAnsi="Arial" w:cs="Arial"/>
          <w:sz w:val="20"/>
          <w:szCs w:val="20"/>
        </w:rPr>
        <w:instrText xml:space="preserve"> REF _Ref485306217 \h  \* MERGEFORMAT </w:instrText>
      </w:r>
      <w:r w:rsidRPr="00E343A7">
        <w:rPr>
          <w:rFonts w:ascii="Arial" w:hAnsi="Arial" w:cs="Arial"/>
          <w:sz w:val="20"/>
          <w:szCs w:val="20"/>
        </w:rPr>
      </w:r>
      <w:r w:rsidRPr="00E343A7">
        <w:rPr>
          <w:rFonts w:ascii="Arial" w:hAnsi="Arial" w:cs="Arial"/>
          <w:sz w:val="20"/>
          <w:szCs w:val="20"/>
        </w:rPr>
        <w:fldChar w:fldCharType="separate"/>
      </w:r>
      <w:r w:rsidRPr="00E343A7">
        <w:rPr>
          <w:rFonts w:ascii="Arial" w:hAnsi="Arial" w:cs="Arial"/>
          <w:sz w:val="20"/>
          <w:szCs w:val="20"/>
        </w:rPr>
        <w:t>Figure 5</w:t>
      </w:r>
      <w:r w:rsidRPr="00E343A7">
        <w:rPr>
          <w:rFonts w:ascii="Arial" w:hAnsi="Arial" w:cs="Arial"/>
          <w:sz w:val="20"/>
          <w:szCs w:val="20"/>
        </w:rPr>
        <w:fldChar w:fldCharType="end"/>
      </w:r>
      <w:r w:rsidR="003242DD" w:rsidRPr="00E343A7">
        <w:rPr>
          <w:rFonts w:ascii="Arial" w:hAnsi="Arial" w:cs="Arial"/>
          <w:sz w:val="20"/>
          <w:szCs w:val="20"/>
        </w:rPr>
        <w:t xml:space="preserve"> shows the seasonally adjusted nonagricultural female and male unemployment </w:t>
      </w:r>
      <w:r w:rsidRPr="00E343A7">
        <w:rPr>
          <w:rFonts w:ascii="Arial" w:hAnsi="Arial" w:cs="Arial"/>
          <w:sz w:val="20"/>
          <w:szCs w:val="20"/>
        </w:rPr>
        <w:t xml:space="preserve">rates. From </w:t>
      </w:r>
      <w:r w:rsidR="00BC365A" w:rsidRPr="00E343A7">
        <w:rPr>
          <w:rFonts w:ascii="Arial" w:hAnsi="Arial" w:cs="Arial"/>
          <w:sz w:val="20"/>
          <w:szCs w:val="20"/>
        </w:rPr>
        <w:t>March</w:t>
      </w:r>
      <w:r w:rsidRPr="00E343A7">
        <w:rPr>
          <w:rFonts w:ascii="Arial" w:hAnsi="Arial" w:cs="Arial"/>
          <w:sz w:val="20"/>
          <w:szCs w:val="20"/>
        </w:rPr>
        <w:t xml:space="preserve"> 2017 to </w:t>
      </w:r>
      <w:r w:rsidR="00BC365A" w:rsidRPr="00E343A7">
        <w:rPr>
          <w:rFonts w:ascii="Arial" w:hAnsi="Arial" w:cs="Arial"/>
          <w:sz w:val="20"/>
          <w:szCs w:val="20"/>
        </w:rPr>
        <w:t>April</w:t>
      </w:r>
      <w:r w:rsidR="003242DD" w:rsidRPr="00E343A7">
        <w:rPr>
          <w:rFonts w:ascii="Arial" w:hAnsi="Arial" w:cs="Arial"/>
          <w:sz w:val="20"/>
          <w:szCs w:val="20"/>
        </w:rPr>
        <w:t xml:space="preserve"> 2017, </w:t>
      </w:r>
      <w:r w:rsidRPr="00E343A7">
        <w:rPr>
          <w:rFonts w:ascii="Arial" w:hAnsi="Arial" w:cs="Arial"/>
          <w:sz w:val="20"/>
          <w:szCs w:val="20"/>
        </w:rPr>
        <w:t xml:space="preserve">the male </w:t>
      </w:r>
      <w:r w:rsidR="000E6FE0" w:rsidRPr="00E343A7">
        <w:rPr>
          <w:rFonts w:ascii="Arial" w:hAnsi="Arial" w:cs="Arial"/>
          <w:sz w:val="20"/>
          <w:szCs w:val="20"/>
        </w:rPr>
        <w:t xml:space="preserve">nonagricultural unemployment rate remained constant at the level of 12.2 percent while the female nonagricultural unemployment rate decreased by 0.1 percentage </w:t>
      </w:r>
      <w:r w:rsidR="000E6FE0" w:rsidRPr="00E343A7">
        <w:rPr>
          <w:rFonts w:ascii="Arial" w:hAnsi="Arial" w:cs="Arial"/>
          <w:sz w:val="20"/>
          <w:szCs w:val="20"/>
        </w:rPr>
        <w:lastRenderedPageBreak/>
        <w:t xml:space="preserve">points. </w:t>
      </w:r>
      <w:r w:rsidR="002B0065" w:rsidRPr="00E343A7">
        <w:rPr>
          <w:rFonts w:ascii="Arial" w:hAnsi="Arial" w:cs="Arial"/>
          <w:sz w:val="20"/>
          <w:szCs w:val="20"/>
        </w:rPr>
        <w:t xml:space="preserve">As a result, </w:t>
      </w:r>
      <w:r w:rsidR="001D4036" w:rsidRPr="00E343A7">
        <w:rPr>
          <w:rFonts w:ascii="Arial" w:hAnsi="Arial" w:cs="Arial"/>
          <w:sz w:val="20"/>
          <w:szCs w:val="20"/>
        </w:rPr>
        <w:t xml:space="preserve">female unemployment rate declined to 19.2 </w:t>
      </w:r>
      <w:r w:rsidR="002B0065" w:rsidRPr="00E343A7">
        <w:rPr>
          <w:rFonts w:ascii="Arial" w:hAnsi="Arial" w:cs="Arial"/>
          <w:sz w:val="20"/>
          <w:szCs w:val="20"/>
        </w:rPr>
        <w:t>percent. Finally, we observe that gender gap in non-agricultural unemployment has slightly narrowed.</w:t>
      </w:r>
      <w:r w:rsidR="00FF2B60" w:rsidRPr="00E343A7">
        <w:rPr>
          <w:rFonts w:ascii="Arial" w:hAnsi="Arial" w:cs="Arial"/>
          <w:sz w:val="20"/>
          <w:szCs w:val="20"/>
        </w:rPr>
        <w:t xml:space="preserve"> </w:t>
      </w:r>
    </w:p>
    <w:p w:rsidR="00805BE4" w:rsidRPr="0025721B" w:rsidRDefault="00805BE4" w:rsidP="00805BE4">
      <w:pPr>
        <w:pStyle w:val="Caption"/>
        <w:rPr>
          <w:rFonts w:ascii="Arial" w:hAnsi="Arial" w:cs="Arial"/>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19615A" w:rsidRDefault="000705D3" w:rsidP="000705D3">
      <w:pPr>
        <w:pStyle w:val="Caption"/>
        <w:keepNext/>
        <w:rPr>
          <w:rFonts w:ascii="Arial" w:hAnsi="Arial" w:cs="Arial"/>
          <w:bCs w:val="0"/>
        </w:rPr>
      </w:pPr>
      <w:bookmarkStart w:id="7" w:name="_Ref485306217"/>
      <w:r w:rsidRPr="0019615A">
        <w:rPr>
          <w:rFonts w:ascii="Arial" w:hAnsi="Arial" w:cs="Arial"/>
          <w:bCs w:val="0"/>
        </w:rPr>
        <w:t xml:space="preserve">Figure </w:t>
      </w:r>
      <w:r w:rsidRPr="0019615A">
        <w:rPr>
          <w:rFonts w:ascii="Arial" w:hAnsi="Arial" w:cs="Arial"/>
          <w:bCs w:val="0"/>
        </w:rPr>
        <w:fldChar w:fldCharType="begin"/>
      </w:r>
      <w:r w:rsidRPr="0019615A">
        <w:rPr>
          <w:rFonts w:ascii="Arial" w:hAnsi="Arial" w:cs="Arial"/>
          <w:bCs w:val="0"/>
        </w:rPr>
        <w:instrText xml:space="preserve"> SEQ Figure \* ARABIC </w:instrText>
      </w:r>
      <w:r w:rsidRPr="0019615A">
        <w:rPr>
          <w:rFonts w:ascii="Arial" w:hAnsi="Arial" w:cs="Arial"/>
          <w:bCs w:val="0"/>
        </w:rPr>
        <w:fldChar w:fldCharType="separate"/>
      </w:r>
      <w:r w:rsidRPr="0019615A">
        <w:rPr>
          <w:rFonts w:ascii="Arial" w:hAnsi="Arial" w:cs="Arial"/>
          <w:bCs w:val="0"/>
        </w:rPr>
        <w:t>5</w:t>
      </w:r>
      <w:r w:rsidRPr="0019615A">
        <w:rPr>
          <w:rFonts w:ascii="Arial" w:hAnsi="Arial" w:cs="Arial"/>
          <w:bCs w:val="0"/>
        </w:rPr>
        <w:fldChar w:fldCharType="end"/>
      </w:r>
      <w:bookmarkEnd w:id="7"/>
      <w:r w:rsidRPr="0019615A">
        <w:rPr>
          <w:rFonts w:ascii="Arial" w:hAnsi="Arial" w:cs="Arial"/>
          <w:bCs w:val="0"/>
        </w:rPr>
        <w:t xml:space="preserve"> Seasonally adjusted female and male nonagricultural unemployment rates (%)</w:t>
      </w:r>
    </w:p>
    <w:p w:rsidR="000705D3" w:rsidRPr="0019615A" w:rsidRDefault="0019615A" w:rsidP="000705D3">
      <w:r w:rsidRPr="0019615A">
        <w:rPr>
          <w:noProof/>
          <w:lang w:val="tr-TR" w:eastAsia="tr-TR"/>
        </w:rPr>
        <w:drawing>
          <wp:inline distT="0" distB="0" distL="0" distR="0" wp14:anchorId="4E570261" wp14:editId="7B032DC8">
            <wp:extent cx="5821045" cy="3329350"/>
            <wp:effectExtent l="0" t="0" r="825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1045" cy="3329350"/>
                    </a:xfrm>
                    <a:prstGeom prst="rect">
                      <a:avLst/>
                    </a:prstGeom>
                    <a:noFill/>
                  </pic:spPr>
                </pic:pic>
              </a:graphicData>
            </a:graphic>
          </wp:inline>
        </w:drawing>
      </w:r>
    </w:p>
    <w:p w:rsidR="000705D3" w:rsidRPr="0019615A" w:rsidRDefault="000705D3" w:rsidP="000705D3">
      <w:pPr>
        <w:rPr>
          <w:rFonts w:ascii="Arial" w:hAnsi="Arial" w:cs="Arial"/>
          <w:sz w:val="18"/>
          <w:szCs w:val="18"/>
        </w:rPr>
      </w:pPr>
      <w:r w:rsidRPr="0019615A">
        <w:rPr>
          <w:rFonts w:ascii="Arial" w:hAnsi="Arial" w:cs="Arial"/>
          <w:sz w:val="18"/>
          <w:szCs w:val="18"/>
        </w:rPr>
        <w:t xml:space="preserve">Source: Turkstat, </w:t>
      </w:r>
      <w:r w:rsidRPr="0019615A">
        <w:rPr>
          <w:rFonts w:ascii="Arial" w:hAnsi="Arial" w:cs="Arial"/>
          <w:bCs/>
          <w:sz w:val="18"/>
          <w:szCs w:val="18"/>
        </w:rPr>
        <w:t>Betam</w:t>
      </w: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Default="000705D3" w:rsidP="000705D3">
      <w:pPr>
        <w:rPr>
          <w:color w:val="FF0000"/>
        </w:rPr>
      </w:pPr>
    </w:p>
    <w:p w:rsidR="0019615A" w:rsidRDefault="0019615A" w:rsidP="000705D3">
      <w:pPr>
        <w:rPr>
          <w:color w:val="FF0000"/>
        </w:rPr>
      </w:pPr>
    </w:p>
    <w:p w:rsidR="0019615A" w:rsidRDefault="0019615A" w:rsidP="000705D3">
      <w:pPr>
        <w:rPr>
          <w:color w:val="FF0000"/>
        </w:rPr>
      </w:pPr>
    </w:p>
    <w:p w:rsidR="0019615A" w:rsidRDefault="0019615A" w:rsidP="000705D3">
      <w:pPr>
        <w:rPr>
          <w:color w:val="FF0000"/>
        </w:rPr>
      </w:pPr>
    </w:p>
    <w:p w:rsidR="0019615A" w:rsidRPr="0025721B" w:rsidRDefault="0019615A"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0705D3" w:rsidRPr="0025721B" w:rsidRDefault="000705D3" w:rsidP="000705D3">
      <w:pPr>
        <w:rPr>
          <w:color w:val="FF0000"/>
        </w:rPr>
      </w:pPr>
    </w:p>
    <w:p w:rsidR="00805BE4" w:rsidRPr="0025721B" w:rsidRDefault="00805BE4" w:rsidP="00805BE4">
      <w:pPr>
        <w:pStyle w:val="Caption"/>
        <w:rPr>
          <w:rFonts w:ascii="Arial" w:hAnsi="Arial" w:cs="Arial"/>
          <w:color w:val="FF0000"/>
        </w:rPr>
      </w:pPr>
    </w:p>
    <w:p w:rsidR="0019615A" w:rsidRPr="0019615A" w:rsidRDefault="00805BE4" w:rsidP="00A8575E">
      <w:pPr>
        <w:pStyle w:val="Caption"/>
        <w:keepNext/>
        <w:rPr>
          <w:rFonts w:ascii="Arial" w:hAnsi="Arial" w:cs="Arial"/>
        </w:rPr>
      </w:pPr>
      <w:bookmarkStart w:id="8" w:name="_Ref474941597"/>
      <w:bookmarkEnd w:id="4"/>
      <w:bookmarkEnd w:id="5"/>
      <w:r w:rsidRPr="0019615A">
        <w:rPr>
          <w:rFonts w:ascii="Arial" w:hAnsi="Arial" w:cs="Arial"/>
        </w:rPr>
        <w:t xml:space="preserve">Table </w:t>
      </w:r>
      <w:r w:rsidRPr="0019615A">
        <w:rPr>
          <w:rFonts w:ascii="Arial" w:hAnsi="Arial" w:cs="Arial"/>
        </w:rPr>
        <w:fldChar w:fldCharType="begin"/>
      </w:r>
      <w:r w:rsidRPr="0019615A">
        <w:rPr>
          <w:rFonts w:ascii="Arial" w:hAnsi="Arial" w:cs="Arial"/>
        </w:rPr>
        <w:instrText xml:space="preserve"> SEQ Table \* ARABIC </w:instrText>
      </w:r>
      <w:r w:rsidRPr="0019615A">
        <w:rPr>
          <w:rFonts w:ascii="Arial" w:hAnsi="Arial" w:cs="Arial"/>
        </w:rPr>
        <w:fldChar w:fldCharType="separate"/>
      </w:r>
      <w:r w:rsidR="005D3F0C">
        <w:rPr>
          <w:rFonts w:ascii="Arial" w:hAnsi="Arial" w:cs="Arial"/>
          <w:noProof/>
        </w:rPr>
        <w:t>1</w:t>
      </w:r>
      <w:r w:rsidRPr="0019615A">
        <w:rPr>
          <w:rFonts w:ascii="Arial" w:hAnsi="Arial" w:cs="Arial"/>
        </w:rPr>
        <w:fldChar w:fldCharType="end"/>
      </w:r>
      <w:bookmarkEnd w:id="8"/>
      <w:r w:rsidRPr="0019615A">
        <w:t xml:space="preserve"> </w:t>
      </w:r>
      <w:r w:rsidRPr="0019615A">
        <w:rPr>
          <w:rFonts w:ascii="Arial" w:hAnsi="Arial" w:cs="Arial"/>
        </w:rPr>
        <w:t>Seasonally adjusted non-agricultural labor market indicators (in thousands)</w:t>
      </w:r>
    </w:p>
    <w:tbl>
      <w:tblPr>
        <w:tblW w:w="10200"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19615A" w:rsidRPr="0019615A" w:rsidTr="0019615A">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 </w:t>
            </w:r>
          </w:p>
        </w:tc>
        <w:tc>
          <w:tcPr>
            <w:tcW w:w="1060" w:type="dxa"/>
            <w:tcBorders>
              <w:top w:val="single" w:sz="8" w:space="0" w:color="auto"/>
              <w:left w:val="nil"/>
              <w:bottom w:val="nil"/>
              <w:right w:val="single" w:sz="4" w:space="0" w:color="C0C0C0"/>
            </w:tcBorders>
            <w:shd w:val="clear" w:color="auto" w:fill="auto"/>
            <w:vAlign w:val="bottom"/>
            <w:hideMark/>
          </w:tcPr>
          <w:p w:rsidR="0019615A" w:rsidRPr="0019615A" w:rsidRDefault="0019615A" w:rsidP="0019615A">
            <w:pPr>
              <w:suppressAutoHyphens w:val="0"/>
              <w:jc w:val="center"/>
              <w:rPr>
                <w:rFonts w:ascii="Arial" w:hAnsi="Arial" w:cs="Arial"/>
                <w:b/>
                <w:bCs/>
                <w:sz w:val="16"/>
                <w:szCs w:val="16"/>
                <w:lang w:val="tr-TR" w:eastAsia="tr-TR"/>
              </w:rPr>
            </w:pPr>
            <w:r w:rsidRPr="0019615A">
              <w:rPr>
                <w:rFonts w:ascii="Arial" w:hAnsi="Arial" w:cs="Arial"/>
                <w:b/>
                <w:bCs/>
                <w:sz w:val="16"/>
                <w:szCs w:val="16"/>
                <w:lang w:val="tr-TR" w:eastAsia="tr-TR"/>
              </w:rPr>
              <w:t>Labor force</w:t>
            </w:r>
          </w:p>
        </w:tc>
        <w:tc>
          <w:tcPr>
            <w:tcW w:w="1140" w:type="dxa"/>
            <w:tcBorders>
              <w:top w:val="single" w:sz="8" w:space="0" w:color="auto"/>
              <w:left w:val="nil"/>
              <w:bottom w:val="nil"/>
              <w:right w:val="single" w:sz="4" w:space="0" w:color="C0C0C0"/>
            </w:tcBorders>
            <w:shd w:val="clear" w:color="auto" w:fill="auto"/>
            <w:vAlign w:val="bottom"/>
            <w:hideMark/>
          </w:tcPr>
          <w:p w:rsidR="0019615A" w:rsidRPr="0019615A" w:rsidRDefault="0019615A" w:rsidP="0019615A">
            <w:pPr>
              <w:suppressAutoHyphens w:val="0"/>
              <w:jc w:val="center"/>
              <w:rPr>
                <w:rFonts w:ascii="Arial" w:hAnsi="Arial" w:cs="Arial"/>
                <w:b/>
                <w:bCs/>
                <w:sz w:val="16"/>
                <w:szCs w:val="16"/>
                <w:lang w:val="tr-TR" w:eastAsia="tr-TR"/>
              </w:rPr>
            </w:pPr>
            <w:r w:rsidRPr="0019615A">
              <w:rPr>
                <w:rFonts w:ascii="Arial" w:hAnsi="Arial" w:cs="Arial"/>
                <w:b/>
                <w:bCs/>
                <w:sz w:val="16"/>
                <w:szCs w:val="16"/>
                <w:lang w:val="tr-TR" w:eastAsia="tr-TR"/>
              </w:rPr>
              <w:t>Employment</w:t>
            </w:r>
          </w:p>
        </w:tc>
        <w:tc>
          <w:tcPr>
            <w:tcW w:w="1380" w:type="dxa"/>
            <w:tcBorders>
              <w:top w:val="single" w:sz="8" w:space="0" w:color="auto"/>
              <w:left w:val="nil"/>
              <w:bottom w:val="nil"/>
              <w:right w:val="single" w:sz="4" w:space="0" w:color="C0C0C0"/>
            </w:tcBorders>
            <w:shd w:val="clear" w:color="auto" w:fill="auto"/>
            <w:vAlign w:val="bottom"/>
            <w:hideMark/>
          </w:tcPr>
          <w:p w:rsidR="0019615A" w:rsidRPr="0019615A" w:rsidRDefault="0019615A" w:rsidP="0019615A">
            <w:pPr>
              <w:suppressAutoHyphens w:val="0"/>
              <w:jc w:val="center"/>
              <w:rPr>
                <w:rFonts w:ascii="Arial" w:hAnsi="Arial" w:cs="Arial"/>
                <w:b/>
                <w:bCs/>
                <w:sz w:val="16"/>
                <w:szCs w:val="16"/>
                <w:lang w:val="tr-TR" w:eastAsia="tr-TR"/>
              </w:rPr>
            </w:pPr>
            <w:r w:rsidRPr="0019615A">
              <w:rPr>
                <w:rFonts w:ascii="Arial" w:hAnsi="Arial" w:cs="Arial"/>
                <w:b/>
                <w:bCs/>
                <w:sz w:val="16"/>
                <w:szCs w:val="16"/>
                <w:lang w:val="tr-TR" w:eastAsia="tr-TR"/>
              </w:rPr>
              <w:t>Unemployment</w:t>
            </w:r>
          </w:p>
        </w:tc>
        <w:tc>
          <w:tcPr>
            <w:tcW w:w="1760" w:type="dxa"/>
            <w:tcBorders>
              <w:top w:val="single" w:sz="8" w:space="0" w:color="auto"/>
              <w:left w:val="nil"/>
              <w:bottom w:val="nil"/>
              <w:right w:val="single" w:sz="8" w:space="0" w:color="auto"/>
            </w:tcBorders>
            <w:shd w:val="clear" w:color="auto" w:fill="auto"/>
            <w:vAlign w:val="bottom"/>
            <w:hideMark/>
          </w:tcPr>
          <w:p w:rsidR="0019615A" w:rsidRPr="0019615A" w:rsidRDefault="0019615A" w:rsidP="0019615A">
            <w:pPr>
              <w:suppressAutoHyphens w:val="0"/>
              <w:jc w:val="center"/>
              <w:rPr>
                <w:rFonts w:ascii="Arial" w:hAnsi="Arial" w:cs="Arial"/>
                <w:b/>
                <w:bCs/>
                <w:sz w:val="16"/>
                <w:szCs w:val="16"/>
                <w:lang w:val="tr-TR" w:eastAsia="tr-TR"/>
              </w:rPr>
            </w:pPr>
            <w:r w:rsidRPr="0019615A">
              <w:rPr>
                <w:rFonts w:ascii="Arial" w:hAnsi="Arial" w:cs="Arial"/>
                <w:b/>
                <w:bCs/>
                <w:sz w:val="16"/>
                <w:szCs w:val="16"/>
                <w:lang w:val="tr-TR"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19615A" w:rsidRPr="0019615A" w:rsidRDefault="0019615A" w:rsidP="0019615A">
            <w:pPr>
              <w:suppressAutoHyphens w:val="0"/>
              <w:jc w:val="center"/>
              <w:rPr>
                <w:rFonts w:ascii="Arial" w:hAnsi="Arial" w:cs="Arial"/>
                <w:b/>
                <w:bCs/>
                <w:sz w:val="16"/>
                <w:szCs w:val="16"/>
                <w:lang w:val="tr-TR" w:eastAsia="tr-TR"/>
              </w:rPr>
            </w:pPr>
            <w:r w:rsidRPr="0019615A">
              <w:rPr>
                <w:rFonts w:ascii="Arial" w:hAnsi="Arial" w:cs="Arial"/>
                <w:b/>
                <w:bCs/>
                <w:sz w:val="16"/>
                <w:szCs w:val="16"/>
                <w:lang w:val="tr-TR" w:eastAsia="tr-TR"/>
              </w:rPr>
              <w:t>Monthly changes</w:t>
            </w:r>
          </w:p>
        </w:tc>
      </w:tr>
      <w:tr w:rsidR="0019615A" w:rsidRPr="0019615A" w:rsidTr="0019615A">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March-14</w:t>
            </w:r>
          </w:p>
        </w:tc>
        <w:tc>
          <w:tcPr>
            <w:tcW w:w="1060" w:type="dxa"/>
            <w:tcBorders>
              <w:top w:val="single" w:sz="8" w:space="0" w:color="auto"/>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22968</w:t>
            </w:r>
          </w:p>
        </w:tc>
        <w:tc>
          <w:tcPr>
            <w:tcW w:w="1140" w:type="dxa"/>
            <w:tcBorders>
              <w:top w:val="single" w:sz="8" w:space="0" w:color="auto"/>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20373</w:t>
            </w:r>
          </w:p>
        </w:tc>
        <w:tc>
          <w:tcPr>
            <w:tcW w:w="1380" w:type="dxa"/>
            <w:tcBorders>
              <w:top w:val="single" w:sz="8" w:space="0" w:color="auto"/>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2595</w:t>
            </w:r>
          </w:p>
        </w:tc>
        <w:tc>
          <w:tcPr>
            <w:tcW w:w="1760" w:type="dxa"/>
            <w:tcBorders>
              <w:top w:val="single" w:sz="8" w:space="0" w:color="auto"/>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11.3%</w:t>
            </w:r>
          </w:p>
        </w:tc>
        <w:tc>
          <w:tcPr>
            <w:tcW w:w="1060" w:type="dxa"/>
            <w:tcBorders>
              <w:top w:val="nil"/>
              <w:left w:val="nil"/>
              <w:bottom w:val="nil"/>
              <w:right w:val="nil"/>
            </w:tcBorders>
            <w:shd w:val="clear" w:color="auto" w:fill="auto"/>
            <w:vAlign w:val="bottom"/>
            <w:hideMark/>
          </w:tcPr>
          <w:p w:rsidR="0019615A" w:rsidRPr="0019615A" w:rsidRDefault="0019615A" w:rsidP="0019615A">
            <w:pPr>
              <w:suppressAutoHyphens w:val="0"/>
              <w:jc w:val="center"/>
              <w:rPr>
                <w:rFonts w:ascii="Arial" w:hAnsi="Arial" w:cs="Arial"/>
                <w:b/>
                <w:bCs/>
                <w:sz w:val="16"/>
                <w:szCs w:val="16"/>
                <w:lang w:val="tr-TR" w:eastAsia="tr-TR"/>
              </w:rPr>
            </w:pPr>
            <w:r w:rsidRPr="0019615A">
              <w:rPr>
                <w:rFonts w:ascii="Arial" w:hAnsi="Arial" w:cs="Arial"/>
                <w:b/>
                <w:bCs/>
                <w:sz w:val="16"/>
                <w:szCs w:val="16"/>
                <w:lang w:val="tr-TR" w:eastAsia="tr-TR"/>
              </w:rPr>
              <w:t>Labor force</w:t>
            </w:r>
          </w:p>
        </w:tc>
        <w:tc>
          <w:tcPr>
            <w:tcW w:w="1140" w:type="dxa"/>
            <w:tcBorders>
              <w:top w:val="nil"/>
              <w:left w:val="nil"/>
              <w:bottom w:val="nil"/>
              <w:right w:val="nil"/>
            </w:tcBorders>
            <w:shd w:val="clear" w:color="auto" w:fill="auto"/>
            <w:vAlign w:val="bottom"/>
            <w:hideMark/>
          </w:tcPr>
          <w:p w:rsidR="0019615A" w:rsidRPr="0019615A" w:rsidRDefault="0019615A" w:rsidP="0019615A">
            <w:pPr>
              <w:suppressAutoHyphens w:val="0"/>
              <w:jc w:val="center"/>
              <w:rPr>
                <w:rFonts w:ascii="Arial" w:hAnsi="Arial" w:cs="Arial"/>
                <w:b/>
                <w:bCs/>
                <w:sz w:val="16"/>
                <w:szCs w:val="16"/>
                <w:lang w:val="tr-TR" w:eastAsia="tr-TR"/>
              </w:rPr>
            </w:pPr>
            <w:r w:rsidRPr="0019615A">
              <w:rPr>
                <w:rFonts w:ascii="Arial" w:hAnsi="Arial" w:cs="Arial"/>
                <w:b/>
                <w:bCs/>
                <w:sz w:val="16"/>
                <w:szCs w:val="16"/>
                <w:lang w:val="tr-TR" w:eastAsia="tr-TR"/>
              </w:rPr>
              <w:t>Employment</w:t>
            </w:r>
          </w:p>
        </w:tc>
        <w:tc>
          <w:tcPr>
            <w:tcW w:w="1380" w:type="dxa"/>
            <w:tcBorders>
              <w:top w:val="nil"/>
              <w:left w:val="nil"/>
              <w:bottom w:val="nil"/>
              <w:right w:val="single" w:sz="8" w:space="0" w:color="auto"/>
            </w:tcBorders>
            <w:shd w:val="clear" w:color="auto" w:fill="auto"/>
            <w:vAlign w:val="bottom"/>
            <w:hideMark/>
          </w:tcPr>
          <w:p w:rsidR="0019615A" w:rsidRPr="0019615A" w:rsidRDefault="0019615A" w:rsidP="0019615A">
            <w:pPr>
              <w:suppressAutoHyphens w:val="0"/>
              <w:jc w:val="center"/>
              <w:rPr>
                <w:rFonts w:ascii="Arial" w:hAnsi="Arial" w:cs="Arial"/>
                <w:b/>
                <w:bCs/>
                <w:sz w:val="16"/>
                <w:szCs w:val="16"/>
                <w:lang w:val="tr-TR" w:eastAsia="tr-TR"/>
              </w:rPr>
            </w:pPr>
            <w:r w:rsidRPr="0019615A">
              <w:rPr>
                <w:rFonts w:ascii="Arial" w:hAnsi="Arial" w:cs="Arial"/>
                <w:b/>
                <w:bCs/>
                <w:sz w:val="16"/>
                <w:szCs w:val="16"/>
                <w:lang w:val="tr-TR" w:eastAsia="tr-TR"/>
              </w:rPr>
              <w:t>Unemployment</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April-14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23094</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20438</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2656</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11.5%</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125</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65</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60</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May-14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23126</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20420</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2706</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11.7%</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32</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-18</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50</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June-14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23181</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20399</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2782</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12.0%</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55</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76</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July-14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23282</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20395</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2887</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101</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-4</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105</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August-14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23388</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20511</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2877</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106</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116</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-10</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September-14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23521</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20557</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2964</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12.6%</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133</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46</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87</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October-14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23634</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20703</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2931</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113</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146</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-33</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November-14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23693</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20708</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2985</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12.6%</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60</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55</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December-14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23752</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20807</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2945</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59</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99</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-40</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January-15</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23863</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20904</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2959</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111</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97</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February-15</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24048</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21090</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2958</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185</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186</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March-15</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23783</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20834</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2949</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-265</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-256</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-9</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April-15</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23881</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20920</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2961</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98</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86</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May-15</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23997</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20997</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3000</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12.5%</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115</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77</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38</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June-15</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24057</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21026</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3031</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12.6%</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61</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32</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July-15</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24190</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21215</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2975</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133</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189</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-56</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August-15</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24128</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21160</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2968</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-63</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-55</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-8</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September-15</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24351</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21356</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2995</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223</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196</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27</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October-15</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24404</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21378</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3026</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22</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31</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November-15</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24544</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21550</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2994</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12.2%</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140</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172</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-32</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December-15</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24622</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21643</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2979</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12.1%</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78</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93</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-15</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January-16</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24736</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21768</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2968</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12.0%</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114</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125</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-11</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February-16</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24833</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21878</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2955</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11.9%</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97</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110</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March-16</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24884</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21948</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2936</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11.8%</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51</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70</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April-16</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25011</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22035</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2976</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11.9%</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127</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87</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40</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May-16</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25105</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21992</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3113</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94</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-43</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137</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June-16</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25113</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21823</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3290</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13.1%</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8</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-169</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177</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July-16</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25167</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21795</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3372</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13.4%</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55</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-28</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83</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August-16</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25174</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21750</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3424</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13.6%</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6</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-45</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51</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lastRenderedPageBreak/>
              <w:t>September-16</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25361</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21937</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3424</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13.5%</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187</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187</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0</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October-16</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25524</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21976</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3548</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13.9%</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163</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39</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124</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November-16</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25648</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22057</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3591</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14.0%</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124</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81</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43</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December-16</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25582</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21975</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3607</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14.1%</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-66</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-82</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16</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January-17</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25697</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22099</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3598</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14.0%</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114</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124</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-10</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February-17</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25812</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22224</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3588</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13.9%</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115</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125</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-10</w:t>
            </w:r>
          </w:p>
        </w:tc>
      </w:tr>
      <w:tr w:rsidR="0019615A" w:rsidRPr="0019615A" w:rsidTr="0019615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March-17</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25978</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22445</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3533</w:t>
            </w:r>
          </w:p>
        </w:tc>
        <w:tc>
          <w:tcPr>
            <w:tcW w:w="176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13.6%</w:t>
            </w:r>
          </w:p>
        </w:tc>
        <w:tc>
          <w:tcPr>
            <w:tcW w:w="106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166</w:t>
            </w:r>
          </w:p>
        </w:tc>
        <w:tc>
          <w:tcPr>
            <w:tcW w:w="1140" w:type="dxa"/>
            <w:tcBorders>
              <w:top w:val="nil"/>
              <w:left w:val="nil"/>
              <w:bottom w:val="nil"/>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221</w:t>
            </w:r>
          </w:p>
        </w:tc>
        <w:tc>
          <w:tcPr>
            <w:tcW w:w="1380" w:type="dxa"/>
            <w:tcBorders>
              <w:top w:val="nil"/>
              <w:left w:val="nil"/>
              <w:bottom w:val="nil"/>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-55</w:t>
            </w:r>
          </w:p>
        </w:tc>
      </w:tr>
      <w:tr w:rsidR="0019615A" w:rsidRPr="0019615A" w:rsidTr="0019615A">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April-17</w:t>
            </w:r>
          </w:p>
        </w:tc>
        <w:tc>
          <w:tcPr>
            <w:tcW w:w="1060" w:type="dxa"/>
            <w:tcBorders>
              <w:top w:val="nil"/>
              <w:left w:val="nil"/>
              <w:bottom w:val="single" w:sz="8" w:space="0" w:color="auto"/>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26057</w:t>
            </w:r>
          </w:p>
        </w:tc>
        <w:tc>
          <w:tcPr>
            <w:tcW w:w="1140" w:type="dxa"/>
            <w:tcBorders>
              <w:top w:val="nil"/>
              <w:left w:val="nil"/>
              <w:bottom w:val="single" w:sz="8" w:space="0" w:color="auto"/>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22565</w:t>
            </w:r>
          </w:p>
        </w:tc>
        <w:tc>
          <w:tcPr>
            <w:tcW w:w="1380" w:type="dxa"/>
            <w:tcBorders>
              <w:top w:val="nil"/>
              <w:left w:val="nil"/>
              <w:bottom w:val="single" w:sz="8" w:space="0" w:color="auto"/>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3492</w:t>
            </w:r>
          </w:p>
        </w:tc>
        <w:tc>
          <w:tcPr>
            <w:tcW w:w="1760" w:type="dxa"/>
            <w:tcBorders>
              <w:top w:val="nil"/>
              <w:left w:val="nil"/>
              <w:bottom w:val="single" w:sz="8" w:space="0" w:color="auto"/>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13.4%</w:t>
            </w:r>
          </w:p>
        </w:tc>
        <w:tc>
          <w:tcPr>
            <w:tcW w:w="1060" w:type="dxa"/>
            <w:tcBorders>
              <w:top w:val="nil"/>
              <w:left w:val="nil"/>
              <w:bottom w:val="single" w:sz="8" w:space="0" w:color="auto"/>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79</w:t>
            </w:r>
          </w:p>
        </w:tc>
        <w:tc>
          <w:tcPr>
            <w:tcW w:w="1140" w:type="dxa"/>
            <w:tcBorders>
              <w:top w:val="nil"/>
              <w:left w:val="nil"/>
              <w:bottom w:val="single" w:sz="8" w:space="0" w:color="auto"/>
              <w:right w:val="nil"/>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120</w:t>
            </w:r>
          </w:p>
        </w:tc>
        <w:tc>
          <w:tcPr>
            <w:tcW w:w="1380" w:type="dxa"/>
            <w:tcBorders>
              <w:top w:val="nil"/>
              <w:left w:val="nil"/>
              <w:bottom w:val="single" w:sz="8" w:space="0" w:color="auto"/>
              <w:right w:val="single" w:sz="8" w:space="0" w:color="auto"/>
            </w:tcBorders>
            <w:shd w:val="clear" w:color="auto" w:fill="auto"/>
            <w:noWrap/>
            <w:vAlign w:val="bottom"/>
            <w:hideMark/>
          </w:tcPr>
          <w:p w:rsidR="0019615A" w:rsidRPr="0019615A" w:rsidRDefault="0019615A" w:rsidP="0019615A">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-41</w:t>
            </w:r>
          </w:p>
        </w:tc>
      </w:tr>
    </w:tbl>
    <w:p w:rsidR="00805BE4" w:rsidRPr="0019615A" w:rsidRDefault="00805BE4" w:rsidP="00A8575E">
      <w:pPr>
        <w:pStyle w:val="Caption"/>
        <w:keepNext/>
        <w:rPr>
          <w:rFonts w:ascii="Arial" w:hAnsi="Arial" w:cs="Arial"/>
          <w:b w:val="0"/>
          <w:sz w:val="18"/>
          <w:szCs w:val="18"/>
        </w:rPr>
      </w:pPr>
      <w:r w:rsidRPr="0019615A">
        <w:rPr>
          <w:rFonts w:ascii="Arial" w:hAnsi="Arial" w:cs="Arial"/>
          <w:b w:val="0"/>
          <w:sz w:val="18"/>
          <w:szCs w:val="18"/>
        </w:rPr>
        <w:t xml:space="preserve">Source: Turkstat, </w:t>
      </w:r>
      <w:r w:rsidRPr="0019615A">
        <w:rPr>
          <w:rFonts w:ascii="Arial" w:hAnsi="Arial" w:cs="Arial"/>
          <w:b w:val="0"/>
          <w:bCs w:val="0"/>
          <w:sz w:val="18"/>
          <w:szCs w:val="18"/>
        </w:rPr>
        <w:t>Betam</w:t>
      </w:r>
    </w:p>
    <w:p w:rsidR="00667FE8" w:rsidRPr="0025721B" w:rsidRDefault="00667FE8" w:rsidP="00764346">
      <w:pPr>
        <w:rPr>
          <w:color w:val="FF0000"/>
          <w:sz w:val="20"/>
          <w:szCs w:val="20"/>
        </w:rPr>
      </w:pPr>
    </w:p>
    <w:p w:rsidR="008A312B" w:rsidRPr="0025721B" w:rsidRDefault="008A312B">
      <w:pPr>
        <w:suppressAutoHyphens w:val="0"/>
        <w:rPr>
          <w:color w:val="FF0000"/>
          <w:sz w:val="20"/>
          <w:szCs w:val="20"/>
        </w:rPr>
      </w:pPr>
      <w:r w:rsidRPr="0025721B">
        <w:rPr>
          <w:color w:val="FF0000"/>
          <w:sz w:val="20"/>
          <w:szCs w:val="20"/>
        </w:rPr>
        <w:br w:type="page"/>
      </w:r>
    </w:p>
    <w:p w:rsidR="00667FE8" w:rsidRPr="0025721B" w:rsidRDefault="00667FE8" w:rsidP="00764346">
      <w:pPr>
        <w:rPr>
          <w:color w:val="FF0000"/>
          <w:sz w:val="20"/>
          <w:szCs w:val="20"/>
        </w:rPr>
      </w:pPr>
    </w:p>
    <w:p w:rsidR="0019615A" w:rsidRPr="0019615A" w:rsidRDefault="00805BE4" w:rsidP="0019615A">
      <w:pPr>
        <w:pStyle w:val="Caption"/>
        <w:keepNext/>
        <w:rPr>
          <w:rFonts w:ascii="Arial" w:hAnsi="Arial" w:cs="Arial"/>
        </w:rPr>
      </w:pPr>
      <w:bookmarkStart w:id="9" w:name="_Ref472411395"/>
      <w:r w:rsidRPr="0019615A">
        <w:rPr>
          <w:rFonts w:ascii="Arial" w:hAnsi="Arial" w:cs="Arial"/>
        </w:rPr>
        <w:t xml:space="preserve">Table </w:t>
      </w:r>
      <w:r w:rsidRPr="0019615A">
        <w:rPr>
          <w:rFonts w:ascii="Arial" w:hAnsi="Arial" w:cs="Arial"/>
        </w:rPr>
        <w:fldChar w:fldCharType="begin"/>
      </w:r>
      <w:r w:rsidRPr="0019615A">
        <w:rPr>
          <w:rFonts w:ascii="Arial" w:hAnsi="Arial" w:cs="Arial"/>
        </w:rPr>
        <w:instrText xml:space="preserve"> SEQ Table \* ARABIC </w:instrText>
      </w:r>
      <w:r w:rsidRPr="0019615A">
        <w:rPr>
          <w:rFonts w:ascii="Arial" w:hAnsi="Arial" w:cs="Arial"/>
        </w:rPr>
        <w:fldChar w:fldCharType="separate"/>
      </w:r>
      <w:r w:rsidR="005D3F0C">
        <w:rPr>
          <w:rFonts w:ascii="Arial" w:hAnsi="Arial" w:cs="Arial"/>
          <w:noProof/>
        </w:rPr>
        <w:t>2</w:t>
      </w:r>
      <w:r w:rsidRPr="0019615A">
        <w:rPr>
          <w:rFonts w:ascii="Arial" w:hAnsi="Arial" w:cs="Arial"/>
        </w:rPr>
        <w:fldChar w:fldCharType="end"/>
      </w:r>
      <w:bookmarkEnd w:id="9"/>
      <w:r w:rsidRPr="0019615A">
        <w:t xml:space="preserve"> </w:t>
      </w:r>
      <w:r w:rsidRPr="0019615A">
        <w:rPr>
          <w:rFonts w:ascii="Arial" w:hAnsi="Arial" w:cs="Arial"/>
        </w:rPr>
        <w:t>Seasonally adjusted employment by sectors (in thousands)</w:t>
      </w:r>
    </w:p>
    <w:tbl>
      <w:tblPr>
        <w:tblW w:w="9760"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19615A" w:rsidRPr="0019615A" w:rsidTr="0019615A">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sz w:val="16"/>
                <w:szCs w:val="16"/>
                <w:lang w:val="tr-TR" w:eastAsia="tr-TR"/>
              </w:rPr>
            </w:pPr>
            <w:r w:rsidRPr="0019615A">
              <w:rPr>
                <w:rFonts w:ascii="Arial" w:hAnsi="Arial" w:cs="Arial"/>
                <w:sz w:val="16"/>
                <w:szCs w:val="16"/>
                <w:lang w:val="tr-TR" w:eastAsia="tr-TR"/>
              </w:rPr>
              <w:t> </w:t>
            </w:r>
          </w:p>
        </w:tc>
        <w:tc>
          <w:tcPr>
            <w:tcW w:w="1040" w:type="dxa"/>
            <w:tcBorders>
              <w:top w:val="single" w:sz="8" w:space="0" w:color="auto"/>
              <w:left w:val="nil"/>
              <w:bottom w:val="nil"/>
              <w:right w:val="single" w:sz="4" w:space="0" w:color="C0C0C0"/>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19615A" w:rsidRPr="0019615A" w:rsidRDefault="0019615A" w:rsidP="0019615A">
            <w:pPr>
              <w:suppressAutoHyphens w:val="0"/>
              <w:jc w:val="center"/>
              <w:rPr>
                <w:rFonts w:ascii="Arial" w:hAnsi="Arial" w:cs="Arial"/>
                <w:b/>
                <w:bCs/>
                <w:sz w:val="16"/>
                <w:szCs w:val="16"/>
                <w:lang w:val="tr-TR" w:eastAsia="tr-TR"/>
              </w:rPr>
            </w:pPr>
            <w:r w:rsidRPr="0019615A">
              <w:rPr>
                <w:rFonts w:ascii="Arial" w:hAnsi="Arial" w:cs="Arial"/>
                <w:b/>
                <w:bCs/>
                <w:sz w:val="16"/>
                <w:szCs w:val="16"/>
                <w:lang w:val="tr-TR" w:eastAsia="tr-TR"/>
              </w:rPr>
              <w:t>Monthly changes</w:t>
            </w:r>
          </w:p>
        </w:tc>
      </w:tr>
      <w:tr w:rsidR="0019615A" w:rsidRPr="0019615A" w:rsidTr="0019615A">
        <w:trPr>
          <w:trHeight w:val="240"/>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March-14</w:t>
            </w:r>
          </w:p>
        </w:tc>
        <w:tc>
          <w:tcPr>
            <w:tcW w:w="1040" w:type="dxa"/>
            <w:tcBorders>
              <w:top w:val="single" w:sz="8" w:space="0" w:color="auto"/>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5596</w:t>
            </w:r>
          </w:p>
        </w:tc>
        <w:tc>
          <w:tcPr>
            <w:tcW w:w="1300" w:type="dxa"/>
            <w:tcBorders>
              <w:top w:val="single" w:sz="8" w:space="0" w:color="auto"/>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5365</w:t>
            </w:r>
          </w:p>
        </w:tc>
        <w:tc>
          <w:tcPr>
            <w:tcW w:w="1180" w:type="dxa"/>
            <w:tcBorders>
              <w:top w:val="single" w:sz="8" w:space="0" w:color="auto"/>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1950</w:t>
            </w:r>
          </w:p>
        </w:tc>
        <w:tc>
          <w:tcPr>
            <w:tcW w:w="720" w:type="dxa"/>
            <w:tcBorders>
              <w:top w:val="single" w:sz="8" w:space="0" w:color="auto"/>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13058</w:t>
            </w:r>
          </w:p>
        </w:tc>
        <w:tc>
          <w:tcPr>
            <w:tcW w:w="1029" w:type="dxa"/>
            <w:tcBorders>
              <w:top w:val="nil"/>
              <w:left w:val="nil"/>
              <w:bottom w:val="nil"/>
              <w:right w:val="single" w:sz="4" w:space="0" w:color="C0C0C0"/>
            </w:tcBorders>
            <w:shd w:val="clear" w:color="auto" w:fill="auto"/>
            <w:noWrap/>
            <w:vAlign w:val="bottom"/>
            <w:hideMark/>
          </w:tcPr>
          <w:p w:rsidR="0019615A" w:rsidRPr="0019615A" w:rsidRDefault="0019615A" w:rsidP="005D3F0C">
            <w:pPr>
              <w:suppressAutoHyphens w:val="0"/>
              <w:jc w:val="center"/>
              <w:rPr>
                <w:rFonts w:ascii="Arial" w:hAnsi="Arial" w:cs="Arial"/>
                <w:b/>
                <w:bCs/>
                <w:sz w:val="16"/>
                <w:szCs w:val="16"/>
                <w:lang w:val="tr-TR" w:eastAsia="tr-TR"/>
              </w:rPr>
            </w:pPr>
            <w:r w:rsidRPr="0019615A">
              <w:rPr>
                <w:rFonts w:ascii="Arial" w:hAnsi="Arial" w:cs="Arial"/>
                <w:b/>
                <w:bCs/>
                <w:sz w:val="16"/>
                <w:szCs w:val="16"/>
                <w:lang w:val="tr-TR" w:eastAsia="tr-TR"/>
              </w:rPr>
              <w:t>Agriculture</w:t>
            </w:r>
          </w:p>
        </w:tc>
        <w:tc>
          <w:tcPr>
            <w:tcW w:w="1319" w:type="dxa"/>
            <w:tcBorders>
              <w:top w:val="nil"/>
              <w:left w:val="nil"/>
              <w:bottom w:val="nil"/>
              <w:right w:val="single" w:sz="4" w:space="0" w:color="C0C0C0"/>
            </w:tcBorders>
            <w:shd w:val="clear" w:color="auto" w:fill="auto"/>
            <w:noWrap/>
            <w:vAlign w:val="bottom"/>
            <w:hideMark/>
          </w:tcPr>
          <w:p w:rsidR="0019615A" w:rsidRPr="0019615A" w:rsidRDefault="0019615A" w:rsidP="005D3F0C">
            <w:pPr>
              <w:suppressAutoHyphens w:val="0"/>
              <w:jc w:val="center"/>
              <w:rPr>
                <w:rFonts w:ascii="Arial" w:hAnsi="Arial" w:cs="Arial"/>
                <w:b/>
                <w:bCs/>
                <w:sz w:val="16"/>
                <w:szCs w:val="16"/>
                <w:lang w:val="tr-TR" w:eastAsia="tr-TR"/>
              </w:rPr>
            </w:pPr>
            <w:r w:rsidRPr="0019615A">
              <w:rPr>
                <w:rFonts w:ascii="Arial" w:hAnsi="Arial" w:cs="Arial"/>
                <w:b/>
                <w:bCs/>
                <w:sz w:val="16"/>
                <w:szCs w:val="16"/>
                <w:lang w:val="tr-TR" w:eastAsia="tr-TR"/>
              </w:rPr>
              <w:t>Manufacturing</w:t>
            </w:r>
          </w:p>
        </w:tc>
        <w:tc>
          <w:tcPr>
            <w:tcW w:w="1194" w:type="dxa"/>
            <w:tcBorders>
              <w:top w:val="nil"/>
              <w:left w:val="nil"/>
              <w:bottom w:val="nil"/>
              <w:right w:val="single" w:sz="4" w:space="0" w:color="C0C0C0"/>
            </w:tcBorders>
            <w:shd w:val="clear" w:color="auto" w:fill="auto"/>
            <w:noWrap/>
            <w:vAlign w:val="bottom"/>
            <w:hideMark/>
          </w:tcPr>
          <w:p w:rsidR="0019615A" w:rsidRPr="0019615A" w:rsidRDefault="0019615A" w:rsidP="005D3F0C">
            <w:pPr>
              <w:suppressAutoHyphens w:val="0"/>
              <w:jc w:val="center"/>
              <w:rPr>
                <w:rFonts w:ascii="Arial" w:hAnsi="Arial" w:cs="Arial"/>
                <w:b/>
                <w:bCs/>
                <w:sz w:val="16"/>
                <w:szCs w:val="16"/>
                <w:lang w:val="tr-TR" w:eastAsia="tr-TR"/>
              </w:rPr>
            </w:pPr>
            <w:r w:rsidRPr="0019615A">
              <w:rPr>
                <w:rFonts w:ascii="Arial" w:hAnsi="Arial" w:cs="Arial"/>
                <w:b/>
                <w:bCs/>
                <w:sz w:val="16"/>
                <w:szCs w:val="16"/>
                <w:lang w:val="tr-TR" w:eastAsia="tr-TR"/>
              </w:rPr>
              <w:t>Construction</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b/>
                <w:bCs/>
                <w:sz w:val="16"/>
                <w:szCs w:val="16"/>
                <w:lang w:val="tr-TR" w:eastAsia="tr-TR"/>
              </w:rPr>
            </w:pPr>
            <w:r w:rsidRPr="0019615A">
              <w:rPr>
                <w:rFonts w:ascii="Arial" w:hAnsi="Arial" w:cs="Arial"/>
                <w:b/>
                <w:bCs/>
                <w:sz w:val="16"/>
                <w:szCs w:val="16"/>
                <w:lang w:val="tr-TR" w:eastAsia="tr-TR"/>
              </w:rPr>
              <w:t>Service</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April-14</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5568</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5373</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1889</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13176</w:t>
            </w:r>
          </w:p>
        </w:tc>
        <w:tc>
          <w:tcPr>
            <w:tcW w:w="1029" w:type="dxa"/>
            <w:tcBorders>
              <w:top w:val="single" w:sz="8" w:space="0" w:color="auto"/>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-28</w:t>
            </w:r>
          </w:p>
        </w:tc>
        <w:tc>
          <w:tcPr>
            <w:tcW w:w="1319" w:type="dxa"/>
            <w:tcBorders>
              <w:top w:val="single" w:sz="8" w:space="0" w:color="auto"/>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8</w:t>
            </w:r>
          </w:p>
        </w:tc>
        <w:tc>
          <w:tcPr>
            <w:tcW w:w="1194" w:type="dxa"/>
            <w:tcBorders>
              <w:top w:val="single" w:sz="8" w:space="0" w:color="auto"/>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-61</w:t>
            </w:r>
          </w:p>
        </w:tc>
        <w:tc>
          <w:tcPr>
            <w:tcW w:w="698" w:type="dxa"/>
            <w:tcBorders>
              <w:top w:val="single" w:sz="8" w:space="0" w:color="auto"/>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118</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May-14</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5572</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5364</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1867</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13189</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4</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-9</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-22</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13</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June-14</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5495</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5332</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1826</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13241</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-77</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-32</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-41</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52</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July-14</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5410</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5243</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1815</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13337</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-85</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-89</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-11</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96</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August-14</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5345</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5257</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1858</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13396</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-65</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14</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43</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59</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September-14</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5342</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5306</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1875</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13376</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49</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17</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-20</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October-14</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5386</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5353</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1907</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13443</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44</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47</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32</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67</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November-14</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5417</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5273</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1941</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13493</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31</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-80</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34</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50</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December-14</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5436</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5266</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1945</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13595</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19</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-7</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4</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102</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January-15</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5425</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5349</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1935</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13620</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-11</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83</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-10</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25</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February-15</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5237</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5351</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1875</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13864</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-188</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-60</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244</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March-15</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5471</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5308</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1909</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13617</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234</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-43</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34</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-247</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April-15</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5502</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5326</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1889</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13705</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31</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18</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-20</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88</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May-15</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5528</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5404</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1860</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13733</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26</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78</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-29</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28</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June-15</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5559</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5380</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1851</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13794</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31</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-24</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-9</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61</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July-15</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5512</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5336</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1908</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13971</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-47</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-44</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57</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177</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August-15</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5533</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5252</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1920</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13988</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21</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-84</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12</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17</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September-15</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5532</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5327</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1938</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14090</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75</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18</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102</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October-15</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5462</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5363</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1957</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14057</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-70</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36</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19</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-33</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November-15</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5403</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5353</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1991</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14207</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-59</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-10</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34</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150</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December-15</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5430</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5311</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2007</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14325</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27</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-42</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16</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118</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January-16</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5383</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5300</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2020</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14448</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-47</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-11</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13</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123</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February-16</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5320</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5276</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2018</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14584</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-63</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-24</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136</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March-16</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5370</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5295</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2038</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14614</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50</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19</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20</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30</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April-16</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5349</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5381</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2042</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14612</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-21</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86</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4</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May-16</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5305</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5386</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2030</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14576</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-44</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5</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-12</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-36</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June-16</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5151</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5330</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1928</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14565</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-154</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-56</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-102</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-11</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July-16</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5223</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5254</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1932</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14609</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72</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-76</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4</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44</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August-16</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5271</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5224</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1925</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14602</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48</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-30</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-7</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-7</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September-16</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5362</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5260</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2024</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14652</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91</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36</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99</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50</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October-16</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5301</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5282</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1987</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14707</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-61</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22</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-37</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55</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November-16</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5309</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5316</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1999</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14742</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8</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34</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12</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35</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December-16</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5342</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5265</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1975</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14735</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33</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-51</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-24</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-7</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January-17</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5449</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5274</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1993</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14832</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107</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9</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18</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97</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February-17</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5465</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5251</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2056</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14917</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16</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-23</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63</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85</w:t>
            </w:r>
          </w:p>
        </w:tc>
      </w:tr>
      <w:tr w:rsidR="0019615A" w:rsidRPr="0019615A" w:rsidTr="0019615A">
        <w:trPr>
          <w:trHeight w:val="225"/>
        </w:trPr>
        <w:tc>
          <w:tcPr>
            <w:tcW w:w="1280" w:type="dxa"/>
            <w:tcBorders>
              <w:top w:val="nil"/>
              <w:left w:val="single" w:sz="8" w:space="0" w:color="auto"/>
              <w:bottom w:val="nil"/>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March-17</w:t>
            </w:r>
          </w:p>
        </w:tc>
        <w:tc>
          <w:tcPr>
            <w:tcW w:w="1040" w:type="dxa"/>
            <w:tcBorders>
              <w:top w:val="nil"/>
              <w:left w:val="single" w:sz="8" w:space="0" w:color="auto"/>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5359</w:t>
            </w:r>
          </w:p>
        </w:tc>
        <w:tc>
          <w:tcPr>
            <w:tcW w:w="130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5346</w:t>
            </w:r>
          </w:p>
        </w:tc>
        <w:tc>
          <w:tcPr>
            <w:tcW w:w="1180"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2118</w:t>
            </w:r>
          </w:p>
        </w:tc>
        <w:tc>
          <w:tcPr>
            <w:tcW w:w="720"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14982</w:t>
            </w:r>
          </w:p>
        </w:tc>
        <w:tc>
          <w:tcPr>
            <w:tcW w:w="102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-106</w:t>
            </w:r>
          </w:p>
        </w:tc>
        <w:tc>
          <w:tcPr>
            <w:tcW w:w="1319"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95</w:t>
            </w:r>
          </w:p>
        </w:tc>
        <w:tc>
          <w:tcPr>
            <w:tcW w:w="1194" w:type="dxa"/>
            <w:tcBorders>
              <w:top w:val="nil"/>
              <w:left w:val="nil"/>
              <w:bottom w:val="nil"/>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62</w:t>
            </w:r>
          </w:p>
        </w:tc>
        <w:tc>
          <w:tcPr>
            <w:tcW w:w="698" w:type="dxa"/>
            <w:tcBorders>
              <w:top w:val="nil"/>
              <w:left w:val="nil"/>
              <w:bottom w:val="nil"/>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65</w:t>
            </w:r>
          </w:p>
        </w:tc>
      </w:tr>
      <w:tr w:rsidR="0019615A" w:rsidRPr="0019615A" w:rsidTr="0019615A">
        <w:trPr>
          <w:trHeight w:val="240"/>
        </w:trPr>
        <w:tc>
          <w:tcPr>
            <w:tcW w:w="1280" w:type="dxa"/>
            <w:tcBorders>
              <w:top w:val="nil"/>
              <w:left w:val="single" w:sz="8" w:space="0" w:color="auto"/>
              <w:bottom w:val="single" w:sz="8" w:space="0" w:color="auto"/>
              <w:right w:val="nil"/>
            </w:tcBorders>
            <w:shd w:val="clear" w:color="auto" w:fill="auto"/>
            <w:noWrap/>
            <w:vAlign w:val="bottom"/>
            <w:hideMark/>
          </w:tcPr>
          <w:p w:rsidR="0019615A" w:rsidRPr="0019615A" w:rsidRDefault="0019615A" w:rsidP="0019615A">
            <w:pPr>
              <w:suppressAutoHyphens w:val="0"/>
              <w:rPr>
                <w:rFonts w:ascii="Arial" w:hAnsi="Arial" w:cs="Arial"/>
                <w:b/>
                <w:bCs/>
                <w:sz w:val="16"/>
                <w:szCs w:val="16"/>
                <w:lang w:val="tr-TR" w:eastAsia="tr-TR"/>
              </w:rPr>
            </w:pPr>
            <w:r w:rsidRPr="0019615A">
              <w:rPr>
                <w:rFonts w:ascii="Arial" w:hAnsi="Arial" w:cs="Arial"/>
                <w:b/>
                <w:bCs/>
                <w:sz w:val="16"/>
                <w:szCs w:val="16"/>
                <w:lang w:val="tr-TR" w:eastAsia="tr-TR"/>
              </w:rPr>
              <w:t>April-17</w:t>
            </w:r>
          </w:p>
        </w:tc>
        <w:tc>
          <w:tcPr>
            <w:tcW w:w="1040" w:type="dxa"/>
            <w:tcBorders>
              <w:top w:val="nil"/>
              <w:left w:val="single" w:sz="8" w:space="0" w:color="auto"/>
              <w:bottom w:val="single" w:sz="8" w:space="0" w:color="auto"/>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5320</w:t>
            </w:r>
          </w:p>
        </w:tc>
        <w:tc>
          <w:tcPr>
            <w:tcW w:w="1300" w:type="dxa"/>
            <w:tcBorders>
              <w:top w:val="nil"/>
              <w:left w:val="nil"/>
              <w:bottom w:val="single" w:sz="8" w:space="0" w:color="auto"/>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5372</w:t>
            </w:r>
          </w:p>
        </w:tc>
        <w:tc>
          <w:tcPr>
            <w:tcW w:w="1180" w:type="dxa"/>
            <w:tcBorders>
              <w:top w:val="nil"/>
              <w:left w:val="nil"/>
              <w:bottom w:val="single" w:sz="8" w:space="0" w:color="auto"/>
              <w:right w:val="nil"/>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2135</w:t>
            </w:r>
          </w:p>
        </w:tc>
        <w:tc>
          <w:tcPr>
            <w:tcW w:w="720" w:type="dxa"/>
            <w:tcBorders>
              <w:top w:val="nil"/>
              <w:left w:val="nil"/>
              <w:bottom w:val="single" w:sz="8" w:space="0" w:color="auto"/>
              <w:right w:val="single" w:sz="8" w:space="0" w:color="auto"/>
            </w:tcBorders>
            <w:shd w:val="clear" w:color="auto" w:fill="auto"/>
            <w:noWrap/>
            <w:vAlign w:val="bottom"/>
            <w:hideMark/>
          </w:tcPr>
          <w:p w:rsidR="0019615A" w:rsidRPr="0019615A" w:rsidRDefault="0019615A" w:rsidP="005D3F0C">
            <w:pPr>
              <w:suppressAutoHyphens w:val="0"/>
              <w:jc w:val="center"/>
              <w:rPr>
                <w:rFonts w:ascii="Arial" w:hAnsi="Arial" w:cs="Arial"/>
                <w:sz w:val="16"/>
                <w:szCs w:val="16"/>
                <w:lang w:val="tr-TR" w:eastAsia="tr-TR"/>
              </w:rPr>
            </w:pPr>
            <w:r w:rsidRPr="0019615A">
              <w:rPr>
                <w:rFonts w:ascii="Arial" w:hAnsi="Arial" w:cs="Arial"/>
                <w:sz w:val="16"/>
                <w:szCs w:val="16"/>
                <w:lang w:val="tr-TR" w:eastAsia="tr-TR"/>
              </w:rPr>
              <w:t>15058</w:t>
            </w:r>
          </w:p>
        </w:tc>
        <w:tc>
          <w:tcPr>
            <w:tcW w:w="1029" w:type="dxa"/>
            <w:tcBorders>
              <w:top w:val="nil"/>
              <w:left w:val="nil"/>
              <w:bottom w:val="single" w:sz="8" w:space="0" w:color="auto"/>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-39</w:t>
            </w:r>
          </w:p>
        </w:tc>
        <w:tc>
          <w:tcPr>
            <w:tcW w:w="1319" w:type="dxa"/>
            <w:tcBorders>
              <w:top w:val="nil"/>
              <w:left w:val="nil"/>
              <w:bottom w:val="single" w:sz="8" w:space="0" w:color="auto"/>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26</w:t>
            </w:r>
          </w:p>
        </w:tc>
        <w:tc>
          <w:tcPr>
            <w:tcW w:w="1194" w:type="dxa"/>
            <w:tcBorders>
              <w:top w:val="nil"/>
              <w:left w:val="nil"/>
              <w:bottom w:val="single" w:sz="8" w:space="0" w:color="auto"/>
              <w:right w:val="nil"/>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17</w:t>
            </w:r>
          </w:p>
        </w:tc>
        <w:tc>
          <w:tcPr>
            <w:tcW w:w="698" w:type="dxa"/>
            <w:tcBorders>
              <w:top w:val="nil"/>
              <w:left w:val="nil"/>
              <w:bottom w:val="single" w:sz="8" w:space="0" w:color="auto"/>
              <w:right w:val="single" w:sz="8" w:space="0" w:color="auto"/>
            </w:tcBorders>
            <w:shd w:val="clear" w:color="auto" w:fill="auto"/>
            <w:noWrap/>
            <w:vAlign w:val="bottom"/>
            <w:hideMark/>
          </w:tcPr>
          <w:p w:rsidR="0019615A" w:rsidRPr="0019615A" w:rsidRDefault="0019615A" w:rsidP="005D3F0C">
            <w:pPr>
              <w:suppressAutoHyphens w:val="0"/>
              <w:jc w:val="right"/>
              <w:rPr>
                <w:rFonts w:ascii="Arial" w:hAnsi="Arial" w:cs="Arial"/>
                <w:sz w:val="16"/>
                <w:szCs w:val="16"/>
                <w:lang w:val="tr-TR" w:eastAsia="tr-TR"/>
              </w:rPr>
            </w:pPr>
            <w:r w:rsidRPr="0019615A">
              <w:rPr>
                <w:rFonts w:ascii="Arial" w:hAnsi="Arial" w:cs="Arial"/>
                <w:sz w:val="16"/>
                <w:szCs w:val="16"/>
                <w:lang w:val="tr-TR" w:eastAsia="tr-TR"/>
              </w:rPr>
              <w:t>76</w:t>
            </w:r>
          </w:p>
        </w:tc>
      </w:tr>
    </w:tbl>
    <w:p w:rsidR="00805BE4" w:rsidRPr="0019615A" w:rsidRDefault="00805BE4" w:rsidP="0019615A">
      <w:pPr>
        <w:pStyle w:val="Caption"/>
        <w:keepNext/>
        <w:rPr>
          <w:rFonts w:ascii="Arial" w:hAnsi="Arial" w:cs="Arial"/>
          <w:b w:val="0"/>
          <w:sz w:val="18"/>
          <w:szCs w:val="18"/>
        </w:rPr>
      </w:pPr>
      <w:r w:rsidRPr="0019615A">
        <w:rPr>
          <w:rFonts w:ascii="Arial" w:hAnsi="Arial" w:cs="Arial"/>
          <w:b w:val="0"/>
          <w:sz w:val="18"/>
          <w:szCs w:val="18"/>
        </w:rPr>
        <w:t xml:space="preserve">Source: Turkstat, </w:t>
      </w:r>
      <w:r w:rsidRPr="0019615A">
        <w:rPr>
          <w:rFonts w:ascii="Arial" w:hAnsi="Arial" w:cs="Arial"/>
          <w:b w:val="0"/>
          <w:bCs w:val="0"/>
          <w:sz w:val="18"/>
          <w:szCs w:val="18"/>
        </w:rPr>
        <w:t>Betam</w:t>
      </w:r>
    </w:p>
    <w:p w:rsidR="00667FE8" w:rsidRPr="0025721B" w:rsidRDefault="00667FE8" w:rsidP="00323218">
      <w:pPr>
        <w:rPr>
          <w:rFonts w:ascii="Arial" w:hAnsi="Arial" w:cs="Arial"/>
          <w:b/>
          <w:bCs/>
          <w:color w:val="FF0000"/>
          <w:sz w:val="20"/>
          <w:szCs w:val="20"/>
        </w:rPr>
      </w:pPr>
    </w:p>
    <w:p w:rsidR="00667FE8" w:rsidRPr="0025721B" w:rsidRDefault="00667FE8" w:rsidP="009F39E3">
      <w:pPr>
        <w:rPr>
          <w:rFonts w:ascii="Arial" w:hAnsi="Arial" w:cs="Arial"/>
          <w:b/>
          <w:bCs/>
          <w:color w:val="FF0000"/>
          <w:sz w:val="20"/>
          <w:szCs w:val="20"/>
        </w:rPr>
      </w:pPr>
    </w:p>
    <w:p w:rsidR="00D63113" w:rsidRPr="0025721B" w:rsidRDefault="00D63113" w:rsidP="009F39E3">
      <w:pPr>
        <w:rPr>
          <w:rFonts w:ascii="Arial" w:hAnsi="Arial" w:cs="Arial"/>
          <w:b/>
          <w:bCs/>
          <w:color w:val="FF0000"/>
          <w:sz w:val="20"/>
          <w:szCs w:val="20"/>
        </w:rPr>
      </w:pPr>
    </w:p>
    <w:p w:rsidR="00D63113" w:rsidRPr="0025721B" w:rsidRDefault="00D63113" w:rsidP="009F39E3">
      <w:pPr>
        <w:rPr>
          <w:rFonts w:ascii="Arial" w:hAnsi="Arial" w:cs="Arial"/>
          <w:b/>
          <w:bCs/>
          <w:color w:val="FF0000"/>
          <w:sz w:val="20"/>
          <w:szCs w:val="20"/>
        </w:rPr>
      </w:pPr>
    </w:p>
    <w:p w:rsidR="00D63113" w:rsidRPr="0025721B" w:rsidRDefault="00D63113" w:rsidP="009F39E3">
      <w:pPr>
        <w:rPr>
          <w:rFonts w:ascii="Arial" w:hAnsi="Arial" w:cs="Arial"/>
          <w:b/>
          <w:bCs/>
          <w:color w:val="FF0000"/>
          <w:sz w:val="20"/>
          <w:szCs w:val="20"/>
        </w:rPr>
      </w:pPr>
    </w:p>
    <w:p w:rsidR="00D63113" w:rsidRPr="0025721B" w:rsidRDefault="00D63113" w:rsidP="009F39E3">
      <w:pPr>
        <w:rPr>
          <w:rFonts w:ascii="Arial" w:hAnsi="Arial" w:cs="Arial"/>
          <w:b/>
          <w:bCs/>
          <w:color w:val="FF0000"/>
          <w:sz w:val="20"/>
          <w:szCs w:val="20"/>
        </w:rPr>
      </w:pPr>
    </w:p>
    <w:p w:rsidR="00714ADD" w:rsidRPr="0025721B" w:rsidRDefault="00714ADD" w:rsidP="009F39E3">
      <w:pPr>
        <w:rPr>
          <w:rFonts w:ascii="Arial" w:hAnsi="Arial" w:cs="Arial"/>
          <w:b/>
          <w:bCs/>
          <w:color w:val="FF0000"/>
          <w:sz w:val="20"/>
          <w:szCs w:val="20"/>
        </w:rPr>
      </w:pPr>
    </w:p>
    <w:p w:rsidR="00714ADD" w:rsidRPr="0025721B" w:rsidRDefault="00714ADD" w:rsidP="009F39E3">
      <w:pPr>
        <w:rPr>
          <w:rFonts w:ascii="Arial" w:hAnsi="Arial" w:cs="Arial"/>
          <w:b/>
          <w:bCs/>
          <w:color w:val="FF0000"/>
          <w:sz w:val="20"/>
          <w:szCs w:val="20"/>
        </w:rPr>
      </w:pPr>
    </w:p>
    <w:p w:rsidR="00A8575E" w:rsidRPr="0025721B" w:rsidRDefault="00A8575E" w:rsidP="009F39E3">
      <w:pPr>
        <w:rPr>
          <w:rFonts w:ascii="Arial" w:hAnsi="Arial" w:cs="Arial"/>
          <w:b/>
          <w:bCs/>
          <w:color w:val="FF0000"/>
          <w:sz w:val="20"/>
          <w:szCs w:val="20"/>
        </w:rPr>
      </w:pPr>
    </w:p>
    <w:p w:rsidR="00714ADD" w:rsidRPr="0025721B" w:rsidRDefault="00714ADD" w:rsidP="009F39E3">
      <w:pPr>
        <w:rPr>
          <w:rFonts w:ascii="Arial" w:hAnsi="Arial" w:cs="Arial"/>
          <w:b/>
          <w:bCs/>
          <w:color w:val="FF0000"/>
          <w:sz w:val="20"/>
          <w:szCs w:val="20"/>
        </w:rPr>
      </w:pPr>
    </w:p>
    <w:p w:rsidR="00714ADD" w:rsidRPr="0025721B" w:rsidRDefault="00714ADD" w:rsidP="009F39E3">
      <w:pPr>
        <w:rPr>
          <w:rFonts w:ascii="Arial" w:hAnsi="Arial" w:cs="Arial"/>
          <w:b/>
          <w:bCs/>
          <w:color w:val="FF0000"/>
          <w:sz w:val="20"/>
          <w:szCs w:val="20"/>
        </w:rPr>
      </w:pPr>
    </w:p>
    <w:p w:rsidR="00714ADD" w:rsidRPr="0025721B" w:rsidRDefault="00714ADD" w:rsidP="009F39E3">
      <w:pPr>
        <w:rPr>
          <w:rFonts w:ascii="Arial" w:hAnsi="Arial" w:cs="Arial"/>
          <w:b/>
          <w:bCs/>
          <w:color w:val="FF0000"/>
          <w:sz w:val="20"/>
          <w:szCs w:val="20"/>
        </w:rPr>
      </w:pPr>
    </w:p>
    <w:p w:rsidR="00714ADD" w:rsidRPr="0025721B" w:rsidRDefault="00714ADD" w:rsidP="009F39E3">
      <w:pPr>
        <w:rPr>
          <w:rFonts w:ascii="Arial" w:hAnsi="Arial" w:cs="Arial"/>
          <w:b/>
          <w:bCs/>
          <w:color w:val="FF0000"/>
          <w:sz w:val="20"/>
          <w:szCs w:val="20"/>
        </w:rPr>
      </w:pPr>
    </w:p>
    <w:p w:rsidR="00714ADD" w:rsidRPr="0025721B" w:rsidRDefault="00714ADD" w:rsidP="009F39E3">
      <w:pPr>
        <w:rPr>
          <w:rFonts w:ascii="Arial" w:hAnsi="Arial" w:cs="Arial"/>
          <w:b/>
          <w:bCs/>
          <w:color w:val="FF0000"/>
          <w:sz w:val="20"/>
          <w:szCs w:val="20"/>
        </w:rPr>
      </w:pPr>
    </w:p>
    <w:p w:rsidR="00714ADD" w:rsidRPr="0025721B" w:rsidRDefault="00714ADD" w:rsidP="009F39E3">
      <w:pPr>
        <w:rPr>
          <w:rFonts w:ascii="Arial" w:hAnsi="Arial" w:cs="Arial"/>
          <w:b/>
          <w:bCs/>
          <w:color w:val="FF0000"/>
          <w:sz w:val="20"/>
          <w:szCs w:val="20"/>
        </w:rPr>
      </w:pPr>
    </w:p>
    <w:p w:rsidR="00D63113" w:rsidRPr="0025721B" w:rsidRDefault="00D63113" w:rsidP="009F39E3">
      <w:pPr>
        <w:rPr>
          <w:rFonts w:ascii="Arial" w:hAnsi="Arial" w:cs="Arial"/>
          <w:b/>
          <w:bCs/>
          <w:color w:val="FF0000"/>
          <w:sz w:val="20"/>
          <w:szCs w:val="20"/>
        </w:rPr>
      </w:pPr>
    </w:p>
    <w:p w:rsidR="006E2B1E" w:rsidRPr="0025721B" w:rsidRDefault="006E2B1E" w:rsidP="009F39E3">
      <w:pPr>
        <w:rPr>
          <w:rFonts w:ascii="Arial" w:hAnsi="Arial" w:cs="Arial"/>
          <w:b/>
          <w:bCs/>
          <w:color w:val="FF0000"/>
          <w:sz w:val="20"/>
          <w:szCs w:val="20"/>
        </w:rPr>
      </w:pPr>
    </w:p>
    <w:p w:rsidR="006E2B1E" w:rsidRPr="0025721B" w:rsidRDefault="006E2B1E" w:rsidP="009F39E3">
      <w:pPr>
        <w:rPr>
          <w:rFonts w:ascii="Arial" w:hAnsi="Arial" w:cs="Arial"/>
          <w:b/>
          <w:bCs/>
          <w:color w:val="FF0000"/>
          <w:sz w:val="20"/>
          <w:szCs w:val="20"/>
        </w:rPr>
      </w:pPr>
    </w:p>
    <w:p w:rsidR="006E2B1E" w:rsidRPr="0025721B" w:rsidRDefault="006E2B1E" w:rsidP="009F39E3">
      <w:pPr>
        <w:rPr>
          <w:rFonts w:ascii="Arial" w:hAnsi="Arial" w:cs="Arial"/>
          <w:b/>
          <w:bCs/>
          <w:color w:val="FF0000"/>
          <w:sz w:val="20"/>
          <w:szCs w:val="20"/>
        </w:rPr>
      </w:pPr>
    </w:p>
    <w:p w:rsidR="006E2B1E" w:rsidRPr="0025721B" w:rsidRDefault="006E2B1E" w:rsidP="009F39E3">
      <w:pPr>
        <w:rPr>
          <w:rFonts w:ascii="Arial" w:hAnsi="Arial" w:cs="Arial"/>
          <w:b/>
          <w:bCs/>
          <w:color w:val="FF0000"/>
          <w:sz w:val="20"/>
          <w:szCs w:val="20"/>
        </w:rPr>
      </w:pPr>
    </w:p>
    <w:p w:rsidR="006E2B1E" w:rsidRPr="0025721B" w:rsidRDefault="006E2B1E" w:rsidP="009F39E3">
      <w:pPr>
        <w:rPr>
          <w:rFonts w:ascii="Arial" w:hAnsi="Arial" w:cs="Arial"/>
          <w:b/>
          <w:bCs/>
          <w:color w:val="FF0000"/>
          <w:sz w:val="20"/>
          <w:szCs w:val="20"/>
        </w:rPr>
      </w:pPr>
    </w:p>
    <w:p w:rsidR="006E2B1E" w:rsidRPr="0025721B" w:rsidRDefault="006E2B1E" w:rsidP="009F39E3">
      <w:pPr>
        <w:rPr>
          <w:rFonts w:ascii="Arial" w:hAnsi="Arial" w:cs="Arial"/>
          <w:b/>
          <w:bCs/>
          <w:color w:val="FF0000"/>
          <w:sz w:val="20"/>
          <w:szCs w:val="20"/>
        </w:rPr>
      </w:pPr>
    </w:p>
    <w:p w:rsidR="006E2B1E" w:rsidRPr="0025721B" w:rsidRDefault="006E2B1E" w:rsidP="009F39E3">
      <w:pPr>
        <w:rPr>
          <w:rFonts w:ascii="Arial" w:hAnsi="Arial" w:cs="Arial"/>
          <w:b/>
          <w:bCs/>
          <w:color w:val="FF0000"/>
          <w:sz w:val="20"/>
          <w:szCs w:val="20"/>
        </w:rPr>
      </w:pPr>
    </w:p>
    <w:p w:rsidR="006E2B1E" w:rsidRPr="0025721B" w:rsidRDefault="006E2B1E" w:rsidP="009F39E3">
      <w:pPr>
        <w:rPr>
          <w:rFonts w:ascii="Arial" w:hAnsi="Arial" w:cs="Arial"/>
          <w:b/>
          <w:bCs/>
          <w:color w:val="FF0000"/>
          <w:sz w:val="20"/>
          <w:szCs w:val="20"/>
        </w:rPr>
      </w:pPr>
    </w:p>
    <w:p w:rsidR="00F36DBB" w:rsidRDefault="005D3F0C" w:rsidP="00F36DBB">
      <w:pPr>
        <w:pStyle w:val="Caption"/>
        <w:keepNext/>
        <w:rPr>
          <w:rFonts w:ascii="Arial" w:hAnsi="Arial" w:cs="Arial"/>
        </w:rPr>
      </w:pPr>
      <w:r w:rsidRPr="0004345C">
        <w:rPr>
          <w:rFonts w:ascii="Arial" w:hAnsi="Arial" w:cs="Arial"/>
        </w:rPr>
        <w:t xml:space="preserve">Table </w:t>
      </w:r>
      <w:r w:rsidRPr="0004345C">
        <w:rPr>
          <w:rFonts w:ascii="Arial" w:hAnsi="Arial" w:cs="Arial"/>
        </w:rPr>
        <w:fldChar w:fldCharType="begin"/>
      </w:r>
      <w:r w:rsidRPr="0004345C">
        <w:rPr>
          <w:rFonts w:ascii="Arial" w:hAnsi="Arial" w:cs="Arial"/>
        </w:rPr>
        <w:instrText xml:space="preserve"> SEQ Table \* ARABIC </w:instrText>
      </w:r>
      <w:r w:rsidRPr="0004345C">
        <w:rPr>
          <w:rFonts w:ascii="Arial" w:hAnsi="Arial" w:cs="Arial"/>
        </w:rPr>
        <w:fldChar w:fldCharType="separate"/>
      </w:r>
      <w:r w:rsidRPr="0004345C">
        <w:rPr>
          <w:rFonts w:ascii="Arial" w:hAnsi="Arial" w:cs="Arial"/>
        </w:rPr>
        <w:t>3</w:t>
      </w:r>
      <w:r w:rsidRPr="0004345C">
        <w:rPr>
          <w:rFonts w:ascii="Arial" w:hAnsi="Arial" w:cs="Arial"/>
        </w:rPr>
        <w:fldChar w:fldCharType="end"/>
      </w:r>
      <w:r w:rsidRPr="0004345C">
        <w:rPr>
          <w:rFonts w:ascii="Arial" w:hAnsi="Arial" w:cs="Arial"/>
        </w:rPr>
        <w:t>:</w:t>
      </w:r>
      <w:r w:rsidRPr="0004345C">
        <w:t xml:space="preserve"> </w:t>
      </w:r>
      <w:r w:rsidR="0004345C" w:rsidRPr="0004345C">
        <w:rPr>
          <w:rFonts w:ascii="Arial" w:hAnsi="Arial" w:cs="Arial"/>
        </w:rPr>
        <w:t>Seasonally adjusted female and male non-agricultural labor market indicators (in thousands)</w:t>
      </w:r>
    </w:p>
    <w:tbl>
      <w:tblPr>
        <w:tblW w:w="10140" w:type="dxa"/>
        <w:tblCellMar>
          <w:left w:w="70" w:type="dxa"/>
          <w:right w:w="70" w:type="dxa"/>
        </w:tblCellMar>
        <w:tblLook w:val="04A0" w:firstRow="1" w:lastRow="0" w:firstColumn="1" w:lastColumn="0" w:noHBand="0" w:noVBand="1"/>
      </w:tblPr>
      <w:tblGrid>
        <w:gridCol w:w="1460"/>
        <w:gridCol w:w="1500"/>
        <w:gridCol w:w="1540"/>
        <w:gridCol w:w="1320"/>
        <w:gridCol w:w="1380"/>
        <w:gridCol w:w="1600"/>
        <w:gridCol w:w="1340"/>
      </w:tblGrid>
      <w:tr w:rsidR="00F36DBB" w:rsidRPr="00F36DBB" w:rsidTr="00F36DBB">
        <w:trPr>
          <w:trHeight w:val="735"/>
        </w:trPr>
        <w:tc>
          <w:tcPr>
            <w:tcW w:w="1460" w:type="dxa"/>
            <w:tcBorders>
              <w:top w:val="single" w:sz="8" w:space="0" w:color="auto"/>
              <w:left w:val="single" w:sz="8" w:space="0" w:color="auto"/>
              <w:bottom w:val="nil"/>
              <w:right w:val="nil"/>
            </w:tcBorders>
            <w:shd w:val="clear" w:color="auto" w:fill="auto"/>
            <w:noWrap/>
            <w:vAlign w:val="bottom"/>
            <w:hideMark/>
          </w:tcPr>
          <w:p w:rsidR="00F36DBB" w:rsidRPr="00F36DBB" w:rsidRDefault="00F36DBB" w:rsidP="00F36DBB">
            <w:pPr>
              <w:suppressAutoHyphens w:val="0"/>
              <w:rPr>
                <w:rFonts w:ascii="Arial" w:hAnsi="Arial" w:cs="Arial"/>
                <w:sz w:val="16"/>
                <w:szCs w:val="16"/>
                <w:lang w:val="tr-TR" w:eastAsia="tr-TR"/>
              </w:rPr>
            </w:pPr>
            <w:r w:rsidRPr="00F36DBB">
              <w:rPr>
                <w:rFonts w:ascii="Arial" w:hAnsi="Arial" w:cs="Arial"/>
                <w:sz w:val="16"/>
                <w:szCs w:val="16"/>
                <w:lang w:val="tr-TR" w:eastAsia="tr-TR"/>
              </w:rPr>
              <w:t> </w:t>
            </w:r>
          </w:p>
        </w:tc>
        <w:tc>
          <w:tcPr>
            <w:tcW w:w="1500" w:type="dxa"/>
            <w:tcBorders>
              <w:top w:val="single" w:sz="8" w:space="0" w:color="auto"/>
              <w:left w:val="single" w:sz="8" w:space="0" w:color="auto"/>
              <w:bottom w:val="single" w:sz="8" w:space="0" w:color="auto"/>
              <w:right w:val="nil"/>
            </w:tcBorders>
            <w:shd w:val="clear" w:color="auto" w:fill="auto"/>
            <w:vAlign w:val="bottom"/>
            <w:hideMark/>
          </w:tcPr>
          <w:p w:rsidR="00F36DBB" w:rsidRPr="00F36DBB" w:rsidRDefault="00F36DBB" w:rsidP="00F36DBB">
            <w:pPr>
              <w:suppressAutoHyphens w:val="0"/>
              <w:jc w:val="center"/>
              <w:rPr>
                <w:rFonts w:ascii="Calibri" w:hAnsi="Calibri" w:cs="Arial"/>
                <w:b/>
                <w:bCs/>
                <w:color w:val="000000"/>
                <w:sz w:val="16"/>
                <w:szCs w:val="16"/>
                <w:lang w:val="tr-TR" w:eastAsia="tr-TR"/>
              </w:rPr>
            </w:pPr>
            <w:r w:rsidRPr="00F36DBB">
              <w:rPr>
                <w:rFonts w:ascii="Calibri" w:hAnsi="Calibri" w:cs="Arial"/>
                <w:b/>
                <w:bCs/>
                <w:color w:val="000000"/>
                <w:sz w:val="16"/>
                <w:szCs w:val="16"/>
                <w:lang w:val="tr-TR" w:eastAsia="tr-TR"/>
              </w:rPr>
              <w:t>Female Labor Force</w:t>
            </w:r>
          </w:p>
        </w:tc>
        <w:tc>
          <w:tcPr>
            <w:tcW w:w="1540" w:type="dxa"/>
            <w:tcBorders>
              <w:top w:val="single" w:sz="8" w:space="0" w:color="auto"/>
              <w:left w:val="nil"/>
              <w:bottom w:val="single" w:sz="8" w:space="0" w:color="auto"/>
              <w:right w:val="nil"/>
            </w:tcBorders>
            <w:shd w:val="clear" w:color="auto" w:fill="auto"/>
            <w:vAlign w:val="bottom"/>
            <w:hideMark/>
          </w:tcPr>
          <w:p w:rsidR="00F36DBB" w:rsidRPr="00F36DBB" w:rsidRDefault="00F36DBB" w:rsidP="00F36DBB">
            <w:pPr>
              <w:suppressAutoHyphens w:val="0"/>
              <w:jc w:val="center"/>
              <w:rPr>
                <w:rFonts w:ascii="Calibri" w:hAnsi="Calibri" w:cs="Arial"/>
                <w:b/>
                <w:bCs/>
                <w:color w:val="000000"/>
                <w:sz w:val="16"/>
                <w:szCs w:val="16"/>
                <w:lang w:val="tr-TR" w:eastAsia="tr-TR"/>
              </w:rPr>
            </w:pPr>
            <w:r w:rsidRPr="00F36DBB">
              <w:rPr>
                <w:rFonts w:ascii="Calibri" w:hAnsi="Calibri" w:cs="Arial"/>
                <w:b/>
                <w:bCs/>
                <w:color w:val="000000"/>
                <w:sz w:val="16"/>
                <w:szCs w:val="16"/>
                <w:lang w:val="tr-TR" w:eastAsia="tr-TR"/>
              </w:rPr>
              <w:t>Female Employment</w:t>
            </w:r>
          </w:p>
        </w:tc>
        <w:tc>
          <w:tcPr>
            <w:tcW w:w="1320" w:type="dxa"/>
            <w:tcBorders>
              <w:top w:val="single" w:sz="8" w:space="0" w:color="auto"/>
              <w:left w:val="nil"/>
              <w:bottom w:val="single" w:sz="8" w:space="0" w:color="auto"/>
              <w:right w:val="single" w:sz="8" w:space="0" w:color="auto"/>
            </w:tcBorders>
            <w:shd w:val="clear" w:color="auto" w:fill="auto"/>
            <w:vAlign w:val="bottom"/>
            <w:hideMark/>
          </w:tcPr>
          <w:p w:rsidR="00F36DBB" w:rsidRPr="00F36DBB" w:rsidRDefault="00F36DBB" w:rsidP="00F36DBB">
            <w:pPr>
              <w:suppressAutoHyphens w:val="0"/>
              <w:jc w:val="center"/>
              <w:rPr>
                <w:rFonts w:ascii="Calibri" w:hAnsi="Calibri" w:cs="Arial"/>
                <w:b/>
                <w:bCs/>
                <w:color w:val="000000"/>
                <w:sz w:val="16"/>
                <w:szCs w:val="16"/>
                <w:lang w:val="tr-TR" w:eastAsia="tr-TR"/>
              </w:rPr>
            </w:pPr>
            <w:r w:rsidRPr="00F36DBB">
              <w:rPr>
                <w:rFonts w:ascii="Calibri" w:hAnsi="Calibri" w:cs="Arial"/>
                <w:b/>
                <w:bCs/>
                <w:color w:val="000000"/>
                <w:sz w:val="16"/>
                <w:szCs w:val="16"/>
                <w:lang w:val="tr-TR" w:eastAsia="tr-TR"/>
              </w:rPr>
              <w:t>Female Unemployed</w:t>
            </w:r>
          </w:p>
        </w:tc>
        <w:tc>
          <w:tcPr>
            <w:tcW w:w="1380" w:type="dxa"/>
            <w:tcBorders>
              <w:top w:val="single" w:sz="8" w:space="0" w:color="auto"/>
              <w:left w:val="nil"/>
              <w:bottom w:val="single" w:sz="8" w:space="0" w:color="auto"/>
              <w:right w:val="nil"/>
            </w:tcBorders>
            <w:shd w:val="clear" w:color="auto" w:fill="auto"/>
            <w:vAlign w:val="bottom"/>
            <w:hideMark/>
          </w:tcPr>
          <w:p w:rsidR="00F36DBB" w:rsidRPr="00F36DBB" w:rsidRDefault="00F36DBB" w:rsidP="00F36DBB">
            <w:pPr>
              <w:suppressAutoHyphens w:val="0"/>
              <w:jc w:val="center"/>
              <w:rPr>
                <w:rFonts w:ascii="Calibri" w:hAnsi="Calibri" w:cs="Arial"/>
                <w:b/>
                <w:bCs/>
                <w:color w:val="000000"/>
                <w:sz w:val="16"/>
                <w:szCs w:val="16"/>
                <w:lang w:val="tr-TR" w:eastAsia="tr-TR"/>
              </w:rPr>
            </w:pPr>
            <w:r w:rsidRPr="00F36DBB">
              <w:rPr>
                <w:rFonts w:ascii="Calibri" w:hAnsi="Calibri" w:cs="Arial"/>
                <w:b/>
                <w:bCs/>
                <w:color w:val="000000"/>
                <w:sz w:val="16"/>
                <w:szCs w:val="16"/>
                <w:lang w:val="tr-TR" w:eastAsia="tr-TR"/>
              </w:rPr>
              <w:t>Male Labor Force</w:t>
            </w:r>
          </w:p>
        </w:tc>
        <w:tc>
          <w:tcPr>
            <w:tcW w:w="1600" w:type="dxa"/>
            <w:tcBorders>
              <w:top w:val="single" w:sz="8" w:space="0" w:color="auto"/>
              <w:left w:val="nil"/>
              <w:bottom w:val="single" w:sz="8" w:space="0" w:color="auto"/>
              <w:right w:val="nil"/>
            </w:tcBorders>
            <w:shd w:val="clear" w:color="auto" w:fill="auto"/>
            <w:vAlign w:val="bottom"/>
            <w:hideMark/>
          </w:tcPr>
          <w:p w:rsidR="00F36DBB" w:rsidRPr="00F36DBB" w:rsidRDefault="00F36DBB" w:rsidP="00F36DBB">
            <w:pPr>
              <w:suppressAutoHyphens w:val="0"/>
              <w:jc w:val="center"/>
              <w:rPr>
                <w:rFonts w:ascii="Calibri" w:hAnsi="Calibri" w:cs="Arial"/>
                <w:b/>
                <w:bCs/>
                <w:color w:val="000000"/>
                <w:sz w:val="16"/>
                <w:szCs w:val="16"/>
                <w:lang w:val="tr-TR" w:eastAsia="tr-TR"/>
              </w:rPr>
            </w:pPr>
            <w:r w:rsidRPr="00F36DBB">
              <w:rPr>
                <w:rFonts w:ascii="Calibri" w:hAnsi="Calibri" w:cs="Arial"/>
                <w:b/>
                <w:bCs/>
                <w:color w:val="000000"/>
                <w:sz w:val="16"/>
                <w:szCs w:val="16"/>
                <w:lang w:val="tr-TR" w:eastAsia="tr-TR"/>
              </w:rPr>
              <w:t>Male Employment</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F36DBB" w:rsidRPr="00F36DBB" w:rsidRDefault="00F36DBB" w:rsidP="00F36DBB">
            <w:pPr>
              <w:suppressAutoHyphens w:val="0"/>
              <w:jc w:val="center"/>
              <w:rPr>
                <w:rFonts w:ascii="Calibri" w:hAnsi="Calibri" w:cs="Arial"/>
                <w:b/>
                <w:bCs/>
                <w:color w:val="000000"/>
                <w:sz w:val="16"/>
                <w:szCs w:val="16"/>
                <w:lang w:val="tr-TR" w:eastAsia="tr-TR"/>
              </w:rPr>
            </w:pPr>
            <w:r w:rsidRPr="00F36DBB">
              <w:rPr>
                <w:rFonts w:ascii="Calibri" w:hAnsi="Calibri" w:cs="Arial"/>
                <w:b/>
                <w:bCs/>
                <w:color w:val="000000"/>
                <w:sz w:val="16"/>
                <w:szCs w:val="16"/>
                <w:lang w:val="tr-TR" w:eastAsia="tr-TR"/>
              </w:rPr>
              <w:t>Male Unemployed</w:t>
            </w:r>
          </w:p>
        </w:tc>
      </w:tr>
      <w:tr w:rsidR="00F36DBB" w:rsidRPr="00F36DBB" w:rsidTr="00F36DBB">
        <w:trPr>
          <w:trHeight w:val="255"/>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April-14</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6116</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5095</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1021</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16967</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15203</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1763</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May-14</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6123</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5079</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1044</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17014</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15248</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1766</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June-14</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6153</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5117</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1035</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17077</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15284</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1793</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July-14</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6200</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5170</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1030</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17106</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15303</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1803</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August-14</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6299</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5267</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1033</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17185</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15355</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1831</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September-14</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6337</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5261</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1076</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17189</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15381</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1809</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October-14</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6385</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5323</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1062</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17231</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15429</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1802</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November-14</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6399</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5338</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1061</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17237</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15451</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1786</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December-14</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6420</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5359</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1061</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17331</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15490</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1840</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January-15</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6507</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5384</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1123</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17322</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15520</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1801</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February-15</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6561</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5389</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1172</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17427</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15561</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1866</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March-15</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6519</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5321</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1199</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17246</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15363</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1883</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April-15</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6540</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5353</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1187</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17304</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15454</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1849</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May-15</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6628</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5436</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1193</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17336</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15525</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1811</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June-15</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6656</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5495</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1160</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17436</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15601</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1835</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July-15</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6742</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5599</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1143</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17489</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15675</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1814</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August-15</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6713</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5592</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1121</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17512</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15701</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1812</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September-15</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6758</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5656</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1103</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17589</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15748</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1841</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October-15</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6778</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5664</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1113</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17613</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15766</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1847</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November-15</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6874</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5750</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1123</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17626</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15809</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1817</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December-15</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6974</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5814</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1161</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17657</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15842</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1814</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January-16</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7019</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5850</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1169</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17678</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15868</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1809</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February-16</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7050</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5864</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1185</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17719</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15889</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1830</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March-16</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7055</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5893</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1163</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17826</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15902</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1923</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April-16</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7142</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5938</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1204</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17860</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15926</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1934</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May-16</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7178</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5977</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1202</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17916</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15959</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1957</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June-16</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7259</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5978</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1281</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17879</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15967</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1911</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July-16</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7262</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5921</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1342</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17922</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15982</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1940</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August-16</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7326</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5927</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1399</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17945</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16005</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1940</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September-16</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7376</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5962</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1414</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17989</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16025</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1963</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October-16</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7439</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5982</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1456</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18046</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16046</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2000</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November-16</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7457</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5971</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1487</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18151</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16066</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2085</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December-16</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7463</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5974</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1489</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18149</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16074</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2074</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lastRenderedPageBreak/>
              <w:t>January-17</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7458</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5998</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1460</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18259</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16097</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2162</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February-17</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7515</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6057</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1458</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18259</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16112</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2147</w:t>
            </w:r>
          </w:p>
        </w:tc>
      </w:tr>
      <w:tr w:rsidR="00F36DBB" w:rsidRPr="00F36DBB" w:rsidTr="00F36DB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March-17</w:t>
            </w:r>
          </w:p>
        </w:tc>
        <w:tc>
          <w:tcPr>
            <w:tcW w:w="15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7611</w:t>
            </w:r>
          </w:p>
        </w:tc>
        <w:tc>
          <w:tcPr>
            <w:tcW w:w="154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6140</w:t>
            </w:r>
          </w:p>
        </w:tc>
        <w:tc>
          <w:tcPr>
            <w:tcW w:w="132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1471</w:t>
            </w:r>
          </w:p>
        </w:tc>
        <w:tc>
          <w:tcPr>
            <w:tcW w:w="138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18382</w:t>
            </w:r>
          </w:p>
        </w:tc>
        <w:tc>
          <w:tcPr>
            <w:tcW w:w="1600" w:type="dxa"/>
            <w:tcBorders>
              <w:top w:val="nil"/>
              <w:left w:val="nil"/>
              <w:bottom w:val="nil"/>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16140</w:t>
            </w:r>
          </w:p>
        </w:tc>
        <w:tc>
          <w:tcPr>
            <w:tcW w:w="1340" w:type="dxa"/>
            <w:tcBorders>
              <w:top w:val="nil"/>
              <w:left w:val="nil"/>
              <w:bottom w:val="nil"/>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2243</w:t>
            </w:r>
          </w:p>
        </w:tc>
      </w:tr>
      <w:tr w:rsidR="00F36DBB" w:rsidRPr="00F36DBB" w:rsidTr="00F36DBB">
        <w:trPr>
          <w:trHeight w:val="270"/>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F36DBB" w:rsidRPr="00F36DBB" w:rsidRDefault="00F36DBB" w:rsidP="00F36DBB">
            <w:pPr>
              <w:suppressAutoHyphens w:val="0"/>
              <w:rPr>
                <w:rFonts w:ascii="Arial" w:hAnsi="Arial" w:cs="Arial"/>
                <w:b/>
                <w:bCs/>
                <w:sz w:val="16"/>
                <w:szCs w:val="16"/>
                <w:lang w:val="tr-TR" w:eastAsia="tr-TR"/>
              </w:rPr>
            </w:pPr>
            <w:r w:rsidRPr="00F36DBB">
              <w:rPr>
                <w:rFonts w:ascii="Arial" w:hAnsi="Arial" w:cs="Arial"/>
                <w:b/>
                <w:bCs/>
                <w:sz w:val="16"/>
                <w:szCs w:val="16"/>
                <w:lang w:val="tr-TR" w:eastAsia="tr-TR"/>
              </w:rPr>
              <w:t>April-17</w:t>
            </w:r>
          </w:p>
        </w:tc>
        <w:tc>
          <w:tcPr>
            <w:tcW w:w="1500" w:type="dxa"/>
            <w:tcBorders>
              <w:top w:val="nil"/>
              <w:left w:val="nil"/>
              <w:bottom w:val="single" w:sz="8" w:space="0" w:color="auto"/>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7599</w:t>
            </w:r>
          </w:p>
        </w:tc>
        <w:tc>
          <w:tcPr>
            <w:tcW w:w="1540" w:type="dxa"/>
            <w:tcBorders>
              <w:top w:val="nil"/>
              <w:left w:val="nil"/>
              <w:bottom w:val="single" w:sz="8" w:space="0" w:color="auto"/>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6138</w:t>
            </w:r>
          </w:p>
        </w:tc>
        <w:tc>
          <w:tcPr>
            <w:tcW w:w="1320" w:type="dxa"/>
            <w:tcBorders>
              <w:top w:val="nil"/>
              <w:left w:val="nil"/>
              <w:bottom w:val="single" w:sz="8" w:space="0" w:color="auto"/>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1461</w:t>
            </w:r>
          </w:p>
        </w:tc>
        <w:tc>
          <w:tcPr>
            <w:tcW w:w="1380" w:type="dxa"/>
            <w:tcBorders>
              <w:top w:val="nil"/>
              <w:left w:val="nil"/>
              <w:bottom w:val="single" w:sz="8" w:space="0" w:color="auto"/>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18415</w:t>
            </w:r>
          </w:p>
        </w:tc>
        <w:tc>
          <w:tcPr>
            <w:tcW w:w="1600" w:type="dxa"/>
            <w:tcBorders>
              <w:top w:val="nil"/>
              <w:left w:val="nil"/>
              <w:bottom w:val="single" w:sz="8" w:space="0" w:color="auto"/>
              <w:right w:val="nil"/>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16165</w:t>
            </w:r>
          </w:p>
        </w:tc>
        <w:tc>
          <w:tcPr>
            <w:tcW w:w="1340" w:type="dxa"/>
            <w:tcBorders>
              <w:top w:val="nil"/>
              <w:left w:val="nil"/>
              <w:bottom w:val="single" w:sz="8" w:space="0" w:color="auto"/>
              <w:right w:val="single" w:sz="8" w:space="0" w:color="auto"/>
            </w:tcBorders>
            <w:shd w:val="clear" w:color="auto" w:fill="auto"/>
            <w:noWrap/>
            <w:vAlign w:val="bottom"/>
            <w:hideMark/>
          </w:tcPr>
          <w:p w:rsidR="00F36DBB" w:rsidRPr="00F36DBB" w:rsidRDefault="00F36DBB" w:rsidP="00F36DBB">
            <w:pPr>
              <w:suppressAutoHyphens w:val="0"/>
              <w:jc w:val="center"/>
              <w:rPr>
                <w:rFonts w:ascii="Arial" w:hAnsi="Arial" w:cs="Arial"/>
                <w:sz w:val="16"/>
                <w:szCs w:val="16"/>
                <w:lang w:val="tr-TR" w:eastAsia="tr-TR"/>
              </w:rPr>
            </w:pPr>
            <w:r w:rsidRPr="00F36DBB">
              <w:rPr>
                <w:rFonts w:ascii="Arial" w:hAnsi="Arial" w:cs="Arial"/>
                <w:sz w:val="16"/>
                <w:szCs w:val="16"/>
                <w:lang w:val="tr-TR" w:eastAsia="tr-TR"/>
              </w:rPr>
              <w:t>2250</w:t>
            </w:r>
          </w:p>
        </w:tc>
      </w:tr>
    </w:tbl>
    <w:p w:rsidR="0004345C" w:rsidRPr="0019615A" w:rsidRDefault="0004345C" w:rsidP="00F36DBB">
      <w:pPr>
        <w:pStyle w:val="Caption"/>
        <w:keepNext/>
        <w:rPr>
          <w:rFonts w:ascii="Arial" w:hAnsi="Arial" w:cs="Arial"/>
          <w:b w:val="0"/>
          <w:sz w:val="18"/>
          <w:szCs w:val="18"/>
        </w:rPr>
      </w:pPr>
      <w:r w:rsidRPr="0019615A">
        <w:rPr>
          <w:rFonts w:ascii="Arial" w:hAnsi="Arial" w:cs="Arial"/>
          <w:b w:val="0"/>
          <w:sz w:val="18"/>
          <w:szCs w:val="18"/>
        </w:rPr>
        <w:t xml:space="preserve">Source: Turkstat, </w:t>
      </w:r>
      <w:r w:rsidRPr="0019615A">
        <w:rPr>
          <w:rFonts w:ascii="Arial" w:hAnsi="Arial" w:cs="Arial"/>
          <w:b w:val="0"/>
          <w:bCs w:val="0"/>
          <w:sz w:val="18"/>
          <w:szCs w:val="18"/>
        </w:rPr>
        <w:t>Betam</w:t>
      </w:r>
    </w:p>
    <w:p w:rsidR="005D3F0C" w:rsidRPr="005D3F0C" w:rsidRDefault="005D3F0C" w:rsidP="005D3F0C"/>
    <w:sectPr w:rsidR="005D3F0C" w:rsidRPr="005D3F0C"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6F5" w:rsidRDefault="001C26F5">
      <w:r>
        <w:separator/>
      </w:r>
    </w:p>
  </w:endnote>
  <w:endnote w:type="continuationSeparator" w:id="0">
    <w:p w:rsidR="001C26F5" w:rsidRDefault="001C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4C" w:rsidRPr="00282515" w:rsidRDefault="00974D4C"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7931CE">
      <w:rPr>
        <w:rStyle w:val="PageNumber"/>
        <w:rFonts w:ascii="Arial" w:hAnsi="Arial" w:cs="Arial"/>
        <w:noProof/>
      </w:rPr>
      <w:t>1</w:t>
    </w:r>
    <w:r w:rsidRPr="00282515">
      <w:rPr>
        <w:rStyle w:val="PageNumber"/>
        <w:rFonts w:ascii="Arial" w:hAnsi="Arial" w:cs="Arial"/>
      </w:rPr>
      <w:fldChar w:fldCharType="end"/>
    </w:r>
  </w:p>
  <w:p w:rsidR="00974D4C" w:rsidRDefault="00974D4C"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4C" w:rsidRDefault="00974D4C"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31CE">
      <w:rPr>
        <w:rStyle w:val="PageNumber"/>
        <w:noProof/>
      </w:rPr>
      <w:t>4</w:t>
    </w:r>
    <w:r>
      <w:rPr>
        <w:rStyle w:val="PageNumber"/>
      </w:rPr>
      <w:fldChar w:fldCharType="end"/>
    </w:r>
  </w:p>
  <w:p w:rsidR="00974D4C" w:rsidRDefault="00974D4C"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6F5" w:rsidRDefault="001C26F5">
      <w:r>
        <w:separator/>
      </w:r>
    </w:p>
  </w:footnote>
  <w:footnote w:type="continuationSeparator" w:id="0">
    <w:p w:rsidR="001C26F5" w:rsidRDefault="001C26F5">
      <w:r>
        <w:continuationSeparator/>
      </w:r>
    </w:p>
  </w:footnote>
  <w:footnote w:id="1">
    <w:p w:rsidR="00974D4C" w:rsidRDefault="00974D4C"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xml:space="preserve">, </w:t>
      </w:r>
      <w:hyperlink r:id="rId1" w:history="1">
        <w:r w:rsidRPr="00A8575E">
          <w:rPr>
            <w:rStyle w:val="Hyperlink"/>
            <w:rFonts w:ascii="Arial" w:hAnsi="Arial" w:cs="Arial"/>
            <w:sz w:val="16"/>
            <w:szCs w:val="16"/>
          </w:rPr>
          <w:t>seyfettin.gursel@eas.bau.edu.tr</w:t>
        </w:r>
      </w:hyperlink>
    </w:p>
  </w:footnote>
  <w:footnote w:id="2">
    <w:p w:rsidR="00974D4C" w:rsidRDefault="00974D4C"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Asst. Prof. Gökçe Uysal, Betam, Deputy Director, </w:t>
      </w:r>
      <w:hyperlink r:id="rId2" w:history="1">
        <w:r w:rsidRPr="00A8575E">
          <w:rPr>
            <w:rStyle w:val="Hyperlink"/>
            <w:rFonts w:ascii="Arial" w:hAnsi="Arial" w:cs="Arial"/>
            <w:sz w:val="16"/>
            <w:szCs w:val="16"/>
          </w:rPr>
          <w:t>gokce.uysal@eas.bau.edu.tr</w:t>
        </w:r>
      </w:hyperlink>
    </w:p>
  </w:footnote>
  <w:footnote w:id="3">
    <w:p w:rsidR="00974D4C" w:rsidRDefault="00974D4C"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Mine Durmaz, Betam, Research Assistant, </w:t>
      </w:r>
      <w:hyperlink r:id="rId3" w:history="1">
        <w:r w:rsidRPr="008D2554">
          <w:rPr>
            <w:rStyle w:val="Hyperlink"/>
            <w:rFonts w:ascii="Arial" w:hAnsi="Arial" w:cs="Arial"/>
            <w:sz w:val="16"/>
            <w:szCs w:val="16"/>
          </w:rPr>
          <w:t>mine.durmaz@eas.bau.edu.tr</w:t>
        </w:r>
      </w:hyperlink>
      <w:r>
        <w:rPr>
          <w:rFonts w:ascii="Arial" w:hAnsi="Arial" w:cs="Arial"/>
          <w:sz w:val="16"/>
          <w:szCs w:val="16"/>
        </w:rPr>
        <w:t xml:space="preserve"> </w:t>
      </w:r>
    </w:p>
    <w:p w:rsidR="00974D4C" w:rsidRDefault="00974D4C" w:rsidP="00627BF7">
      <w:pPr>
        <w:pStyle w:val="FootnoteText"/>
        <w:rPr>
          <w:rFonts w:ascii="Arial" w:hAnsi="Arial" w:cs="Arial"/>
          <w:sz w:val="16"/>
          <w:szCs w:val="16"/>
        </w:rPr>
      </w:pPr>
    </w:p>
    <w:p w:rsidR="00974D4C" w:rsidRDefault="00974D4C" w:rsidP="00627BF7">
      <w:pPr>
        <w:pStyle w:val="FootnoteText"/>
        <w:rPr>
          <w:rFonts w:ascii="Arial" w:hAnsi="Arial" w:cs="Arial"/>
          <w:sz w:val="16"/>
          <w:szCs w:val="16"/>
        </w:rPr>
      </w:pPr>
    </w:p>
    <w:p w:rsidR="00974D4C" w:rsidRDefault="00974D4C" w:rsidP="00627BF7">
      <w:pPr>
        <w:pStyle w:val="FootnoteText"/>
      </w:pPr>
    </w:p>
    <w:p w:rsidR="00974D4C" w:rsidRDefault="00974D4C" w:rsidP="00627BF7">
      <w:pPr>
        <w:pStyle w:val="FootnoteText"/>
      </w:pPr>
    </w:p>
  </w:footnote>
  <w:footnote w:id="4">
    <w:p w:rsidR="00974D4C" w:rsidRPr="00AE5043" w:rsidRDefault="00974D4C" w:rsidP="0043040A">
      <w:pPr>
        <w:pStyle w:val="FootnoteText"/>
        <w:jc w:val="both"/>
        <w:rPr>
          <w:rFonts w:ascii="Arial" w:hAnsi="Arial" w:cs="Arial"/>
          <w:sz w:val="16"/>
          <w:szCs w:val="16"/>
        </w:rPr>
      </w:pPr>
      <w:r w:rsidRPr="00AE5043">
        <w:rPr>
          <w:rStyle w:val="FootnoteReference"/>
          <w:rFonts w:ascii="Arial" w:hAnsi="Arial" w:cs="Arial"/>
          <w:sz w:val="18"/>
          <w:szCs w:val="18"/>
        </w:rPr>
        <w:footnoteRef/>
      </w:r>
      <w:r w:rsidRPr="00AE5043">
        <w:rPr>
          <w:rFonts w:ascii="Arial" w:hAnsi="Arial" w:cs="Arial"/>
          <w:sz w:val="18"/>
          <w:szCs w:val="18"/>
        </w:rPr>
        <w:t xml:space="preserve"> </w:t>
      </w:r>
      <w:r w:rsidRPr="00AE5043">
        <w:rPr>
          <w:rFonts w:ascii="Arial" w:hAnsi="Arial" w:cs="Arial"/>
          <w:sz w:val="16"/>
          <w:szCs w:val="16"/>
        </w:rPr>
        <w:t xml:space="preserve">For detailed information on Betam's forecasting model, please see Betam Research Brief 168 titled as "Kariyer.net </w:t>
      </w:r>
      <w:r>
        <w:rPr>
          <w:rFonts w:ascii="Arial" w:hAnsi="Arial" w:cs="Arial"/>
          <w:sz w:val="16"/>
          <w:szCs w:val="16"/>
        </w:rPr>
        <w:t xml:space="preserve"> </w:t>
      </w:r>
      <w:r w:rsidRPr="00AE5043">
        <w:rPr>
          <w:rFonts w:ascii="Arial" w:hAnsi="Arial" w:cs="Arial"/>
          <w:sz w:val="16"/>
          <w:szCs w:val="16"/>
        </w:rPr>
        <w:t xml:space="preserve">Verisiyle Kısa Vadeli Tarım Dışı İşsizlik Tahmini"  </w:t>
      </w:r>
    </w:p>
    <w:p w:rsidR="00974D4C" w:rsidRPr="00AE5043" w:rsidRDefault="001C26F5" w:rsidP="0043040A">
      <w:pPr>
        <w:pStyle w:val="FootnoteText"/>
        <w:jc w:val="both"/>
        <w:rPr>
          <w:rFonts w:ascii="Arial" w:hAnsi="Arial" w:cs="Arial"/>
          <w:sz w:val="18"/>
          <w:szCs w:val="18"/>
        </w:rPr>
      </w:pPr>
      <w:hyperlink r:id="rId4" w:history="1">
        <w:r w:rsidR="00974D4C" w:rsidRPr="00AE5043">
          <w:rPr>
            <w:rStyle w:val="Hyperlink"/>
            <w:rFonts w:ascii="Arial" w:hAnsi="Arial" w:cs="Arial"/>
            <w:sz w:val="16"/>
            <w:szCs w:val="16"/>
          </w:rPr>
          <w:t>http://betam.bahcesehir.edu.tr/tr/2014/06/kariyer-net-verisiyle-kisa-vadeli-tarim-disi-issizlik-tahmini/</w:t>
        </w:r>
      </w:hyperlink>
      <w:r w:rsidR="00974D4C" w:rsidRPr="00AE5043">
        <w:rPr>
          <w:rFonts w:ascii="Arial" w:hAnsi="Arial" w:cs="Arial"/>
          <w:sz w:val="18"/>
          <w:szCs w:val="18"/>
        </w:rPr>
        <w:t xml:space="preserve"> </w:t>
      </w:r>
    </w:p>
  </w:footnote>
  <w:footnote w:id="5">
    <w:p w:rsidR="00974D4C" w:rsidRPr="00AE5043" w:rsidRDefault="00974D4C" w:rsidP="0043040A">
      <w:pPr>
        <w:jc w:val="both"/>
        <w:rPr>
          <w:rFonts w:ascii="Arial" w:hAnsi="Arial" w:cs="Arial"/>
          <w:sz w:val="18"/>
          <w:szCs w:val="18"/>
        </w:rPr>
      </w:pPr>
      <w:r w:rsidRPr="00AE5043">
        <w:rPr>
          <w:rStyle w:val="FootnoteReference"/>
          <w:rFonts w:ascii="Arial" w:hAnsi="Arial" w:cs="Arial"/>
          <w:sz w:val="18"/>
          <w:szCs w:val="18"/>
        </w:rPr>
        <w:footnoteRef/>
      </w:r>
      <w:r w:rsidRPr="00AE5043">
        <w:rPr>
          <w:rFonts w:ascii="Arial" w:hAnsi="Arial" w:cs="Arial"/>
          <w:sz w:val="18"/>
          <w:szCs w:val="18"/>
        </w:rPr>
        <w:t xml:space="preserve"> </w:t>
      </w:r>
      <w:r w:rsidRPr="00AE5043">
        <w:rPr>
          <w:rFonts w:ascii="Arial" w:hAnsi="Arial" w:cs="Arial"/>
          <w:sz w:val="16"/>
          <w:szCs w:val="16"/>
        </w:rPr>
        <w:t>Betam has been calculating application per vacancy using series released by Kariyer.net for a while. Seasonal and calendar a</w:t>
      </w:r>
      <w:r>
        <w:rPr>
          <w:rFonts w:ascii="Arial" w:hAnsi="Arial" w:cs="Arial"/>
          <w:sz w:val="16"/>
          <w:szCs w:val="16"/>
        </w:rPr>
        <w:t xml:space="preserve">djustment procedure is applied </w:t>
      </w:r>
      <w:r w:rsidRPr="00AE5043">
        <w:rPr>
          <w:rFonts w:ascii="Arial" w:hAnsi="Arial" w:cs="Arial"/>
          <w:sz w:val="16"/>
          <w:szCs w:val="16"/>
        </w:rPr>
        <w:t>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6">
    <w:p w:rsidR="00974D4C" w:rsidRPr="00220DA1" w:rsidRDefault="00974D4C" w:rsidP="00AA1CFD">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AD7862">
        <w:rPr>
          <w:rFonts w:ascii="Arial" w:hAnsi="Arial" w:cs="Arial"/>
          <w:sz w:val="16"/>
          <w:szCs w:val="16"/>
        </w:rPr>
        <w:t xml:space="preserve">Employment in each sector is seasonally adjusted separately. Hence the sum of these series may differ from the seasonally adjusted series of total employment. The difference stems from the non-linearity of the seasonal adjustment process.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2D47"/>
    <w:rsid w:val="0000377B"/>
    <w:rsid w:val="00003A5F"/>
    <w:rsid w:val="00004400"/>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941"/>
    <w:rsid w:val="00023194"/>
    <w:rsid w:val="000231A1"/>
    <w:rsid w:val="0002468C"/>
    <w:rsid w:val="00024BE6"/>
    <w:rsid w:val="00025CD9"/>
    <w:rsid w:val="0002675E"/>
    <w:rsid w:val="00026BA4"/>
    <w:rsid w:val="00027270"/>
    <w:rsid w:val="0003041D"/>
    <w:rsid w:val="0003055D"/>
    <w:rsid w:val="000308E7"/>
    <w:rsid w:val="000312D6"/>
    <w:rsid w:val="000313AF"/>
    <w:rsid w:val="0003174C"/>
    <w:rsid w:val="00031966"/>
    <w:rsid w:val="000321A3"/>
    <w:rsid w:val="00032FCF"/>
    <w:rsid w:val="000331FA"/>
    <w:rsid w:val="00035672"/>
    <w:rsid w:val="000358D4"/>
    <w:rsid w:val="00035C79"/>
    <w:rsid w:val="00035FEC"/>
    <w:rsid w:val="000372FD"/>
    <w:rsid w:val="00037D6F"/>
    <w:rsid w:val="000406C2"/>
    <w:rsid w:val="00041046"/>
    <w:rsid w:val="00041D1A"/>
    <w:rsid w:val="0004249C"/>
    <w:rsid w:val="00042517"/>
    <w:rsid w:val="00042E7D"/>
    <w:rsid w:val="0004345C"/>
    <w:rsid w:val="0004451D"/>
    <w:rsid w:val="000456BD"/>
    <w:rsid w:val="00045BEF"/>
    <w:rsid w:val="000465C0"/>
    <w:rsid w:val="00046702"/>
    <w:rsid w:val="00046B4E"/>
    <w:rsid w:val="00047106"/>
    <w:rsid w:val="000473E8"/>
    <w:rsid w:val="000475FD"/>
    <w:rsid w:val="00047A09"/>
    <w:rsid w:val="00050813"/>
    <w:rsid w:val="00050F2A"/>
    <w:rsid w:val="00052CD0"/>
    <w:rsid w:val="0005303D"/>
    <w:rsid w:val="000534E3"/>
    <w:rsid w:val="000538B9"/>
    <w:rsid w:val="00053F64"/>
    <w:rsid w:val="00054666"/>
    <w:rsid w:val="000548F2"/>
    <w:rsid w:val="00055DF3"/>
    <w:rsid w:val="000562EC"/>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5D3"/>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64A"/>
    <w:rsid w:val="000938A1"/>
    <w:rsid w:val="000938A8"/>
    <w:rsid w:val="00094453"/>
    <w:rsid w:val="00095783"/>
    <w:rsid w:val="00095C64"/>
    <w:rsid w:val="00096392"/>
    <w:rsid w:val="000964F4"/>
    <w:rsid w:val="00096A9B"/>
    <w:rsid w:val="00096D98"/>
    <w:rsid w:val="000A0E0F"/>
    <w:rsid w:val="000A120B"/>
    <w:rsid w:val="000A2265"/>
    <w:rsid w:val="000A2976"/>
    <w:rsid w:val="000A2B08"/>
    <w:rsid w:val="000A2F8F"/>
    <w:rsid w:val="000A34A0"/>
    <w:rsid w:val="000A3A30"/>
    <w:rsid w:val="000A3DF0"/>
    <w:rsid w:val="000A66BE"/>
    <w:rsid w:val="000B025F"/>
    <w:rsid w:val="000B0C03"/>
    <w:rsid w:val="000B0DB4"/>
    <w:rsid w:val="000B1E69"/>
    <w:rsid w:val="000B2638"/>
    <w:rsid w:val="000B2860"/>
    <w:rsid w:val="000B2E1D"/>
    <w:rsid w:val="000B380D"/>
    <w:rsid w:val="000B408A"/>
    <w:rsid w:val="000B4230"/>
    <w:rsid w:val="000B45CA"/>
    <w:rsid w:val="000B479F"/>
    <w:rsid w:val="000B5594"/>
    <w:rsid w:val="000B6451"/>
    <w:rsid w:val="000B6F1B"/>
    <w:rsid w:val="000B786F"/>
    <w:rsid w:val="000B7B24"/>
    <w:rsid w:val="000B7CEC"/>
    <w:rsid w:val="000B7D96"/>
    <w:rsid w:val="000B7FBA"/>
    <w:rsid w:val="000C05D7"/>
    <w:rsid w:val="000C0777"/>
    <w:rsid w:val="000C0D3E"/>
    <w:rsid w:val="000C0FB8"/>
    <w:rsid w:val="000C12D8"/>
    <w:rsid w:val="000C1FC1"/>
    <w:rsid w:val="000C2DCE"/>
    <w:rsid w:val="000C374E"/>
    <w:rsid w:val="000C3D8D"/>
    <w:rsid w:val="000C4C76"/>
    <w:rsid w:val="000C50B7"/>
    <w:rsid w:val="000C560C"/>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6BF"/>
    <w:rsid w:val="000D6E93"/>
    <w:rsid w:val="000D7897"/>
    <w:rsid w:val="000E1008"/>
    <w:rsid w:val="000E1183"/>
    <w:rsid w:val="000E163E"/>
    <w:rsid w:val="000E1CE8"/>
    <w:rsid w:val="000E261E"/>
    <w:rsid w:val="000E28AC"/>
    <w:rsid w:val="000E2F19"/>
    <w:rsid w:val="000E2FF0"/>
    <w:rsid w:val="000E3006"/>
    <w:rsid w:val="000E328F"/>
    <w:rsid w:val="000E3933"/>
    <w:rsid w:val="000E3E1E"/>
    <w:rsid w:val="000E46F4"/>
    <w:rsid w:val="000E50DE"/>
    <w:rsid w:val="000E5A06"/>
    <w:rsid w:val="000E5CF3"/>
    <w:rsid w:val="000E6183"/>
    <w:rsid w:val="000E619E"/>
    <w:rsid w:val="000E6ADB"/>
    <w:rsid w:val="000E6FE0"/>
    <w:rsid w:val="000E6FF5"/>
    <w:rsid w:val="000E764D"/>
    <w:rsid w:val="000E7B4F"/>
    <w:rsid w:val="000F05DD"/>
    <w:rsid w:val="000F0D76"/>
    <w:rsid w:val="000F1924"/>
    <w:rsid w:val="000F1E73"/>
    <w:rsid w:val="000F316E"/>
    <w:rsid w:val="000F3ADE"/>
    <w:rsid w:val="000F43A5"/>
    <w:rsid w:val="000F464F"/>
    <w:rsid w:val="000F5492"/>
    <w:rsid w:val="000F58A1"/>
    <w:rsid w:val="000F5A37"/>
    <w:rsid w:val="000F6071"/>
    <w:rsid w:val="000F670C"/>
    <w:rsid w:val="000F6AE7"/>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33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401"/>
    <w:rsid w:val="001375EB"/>
    <w:rsid w:val="00137CF1"/>
    <w:rsid w:val="00140DD4"/>
    <w:rsid w:val="00140F4A"/>
    <w:rsid w:val="00141A36"/>
    <w:rsid w:val="001427FE"/>
    <w:rsid w:val="00142F3D"/>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2F3"/>
    <w:rsid w:val="00156446"/>
    <w:rsid w:val="00156BBA"/>
    <w:rsid w:val="00156DE1"/>
    <w:rsid w:val="001570DD"/>
    <w:rsid w:val="001571FC"/>
    <w:rsid w:val="00161C29"/>
    <w:rsid w:val="0016401B"/>
    <w:rsid w:val="00164611"/>
    <w:rsid w:val="00164B58"/>
    <w:rsid w:val="00165655"/>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2A35"/>
    <w:rsid w:val="001931CA"/>
    <w:rsid w:val="00193D49"/>
    <w:rsid w:val="00194BBB"/>
    <w:rsid w:val="001951C2"/>
    <w:rsid w:val="001955C3"/>
    <w:rsid w:val="00195FC9"/>
    <w:rsid w:val="0019615A"/>
    <w:rsid w:val="0019619A"/>
    <w:rsid w:val="00196ABD"/>
    <w:rsid w:val="00197D34"/>
    <w:rsid w:val="00197F5A"/>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2BA4"/>
    <w:rsid w:val="001B36ED"/>
    <w:rsid w:val="001B3FBF"/>
    <w:rsid w:val="001B40B8"/>
    <w:rsid w:val="001B4154"/>
    <w:rsid w:val="001B483D"/>
    <w:rsid w:val="001B5233"/>
    <w:rsid w:val="001B54B7"/>
    <w:rsid w:val="001B5695"/>
    <w:rsid w:val="001B5D5B"/>
    <w:rsid w:val="001B6FCC"/>
    <w:rsid w:val="001B7990"/>
    <w:rsid w:val="001C1D3D"/>
    <w:rsid w:val="001C26F5"/>
    <w:rsid w:val="001C2ECE"/>
    <w:rsid w:val="001C3E41"/>
    <w:rsid w:val="001C46E9"/>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036"/>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2372"/>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E3"/>
    <w:rsid w:val="00243BDC"/>
    <w:rsid w:val="00243EE8"/>
    <w:rsid w:val="00244AF7"/>
    <w:rsid w:val="00244BFE"/>
    <w:rsid w:val="00244CEB"/>
    <w:rsid w:val="0024527C"/>
    <w:rsid w:val="002469F5"/>
    <w:rsid w:val="002472F8"/>
    <w:rsid w:val="0024751A"/>
    <w:rsid w:val="00250937"/>
    <w:rsid w:val="00250E5D"/>
    <w:rsid w:val="0025106B"/>
    <w:rsid w:val="00251233"/>
    <w:rsid w:val="00252D00"/>
    <w:rsid w:val="00253094"/>
    <w:rsid w:val="002540FA"/>
    <w:rsid w:val="002547C1"/>
    <w:rsid w:val="00254E26"/>
    <w:rsid w:val="00255DE8"/>
    <w:rsid w:val="0025690C"/>
    <w:rsid w:val="00257036"/>
    <w:rsid w:val="0025721B"/>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0E93"/>
    <w:rsid w:val="002713BB"/>
    <w:rsid w:val="0027204A"/>
    <w:rsid w:val="00272979"/>
    <w:rsid w:val="0027312B"/>
    <w:rsid w:val="00274FBA"/>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73C5"/>
    <w:rsid w:val="002878E7"/>
    <w:rsid w:val="002900F0"/>
    <w:rsid w:val="002907A2"/>
    <w:rsid w:val="0029089C"/>
    <w:rsid w:val="00291544"/>
    <w:rsid w:val="00292A11"/>
    <w:rsid w:val="00293F35"/>
    <w:rsid w:val="00294CFF"/>
    <w:rsid w:val="00295CCD"/>
    <w:rsid w:val="002963EE"/>
    <w:rsid w:val="0029660A"/>
    <w:rsid w:val="00296CB5"/>
    <w:rsid w:val="002979D6"/>
    <w:rsid w:val="002A099D"/>
    <w:rsid w:val="002A0E09"/>
    <w:rsid w:val="002A1488"/>
    <w:rsid w:val="002A1F4D"/>
    <w:rsid w:val="002A2A80"/>
    <w:rsid w:val="002A2FE4"/>
    <w:rsid w:val="002A30E4"/>
    <w:rsid w:val="002A3371"/>
    <w:rsid w:val="002A3996"/>
    <w:rsid w:val="002A41D5"/>
    <w:rsid w:val="002A48A5"/>
    <w:rsid w:val="002A49D9"/>
    <w:rsid w:val="002A5BF6"/>
    <w:rsid w:val="002A613B"/>
    <w:rsid w:val="002A6697"/>
    <w:rsid w:val="002A6ABF"/>
    <w:rsid w:val="002A7C09"/>
    <w:rsid w:val="002A7D5C"/>
    <w:rsid w:val="002A7E57"/>
    <w:rsid w:val="002B0065"/>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1C84"/>
    <w:rsid w:val="002E2A70"/>
    <w:rsid w:val="002E3C31"/>
    <w:rsid w:val="002E44DA"/>
    <w:rsid w:val="002E4D0D"/>
    <w:rsid w:val="002E5428"/>
    <w:rsid w:val="002E5793"/>
    <w:rsid w:val="002E5B24"/>
    <w:rsid w:val="002F0E89"/>
    <w:rsid w:val="002F0F9A"/>
    <w:rsid w:val="002F1674"/>
    <w:rsid w:val="002F1D16"/>
    <w:rsid w:val="002F2FB3"/>
    <w:rsid w:val="002F347A"/>
    <w:rsid w:val="002F3A43"/>
    <w:rsid w:val="002F4A08"/>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7D8"/>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42DD"/>
    <w:rsid w:val="00325907"/>
    <w:rsid w:val="00325A8C"/>
    <w:rsid w:val="00326237"/>
    <w:rsid w:val="00326838"/>
    <w:rsid w:val="00326A2F"/>
    <w:rsid w:val="00326BDD"/>
    <w:rsid w:val="00330575"/>
    <w:rsid w:val="00330799"/>
    <w:rsid w:val="00330EEF"/>
    <w:rsid w:val="00331106"/>
    <w:rsid w:val="00331482"/>
    <w:rsid w:val="00332101"/>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0FC2"/>
    <w:rsid w:val="0036101B"/>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4BC1"/>
    <w:rsid w:val="00385BA7"/>
    <w:rsid w:val="00385DA9"/>
    <w:rsid w:val="00385E28"/>
    <w:rsid w:val="00386082"/>
    <w:rsid w:val="0038625A"/>
    <w:rsid w:val="00386DEC"/>
    <w:rsid w:val="00387BC1"/>
    <w:rsid w:val="003903F4"/>
    <w:rsid w:val="0039089B"/>
    <w:rsid w:val="00390D59"/>
    <w:rsid w:val="0039166F"/>
    <w:rsid w:val="00391EF7"/>
    <w:rsid w:val="00392505"/>
    <w:rsid w:val="0039408E"/>
    <w:rsid w:val="0039431B"/>
    <w:rsid w:val="00394A44"/>
    <w:rsid w:val="00394AEA"/>
    <w:rsid w:val="00394B91"/>
    <w:rsid w:val="0039512C"/>
    <w:rsid w:val="00395D5E"/>
    <w:rsid w:val="00395DB6"/>
    <w:rsid w:val="00396EB8"/>
    <w:rsid w:val="00397A5C"/>
    <w:rsid w:val="003A00A0"/>
    <w:rsid w:val="003A0AB6"/>
    <w:rsid w:val="003A0AC8"/>
    <w:rsid w:val="003A0D55"/>
    <w:rsid w:val="003A19E9"/>
    <w:rsid w:val="003A3603"/>
    <w:rsid w:val="003A3DBE"/>
    <w:rsid w:val="003A5072"/>
    <w:rsid w:val="003A523D"/>
    <w:rsid w:val="003A546E"/>
    <w:rsid w:val="003A566E"/>
    <w:rsid w:val="003A597C"/>
    <w:rsid w:val="003A61D5"/>
    <w:rsid w:val="003A6E0C"/>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F89"/>
    <w:rsid w:val="003B7632"/>
    <w:rsid w:val="003B7CB4"/>
    <w:rsid w:val="003B7D55"/>
    <w:rsid w:val="003B7FA9"/>
    <w:rsid w:val="003C21D5"/>
    <w:rsid w:val="003C2B0F"/>
    <w:rsid w:val="003C2E29"/>
    <w:rsid w:val="003C382A"/>
    <w:rsid w:val="003C3C93"/>
    <w:rsid w:val="003C462E"/>
    <w:rsid w:val="003C46E0"/>
    <w:rsid w:val="003C57BE"/>
    <w:rsid w:val="003C5D94"/>
    <w:rsid w:val="003C5FBF"/>
    <w:rsid w:val="003C6507"/>
    <w:rsid w:val="003C66AF"/>
    <w:rsid w:val="003C69FA"/>
    <w:rsid w:val="003C6C15"/>
    <w:rsid w:val="003C6EED"/>
    <w:rsid w:val="003C723E"/>
    <w:rsid w:val="003C7602"/>
    <w:rsid w:val="003C7897"/>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04A0"/>
    <w:rsid w:val="003E1224"/>
    <w:rsid w:val="003E196A"/>
    <w:rsid w:val="003E299A"/>
    <w:rsid w:val="003E3B34"/>
    <w:rsid w:val="003E3F95"/>
    <w:rsid w:val="003E4081"/>
    <w:rsid w:val="003E420B"/>
    <w:rsid w:val="003E4283"/>
    <w:rsid w:val="003E4D91"/>
    <w:rsid w:val="003E4F4C"/>
    <w:rsid w:val="003E5A50"/>
    <w:rsid w:val="003E6CC2"/>
    <w:rsid w:val="003F06E6"/>
    <w:rsid w:val="003F07E4"/>
    <w:rsid w:val="003F1865"/>
    <w:rsid w:val="003F1A07"/>
    <w:rsid w:val="003F27CE"/>
    <w:rsid w:val="003F2D95"/>
    <w:rsid w:val="003F309D"/>
    <w:rsid w:val="003F392D"/>
    <w:rsid w:val="003F3AB2"/>
    <w:rsid w:val="003F3B91"/>
    <w:rsid w:val="003F3CCA"/>
    <w:rsid w:val="003F42CD"/>
    <w:rsid w:val="003F443A"/>
    <w:rsid w:val="003F46DD"/>
    <w:rsid w:val="003F4AB1"/>
    <w:rsid w:val="003F51FE"/>
    <w:rsid w:val="003F5B34"/>
    <w:rsid w:val="003F5D0A"/>
    <w:rsid w:val="003F5E38"/>
    <w:rsid w:val="003F5FA4"/>
    <w:rsid w:val="003F6086"/>
    <w:rsid w:val="0040063D"/>
    <w:rsid w:val="004011F9"/>
    <w:rsid w:val="004012FC"/>
    <w:rsid w:val="00401F83"/>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5D8F"/>
    <w:rsid w:val="00416FC5"/>
    <w:rsid w:val="00417933"/>
    <w:rsid w:val="00417EEE"/>
    <w:rsid w:val="00420D66"/>
    <w:rsid w:val="00421919"/>
    <w:rsid w:val="00421BCE"/>
    <w:rsid w:val="00422613"/>
    <w:rsid w:val="004233C8"/>
    <w:rsid w:val="004237CE"/>
    <w:rsid w:val="00424130"/>
    <w:rsid w:val="004243FA"/>
    <w:rsid w:val="00424541"/>
    <w:rsid w:val="00424C32"/>
    <w:rsid w:val="00425A74"/>
    <w:rsid w:val="00425AE3"/>
    <w:rsid w:val="00425E47"/>
    <w:rsid w:val="00425FB3"/>
    <w:rsid w:val="004263B4"/>
    <w:rsid w:val="00427CC3"/>
    <w:rsid w:val="00430209"/>
    <w:rsid w:val="0043040A"/>
    <w:rsid w:val="00430C71"/>
    <w:rsid w:val="00431094"/>
    <w:rsid w:val="00431111"/>
    <w:rsid w:val="00431833"/>
    <w:rsid w:val="004319DD"/>
    <w:rsid w:val="00431CD3"/>
    <w:rsid w:val="00432A71"/>
    <w:rsid w:val="00432E6F"/>
    <w:rsid w:val="00433652"/>
    <w:rsid w:val="00433E47"/>
    <w:rsid w:val="00433FA2"/>
    <w:rsid w:val="00434118"/>
    <w:rsid w:val="00434DD3"/>
    <w:rsid w:val="004353DA"/>
    <w:rsid w:val="00435C5F"/>
    <w:rsid w:val="00436B80"/>
    <w:rsid w:val="00436D66"/>
    <w:rsid w:val="004373AA"/>
    <w:rsid w:val="004374E1"/>
    <w:rsid w:val="00437A84"/>
    <w:rsid w:val="0044013F"/>
    <w:rsid w:val="0044036D"/>
    <w:rsid w:val="00440B08"/>
    <w:rsid w:val="00441213"/>
    <w:rsid w:val="00441517"/>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1EDC"/>
    <w:rsid w:val="00452405"/>
    <w:rsid w:val="0045255D"/>
    <w:rsid w:val="00452948"/>
    <w:rsid w:val="00453D41"/>
    <w:rsid w:val="00453FE2"/>
    <w:rsid w:val="004543D7"/>
    <w:rsid w:val="00454685"/>
    <w:rsid w:val="004546A7"/>
    <w:rsid w:val="00455DB6"/>
    <w:rsid w:val="004562C6"/>
    <w:rsid w:val="00457772"/>
    <w:rsid w:val="00457B8A"/>
    <w:rsid w:val="00460E92"/>
    <w:rsid w:val="00460EA6"/>
    <w:rsid w:val="004610F9"/>
    <w:rsid w:val="00461601"/>
    <w:rsid w:val="004616FE"/>
    <w:rsid w:val="004625F7"/>
    <w:rsid w:val="00462F37"/>
    <w:rsid w:val="004631E2"/>
    <w:rsid w:val="00463980"/>
    <w:rsid w:val="00463CE0"/>
    <w:rsid w:val="004643A6"/>
    <w:rsid w:val="00465DB9"/>
    <w:rsid w:val="0046638E"/>
    <w:rsid w:val="0046669F"/>
    <w:rsid w:val="00466924"/>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742F"/>
    <w:rsid w:val="004774A8"/>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3BE0"/>
    <w:rsid w:val="004949D5"/>
    <w:rsid w:val="00495495"/>
    <w:rsid w:val="0049574B"/>
    <w:rsid w:val="004965BE"/>
    <w:rsid w:val="00497551"/>
    <w:rsid w:val="004A03F8"/>
    <w:rsid w:val="004A0409"/>
    <w:rsid w:val="004A0A93"/>
    <w:rsid w:val="004A2232"/>
    <w:rsid w:val="004A22BE"/>
    <w:rsid w:val="004A249B"/>
    <w:rsid w:val="004A2E2A"/>
    <w:rsid w:val="004A2E5D"/>
    <w:rsid w:val="004A2FA6"/>
    <w:rsid w:val="004A519F"/>
    <w:rsid w:val="004A54ED"/>
    <w:rsid w:val="004A56CB"/>
    <w:rsid w:val="004A598A"/>
    <w:rsid w:val="004A6569"/>
    <w:rsid w:val="004A70E9"/>
    <w:rsid w:val="004A7959"/>
    <w:rsid w:val="004A7C40"/>
    <w:rsid w:val="004A7EC4"/>
    <w:rsid w:val="004B0007"/>
    <w:rsid w:val="004B0E53"/>
    <w:rsid w:val="004B1263"/>
    <w:rsid w:val="004B1EDC"/>
    <w:rsid w:val="004B2C95"/>
    <w:rsid w:val="004B3197"/>
    <w:rsid w:val="004B4CEB"/>
    <w:rsid w:val="004B5036"/>
    <w:rsid w:val="004B5220"/>
    <w:rsid w:val="004B594C"/>
    <w:rsid w:val="004B6125"/>
    <w:rsid w:val="004B6FDD"/>
    <w:rsid w:val="004B734B"/>
    <w:rsid w:val="004B7579"/>
    <w:rsid w:val="004B7ACA"/>
    <w:rsid w:val="004B7CFC"/>
    <w:rsid w:val="004C0A48"/>
    <w:rsid w:val="004C0C3A"/>
    <w:rsid w:val="004C10F3"/>
    <w:rsid w:val="004C1DE5"/>
    <w:rsid w:val="004C5AE8"/>
    <w:rsid w:val="004C6336"/>
    <w:rsid w:val="004C646C"/>
    <w:rsid w:val="004C68F6"/>
    <w:rsid w:val="004C6AB3"/>
    <w:rsid w:val="004C6BB3"/>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297"/>
    <w:rsid w:val="004D5B3B"/>
    <w:rsid w:val="004D6533"/>
    <w:rsid w:val="004D661A"/>
    <w:rsid w:val="004D66DE"/>
    <w:rsid w:val="004D67F8"/>
    <w:rsid w:val="004D686A"/>
    <w:rsid w:val="004D730D"/>
    <w:rsid w:val="004E0036"/>
    <w:rsid w:val="004E0584"/>
    <w:rsid w:val="004E1885"/>
    <w:rsid w:val="004E1CFE"/>
    <w:rsid w:val="004E24A7"/>
    <w:rsid w:val="004E2556"/>
    <w:rsid w:val="004E2C25"/>
    <w:rsid w:val="004E31A6"/>
    <w:rsid w:val="004E34B2"/>
    <w:rsid w:val="004E3563"/>
    <w:rsid w:val="004E3A24"/>
    <w:rsid w:val="004E5540"/>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0735"/>
    <w:rsid w:val="0051167B"/>
    <w:rsid w:val="005116B9"/>
    <w:rsid w:val="00511849"/>
    <w:rsid w:val="00511D46"/>
    <w:rsid w:val="00511EEF"/>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24E"/>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A60"/>
    <w:rsid w:val="005547FB"/>
    <w:rsid w:val="005552BA"/>
    <w:rsid w:val="00555945"/>
    <w:rsid w:val="0055687C"/>
    <w:rsid w:val="00556A64"/>
    <w:rsid w:val="00557044"/>
    <w:rsid w:val="005572B0"/>
    <w:rsid w:val="00557CC4"/>
    <w:rsid w:val="00557E51"/>
    <w:rsid w:val="0056049F"/>
    <w:rsid w:val="00561F70"/>
    <w:rsid w:val="005624F0"/>
    <w:rsid w:val="00563BAF"/>
    <w:rsid w:val="00563CA0"/>
    <w:rsid w:val="005640F7"/>
    <w:rsid w:val="005642E6"/>
    <w:rsid w:val="00564AD6"/>
    <w:rsid w:val="005652D5"/>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4A60"/>
    <w:rsid w:val="005752EB"/>
    <w:rsid w:val="00575F08"/>
    <w:rsid w:val="00576D96"/>
    <w:rsid w:val="00576FBF"/>
    <w:rsid w:val="00577DE4"/>
    <w:rsid w:val="005812E8"/>
    <w:rsid w:val="00581615"/>
    <w:rsid w:val="005818A7"/>
    <w:rsid w:val="00582475"/>
    <w:rsid w:val="005836A9"/>
    <w:rsid w:val="00583D2A"/>
    <w:rsid w:val="00583D88"/>
    <w:rsid w:val="0058488F"/>
    <w:rsid w:val="00586247"/>
    <w:rsid w:val="00586324"/>
    <w:rsid w:val="005864AC"/>
    <w:rsid w:val="00590034"/>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8E2"/>
    <w:rsid w:val="005A7DBC"/>
    <w:rsid w:val="005B01E2"/>
    <w:rsid w:val="005B0341"/>
    <w:rsid w:val="005B1A36"/>
    <w:rsid w:val="005B2033"/>
    <w:rsid w:val="005B255F"/>
    <w:rsid w:val="005B2742"/>
    <w:rsid w:val="005B2A6A"/>
    <w:rsid w:val="005B3164"/>
    <w:rsid w:val="005B3231"/>
    <w:rsid w:val="005B4A03"/>
    <w:rsid w:val="005B4E2E"/>
    <w:rsid w:val="005B4EB6"/>
    <w:rsid w:val="005B6143"/>
    <w:rsid w:val="005B76F0"/>
    <w:rsid w:val="005C0D25"/>
    <w:rsid w:val="005C1900"/>
    <w:rsid w:val="005C1F52"/>
    <w:rsid w:val="005C2060"/>
    <w:rsid w:val="005C225A"/>
    <w:rsid w:val="005C2EC1"/>
    <w:rsid w:val="005C387F"/>
    <w:rsid w:val="005C4935"/>
    <w:rsid w:val="005C54F4"/>
    <w:rsid w:val="005C5662"/>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3F0C"/>
    <w:rsid w:val="005D51D9"/>
    <w:rsid w:val="005D5237"/>
    <w:rsid w:val="005D571C"/>
    <w:rsid w:val="005D6EDC"/>
    <w:rsid w:val="005D75CA"/>
    <w:rsid w:val="005D7A0D"/>
    <w:rsid w:val="005E013A"/>
    <w:rsid w:val="005E07F1"/>
    <w:rsid w:val="005E0839"/>
    <w:rsid w:val="005E09FF"/>
    <w:rsid w:val="005E0B74"/>
    <w:rsid w:val="005E232D"/>
    <w:rsid w:val="005E2401"/>
    <w:rsid w:val="005E2496"/>
    <w:rsid w:val="005E3153"/>
    <w:rsid w:val="005E340E"/>
    <w:rsid w:val="005E3688"/>
    <w:rsid w:val="005E52A8"/>
    <w:rsid w:val="005E5DFB"/>
    <w:rsid w:val="005E60D4"/>
    <w:rsid w:val="005E64A4"/>
    <w:rsid w:val="005E6558"/>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2C6C"/>
    <w:rsid w:val="00613A25"/>
    <w:rsid w:val="0061466E"/>
    <w:rsid w:val="0061511B"/>
    <w:rsid w:val="006160FC"/>
    <w:rsid w:val="00616D07"/>
    <w:rsid w:val="00620649"/>
    <w:rsid w:val="006209B2"/>
    <w:rsid w:val="006209D0"/>
    <w:rsid w:val="00620CBE"/>
    <w:rsid w:val="006211C1"/>
    <w:rsid w:val="00621774"/>
    <w:rsid w:val="00621999"/>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33"/>
    <w:rsid w:val="00670843"/>
    <w:rsid w:val="00670A5C"/>
    <w:rsid w:val="006716F7"/>
    <w:rsid w:val="00671952"/>
    <w:rsid w:val="00672409"/>
    <w:rsid w:val="00673252"/>
    <w:rsid w:val="00673803"/>
    <w:rsid w:val="0067389E"/>
    <w:rsid w:val="00673DA1"/>
    <w:rsid w:val="006745CB"/>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0D"/>
    <w:rsid w:val="006B0356"/>
    <w:rsid w:val="006B04C5"/>
    <w:rsid w:val="006B0AC0"/>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6BC"/>
    <w:rsid w:val="006C7728"/>
    <w:rsid w:val="006D071A"/>
    <w:rsid w:val="006D106B"/>
    <w:rsid w:val="006D12DE"/>
    <w:rsid w:val="006D15AD"/>
    <w:rsid w:val="006D1AD0"/>
    <w:rsid w:val="006D262A"/>
    <w:rsid w:val="006D2D0B"/>
    <w:rsid w:val="006D41AD"/>
    <w:rsid w:val="006D52C9"/>
    <w:rsid w:val="006D59B0"/>
    <w:rsid w:val="006D6B52"/>
    <w:rsid w:val="006E07E4"/>
    <w:rsid w:val="006E0E4C"/>
    <w:rsid w:val="006E0EAE"/>
    <w:rsid w:val="006E1302"/>
    <w:rsid w:val="006E142E"/>
    <w:rsid w:val="006E1578"/>
    <w:rsid w:val="006E2887"/>
    <w:rsid w:val="006E2B1E"/>
    <w:rsid w:val="006E2C7F"/>
    <w:rsid w:val="006E2CFC"/>
    <w:rsid w:val="006E309A"/>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38E3"/>
    <w:rsid w:val="00704DCE"/>
    <w:rsid w:val="00704E91"/>
    <w:rsid w:val="007051E3"/>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8A6"/>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58E5"/>
    <w:rsid w:val="00726545"/>
    <w:rsid w:val="00727C74"/>
    <w:rsid w:val="00731506"/>
    <w:rsid w:val="007318F6"/>
    <w:rsid w:val="00731D97"/>
    <w:rsid w:val="007330A1"/>
    <w:rsid w:val="00733655"/>
    <w:rsid w:val="00733B79"/>
    <w:rsid w:val="00733FA6"/>
    <w:rsid w:val="00734156"/>
    <w:rsid w:val="00734459"/>
    <w:rsid w:val="00734919"/>
    <w:rsid w:val="0073560A"/>
    <w:rsid w:val="00735B29"/>
    <w:rsid w:val="00736835"/>
    <w:rsid w:val="007368CA"/>
    <w:rsid w:val="00736D2F"/>
    <w:rsid w:val="00742117"/>
    <w:rsid w:val="0074217B"/>
    <w:rsid w:val="0074224E"/>
    <w:rsid w:val="00742268"/>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077"/>
    <w:rsid w:val="00770111"/>
    <w:rsid w:val="0077062E"/>
    <w:rsid w:val="00770EE0"/>
    <w:rsid w:val="0077165A"/>
    <w:rsid w:val="0077172E"/>
    <w:rsid w:val="007724B5"/>
    <w:rsid w:val="00772531"/>
    <w:rsid w:val="00772B4F"/>
    <w:rsid w:val="00773830"/>
    <w:rsid w:val="00773E0F"/>
    <w:rsid w:val="00773F94"/>
    <w:rsid w:val="0077478F"/>
    <w:rsid w:val="00774944"/>
    <w:rsid w:val="007749CF"/>
    <w:rsid w:val="00774A69"/>
    <w:rsid w:val="0077577F"/>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135C"/>
    <w:rsid w:val="00792190"/>
    <w:rsid w:val="007926B7"/>
    <w:rsid w:val="007931CE"/>
    <w:rsid w:val="0079331A"/>
    <w:rsid w:val="00794863"/>
    <w:rsid w:val="00795059"/>
    <w:rsid w:val="00795C75"/>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4B2C"/>
    <w:rsid w:val="007B60AF"/>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C0F"/>
    <w:rsid w:val="00801EE7"/>
    <w:rsid w:val="008020AF"/>
    <w:rsid w:val="00802536"/>
    <w:rsid w:val="00802F2B"/>
    <w:rsid w:val="008036FE"/>
    <w:rsid w:val="00803818"/>
    <w:rsid w:val="00804558"/>
    <w:rsid w:val="00804743"/>
    <w:rsid w:val="00804A7E"/>
    <w:rsid w:val="00804DA0"/>
    <w:rsid w:val="00804FAB"/>
    <w:rsid w:val="00805510"/>
    <w:rsid w:val="00805693"/>
    <w:rsid w:val="008058E3"/>
    <w:rsid w:val="00805BE4"/>
    <w:rsid w:val="00805FFE"/>
    <w:rsid w:val="00806576"/>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1372"/>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0F92"/>
    <w:rsid w:val="0083121E"/>
    <w:rsid w:val="0083139D"/>
    <w:rsid w:val="0083169F"/>
    <w:rsid w:val="008316E7"/>
    <w:rsid w:val="008323C9"/>
    <w:rsid w:val="00832841"/>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B6"/>
    <w:rsid w:val="008626D6"/>
    <w:rsid w:val="0086279B"/>
    <w:rsid w:val="00862F9B"/>
    <w:rsid w:val="00863693"/>
    <w:rsid w:val="00863759"/>
    <w:rsid w:val="0086412C"/>
    <w:rsid w:val="0086478E"/>
    <w:rsid w:val="00865615"/>
    <w:rsid w:val="00865722"/>
    <w:rsid w:val="00865B78"/>
    <w:rsid w:val="00865BF9"/>
    <w:rsid w:val="008667D3"/>
    <w:rsid w:val="008671C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93A"/>
    <w:rsid w:val="00874C1F"/>
    <w:rsid w:val="00874D96"/>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5C6"/>
    <w:rsid w:val="0088177C"/>
    <w:rsid w:val="008817A5"/>
    <w:rsid w:val="00881A4F"/>
    <w:rsid w:val="00881EB9"/>
    <w:rsid w:val="008821E1"/>
    <w:rsid w:val="008836D4"/>
    <w:rsid w:val="00883922"/>
    <w:rsid w:val="00883D98"/>
    <w:rsid w:val="00884897"/>
    <w:rsid w:val="00884DD2"/>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8B8"/>
    <w:rsid w:val="008A3A58"/>
    <w:rsid w:val="008A3F71"/>
    <w:rsid w:val="008A4DC7"/>
    <w:rsid w:val="008A5903"/>
    <w:rsid w:val="008A7372"/>
    <w:rsid w:val="008A7B8B"/>
    <w:rsid w:val="008A7C0A"/>
    <w:rsid w:val="008A7EA5"/>
    <w:rsid w:val="008B0791"/>
    <w:rsid w:val="008B0B72"/>
    <w:rsid w:val="008B1658"/>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2326"/>
    <w:rsid w:val="008D2C7E"/>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68D6"/>
    <w:rsid w:val="008F766F"/>
    <w:rsid w:val="008F7967"/>
    <w:rsid w:val="008F7AC5"/>
    <w:rsid w:val="008F7AD6"/>
    <w:rsid w:val="0090139C"/>
    <w:rsid w:val="00901435"/>
    <w:rsid w:val="00901EBC"/>
    <w:rsid w:val="00902374"/>
    <w:rsid w:val="00902755"/>
    <w:rsid w:val="00903EE6"/>
    <w:rsid w:val="009040C2"/>
    <w:rsid w:val="00904300"/>
    <w:rsid w:val="009044AD"/>
    <w:rsid w:val="00904975"/>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217"/>
    <w:rsid w:val="0093180C"/>
    <w:rsid w:val="00931D27"/>
    <w:rsid w:val="00932155"/>
    <w:rsid w:val="009326D8"/>
    <w:rsid w:val="00932C66"/>
    <w:rsid w:val="00932FA3"/>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3EF6"/>
    <w:rsid w:val="00974D10"/>
    <w:rsid w:val="00974D4C"/>
    <w:rsid w:val="00974E82"/>
    <w:rsid w:val="00974E9D"/>
    <w:rsid w:val="009752F3"/>
    <w:rsid w:val="00975EF5"/>
    <w:rsid w:val="009762E1"/>
    <w:rsid w:val="009767F1"/>
    <w:rsid w:val="009776DF"/>
    <w:rsid w:val="00977D6E"/>
    <w:rsid w:val="00977DCA"/>
    <w:rsid w:val="009812BC"/>
    <w:rsid w:val="009824B7"/>
    <w:rsid w:val="009827C2"/>
    <w:rsid w:val="0098342A"/>
    <w:rsid w:val="00983695"/>
    <w:rsid w:val="00983A6E"/>
    <w:rsid w:val="00984AF9"/>
    <w:rsid w:val="00984CC2"/>
    <w:rsid w:val="009858DD"/>
    <w:rsid w:val="009858F7"/>
    <w:rsid w:val="00985CE7"/>
    <w:rsid w:val="00986705"/>
    <w:rsid w:val="00986C57"/>
    <w:rsid w:val="009872F5"/>
    <w:rsid w:val="009872F6"/>
    <w:rsid w:val="009875D2"/>
    <w:rsid w:val="00987E38"/>
    <w:rsid w:val="00991299"/>
    <w:rsid w:val="009913D1"/>
    <w:rsid w:val="009928D6"/>
    <w:rsid w:val="00993874"/>
    <w:rsid w:val="009939AE"/>
    <w:rsid w:val="00994359"/>
    <w:rsid w:val="00994906"/>
    <w:rsid w:val="00994B51"/>
    <w:rsid w:val="00994EA6"/>
    <w:rsid w:val="0099537A"/>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A21"/>
    <w:rsid w:val="009B3CDF"/>
    <w:rsid w:val="009B3D14"/>
    <w:rsid w:val="009B3F78"/>
    <w:rsid w:val="009B51F2"/>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108"/>
    <w:rsid w:val="009D27C0"/>
    <w:rsid w:val="009D2D1C"/>
    <w:rsid w:val="009D2D42"/>
    <w:rsid w:val="009D30FE"/>
    <w:rsid w:val="009D36BF"/>
    <w:rsid w:val="009D3FF0"/>
    <w:rsid w:val="009D401E"/>
    <w:rsid w:val="009D4E61"/>
    <w:rsid w:val="009D548F"/>
    <w:rsid w:val="009D566C"/>
    <w:rsid w:val="009D583A"/>
    <w:rsid w:val="009D6897"/>
    <w:rsid w:val="009D6BF6"/>
    <w:rsid w:val="009D6F03"/>
    <w:rsid w:val="009D75DB"/>
    <w:rsid w:val="009D786C"/>
    <w:rsid w:val="009D7F61"/>
    <w:rsid w:val="009E00FD"/>
    <w:rsid w:val="009E0909"/>
    <w:rsid w:val="009E10B4"/>
    <w:rsid w:val="009E16CC"/>
    <w:rsid w:val="009E1CEA"/>
    <w:rsid w:val="009E22F0"/>
    <w:rsid w:val="009E3DB8"/>
    <w:rsid w:val="009E41F6"/>
    <w:rsid w:val="009E4F93"/>
    <w:rsid w:val="009E5F55"/>
    <w:rsid w:val="009E64BF"/>
    <w:rsid w:val="009E7C07"/>
    <w:rsid w:val="009E7E5A"/>
    <w:rsid w:val="009E7F78"/>
    <w:rsid w:val="009F023D"/>
    <w:rsid w:val="009F1538"/>
    <w:rsid w:val="009F15E2"/>
    <w:rsid w:val="009F1CC8"/>
    <w:rsid w:val="009F22C1"/>
    <w:rsid w:val="009F22D7"/>
    <w:rsid w:val="009F322A"/>
    <w:rsid w:val="009F3505"/>
    <w:rsid w:val="009F39A5"/>
    <w:rsid w:val="009F39E3"/>
    <w:rsid w:val="009F46F3"/>
    <w:rsid w:val="009F4838"/>
    <w:rsid w:val="009F4C73"/>
    <w:rsid w:val="009F564B"/>
    <w:rsid w:val="009F5A05"/>
    <w:rsid w:val="009F7650"/>
    <w:rsid w:val="00A002B9"/>
    <w:rsid w:val="00A0039D"/>
    <w:rsid w:val="00A00610"/>
    <w:rsid w:val="00A011B3"/>
    <w:rsid w:val="00A018AA"/>
    <w:rsid w:val="00A03327"/>
    <w:rsid w:val="00A03642"/>
    <w:rsid w:val="00A038C6"/>
    <w:rsid w:val="00A03ABC"/>
    <w:rsid w:val="00A0401E"/>
    <w:rsid w:val="00A0428B"/>
    <w:rsid w:val="00A0441F"/>
    <w:rsid w:val="00A0449E"/>
    <w:rsid w:val="00A053F5"/>
    <w:rsid w:val="00A05AA1"/>
    <w:rsid w:val="00A062D6"/>
    <w:rsid w:val="00A06376"/>
    <w:rsid w:val="00A10B32"/>
    <w:rsid w:val="00A10F86"/>
    <w:rsid w:val="00A116F1"/>
    <w:rsid w:val="00A11DAA"/>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7E7"/>
    <w:rsid w:val="00A22822"/>
    <w:rsid w:val="00A230A5"/>
    <w:rsid w:val="00A24046"/>
    <w:rsid w:val="00A240EB"/>
    <w:rsid w:val="00A2423B"/>
    <w:rsid w:val="00A245A8"/>
    <w:rsid w:val="00A25168"/>
    <w:rsid w:val="00A26329"/>
    <w:rsid w:val="00A2676E"/>
    <w:rsid w:val="00A26BE3"/>
    <w:rsid w:val="00A27027"/>
    <w:rsid w:val="00A27C99"/>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1FD"/>
    <w:rsid w:val="00A46AAD"/>
    <w:rsid w:val="00A47017"/>
    <w:rsid w:val="00A4735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F6C"/>
    <w:rsid w:val="00A65994"/>
    <w:rsid w:val="00A65B32"/>
    <w:rsid w:val="00A65BB9"/>
    <w:rsid w:val="00A70035"/>
    <w:rsid w:val="00A710B6"/>
    <w:rsid w:val="00A71D7E"/>
    <w:rsid w:val="00A71E9E"/>
    <w:rsid w:val="00A720A3"/>
    <w:rsid w:val="00A72163"/>
    <w:rsid w:val="00A72230"/>
    <w:rsid w:val="00A727E2"/>
    <w:rsid w:val="00A72D5A"/>
    <w:rsid w:val="00A72FCE"/>
    <w:rsid w:val="00A730DC"/>
    <w:rsid w:val="00A73631"/>
    <w:rsid w:val="00A736C1"/>
    <w:rsid w:val="00A7459F"/>
    <w:rsid w:val="00A7495C"/>
    <w:rsid w:val="00A76227"/>
    <w:rsid w:val="00A76764"/>
    <w:rsid w:val="00A77C71"/>
    <w:rsid w:val="00A77D66"/>
    <w:rsid w:val="00A77EBD"/>
    <w:rsid w:val="00A80076"/>
    <w:rsid w:val="00A807C1"/>
    <w:rsid w:val="00A81869"/>
    <w:rsid w:val="00A81D02"/>
    <w:rsid w:val="00A83221"/>
    <w:rsid w:val="00A8349F"/>
    <w:rsid w:val="00A83B8D"/>
    <w:rsid w:val="00A840B8"/>
    <w:rsid w:val="00A8575E"/>
    <w:rsid w:val="00A8626F"/>
    <w:rsid w:val="00A86BC9"/>
    <w:rsid w:val="00A87508"/>
    <w:rsid w:val="00A90892"/>
    <w:rsid w:val="00A92522"/>
    <w:rsid w:val="00A92B4E"/>
    <w:rsid w:val="00A940FB"/>
    <w:rsid w:val="00A94156"/>
    <w:rsid w:val="00A942A7"/>
    <w:rsid w:val="00A9446D"/>
    <w:rsid w:val="00A95807"/>
    <w:rsid w:val="00A95BF7"/>
    <w:rsid w:val="00A95EA4"/>
    <w:rsid w:val="00A95F56"/>
    <w:rsid w:val="00A966FF"/>
    <w:rsid w:val="00A96B14"/>
    <w:rsid w:val="00A97D45"/>
    <w:rsid w:val="00AA1159"/>
    <w:rsid w:val="00AA1CFD"/>
    <w:rsid w:val="00AA2221"/>
    <w:rsid w:val="00AA388F"/>
    <w:rsid w:val="00AA451B"/>
    <w:rsid w:val="00AA4D18"/>
    <w:rsid w:val="00AA5170"/>
    <w:rsid w:val="00AA5662"/>
    <w:rsid w:val="00AA59EF"/>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D5E"/>
    <w:rsid w:val="00AC7A58"/>
    <w:rsid w:val="00AD0270"/>
    <w:rsid w:val="00AD07BB"/>
    <w:rsid w:val="00AD125A"/>
    <w:rsid w:val="00AD12EA"/>
    <w:rsid w:val="00AD2341"/>
    <w:rsid w:val="00AD366F"/>
    <w:rsid w:val="00AD4853"/>
    <w:rsid w:val="00AD492E"/>
    <w:rsid w:val="00AD5D13"/>
    <w:rsid w:val="00AD60B8"/>
    <w:rsid w:val="00AD6499"/>
    <w:rsid w:val="00AD65A4"/>
    <w:rsid w:val="00AD7862"/>
    <w:rsid w:val="00AE0012"/>
    <w:rsid w:val="00AE01B0"/>
    <w:rsid w:val="00AE0ADD"/>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F9D"/>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3D6"/>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5C41"/>
    <w:rsid w:val="00B05DB3"/>
    <w:rsid w:val="00B0651E"/>
    <w:rsid w:val="00B073FF"/>
    <w:rsid w:val="00B076EC"/>
    <w:rsid w:val="00B079FB"/>
    <w:rsid w:val="00B07EC6"/>
    <w:rsid w:val="00B10841"/>
    <w:rsid w:val="00B11263"/>
    <w:rsid w:val="00B1174D"/>
    <w:rsid w:val="00B11910"/>
    <w:rsid w:val="00B12793"/>
    <w:rsid w:val="00B13322"/>
    <w:rsid w:val="00B1367E"/>
    <w:rsid w:val="00B14642"/>
    <w:rsid w:val="00B1490F"/>
    <w:rsid w:val="00B14B0C"/>
    <w:rsid w:val="00B14BAA"/>
    <w:rsid w:val="00B15422"/>
    <w:rsid w:val="00B161EB"/>
    <w:rsid w:val="00B162C2"/>
    <w:rsid w:val="00B1633B"/>
    <w:rsid w:val="00B16745"/>
    <w:rsid w:val="00B1692F"/>
    <w:rsid w:val="00B17276"/>
    <w:rsid w:val="00B174A3"/>
    <w:rsid w:val="00B20313"/>
    <w:rsid w:val="00B2191E"/>
    <w:rsid w:val="00B21A90"/>
    <w:rsid w:val="00B22CB5"/>
    <w:rsid w:val="00B22DD8"/>
    <w:rsid w:val="00B23121"/>
    <w:rsid w:val="00B2358B"/>
    <w:rsid w:val="00B23652"/>
    <w:rsid w:val="00B23BBA"/>
    <w:rsid w:val="00B244AA"/>
    <w:rsid w:val="00B247EB"/>
    <w:rsid w:val="00B24BC1"/>
    <w:rsid w:val="00B25F8B"/>
    <w:rsid w:val="00B277B5"/>
    <w:rsid w:val="00B3001D"/>
    <w:rsid w:val="00B301D7"/>
    <w:rsid w:val="00B30B6E"/>
    <w:rsid w:val="00B3222A"/>
    <w:rsid w:val="00B332AA"/>
    <w:rsid w:val="00B33853"/>
    <w:rsid w:val="00B33BF1"/>
    <w:rsid w:val="00B34451"/>
    <w:rsid w:val="00B34DAB"/>
    <w:rsid w:val="00B35203"/>
    <w:rsid w:val="00B35947"/>
    <w:rsid w:val="00B36268"/>
    <w:rsid w:val="00B36EF7"/>
    <w:rsid w:val="00B36EFF"/>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5D"/>
    <w:rsid w:val="00B464DD"/>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9"/>
    <w:rsid w:val="00B630C9"/>
    <w:rsid w:val="00B63190"/>
    <w:rsid w:val="00B63DA7"/>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4ECE"/>
    <w:rsid w:val="00B95EA3"/>
    <w:rsid w:val="00B95FA4"/>
    <w:rsid w:val="00B96320"/>
    <w:rsid w:val="00B964E5"/>
    <w:rsid w:val="00B969F4"/>
    <w:rsid w:val="00B96FA4"/>
    <w:rsid w:val="00B97FA7"/>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0FBF"/>
    <w:rsid w:val="00BC178D"/>
    <w:rsid w:val="00BC1C43"/>
    <w:rsid w:val="00BC1EE7"/>
    <w:rsid w:val="00BC2A9C"/>
    <w:rsid w:val="00BC365A"/>
    <w:rsid w:val="00BC38A2"/>
    <w:rsid w:val="00BC494E"/>
    <w:rsid w:val="00BC5A25"/>
    <w:rsid w:val="00BC5AA2"/>
    <w:rsid w:val="00BC5CC6"/>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1D9D"/>
    <w:rsid w:val="00BF3A66"/>
    <w:rsid w:val="00BF40FE"/>
    <w:rsid w:val="00BF48F7"/>
    <w:rsid w:val="00BF52DD"/>
    <w:rsid w:val="00BF57D7"/>
    <w:rsid w:val="00BF59AD"/>
    <w:rsid w:val="00BF5A2F"/>
    <w:rsid w:val="00BF6551"/>
    <w:rsid w:val="00BF6B53"/>
    <w:rsid w:val="00BF7645"/>
    <w:rsid w:val="00BF776A"/>
    <w:rsid w:val="00BF7E32"/>
    <w:rsid w:val="00C0032A"/>
    <w:rsid w:val="00C0049E"/>
    <w:rsid w:val="00C00BF3"/>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9D2"/>
    <w:rsid w:val="00C1174C"/>
    <w:rsid w:val="00C11821"/>
    <w:rsid w:val="00C1270E"/>
    <w:rsid w:val="00C127CE"/>
    <w:rsid w:val="00C13161"/>
    <w:rsid w:val="00C13399"/>
    <w:rsid w:val="00C1425E"/>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27FC1"/>
    <w:rsid w:val="00C30450"/>
    <w:rsid w:val="00C307E2"/>
    <w:rsid w:val="00C30BE6"/>
    <w:rsid w:val="00C30C1C"/>
    <w:rsid w:val="00C30F20"/>
    <w:rsid w:val="00C31B1D"/>
    <w:rsid w:val="00C32AC9"/>
    <w:rsid w:val="00C32FC4"/>
    <w:rsid w:val="00C33CA7"/>
    <w:rsid w:val="00C33EC4"/>
    <w:rsid w:val="00C3435E"/>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34C3"/>
    <w:rsid w:val="00C43B77"/>
    <w:rsid w:val="00C43F97"/>
    <w:rsid w:val="00C44676"/>
    <w:rsid w:val="00C4495D"/>
    <w:rsid w:val="00C44D08"/>
    <w:rsid w:val="00C44EF8"/>
    <w:rsid w:val="00C4531D"/>
    <w:rsid w:val="00C4641D"/>
    <w:rsid w:val="00C50D46"/>
    <w:rsid w:val="00C510C4"/>
    <w:rsid w:val="00C517D2"/>
    <w:rsid w:val="00C52929"/>
    <w:rsid w:val="00C52EAD"/>
    <w:rsid w:val="00C533A7"/>
    <w:rsid w:val="00C53D81"/>
    <w:rsid w:val="00C54993"/>
    <w:rsid w:val="00C5529A"/>
    <w:rsid w:val="00C55482"/>
    <w:rsid w:val="00C55889"/>
    <w:rsid w:val="00C55948"/>
    <w:rsid w:val="00C55ED6"/>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18"/>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EE"/>
    <w:rsid w:val="00C832F1"/>
    <w:rsid w:val="00C839C2"/>
    <w:rsid w:val="00C84052"/>
    <w:rsid w:val="00C84410"/>
    <w:rsid w:val="00C85F6E"/>
    <w:rsid w:val="00C86285"/>
    <w:rsid w:val="00C86AF8"/>
    <w:rsid w:val="00C8740F"/>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0D5"/>
    <w:rsid w:val="00CC04A7"/>
    <w:rsid w:val="00CC0639"/>
    <w:rsid w:val="00CC1119"/>
    <w:rsid w:val="00CC1C26"/>
    <w:rsid w:val="00CC20EE"/>
    <w:rsid w:val="00CC27E5"/>
    <w:rsid w:val="00CC4CA9"/>
    <w:rsid w:val="00CC5284"/>
    <w:rsid w:val="00CC531B"/>
    <w:rsid w:val="00CC565B"/>
    <w:rsid w:val="00CC5C58"/>
    <w:rsid w:val="00CC5EB7"/>
    <w:rsid w:val="00CC721A"/>
    <w:rsid w:val="00CC7B8D"/>
    <w:rsid w:val="00CD0285"/>
    <w:rsid w:val="00CD03D1"/>
    <w:rsid w:val="00CD0784"/>
    <w:rsid w:val="00CD18DC"/>
    <w:rsid w:val="00CD22DD"/>
    <w:rsid w:val="00CD2A34"/>
    <w:rsid w:val="00CD2A4A"/>
    <w:rsid w:val="00CD32D8"/>
    <w:rsid w:val="00CD33C2"/>
    <w:rsid w:val="00CD3597"/>
    <w:rsid w:val="00CD3681"/>
    <w:rsid w:val="00CD3CAE"/>
    <w:rsid w:val="00CD3D7C"/>
    <w:rsid w:val="00CD42C6"/>
    <w:rsid w:val="00CD4F5D"/>
    <w:rsid w:val="00CD5E20"/>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DD3"/>
    <w:rsid w:val="00CE4E7B"/>
    <w:rsid w:val="00CE563E"/>
    <w:rsid w:val="00CE6629"/>
    <w:rsid w:val="00CE785A"/>
    <w:rsid w:val="00CE7A3E"/>
    <w:rsid w:val="00CE7D2B"/>
    <w:rsid w:val="00CE7F51"/>
    <w:rsid w:val="00CF0151"/>
    <w:rsid w:val="00CF1028"/>
    <w:rsid w:val="00CF19CA"/>
    <w:rsid w:val="00CF1D06"/>
    <w:rsid w:val="00CF2171"/>
    <w:rsid w:val="00CF2C5D"/>
    <w:rsid w:val="00CF2F21"/>
    <w:rsid w:val="00CF3676"/>
    <w:rsid w:val="00CF37AC"/>
    <w:rsid w:val="00CF3933"/>
    <w:rsid w:val="00CF4A11"/>
    <w:rsid w:val="00CF4A1F"/>
    <w:rsid w:val="00CF4DA4"/>
    <w:rsid w:val="00CF4FDC"/>
    <w:rsid w:val="00CF598E"/>
    <w:rsid w:val="00CF65FB"/>
    <w:rsid w:val="00CF7B9C"/>
    <w:rsid w:val="00D00699"/>
    <w:rsid w:val="00D00CB3"/>
    <w:rsid w:val="00D00EC3"/>
    <w:rsid w:val="00D0113A"/>
    <w:rsid w:val="00D022EE"/>
    <w:rsid w:val="00D02510"/>
    <w:rsid w:val="00D02640"/>
    <w:rsid w:val="00D0396D"/>
    <w:rsid w:val="00D03CBD"/>
    <w:rsid w:val="00D040F8"/>
    <w:rsid w:val="00D054F1"/>
    <w:rsid w:val="00D059AB"/>
    <w:rsid w:val="00D065E1"/>
    <w:rsid w:val="00D06C32"/>
    <w:rsid w:val="00D07152"/>
    <w:rsid w:val="00D07B10"/>
    <w:rsid w:val="00D07BEA"/>
    <w:rsid w:val="00D07E8C"/>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6AE6"/>
    <w:rsid w:val="00D27578"/>
    <w:rsid w:val="00D30772"/>
    <w:rsid w:val="00D31337"/>
    <w:rsid w:val="00D32EE1"/>
    <w:rsid w:val="00D33068"/>
    <w:rsid w:val="00D33469"/>
    <w:rsid w:val="00D3356B"/>
    <w:rsid w:val="00D34034"/>
    <w:rsid w:val="00D34C37"/>
    <w:rsid w:val="00D35E3B"/>
    <w:rsid w:val="00D37FD8"/>
    <w:rsid w:val="00D400E2"/>
    <w:rsid w:val="00D40221"/>
    <w:rsid w:val="00D416B6"/>
    <w:rsid w:val="00D416ED"/>
    <w:rsid w:val="00D41B74"/>
    <w:rsid w:val="00D41C97"/>
    <w:rsid w:val="00D428F6"/>
    <w:rsid w:val="00D42E82"/>
    <w:rsid w:val="00D43002"/>
    <w:rsid w:val="00D4478C"/>
    <w:rsid w:val="00D449D4"/>
    <w:rsid w:val="00D44AD6"/>
    <w:rsid w:val="00D45518"/>
    <w:rsid w:val="00D4589A"/>
    <w:rsid w:val="00D45B3C"/>
    <w:rsid w:val="00D46599"/>
    <w:rsid w:val="00D4784A"/>
    <w:rsid w:val="00D47EED"/>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3385"/>
    <w:rsid w:val="00D74DE6"/>
    <w:rsid w:val="00D751C2"/>
    <w:rsid w:val="00D75289"/>
    <w:rsid w:val="00D761D1"/>
    <w:rsid w:val="00D766C1"/>
    <w:rsid w:val="00D766ED"/>
    <w:rsid w:val="00D771B7"/>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9D7"/>
    <w:rsid w:val="00D87DE7"/>
    <w:rsid w:val="00D9018D"/>
    <w:rsid w:val="00D918E4"/>
    <w:rsid w:val="00D91E1A"/>
    <w:rsid w:val="00D92052"/>
    <w:rsid w:val="00D9235A"/>
    <w:rsid w:val="00D94E86"/>
    <w:rsid w:val="00D95087"/>
    <w:rsid w:val="00D95163"/>
    <w:rsid w:val="00D95270"/>
    <w:rsid w:val="00D95363"/>
    <w:rsid w:val="00D95447"/>
    <w:rsid w:val="00D95C96"/>
    <w:rsid w:val="00D97269"/>
    <w:rsid w:val="00D979A4"/>
    <w:rsid w:val="00DA0B22"/>
    <w:rsid w:val="00DA2B9D"/>
    <w:rsid w:val="00DA32A7"/>
    <w:rsid w:val="00DA538D"/>
    <w:rsid w:val="00DA5727"/>
    <w:rsid w:val="00DA5B85"/>
    <w:rsid w:val="00DA5D52"/>
    <w:rsid w:val="00DA5E13"/>
    <w:rsid w:val="00DA75F6"/>
    <w:rsid w:val="00DB06E9"/>
    <w:rsid w:val="00DB3320"/>
    <w:rsid w:val="00DB381B"/>
    <w:rsid w:val="00DB47E7"/>
    <w:rsid w:val="00DB4B55"/>
    <w:rsid w:val="00DB4BA2"/>
    <w:rsid w:val="00DB5E37"/>
    <w:rsid w:val="00DB614A"/>
    <w:rsid w:val="00DB67CC"/>
    <w:rsid w:val="00DB6D4E"/>
    <w:rsid w:val="00DB7118"/>
    <w:rsid w:val="00DB7670"/>
    <w:rsid w:val="00DB7D8F"/>
    <w:rsid w:val="00DC00E0"/>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0DCE"/>
    <w:rsid w:val="00DD2ADE"/>
    <w:rsid w:val="00DD2BEE"/>
    <w:rsid w:val="00DD332D"/>
    <w:rsid w:val="00DD336E"/>
    <w:rsid w:val="00DD348F"/>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4AD7"/>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0EB8"/>
    <w:rsid w:val="00E01C9B"/>
    <w:rsid w:val="00E02586"/>
    <w:rsid w:val="00E026A4"/>
    <w:rsid w:val="00E02824"/>
    <w:rsid w:val="00E038AF"/>
    <w:rsid w:val="00E03EA8"/>
    <w:rsid w:val="00E046C2"/>
    <w:rsid w:val="00E05517"/>
    <w:rsid w:val="00E05820"/>
    <w:rsid w:val="00E05CED"/>
    <w:rsid w:val="00E0663F"/>
    <w:rsid w:val="00E0670A"/>
    <w:rsid w:val="00E06D52"/>
    <w:rsid w:val="00E075BA"/>
    <w:rsid w:val="00E075CA"/>
    <w:rsid w:val="00E07A97"/>
    <w:rsid w:val="00E07C39"/>
    <w:rsid w:val="00E1177E"/>
    <w:rsid w:val="00E11954"/>
    <w:rsid w:val="00E11A66"/>
    <w:rsid w:val="00E11A9B"/>
    <w:rsid w:val="00E11F15"/>
    <w:rsid w:val="00E12210"/>
    <w:rsid w:val="00E1352B"/>
    <w:rsid w:val="00E1393E"/>
    <w:rsid w:val="00E13B2A"/>
    <w:rsid w:val="00E14F05"/>
    <w:rsid w:val="00E14F5A"/>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696"/>
    <w:rsid w:val="00E23FA2"/>
    <w:rsid w:val="00E251DE"/>
    <w:rsid w:val="00E300CB"/>
    <w:rsid w:val="00E3065C"/>
    <w:rsid w:val="00E308C4"/>
    <w:rsid w:val="00E30AB1"/>
    <w:rsid w:val="00E311CA"/>
    <w:rsid w:val="00E317A1"/>
    <w:rsid w:val="00E3185A"/>
    <w:rsid w:val="00E337A3"/>
    <w:rsid w:val="00E33F4F"/>
    <w:rsid w:val="00E342A6"/>
    <w:rsid w:val="00E343A7"/>
    <w:rsid w:val="00E34E56"/>
    <w:rsid w:val="00E36A43"/>
    <w:rsid w:val="00E401CE"/>
    <w:rsid w:val="00E406CB"/>
    <w:rsid w:val="00E411D0"/>
    <w:rsid w:val="00E43084"/>
    <w:rsid w:val="00E44175"/>
    <w:rsid w:val="00E447B6"/>
    <w:rsid w:val="00E44D7F"/>
    <w:rsid w:val="00E44F03"/>
    <w:rsid w:val="00E465D1"/>
    <w:rsid w:val="00E46B8E"/>
    <w:rsid w:val="00E46E30"/>
    <w:rsid w:val="00E47A6D"/>
    <w:rsid w:val="00E47FEE"/>
    <w:rsid w:val="00E5068A"/>
    <w:rsid w:val="00E52B15"/>
    <w:rsid w:val="00E53064"/>
    <w:rsid w:val="00E531B7"/>
    <w:rsid w:val="00E5391B"/>
    <w:rsid w:val="00E53B76"/>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3F70"/>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742"/>
    <w:rsid w:val="00E9487C"/>
    <w:rsid w:val="00E9512F"/>
    <w:rsid w:val="00E9603F"/>
    <w:rsid w:val="00E960F1"/>
    <w:rsid w:val="00E9637B"/>
    <w:rsid w:val="00E9640A"/>
    <w:rsid w:val="00E9702A"/>
    <w:rsid w:val="00EA0FB4"/>
    <w:rsid w:val="00EA3BF5"/>
    <w:rsid w:val="00EA3F0A"/>
    <w:rsid w:val="00EA4AA9"/>
    <w:rsid w:val="00EA52B8"/>
    <w:rsid w:val="00EA5695"/>
    <w:rsid w:val="00EA56C8"/>
    <w:rsid w:val="00EA5F2B"/>
    <w:rsid w:val="00EA6E42"/>
    <w:rsid w:val="00EA706D"/>
    <w:rsid w:val="00EB002F"/>
    <w:rsid w:val="00EB243F"/>
    <w:rsid w:val="00EB3087"/>
    <w:rsid w:val="00EB3135"/>
    <w:rsid w:val="00EB3A01"/>
    <w:rsid w:val="00EB3EFC"/>
    <w:rsid w:val="00EB4070"/>
    <w:rsid w:val="00EB4B52"/>
    <w:rsid w:val="00EB5FBF"/>
    <w:rsid w:val="00EB66AD"/>
    <w:rsid w:val="00EB6B7E"/>
    <w:rsid w:val="00EB748E"/>
    <w:rsid w:val="00EB770A"/>
    <w:rsid w:val="00EC0062"/>
    <w:rsid w:val="00EC030C"/>
    <w:rsid w:val="00EC0A31"/>
    <w:rsid w:val="00EC2602"/>
    <w:rsid w:val="00EC3F6D"/>
    <w:rsid w:val="00EC44D9"/>
    <w:rsid w:val="00EC4749"/>
    <w:rsid w:val="00EC4E34"/>
    <w:rsid w:val="00EC52C9"/>
    <w:rsid w:val="00EC5330"/>
    <w:rsid w:val="00EC6343"/>
    <w:rsid w:val="00EC6766"/>
    <w:rsid w:val="00EC6B85"/>
    <w:rsid w:val="00EC73A4"/>
    <w:rsid w:val="00EC7AE1"/>
    <w:rsid w:val="00ED0B53"/>
    <w:rsid w:val="00ED3320"/>
    <w:rsid w:val="00ED35D6"/>
    <w:rsid w:val="00ED3A4E"/>
    <w:rsid w:val="00ED5345"/>
    <w:rsid w:val="00ED58C7"/>
    <w:rsid w:val="00ED5C57"/>
    <w:rsid w:val="00ED5DE8"/>
    <w:rsid w:val="00ED6296"/>
    <w:rsid w:val="00ED64C1"/>
    <w:rsid w:val="00ED7131"/>
    <w:rsid w:val="00ED714F"/>
    <w:rsid w:val="00ED72E3"/>
    <w:rsid w:val="00ED75AE"/>
    <w:rsid w:val="00ED7CDB"/>
    <w:rsid w:val="00EE0F94"/>
    <w:rsid w:val="00EE1240"/>
    <w:rsid w:val="00EE1863"/>
    <w:rsid w:val="00EE1CEE"/>
    <w:rsid w:val="00EE2B07"/>
    <w:rsid w:val="00EE31D2"/>
    <w:rsid w:val="00EE3BC2"/>
    <w:rsid w:val="00EE4254"/>
    <w:rsid w:val="00EE58D6"/>
    <w:rsid w:val="00EE59FE"/>
    <w:rsid w:val="00EE5BBC"/>
    <w:rsid w:val="00EE6DA0"/>
    <w:rsid w:val="00EE7A88"/>
    <w:rsid w:val="00EE7D43"/>
    <w:rsid w:val="00EF0051"/>
    <w:rsid w:val="00EF016E"/>
    <w:rsid w:val="00EF0648"/>
    <w:rsid w:val="00EF076A"/>
    <w:rsid w:val="00EF0D1E"/>
    <w:rsid w:val="00EF1286"/>
    <w:rsid w:val="00EF13E8"/>
    <w:rsid w:val="00EF1675"/>
    <w:rsid w:val="00EF1B4B"/>
    <w:rsid w:val="00EF1BFE"/>
    <w:rsid w:val="00EF1D89"/>
    <w:rsid w:val="00EF2749"/>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40EA"/>
    <w:rsid w:val="00F06A3B"/>
    <w:rsid w:val="00F06C6C"/>
    <w:rsid w:val="00F074C4"/>
    <w:rsid w:val="00F07AFD"/>
    <w:rsid w:val="00F1085D"/>
    <w:rsid w:val="00F11B05"/>
    <w:rsid w:val="00F11D17"/>
    <w:rsid w:val="00F11D30"/>
    <w:rsid w:val="00F11D48"/>
    <w:rsid w:val="00F12520"/>
    <w:rsid w:val="00F12812"/>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6DBB"/>
    <w:rsid w:val="00F37155"/>
    <w:rsid w:val="00F37259"/>
    <w:rsid w:val="00F419A4"/>
    <w:rsid w:val="00F438A9"/>
    <w:rsid w:val="00F43EEC"/>
    <w:rsid w:val="00F45E80"/>
    <w:rsid w:val="00F4670B"/>
    <w:rsid w:val="00F4679B"/>
    <w:rsid w:val="00F46822"/>
    <w:rsid w:val="00F46BFD"/>
    <w:rsid w:val="00F46F80"/>
    <w:rsid w:val="00F46FC5"/>
    <w:rsid w:val="00F470F4"/>
    <w:rsid w:val="00F478FE"/>
    <w:rsid w:val="00F5018C"/>
    <w:rsid w:val="00F50D00"/>
    <w:rsid w:val="00F5157D"/>
    <w:rsid w:val="00F5173A"/>
    <w:rsid w:val="00F52C89"/>
    <w:rsid w:val="00F530B0"/>
    <w:rsid w:val="00F53168"/>
    <w:rsid w:val="00F5376C"/>
    <w:rsid w:val="00F5388D"/>
    <w:rsid w:val="00F53C57"/>
    <w:rsid w:val="00F54885"/>
    <w:rsid w:val="00F5507E"/>
    <w:rsid w:val="00F56D98"/>
    <w:rsid w:val="00F6079E"/>
    <w:rsid w:val="00F60A0B"/>
    <w:rsid w:val="00F610D5"/>
    <w:rsid w:val="00F613D7"/>
    <w:rsid w:val="00F62855"/>
    <w:rsid w:val="00F62D03"/>
    <w:rsid w:val="00F635C3"/>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02E"/>
    <w:rsid w:val="00F81BD8"/>
    <w:rsid w:val="00F81EA9"/>
    <w:rsid w:val="00F81F65"/>
    <w:rsid w:val="00F824ED"/>
    <w:rsid w:val="00F82660"/>
    <w:rsid w:val="00F827A0"/>
    <w:rsid w:val="00F83983"/>
    <w:rsid w:val="00F83DE9"/>
    <w:rsid w:val="00F840FD"/>
    <w:rsid w:val="00F84392"/>
    <w:rsid w:val="00F84D17"/>
    <w:rsid w:val="00F84FD3"/>
    <w:rsid w:val="00F859B5"/>
    <w:rsid w:val="00F85C0E"/>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029E"/>
    <w:rsid w:val="00FC12AE"/>
    <w:rsid w:val="00FC5B5F"/>
    <w:rsid w:val="00FC6B10"/>
    <w:rsid w:val="00FC7642"/>
    <w:rsid w:val="00FC7934"/>
    <w:rsid w:val="00FD045A"/>
    <w:rsid w:val="00FD0558"/>
    <w:rsid w:val="00FD0559"/>
    <w:rsid w:val="00FD12D4"/>
    <w:rsid w:val="00FD153C"/>
    <w:rsid w:val="00FD1720"/>
    <w:rsid w:val="00FD1C53"/>
    <w:rsid w:val="00FD1D49"/>
    <w:rsid w:val="00FD2202"/>
    <w:rsid w:val="00FD221E"/>
    <w:rsid w:val="00FD29CC"/>
    <w:rsid w:val="00FD329E"/>
    <w:rsid w:val="00FD4D4D"/>
    <w:rsid w:val="00FD50D3"/>
    <w:rsid w:val="00FD51B8"/>
    <w:rsid w:val="00FD5315"/>
    <w:rsid w:val="00FD5620"/>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2B60"/>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11456F-55BF-46F2-ADAD-893E3A28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val="en-US"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styleId="Emphasis">
    <w:name w:val="Emphasis"/>
    <w:basedOn w:val="DefaultParagraphFont"/>
    <w:uiPriority w:val="20"/>
    <w:qFormat/>
    <w:locked/>
    <w:rsid w:val="00D47E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751">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1368216">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30288691">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4345610">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94721654">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9481639">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5437761">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977470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8970">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5807888">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3637715">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097487">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9237651">
      <w:bodyDiv w:val="1"/>
      <w:marLeft w:val="0"/>
      <w:marRight w:val="0"/>
      <w:marTop w:val="0"/>
      <w:marBottom w:val="0"/>
      <w:divBdr>
        <w:top w:val="none" w:sz="0" w:space="0" w:color="auto"/>
        <w:left w:val="none" w:sz="0" w:space="0" w:color="auto"/>
        <w:bottom w:val="none" w:sz="0" w:space="0" w:color="auto"/>
        <w:right w:val="none" w:sz="0" w:space="0" w:color="auto"/>
      </w:divBdr>
    </w:div>
    <w:div w:id="136894289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715208">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6398959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374812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mine.durmaz@eas.bau.edu.tr" TargetMode="External"/><Relationship Id="rId2" Type="http://schemas.openxmlformats.org/officeDocument/2006/relationships/hyperlink" Target="file:///C:\Users\selin.koksal\Desktop\&#304;&#351;g&#252;c&#252;%20G&#246;r&#252;n&#252;m\2017\05.2017\gokce.uysal@eas.bau.edu.tr" TargetMode="External"/><Relationship Id="rId1" Type="http://schemas.openxmlformats.org/officeDocument/2006/relationships/hyperlink" Target="file:///C:\Users\selin.koksal\Desktop\&#304;&#351;g&#252;c&#252;%20G&#246;r&#252;n&#252;m\2017\05.2017\seyfettin.gursel@eas.bau.edu.tr" TargetMode="External"/><Relationship Id="rId4" Type="http://schemas.openxmlformats.org/officeDocument/2006/relationships/hyperlink" Target="http://betam.bahcesehir.edu.tr/tr/2014/06/kariyer-net-verisiyle-kisa-vadeli-tarim-disi-issizlik-tahmini/"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ne.durmaz\Documents\&#304;&#351;g&#252;c&#252;%20g&#246;r&#252;n&#252;m\NOT\2017\07.2017\AN%20&#304;&#351;sizlik%20(E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33962264150951E-2"/>
          <c:y val="6.6666840278229889E-2"/>
          <c:w val="0.79245283018867962"/>
          <c:h val="0.69955723534558201"/>
        </c:manualLayout>
      </c:layout>
      <c:lineChart>
        <c:grouping val="standard"/>
        <c:varyColors val="0"/>
        <c:ser>
          <c:idx val="1"/>
          <c:order val="0"/>
          <c:tx>
            <c:strRef>
              <c:f>'FIGURE 2'!$E$2</c:f>
              <c:strCache>
                <c:ptCount val="1"/>
                <c:pt idx="0">
                  <c:v># applications per vacancy</c:v>
                </c:pt>
              </c:strCache>
            </c:strRef>
          </c:tx>
          <c:spPr>
            <a:ln w="25400">
              <a:solidFill>
                <a:srgbClr val="FF0000"/>
              </a:solidFill>
              <a:prstDash val="solid"/>
            </a:ln>
          </c:spPr>
          <c:marker>
            <c:symbol val="none"/>
          </c:marker>
          <c:cat>
            <c:numRef>
              <c:f>'FIGURE 2'!$A$105:$A$153</c:f>
              <c:numCache>
                <c:formatCode>[$-41F]mmmm\ yy;@</c:formatCode>
                <c:ptCount val="49"/>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pt idx="12">
                  <c:v>41791</c:v>
                </c:pt>
                <c:pt idx="13">
                  <c:v>41821</c:v>
                </c:pt>
                <c:pt idx="14">
                  <c:v>41852</c:v>
                </c:pt>
                <c:pt idx="15">
                  <c:v>41883</c:v>
                </c:pt>
                <c:pt idx="16">
                  <c:v>41913</c:v>
                </c:pt>
                <c:pt idx="17">
                  <c:v>41944</c:v>
                </c:pt>
                <c:pt idx="18">
                  <c:v>41974</c:v>
                </c:pt>
                <c:pt idx="19">
                  <c:v>42005</c:v>
                </c:pt>
                <c:pt idx="20">
                  <c:v>42036</c:v>
                </c:pt>
                <c:pt idx="21">
                  <c:v>42064</c:v>
                </c:pt>
                <c:pt idx="22">
                  <c:v>42095</c:v>
                </c:pt>
                <c:pt idx="23">
                  <c:v>42125</c:v>
                </c:pt>
                <c:pt idx="24">
                  <c:v>42156</c:v>
                </c:pt>
                <c:pt idx="25">
                  <c:v>42186</c:v>
                </c:pt>
                <c:pt idx="26">
                  <c:v>42217</c:v>
                </c:pt>
                <c:pt idx="27">
                  <c:v>42248</c:v>
                </c:pt>
                <c:pt idx="28">
                  <c:v>42278</c:v>
                </c:pt>
                <c:pt idx="29">
                  <c:v>42309</c:v>
                </c:pt>
                <c:pt idx="30">
                  <c:v>42339</c:v>
                </c:pt>
                <c:pt idx="31">
                  <c:v>42370</c:v>
                </c:pt>
                <c:pt idx="32">
                  <c:v>42401</c:v>
                </c:pt>
                <c:pt idx="33">
                  <c:v>42430</c:v>
                </c:pt>
                <c:pt idx="34">
                  <c:v>42461</c:v>
                </c:pt>
                <c:pt idx="35">
                  <c:v>42491</c:v>
                </c:pt>
                <c:pt idx="36">
                  <c:v>42522</c:v>
                </c:pt>
                <c:pt idx="37">
                  <c:v>42552</c:v>
                </c:pt>
                <c:pt idx="38">
                  <c:v>42583</c:v>
                </c:pt>
                <c:pt idx="39">
                  <c:v>42614</c:v>
                </c:pt>
                <c:pt idx="40">
                  <c:v>42644</c:v>
                </c:pt>
                <c:pt idx="41">
                  <c:v>42675</c:v>
                </c:pt>
                <c:pt idx="42">
                  <c:v>42705</c:v>
                </c:pt>
                <c:pt idx="43">
                  <c:v>42736</c:v>
                </c:pt>
                <c:pt idx="44">
                  <c:v>42767</c:v>
                </c:pt>
                <c:pt idx="45">
                  <c:v>42795</c:v>
                </c:pt>
                <c:pt idx="46">
                  <c:v>42826</c:v>
                </c:pt>
                <c:pt idx="47">
                  <c:v>42856</c:v>
                </c:pt>
                <c:pt idx="48">
                  <c:v>42887</c:v>
                </c:pt>
              </c:numCache>
            </c:numRef>
          </c:cat>
          <c:val>
            <c:numRef>
              <c:f>'FIGURE 2'!$E$105:$E$153</c:f>
              <c:numCache>
                <c:formatCode>0</c:formatCode>
                <c:ptCount val="49"/>
                <c:pt idx="0">
                  <c:v>95.54166740530961</c:v>
                </c:pt>
                <c:pt idx="1">
                  <c:v>111.2489838295153</c:v>
                </c:pt>
                <c:pt idx="2">
                  <c:v>95.053188719293658</c:v>
                </c:pt>
                <c:pt idx="3">
                  <c:v>102.17814587943489</c:v>
                </c:pt>
                <c:pt idx="4">
                  <c:v>95.06711972538514</c:v>
                </c:pt>
                <c:pt idx="5">
                  <c:v>96.40441584781081</c:v>
                </c:pt>
                <c:pt idx="6">
                  <c:v>94.035645550228992</c:v>
                </c:pt>
                <c:pt idx="7">
                  <c:v>91.998189897934708</c:v>
                </c:pt>
                <c:pt idx="8">
                  <c:v>90.127017628054389</c:v>
                </c:pt>
                <c:pt idx="9">
                  <c:v>90.271404269639106</c:v>
                </c:pt>
                <c:pt idx="10">
                  <c:v>101.5521792042416</c:v>
                </c:pt>
                <c:pt idx="11">
                  <c:v>102.14359245713658</c:v>
                </c:pt>
                <c:pt idx="12">
                  <c:v>100.00517233744642</c:v>
                </c:pt>
                <c:pt idx="13">
                  <c:v>108.1071971352777</c:v>
                </c:pt>
                <c:pt idx="14">
                  <c:v>107.36280211936017</c:v>
                </c:pt>
                <c:pt idx="15">
                  <c:v>109.83531921296721</c:v>
                </c:pt>
                <c:pt idx="16">
                  <c:v>105.19155208385131</c:v>
                </c:pt>
                <c:pt idx="17">
                  <c:v>115.12809236374987</c:v>
                </c:pt>
                <c:pt idx="18">
                  <c:v>123.75853031293387</c:v>
                </c:pt>
                <c:pt idx="19">
                  <c:v>120.71211845372751</c:v>
                </c:pt>
                <c:pt idx="20">
                  <c:v>125.83022622557424</c:v>
                </c:pt>
                <c:pt idx="21">
                  <c:v>130.1419590103186</c:v>
                </c:pt>
                <c:pt idx="22">
                  <c:v>133.22591897228369</c:v>
                </c:pt>
                <c:pt idx="23">
                  <c:v>127.80854598722706</c:v>
                </c:pt>
                <c:pt idx="24">
                  <c:v>137.50154351523869</c:v>
                </c:pt>
                <c:pt idx="25">
                  <c:v>136.01221879110904</c:v>
                </c:pt>
                <c:pt idx="26">
                  <c:v>129.17729609643052</c:v>
                </c:pt>
                <c:pt idx="27">
                  <c:v>129.1134864022344</c:v>
                </c:pt>
                <c:pt idx="28">
                  <c:v>128.28970112804427</c:v>
                </c:pt>
                <c:pt idx="29">
                  <c:v>130.35726462353179</c:v>
                </c:pt>
                <c:pt idx="30">
                  <c:v>126.19649775678529</c:v>
                </c:pt>
                <c:pt idx="31">
                  <c:v>124.2068826149832</c:v>
                </c:pt>
                <c:pt idx="32">
                  <c:v>134.93470140232404</c:v>
                </c:pt>
                <c:pt idx="33">
                  <c:v>136.23924633284</c:v>
                </c:pt>
                <c:pt idx="34">
                  <c:v>135.0877822310903</c:v>
                </c:pt>
                <c:pt idx="35">
                  <c:v>137.93055359771478</c:v>
                </c:pt>
                <c:pt idx="36">
                  <c:v>148.3437458050484</c:v>
                </c:pt>
                <c:pt idx="37">
                  <c:v>142.60427171120097</c:v>
                </c:pt>
                <c:pt idx="38">
                  <c:v>165.68912158837597</c:v>
                </c:pt>
                <c:pt idx="39">
                  <c:v>164.38936452127791</c:v>
                </c:pt>
                <c:pt idx="40">
                  <c:v>180.80706837603472</c:v>
                </c:pt>
                <c:pt idx="41">
                  <c:v>176.79956705838313</c:v>
                </c:pt>
                <c:pt idx="42">
                  <c:v>175.36964683371298</c:v>
                </c:pt>
                <c:pt idx="43">
                  <c:v>191.33775066928249</c:v>
                </c:pt>
                <c:pt idx="44">
                  <c:v>185.98642265276814</c:v>
                </c:pt>
                <c:pt idx="45">
                  <c:v>186.02342911419339</c:v>
                </c:pt>
                <c:pt idx="46">
                  <c:v>177.20483527874956</c:v>
                </c:pt>
                <c:pt idx="47">
                  <c:v>183.94817086048633</c:v>
                </c:pt>
                <c:pt idx="48">
                  <c:v>180.67539898152216</c:v>
                </c:pt>
              </c:numCache>
            </c:numRef>
          </c:val>
          <c:smooth val="0"/>
          <c:extLst>
            <c:ext xmlns:c16="http://schemas.microsoft.com/office/drawing/2014/chart" uri="{C3380CC4-5D6E-409C-BE32-E72D297353CC}">
              <c16:uniqueId val="{00000000-2D28-4A71-B35D-ED3C8F3D9D51}"/>
            </c:ext>
          </c:extLst>
        </c:ser>
        <c:dLbls>
          <c:showLegendKey val="0"/>
          <c:showVal val="0"/>
          <c:showCatName val="0"/>
          <c:showSerName val="0"/>
          <c:showPercent val="0"/>
          <c:showBubbleSize val="0"/>
        </c:dLbls>
        <c:marker val="1"/>
        <c:smooth val="0"/>
        <c:axId val="205870592"/>
        <c:axId val="205881344"/>
      </c:lineChart>
      <c:lineChart>
        <c:grouping val="standard"/>
        <c:varyColors val="0"/>
        <c:ser>
          <c:idx val="0"/>
          <c:order val="1"/>
          <c:tx>
            <c:strRef>
              <c:f>'FIGURE 2'!$D$2</c:f>
              <c:strCache>
                <c:ptCount val="1"/>
                <c:pt idx="0">
                  <c:v>NA unemployment rate</c:v>
                </c:pt>
              </c:strCache>
            </c:strRef>
          </c:tx>
          <c:spPr>
            <a:ln w="38100">
              <a:solidFill>
                <a:srgbClr val="000000"/>
              </a:solidFill>
              <a:prstDash val="solid"/>
            </a:ln>
          </c:spPr>
          <c:marker>
            <c:symbol val="none"/>
          </c:marker>
          <c:cat>
            <c:numRef>
              <c:f>'FIGURE 2'!$A$105:$A$153</c:f>
              <c:numCache>
                <c:formatCode>[$-41F]mmmm\ yy;@</c:formatCode>
                <c:ptCount val="49"/>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pt idx="12">
                  <c:v>41791</c:v>
                </c:pt>
                <c:pt idx="13">
                  <c:v>41821</c:v>
                </c:pt>
                <c:pt idx="14">
                  <c:v>41852</c:v>
                </c:pt>
                <c:pt idx="15">
                  <c:v>41883</c:v>
                </c:pt>
                <c:pt idx="16">
                  <c:v>41913</c:v>
                </c:pt>
                <c:pt idx="17">
                  <c:v>41944</c:v>
                </c:pt>
                <c:pt idx="18">
                  <c:v>41974</c:v>
                </c:pt>
                <c:pt idx="19">
                  <c:v>42005</c:v>
                </c:pt>
                <c:pt idx="20">
                  <c:v>42036</c:v>
                </c:pt>
                <c:pt idx="21">
                  <c:v>42064</c:v>
                </c:pt>
                <c:pt idx="22">
                  <c:v>42095</c:v>
                </c:pt>
                <c:pt idx="23">
                  <c:v>42125</c:v>
                </c:pt>
                <c:pt idx="24">
                  <c:v>42156</c:v>
                </c:pt>
                <c:pt idx="25">
                  <c:v>42186</c:v>
                </c:pt>
                <c:pt idx="26">
                  <c:v>42217</c:v>
                </c:pt>
                <c:pt idx="27">
                  <c:v>42248</c:v>
                </c:pt>
                <c:pt idx="28">
                  <c:v>42278</c:v>
                </c:pt>
                <c:pt idx="29">
                  <c:v>42309</c:v>
                </c:pt>
                <c:pt idx="30">
                  <c:v>42339</c:v>
                </c:pt>
                <c:pt idx="31">
                  <c:v>42370</c:v>
                </c:pt>
                <c:pt idx="32">
                  <c:v>42401</c:v>
                </c:pt>
                <c:pt idx="33">
                  <c:v>42430</c:v>
                </c:pt>
                <c:pt idx="34">
                  <c:v>42461</c:v>
                </c:pt>
                <c:pt idx="35">
                  <c:v>42491</c:v>
                </c:pt>
                <c:pt idx="36">
                  <c:v>42522</c:v>
                </c:pt>
                <c:pt idx="37">
                  <c:v>42552</c:v>
                </c:pt>
                <c:pt idx="38">
                  <c:v>42583</c:v>
                </c:pt>
                <c:pt idx="39">
                  <c:v>42614</c:v>
                </c:pt>
                <c:pt idx="40">
                  <c:v>42644</c:v>
                </c:pt>
                <c:pt idx="41">
                  <c:v>42675</c:v>
                </c:pt>
                <c:pt idx="42">
                  <c:v>42705</c:v>
                </c:pt>
                <c:pt idx="43">
                  <c:v>42736</c:v>
                </c:pt>
                <c:pt idx="44">
                  <c:v>42767</c:v>
                </c:pt>
                <c:pt idx="45">
                  <c:v>42795</c:v>
                </c:pt>
                <c:pt idx="46">
                  <c:v>42826</c:v>
                </c:pt>
                <c:pt idx="47">
                  <c:v>42856</c:v>
                </c:pt>
                <c:pt idx="48">
                  <c:v>42887</c:v>
                </c:pt>
              </c:numCache>
            </c:numRef>
          </c:cat>
          <c:val>
            <c:numRef>
              <c:f>'FIGURE 2'!$D$106:$D$153</c:f>
              <c:numCache>
                <c:formatCode>#,#00</c:formatCode>
                <c:ptCount val="48"/>
                <c:pt idx="0">
                  <c:v>11</c:v>
                </c:pt>
                <c:pt idx="1">
                  <c:v>11.2</c:v>
                </c:pt>
                <c:pt idx="2">
                  <c:v>11.2</c:v>
                </c:pt>
                <c:pt idx="3">
                  <c:v>10.9</c:v>
                </c:pt>
                <c:pt idx="4">
                  <c:v>11</c:v>
                </c:pt>
                <c:pt idx="5">
                  <c:v>10.9</c:v>
                </c:pt>
                <c:pt idx="6">
                  <c:v>11.2</c:v>
                </c:pt>
                <c:pt idx="7">
                  <c:v>11.2</c:v>
                </c:pt>
                <c:pt idx="8">
                  <c:v>11.3</c:v>
                </c:pt>
                <c:pt idx="9">
                  <c:v>11.5</c:v>
                </c:pt>
                <c:pt idx="10">
                  <c:v>11.7</c:v>
                </c:pt>
                <c:pt idx="11">
                  <c:v>12</c:v>
                </c:pt>
                <c:pt idx="12">
                  <c:v>12.4</c:v>
                </c:pt>
                <c:pt idx="13">
                  <c:v>12.3</c:v>
                </c:pt>
                <c:pt idx="14">
                  <c:v>12.6</c:v>
                </c:pt>
                <c:pt idx="15">
                  <c:v>12.4</c:v>
                </c:pt>
                <c:pt idx="16">
                  <c:v>12.6</c:v>
                </c:pt>
                <c:pt idx="17">
                  <c:v>12.4</c:v>
                </c:pt>
                <c:pt idx="18">
                  <c:v>12.4</c:v>
                </c:pt>
                <c:pt idx="19">
                  <c:v>12.3</c:v>
                </c:pt>
                <c:pt idx="20">
                  <c:v>12.4</c:v>
                </c:pt>
                <c:pt idx="21">
                  <c:v>12.4</c:v>
                </c:pt>
                <c:pt idx="22">
                  <c:v>12.5</c:v>
                </c:pt>
                <c:pt idx="23">
                  <c:v>12.6</c:v>
                </c:pt>
                <c:pt idx="24">
                  <c:v>12.3</c:v>
                </c:pt>
                <c:pt idx="25">
                  <c:v>12.3</c:v>
                </c:pt>
                <c:pt idx="26">
                  <c:v>12.3</c:v>
                </c:pt>
                <c:pt idx="27">
                  <c:v>12.4</c:v>
                </c:pt>
                <c:pt idx="28">
                  <c:v>12.2</c:v>
                </c:pt>
                <c:pt idx="29">
                  <c:v>12.1</c:v>
                </c:pt>
                <c:pt idx="30">
                  <c:v>12</c:v>
                </c:pt>
                <c:pt idx="31">
                  <c:v>11.9</c:v>
                </c:pt>
                <c:pt idx="32">
                  <c:v>11.8</c:v>
                </c:pt>
                <c:pt idx="33">
                  <c:v>11.9</c:v>
                </c:pt>
                <c:pt idx="34">
                  <c:v>12.4</c:v>
                </c:pt>
                <c:pt idx="35">
                  <c:v>13.1</c:v>
                </c:pt>
                <c:pt idx="36">
                  <c:v>13.4</c:v>
                </c:pt>
                <c:pt idx="37">
                  <c:v>13.6</c:v>
                </c:pt>
                <c:pt idx="38">
                  <c:v>13.5</c:v>
                </c:pt>
                <c:pt idx="39">
                  <c:v>13.9</c:v>
                </c:pt>
                <c:pt idx="40">
                  <c:v>14</c:v>
                </c:pt>
                <c:pt idx="41">
                  <c:v>14.1</c:v>
                </c:pt>
                <c:pt idx="42">
                  <c:v>14</c:v>
                </c:pt>
                <c:pt idx="43">
                  <c:v>13.9</c:v>
                </c:pt>
                <c:pt idx="44">
                  <c:v>13.6</c:v>
                </c:pt>
                <c:pt idx="45">
                  <c:v>13.4</c:v>
                </c:pt>
              </c:numCache>
            </c:numRef>
          </c:val>
          <c:smooth val="0"/>
          <c:extLst>
            <c:ext xmlns:c16="http://schemas.microsoft.com/office/drawing/2014/chart" uri="{C3380CC4-5D6E-409C-BE32-E72D297353CC}">
              <c16:uniqueId val="{00000001-2D28-4A71-B35D-ED3C8F3D9D51}"/>
            </c:ext>
          </c:extLst>
        </c:ser>
        <c:dLbls>
          <c:showLegendKey val="0"/>
          <c:showVal val="0"/>
          <c:showCatName val="0"/>
          <c:showSerName val="0"/>
          <c:showPercent val="0"/>
          <c:showBubbleSize val="0"/>
        </c:dLbls>
        <c:marker val="1"/>
        <c:smooth val="0"/>
        <c:axId val="205884800"/>
        <c:axId val="206292096"/>
      </c:lineChart>
      <c:catAx>
        <c:axId val="205870592"/>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205881344"/>
        <c:crosses val="autoZero"/>
        <c:auto val="0"/>
        <c:lblAlgn val="ctr"/>
        <c:lblOffset val="100"/>
        <c:tickLblSkip val="2"/>
        <c:tickMarkSkip val="2"/>
        <c:noMultiLvlLbl val="0"/>
      </c:catAx>
      <c:valAx>
        <c:axId val="205881344"/>
        <c:scaling>
          <c:orientation val="minMax"/>
          <c:max val="200"/>
          <c:min val="70"/>
        </c:scaling>
        <c:delete val="0"/>
        <c:axPos val="l"/>
        <c:title>
          <c:tx>
            <c:rich>
              <a:bodyPr/>
              <a:lstStyle/>
              <a:p>
                <a:pPr>
                  <a:defRPr sz="1000" b="1" i="0" u="none" strike="noStrike" baseline="0">
                    <a:solidFill>
                      <a:srgbClr val="000000"/>
                    </a:solidFill>
                    <a:latin typeface="Arial"/>
                    <a:ea typeface="Arial"/>
                    <a:cs typeface="Arial"/>
                  </a:defRPr>
                </a:pPr>
                <a:r>
                  <a:rPr lang="tr-TR"/>
                  <a:t># applications per vacancy</a:t>
                </a:r>
              </a:p>
            </c:rich>
          </c:tx>
          <c:layout>
            <c:manualLayout>
              <c:xMode val="edge"/>
              <c:yMode val="edge"/>
              <c:x val="7.2568669558016486E-3"/>
              <c:y val="0.1706674640353500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205870592"/>
        <c:crosses val="autoZero"/>
        <c:crossBetween val="midCat"/>
        <c:majorUnit val="10"/>
      </c:valAx>
      <c:dateAx>
        <c:axId val="205884800"/>
        <c:scaling>
          <c:orientation val="minMax"/>
        </c:scaling>
        <c:delete val="1"/>
        <c:axPos val="b"/>
        <c:numFmt formatCode="[$-41F]mmmm\ yy;@" sourceLinked="1"/>
        <c:majorTickMark val="out"/>
        <c:minorTickMark val="none"/>
        <c:tickLblPos val="nextTo"/>
        <c:crossAx val="206292096"/>
        <c:crosses val="autoZero"/>
        <c:auto val="1"/>
        <c:lblOffset val="100"/>
        <c:baseTimeUnit val="months"/>
      </c:dateAx>
      <c:valAx>
        <c:axId val="206292096"/>
        <c:scaling>
          <c:orientation val="minMax"/>
          <c:max val="14.5"/>
          <c:min val="9.5"/>
        </c:scaling>
        <c:delete val="0"/>
        <c:axPos val="r"/>
        <c:title>
          <c:tx>
            <c:rich>
              <a:bodyPr/>
              <a:lstStyle/>
              <a:p>
                <a:pPr>
                  <a:defRPr sz="1000" b="1" i="0" u="none" strike="noStrike" baseline="0">
                    <a:solidFill>
                      <a:srgbClr val="000000"/>
                    </a:solidFill>
                    <a:latin typeface="Arial"/>
                    <a:ea typeface="Arial"/>
                    <a:cs typeface="Arial"/>
                  </a:defRPr>
                </a:pPr>
                <a:r>
                  <a:rPr lang="tr-TR"/>
                  <a:t>NA unemployment rate</a:t>
                </a:r>
              </a:p>
            </c:rich>
          </c:tx>
          <c:layout>
            <c:manualLayout>
              <c:xMode val="edge"/>
              <c:yMode val="edge"/>
              <c:x val="0.94629893188485137"/>
              <c:y val="0.19200062017564259"/>
            </c:manualLayout>
          </c:layout>
          <c:overlay val="0"/>
          <c:spPr>
            <a:noFill/>
            <a:ln w="25400">
              <a:noFill/>
            </a:ln>
          </c:spPr>
        </c:title>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205884800"/>
        <c:crosses val="max"/>
        <c:crossBetween val="midCat"/>
        <c:majorUnit val="0.5"/>
      </c:valAx>
      <c:spPr>
        <a:solidFill>
          <a:srgbClr val="FFFFFF"/>
        </a:solidFill>
        <a:ln w="25400">
          <a:noFill/>
        </a:ln>
      </c:spPr>
    </c:plotArea>
    <c:legend>
      <c:legendPos val="r"/>
      <c:layout>
        <c:manualLayout>
          <c:xMode val="edge"/>
          <c:yMode val="edge"/>
          <c:x val="8.9985402894156949E-2"/>
          <c:y val="0.88266897017619628"/>
          <c:w val="0.79390430474265583"/>
          <c:h val="0.10133359912289441"/>
        </c:manualLayout>
      </c:layout>
      <c:overlay val="0"/>
      <c:spPr>
        <a:solidFill>
          <a:srgbClr val="FFFFFF"/>
        </a:solidFill>
        <a:ln w="25400">
          <a:noFill/>
        </a:ln>
      </c:spPr>
      <c:txPr>
        <a:bodyPr/>
        <a:lstStyle/>
        <a:p>
          <a:pPr>
            <a:defRPr sz="735" b="1"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3.jpeg"/></Relationships>
</file>

<file path=word/drawings/drawing1.xml><?xml version="1.0" encoding="utf-8"?>
<c:userShapes xmlns:c="http://schemas.openxmlformats.org/drawingml/2006/chart">
  <cdr:relSizeAnchor xmlns:cdr="http://schemas.openxmlformats.org/drawingml/2006/chartDrawing">
    <cdr:from>
      <cdr:x>0.92603</cdr:x>
      <cdr:y>0.92086</cdr:y>
    </cdr:from>
    <cdr:to>
      <cdr:x>0.94031</cdr:x>
      <cdr:y>0.92086</cdr:y>
    </cdr:to>
    <cdr:pic>
      <cdr:nvPicPr>
        <cdr:cNvPr id="142337" name="Picture 1025" descr="betamlogo_kucuk"/>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787803" y="3270260"/>
          <a:ext cx="739997" cy="265818"/>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D0C84-EA4F-4C8C-84C4-AED9B8C0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1789</Words>
  <Characters>10198</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merve.akgul</cp:lastModifiedBy>
  <cp:revision>2</cp:revision>
  <cp:lastPrinted>2015-10-15T08:48:00Z</cp:lastPrinted>
  <dcterms:created xsi:type="dcterms:W3CDTF">2017-10-24T13:00:00Z</dcterms:created>
  <dcterms:modified xsi:type="dcterms:W3CDTF">2017-10-24T13:00:00Z</dcterms:modified>
</cp:coreProperties>
</file>