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13" w:rsidRPr="00924CD9" w:rsidRDefault="00D07713">
      <w:pPr>
        <w:rPr>
          <w:rFonts w:ascii="Palatino Linotype" w:hAnsi="Palatino Linotype" w:cstheme="minorHAnsi"/>
        </w:rPr>
      </w:pPr>
      <w:r w:rsidRPr="00924CD9">
        <w:rPr>
          <w:rFonts w:ascii="Palatino Linotype" w:hAnsi="Palatino Linotype" w:cstheme="minorHAnsi"/>
          <w:noProof/>
        </w:rPr>
        <mc:AlternateContent>
          <mc:Choice Requires="wps">
            <w:drawing>
              <wp:anchor distT="0" distB="0" distL="114935" distR="114935" simplePos="0" relativeHeight="251661824" behindDoc="0" locked="0" layoutInCell="1" allowOverlap="1" wp14:anchorId="12B847B8" wp14:editId="42A4149E">
                <wp:simplePos x="0" y="0"/>
                <wp:positionH relativeFrom="column">
                  <wp:posOffset>4748530</wp:posOffset>
                </wp:positionH>
                <wp:positionV relativeFrom="paragraph">
                  <wp:posOffset>5080</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Pr="00D07713" w:rsidRDefault="00D07713"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sidRPr="00187FA0">
                              <w:rPr>
                                <w:color w:val="FFFFFF"/>
                                <w:sz w:val="22"/>
                                <w:szCs w:val="22"/>
                              </w:rPr>
                              <w:t xml:space="preserve">               </w:t>
                            </w:r>
                            <w:r w:rsidR="0028498B">
                              <w:rPr>
                                <w:rFonts w:ascii="Arial" w:eastAsia="Times New Roman" w:hAnsi="Arial" w:cs="Arial"/>
                                <w:b/>
                                <w:bCs/>
                                <w:color w:val="FFFFFF"/>
                                <w:sz w:val="22"/>
                                <w:szCs w:val="22"/>
                                <w:lang w:eastAsia="ar-SA"/>
                              </w:rPr>
                              <w:t>05</w:t>
                            </w:r>
                            <w:r w:rsidRPr="00D07713">
                              <w:rPr>
                                <w:rFonts w:ascii="Arial" w:eastAsia="Times New Roman" w:hAnsi="Arial" w:cs="Arial"/>
                                <w:b/>
                                <w:bCs/>
                                <w:color w:val="FFFFFF"/>
                                <w:sz w:val="22"/>
                                <w:szCs w:val="22"/>
                                <w:lang w:eastAsia="ar-SA"/>
                              </w:rPr>
                              <w:t xml:space="preserve"> </w:t>
                            </w:r>
                            <w:r w:rsidR="008C170E">
                              <w:rPr>
                                <w:rFonts w:ascii="Arial" w:eastAsia="Times New Roman" w:hAnsi="Arial" w:cs="Arial"/>
                                <w:b/>
                                <w:bCs/>
                                <w:color w:val="FFFFFF"/>
                                <w:sz w:val="22"/>
                                <w:szCs w:val="22"/>
                                <w:lang w:eastAsia="ar-SA"/>
                              </w:rPr>
                              <w:t>Ekim</w:t>
                            </w:r>
                            <w:r w:rsidRPr="00D07713">
                              <w:rPr>
                                <w:rFonts w:ascii="Arial" w:eastAsia="Times New Roman" w:hAnsi="Arial" w:cs="Arial"/>
                                <w:b/>
                                <w:bCs/>
                                <w:color w:val="FFFFFF"/>
                                <w:sz w:val="22"/>
                                <w:szCs w:val="22"/>
                                <w:lang w:eastAsia="ar-SA"/>
                              </w:rPr>
                              <w:t xml:space="preserve"> 2017</w:t>
                            </w:r>
                          </w:p>
                          <w:p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47B8" id="_x0000_t202" coordsize="21600,21600" o:spt="202" path="m,l,21600r21600,l21600,xe">
                <v:stroke joinstyle="miter"/>
                <v:path gradientshapeok="t" o:connecttype="rect"/>
              </v:shapetype>
              <v:shape id="Text Box 3" o:spid="_x0000_s1026" type="#_x0000_t202" style="position:absolute;margin-left:373.9pt;margin-top:.4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H8FnVDcAAAACAEAAA8AAABkcnMvZG93bnJldi54bWxMj8FOwzAMhu9IvENkJG4s&#10;Xano1jWdYAiuiIK0a9Z4TdXGqZpsK2+Pd4KLJev79ftzuZ3dIM44hc6TguUiAYHUeNNRq+D76+1h&#10;BSJETUYPnlDBDwbYVrc3pS6Mv9AnnuvYCi6hUGgFNsaxkDI0Fp0OCz8iMTv6yenI69RKM+kLl7tB&#10;pknyJJ3uiC9YPeLOYtPXJ6fg8SPN9+G9ft2Ne1z3q/DSH8kqdX83P29ARJzjXxiu+qwOFTsd/IlM&#10;EIOCPMtZPSrgecXJMs9AHBikGciqlP8fqH4BAAD//wMAUEsBAi0AFAAGAAgAAAAhALaDOJL+AAAA&#10;4QEAABMAAAAAAAAAAAAAAAAAAAAAAFtDb250ZW50X1R5cGVzXS54bWxQSwECLQAUAAYACAAAACEA&#10;OP0h/9YAAACUAQAACwAAAAAAAAAAAAAAAAAvAQAAX3JlbHMvLnJlbHNQSwECLQAUAAYACAAAACEA&#10;GiuWrYgCAAAcBQAADgAAAAAAAAAAAAAAAAAuAgAAZHJzL2Uyb0RvYy54bWxQSwECLQAUAAYACAAA&#10;ACEAfwWdUNwAAAAIAQAADwAAAAAAAAAAAAAAAADiBAAAZHJzL2Rvd25yZXYueG1sUEsFBgAAAAAE&#10;AAQA8wAAAOsFAAAAAA==&#10;" stroked="f">
                <v:fill opacity="0"/>
                <v:textbox inset="0,0,0,0">
                  <w:txbxContent>
                    <w:p w:rsidR="00D07713" w:rsidRPr="00D07713" w:rsidRDefault="00D07713"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sidRPr="00187FA0">
                        <w:rPr>
                          <w:color w:val="FFFFFF"/>
                          <w:sz w:val="22"/>
                          <w:szCs w:val="22"/>
                        </w:rPr>
                        <w:t xml:space="preserve">               </w:t>
                      </w:r>
                      <w:r w:rsidR="0028498B">
                        <w:rPr>
                          <w:rFonts w:ascii="Arial" w:eastAsia="Times New Roman" w:hAnsi="Arial" w:cs="Arial"/>
                          <w:b/>
                          <w:bCs/>
                          <w:color w:val="FFFFFF"/>
                          <w:sz w:val="22"/>
                          <w:szCs w:val="22"/>
                          <w:lang w:eastAsia="ar-SA"/>
                        </w:rPr>
                        <w:t>05</w:t>
                      </w:r>
                      <w:r w:rsidRPr="00D07713">
                        <w:rPr>
                          <w:rFonts w:ascii="Arial" w:eastAsia="Times New Roman" w:hAnsi="Arial" w:cs="Arial"/>
                          <w:b/>
                          <w:bCs/>
                          <w:color w:val="FFFFFF"/>
                          <w:sz w:val="22"/>
                          <w:szCs w:val="22"/>
                          <w:lang w:eastAsia="ar-SA"/>
                        </w:rPr>
                        <w:t xml:space="preserve"> </w:t>
                      </w:r>
                      <w:r w:rsidR="008C170E">
                        <w:rPr>
                          <w:rFonts w:ascii="Arial" w:eastAsia="Times New Roman" w:hAnsi="Arial" w:cs="Arial"/>
                          <w:b/>
                          <w:bCs/>
                          <w:color w:val="FFFFFF"/>
                          <w:sz w:val="22"/>
                          <w:szCs w:val="22"/>
                          <w:lang w:eastAsia="ar-SA"/>
                        </w:rPr>
                        <w:t>Ekim</w:t>
                      </w:r>
                      <w:r w:rsidRPr="00D07713">
                        <w:rPr>
                          <w:rFonts w:ascii="Arial" w:eastAsia="Times New Roman" w:hAnsi="Arial" w:cs="Arial"/>
                          <w:b/>
                          <w:bCs/>
                          <w:color w:val="FFFFFF"/>
                          <w:sz w:val="22"/>
                          <w:szCs w:val="22"/>
                          <w:lang w:eastAsia="ar-SA"/>
                        </w:rPr>
                        <w:t xml:space="preserve"> 2017</w:t>
                      </w:r>
                    </w:p>
                    <w:p w:rsidR="00D07713" w:rsidRPr="00187FA0" w:rsidRDefault="00D07713" w:rsidP="00D07713"/>
                  </w:txbxContent>
                </v:textbox>
              </v:shape>
            </w:pict>
          </mc:Fallback>
        </mc:AlternateContent>
      </w:r>
      <w:r w:rsidRPr="00924CD9">
        <w:rPr>
          <w:rFonts w:ascii="Palatino Linotype" w:hAnsi="Palatino Linotype" w:cstheme="minorHAnsi"/>
          <w:noProof/>
        </w:rPr>
        <mc:AlternateContent>
          <mc:Choice Requires="wps">
            <w:drawing>
              <wp:anchor distT="0" distB="0" distL="114935" distR="114935" simplePos="0" relativeHeight="251658752" behindDoc="0" locked="0" layoutInCell="1" allowOverlap="1" wp14:anchorId="31E2391C" wp14:editId="4EB5B4B9">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proofErr w:type="gramStart"/>
                            <w:r>
                              <w:rPr>
                                <w:rFonts w:ascii="Times New Roman" w:hAnsi="Times New Roman" w:cs="Times New Roman"/>
                                <w:sz w:val="40"/>
                                <w:szCs w:val="40"/>
                              </w:rPr>
                              <w:t>Değerlendirmesi</w:t>
                            </w:r>
                            <w:r w:rsidRPr="00803E3E">
                              <w:rPr>
                                <w:rFonts w:ascii="Times New Roman" w:hAnsi="Times New Roman" w:cs="Times New Roman"/>
                                <w:sz w:val="40"/>
                                <w:szCs w:val="40"/>
                              </w:rPr>
                              <w:t xml:space="preserve"> :</w:t>
                            </w:r>
                            <w:proofErr w:type="gramEnd"/>
                            <w:r w:rsidRPr="00803E3E">
                              <w:rPr>
                                <w:rFonts w:ascii="Times New Roman" w:hAnsi="Times New Roman" w:cs="Times New Roman"/>
                                <w:sz w:val="40"/>
                                <w:szCs w:val="40"/>
                              </w:rPr>
                              <w:t xml:space="preserve"> </w:t>
                            </w:r>
                          </w:p>
                          <w:p w:rsidR="00D07713" w:rsidRPr="00526178" w:rsidRDefault="00D07713" w:rsidP="00D07713">
                            <w:pPr>
                              <w:pStyle w:val="Heading1"/>
                              <w:rPr>
                                <w:b w:val="0"/>
                                <w:bCs w:val="0"/>
                                <w:i/>
                                <w:iCs/>
                              </w:rPr>
                            </w:pPr>
                            <w:r>
                              <w:rPr>
                                <w:rFonts w:ascii="Times New Roman" w:hAnsi="Times New Roman" w:cs="Times New Roman"/>
                                <w:sz w:val="40"/>
                                <w:szCs w:val="40"/>
                              </w:rPr>
                              <w:t>2017 2</w:t>
                            </w:r>
                            <w:r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391C"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D07713" w:rsidRPr="00526178" w:rsidRDefault="00D07713" w:rsidP="00D07713">
                      <w:pPr>
                        <w:pStyle w:val="Heading1"/>
                        <w:rPr>
                          <w:b w:val="0"/>
                          <w:bCs w:val="0"/>
                          <w:i/>
                          <w:iCs/>
                        </w:rPr>
                      </w:pPr>
                      <w:r>
                        <w:rPr>
                          <w:rFonts w:ascii="Times New Roman" w:hAnsi="Times New Roman" w:cs="Times New Roman"/>
                          <w:sz w:val="40"/>
                          <w:szCs w:val="40"/>
                        </w:rPr>
                        <w:t>2017 2</w:t>
                      </w:r>
                      <w:r w:rsidRPr="00803E3E">
                        <w:rPr>
                          <w:rFonts w:ascii="Times New Roman" w:hAnsi="Times New Roman" w:cs="Times New Roman"/>
                          <w:sz w:val="40"/>
                          <w:szCs w:val="40"/>
                        </w:rPr>
                        <w:t>. Çeyrek</w:t>
                      </w:r>
                    </w:p>
                  </w:txbxContent>
                </v:textbox>
              </v:shape>
            </w:pict>
          </mc:Fallback>
        </mc:AlternateContent>
      </w:r>
      <w:r w:rsidRPr="00924CD9">
        <w:rPr>
          <w:rFonts w:ascii="Palatino Linotype" w:hAnsi="Palatino Linotype" w:cstheme="minorHAnsi"/>
          <w:noProof/>
        </w:rPr>
        <w:drawing>
          <wp:anchor distT="0" distB="0" distL="114300" distR="114300" simplePos="0" relativeHeight="251655680" behindDoc="1" locked="0" layoutInCell="1" allowOverlap="1" wp14:anchorId="63842AAB" wp14:editId="6065DBBA">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924CD9" w:rsidRDefault="00D07713">
      <w:pPr>
        <w:rPr>
          <w:rFonts w:ascii="Palatino Linotype" w:hAnsi="Palatino Linotype" w:cstheme="minorHAnsi"/>
        </w:rPr>
      </w:pPr>
    </w:p>
    <w:p w:rsidR="00D07713" w:rsidRPr="00924CD9" w:rsidRDefault="00D07713">
      <w:pPr>
        <w:rPr>
          <w:rFonts w:ascii="Palatino Linotype" w:hAnsi="Palatino Linotype" w:cstheme="minorHAnsi"/>
        </w:rPr>
      </w:pPr>
    </w:p>
    <w:p w:rsidR="00D07713" w:rsidRPr="00924CD9" w:rsidRDefault="00D07713" w:rsidP="00D07713">
      <w:pPr>
        <w:spacing w:line="288" w:lineRule="auto"/>
        <w:ind w:right="-319"/>
        <w:jc w:val="center"/>
        <w:outlineLvl w:val="0"/>
        <w:rPr>
          <w:rFonts w:ascii="Palatino Linotype" w:hAnsi="Palatino Linotype" w:cstheme="minorHAnsi"/>
          <w:b/>
          <w:bCs/>
          <w:sz w:val="28"/>
          <w:szCs w:val="28"/>
        </w:rPr>
      </w:pPr>
    </w:p>
    <w:p w:rsidR="00D07713" w:rsidRPr="00924CD9" w:rsidRDefault="00D07713" w:rsidP="00924CD9">
      <w:pPr>
        <w:spacing w:line="288" w:lineRule="auto"/>
        <w:ind w:right="-319"/>
        <w:jc w:val="center"/>
        <w:outlineLvl w:val="0"/>
        <w:rPr>
          <w:rFonts w:ascii="Palatino Linotype" w:hAnsi="Palatino Linotype" w:cstheme="minorHAnsi"/>
          <w:b/>
          <w:bCs/>
          <w:sz w:val="28"/>
          <w:szCs w:val="28"/>
        </w:rPr>
      </w:pPr>
      <w:r w:rsidRPr="00924CD9">
        <w:rPr>
          <w:rFonts w:ascii="Palatino Linotype" w:hAnsi="Palatino Linotype" w:cstheme="minorHAnsi"/>
          <w:b/>
          <w:bCs/>
          <w:sz w:val="28"/>
          <w:szCs w:val="28"/>
        </w:rPr>
        <w:t xml:space="preserve">İKİNCİ ÇEYREKTE </w:t>
      </w:r>
      <w:r w:rsidR="00344A74">
        <w:rPr>
          <w:rFonts w:ascii="Palatino Linotype" w:hAnsi="Palatino Linotype" w:cstheme="minorHAnsi"/>
          <w:b/>
          <w:bCs/>
          <w:sz w:val="28"/>
          <w:szCs w:val="28"/>
        </w:rPr>
        <w:t xml:space="preserve">YATIRIM VE İHRACATLA </w:t>
      </w:r>
      <w:r w:rsidRPr="00924CD9">
        <w:rPr>
          <w:rFonts w:ascii="Palatino Linotype" w:hAnsi="Palatino Linotype" w:cstheme="minorHAnsi"/>
          <w:b/>
          <w:bCs/>
          <w:sz w:val="28"/>
          <w:szCs w:val="28"/>
        </w:rPr>
        <w:t>YÜKSEK BÜYÜME</w:t>
      </w:r>
      <w:r w:rsidRPr="00924CD9">
        <w:rPr>
          <w:rFonts w:ascii="Palatino Linotype" w:hAnsi="Palatino Linotype" w:cstheme="minorHAnsi"/>
          <w:b/>
          <w:bCs/>
          <w:sz w:val="28"/>
          <w:szCs w:val="28"/>
          <w:highlight w:val="yellow"/>
        </w:rPr>
        <w:t xml:space="preserve"> </w:t>
      </w:r>
    </w:p>
    <w:p w:rsidR="00D07713" w:rsidRPr="00924CD9" w:rsidRDefault="00D07713" w:rsidP="00D07713">
      <w:pPr>
        <w:jc w:val="center"/>
        <w:rPr>
          <w:rFonts w:ascii="Palatino Linotype" w:hAnsi="Palatino Linotype" w:cstheme="minorHAnsi"/>
        </w:rPr>
      </w:pPr>
      <w:r w:rsidRPr="00924CD9">
        <w:rPr>
          <w:rFonts w:ascii="Palatino Linotype" w:hAnsi="Palatino Linotype" w:cstheme="minorHAnsi"/>
          <w:b/>
          <w:bCs/>
          <w:sz w:val="22"/>
          <w:szCs w:val="22"/>
        </w:rPr>
        <w:t>Seyfettin Gürsel</w:t>
      </w:r>
      <w:r w:rsidR="00C32789" w:rsidRPr="00924CD9">
        <w:rPr>
          <w:rStyle w:val="FootnoteReference"/>
          <w:rFonts w:ascii="Palatino Linotype" w:hAnsi="Palatino Linotype" w:cstheme="minorHAnsi"/>
          <w:b/>
          <w:bCs/>
          <w:sz w:val="22"/>
          <w:szCs w:val="22"/>
        </w:rPr>
        <w:footnoteReference w:id="1"/>
      </w:r>
      <w:r w:rsidRPr="00924CD9">
        <w:rPr>
          <w:rFonts w:ascii="Palatino Linotype" w:hAnsi="Palatino Linotype" w:cstheme="minorHAnsi"/>
          <w:b/>
          <w:bCs/>
          <w:sz w:val="22"/>
          <w:szCs w:val="22"/>
        </w:rPr>
        <w:t xml:space="preserve"> ve Ozan Bakış</w:t>
      </w:r>
      <w:r w:rsidR="00C32789" w:rsidRPr="00924CD9">
        <w:rPr>
          <w:rStyle w:val="FootnoteReference"/>
          <w:rFonts w:ascii="Palatino Linotype" w:hAnsi="Palatino Linotype" w:cstheme="minorHAnsi"/>
          <w:b/>
          <w:bCs/>
          <w:sz w:val="22"/>
          <w:szCs w:val="22"/>
        </w:rPr>
        <w:footnoteReference w:id="2"/>
      </w:r>
    </w:p>
    <w:p w:rsidR="00D07713" w:rsidRPr="00924CD9" w:rsidRDefault="00D07713">
      <w:pPr>
        <w:rPr>
          <w:rFonts w:ascii="Palatino Linotype" w:hAnsi="Palatino Linotype" w:cstheme="minorHAnsi"/>
        </w:rPr>
      </w:pPr>
    </w:p>
    <w:p w:rsidR="00D257C1" w:rsidRPr="00924CD9" w:rsidRDefault="00D257C1" w:rsidP="00D257C1">
      <w:pPr>
        <w:rPr>
          <w:rFonts w:ascii="Palatino Linotype" w:hAnsi="Palatino Linotype" w:cstheme="minorHAnsi"/>
          <w:b/>
          <w:sz w:val="22"/>
          <w:szCs w:val="22"/>
        </w:rPr>
      </w:pPr>
      <w:r w:rsidRPr="00924CD9">
        <w:rPr>
          <w:rFonts w:ascii="Palatino Linotype" w:hAnsi="Palatino Linotype" w:cstheme="minorHAnsi"/>
          <w:b/>
          <w:sz w:val="22"/>
          <w:szCs w:val="22"/>
        </w:rPr>
        <w:t>Yönetici</w:t>
      </w:r>
      <w:r w:rsidRPr="00924CD9">
        <w:rPr>
          <w:rFonts w:ascii="Palatino Linotype" w:hAnsi="Palatino Linotype" w:cstheme="minorHAnsi"/>
          <w:sz w:val="22"/>
          <w:szCs w:val="22"/>
        </w:rPr>
        <w:t xml:space="preserve"> </w:t>
      </w:r>
      <w:r w:rsidRPr="00924CD9">
        <w:rPr>
          <w:rFonts w:ascii="Palatino Linotype" w:hAnsi="Palatino Linotype" w:cstheme="minorHAnsi"/>
          <w:b/>
          <w:sz w:val="22"/>
          <w:szCs w:val="22"/>
        </w:rPr>
        <w:t>Özeti</w:t>
      </w:r>
    </w:p>
    <w:p w:rsidR="00D257C1" w:rsidRPr="00924CD9" w:rsidRDefault="00D257C1">
      <w:pPr>
        <w:rPr>
          <w:rFonts w:ascii="Palatino Linotype" w:hAnsi="Palatino Linotype" w:cstheme="minorHAnsi"/>
          <w:sz w:val="22"/>
          <w:szCs w:val="22"/>
        </w:rPr>
      </w:pPr>
    </w:p>
    <w:p w:rsidR="00D07713" w:rsidRPr="003E1EED" w:rsidRDefault="00D257C1" w:rsidP="00625B95">
      <w:pPr>
        <w:ind w:left="567" w:right="567"/>
        <w:jc w:val="both"/>
        <w:rPr>
          <w:rFonts w:ascii="Palatino Linotype" w:hAnsi="Palatino Linotype" w:cstheme="minorHAnsi"/>
          <w:strike/>
          <w:sz w:val="22"/>
          <w:szCs w:val="22"/>
        </w:rPr>
      </w:pPr>
      <w:r w:rsidRPr="003E1EED">
        <w:rPr>
          <w:rFonts w:ascii="Palatino Linotype" w:hAnsi="Palatino Linotype" w:cstheme="minorHAnsi"/>
          <w:sz w:val="22"/>
          <w:szCs w:val="22"/>
        </w:rPr>
        <w:t xml:space="preserve">2017 yılının ikinci çeyreğinde Gayri Safi Yurtiçi </w:t>
      </w:r>
      <w:proofErr w:type="gramStart"/>
      <w:r w:rsidRPr="003E1EED">
        <w:rPr>
          <w:rFonts w:ascii="Palatino Linotype" w:hAnsi="Palatino Linotype" w:cstheme="minorHAnsi"/>
          <w:sz w:val="22"/>
          <w:szCs w:val="22"/>
        </w:rPr>
        <w:t>Hasıla</w:t>
      </w:r>
      <w:proofErr w:type="gramEnd"/>
      <w:r w:rsidRPr="003E1EED">
        <w:rPr>
          <w:rFonts w:ascii="Palatino Linotype" w:hAnsi="Palatino Linotype" w:cstheme="minorHAnsi"/>
          <w:sz w:val="22"/>
          <w:szCs w:val="22"/>
        </w:rPr>
        <w:t xml:space="preserve"> (GSYH) mevsim ve takvim etkilerinden arındırılmış rakamlarla bir önceki çeyreğe kıyasla yüzde 2,1, geçen yılın ikinci çeyreğine kıyasla yüzde 5,1 oranında arttı. Betam olarak çeyreklik büyümeyi yüzde 2,0, yıldan yıla büyümeyi ise yüzde 6,</w:t>
      </w:r>
      <w:r w:rsidR="001C2C68" w:rsidRPr="003E1EED">
        <w:rPr>
          <w:rFonts w:ascii="Palatino Linotype" w:hAnsi="Palatino Linotype" w:cstheme="minorHAnsi"/>
          <w:sz w:val="22"/>
          <w:szCs w:val="22"/>
        </w:rPr>
        <w:t>2 olarak</w:t>
      </w:r>
      <w:r w:rsidRPr="003E1EED">
        <w:rPr>
          <w:rFonts w:ascii="Palatino Linotype" w:hAnsi="Palatino Linotype" w:cstheme="minorHAnsi"/>
          <w:sz w:val="22"/>
          <w:szCs w:val="22"/>
        </w:rPr>
        <w:t xml:space="preserve"> tahmin etmiştik. </w:t>
      </w:r>
      <w:r w:rsidR="00CC79C0" w:rsidRPr="003E1EED">
        <w:rPr>
          <w:rFonts w:ascii="Palatino Linotype" w:hAnsi="Palatino Linotype" w:cstheme="minorHAnsi"/>
          <w:sz w:val="22"/>
          <w:szCs w:val="22"/>
        </w:rPr>
        <w:t xml:space="preserve">Yıldan yıla büyümeye </w:t>
      </w:r>
      <w:r w:rsidRPr="003E1EED">
        <w:rPr>
          <w:rFonts w:ascii="Palatino Linotype" w:hAnsi="Palatino Linotype" w:cstheme="minorHAnsi"/>
          <w:sz w:val="22"/>
          <w:szCs w:val="22"/>
        </w:rPr>
        <w:t xml:space="preserve">en yüksek katkıyı </w:t>
      </w:r>
      <w:r w:rsidR="00CC79C0" w:rsidRPr="003E1EED">
        <w:rPr>
          <w:rFonts w:ascii="Palatino Linotype" w:hAnsi="Palatino Linotype" w:cstheme="minorHAnsi"/>
          <w:sz w:val="22"/>
          <w:szCs w:val="22"/>
        </w:rPr>
        <w:t xml:space="preserve">yüzde 10’a yakın büyüyen yatırımlar yaptı. Yine yüzde 10’un üzerinde büyüyen ihracatın katkısı çok yüksek oldu. Yatırım ve ihracata nazaran büyüme oranı düşük kalan tüketimin katkısı da pozitif </w:t>
      </w:r>
      <w:r w:rsidR="00CB3462" w:rsidRPr="003E1EED">
        <w:rPr>
          <w:rFonts w:ascii="Palatino Linotype" w:hAnsi="Palatino Linotype" w:cstheme="minorHAnsi"/>
          <w:sz w:val="22"/>
          <w:szCs w:val="22"/>
        </w:rPr>
        <w:t xml:space="preserve">ancak </w:t>
      </w:r>
      <w:r w:rsidR="003967B5" w:rsidRPr="003E1EED">
        <w:rPr>
          <w:rFonts w:ascii="Palatino Linotype" w:hAnsi="Palatino Linotype" w:cstheme="minorHAnsi"/>
          <w:sz w:val="22"/>
          <w:szCs w:val="22"/>
        </w:rPr>
        <w:t>nispeten</w:t>
      </w:r>
      <w:r w:rsidR="00625B95" w:rsidRPr="003E1EED">
        <w:rPr>
          <w:rFonts w:ascii="Palatino Linotype" w:hAnsi="Palatino Linotype" w:cstheme="minorHAnsi"/>
          <w:sz w:val="22"/>
          <w:szCs w:val="22"/>
        </w:rPr>
        <w:t xml:space="preserve"> </w:t>
      </w:r>
      <w:r w:rsidR="00CC79C0" w:rsidRPr="003E1EED">
        <w:rPr>
          <w:rFonts w:ascii="Palatino Linotype" w:hAnsi="Palatino Linotype" w:cstheme="minorHAnsi"/>
          <w:sz w:val="22"/>
          <w:szCs w:val="22"/>
        </w:rPr>
        <w:t xml:space="preserve">zayıf kaldı. </w:t>
      </w:r>
      <w:r w:rsidR="00451A8A" w:rsidRPr="003E1EED">
        <w:rPr>
          <w:rFonts w:ascii="Palatino Linotype" w:hAnsi="Palatino Linotype" w:cstheme="minorHAnsi"/>
          <w:sz w:val="22"/>
          <w:szCs w:val="22"/>
        </w:rPr>
        <w:t>Buna karşılık k</w:t>
      </w:r>
      <w:r w:rsidR="00CC79C0" w:rsidRPr="003E1EED">
        <w:rPr>
          <w:rFonts w:ascii="Palatino Linotype" w:hAnsi="Palatino Linotype" w:cstheme="minorHAnsi"/>
          <w:sz w:val="22"/>
          <w:szCs w:val="22"/>
        </w:rPr>
        <w:t xml:space="preserve">amu tüketimi, ithalat ve stok değişiminin katkısı </w:t>
      </w:r>
      <w:r w:rsidRPr="003E1EED">
        <w:rPr>
          <w:rFonts w:ascii="Palatino Linotype" w:hAnsi="Palatino Linotype" w:cstheme="minorHAnsi"/>
          <w:sz w:val="22"/>
          <w:szCs w:val="22"/>
        </w:rPr>
        <w:t xml:space="preserve">negatif oldu. </w:t>
      </w:r>
    </w:p>
    <w:p w:rsidR="00CC79C0" w:rsidRPr="003E1EED" w:rsidRDefault="00625B95" w:rsidP="003E1EED">
      <w:pPr>
        <w:ind w:left="567" w:right="567"/>
        <w:jc w:val="both"/>
        <w:rPr>
          <w:rFonts w:ascii="Palatino Linotype" w:hAnsi="Palatino Linotype" w:cstheme="minorHAnsi"/>
          <w:sz w:val="22"/>
          <w:szCs w:val="22"/>
        </w:rPr>
      </w:pPr>
      <w:r w:rsidRPr="003E1EED">
        <w:rPr>
          <w:rFonts w:ascii="Palatino Linotype" w:hAnsi="Palatino Linotype" w:cstheme="minorHAnsi"/>
          <w:sz w:val="22"/>
          <w:szCs w:val="22"/>
        </w:rPr>
        <w:t xml:space="preserve">Kısa süre önce açıklanan 2018-2020 Orta Vadeli Programında </w:t>
      </w:r>
      <w:r w:rsidR="00451A8A" w:rsidRPr="003E1EED">
        <w:rPr>
          <w:rFonts w:ascii="Palatino Linotype" w:hAnsi="Palatino Linotype" w:cstheme="minorHAnsi"/>
          <w:sz w:val="22"/>
          <w:szCs w:val="22"/>
        </w:rPr>
        <w:t xml:space="preserve">(OVP) </w:t>
      </w:r>
      <w:r w:rsidRPr="003E1EED">
        <w:rPr>
          <w:rFonts w:ascii="Palatino Linotype" w:hAnsi="Palatino Linotype" w:cstheme="minorHAnsi"/>
          <w:sz w:val="22"/>
          <w:szCs w:val="22"/>
        </w:rPr>
        <w:t xml:space="preserve">2017 için öngörülen yüzde 5,5’luk GSYH artışının, üçüncü çeyrekte </w:t>
      </w:r>
      <w:proofErr w:type="gramStart"/>
      <w:r w:rsidRPr="003E1EED">
        <w:rPr>
          <w:rFonts w:ascii="Palatino Linotype" w:hAnsi="Palatino Linotype" w:cstheme="minorHAnsi"/>
          <w:sz w:val="22"/>
          <w:szCs w:val="22"/>
        </w:rPr>
        <w:t>baz</w:t>
      </w:r>
      <w:proofErr w:type="gramEnd"/>
      <w:r w:rsidRPr="003E1EED">
        <w:rPr>
          <w:rFonts w:ascii="Palatino Linotype" w:hAnsi="Palatino Linotype" w:cstheme="minorHAnsi"/>
          <w:sz w:val="22"/>
          <w:szCs w:val="22"/>
        </w:rPr>
        <w:t xml:space="preserve"> etk</w:t>
      </w:r>
      <w:r w:rsidR="00A6165E" w:rsidRPr="003E1EED">
        <w:rPr>
          <w:rFonts w:ascii="Palatino Linotype" w:hAnsi="Palatino Linotype" w:cstheme="minorHAnsi"/>
          <w:sz w:val="22"/>
          <w:szCs w:val="22"/>
        </w:rPr>
        <w:t>i</w:t>
      </w:r>
      <w:r w:rsidRPr="003E1EED">
        <w:rPr>
          <w:rFonts w:ascii="Palatino Linotype" w:hAnsi="Palatino Linotype" w:cstheme="minorHAnsi"/>
          <w:sz w:val="22"/>
          <w:szCs w:val="22"/>
        </w:rPr>
        <w:t xml:space="preserve">siyle yaşanacak yüksek büyümenin de katkısıyla aşılabileceğini öngörüyoruz. </w:t>
      </w:r>
      <w:r w:rsidR="006D32A0" w:rsidRPr="003E1EED">
        <w:rPr>
          <w:rFonts w:ascii="Palatino Linotype" w:hAnsi="Palatino Linotype" w:cstheme="minorHAnsi"/>
          <w:sz w:val="22"/>
          <w:szCs w:val="22"/>
        </w:rPr>
        <w:t>İstisnai teşviklerin 2018’den itibaren yürürlükte olmayacağı</w:t>
      </w:r>
      <w:r w:rsidRPr="003E1EED">
        <w:rPr>
          <w:rFonts w:ascii="Palatino Linotype" w:hAnsi="Palatino Linotype" w:cstheme="minorHAnsi"/>
          <w:sz w:val="22"/>
          <w:szCs w:val="22"/>
        </w:rPr>
        <w:t xml:space="preserve"> </w:t>
      </w:r>
      <w:r w:rsidR="00451A8A" w:rsidRPr="003E1EED">
        <w:rPr>
          <w:rFonts w:ascii="Palatino Linotype" w:hAnsi="Palatino Linotype" w:cstheme="minorHAnsi"/>
          <w:sz w:val="22"/>
          <w:szCs w:val="22"/>
        </w:rPr>
        <w:t>düşünüldüğünd</w:t>
      </w:r>
      <w:r w:rsidR="00681AD9" w:rsidRPr="003E1EED">
        <w:rPr>
          <w:rFonts w:ascii="Palatino Linotype" w:hAnsi="Palatino Linotype" w:cstheme="minorHAnsi"/>
          <w:sz w:val="22"/>
          <w:szCs w:val="22"/>
        </w:rPr>
        <w:t>e</w:t>
      </w:r>
      <w:r w:rsidR="00451A8A" w:rsidRPr="003E1EED">
        <w:rPr>
          <w:rFonts w:ascii="Palatino Linotype" w:hAnsi="Palatino Linotype" w:cstheme="minorHAnsi"/>
          <w:sz w:val="22"/>
          <w:szCs w:val="22"/>
        </w:rPr>
        <w:t xml:space="preserve"> </w:t>
      </w:r>
      <w:proofErr w:type="spellStart"/>
      <w:r w:rsidR="00451A8A" w:rsidRPr="003E1EED">
        <w:rPr>
          <w:rFonts w:ascii="Palatino Linotype" w:hAnsi="Palatino Linotype" w:cstheme="minorHAnsi"/>
          <w:sz w:val="22"/>
          <w:szCs w:val="22"/>
        </w:rPr>
        <w:t>OVP’de</w:t>
      </w:r>
      <w:proofErr w:type="spellEnd"/>
      <w:r w:rsidR="00451A8A" w:rsidRPr="003E1EED">
        <w:rPr>
          <w:rFonts w:ascii="Palatino Linotype" w:hAnsi="Palatino Linotype" w:cstheme="minorHAnsi"/>
          <w:sz w:val="22"/>
          <w:szCs w:val="22"/>
        </w:rPr>
        <w:t xml:space="preserve"> gelecek yıllar için öngörülen yüzde 5,5’luk büyüme hedefinin hangi kanallardan sağlanacağı tartışmaya açıktır.</w:t>
      </w:r>
    </w:p>
    <w:p w:rsidR="00D07713" w:rsidRPr="00924CD9" w:rsidRDefault="00D07713">
      <w:pPr>
        <w:rPr>
          <w:rFonts w:ascii="Palatino Linotype" w:hAnsi="Palatino Linotype" w:cstheme="minorHAnsi"/>
          <w:sz w:val="22"/>
          <w:szCs w:val="22"/>
        </w:rPr>
      </w:pPr>
    </w:p>
    <w:p w:rsidR="00E57043" w:rsidRPr="00924CD9" w:rsidRDefault="00E57043" w:rsidP="00E85F3F">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 xml:space="preserve">Şekil 1: GSYH alt kalemlerinin 2017 2. çeyrekte bir önceki yılın aynı çeyreğine göre büyüme oranları </w:t>
      </w:r>
      <w:r w:rsidR="006C3EE6" w:rsidRPr="00924CD9">
        <w:rPr>
          <w:rFonts w:ascii="Palatino Linotype" w:hAnsi="Palatino Linotype" w:cstheme="minorHAnsi"/>
          <w:b/>
          <w:bCs/>
          <w:sz w:val="22"/>
          <w:szCs w:val="22"/>
        </w:rPr>
        <w:t xml:space="preserve">(sol </w:t>
      </w:r>
      <w:r w:rsidR="00CB3462" w:rsidRPr="00924CD9">
        <w:rPr>
          <w:rFonts w:ascii="Palatino Linotype" w:hAnsi="Palatino Linotype" w:cstheme="minorHAnsi"/>
          <w:b/>
          <w:bCs/>
          <w:sz w:val="22"/>
          <w:szCs w:val="22"/>
        </w:rPr>
        <w:t xml:space="preserve">şekil </w:t>
      </w:r>
      <w:r w:rsidR="006C3EE6" w:rsidRPr="00924CD9">
        <w:rPr>
          <w:rFonts w:ascii="Palatino Linotype" w:hAnsi="Palatino Linotype" w:cstheme="minorHAnsi"/>
          <w:b/>
          <w:bCs/>
          <w:sz w:val="22"/>
          <w:szCs w:val="22"/>
        </w:rPr>
        <w:t xml:space="preserve">) ve büyümeye katkıları (sağ </w:t>
      </w:r>
      <w:r w:rsidR="00CB3462" w:rsidRPr="00924CD9">
        <w:rPr>
          <w:rFonts w:ascii="Palatino Linotype" w:hAnsi="Palatino Linotype" w:cstheme="minorHAnsi"/>
          <w:b/>
          <w:bCs/>
          <w:sz w:val="22"/>
          <w:szCs w:val="22"/>
        </w:rPr>
        <w:t>şekil</w:t>
      </w:r>
      <w:r w:rsidR="006C3EE6" w:rsidRPr="00924CD9">
        <w:rPr>
          <w:rFonts w:ascii="Palatino Linotype" w:hAnsi="Palatino Linotype" w:cstheme="minorHAnsi"/>
          <w:b/>
          <w:bCs/>
          <w:sz w:val="22"/>
          <w:szCs w:val="22"/>
        </w:rPr>
        <w:t>)</w:t>
      </w:r>
    </w:p>
    <w:p w:rsidR="00D07713" w:rsidRPr="00924CD9" w:rsidRDefault="00D07713" w:rsidP="00E85F3F">
      <w:pPr>
        <w:keepNext/>
        <w:rPr>
          <w:rFonts w:ascii="Palatino Linotype" w:hAnsi="Palatino Linotype" w:cstheme="minorHAnsi"/>
        </w:rPr>
      </w:pPr>
    </w:p>
    <w:p w:rsidR="00D07713" w:rsidRPr="00924CD9" w:rsidRDefault="00EC136E" w:rsidP="001C2C68">
      <w:pPr>
        <w:keepNext/>
        <w:ind w:left="-567" w:right="-567"/>
        <w:rPr>
          <w:rFonts w:ascii="Palatino Linotype" w:hAnsi="Palatino Linotype" w:cstheme="minorHAnsi"/>
        </w:rPr>
      </w:pPr>
      <w:r w:rsidRPr="00924CD9">
        <w:rPr>
          <w:rFonts w:ascii="Palatino Linotype" w:hAnsi="Palatino Linotype" w:cstheme="minorHAnsi"/>
          <w:noProof/>
        </w:rPr>
        <w:t xml:space="preserve"> </w:t>
      </w:r>
      <w:r w:rsidRPr="00924CD9">
        <w:rPr>
          <w:rFonts w:ascii="Palatino Linotype" w:hAnsi="Palatino Linotype" w:cstheme="minorHAnsi"/>
          <w:noProof/>
        </w:rPr>
        <w:drawing>
          <wp:inline distT="0" distB="0" distL="0" distR="0" wp14:anchorId="4FE0E7D9" wp14:editId="55313510">
            <wp:extent cx="3057525" cy="1943100"/>
            <wp:effectExtent l="0" t="0" r="9525" b="0"/>
            <wp:docPr id="11" name="Chart 11">
              <a:extLst xmlns:a="http://schemas.openxmlformats.org/drawingml/2006/main">
                <a:ext uri="{FF2B5EF4-FFF2-40B4-BE49-F238E27FC236}">
                  <a16:creationId xmlns:a16="http://schemas.microsoft.com/office/drawing/2014/main" id="{33835137-C931-4EAC-B56D-E6F7FC3A8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652B6" w:rsidRPr="00924CD9">
        <w:rPr>
          <w:rFonts w:ascii="Palatino Linotype" w:hAnsi="Palatino Linotype" w:cstheme="minorHAnsi"/>
          <w:noProof/>
        </w:rPr>
        <w:t xml:space="preserve"> </w:t>
      </w:r>
      <w:r w:rsidR="000652B6" w:rsidRPr="00924CD9">
        <w:rPr>
          <w:rFonts w:ascii="Palatino Linotype" w:hAnsi="Palatino Linotype" w:cstheme="minorHAnsi"/>
          <w:noProof/>
        </w:rPr>
        <w:drawing>
          <wp:inline distT="0" distB="0" distL="0" distR="0" wp14:anchorId="1559BB34" wp14:editId="2E6F7875">
            <wp:extent cx="3295650" cy="1924050"/>
            <wp:effectExtent l="0" t="0" r="0" b="0"/>
            <wp:docPr id="8" name="Chart 8">
              <a:extLst xmlns:a="http://schemas.openxmlformats.org/drawingml/2006/main">
                <a:ext uri="{FF2B5EF4-FFF2-40B4-BE49-F238E27FC236}">
                  <a16:creationId xmlns:a16="http://schemas.microsoft.com/office/drawing/2014/main" id="{0937F89A-252C-47ED-A70B-9047FEDB1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C68" w:rsidRPr="00924CD9" w:rsidRDefault="001C2C68" w:rsidP="001C2C68">
      <w:pPr>
        <w:keepNext/>
        <w:rPr>
          <w:rFonts w:ascii="Palatino Linotype" w:hAnsi="Palatino Linotype" w:cstheme="minorHAnsi"/>
        </w:rPr>
      </w:pPr>
    </w:p>
    <w:p w:rsidR="001C2C68" w:rsidRPr="00924CD9" w:rsidRDefault="004931A5" w:rsidP="001C2C68">
      <w:pPr>
        <w:keepNext/>
        <w:rPr>
          <w:rFonts w:ascii="Palatino Linotype" w:hAnsi="Palatino Linotype" w:cstheme="minorHAnsi"/>
        </w:rPr>
      </w:pPr>
      <w:r w:rsidRPr="003E1EED">
        <w:rPr>
          <w:rFonts w:ascii="Palatino Linotype" w:hAnsi="Palatino Linotype" w:cstheme="minorHAnsi"/>
          <w:sz w:val="18"/>
          <w:szCs w:val="18"/>
        </w:rPr>
        <w:t>Kaynak: TÜİK, Betam</w:t>
      </w:r>
      <w:r w:rsidRPr="00924CD9">
        <w:rPr>
          <w:rFonts w:ascii="Palatino Linotype" w:hAnsi="Palatino Linotype" w:cstheme="minorHAnsi"/>
          <w:sz w:val="16"/>
          <w:szCs w:val="16"/>
        </w:rPr>
        <w:t xml:space="preserve">. </w:t>
      </w:r>
    </w:p>
    <w:p w:rsidR="00D07713" w:rsidRPr="00924CD9" w:rsidRDefault="00D07713">
      <w:pPr>
        <w:rPr>
          <w:rFonts w:ascii="Palatino Linotype" w:hAnsi="Palatino Linotype" w:cstheme="minorHAnsi"/>
        </w:rPr>
      </w:pPr>
    </w:p>
    <w:p w:rsidR="00D07713" w:rsidRPr="00924CD9" w:rsidRDefault="00D07713">
      <w:pPr>
        <w:rPr>
          <w:rFonts w:ascii="Palatino Linotype" w:hAnsi="Palatino Linotype" w:cstheme="minorHAnsi"/>
          <w:sz w:val="22"/>
          <w:szCs w:val="22"/>
        </w:rPr>
      </w:pPr>
    </w:p>
    <w:p w:rsidR="006C3EE6" w:rsidRPr="00924CD9" w:rsidRDefault="00C11B5A" w:rsidP="006C3EE6">
      <w:pPr>
        <w:pStyle w:val="NormalWeb"/>
        <w:spacing w:before="0" w:beforeAutospacing="0" w:after="0" w:afterAutospacing="0" w:line="360" w:lineRule="auto"/>
        <w:ind w:right="77"/>
        <w:rPr>
          <w:rFonts w:ascii="Palatino Linotype" w:hAnsi="Palatino Linotype" w:cstheme="minorHAnsi"/>
          <w:b/>
          <w:bCs/>
          <w:sz w:val="22"/>
          <w:szCs w:val="22"/>
        </w:rPr>
      </w:pPr>
      <w:r w:rsidRPr="00924CD9">
        <w:rPr>
          <w:rFonts w:ascii="Palatino Linotype" w:hAnsi="Palatino Linotype" w:cstheme="minorHAnsi"/>
          <w:b/>
          <w:bCs/>
          <w:sz w:val="22"/>
          <w:szCs w:val="22"/>
        </w:rPr>
        <w:lastRenderedPageBreak/>
        <w:t>Özel t</w:t>
      </w:r>
      <w:r w:rsidR="006C3EE6" w:rsidRPr="00924CD9">
        <w:rPr>
          <w:rFonts w:ascii="Palatino Linotype" w:hAnsi="Palatino Linotype" w:cstheme="minorHAnsi"/>
          <w:b/>
          <w:bCs/>
          <w:sz w:val="22"/>
          <w:szCs w:val="22"/>
        </w:rPr>
        <w:t>üketimde</w:t>
      </w:r>
      <w:r w:rsidR="00212579" w:rsidRPr="00924CD9">
        <w:rPr>
          <w:rFonts w:ascii="Palatino Linotype" w:hAnsi="Palatino Linotype" w:cstheme="minorHAnsi"/>
          <w:b/>
          <w:bCs/>
          <w:sz w:val="22"/>
          <w:szCs w:val="22"/>
        </w:rPr>
        <w:t xml:space="preserve"> hareketlenme</w:t>
      </w:r>
    </w:p>
    <w:p w:rsidR="006C3EE6" w:rsidRPr="00924CD9" w:rsidRDefault="007F3C9B" w:rsidP="006C3EE6">
      <w:pPr>
        <w:pStyle w:val="NormalWeb"/>
        <w:spacing w:before="0" w:beforeAutospacing="0" w:after="0" w:afterAutospacing="0" w:line="360" w:lineRule="auto"/>
        <w:ind w:right="77"/>
        <w:jc w:val="both"/>
        <w:rPr>
          <w:rFonts w:ascii="Palatino Linotype" w:hAnsi="Palatino Linotype" w:cstheme="minorHAnsi"/>
          <w:sz w:val="22"/>
          <w:szCs w:val="22"/>
        </w:rPr>
      </w:pPr>
      <w:r w:rsidRPr="00924CD9">
        <w:rPr>
          <w:rFonts w:ascii="Palatino Linotype" w:hAnsi="Palatino Linotype" w:cstheme="minorHAnsi"/>
          <w:sz w:val="22"/>
          <w:szCs w:val="22"/>
        </w:rPr>
        <w:t xml:space="preserve">Yıllık değişimler itibariyle birinci çeyrekte yüzde 3,6 oranlık özel tüketim artışı ikinci çeyrekte yüzde 3,2’ye geriledi. Büyümeye katkı 2,1 yüzde puandan 1,9 puana düştü. </w:t>
      </w:r>
      <w:r w:rsidR="00A6165E" w:rsidRPr="00924CD9">
        <w:rPr>
          <w:rFonts w:ascii="Palatino Linotype" w:hAnsi="Palatino Linotype" w:cstheme="minorHAnsi"/>
          <w:sz w:val="22"/>
          <w:szCs w:val="22"/>
        </w:rPr>
        <w:t>(</w:t>
      </w:r>
      <w:r w:rsidR="006C3EE6" w:rsidRPr="00924CD9">
        <w:rPr>
          <w:rFonts w:ascii="Palatino Linotype" w:hAnsi="Palatino Linotype" w:cstheme="minorHAnsi"/>
          <w:sz w:val="22"/>
          <w:szCs w:val="22"/>
        </w:rPr>
        <w:t xml:space="preserve">Tablo 1). </w:t>
      </w:r>
      <w:r w:rsidRPr="00924CD9">
        <w:rPr>
          <w:rFonts w:ascii="Palatino Linotype" w:hAnsi="Palatino Linotype" w:cstheme="minorHAnsi"/>
          <w:sz w:val="22"/>
          <w:szCs w:val="22"/>
        </w:rPr>
        <w:t>Bununla birlikte</w:t>
      </w:r>
      <w:r w:rsidR="00212579" w:rsidRPr="00924CD9">
        <w:rPr>
          <w:rFonts w:ascii="Palatino Linotype" w:hAnsi="Palatino Linotype" w:cstheme="minorHAnsi"/>
          <w:sz w:val="22"/>
          <w:szCs w:val="22"/>
        </w:rPr>
        <w:t>,</w:t>
      </w:r>
      <w:r w:rsidRPr="00924CD9">
        <w:rPr>
          <w:rFonts w:ascii="Palatino Linotype" w:hAnsi="Palatino Linotype" w:cstheme="minorHAnsi"/>
          <w:sz w:val="22"/>
          <w:szCs w:val="22"/>
        </w:rPr>
        <w:t xml:space="preserve"> </w:t>
      </w:r>
      <w:r w:rsidR="00212579" w:rsidRPr="00924CD9">
        <w:rPr>
          <w:rFonts w:ascii="Palatino Linotype" w:hAnsi="Palatino Linotype" w:cstheme="minorHAnsi"/>
          <w:sz w:val="22"/>
          <w:szCs w:val="22"/>
        </w:rPr>
        <w:t>m</w:t>
      </w:r>
      <w:r w:rsidR="004931A5" w:rsidRPr="00924CD9">
        <w:rPr>
          <w:rFonts w:ascii="Palatino Linotype" w:hAnsi="Palatino Linotype" w:cstheme="minorHAnsi"/>
          <w:sz w:val="22"/>
          <w:szCs w:val="22"/>
        </w:rPr>
        <w:t xml:space="preserve">evsim ve takvim etkilerinden arındırılmış rakamlara baktığımızda farklı bir eğilim olduğunu görüyoruz. İlk çeyrekte tüketimin büyümeye katkısı negatif iken ikinci çeyrek bu katkı pozitif ve görece yüksektir (Tablo 2). </w:t>
      </w:r>
      <w:r w:rsidR="00F5130C" w:rsidRPr="00924CD9">
        <w:rPr>
          <w:rFonts w:ascii="Palatino Linotype" w:hAnsi="Palatino Linotype" w:cstheme="minorHAnsi"/>
          <w:sz w:val="22"/>
          <w:szCs w:val="22"/>
        </w:rPr>
        <w:t xml:space="preserve">Tüketime yönelik </w:t>
      </w:r>
      <w:r w:rsidR="00681AD9" w:rsidRPr="00054943">
        <w:rPr>
          <w:rFonts w:ascii="Palatino Linotype" w:hAnsi="Palatino Linotype" w:cstheme="minorHAnsi"/>
          <w:sz w:val="22"/>
          <w:szCs w:val="22"/>
        </w:rPr>
        <w:t>ÖTV</w:t>
      </w:r>
      <w:r w:rsidR="00681AD9" w:rsidRPr="00924CD9">
        <w:rPr>
          <w:rFonts w:ascii="Palatino Linotype" w:hAnsi="Palatino Linotype" w:cstheme="minorHAnsi"/>
          <w:sz w:val="22"/>
          <w:szCs w:val="22"/>
        </w:rPr>
        <w:t xml:space="preserve"> </w:t>
      </w:r>
      <w:r w:rsidR="00F5130C" w:rsidRPr="00924CD9">
        <w:rPr>
          <w:rFonts w:ascii="Palatino Linotype" w:hAnsi="Palatino Linotype" w:cstheme="minorHAnsi"/>
          <w:sz w:val="22"/>
          <w:szCs w:val="22"/>
        </w:rPr>
        <w:t>indirimi desteklerinin ikinci ç</w:t>
      </w:r>
      <w:r w:rsidR="00A6165E" w:rsidRPr="00924CD9">
        <w:rPr>
          <w:rFonts w:ascii="Palatino Linotype" w:hAnsi="Palatino Linotype" w:cstheme="minorHAnsi"/>
          <w:sz w:val="22"/>
          <w:szCs w:val="22"/>
        </w:rPr>
        <w:t>e</w:t>
      </w:r>
      <w:r w:rsidR="00F5130C" w:rsidRPr="00924CD9">
        <w:rPr>
          <w:rFonts w:ascii="Palatino Linotype" w:hAnsi="Palatino Linotype" w:cstheme="minorHAnsi"/>
          <w:sz w:val="22"/>
          <w:szCs w:val="22"/>
        </w:rPr>
        <w:t>yrekten itibaren belirginleştiği söylenebilir.</w:t>
      </w:r>
    </w:p>
    <w:p w:rsidR="006C3EE6" w:rsidRPr="00924CD9" w:rsidRDefault="006C3EE6" w:rsidP="006C3EE6">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 xml:space="preserve">Tablo 1: </w:t>
      </w:r>
      <w:r w:rsidRPr="003E1EED">
        <w:rPr>
          <w:rFonts w:ascii="Palatino Linotype" w:hAnsi="Palatino Linotype" w:cstheme="minorHAnsi"/>
          <w:bCs/>
          <w:sz w:val="22"/>
          <w:szCs w:val="22"/>
        </w:rPr>
        <w:t xml:space="preserve">GSYH alt kalemlerinin 2017 1. </w:t>
      </w:r>
      <w:r w:rsidR="00CF5053" w:rsidRPr="003E1EED">
        <w:rPr>
          <w:rFonts w:ascii="Palatino Linotype" w:hAnsi="Palatino Linotype" w:cstheme="minorHAnsi"/>
          <w:bCs/>
          <w:sz w:val="22"/>
          <w:szCs w:val="22"/>
        </w:rPr>
        <w:t>v</w:t>
      </w:r>
      <w:r w:rsidRPr="003E1EED">
        <w:rPr>
          <w:rFonts w:ascii="Palatino Linotype" w:hAnsi="Palatino Linotype" w:cstheme="minorHAnsi"/>
          <w:bCs/>
          <w:sz w:val="22"/>
          <w:szCs w:val="22"/>
        </w:rPr>
        <w:t>e 2. çeyrekte bir önceki yılın aynı çeyreğine göre büyüme oranları ve büyümeye katkıları</w:t>
      </w:r>
      <w:r w:rsidRPr="00924CD9">
        <w:rPr>
          <w:rFonts w:ascii="Palatino Linotype" w:hAnsi="Palatino Linotype" w:cstheme="minorHAnsi"/>
          <w:b/>
          <w:bCs/>
          <w:sz w:val="22"/>
          <w:szCs w:val="22"/>
        </w:rPr>
        <w:t xml:space="preserve"> </w:t>
      </w:r>
    </w:p>
    <w:tbl>
      <w:tblPr>
        <w:tblW w:w="5920" w:type="dxa"/>
        <w:tblLook w:val="04A0" w:firstRow="1" w:lastRow="0" w:firstColumn="1" w:lastColumn="0" w:noHBand="0" w:noVBand="1"/>
      </w:tblPr>
      <w:tblGrid>
        <w:gridCol w:w="1480"/>
        <w:gridCol w:w="1259"/>
        <w:gridCol w:w="961"/>
        <w:gridCol w:w="1259"/>
        <w:gridCol w:w="961"/>
      </w:tblGrid>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sz w:val="18"/>
                <w:szCs w:val="18"/>
                <w:lang w:eastAsia="en-US"/>
              </w:rPr>
            </w:pPr>
          </w:p>
        </w:tc>
        <w:tc>
          <w:tcPr>
            <w:tcW w:w="2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2017Q1</w:t>
            </w:r>
          </w:p>
        </w:tc>
        <w:tc>
          <w:tcPr>
            <w:tcW w:w="2220" w:type="dxa"/>
            <w:gridSpan w:val="2"/>
            <w:tcBorders>
              <w:top w:val="single" w:sz="4" w:space="0" w:color="auto"/>
              <w:left w:val="nil"/>
              <w:bottom w:val="single" w:sz="4" w:space="0" w:color="auto"/>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2017Q2</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p>
        </w:tc>
        <w:tc>
          <w:tcPr>
            <w:tcW w:w="1259" w:type="dxa"/>
            <w:tcBorders>
              <w:top w:val="nil"/>
              <w:left w:val="single" w:sz="4" w:space="0" w:color="auto"/>
              <w:bottom w:val="single" w:sz="4" w:space="0" w:color="auto"/>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Değişim (%)</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Katkı (%)</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Değişim (%)</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Katkı (%)</w:t>
            </w:r>
          </w:p>
        </w:tc>
      </w:tr>
      <w:tr w:rsidR="00F46A54" w:rsidRPr="003E1EED" w:rsidTr="00F46A54">
        <w:trPr>
          <w:trHeight w:val="282"/>
        </w:trPr>
        <w:tc>
          <w:tcPr>
            <w:tcW w:w="1480" w:type="dxa"/>
            <w:tcBorders>
              <w:top w:val="single" w:sz="4" w:space="0" w:color="auto"/>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Özel Tüketim</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3.6</w:t>
            </w:r>
          </w:p>
        </w:tc>
        <w:tc>
          <w:tcPr>
            <w:tcW w:w="961" w:type="dxa"/>
            <w:tcBorders>
              <w:top w:val="single" w:sz="4" w:space="0" w:color="auto"/>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2.1</w:t>
            </w:r>
          </w:p>
        </w:tc>
        <w:tc>
          <w:tcPr>
            <w:tcW w:w="1259" w:type="dxa"/>
            <w:tcBorders>
              <w:top w:val="single" w:sz="4" w:space="0" w:color="auto"/>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3.2</w:t>
            </w:r>
          </w:p>
        </w:tc>
        <w:tc>
          <w:tcPr>
            <w:tcW w:w="961" w:type="dxa"/>
            <w:tcBorders>
              <w:top w:val="single" w:sz="4" w:space="0" w:color="auto"/>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1.9</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Kamu Tüketimi</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9.7</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1.4</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-4.3</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-0.7</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Yatırım</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3.0</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0.9</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9.5</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2.8</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Stok Değişimi</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 </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-1.6</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 </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-0.8</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İhracat</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10.9</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2.5</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10.5</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2.3</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İthalat</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0.7</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-0.1</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2.3</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-0.5</w:t>
            </w:r>
          </w:p>
        </w:tc>
      </w:tr>
      <w:tr w:rsidR="00F46A54" w:rsidRPr="003E1EED" w:rsidTr="00F46A54">
        <w:trPr>
          <w:trHeight w:val="282"/>
        </w:trPr>
        <w:tc>
          <w:tcPr>
            <w:tcW w:w="1480" w:type="dxa"/>
            <w:tcBorders>
              <w:top w:val="nil"/>
              <w:left w:val="nil"/>
              <w:bottom w:val="double" w:sz="6" w:space="0" w:color="auto"/>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GSYH</w:t>
            </w:r>
          </w:p>
        </w:tc>
        <w:tc>
          <w:tcPr>
            <w:tcW w:w="1259" w:type="dxa"/>
            <w:tcBorders>
              <w:top w:val="nil"/>
              <w:left w:val="single" w:sz="4" w:space="0" w:color="auto"/>
              <w:bottom w:val="double" w:sz="6" w:space="0" w:color="auto"/>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5.2</w:t>
            </w:r>
          </w:p>
        </w:tc>
        <w:tc>
          <w:tcPr>
            <w:tcW w:w="961" w:type="dxa"/>
            <w:tcBorders>
              <w:top w:val="nil"/>
              <w:left w:val="nil"/>
              <w:bottom w:val="double" w:sz="6" w:space="0" w:color="auto"/>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 </w:t>
            </w:r>
          </w:p>
        </w:tc>
        <w:tc>
          <w:tcPr>
            <w:tcW w:w="1259" w:type="dxa"/>
            <w:tcBorders>
              <w:top w:val="nil"/>
              <w:left w:val="nil"/>
              <w:bottom w:val="double" w:sz="6" w:space="0" w:color="auto"/>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5.1</w:t>
            </w:r>
          </w:p>
        </w:tc>
        <w:tc>
          <w:tcPr>
            <w:tcW w:w="961" w:type="dxa"/>
            <w:tcBorders>
              <w:top w:val="nil"/>
              <w:left w:val="nil"/>
              <w:bottom w:val="double" w:sz="6" w:space="0" w:color="auto"/>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 </w:t>
            </w:r>
          </w:p>
        </w:tc>
      </w:tr>
    </w:tbl>
    <w:p w:rsidR="004931A5" w:rsidRPr="003E1EED" w:rsidRDefault="00F46A54" w:rsidP="004931A5">
      <w:pPr>
        <w:keepNext/>
        <w:rPr>
          <w:rFonts w:ascii="Palatino Linotype" w:hAnsi="Palatino Linotype" w:cstheme="minorHAnsi"/>
          <w:sz w:val="18"/>
          <w:szCs w:val="18"/>
        </w:rPr>
      </w:pPr>
      <w:r w:rsidRPr="003E1EED">
        <w:rPr>
          <w:rFonts w:ascii="Palatino Linotype" w:hAnsi="Palatino Linotype" w:cstheme="minorHAnsi"/>
          <w:sz w:val="18"/>
          <w:szCs w:val="18"/>
        </w:rPr>
        <w:t>Ka</w:t>
      </w:r>
      <w:r w:rsidR="004931A5" w:rsidRPr="003E1EED">
        <w:rPr>
          <w:rFonts w:ascii="Palatino Linotype" w:hAnsi="Palatino Linotype" w:cstheme="minorHAnsi"/>
          <w:sz w:val="18"/>
          <w:szCs w:val="18"/>
        </w:rPr>
        <w:t xml:space="preserve">ynak: TÜİK, Betam. </w:t>
      </w:r>
    </w:p>
    <w:p w:rsidR="006C3EE6" w:rsidRPr="00924CD9" w:rsidRDefault="006C3EE6" w:rsidP="006C3EE6">
      <w:pPr>
        <w:keepNext/>
        <w:rPr>
          <w:rFonts w:ascii="Palatino Linotype" w:hAnsi="Palatino Linotype" w:cstheme="minorHAnsi"/>
        </w:rPr>
      </w:pPr>
    </w:p>
    <w:p w:rsidR="006C3EE6" w:rsidRPr="00924CD9" w:rsidRDefault="006C3EE6" w:rsidP="006C3EE6">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 xml:space="preserve">Tablo 2: </w:t>
      </w:r>
      <w:r w:rsidRPr="003E1EED">
        <w:rPr>
          <w:rFonts w:ascii="Palatino Linotype" w:hAnsi="Palatino Linotype" w:cstheme="minorHAnsi"/>
          <w:bCs/>
          <w:sz w:val="22"/>
          <w:szCs w:val="22"/>
        </w:rPr>
        <w:t xml:space="preserve">GSYH alt kalemlerinin 2017 1. </w:t>
      </w:r>
      <w:r w:rsidR="00CF5053" w:rsidRPr="003E1EED">
        <w:rPr>
          <w:rFonts w:ascii="Palatino Linotype" w:hAnsi="Palatino Linotype" w:cstheme="minorHAnsi"/>
          <w:bCs/>
          <w:sz w:val="22"/>
          <w:szCs w:val="22"/>
        </w:rPr>
        <w:t>v</w:t>
      </w:r>
      <w:r w:rsidRPr="003E1EED">
        <w:rPr>
          <w:rFonts w:ascii="Palatino Linotype" w:hAnsi="Palatino Linotype" w:cstheme="minorHAnsi"/>
          <w:bCs/>
          <w:sz w:val="22"/>
          <w:szCs w:val="22"/>
        </w:rPr>
        <w:t>e 2. çeyrekte bir önceki çeyreğe göre büyüme oranları ve büyümeye katkıları</w:t>
      </w:r>
      <w:r w:rsidR="00CF5053" w:rsidRPr="003E1EED">
        <w:rPr>
          <w:rFonts w:ascii="Palatino Linotype" w:hAnsi="Palatino Linotype" w:cstheme="minorHAnsi"/>
          <w:bCs/>
          <w:sz w:val="22"/>
          <w:szCs w:val="22"/>
        </w:rPr>
        <w:t xml:space="preserve"> (mevsim ve takvim etkilerinden arındırılmış)</w:t>
      </w:r>
      <w:r w:rsidRPr="00924CD9">
        <w:rPr>
          <w:rFonts w:ascii="Palatino Linotype" w:hAnsi="Palatino Linotype" w:cstheme="minorHAnsi"/>
          <w:b/>
          <w:bCs/>
          <w:sz w:val="22"/>
          <w:szCs w:val="22"/>
        </w:rPr>
        <w:t xml:space="preserve"> </w:t>
      </w:r>
    </w:p>
    <w:tbl>
      <w:tblPr>
        <w:tblW w:w="5920" w:type="dxa"/>
        <w:tblLook w:val="04A0" w:firstRow="1" w:lastRow="0" w:firstColumn="1" w:lastColumn="0" w:noHBand="0" w:noVBand="1"/>
      </w:tblPr>
      <w:tblGrid>
        <w:gridCol w:w="1480"/>
        <w:gridCol w:w="1259"/>
        <w:gridCol w:w="961"/>
        <w:gridCol w:w="1259"/>
        <w:gridCol w:w="961"/>
      </w:tblGrid>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sz w:val="18"/>
                <w:szCs w:val="18"/>
                <w:lang w:eastAsia="en-US"/>
              </w:rPr>
            </w:pPr>
          </w:p>
        </w:tc>
        <w:tc>
          <w:tcPr>
            <w:tcW w:w="2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2017Q1</w:t>
            </w:r>
          </w:p>
        </w:tc>
        <w:tc>
          <w:tcPr>
            <w:tcW w:w="2220" w:type="dxa"/>
            <w:gridSpan w:val="2"/>
            <w:tcBorders>
              <w:top w:val="single" w:sz="4" w:space="0" w:color="auto"/>
              <w:left w:val="nil"/>
              <w:bottom w:val="single" w:sz="4" w:space="0" w:color="auto"/>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2017Q2</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Değişim (%)</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Katkı (%)</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Değişim (%)</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Katkı (%)</w:t>
            </w:r>
          </w:p>
        </w:tc>
      </w:tr>
      <w:tr w:rsidR="00F46A54" w:rsidRPr="003E1EED" w:rsidTr="00F46A54">
        <w:trPr>
          <w:trHeight w:val="282"/>
        </w:trPr>
        <w:tc>
          <w:tcPr>
            <w:tcW w:w="1480" w:type="dxa"/>
            <w:tcBorders>
              <w:top w:val="single" w:sz="4" w:space="0" w:color="auto"/>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Özel Tüketim</w:t>
            </w:r>
          </w:p>
        </w:tc>
        <w:tc>
          <w:tcPr>
            <w:tcW w:w="1259" w:type="dxa"/>
            <w:tcBorders>
              <w:top w:val="single" w:sz="4" w:space="0" w:color="auto"/>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-0.9</w:t>
            </w:r>
          </w:p>
        </w:tc>
        <w:tc>
          <w:tcPr>
            <w:tcW w:w="961" w:type="dxa"/>
            <w:tcBorders>
              <w:top w:val="single" w:sz="4" w:space="0" w:color="auto"/>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-0.5</w:t>
            </w:r>
          </w:p>
        </w:tc>
        <w:tc>
          <w:tcPr>
            <w:tcW w:w="1259" w:type="dxa"/>
            <w:tcBorders>
              <w:top w:val="single" w:sz="4" w:space="0" w:color="auto"/>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2.1</w:t>
            </w:r>
          </w:p>
        </w:tc>
        <w:tc>
          <w:tcPr>
            <w:tcW w:w="961" w:type="dxa"/>
            <w:tcBorders>
              <w:top w:val="single" w:sz="4" w:space="0" w:color="auto"/>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1.2</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Kamu Tüketimi</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0.7</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0.1</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-3.9</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-0.6</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Yatırım</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-1.0</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-0.3</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6.3</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1.8</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Stok Değişimi</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 </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0.4</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 </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1.0</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İhracat</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6.4</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1.4</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-0.7</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-0.2</w:t>
            </w:r>
          </w:p>
        </w:tc>
      </w:tr>
      <w:tr w:rsidR="00F46A54" w:rsidRPr="003E1EED" w:rsidTr="00F46A54">
        <w:trPr>
          <w:trHeight w:val="282"/>
        </w:trPr>
        <w:tc>
          <w:tcPr>
            <w:tcW w:w="1480" w:type="dxa"/>
            <w:tcBorders>
              <w:top w:val="nil"/>
              <w:left w:val="nil"/>
              <w:bottom w:val="nil"/>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İthalat</w:t>
            </w:r>
          </w:p>
        </w:tc>
        <w:tc>
          <w:tcPr>
            <w:tcW w:w="1259" w:type="dxa"/>
            <w:tcBorders>
              <w:top w:val="nil"/>
              <w:left w:val="single" w:sz="4" w:space="0" w:color="auto"/>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-0.9</w:t>
            </w:r>
          </w:p>
        </w:tc>
        <w:tc>
          <w:tcPr>
            <w:tcW w:w="961" w:type="dxa"/>
            <w:tcBorders>
              <w:top w:val="nil"/>
              <w:left w:val="nil"/>
              <w:bottom w:val="nil"/>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0.2</w:t>
            </w:r>
          </w:p>
        </w:tc>
        <w:tc>
          <w:tcPr>
            <w:tcW w:w="1259"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5.3</w:t>
            </w:r>
          </w:p>
        </w:tc>
        <w:tc>
          <w:tcPr>
            <w:tcW w:w="961" w:type="dxa"/>
            <w:tcBorders>
              <w:top w:val="nil"/>
              <w:left w:val="nil"/>
              <w:bottom w:val="nil"/>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-1.3</w:t>
            </w:r>
          </w:p>
        </w:tc>
      </w:tr>
      <w:tr w:rsidR="00F46A54" w:rsidRPr="003E1EED" w:rsidTr="00F46A54">
        <w:trPr>
          <w:trHeight w:val="282"/>
        </w:trPr>
        <w:tc>
          <w:tcPr>
            <w:tcW w:w="1480" w:type="dxa"/>
            <w:tcBorders>
              <w:top w:val="nil"/>
              <w:left w:val="nil"/>
              <w:bottom w:val="double" w:sz="6" w:space="0" w:color="auto"/>
              <w:right w:val="nil"/>
            </w:tcBorders>
            <w:shd w:val="clear" w:color="auto" w:fill="auto"/>
            <w:noWrap/>
            <w:vAlign w:val="bottom"/>
            <w:hideMark/>
          </w:tcPr>
          <w:p w:rsidR="00F46A54" w:rsidRPr="003E1EED" w:rsidRDefault="00F46A54" w:rsidP="00F46A54">
            <w:pPr>
              <w:rPr>
                <w:rFonts w:ascii="Palatino Linotype" w:hAnsi="Palatino Linotype" w:cstheme="minorHAnsi"/>
                <w:b/>
                <w:bCs/>
                <w:color w:val="000000"/>
                <w:sz w:val="18"/>
                <w:szCs w:val="18"/>
                <w:lang w:eastAsia="en-US"/>
              </w:rPr>
            </w:pPr>
            <w:r w:rsidRPr="003E1EED">
              <w:rPr>
                <w:rFonts w:ascii="Palatino Linotype" w:hAnsi="Palatino Linotype" w:cstheme="minorHAnsi"/>
                <w:b/>
                <w:bCs/>
                <w:color w:val="000000"/>
                <w:sz w:val="18"/>
                <w:szCs w:val="18"/>
                <w:lang w:eastAsia="en-US"/>
              </w:rPr>
              <w:t>GSYH</w:t>
            </w:r>
          </w:p>
        </w:tc>
        <w:tc>
          <w:tcPr>
            <w:tcW w:w="1259" w:type="dxa"/>
            <w:tcBorders>
              <w:top w:val="nil"/>
              <w:left w:val="single" w:sz="4" w:space="0" w:color="auto"/>
              <w:bottom w:val="double" w:sz="6" w:space="0" w:color="auto"/>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1.3</w:t>
            </w:r>
          </w:p>
        </w:tc>
        <w:tc>
          <w:tcPr>
            <w:tcW w:w="961" w:type="dxa"/>
            <w:tcBorders>
              <w:top w:val="nil"/>
              <w:left w:val="nil"/>
              <w:bottom w:val="double" w:sz="6" w:space="0" w:color="auto"/>
              <w:right w:val="single" w:sz="4" w:space="0" w:color="auto"/>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 </w:t>
            </w:r>
          </w:p>
        </w:tc>
        <w:tc>
          <w:tcPr>
            <w:tcW w:w="1259" w:type="dxa"/>
            <w:tcBorders>
              <w:top w:val="nil"/>
              <w:left w:val="nil"/>
              <w:bottom w:val="double" w:sz="6" w:space="0" w:color="auto"/>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2.1</w:t>
            </w:r>
          </w:p>
        </w:tc>
        <w:tc>
          <w:tcPr>
            <w:tcW w:w="961" w:type="dxa"/>
            <w:tcBorders>
              <w:top w:val="nil"/>
              <w:left w:val="nil"/>
              <w:bottom w:val="double" w:sz="6" w:space="0" w:color="auto"/>
              <w:right w:val="nil"/>
            </w:tcBorders>
            <w:shd w:val="clear" w:color="auto" w:fill="auto"/>
            <w:noWrap/>
            <w:vAlign w:val="bottom"/>
            <w:hideMark/>
          </w:tcPr>
          <w:p w:rsidR="00F46A54" w:rsidRPr="003E1EED" w:rsidRDefault="00F46A54" w:rsidP="00F46A54">
            <w:pPr>
              <w:jc w:val="center"/>
              <w:rPr>
                <w:rFonts w:ascii="Palatino Linotype" w:hAnsi="Palatino Linotype" w:cstheme="minorHAnsi"/>
                <w:color w:val="000000"/>
                <w:sz w:val="18"/>
                <w:szCs w:val="18"/>
                <w:lang w:eastAsia="en-US"/>
              </w:rPr>
            </w:pPr>
            <w:r w:rsidRPr="003E1EED">
              <w:rPr>
                <w:rFonts w:ascii="Palatino Linotype" w:hAnsi="Palatino Linotype" w:cstheme="minorHAnsi"/>
                <w:color w:val="000000"/>
                <w:sz w:val="18"/>
                <w:szCs w:val="18"/>
                <w:lang w:eastAsia="en-US"/>
              </w:rPr>
              <w:t> </w:t>
            </w:r>
          </w:p>
        </w:tc>
      </w:tr>
    </w:tbl>
    <w:p w:rsidR="00F46A54" w:rsidRPr="003E1EED" w:rsidRDefault="00F46A54" w:rsidP="00F46A54">
      <w:pPr>
        <w:keepNext/>
        <w:rPr>
          <w:rFonts w:ascii="Palatino Linotype" w:hAnsi="Palatino Linotype" w:cstheme="minorHAnsi"/>
          <w:sz w:val="18"/>
          <w:szCs w:val="18"/>
        </w:rPr>
      </w:pPr>
      <w:r w:rsidRPr="003E1EED">
        <w:rPr>
          <w:rFonts w:ascii="Palatino Linotype" w:hAnsi="Palatino Linotype" w:cstheme="minorHAnsi"/>
          <w:sz w:val="18"/>
          <w:szCs w:val="18"/>
        </w:rPr>
        <w:t xml:space="preserve">Kaynak: TÜİK, Betam. </w:t>
      </w:r>
    </w:p>
    <w:p w:rsidR="006C3EE6" w:rsidRPr="00924CD9" w:rsidRDefault="006C3EE6" w:rsidP="004931A5">
      <w:pPr>
        <w:pStyle w:val="NormalWeb"/>
        <w:spacing w:before="0" w:beforeAutospacing="0" w:after="0" w:afterAutospacing="0" w:line="360" w:lineRule="auto"/>
        <w:ind w:right="77"/>
        <w:rPr>
          <w:rFonts w:ascii="Palatino Linotype" w:hAnsi="Palatino Linotype" w:cstheme="minorHAnsi"/>
          <w:b/>
          <w:sz w:val="20"/>
          <w:szCs w:val="20"/>
          <w:highlight w:val="yellow"/>
        </w:rPr>
      </w:pPr>
    </w:p>
    <w:p w:rsidR="006C3EE6" w:rsidRPr="00924CD9" w:rsidRDefault="006C3EE6" w:rsidP="004931A5">
      <w:pPr>
        <w:pStyle w:val="NormalWeb"/>
        <w:spacing w:before="0" w:beforeAutospacing="0" w:after="0" w:afterAutospacing="0" w:line="360" w:lineRule="auto"/>
        <w:ind w:right="77"/>
        <w:rPr>
          <w:rFonts w:ascii="Palatino Linotype" w:hAnsi="Palatino Linotype" w:cstheme="minorHAnsi"/>
          <w:b/>
          <w:sz w:val="22"/>
          <w:szCs w:val="22"/>
        </w:rPr>
      </w:pPr>
      <w:r w:rsidRPr="00924CD9">
        <w:rPr>
          <w:rFonts w:ascii="Palatino Linotype" w:hAnsi="Palatino Linotype" w:cstheme="minorHAnsi"/>
          <w:b/>
          <w:sz w:val="22"/>
          <w:szCs w:val="22"/>
        </w:rPr>
        <w:t xml:space="preserve">Yatırımlarda </w:t>
      </w:r>
      <w:r w:rsidR="004931A5" w:rsidRPr="00924CD9">
        <w:rPr>
          <w:rFonts w:ascii="Palatino Linotype" w:hAnsi="Palatino Linotype" w:cstheme="minorHAnsi"/>
          <w:b/>
          <w:sz w:val="22"/>
          <w:szCs w:val="22"/>
        </w:rPr>
        <w:t>sürpriz artış</w:t>
      </w:r>
    </w:p>
    <w:p w:rsidR="00681AD9" w:rsidRDefault="009B1546" w:rsidP="003E1EED">
      <w:pPr>
        <w:pStyle w:val="NormalWeb"/>
        <w:spacing w:before="0" w:beforeAutospacing="0" w:after="0" w:afterAutospacing="0" w:line="360" w:lineRule="auto"/>
        <w:ind w:right="77"/>
        <w:jc w:val="both"/>
        <w:rPr>
          <w:rFonts w:ascii="Palatino Linotype" w:hAnsi="Palatino Linotype" w:cstheme="minorHAnsi"/>
          <w:sz w:val="22"/>
          <w:szCs w:val="22"/>
        </w:rPr>
      </w:pPr>
      <w:r w:rsidRPr="00924CD9">
        <w:rPr>
          <w:rFonts w:ascii="Palatino Linotype" w:hAnsi="Palatino Linotype" w:cstheme="minorHAnsi"/>
          <w:sz w:val="22"/>
          <w:szCs w:val="22"/>
        </w:rPr>
        <w:t>2017 yılının ikinci çeyrek büyüme ve büyümeye katkı oranları açısından esas sürpriz yatırımlardan geldi demek yanlış olmaz. Daha önce yayınladığımız</w:t>
      </w:r>
      <w:r w:rsidR="00DA0C5D" w:rsidRPr="00924CD9">
        <w:rPr>
          <w:rFonts w:ascii="Palatino Linotype" w:hAnsi="Palatino Linotype" w:cstheme="minorHAnsi"/>
          <w:sz w:val="22"/>
          <w:szCs w:val="22"/>
        </w:rPr>
        <w:t xml:space="preserve"> </w:t>
      </w:r>
      <w:r w:rsidRPr="00924CD9">
        <w:rPr>
          <w:rFonts w:ascii="Palatino Linotype" w:hAnsi="Palatino Linotype" w:cstheme="minorHAnsi"/>
          <w:sz w:val="22"/>
          <w:szCs w:val="22"/>
        </w:rPr>
        <w:t xml:space="preserve">“Ekonomik Büyüme ve Tahminler: Ağustos 2017” </w:t>
      </w:r>
      <w:r w:rsidR="00DA0C5D" w:rsidRPr="00924CD9">
        <w:rPr>
          <w:rFonts w:ascii="Palatino Linotype" w:hAnsi="Palatino Linotype" w:cstheme="minorHAnsi"/>
          <w:sz w:val="22"/>
          <w:szCs w:val="22"/>
        </w:rPr>
        <w:t>Betam araştırma notu</w:t>
      </w:r>
      <w:r w:rsidRPr="00924CD9">
        <w:rPr>
          <w:rFonts w:ascii="Palatino Linotype" w:hAnsi="Palatino Linotype" w:cstheme="minorHAnsi"/>
          <w:sz w:val="22"/>
          <w:szCs w:val="22"/>
        </w:rPr>
        <w:t xml:space="preserve">nda </w:t>
      </w:r>
      <w:r w:rsidR="00DA0C5D" w:rsidRPr="00924CD9">
        <w:rPr>
          <w:rFonts w:ascii="Palatino Linotype" w:hAnsi="Palatino Linotype" w:cstheme="minorHAnsi"/>
          <w:sz w:val="22"/>
          <w:szCs w:val="22"/>
        </w:rPr>
        <w:t>ticari kredilerin patlama yaptığını ve yatırımları sırtladığını vurgulamıştık</w:t>
      </w:r>
      <w:r w:rsidRPr="00924CD9">
        <w:rPr>
          <w:rFonts w:ascii="Palatino Linotype" w:hAnsi="Palatino Linotype" w:cstheme="minorHAnsi"/>
          <w:sz w:val="22"/>
          <w:szCs w:val="22"/>
        </w:rPr>
        <w:t>.</w:t>
      </w:r>
      <w:r w:rsidR="00DA0C5D" w:rsidRPr="00924CD9">
        <w:rPr>
          <w:rFonts w:ascii="Palatino Linotype" w:hAnsi="Palatino Linotype" w:cstheme="minorHAnsi"/>
          <w:sz w:val="22"/>
          <w:szCs w:val="22"/>
        </w:rPr>
        <w:t xml:space="preserve"> Gerçekleşmeler bu tespitimizi doğruluyor. İkinci </w:t>
      </w:r>
      <w:r w:rsidR="00DA0C5D" w:rsidRPr="00924CD9">
        <w:rPr>
          <w:rFonts w:ascii="Palatino Linotype" w:hAnsi="Palatino Linotype" w:cstheme="minorHAnsi"/>
          <w:sz w:val="22"/>
          <w:szCs w:val="22"/>
        </w:rPr>
        <w:lastRenderedPageBreak/>
        <w:t xml:space="preserve">çeyrekte yatırımların büyümeye </w:t>
      </w:r>
      <w:r w:rsidR="00681022" w:rsidRPr="00924CD9">
        <w:rPr>
          <w:rFonts w:ascii="Palatino Linotype" w:hAnsi="Palatino Linotype" w:cstheme="minorHAnsi"/>
          <w:sz w:val="22"/>
          <w:szCs w:val="22"/>
        </w:rPr>
        <w:t>katkısı 2</w:t>
      </w:r>
      <w:r w:rsidR="00DA0C5D" w:rsidRPr="00924CD9">
        <w:rPr>
          <w:rFonts w:ascii="Palatino Linotype" w:hAnsi="Palatino Linotype" w:cstheme="minorHAnsi"/>
          <w:sz w:val="22"/>
          <w:szCs w:val="22"/>
        </w:rPr>
        <w:t xml:space="preserve">,8 </w:t>
      </w:r>
      <w:r w:rsidR="00CF5053" w:rsidRPr="00924CD9">
        <w:rPr>
          <w:rFonts w:ascii="Palatino Linotype" w:hAnsi="Palatino Linotype" w:cstheme="minorHAnsi"/>
          <w:sz w:val="22"/>
          <w:szCs w:val="22"/>
        </w:rPr>
        <w:t xml:space="preserve">yüzde </w:t>
      </w:r>
      <w:r w:rsidR="00DA0C5D" w:rsidRPr="00924CD9">
        <w:rPr>
          <w:rFonts w:ascii="Palatino Linotype" w:hAnsi="Palatino Linotype" w:cstheme="minorHAnsi"/>
          <w:sz w:val="22"/>
          <w:szCs w:val="22"/>
        </w:rPr>
        <w:t>puan oldu. Bu tek başına</w:t>
      </w:r>
      <w:r w:rsidR="00681022" w:rsidRPr="00924CD9">
        <w:rPr>
          <w:rFonts w:ascii="Palatino Linotype" w:hAnsi="Palatino Linotype" w:cstheme="minorHAnsi"/>
          <w:sz w:val="22"/>
          <w:szCs w:val="22"/>
        </w:rPr>
        <w:t xml:space="preserve"> </w:t>
      </w:r>
      <w:r w:rsidR="00DA0C5D" w:rsidRPr="00924CD9">
        <w:rPr>
          <w:rFonts w:ascii="Palatino Linotype" w:hAnsi="Palatino Linotype" w:cstheme="minorHAnsi"/>
          <w:sz w:val="22"/>
          <w:szCs w:val="22"/>
        </w:rPr>
        <w:t>yüzde 5,1’lik büyüme oranının yarısı</w:t>
      </w:r>
      <w:r w:rsidR="00F5130C" w:rsidRPr="00924CD9">
        <w:rPr>
          <w:rFonts w:ascii="Palatino Linotype" w:hAnsi="Palatino Linotype" w:cstheme="minorHAnsi"/>
          <w:sz w:val="22"/>
          <w:szCs w:val="22"/>
        </w:rPr>
        <w:t>ndan biraz fazlası</w:t>
      </w:r>
      <w:r w:rsidR="00DA0C5D" w:rsidRPr="00924CD9">
        <w:rPr>
          <w:rFonts w:ascii="Palatino Linotype" w:hAnsi="Palatino Linotype" w:cstheme="minorHAnsi"/>
          <w:sz w:val="22"/>
          <w:szCs w:val="22"/>
        </w:rPr>
        <w:t xml:space="preserve"> ediyor. İlk çeyrekte yatırım katkısının sadece 0,9</w:t>
      </w:r>
      <w:r w:rsidR="00CF5053" w:rsidRPr="00924CD9">
        <w:rPr>
          <w:rFonts w:ascii="Palatino Linotype" w:hAnsi="Palatino Linotype" w:cstheme="minorHAnsi"/>
          <w:sz w:val="22"/>
          <w:szCs w:val="22"/>
        </w:rPr>
        <w:t xml:space="preserve"> yüzde puan</w:t>
      </w:r>
      <w:r w:rsidR="00DA0C5D" w:rsidRPr="00924CD9">
        <w:rPr>
          <w:rFonts w:ascii="Palatino Linotype" w:hAnsi="Palatino Linotype" w:cstheme="minorHAnsi"/>
          <w:sz w:val="22"/>
          <w:szCs w:val="22"/>
        </w:rPr>
        <w:t xml:space="preserve"> olduğunu hatırlatmak isteriz. Bu yüksek yatırım artışının gerisinde Kredi Garanti Fonu’nun (KGF) etkili olduğu anlaşılıyor</w:t>
      </w:r>
      <w:r w:rsidR="00DA0C5D" w:rsidRPr="00924CD9">
        <w:rPr>
          <w:rStyle w:val="FootnoteReference"/>
          <w:rFonts w:ascii="Palatino Linotype" w:hAnsi="Palatino Linotype" w:cstheme="minorHAnsi"/>
          <w:sz w:val="22"/>
          <w:szCs w:val="22"/>
        </w:rPr>
        <w:footnoteReference w:id="3"/>
      </w:r>
      <w:r w:rsidR="00DA0C5D" w:rsidRPr="00924CD9">
        <w:rPr>
          <w:rFonts w:ascii="Palatino Linotype" w:hAnsi="Palatino Linotype" w:cstheme="minorHAnsi"/>
          <w:sz w:val="22"/>
          <w:szCs w:val="22"/>
        </w:rPr>
        <w:t xml:space="preserve">. </w:t>
      </w:r>
    </w:p>
    <w:p w:rsidR="003E1EED" w:rsidRPr="00924CD9" w:rsidRDefault="003E1EED" w:rsidP="003E1EED">
      <w:pPr>
        <w:pStyle w:val="NormalWeb"/>
        <w:spacing w:before="0" w:beforeAutospacing="0" w:after="0" w:afterAutospacing="0" w:line="360" w:lineRule="auto"/>
        <w:ind w:right="77"/>
        <w:jc w:val="both"/>
        <w:rPr>
          <w:rFonts w:ascii="Palatino Linotype" w:hAnsi="Palatino Linotype" w:cstheme="minorHAnsi"/>
          <w:sz w:val="22"/>
          <w:szCs w:val="22"/>
        </w:rPr>
      </w:pPr>
    </w:p>
    <w:p w:rsidR="00681AD9" w:rsidRPr="00344A74"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344A74">
        <w:rPr>
          <w:rFonts w:ascii="Palatino Linotype" w:hAnsi="Palatino Linotype" w:cstheme="minorHAnsi"/>
          <w:b/>
          <w:sz w:val="22"/>
          <w:szCs w:val="22"/>
        </w:rPr>
        <w:t>Stok değişimlerinin katkısı negatif</w:t>
      </w:r>
    </w:p>
    <w:p w:rsidR="002106DF" w:rsidRPr="00344A74" w:rsidRDefault="00681022" w:rsidP="003E1EED">
      <w:pPr>
        <w:pStyle w:val="NormalWeb"/>
        <w:spacing w:before="0" w:beforeAutospacing="0" w:after="0" w:afterAutospacing="0" w:line="360" w:lineRule="auto"/>
        <w:ind w:right="77"/>
        <w:jc w:val="both"/>
        <w:rPr>
          <w:rFonts w:ascii="Palatino Linotype" w:hAnsi="Palatino Linotype" w:cstheme="minorHAnsi"/>
          <w:b/>
          <w:sz w:val="22"/>
          <w:szCs w:val="22"/>
        </w:rPr>
      </w:pPr>
      <w:r w:rsidRPr="00344A74">
        <w:rPr>
          <w:rFonts w:ascii="Palatino Linotype" w:hAnsi="Palatino Linotype" w:cstheme="minorHAnsi"/>
          <w:sz w:val="22"/>
          <w:szCs w:val="22"/>
        </w:rPr>
        <w:t xml:space="preserve">2017 yılının her iki çeyreğinde de stoktaki değişikliklerin büyümeye katkısı negatif oldu: sırası ile -1,6 ve -0,8 yüzde puan (Tablo 1).  Mevsim ve takvim etkilerinden arındırılmış stok değişiminin çeyreklik büyümeye katkısının ise görece yüksek ve pozitif olduğu görülüyor (Tablo 2). </w:t>
      </w:r>
    </w:p>
    <w:p w:rsidR="00625B95" w:rsidRPr="00924CD9" w:rsidRDefault="002106DF" w:rsidP="003E1EED">
      <w:pPr>
        <w:pStyle w:val="NormalWeb"/>
        <w:spacing w:before="0" w:beforeAutospacing="0" w:after="0" w:afterAutospacing="0" w:line="360" w:lineRule="auto"/>
        <w:ind w:right="77"/>
        <w:jc w:val="both"/>
        <w:rPr>
          <w:rFonts w:ascii="Palatino Linotype" w:hAnsi="Palatino Linotype" w:cstheme="minorHAnsi"/>
          <w:color w:val="FF0000"/>
          <w:sz w:val="22"/>
          <w:szCs w:val="22"/>
        </w:rPr>
      </w:pPr>
      <w:r w:rsidRPr="00344A74">
        <w:rPr>
          <w:rFonts w:ascii="Palatino Linotype" w:hAnsi="Palatino Linotype" w:cstheme="minorHAnsi"/>
          <w:sz w:val="22"/>
          <w:szCs w:val="22"/>
        </w:rPr>
        <w:t>Burada önemli bir hatırlatma yapmakta fayda var. TÜİK yeni milli gelir serilerini hesaplarken</w:t>
      </w:r>
      <w:r w:rsidR="0053582F" w:rsidRPr="00344A74">
        <w:rPr>
          <w:rFonts w:ascii="Palatino Linotype" w:hAnsi="Palatino Linotype" w:cstheme="minorHAnsi"/>
          <w:sz w:val="22"/>
          <w:szCs w:val="22"/>
        </w:rPr>
        <w:t xml:space="preserve"> zincirleme hacim endeksi yöntemini kullanıyor. </w:t>
      </w:r>
      <w:r w:rsidRPr="00344A74">
        <w:rPr>
          <w:rFonts w:ascii="Palatino Linotype" w:hAnsi="Palatino Linotype" w:cstheme="minorHAnsi"/>
          <w:sz w:val="22"/>
          <w:szCs w:val="22"/>
        </w:rPr>
        <w:t>Zincirleme yöntemde</w:t>
      </w:r>
      <w:r w:rsidR="0053582F" w:rsidRPr="00344A74">
        <w:rPr>
          <w:rFonts w:ascii="Palatino Linotype" w:hAnsi="Palatino Linotype" w:cstheme="minorHAnsi"/>
          <w:sz w:val="22"/>
          <w:szCs w:val="22"/>
        </w:rPr>
        <w:t xml:space="preserve"> hem </w:t>
      </w:r>
      <w:proofErr w:type="spellStart"/>
      <w:r w:rsidR="0053582F" w:rsidRPr="00344A74">
        <w:rPr>
          <w:rFonts w:ascii="Palatino Linotype" w:hAnsi="Palatino Linotype" w:cstheme="minorHAnsi"/>
          <w:sz w:val="22"/>
          <w:szCs w:val="22"/>
        </w:rPr>
        <w:t>toplamsallık</w:t>
      </w:r>
      <w:proofErr w:type="spellEnd"/>
      <w:r w:rsidR="0053582F" w:rsidRPr="00344A74">
        <w:rPr>
          <w:rFonts w:ascii="Palatino Linotype" w:hAnsi="Palatino Linotype" w:cstheme="minorHAnsi"/>
          <w:sz w:val="22"/>
          <w:szCs w:val="22"/>
        </w:rPr>
        <w:t xml:space="preserve"> sorunu olduğu hem de </w:t>
      </w:r>
      <w:r w:rsidRPr="00344A74">
        <w:rPr>
          <w:rFonts w:ascii="Palatino Linotype" w:hAnsi="Palatino Linotype" w:cstheme="minorHAnsi"/>
          <w:sz w:val="22"/>
          <w:szCs w:val="22"/>
        </w:rPr>
        <w:t>"stoktaki değişiklikler" kalemi için zincirlenmiş endeks türetileme</w:t>
      </w:r>
      <w:r w:rsidR="0053582F" w:rsidRPr="00344A74">
        <w:rPr>
          <w:rFonts w:ascii="Palatino Linotype" w:hAnsi="Palatino Linotype" w:cstheme="minorHAnsi"/>
          <w:sz w:val="22"/>
          <w:szCs w:val="22"/>
        </w:rPr>
        <w:t>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w:t>
      </w:r>
      <w:r w:rsidRPr="00344A74">
        <w:rPr>
          <w:rFonts w:ascii="Palatino Linotype" w:hAnsi="Palatino Linotype" w:cstheme="minorHAnsi"/>
          <w:sz w:val="22"/>
          <w:szCs w:val="22"/>
        </w:rPr>
        <w:t>bkz. Betam Araştırma Notu 17/217).</w:t>
      </w:r>
      <w:r w:rsidR="0053582F" w:rsidRPr="00924CD9">
        <w:rPr>
          <w:rFonts w:ascii="Palatino Linotype" w:hAnsi="Palatino Linotype" w:cstheme="minorHAnsi"/>
          <w:sz w:val="22"/>
          <w:szCs w:val="22"/>
        </w:rPr>
        <w:t xml:space="preserve"> </w:t>
      </w:r>
    </w:p>
    <w:p w:rsidR="00F5130C" w:rsidRPr="00924CD9" w:rsidRDefault="00F5130C" w:rsidP="00F46A54">
      <w:pPr>
        <w:pStyle w:val="NormalWeb"/>
        <w:spacing w:before="0" w:beforeAutospacing="0" w:after="0" w:afterAutospacing="0" w:line="360" w:lineRule="auto"/>
        <w:ind w:right="77"/>
        <w:rPr>
          <w:rFonts w:ascii="Palatino Linotype" w:hAnsi="Palatino Linotype" w:cstheme="minorHAnsi"/>
          <w:b/>
          <w:sz w:val="22"/>
          <w:szCs w:val="22"/>
        </w:rPr>
      </w:pPr>
    </w:p>
    <w:p w:rsidR="00F46A54" w:rsidRPr="00924CD9" w:rsidRDefault="00F46A54" w:rsidP="00F46A54">
      <w:pPr>
        <w:pStyle w:val="NormalWeb"/>
        <w:spacing w:before="0" w:beforeAutospacing="0" w:after="0" w:afterAutospacing="0" w:line="360" w:lineRule="auto"/>
        <w:ind w:right="77"/>
        <w:rPr>
          <w:rFonts w:ascii="Palatino Linotype" w:hAnsi="Palatino Linotype" w:cstheme="minorHAnsi"/>
          <w:b/>
          <w:sz w:val="22"/>
          <w:szCs w:val="22"/>
        </w:rPr>
      </w:pPr>
      <w:r w:rsidRPr="00924CD9">
        <w:rPr>
          <w:rFonts w:ascii="Palatino Linotype" w:hAnsi="Palatino Linotype" w:cstheme="minorHAnsi"/>
          <w:b/>
          <w:sz w:val="22"/>
          <w:szCs w:val="22"/>
        </w:rPr>
        <w:t xml:space="preserve">İhracattan büyümeye yüksek katkı </w:t>
      </w:r>
    </w:p>
    <w:p w:rsidR="006C3EE6" w:rsidRDefault="00F46A54" w:rsidP="006C3EE6">
      <w:pPr>
        <w:pStyle w:val="NormalWeb"/>
        <w:spacing w:before="0" w:beforeAutospacing="0" w:after="0" w:afterAutospacing="0" w:line="360" w:lineRule="auto"/>
        <w:ind w:right="77"/>
        <w:jc w:val="both"/>
        <w:rPr>
          <w:rFonts w:ascii="Palatino Linotype" w:hAnsi="Palatino Linotype" w:cstheme="minorHAnsi"/>
          <w:bCs/>
          <w:sz w:val="22"/>
          <w:szCs w:val="22"/>
        </w:rPr>
      </w:pPr>
      <w:r w:rsidRPr="00924CD9">
        <w:rPr>
          <w:rFonts w:ascii="Palatino Linotype" w:hAnsi="Palatino Linotype" w:cstheme="minorHAnsi"/>
          <w:sz w:val="22"/>
          <w:szCs w:val="22"/>
        </w:rPr>
        <w:t xml:space="preserve">Son dönemde TL’nin değer kaybetmesi ile hız kazanan net dış ticaret katkısı ikinci çeyrekte de devam etti. </w:t>
      </w:r>
      <w:r w:rsidR="00EE150B" w:rsidRPr="00924CD9">
        <w:rPr>
          <w:rFonts w:ascii="Palatino Linotype" w:hAnsi="Palatino Linotype" w:cstheme="minorHAnsi"/>
          <w:sz w:val="22"/>
          <w:szCs w:val="22"/>
        </w:rPr>
        <w:t>İhracat katkısı 2,3</w:t>
      </w:r>
      <w:r w:rsidR="00CF5053" w:rsidRPr="00924CD9">
        <w:rPr>
          <w:rFonts w:ascii="Palatino Linotype" w:hAnsi="Palatino Linotype" w:cstheme="minorHAnsi"/>
          <w:sz w:val="22"/>
          <w:szCs w:val="22"/>
        </w:rPr>
        <w:t xml:space="preserve"> yüzde puan</w:t>
      </w:r>
      <w:r w:rsidR="00EE150B" w:rsidRPr="00924CD9">
        <w:rPr>
          <w:rFonts w:ascii="Palatino Linotype" w:hAnsi="Palatino Linotype" w:cstheme="minorHAnsi"/>
          <w:sz w:val="22"/>
          <w:szCs w:val="22"/>
        </w:rPr>
        <w:t xml:space="preserve">, ithalat katkısı (eksi) 0,5 </w:t>
      </w:r>
      <w:r w:rsidR="00CF5053" w:rsidRPr="00924CD9">
        <w:rPr>
          <w:rFonts w:ascii="Palatino Linotype" w:hAnsi="Palatino Linotype" w:cstheme="minorHAnsi"/>
          <w:sz w:val="22"/>
          <w:szCs w:val="22"/>
        </w:rPr>
        <w:t xml:space="preserve">yüzde puan </w:t>
      </w:r>
      <w:r w:rsidR="00EE150B" w:rsidRPr="00924CD9">
        <w:rPr>
          <w:rFonts w:ascii="Palatino Linotype" w:hAnsi="Palatino Linotype" w:cstheme="minorHAnsi"/>
          <w:sz w:val="22"/>
          <w:szCs w:val="22"/>
        </w:rPr>
        <w:t xml:space="preserve">olarak gerçekleşti. İlk çeyrekte de benzer katkılar olduğunun </w:t>
      </w:r>
      <w:r w:rsidR="00F5130C" w:rsidRPr="00924CD9">
        <w:rPr>
          <w:rFonts w:ascii="Palatino Linotype" w:hAnsi="Palatino Linotype" w:cstheme="minorHAnsi"/>
          <w:sz w:val="22"/>
          <w:szCs w:val="22"/>
        </w:rPr>
        <w:t xml:space="preserve">ancak yılık değişim itibariyle ithalat artışının ikinci çeyrekte güçlendiğinin </w:t>
      </w:r>
      <w:r w:rsidR="00EE150B" w:rsidRPr="00924CD9">
        <w:rPr>
          <w:rFonts w:ascii="Palatino Linotype" w:hAnsi="Palatino Linotype" w:cstheme="minorHAnsi"/>
          <w:sz w:val="22"/>
          <w:szCs w:val="22"/>
        </w:rPr>
        <w:t xml:space="preserve">altını çizelim (Tablo 1). </w:t>
      </w:r>
      <w:r w:rsidR="00F5130C" w:rsidRPr="00924CD9">
        <w:rPr>
          <w:rFonts w:ascii="Palatino Linotype" w:hAnsi="Palatino Linotype" w:cstheme="minorHAnsi"/>
          <w:sz w:val="22"/>
          <w:szCs w:val="22"/>
        </w:rPr>
        <w:t>Nitekim m</w:t>
      </w:r>
      <w:r w:rsidR="00EE150B" w:rsidRPr="00924CD9">
        <w:rPr>
          <w:rFonts w:ascii="Palatino Linotype" w:hAnsi="Palatino Linotype" w:cstheme="minorHAnsi"/>
          <w:sz w:val="22"/>
          <w:szCs w:val="22"/>
        </w:rPr>
        <w:t xml:space="preserve">evsim ve takvim etkilerinden arındırılmış </w:t>
      </w:r>
      <w:r w:rsidR="00F5130C" w:rsidRPr="00924CD9">
        <w:rPr>
          <w:rFonts w:ascii="Palatino Linotype" w:hAnsi="Palatino Linotype" w:cstheme="minorHAnsi"/>
          <w:sz w:val="22"/>
          <w:szCs w:val="22"/>
        </w:rPr>
        <w:t>çeyrekten çeyreğe değişime net ihracat katkısının pozitiften negatife döndüğünü görüyoruz. Birinci çeyrekten ikinci çeyreğe ihracat</w:t>
      </w:r>
      <w:r w:rsidR="009B651F" w:rsidRPr="00924CD9">
        <w:rPr>
          <w:rFonts w:ascii="Palatino Linotype" w:hAnsi="Palatino Linotype" w:cstheme="minorHAnsi"/>
          <w:sz w:val="22"/>
          <w:szCs w:val="22"/>
        </w:rPr>
        <w:t xml:space="preserve"> yüzde 0,7 oranında azalarken ithalat artışı yüzde 5,3’e tırmanıyor. Bu gelişmenin iç talepteki artış ile tutarlı olduğunu not etmek isteriz</w:t>
      </w:r>
      <w:r w:rsidR="0053582F" w:rsidRPr="00924CD9">
        <w:rPr>
          <w:rFonts w:ascii="Palatino Linotype" w:hAnsi="Palatino Linotype" w:cstheme="minorHAnsi"/>
          <w:sz w:val="22"/>
          <w:szCs w:val="22"/>
        </w:rPr>
        <w:t xml:space="preserve"> </w:t>
      </w:r>
      <w:r w:rsidR="00EE150B" w:rsidRPr="00924CD9">
        <w:rPr>
          <w:rFonts w:ascii="Palatino Linotype" w:hAnsi="Palatino Linotype" w:cstheme="minorHAnsi"/>
          <w:sz w:val="22"/>
          <w:szCs w:val="22"/>
        </w:rPr>
        <w:t xml:space="preserve">(Tablo 2). </w:t>
      </w:r>
      <w:r w:rsidRPr="00924CD9">
        <w:rPr>
          <w:rFonts w:ascii="Palatino Linotype" w:hAnsi="Palatino Linotype" w:cstheme="minorHAnsi"/>
          <w:bCs/>
          <w:sz w:val="22"/>
          <w:szCs w:val="22"/>
        </w:rPr>
        <w:t xml:space="preserve"> </w:t>
      </w:r>
    </w:p>
    <w:p w:rsidR="003E1EED" w:rsidRPr="00924CD9" w:rsidRDefault="003E1EED" w:rsidP="006C3EE6">
      <w:pPr>
        <w:pStyle w:val="NormalWeb"/>
        <w:spacing w:before="0" w:beforeAutospacing="0" w:after="0" w:afterAutospacing="0" w:line="360" w:lineRule="auto"/>
        <w:ind w:right="77"/>
        <w:jc w:val="both"/>
        <w:rPr>
          <w:rFonts w:ascii="Palatino Linotype" w:hAnsi="Palatino Linotype" w:cstheme="minorHAnsi"/>
          <w:bCs/>
          <w:sz w:val="22"/>
          <w:szCs w:val="22"/>
        </w:rPr>
      </w:pPr>
    </w:p>
    <w:p w:rsidR="006C3EE6" w:rsidRPr="00924CD9"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924CD9">
        <w:rPr>
          <w:rFonts w:ascii="Palatino Linotype" w:hAnsi="Palatino Linotype" w:cstheme="minorHAnsi"/>
          <w:b/>
          <w:bCs/>
          <w:sz w:val="22"/>
          <w:szCs w:val="22"/>
        </w:rPr>
        <w:t>Kamu harcamaları</w:t>
      </w:r>
      <w:r w:rsidR="008C70C5" w:rsidRPr="00924CD9">
        <w:rPr>
          <w:rFonts w:ascii="Palatino Linotype" w:hAnsi="Palatino Linotype" w:cstheme="minorHAnsi"/>
          <w:b/>
          <w:bCs/>
          <w:sz w:val="22"/>
          <w:szCs w:val="22"/>
        </w:rPr>
        <w:t>nın büyüme katkısı negatif</w:t>
      </w:r>
    </w:p>
    <w:p w:rsidR="006C3EE6" w:rsidRDefault="00EB476F" w:rsidP="00E41840">
      <w:pPr>
        <w:pStyle w:val="NormalWeb"/>
        <w:spacing w:before="0" w:beforeAutospacing="0" w:after="0" w:afterAutospacing="0" w:line="360" w:lineRule="auto"/>
        <w:ind w:right="77"/>
        <w:jc w:val="both"/>
        <w:rPr>
          <w:rFonts w:ascii="Palatino Linotype" w:hAnsi="Palatino Linotype" w:cstheme="minorHAnsi"/>
          <w:sz w:val="22"/>
          <w:szCs w:val="22"/>
        </w:rPr>
      </w:pPr>
      <w:r w:rsidRPr="00924CD9">
        <w:rPr>
          <w:rFonts w:ascii="Palatino Linotype" w:hAnsi="Palatino Linotype" w:cstheme="minorHAnsi"/>
          <w:sz w:val="22"/>
          <w:szCs w:val="22"/>
        </w:rPr>
        <w:t>Devletin Nihai Tüketim Harcamalar</w:t>
      </w:r>
      <w:r w:rsidR="00CF5053" w:rsidRPr="00924CD9">
        <w:rPr>
          <w:rFonts w:ascii="Palatino Linotype" w:hAnsi="Palatino Linotype" w:cstheme="minorHAnsi"/>
          <w:sz w:val="22"/>
          <w:szCs w:val="22"/>
        </w:rPr>
        <w:t>ının yıldan yıla büyümeye katkısı ikinci çeyrekte negatif oldu (eksi 0,7 yüzde puan). Oysa ilk çeyrekte katkı 1,4 yüzde olarak gerçeklemişti (Tablo 1). Çeyrekten çeyreğe olan büyüme katkılarına baktığımızda kamu tüketim harcamalarının her iki çeyrekte de negatif katkı yaptığını görüyoruz</w:t>
      </w:r>
      <w:r w:rsidR="009B651F" w:rsidRPr="00924CD9">
        <w:rPr>
          <w:rFonts w:ascii="Palatino Linotype" w:hAnsi="Palatino Linotype" w:cstheme="minorHAnsi"/>
          <w:sz w:val="22"/>
          <w:szCs w:val="22"/>
        </w:rPr>
        <w:t xml:space="preserve">. 2016 yılında (referandum yılı) büyük artış kaydeden kamu harcamalarında mali disipline yönelik endişeleri bertaraf etmek için frene basıldığı görülüyor </w:t>
      </w:r>
      <w:r w:rsidR="00CF5053" w:rsidRPr="00924CD9">
        <w:rPr>
          <w:rFonts w:ascii="Palatino Linotype" w:hAnsi="Palatino Linotype" w:cstheme="minorHAnsi"/>
          <w:sz w:val="22"/>
          <w:szCs w:val="22"/>
        </w:rPr>
        <w:t>(Tablo 2).</w:t>
      </w:r>
    </w:p>
    <w:p w:rsidR="003E1EED" w:rsidRPr="00924CD9" w:rsidRDefault="003E1EED" w:rsidP="00E41840">
      <w:pPr>
        <w:pStyle w:val="NormalWeb"/>
        <w:spacing w:before="0" w:beforeAutospacing="0" w:after="0" w:afterAutospacing="0" w:line="360" w:lineRule="auto"/>
        <w:ind w:right="77"/>
        <w:jc w:val="both"/>
        <w:rPr>
          <w:rFonts w:ascii="Palatino Linotype" w:hAnsi="Palatino Linotype" w:cstheme="minorHAnsi"/>
          <w:sz w:val="22"/>
          <w:szCs w:val="22"/>
          <w:highlight w:val="yellow"/>
        </w:rPr>
      </w:pPr>
    </w:p>
    <w:p w:rsidR="006C3EE6" w:rsidRPr="00924CD9" w:rsidRDefault="006C3EE6" w:rsidP="00C57749">
      <w:pPr>
        <w:pStyle w:val="NormalWeb"/>
        <w:spacing w:before="0" w:beforeAutospacing="0" w:after="0" w:afterAutospacing="0" w:line="360" w:lineRule="auto"/>
        <w:ind w:right="77"/>
        <w:rPr>
          <w:rFonts w:ascii="Palatino Linotype" w:hAnsi="Palatino Linotype" w:cstheme="minorHAnsi"/>
          <w:b/>
          <w:bCs/>
          <w:sz w:val="22"/>
          <w:szCs w:val="22"/>
        </w:rPr>
      </w:pPr>
      <w:r w:rsidRPr="00924CD9">
        <w:rPr>
          <w:rFonts w:ascii="Palatino Linotype" w:hAnsi="Palatino Linotype" w:cstheme="minorHAnsi"/>
          <w:b/>
          <w:bCs/>
          <w:sz w:val="22"/>
          <w:szCs w:val="22"/>
        </w:rPr>
        <w:t>Büyümenin geleceği</w:t>
      </w:r>
    </w:p>
    <w:p w:rsidR="001B3A44" w:rsidRPr="00924CD9" w:rsidRDefault="00FA63BA" w:rsidP="00B82B92">
      <w:pPr>
        <w:pStyle w:val="NormalWeb"/>
        <w:spacing w:before="0" w:beforeAutospacing="0" w:after="0" w:afterAutospacing="0" w:line="360" w:lineRule="auto"/>
        <w:ind w:right="77"/>
        <w:jc w:val="both"/>
        <w:rPr>
          <w:rFonts w:ascii="Palatino Linotype" w:hAnsi="Palatino Linotype" w:cstheme="minorHAnsi"/>
          <w:sz w:val="22"/>
          <w:szCs w:val="22"/>
        </w:rPr>
      </w:pPr>
      <w:r w:rsidRPr="00924CD9">
        <w:rPr>
          <w:rFonts w:ascii="Palatino Linotype" w:hAnsi="Palatino Linotype" w:cstheme="minorHAnsi"/>
          <w:sz w:val="22"/>
          <w:szCs w:val="22"/>
        </w:rPr>
        <w:t xml:space="preserve">2017 yılının </w:t>
      </w:r>
      <w:r w:rsidR="001D6465" w:rsidRPr="00924CD9">
        <w:rPr>
          <w:rFonts w:ascii="Palatino Linotype" w:hAnsi="Palatino Linotype" w:cstheme="minorHAnsi"/>
          <w:sz w:val="22"/>
          <w:szCs w:val="22"/>
        </w:rPr>
        <w:t>yıllık büyüme oranları ilk çeyrekte tahminimiz doğrultusunda gerçe</w:t>
      </w:r>
      <w:r w:rsidR="006D1DD6" w:rsidRPr="00924CD9">
        <w:rPr>
          <w:rFonts w:ascii="Palatino Linotype" w:hAnsi="Palatino Linotype" w:cstheme="minorHAnsi"/>
          <w:sz w:val="22"/>
          <w:szCs w:val="22"/>
        </w:rPr>
        <w:t>k</w:t>
      </w:r>
      <w:r w:rsidR="001D6465" w:rsidRPr="00924CD9">
        <w:rPr>
          <w:rFonts w:ascii="Palatino Linotype" w:hAnsi="Palatino Linotype" w:cstheme="minorHAnsi"/>
          <w:sz w:val="22"/>
          <w:szCs w:val="22"/>
        </w:rPr>
        <w:t>leşirken ikinci çeyrekte tahminimizden bir puan kadar düşük geldi. Buna karşılık birinci ç</w:t>
      </w:r>
      <w:r w:rsidR="006D1DD6" w:rsidRPr="00924CD9">
        <w:rPr>
          <w:rFonts w:ascii="Palatino Linotype" w:hAnsi="Palatino Linotype" w:cstheme="minorHAnsi"/>
          <w:sz w:val="22"/>
          <w:szCs w:val="22"/>
        </w:rPr>
        <w:t>e</w:t>
      </w:r>
      <w:r w:rsidR="001D6465" w:rsidRPr="00924CD9">
        <w:rPr>
          <w:rFonts w:ascii="Palatino Linotype" w:hAnsi="Palatino Linotype" w:cstheme="minorHAnsi"/>
          <w:sz w:val="22"/>
          <w:szCs w:val="22"/>
        </w:rPr>
        <w:t xml:space="preserve">yrekten ikinci çeyreğe büyümenin Betam tahmini doğrultusunda gerçekleştiğini belirtelim. </w:t>
      </w:r>
      <w:r w:rsidR="00A50FB7" w:rsidRPr="00924CD9">
        <w:rPr>
          <w:rFonts w:ascii="Palatino Linotype" w:hAnsi="Palatino Linotype" w:cstheme="minorHAnsi"/>
          <w:sz w:val="22"/>
          <w:szCs w:val="22"/>
        </w:rPr>
        <w:t xml:space="preserve">Bilindiği gibi 2016 üçüncü çeyrekte ekonomide daralma meydana gelmişti. </w:t>
      </w:r>
      <w:r w:rsidR="008C170E">
        <w:rPr>
          <w:rFonts w:ascii="Palatino Linotype" w:hAnsi="Palatino Linotype" w:cstheme="minorHAnsi"/>
          <w:sz w:val="22"/>
          <w:szCs w:val="22"/>
        </w:rPr>
        <w:t xml:space="preserve">Ardından </w:t>
      </w:r>
      <w:proofErr w:type="gramStart"/>
      <w:r w:rsidR="008C170E">
        <w:rPr>
          <w:rFonts w:ascii="Palatino Linotype" w:hAnsi="Palatino Linotype" w:cstheme="minorHAnsi"/>
          <w:sz w:val="22"/>
          <w:szCs w:val="22"/>
        </w:rPr>
        <w:t xml:space="preserve">üç </w:t>
      </w:r>
      <w:r w:rsidR="001B3A44" w:rsidRPr="00924CD9">
        <w:rPr>
          <w:rFonts w:ascii="Palatino Linotype" w:hAnsi="Palatino Linotype" w:cstheme="minorHAnsi"/>
          <w:sz w:val="22"/>
          <w:szCs w:val="22"/>
        </w:rPr>
        <w:t>çeyrek</w:t>
      </w:r>
      <w:proofErr w:type="gramEnd"/>
      <w:r w:rsidR="001B3A44" w:rsidRPr="00924CD9">
        <w:rPr>
          <w:rFonts w:ascii="Palatino Linotype" w:hAnsi="Palatino Linotype" w:cstheme="minorHAnsi"/>
          <w:sz w:val="22"/>
          <w:szCs w:val="22"/>
        </w:rPr>
        <w:t xml:space="preserve"> boyunca GSYH artışları yüksek seyretti. Bu yılın üçüncü çeyreğinde artışın devam ettiği dikkate alındığında</w:t>
      </w:r>
      <w:r w:rsidRPr="00924CD9">
        <w:rPr>
          <w:rFonts w:ascii="Palatino Linotype" w:hAnsi="Palatino Linotype" w:cstheme="minorHAnsi"/>
          <w:sz w:val="22"/>
          <w:szCs w:val="22"/>
        </w:rPr>
        <w:t xml:space="preserve"> </w:t>
      </w:r>
      <w:r w:rsidR="006D1DD6" w:rsidRPr="00924CD9">
        <w:rPr>
          <w:rFonts w:ascii="Palatino Linotype" w:hAnsi="Palatino Linotype" w:cstheme="minorHAnsi"/>
          <w:sz w:val="22"/>
          <w:szCs w:val="22"/>
        </w:rPr>
        <w:t>bir önceki yılın aynı çeyreğine göre</w:t>
      </w:r>
      <w:r w:rsidR="001B3A44" w:rsidRPr="00924CD9">
        <w:rPr>
          <w:rFonts w:ascii="Palatino Linotype" w:hAnsi="Palatino Linotype" w:cstheme="minorHAnsi"/>
          <w:sz w:val="22"/>
          <w:szCs w:val="22"/>
        </w:rPr>
        <w:t xml:space="preserve"> büyüm oranının </w:t>
      </w:r>
      <w:proofErr w:type="gramStart"/>
      <w:r w:rsidRPr="00924CD9">
        <w:rPr>
          <w:rFonts w:ascii="Palatino Linotype" w:hAnsi="Palatino Linotype" w:cstheme="minorHAnsi"/>
          <w:sz w:val="22"/>
          <w:szCs w:val="22"/>
        </w:rPr>
        <w:t>baz</w:t>
      </w:r>
      <w:proofErr w:type="gramEnd"/>
      <w:r w:rsidRPr="00924CD9">
        <w:rPr>
          <w:rFonts w:ascii="Palatino Linotype" w:hAnsi="Palatino Linotype" w:cstheme="minorHAnsi"/>
          <w:sz w:val="22"/>
          <w:szCs w:val="22"/>
        </w:rPr>
        <w:t xml:space="preserve"> etkisiyle yüksek geleceği konusunda neredeyse herkes hemfikir. Hatta</w:t>
      </w:r>
      <w:r w:rsidR="00F22A71" w:rsidRPr="00924CD9">
        <w:rPr>
          <w:rFonts w:ascii="Palatino Linotype" w:hAnsi="Palatino Linotype" w:cstheme="minorHAnsi"/>
          <w:sz w:val="22"/>
          <w:szCs w:val="22"/>
        </w:rPr>
        <w:t xml:space="preserve"> son dönemde</w:t>
      </w:r>
      <w:r w:rsidRPr="00924CD9">
        <w:rPr>
          <w:rFonts w:ascii="Palatino Linotype" w:hAnsi="Palatino Linotype" w:cstheme="minorHAnsi"/>
          <w:sz w:val="22"/>
          <w:szCs w:val="22"/>
        </w:rPr>
        <w:t xml:space="preserve"> düşük tahminleriyle bilinen </w:t>
      </w:r>
      <w:proofErr w:type="spellStart"/>
      <w:r w:rsidRPr="00924CD9">
        <w:rPr>
          <w:rFonts w:ascii="Palatino Linotype" w:hAnsi="Palatino Linotype" w:cstheme="minorHAnsi"/>
          <w:sz w:val="22"/>
          <w:szCs w:val="22"/>
        </w:rPr>
        <w:t>rating</w:t>
      </w:r>
      <w:proofErr w:type="spellEnd"/>
      <w:r w:rsidRPr="00924CD9">
        <w:rPr>
          <w:rFonts w:ascii="Palatino Linotype" w:hAnsi="Palatino Linotype" w:cstheme="minorHAnsi"/>
          <w:sz w:val="22"/>
          <w:szCs w:val="22"/>
        </w:rPr>
        <w:t xml:space="preserve"> şirket</w:t>
      </w:r>
      <w:r w:rsidR="00F22A71" w:rsidRPr="00924CD9">
        <w:rPr>
          <w:rFonts w:ascii="Palatino Linotype" w:hAnsi="Palatino Linotype" w:cstheme="minorHAnsi"/>
          <w:sz w:val="22"/>
          <w:szCs w:val="22"/>
        </w:rPr>
        <w:t>ler</w:t>
      </w:r>
      <w:r w:rsidRPr="00924CD9">
        <w:rPr>
          <w:rFonts w:ascii="Palatino Linotype" w:hAnsi="Palatino Linotype" w:cstheme="minorHAnsi"/>
          <w:sz w:val="22"/>
          <w:szCs w:val="22"/>
        </w:rPr>
        <w:t xml:space="preserve">i bile </w:t>
      </w:r>
      <w:r w:rsidR="00F22A71" w:rsidRPr="00924CD9">
        <w:rPr>
          <w:rFonts w:ascii="Palatino Linotype" w:hAnsi="Palatino Linotype" w:cstheme="minorHAnsi"/>
          <w:sz w:val="22"/>
          <w:szCs w:val="22"/>
        </w:rPr>
        <w:t xml:space="preserve">üçüncü çeyrek GSYH büyümesi için </w:t>
      </w:r>
      <w:r w:rsidRPr="00924CD9">
        <w:rPr>
          <w:rFonts w:ascii="Palatino Linotype" w:hAnsi="Palatino Linotype" w:cstheme="minorHAnsi"/>
          <w:sz w:val="22"/>
          <w:szCs w:val="22"/>
        </w:rPr>
        <w:t xml:space="preserve">yüzde 7’nin </w:t>
      </w:r>
      <w:r w:rsidR="00F22A71" w:rsidRPr="00924CD9">
        <w:rPr>
          <w:rFonts w:ascii="Palatino Linotype" w:hAnsi="Palatino Linotype" w:cstheme="minorHAnsi"/>
          <w:sz w:val="22"/>
          <w:szCs w:val="22"/>
        </w:rPr>
        <w:t xml:space="preserve">üstünü işaret ediyor. </w:t>
      </w:r>
    </w:p>
    <w:p w:rsidR="00681AD9" w:rsidRDefault="00F22A71" w:rsidP="00681AD9">
      <w:pPr>
        <w:pStyle w:val="NormalWeb"/>
        <w:spacing w:before="0" w:beforeAutospacing="0" w:after="0" w:afterAutospacing="0" w:line="360" w:lineRule="auto"/>
        <w:ind w:right="77"/>
        <w:jc w:val="both"/>
        <w:rPr>
          <w:rFonts w:ascii="Palatino Linotype" w:hAnsi="Palatino Linotype" w:cstheme="minorHAnsi"/>
          <w:sz w:val="22"/>
          <w:szCs w:val="22"/>
        </w:rPr>
      </w:pPr>
      <w:r w:rsidRPr="00924CD9">
        <w:rPr>
          <w:rFonts w:ascii="Palatino Linotype" w:hAnsi="Palatino Linotype" w:cstheme="minorHAnsi"/>
          <w:sz w:val="22"/>
          <w:szCs w:val="22"/>
        </w:rPr>
        <w:t>Betam olarak üçüncü çeyrek büyümesi için ilk tahmini</w:t>
      </w:r>
      <w:r w:rsidR="001B3A44" w:rsidRPr="00924CD9">
        <w:rPr>
          <w:rFonts w:ascii="Palatino Linotype" w:hAnsi="Palatino Linotype" w:cstheme="minorHAnsi"/>
          <w:sz w:val="22"/>
          <w:szCs w:val="22"/>
        </w:rPr>
        <w:t>mizi</w:t>
      </w:r>
      <w:r w:rsidRPr="00924CD9">
        <w:rPr>
          <w:rFonts w:ascii="Palatino Linotype" w:hAnsi="Palatino Linotype" w:cstheme="minorHAnsi"/>
          <w:sz w:val="22"/>
          <w:szCs w:val="22"/>
        </w:rPr>
        <w:t xml:space="preserve"> önümüzdeki günlerde kamuoyu ile paylaşacağız. Şekil 2’de gördüğümüz üzere üçüncü </w:t>
      </w:r>
      <w:r w:rsidR="001B3A44" w:rsidRPr="00924CD9">
        <w:rPr>
          <w:rFonts w:ascii="Palatino Linotype" w:hAnsi="Palatino Linotype" w:cstheme="minorHAnsi"/>
          <w:sz w:val="22"/>
          <w:szCs w:val="22"/>
        </w:rPr>
        <w:t xml:space="preserve">çeyrekte </w:t>
      </w:r>
      <w:r w:rsidRPr="00924CD9">
        <w:rPr>
          <w:rFonts w:ascii="Palatino Linotype" w:hAnsi="Palatino Linotype" w:cstheme="minorHAnsi"/>
          <w:sz w:val="22"/>
          <w:szCs w:val="22"/>
        </w:rPr>
        <w:t xml:space="preserve">hatta </w:t>
      </w:r>
      <w:r w:rsidR="001B3A44" w:rsidRPr="00924CD9">
        <w:rPr>
          <w:rFonts w:ascii="Palatino Linotype" w:hAnsi="Palatino Linotype" w:cstheme="minorHAnsi"/>
          <w:sz w:val="22"/>
          <w:szCs w:val="22"/>
        </w:rPr>
        <w:t xml:space="preserve">bir dışsal şok durumu hariç </w:t>
      </w:r>
      <w:r w:rsidRPr="00924CD9">
        <w:rPr>
          <w:rFonts w:ascii="Palatino Linotype" w:hAnsi="Palatino Linotype" w:cstheme="minorHAnsi"/>
          <w:sz w:val="22"/>
          <w:szCs w:val="22"/>
        </w:rPr>
        <w:t>dördüncü çeyrek</w:t>
      </w:r>
      <w:r w:rsidR="001B3A44" w:rsidRPr="00924CD9">
        <w:rPr>
          <w:rFonts w:ascii="Palatino Linotype" w:hAnsi="Palatino Linotype" w:cstheme="minorHAnsi"/>
          <w:sz w:val="22"/>
          <w:szCs w:val="22"/>
        </w:rPr>
        <w:t>te</w:t>
      </w:r>
      <w:r w:rsidRPr="00924CD9">
        <w:rPr>
          <w:rFonts w:ascii="Palatino Linotype" w:hAnsi="Palatino Linotype" w:cstheme="minorHAnsi"/>
          <w:sz w:val="22"/>
          <w:szCs w:val="22"/>
        </w:rPr>
        <w:t xml:space="preserve"> </w:t>
      </w:r>
      <w:r w:rsidR="001B3A44" w:rsidRPr="00924CD9">
        <w:rPr>
          <w:rFonts w:ascii="Palatino Linotype" w:hAnsi="Palatino Linotype" w:cstheme="minorHAnsi"/>
          <w:sz w:val="22"/>
          <w:szCs w:val="22"/>
        </w:rPr>
        <w:t>ekonomik büyümenin yükse</w:t>
      </w:r>
      <w:r w:rsidR="000A612E" w:rsidRPr="00924CD9">
        <w:rPr>
          <w:rFonts w:ascii="Palatino Linotype" w:hAnsi="Palatino Linotype" w:cstheme="minorHAnsi"/>
          <w:sz w:val="22"/>
          <w:szCs w:val="22"/>
        </w:rPr>
        <w:t>k çı</w:t>
      </w:r>
      <w:r w:rsidR="008C170E">
        <w:rPr>
          <w:rFonts w:ascii="Palatino Linotype" w:hAnsi="Palatino Linotype" w:cstheme="minorHAnsi"/>
          <w:sz w:val="22"/>
          <w:szCs w:val="22"/>
        </w:rPr>
        <w:t>k</w:t>
      </w:r>
      <w:r w:rsidR="000A612E" w:rsidRPr="00924CD9">
        <w:rPr>
          <w:rFonts w:ascii="Palatino Linotype" w:hAnsi="Palatino Linotype" w:cstheme="minorHAnsi"/>
          <w:sz w:val="22"/>
          <w:szCs w:val="22"/>
        </w:rPr>
        <w:t>ması sürpriz olmayacaktır.</w:t>
      </w:r>
      <w:r w:rsidR="001B3A44" w:rsidRPr="00924CD9">
        <w:rPr>
          <w:rFonts w:ascii="Palatino Linotype" w:hAnsi="Palatino Linotype" w:cstheme="minorHAnsi"/>
          <w:sz w:val="22"/>
          <w:szCs w:val="22"/>
        </w:rPr>
        <w:t xml:space="preserve"> </w:t>
      </w:r>
      <w:r w:rsidR="000A612E" w:rsidRPr="00924CD9">
        <w:rPr>
          <w:rFonts w:ascii="Palatino Linotype" w:hAnsi="Palatino Linotype" w:cstheme="minorHAnsi"/>
          <w:sz w:val="22"/>
          <w:szCs w:val="22"/>
        </w:rPr>
        <w:t>Bu sebeple 2018</w:t>
      </w:r>
      <w:r w:rsidRPr="00924CD9">
        <w:rPr>
          <w:rFonts w:ascii="Palatino Linotype" w:hAnsi="Palatino Linotype" w:cstheme="minorHAnsi"/>
          <w:sz w:val="22"/>
          <w:szCs w:val="22"/>
        </w:rPr>
        <w:t>-20</w:t>
      </w:r>
      <w:r w:rsidR="000A612E" w:rsidRPr="00924CD9">
        <w:rPr>
          <w:rFonts w:ascii="Palatino Linotype" w:hAnsi="Palatino Linotype" w:cstheme="minorHAnsi"/>
          <w:sz w:val="22"/>
          <w:szCs w:val="22"/>
        </w:rPr>
        <w:t>20</w:t>
      </w:r>
      <w:r w:rsidRPr="00924CD9">
        <w:rPr>
          <w:rFonts w:ascii="Palatino Linotype" w:hAnsi="Palatino Linotype" w:cstheme="minorHAnsi"/>
          <w:sz w:val="22"/>
          <w:szCs w:val="22"/>
        </w:rPr>
        <w:t xml:space="preserve"> Orta Vadeli Program’ında belirtilen yüzde </w:t>
      </w:r>
      <w:r w:rsidR="000D5FD3" w:rsidRPr="00924CD9">
        <w:rPr>
          <w:rFonts w:ascii="Palatino Linotype" w:hAnsi="Palatino Linotype" w:cstheme="minorHAnsi"/>
          <w:sz w:val="22"/>
          <w:szCs w:val="22"/>
        </w:rPr>
        <w:t xml:space="preserve">5,5’luk </w:t>
      </w:r>
      <w:r w:rsidRPr="00924CD9">
        <w:rPr>
          <w:rFonts w:ascii="Palatino Linotype" w:hAnsi="Palatino Linotype" w:cstheme="minorHAnsi"/>
          <w:sz w:val="22"/>
          <w:szCs w:val="22"/>
        </w:rPr>
        <w:t>hedefin tutturulacağı hatta aşılacağı</w:t>
      </w:r>
      <w:r w:rsidR="000D5FD3" w:rsidRPr="00924CD9">
        <w:rPr>
          <w:rFonts w:ascii="Palatino Linotype" w:hAnsi="Palatino Linotype" w:cstheme="minorHAnsi"/>
          <w:sz w:val="22"/>
          <w:szCs w:val="22"/>
        </w:rPr>
        <w:t>nı tahmin ediyoruz.</w:t>
      </w:r>
      <w:r w:rsidRPr="00924CD9">
        <w:rPr>
          <w:rFonts w:ascii="Palatino Linotype" w:hAnsi="Palatino Linotype" w:cstheme="minorHAnsi"/>
          <w:sz w:val="22"/>
          <w:szCs w:val="22"/>
        </w:rPr>
        <w:t xml:space="preserve"> </w:t>
      </w:r>
      <w:r w:rsidR="000D5FD3" w:rsidRPr="00924CD9">
        <w:rPr>
          <w:rFonts w:ascii="Palatino Linotype" w:hAnsi="Palatino Linotype" w:cstheme="minorHAnsi"/>
          <w:sz w:val="22"/>
          <w:szCs w:val="22"/>
        </w:rPr>
        <w:t>Bu büyümenin önemli ölçüde iç talebi destekleyici geniş teşvikler sayesinde başarıldığı göz önünde tutulduğunda ve bu teşviklerin mali disi</w:t>
      </w:r>
      <w:r w:rsidR="000A612E" w:rsidRPr="00924CD9">
        <w:rPr>
          <w:rFonts w:ascii="Palatino Linotype" w:hAnsi="Palatino Linotype" w:cstheme="minorHAnsi"/>
          <w:sz w:val="22"/>
          <w:szCs w:val="22"/>
        </w:rPr>
        <w:t>p</w:t>
      </w:r>
      <w:r w:rsidR="000D5FD3" w:rsidRPr="00924CD9">
        <w:rPr>
          <w:rFonts w:ascii="Palatino Linotype" w:hAnsi="Palatino Linotype" w:cstheme="minorHAnsi"/>
          <w:sz w:val="22"/>
          <w:szCs w:val="22"/>
        </w:rPr>
        <w:t>lin kaygıları bağlamında devam ettirilmesi gündemde olmad</w:t>
      </w:r>
      <w:r w:rsidR="000A612E" w:rsidRPr="00924CD9">
        <w:rPr>
          <w:rFonts w:ascii="Palatino Linotype" w:hAnsi="Palatino Linotype" w:cstheme="minorHAnsi"/>
          <w:sz w:val="22"/>
          <w:szCs w:val="22"/>
        </w:rPr>
        <w:t>ı</w:t>
      </w:r>
      <w:r w:rsidR="000D5FD3" w:rsidRPr="00924CD9">
        <w:rPr>
          <w:rFonts w:ascii="Palatino Linotype" w:hAnsi="Palatino Linotype" w:cstheme="minorHAnsi"/>
          <w:sz w:val="22"/>
          <w:szCs w:val="22"/>
        </w:rPr>
        <w:t>ğından ekonomik büyüme konusunda asıl sınav</w:t>
      </w:r>
      <w:r w:rsidR="00625B95" w:rsidRPr="00924CD9">
        <w:rPr>
          <w:rFonts w:ascii="Palatino Linotype" w:hAnsi="Palatino Linotype" w:cstheme="minorHAnsi"/>
          <w:sz w:val="22"/>
          <w:szCs w:val="22"/>
        </w:rPr>
        <w:t>ın</w:t>
      </w:r>
      <w:r w:rsidR="000D5FD3" w:rsidRPr="00924CD9">
        <w:rPr>
          <w:rFonts w:ascii="Palatino Linotype" w:hAnsi="Palatino Linotype" w:cstheme="minorHAnsi"/>
          <w:sz w:val="22"/>
          <w:szCs w:val="22"/>
        </w:rPr>
        <w:t xml:space="preserve"> </w:t>
      </w:r>
      <w:r w:rsidRPr="00924CD9">
        <w:rPr>
          <w:rFonts w:ascii="Palatino Linotype" w:hAnsi="Palatino Linotype" w:cstheme="minorHAnsi"/>
          <w:sz w:val="22"/>
          <w:szCs w:val="22"/>
        </w:rPr>
        <w:t xml:space="preserve">2018 ve 2019 için hedeflenen yüzde </w:t>
      </w:r>
      <w:r w:rsidR="000D5FD3" w:rsidRPr="00924CD9">
        <w:rPr>
          <w:rFonts w:ascii="Palatino Linotype" w:hAnsi="Palatino Linotype" w:cstheme="minorHAnsi"/>
          <w:sz w:val="22"/>
          <w:szCs w:val="22"/>
        </w:rPr>
        <w:t>5,5</w:t>
      </w:r>
      <w:r w:rsidR="00625B95" w:rsidRPr="00924CD9">
        <w:rPr>
          <w:rFonts w:ascii="Palatino Linotype" w:hAnsi="Palatino Linotype" w:cstheme="minorHAnsi"/>
          <w:sz w:val="22"/>
          <w:szCs w:val="22"/>
        </w:rPr>
        <w:t xml:space="preserve"> </w:t>
      </w:r>
      <w:r w:rsidRPr="00924CD9">
        <w:rPr>
          <w:rFonts w:ascii="Palatino Linotype" w:hAnsi="Palatino Linotype" w:cstheme="minorHAnsi"/>
          <w:sz w:val="22"/>
          <w:szCs w:val="22"/>
        </w:rPr>
        <w:t>GSYH büyümesi</w:t>
      </w:r>
      <w:r w:rsidR="000D5FD3" w:rsidRPr="00924CD9">
        <w:rPr>
          <w:rFonts w:ascii="Palatino Linotype" w:hAnsi="Palatino Linotype" w:cstheme="minorHAnsi"/>
          <w:sz w:val="22"/>
          <w:szCs w:val="22"/>
        </w:rPr>
        <w:t>nde verileceğini söyleyebiliriz</w:t>
      </w:r>
      <w:r w:rsidRPr="00924CD9">
        <w:rPr>
          <w:rFonts w:ascii="Palatino Linotype" w:hAnsi="Palatino Linotype" w:cstheme="minorHAnsi"/>
          <w:sz w:val="22"/>
          <w:szCs w:val="22"/>
        </w:rPr>
        <w:t xml:space="preserve">. </w:t>
      </w:r>
    </w:p>
    <w:p w:rsidR="003E1EED" w:rsidRDefault="003E1EED"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3E1EED" w:rsidRDefault="003E1EED"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3E1EED" w:rsidRDefault="003E1EED" w:rsidP="00681AD9">
      <w:pPr>
        <w:pStyle w:val="NormalWeb"/>
        <w:spacing w:before="0" w:beforeAutospacing="0" w:after="0" w:afterAutospacing="0" w:line="360" w:lineRule="auto"/>
        <w:ind w:right="77"/>
        <w:jc w:val="both"/>
        <w:rPr>
          <w:rFonts w:ascii="Palatino Linotype" w:hAnsi="Palatino Linotype" w:cstheme="minorHAnsi"/>
          <w:sz w:val="22"/>
          <w:szCs w:val="22"/>
        </w:rPr>
      </w:pPr>
      <w:bookmarkStart w:id="0" w:name="_GoBack"/>
      <w:bookmarkEnd w:id="0"/>
    </w:p>
    <w:p w:rsidR="003E1EED" w:rsidRPr="00924CD9" w:rsidRDefault="003E1EED"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D07713" w:rsidRPr="00924CD9" w:rsidRDefault="00E85F3F" w:rsidP="00681AD9">
      <w:pPr>
        <w:pStyle w:val="NormalWeb"/>
        <w:spacing w:before="0" w:beforeAutospacing="0" w:after="0" w:afterAutospacing="0" w:line="360" w:lineRule="auto"/>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 xml:space="preserve">Şekil </w:t>
      </w:r>
      <w:r w:rsidR="00F22A71" w:rsidRPr="00924CD9">
        <w:rPr>
          <w:rFonts w:ascii="Palatino Linotype" w:hAnsi="Palatino Linotype" w:cstheme="minorHAnsi"/>
          <w:b/>
          <w:bCs/>
          <w:sz w:val="22"/>
          <w:szCs w:val="22"/>
        </w:rPr>
        <w:t>2</w:t>
      </w:r>
      <w:r w:rsidRPr="00924CD9">
        <w:rPr>
          <w:rFonts w:ascii="Palatino Linotype" w:hAnsi="Palatino Linotype" w:cstheme="minorHAnsi"/>
          <w:b/>
          <w:bCs/>
          <w:sz w:val="22"/>
          <w:szCs w:val="22"/>
        </w:rPr>
        <w:t xml:space="preserve">: </w:t>
      </w:r>
      <w:r w:rsidRPr="003E1EED">
        <w:rPr>
          <w:rFonts w:ascii="Palatino Linotype" w:hAnsi="Palatino Linotype" w:cstheme="minorHAnsi"/>
          <w:bCs/>
          <w:sz w:val="22"/>
          <w:szCs w:val="22"/>
        </w:rPr>
        <w:t>Bir önceki çeyreğe ve geçen yılın aynı çeyreğine göre GSYH büyüme oranları</w:t>
      </w:r>
      <w:r w:rsidRPr="00924CD9">
        <w:rPr>
          <w:rFonts w:ascii="Palatino Linotype" w:hAnsi="Palatino Linotype" w:cstheme="minorHAnsi"/>
          <w:b/>
          <w:bCs/>
          <w:sz w:val="22"/>
          <w:szCs w:val="22"/>
        </w:rPr>
        <w:t xml:space="preserve"> </w:t>
      </w:r>
    </w:p>
    <w:p w:rsidR="00681AD9" w:rsidRDefault="00681AD9" w:rsidP="00681AD9">
      <w:pPr>
        <w:pStyle w:val="NormalWeb"/>
        <w:spacing w:before="0" w:beforeAutospacing="0" w:after="0" w:afterAutospacing="0" w:line="360" w:lineRule="auto"/>
        <w:ind w:right="77"/>
        <w:jc w:val="both"/>
        <w:rPr>
          <w:rFonts w:ascii="Palatino Linotype" w:hAnsi="Palatino Linotype" w:cstheme="minorHAnsi"/>
          <w:b/>
          <w:bCs/>
          <w:sz w:val="22"/>
          <w:szCs w:val="22"/>
        </w:rPr>
      </w:pPr>
      <w:r w:rsidRPr="00924CD9">
        <w:rPr>
          <w:rFonts w:ascii="Palatino Linotype" w:hAnsi="Palatino Linotype" w:cstheme="minorHAnsi"/>
          <w:noProof/>
        </w:rPr>
        <w:drawing>
          <wp:inline distT="0" distB="0" distL="0" distR="0" wp14:anchorId="00A50664" wp14:editId="55F2D230">
            <wp:extent cx="5353050" cy="32186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8411" cy="3221829"/>
                    </a:xfrm>
                    <a:prstGeom prst="rect">
                      <a:avLst/>
                    </a:prstGeom>
                    <a:noFill/>
                    <a:ln>
                      <a:noFill/>
                    </a:ln>
                  </pic:spPr>
                </pic:pic>
              </a:graphicData>
            </a:graphic>
          </wp:inline>
        </w:drawing>
      </w:r>
    </w:p>
    <w:p w:rsidR="003E1EED" w:rsidRPr="003E1EED" w:rsidRDefault="003E1EED" w:rsidP="003E1EED">
      <w:pPr>
        <w:keepNext/>
        <w:rPr>
          <w:rFonts w:ascii="Palatino Linotype" w:hAnsi="Palatino Linotype" w:cstheme="minorHAnsi"/>
          <w:sz w:val="18"/>
          <w:szCs w:val="18"/>
        </w:rPr>
      </w:pPr>
      <w:r w:rsidRPr="003E1EED">
        <w:rPr>
          <w:rFonts w:ascii="Palatino Linotype" w:hAnsi="Palatino Linotype" w:cstheme="minorHAnsi"/>
          <w:sz w:val="18"/>
          <w:szCs w:val="18"/>
        </w:rPr>
        <w:t xml:space="preserve">Kaynak: TÜİK, Betam. </w:t>
      </w:r>
    </w:p>
    <w:p w:rsidR="003E1EED" w:rsidRPr="003E1EED" w:rsidRDefault="003E1EED" w:rsidP="00681AD9">
      <w:pPr>
        <w:pStyle w:val="NormalWeb"/>
        <w:spacing w:before="0" w:beforeAutospacing="0" w:after="0" w:afterAutospacing="0" w:line="360" w:lineRule="auto"/>
        <w:ind w:right="77"/>
        <w:jc w:val="both"/>
        <w:rPr>
          <w:rFonts w:ascii="Palatino Linotype" w:hAnsi="Palatino Linotype" w:cstheme="minorHAnsi"/>
          <w:bCs/>
          <w:sz w:val="18"/>
          <w:szCs w:val="18"/>
        </w:rPr>
      </w:pPr>
    </w:p>
    <w:p w:rsidR="00E41840" w:rsidRPr="003E1EED" w:rsidRDefault="00E41840" w:rsidP="00E41840">
      <w:pPr>
        <w:keepNext/>
        <w:rPr>
          <w:rFonts w:ascii="Palatino Linotype" w:hAnsi="Palatino Linotype" w:cstheme="minorHAnsi"/>
          <w:sz w:val="22"/>
          <w:szCs w:val="22"/>
        </w:rPr>
      </w:pPr>
      <w:r w:rsidRPr="003E1EED">
        <w:rPr>
          <w:rFonts w:ascii="Palatino Linotype" w:hAnsi="Palatino Linotype" w:cstheme="minorHAnsi"/>
          <w:b/>
          <w:sz w:val="22"/>
          <w:szCs w:val="22"/>
        </w:rPr>
        <w:t>Ek Şekil 1.</w:t>
      </w:r>
      <w:r w:rsidRPr="003E1EED">
        <w:rPr>
          <w:rFonts w:ascii="Palatino Linotype" w:hAnsi="Palatino Linotype" w:cstheme="minorHAnsi"/>
          <w:sz w:val="22"/>
          <w:szCs w:val="22"/>
        </w:rPr>
        <w:t xml:space="preserve"> 2010-2017 Hazine destekli kefaletlerin gelişimi</w:t>
      </w:r>
    </w:p>
    <w:p w:rsidR="00E41840" w:rsidRPr="00924CD9" w:rsidRDefault="00E41840" w:rsidP="00E41840">
      <w:pPr>
        <w:keepNext/>
        <w:rPr>
          <w:rFonts w:ascii="Palatino Linotype" w:hAnsi="Palatino Linotype" w:cstheme="minorHAnsi"/>
        </w:rPr>
      </w:pPr>
      <w:r w:rsidRPr="00924CD9">
        <w:rPr>
          <w:rFonts w:ascii="Palatino Linotype" w:hAnsi="Palatino Linotype" w:cstheme="minorHAnsi"/>
          <w:noProof/>
        </w:rPr>
        <w:drawing>
          <wp:inline distT="0" distB="0" distL="0" distR="0" wp14:anchorId="36633F9A" wp14:editId="188BB73D">
            <wp:extent cx="5437612" cy="3067050"/>
            <wp:effectExtent l="0" t="0" r="0" b="0"/>
            <wp:docPr id="12" name="Picture 12" descr="http://www.kgf.com.tr/images/kgf-rakam-31.08.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gf.com.tr/images/kgf-rakam-31.08.201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1865" cy="3114572"/>
                    </a:xfrm>
                    <a:prstGeom prst="rect">
                      <a:avLst/>
                    </a:prstGeom>
                    <a:noFill/>
                    <a:ln>
                      <a:noFill/>
                    </a:ln>
                  </pic:spPr>
                </pic:pic>
              </a:graphicData>
            </a:graphic>
          </wp:inline>
        </w:drawing>
      </w:r>
    </w:p>
    <w:p w:rsidR="00E41840" w:rsidRPr="003E1EED" w:rsidRDefault="00E41840" w:rsidP="00E41840">
      <w:pPr>
        <w:keepNext/>
        <w:rPr>
          <w:rFonts w:ascii="Palatino Linotype" w:hAnsi="Palatino Linotype" w:cstheme="minorHAnsi"/>
          <w:sz w:val="18"/>
          <w:szCs w:val="18"/>
        </w:rPr>
      </w:pPr>
      <w:r w:rsidRPr="003E1EED">
        <w:rPr>
          <w:rFonts w:ascii="Palatino Linotype" w:hAnsi="Palatino Linotype" w:cstheme="minorHAnsi"/>
          <w:sz w:val="18"/>
          <w:szCs w:val="18"/>
        </w:rPr>
        <w:t xml:space="preserve">Kaynak: KGF, </w:t>
      </w:r>
      <w:hyperlink r:id="rId13" w:history="1">
        <w:r w:rsidRPr="003E1EED">
          <w:rPr>
            <w:rStyle w:val="Hyperlink"/>
            <w:rFonts w:ascii="Palatino Linotype" w:hAnsi="Palatino Linotype" w:cs="Arial"/>
            <w:sz w:val="18"/>
            <w:szCs w:val="18"/>
          </w:rPr>
          <w:t>http://www.kgf.com.tr/index.php/tr/bilgi-merkezi/rakamlarla-kgf</w:t>
        </w:r>
      </w:hyperlink>
    </w:p>
    <w:p w:rsidR="00E41840" w:rsidRPr="00924CD9" w:rsidRDefault="00E41840" w:rsidP="00E41840">
      <w:pPr>
        <w:keepNext/>
        <w:rPr>
          <w:rFonts w:ascii="Palatino Linotype" w:hAnsi="Palatino Linotype" w:cstheme="minorHAnsi"/>
        </w:rPr>
      </w:pPr>
    </w:p>
    <w:p w:rsidR="00E750CC" w:rsidRPr="00924CD9" w:rsidRDefault="00E750CC" w:rsidP="00E85F3F">
      <w:pPr>
        <w:keepNext/>
        <w:rPr>
          <w:rFonts w:ascii="Palatino Linotype" w:hAnsi="Palatino Linotype" w:cstheme="minorHAnsi"/>
        </w:rPr>
      </w:pPr>
    </w:p>
    <w:p w:rsidR="00681AD9" w:rsidRPr="00924CD9" w:rsidRDefault="00681AD9" w:rsidP="00E85F3F">
      <w:pPr>
        <w:keepNext/>
        <w:rPr>
          <w:rFonts w:ascii="Palatino Linotype" w:hAnsi="Palatino Linotype" w:cstheme="minorHAnsi"/>
        </w:rPr>
      </w:pPr>
    </w:p>
    <w:sectPr w:rsidR="00681AD9" w:rsidRPr="00924CD9" w:rsidSect="00963B04">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25" w:rsidRDefault="002E5325" w:rsidP="00DA0C5D">
      <w:r>
        <w:separator/>
      </w:r>
    </w:p>
  </w:endnote>
  <w:endnote w:type="continuationSeparator" w:id="0">
    <w:p w:rsidR="002E5325" w:rsidRDefault="002E5325"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61002A87" w:usb1="80000000" w:usb2="00000008"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25" w:rsidRDefault="002E5325" w:rsidP="00DA0C5D">
      <w:r>
        <w:separator/>
      </w:r>
    </w:p>
  </w:footnote>
  <w:footnote w:type="continuationSeparator" w:id="0">
    <w:p w:rsidR="002E5325" w:rsidRDefault="002E5325" w:rsidP="00DA0C5D">
      <w:r>
        <w:continuationSeparator/>
      </w:r>
    </w:p>
  </w:footnote>
  <w:footnote w:id="1">
    <w:p w:rsidR="00C32789" w:rsidRDefault="00C32789" w:rsidP="00C32789">
      <w:pPr>
        <w:pStyle w:val="FootnoteText"/>
      </w:pPr>
      <w:r>
        <w:rPr>
          <w:rStyle w:val="FootnoteReference"/>
        </w:rPr>
        <w:footnoteRef/>
      </w:r>
      <w:r>
        <w:t xml:space="preserve"> Prof. Dr. Seyfettin Gürsel, Betam, Direktör,  seyfettin.gursel@eas.bahcesehir.edu.tr</w:t>
      </w:r>
    </w:p>
  </w:footnote>
  <w:footnote w:id="2">
    <w:p w:rsidR="00C32789" w:rsidRDefault="00C32789">
      <w:pPr>
        <w:pStyle w:val="FootnoteText"/>
      </w:pPr>
      <w:r>
        <w:rPr>
          <w:rStyle w:val="FootnoteReference"/>
        </w:rPr>
        <w:footnoteRef/>
      </w:r>
      <w:r>
        <w:t xml:space="preserve"> Doç. Dr. Ozan Bakış, Betam, ozan.bakis@eas.bau.edu.tr</w:t>
      </w:r>
    </w:p>
  </w:footnote>
  <w:footnote w:id="3">
    <w:p w:rsidR="00DA0C5D" w:rsidRDefault="00DA0C5D">
      <w:pPr>
        <w:pStyle w:val="FootnoteText"/>
        <w:rPr>
          <w:rFonts w:ascii="Arial" w:hAnsi="Arial" w:cs="Arial"/>
        </w:rPr>
      </w:pPr>
      <w:r>
        <w:rPr>
          <w:rStyle w:val="FootnoteReference"/>
        </w:rPr>
        <w:footnoteRef/>
      </w:r>
      <w:r>
        <w:t xml:space="preserve"> </w:t>
      </w:r>
      <w:proofErr w:type="spellStart"/>
      <w:r>
        <w:rPr>
          <w:rFonts w:ascii="Arial" w:hAnsi="Arial" w:cs="Arial"/>
        </w:rPr>
        <w:t>KGF’nun</w:t>
      </w:r>
      <w:proofErr w:type="spellEnd"/>
      <w:r>
        <w:rPr>
          <w:rFonts w:ascii="Arial" w:hAnsi="Arial" w:cs="Arial"/>
        </w:rPr>
        <w:t xml:space="preserve"> </w:t>
      </w:r>
      <w:r w:rsidRPr="00DA0C5D">
        <w:rPr>
          <w:rFonts w:ascii="Arial" w:hAnsi="Arial" w:cs="Arial"/>
        </w:rPr>
        <w:t>Hazine</w:t>
      </w:r>
      <w:r>
        <w:rPr>
          <w:rFonts w:ascii="Arial" w:hAnsi="Arial" w:cs="Arial"/>
        </w:rPr>
        <w:t>’den aldığı destek tutarı 2015 yılı</w:t>
      </w:r>
      <w:r w:rsidR="0022673E">
        <w:rPr>
          <w:rFonts w:ascii="Arial" w:hAnsi="Arial" w:cs="Arial"/>
        </w:rPr>
        <w:t>n</w:t>
      </w:r>
      <w:r>
        <w:rPr>
          <w:rFonts w:ascii="Arial" w:hAnsi="Arial" w:cs="Arial"/>
        </w:rPr>
        <w:t>da</w:t>
      </w:r>
      <w:r w:rsidRPr="00DA0C5D">
        <w:rPr>
          <w:rFonts w:ascii="Arial" w:hAnsi="Arial" w:cs="Arial"/>
        </w:rPr>
        <w:t xml:space="preserve"> 2 milyar TL’ye </w:t>
      </w:r>
      <w:r w:rsidR="0022673E">
        <w:rPr>
          <w:rFonts w:ascii="Arial" w:hAnsi="Arial" w:cs="Arial"/>
        </w:rPr>
        <w:t xml:space="preserve">ardından 2017’de 25 milyar TL’ye </w:t>
      </w:r>
      <w:r w:rsidRPr="00DA0C5D">
        <w:rPr>
          <w:rFonts w:ascii="Arial" w:hAnsi="Arial" w:cs="Arial"/>
        </w:rPr>
        <w:t xml:space="preserve">yükseltildi. </w:t>
      </w:r>
      <w:r w:rsidR="00F46A54">
        <w:rPr>
          <w:rFonts w:ascii="Arial" w:hAnsi="Arial" w:cs="Arial"/>
        </w:rPr>
        <w:t xml:space="preserve">2017’de yapılan düzenlemede KGF </w:t>
      </w:r>
      <w:r w:rsidR="00F46A54" w:rsidRPr="00F46A54">
        <w:rPr>
          <w:rFonts w:ascii="Arial" w:hAnsi="Arial" w:cs="Arial"/>
        </w:rPr>
        <w:t>tarafından verilen kefaletlerin toplam bakiye tuta</w:t>
      </w:r>
      <w:r w:rsidR="00F46A54">
        <w:rPr>
          <w:rFonts w:ascii="Arial" w:hAnsi="Arial" w:cs="Arial"/>
        </w:rPr>
        <w:t>rı</w:t>
      </w:r>
      <w:r w:rsidR="00F46A54" w:rsidRPr="00F46A54">
        <w:rPr>
          <w:rFonts w:ascii="Arial" w:hAnsi="Arial" w:cs="Arial"/>
        </w:rPr>
        <w:t xml:space="preserve"> 250 milyar TL</w:t>
      </w:r>
      <w:r w:rsidR="00F46A54">
        <w:rPr>
          <w:rFonts w:ascii="Arial" w:hAnsi="Arial" w:cs="Arial"/>
        </w:rPr>
        <w:t xml:space="preserve"> ile sınırlandırıldı. B</w:t>
      </w:r>
      <w:r>
        <w:rPr>
          <w:rFonts w:ascii="Arial" w:hAnsi="Arial" w:cs="Arial"/>
        </w:rPr>
        <w:t>kz.</w:t>
      </w:r>
      <w:r w:rsidR="0014542A">
        <w:rPr>
          <w:rFonts w:ascii="Arial" w:hAnsi="Arial" w:cs="Arial"/>
        </w:rPr>
        <w:t xml:space="preserve"> Ek Şekil 1 ile</w:t>
      </w:r>
      <w:r>
        <w:rPr>
          <w:rFonts w:ascii="Arial" w:hAnsi="Arial" w:cs="Arial"/>
        </w:rPr>
        <w:t xml:space="preserve"> </w:t>
      </w:r>
      <w:hyperlink r:id="rId1" w:history="1">
        <w:r w:rsidRPr="004C0A21">
          <w:rPr>
            <w:rStyle w:val="Hyperlink"/>
            <w:rFonts w:ascii="Arial" w:hAnsi="Arial" w:cs="Arial"/>
          </w:rPr>
          <w:t>http://www.kgf.com.tr/index.php/tr/bilgi-merkezi/rakamlarla-kgf</w:t>
        </w:r>
      </w:hyperlink>
      <w:r w:rsidR="0014542A">
        <w:rPr>
          <w:rFonts w:ascii="Arial" w:hAnsi="Arial" w:cs="Arial"/>
        </w:rPr>
        <w:t xml:space="preserve"> ve</w:t>
      </w:r>
      <w:r w:rsidR="00681AD9">
        <w:rPr>
          <w:rFonts w:ascii="Arial" w:hAnsi="Arial" w:cs="Arial"/>
        </w:rPr>
        <w:t xml:space="preserve"> </w:t>
      </w:r>
      <w:hyperlink r:id="rId2" w:history="1">
        <w:r w:rsidR="00F46A54" w:rsidRPr="004C0A21">
          <w:rPr>
            <w:rStyle w:val="Hyperlink"/>
            <w:rFonts w:ascii="Arial" w:hAnsi="Arial" w:cs="Arial"/>
          </w:rPr>
          <w:t>http://www.kgf.com.tr/index.php/tr/desteklerimiz/kaynaklarimiz/hazine-mustesarligi-fonu</w:t>
        </w:r>
      </w:hyperlink>
    </w:p>
    <w:p w:rsidR="00F46A54" w:rsidRDefault="00F46A54">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54943"/>
    <w:rsid w:val="00055EA1"/>
    <w:rsid w:val="000652B6"/>
    <w:rsid w:val="00096CDA"/>
    <w:rsid w:val="000A612E"/>
    <w:rsid w:val="000B7302"/>
    <w:rsid w:val="000C634D"/>
    <w:rsid w:val="000D5FD3"/>
    <w:rsid w:val="0012527F"/>
    <w:rsid w:val="00140468"/>
    <w:rsid w:val="0014542A"/>
    <w:rsid w:val="001B3A44"/>
    <w:rsid w:val="001C2C68"/>
    <w:rsid w:val="001C65BF"/>
    <w:rsid w:val="001D5B02"/>
    <w:rsid w:val="001D6465"/>
    <w:rsid w:val="001F7B1D"/>
    <w:rsid w:val="002106DF"/>
    <w:rsid w:val="00212579"/>
    <w:rsid w:val="00214914"/>
    <w:rsid w:val="0022673E"/>
    <w:rsid w:val="00275745"/>
    <w:rsid w:val="0028498B"/>
    <w:rsid w:val="002A07A9"/>
    <w:rsid w:val="002C5C24"/>
    <w:rsid w:val="002E5325"/>
    <w:rsid w:val="00334E27"/>
    <w:rsid w:val="00344A74"/>
    <w:rsid w:val="003967B5"/>
    <w:rsid w:val="003A488B"/>
    <w:rsid w:val="003C2891"/>
    <w:rsid w:val="003E1EED"/>
    <w:rsid w:val="00431C38"/>
    <w:rsid w:val="00451A8A"/>
    <w:rsid w:val="004931A5"/>
    <w:rsid w:val="0053582F"/>
    <w:rsid w:val="0053586E"/>
    <w:rsid w:val="00625B95"/>
    <w:rsid w:val="00643113"/>
    <w:rsid w:val="006439C5"/>
    <w:rsid w:val="006549E3"/>
    <w:rsid w:val="00681022"/>
    <w:rsid w:val="00681AD9"/>
    <w:rsid w:val="006C3EE6"/>
    <w:rsid w:val="006D1DD6"/>
    <w:rsid w:val="006D32A0"/>
    <w:rsid w:val="00724E7C"/>
    <w:rsid w:val="00773D8B"/>
    <w:rsid w:val="007D4953"/>
    <w:rsid w:val="007F3C9B"/>
    <w:rsid w:val="0084500C"/>
    <w:rsid w:val="00845A54"/>
    <w:rsid w:val="00865CE6"/>
    <w:rsid w:val="008C170E"/>
    <w:rsid w:val="008C70C5"/>
    <w:rsid w:val="008F1741"/>
    <w:rsid w:val="00924CD9"/>
    <w:rsid w:val="00963B04"/>
    <w:rsid w:val="009B1546"/>
    <w:rsid w:val="009B651F"/>
    <w:rsid w:val="00A46C4A"/>
    <w:rsid w:val="00A50FB7"/>
    <w:rsid w:val="00A6165E"/>
    <w:rsid w:val="00A719DB"/>
    <w:rsid w:val="00A874DA"/>
    <w:rsid w:val="00B82B92"/>
    <w:rsid w:val="00BB5725"/>
    <w:rsid w:val="00C11B5A"/>
    <w:rsid w:val="00C32789"/>
    <w:rsid w:val="00C57749"/>
    <w:rsid w:val="00C97FD1"/>
    <w:rsid w:val="00CB3462"/>
    <w:rsid w:val="00CC79C0"/>
    <w:rsid w:val="00CF5053"/>
    <w:rsid w:val="00D07713"/>
    <w:rsid w:val="00D257C1"/>
    <w:rsid w:val="00D402A9"/>
    <w:rsid w:val="00DA0C5D"/>
    <w:rsid w:val="00E41840"/>
    <w:rsid w:val="00E57043"/>
    <w:rsid w:val="00E667CB"/>
    <w:rsid w:val="00E750CC"/>
    <w:rsid w:val="00E85F3F"/>
    <w:rsid w:val="00EB476F"/>
    <w:rsid w:val="00EC136E"/>
    <w:rsid w:val="00EE150B"/>
    <w:rsid w:val="00EF09A7"/>
    <w:rsid w:val="00F22A71"/>
    <w:rsid w:val="00F27D86"/>
    <w:rsid w:val="00F46A54"/>
    <w:rsid w:val="00F5130C"/>
    <w:rsid w:val="00F94113"/>
    <w:rsid w:val="00FA63BA"/>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007D"/>
  <w15:docId w15:val="{82057A54-4086-4884-8058-5AEECE3F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gf.com.tr/index.php/tr/bilgi-merkezi/rakamlarla-kg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gf.com.tr/index.php/tr/desteklerimiz/kaynaklarimiz/hazine-mustesarligi-fonu" TargetMode="External"/><Relationship Id="rId1" Type="http://schemas.openxmlformats.org/officeDocument/2006/relationships/hyperlink" Target="http://www.kgf.com.tr/index.php/tr/bilgi-merkezi/rakamlarla-kg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betam\aras_notlari\buy_degerlendirme\Buy_Deg_tablo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etam\aras_notlari\buy_degerlendirme\Buy_Deg_tabl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'2017Q2'!$E$2</c:f>
              <c:strCache>
                <c:ptCount val="1"/>
                <c:pt idx="0">
                  <c:v>Değişim (%)</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'2017Q2'!$B$3:$B$9</c:f>
              <c:strCache>
                <c:ptCount val="6"/>
                <c:pt idx="0">
                  <c:v>Özel Tüketim</c:v>
                </c:pt>
                <c:pt idx="1">
                  <c:v>Kamu Tüketimi</c:v>
                </c:pt>
                <c:pt idx="2">
                  <c:v>Yatırım</c:v>
                </c:pt>
                <c:pt idx="3">
                  <c:v>İhracat</c:v>
                </c:pt>
                <c:pt idx="4">
                  <c:v>İthalat</c:v>
                </c:pt>
                <c:pt idx="5">
                  <c:v>GSYH</c:v>
                </c:pt>
              </c:strCache>
              <c:extLst/>
            </c:strRef>
          </c:cat>
          <c:val>
            <c:numRef>
              <c:f>'2017Q2'!$E$3:$E$9</c:f>
              <c:numCache>
                <c:formatCode>#,#00</c:formatCode>
                <c:ptCount val="6"/>
                <c:pt idx="0">
                  <c:v>3.1572305696386804</c:v>
                </c:pt>
                <c:pt idx="1">
                  <c:v>-4.3351182263396399</c:v>
                </c:pt>
                <c:pt idx="2">
                  <c:v>9.4805285376708284</c:v>
                </c:pt>
                <c:pt idx="3">
                  <c:v>10.462494061876249</c:v>
                </c:pt>
                <c:pt idx="4">
                  <c:v>2.2740526093233404</c:v>
                </c:pt>
                <c:pt idx="5">
                  <c:v>5.0546657794393157</c:v>
                </c:pt>
              </c:numCache>
              <c:extLst/>
            </c:numRef>
          </c:val>
          <c:extLst>
            <c:ext xmlns:c16="http://schemas.microsoft.com/office/drawing/2014/chart" uri="{C3380CC4-5D6E-409C-BE32-E72D297353CC}">
              <c16:uniqueId val="{00000000-96B3-4EFC-BE81-AD605B4EDA46}"/>
            </c:ext>
          </c:extLst>
        </c:ser>
        <c:dLbls>
          <c:dLblPos val="outEnd"/>
          <c:showLegendKey val="0"/>
          <c:showVal val="1"/>
          <c:showCatName val="0"/>
          <c:showSerName val="0"/>
          <c:showPercent val="0"/>
          <c:showBubbleSize val="0"/>
        </c:dLbls>
        <c:gapWidth val="219"/>
        <c:overlap val="-27"/>
        <c:axId val="231912192"/>
        <c:axId val="231914880"/>
      </c:barChart>
      <c:catAx>
        <c:axId val="23191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1914880"/>
        <c:crosses val="autoZero"/>
        <c:auto val="1"/>
        <c:lblAlgn val="ctr"/>
        <c:lblOffset val="100"/>
        <c:noMultiLvlLbl val="0"/>
      </c:catAx>
      <c:valAx>
        <c:axId val="2319148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1912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'2017Q2'!$F$2</c:f>
              <c:strCache>
                <c:ptCount val="1"/>
                <c:pt idx="0">
                  <c:v>Katkı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'2017Q2'!$B$3:$B$8</c:f>
              <c:strCache>
                <c:ptCount val="6"/>
                <c:pt idx="0">
                  <c:v>Özel Tüketim</c:v>
                </c:pt>
                <c:pt idx="1">
                  <c:v>Kamu Tüketimi</c:v>
                </c:pt>
                <c:pt idx="2">
                  <c:v>Yatırım</c:v>
                </c:pt>
                <c:pt idx="3">
                  <c:v>Stok Değişimi</c:v>
                </c:pt>
                <c:pt idx="4">
                  <c:v>İhracat</c:v>
                </c:pt>
                <c:pt idx="5">
                  <c:v>İthalat</c:v>
                </c:pt>
              </c:strCache>
            </c:strRef>
          </c:cat>
          <c:val>
            <c:numRef>
              <c:f>'2017Q2'!$F$3:$F$8</c:f>
              <c:numCache>
                <c:formatCode>#,#00</c:formatCode>
                <c:ptCount val="6"/>
                <c:pt idx="0">
                  <c:v>1.8926123424482</c:v>
                </c:pt>
                <c:pt idx="1">
                  <c:v>-0.66017706454788105</c:v>
                </c:pt>
                <c:pt idx="2">
                  <c:v>2.83123186296852</c:v>
                </c:pt>
                <c:pt idx="3">
                  <c:v>-0.81525200037621603</c:v>
                </c:pt>
                <c:pt idx="4">
                  <c:v>2.3257877982321</c:v>
                </c:pt>
                <c:pt idx="5">
                  <c:v>-0.51953715928540301</c:v>
                </c:pt>
              </c:numCache>
            </c:numRef>
          </c:val>
          <c:extLst>
            <c:ext xmlns:c16="http://schemas.microsoft.com/office/drawing/2014/chart" uri="{C3380CC4-5D6E-409C-BE32-E72D297353CC}">
              <c16:uniqueId val="{00000000-2062-47A9-A541-234D76D3BEA8}"/>
            </c:ext>
          </c:extLst>
        </c:ser>
        <c:dLbls>
          <c:dLblPos val="outEnd"/>
          <c:showLegendKey val="0"/>
          <c:showVal val="1"/>
          <c:showCatName val="0"/>
          <c:showSerName val="0"/>
          <c:showPercent val="0"/>
          <c:showBubbleSize val="0"/>
        </c:dLbls>
        <c:gapWidth val="219"/>
        <c:overlap val="-27"/>
        <c:axId val="231926016"/>
        <c:axId val="231928960"/>
      </c:barChart>
      <c:catAx>
        <c:axId val="23192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1928960"/>
        <c:crosses val="autoZero"/>
        <c:auto val="1"/>
        <c:lblAlgn val="ctr"/>
        <c:lblOffset val="100"/>
        <c:noMultiLvlLbl val="0"/>
      </c:catAx>
      <c:valAx>
        <c:axId val="2319289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192601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59D6-FC8A-4D2C-BE1A-ECC59AFF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merve.akgul</cp:lastModifiedBy>
  <cp:revision>3</cp:revision>
  <dcterms:created xsi:type="dcterms:W3CDTF">2017-10-05T07:11:00Z</dcterms:created>
  <dcterms:modified xsi:type="dcterms:W3CDTF">2017-10-05T07:18:00Z</dcterms:modified>
</cp:coreProperties>
</file>