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C" w:rsidRPr="00130A6B" w:rsidRDefault="00196A7A" w:rsidP="00AF0710">
      <w:pPr>
        <w:spacing w:line="276" w:lineRule="auto"/>
        <w:rPr>
          <w:rFonts w:asciiTheme="minorHAnsi" w:hAnsiTheme="minorHAnsi"/>
        </w:rPr>
      </w:pPr>
      <w:r w:rsidRPr="00130A6B"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56192" behindDoc="1" locked="0" layoutInCell="1" allowOverlap="1" wp14:anchorId="78441D37" wp14:editId="6821C083">
            <wp:simplePos x="0" y="0"/>
            <wp:positionH relativeFrom="column">
              <wp:posOffset>-757868</wp:posOffset>
            </wp:positionH>
            <wp:positionV relativeFrom="paragraph">
              <wp:posOffset>-678986</wp:posOffset>
            </wp:positionV>
            <wp:extent cx="7315200" cy="1333500"/>
            <wp:effectExtent l="19050" t="0" r="0" b="0"/>
            <wp:wrapNone/>
            <wp:docPr id="7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37A" w:rsidRPr="00130A6B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FDFEF3" wp14:editId="2D2A9761">
                <wp:simplePos x="0" y="0"/>
                <wp:positionH relativeFrom="column">
                  <wp:posOffset>1671320</wp:posOffset>
                </wp:positionH>
                <wp:positionV relativeFrom="paragraph">
                  <wp:posOffset>-311150</wp:posOffset>
                </wp:positionV>
                <wp:extent cx="3963670" cy="466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B2" w:rsidRPr="002865A7" w:rsidRDefault="00A73A34" w:rsidP="00C13C55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Bilgi Notu 1</w:t>
                            </w:r>
                            <w:r w:rsidR="001326BA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/1</w:t>
                            </w:r>
                            <w:r w:rsidR="001326BA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6A0CB2" w:rsidRPr="00526178" w:rsidRDefault="006A0CB2" w:rsidP="00C13C55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DFE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6pt;margin-top:-24.5pt;width:312.1pt;height:3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" stroked="f">
                <v:fill opacity="0"/>
                <v:textbox inset="0,0,0,0">
                  <w:txbxContent>
                    <w:p w:rsidR="006A0CB2" w:rsidRPr="002865A7" w:rsidRDefault="00A73A34" w:rsidP="00C13C55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Bilgi Notu 1</w:t>
                      </w:r>
                      <w:r w:rsidR="001326BA">
                        <w:rPr>
                          <w:rFonts w:ascii="Times New Roman" w:hAnsi="Times New Roman"/>
                          <w:sz w:val="52"/>
                          <w:szCs w:val="52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/1</w:t>
                      </w:r>
                      <w:r w:rsidR="001326BA">
                        <w:rPr>
                          <w:rFonts w:ascii="Times New Roman" w:hAnsi="Times New Roman"/>
                          <w:sz w:val="52"/>
                          <w:szCs w:val="52"/>
                        </w:rPr>
                        <w:t>6</w:t>
                      </w:r>
                    </w:p>
                    <w:p w:rsidR="006A0CB2" w:rsidRPr="00526178" w:rsidRDefault="006A0CB2" w:rsidP="00C13C55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BD0" w:rsidRPr="00130A6B" w:rsidRDefault="00460BD0" w:rsidP="00AF0710">
      <w:pPr>
        <w:spacing w:line="276" w:lineRule="auto"/>
        <w:rPr>
          <w:rFonts w:asciiTheme="minorHAnsi" w:hAnsiTheme="minorHAnsi"/>
        </w:rPr>
      </w:pPr>
    </w:p>
    <w:p w:rsidR="00C13C55" w:rsidRPr="00130A6B" w:rsidRDefault="0021737A" w:rsidP="00AF0710">
      <w:pPr>
        <w:pStyle w:val="Caption"/>
        <w:keepNext/>
        <w:spacing w:line="276" w:lineRule="auto"/>
        <w:rPr>
          <w:rFonts w:asciiTheme="minorHAnsi" w:hAnsiTheme="minorHAnsi"/>
        </w:rPr>
      </w:pPr>
      <w:r w:rsidRPr="00130A6B"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38100</wp:posOffset>
                </wp:positionV>
                <wp:extent cx="1478280" cy="299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B2" w:rsidRPr="001326BA" w:rsidRDefault="001326BA" w:rsidP="00C13C55">
                            <w:pPr>
                              <w:pStyle w:val="Heading3"/>
                              <w:jc w:val="center"/>
                              <w:rPr>
                                <w:lang w:val="tr-TR"/>
                              </w:rPr>
                            </w:pPr>
                            <w:r w:rsidRPr="001326B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5</w:t>
                            </w:r>
                            <w:r w:rsidR="006A0CB2" w:rsidRPr="001326B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Pr="001326B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Ekim</w:t>
                            </w:r>
                            <w:r w:rsidR="006A0CB2" w:rsidRPr="001326B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="00D7418C" w:rsidRPr="001326B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201</w:t>
                            </w:r>
                            <w:r w:rsidRPr="001326BA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411.8pt;margin-top:3pt;width:116.4pt;height:2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" stroked="f">
                <v:fill opacity="0"/>
                <v:textbox inset="0,0,0,0">
                  <w:txbxContent>
                    <w:p w:rsidR="006A0CB2" w:rsidRPr="001326BA" w:rsidRDefault="001326BA" w:rsidP="00C13C55">
                      <w:pPr>
                        <w:pStyle w:val="Balk3"/>
                        <w:jc w:val="center"/>
                        <w:rPr>
                          <w:lang w:val="tr-TR"/>
                        </w:rPr>
                      </w:pPr>
                      <w:r w:rsidRPr="001326B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5</w:t>
                      </w:r>
                      <w:r w:rsidR="006A0CB2" w:rsidRPr="001326B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Pr="001326B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Ekim</w:t>
                      </w:r>
                      <w:r w:rsidR="006A0CB2" w:rsidRPr="001326B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D7418C" w:rsidRPr="001326B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201</w:t>
                      </w:r>
                      <w:r w:rsidRPr="001326BA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13C55" w:rsidRPr="00130A6B" w:rsidRDefault="00C13C55" w:rsidP="00AF0710">
      <w:pPr>
        <w:pStyle w:val="Caption"/>
        <w:keepNext/>
        <w:spacing w:line="276" w:lineRule="auto"/>
        <w:rPr>
          <w:rFonts w:asciiTheme="minorHAnsi" w:hAnsiTheme="minorHAnsi"/>
        </w:rPr>
      </w:pPr>
    </w:p>
    <w:p w:rsidR="00C13C55" w:rsidRPr="00130A6B" w:rsidRDefault="00C13C55" w:rsidP="00AF0710">
      <w:pPr>
        <w:pStyle w:val="Caption"/>
        <w:keepNext/>
        <w:spacing w:line="276" w:lineRule="auto"/>
        <w:rPr>
          <w:rFonts w:asciiTheme="minorHAnsi" w:hAnsiTheme="minorHAnsi"/>
        </w:rPr>
      </w:pPr>
    </w:p>
    <w:p w:rsidR="001769AC" w:rsidRDefault="00151C9E" w:rsidP="00E23A71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M</w:t>
      </w:r>
      <w:r w:rsidR="00C8215F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OTORLU </w:t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T</w:t>
      </w:r>
      <w:r w:rsidR="00C8215F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AŞIT VERGİSİ</w:t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 xml:space="preserve"> TARTIŞM</w:t>
      </w:r>
      <w:r w:rsidR="001769AC"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A</w:t>
      </w:r>
      <w:r>
        <w:rPr>
          <w:rFonts w:asciiTheme="minorHAnsi" w:eastAsiaTheme="minorHAnsi" w:hAnsiTheme="minorHAnsi" w:cstheme="minorBidi"/>
          <w:b/>
          <w:sz w:val="28"/>
          <w:szCs w:val="32"/>
          <w:lang w:eastAsia="en-US"/>
        </w:rPr>
        <w:t>SI</w:t>
      </w:r>
    </w:p>
    <w:p w:rsidR="001769AC" w:rsidRDefault="001769AC" w:rsidP="00E23A71">
      <w:pPr>
        <w:suppressAutoHyphens w:val="0"/>
        <w:spacing w:after="100" w:line="276" w:lineRule="auto"/>
        <w:jc w:val="center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b/>
          <w:bCs/>
          <w:sz w:val="22"/>
          <w:szCs w:val="20"/>
        </w:rPr>
        <w:t>Bazı temel bilgiler ve saptamalar</w:t>
      </w:r>
    </w:p>
    <w:p w:rsidR="002A3650" w:rsidRPr="00130A6B" w:rsidRDefault="001326BA" w:rsidP="00E23A71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130A6B">
        <w:rPr>
          <w:rStyle w:val="FootnoteReference"/>
          <w:rFonts w:asciiTheme="minorHAnsi" w:hAnsiTheme="minorHAnsi"/>
          <w:b/>
          <w:bCs/>
          <w:sz w:val="22"/>
          <w:szCs w:val="20"/>
          <w:vertAlign w:val="baseline"/>
        </w:rPr>
        <w:t>S</w:t>
      </w:r>
      <w:r w:rsidRPr="00130A6B">
        <w:rPr>
          <w:rFonts w:asciiTheme="minorHAnsi" w:hAnsiTheme="minorHAnsi"/>
          <w:b/>
          <w:bCs/>
          <w:sz w:val="22"/>
          <w:szCs w:val="20"/>
        </w:rPr>
        <w:t>eyfettin Gürsel</w:t>
      </w:r>
      <w:r w:rsidR="00AC6FF9" w:rsidRPr="00130A6B">
        <w:rPr>
          <w:rStyle w:val="FootnoteReference"/>
          <w:rFonts w:asciiTheme="minorHAnsi" w:hAnsiTheme="minorHAnsi"/>
          <w:b/>
          <w:bCs/>
          <w:sz w:val="22"/>
          <w:szCs w:val="20"/>
        </w:rPr>
        <w:footnoteReference w:customMarkFollows="1" w:id="1"/>
        <w:t>*</w:t>
      </w:r>
    </w:p>
    <w:p w:rsidR="002A3650" w:rsidRPr="00130A6B" w:rsidRDefault="002A3650" w:rsidP="00E23A71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sz w:val="4"/>
          <w:szCs w:val="4"/>
          <w:lang w:eastAsia="en-US"/>
        </w:rPr>
      </w:pPr>
    </w:p>
    <w:p w:rsidR="009075BF" w:rsidRPr="002E0561" w:rsidRDefault="00151C9E" w:rsidP="00E23A71">
      <w:pPr>
        <w:suppressAutoHyphens w:val="0"/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31335D">
        <w:rPr>
          <w:rFonts w:asciiTheme="minorHAnsi" w:eastAsiaTheme="minorHAnsi" w:hAnsiTheme="minorHAnsi"/>
          <w:b/>
          <w:sz w:val="24"/>
          <w:szCs w:val="24"/>
          <w:lang w:eastAsia="en-US"/>
        </w:rPr>
        <w:t>Bilgi notunun amacı</w:t>
      </w:r>
    </w:p>
    <w:p w:rsidR="00D54674" w:rsidRDefault="00151C9E" w:rsidP="00E23A71">
      <w:pPr>
        <w:suppressAutoHyphens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Maliye Bakanlığı Motorlu Taşıtlar Vergisi’ne (MTV) gelecek yıl yüzde 40 zam yapılacağın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>ı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açıkla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>dığında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medyada ve muhalefet çevrelerinde büyük tepki doğ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>du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 w:rsidR="00D54674">
        <w:rPr>
          <w:rFonts w:asciiTheme="minorHAnsi" w:eastAsiaTheme="minorHAnsi" w:hAnsiTheme="minorHAnsi"/>
          <w:sz w:val="24"/>
          <w:szCs w:val="24"/>
          <w:lang w:eastAsia="en-US"/>
        </w:rPr>
        <w:t>Vergi zammının enflasyon oranının (yüzde 11 civarı) çok üzerinde belirlenmesi otomobil sahipleri üzerinde vergi yükünün ciddi ölçüde ağırlaşması anlamına geliyordu. Yapılan zammın “fahiş” olduğu, “adil” olmadığı tartışmaya açıldı. Ardından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 xml:space="preserve"> Cumhurbaşkanı Bakanlar Kurulu’</w:t>
      </w:r>
      <w:r w:rsidR="00D54674">
        <w:rPr>
          <w:rFonts w:asciiTheme="minorHAnsi" w:eastAsiaTheme="minorHAnsi" w:hAnsiTheme="minorHAnsi"/>
          <w:sz w:val="24"/>
          <w:szCs w:val="24"/>
          <w:lang w:eastAsia="en-US"/>
        </w:rPr>
        <w:t xml:space="preserve">ndan zam oranını gözden geçirmesini 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>istedi</w:t>
      </w:r>
      <w:r w:rsidR="00D54674">
        <w:rPr>
          <w:rFonts w:asciiTheme="minorHAnsi" w:eastAsiaTheme="minorHAnsi" w:hAnsiTheme="minorHAnsi"/>
          <w:sz w:val="24"/>
          <w:szCs w:val="24"/>
          <w:lang w:eastAsia="en-US"/>
        </w:rPr>
        <w:t xml:space="preserve">. Nasıl bir </w:t>
      </w:r>
      <w:proofErr w:type="gramStart"/>
      <w:r w:rsidR="00D54674">
        <w:rPr>
          <w:rFonts w:asciiTheme="minorHAnsi" w:eastAsiaTheme="minorHAnsi" w:hAnsiTheme="minorHAnsi"/>
          <w:sz w:val="24"/>
          <w:szCs w:val="24"/>
          <w:lang w:eastAsia="en-US"/>
        </w:rPr>
        <w:t>revizyon</w:t>
      </w:r>
      <w:proofErr w:type="gramEnd"/>
      <w:r w:rsidR="00D54674">
        <w:rPr>
          <w:rFonts w:asciiTheme="minorHAnsi" w:eastAsiaTheme="minorHAnsi" w:hAnsiTheme="minorHAnsi"/>
          <w:sz w:val="24"/>
          <w:szCs w:val="24"/>
          <w:lang w:eastAsia="en-US"/>
        </w:rPr>
        <w:t xml:space="preserve"> yapılacağını yakında öğreneceğiz.</w:t>
      </w:r>
    </w:p>
    <w:p w:rsidR="002E0561" w:rsidRDefault="002E0561" w:rsidP="00E23A71">
      <w:pPr>
        <w:suppressAutoHyphens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9075BF" w:rsidRDefault="00D54674" w:rsidP="00E23A71">
      <w:pPr>
        <w:suppressAutoHyphens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MTV zammı tartışmalarının otomobil sahipliğinin nasıl bir dağılım gösterdiğine dair temel bilgilerden yoksun bir şekilde yüzeysel ve </w:t>
      </w:r>
      <w:proofErr w:type="gramStart"/>
      <w:r>
        <w:rPr>
          <w:rFonts w:asciiTheme="minorHAnsi" w:eastAsiaTheme="minorHAnsi" w:hAnsiTheme="minorHAnsi"/>
          <w:sz w:val="24"/>
          <w:szCs w:val="24"/>
          <w:lang w:eastAsia="en-US"/>
        </w:rPr>
        <w:t>polemik</w:t>
      </w:r>
      <w:proofErr w:type="gramEnd"/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tarzda yapılıyor olması dikkat çekiciydi. Betam olarak bu boşluğu kısmen doldurmak amacıyla bu bilgi notunu yayınlamaya karar verdik. Aşağıda otomobil sahipliğinin zaman içinde nasıl </w:t>
      </w:r>
      <w:proofErr w:type="spellStart"/>
      <w:r>
        <w:rPr>
          <w:rFonts w:asciiTheme="minorHAnsi" w:eastAsiaTheme="minorHAnsi" w:hAnsiTheme="minorHAnsi"/>
          <w:sz w:val="24"/>
          <w:szCs w:val="24"/>
          <w:lang w:eastAsia="en-US"/>
        </w:rPr>
        <w:t>evrildiğin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>e</w:t>
      </w:r>
      <w:proofErr w:type="spellEnd"/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 xml:space="preserve"> ve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halen nasıl bir dağılım gösterdiğine dair rakamları dikkatin</w:t>
      </w:r>
      <w:r w:rsidR="0031335D">
        <w:rPr>
          <w:rFonts w:asciiTheme="minorHAnsi" w:eastAsiaTheme="minorHAnsi" w:hAnsiTheme="minorHAnsi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ze sunuyoruz.</w:t>
      </w:r>
      <w:r w:rsidR="0031335D">
        <w:rPr>
          <w:rFonts w:asciiTheme="minorHAnsi" w:eastAsiaTheme="minorHAnsi" w:hAnsiTheme="minorHAnsi"/>
          <w:sz w:val="24"/>
          <w:szCs w:val="24"/>
          <w:lang w:eastAsia="en-US"/>
        </w:rPr>
        <w:t xml:space="preserve"> Ayrıca MTV zammının bu veriler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ç</w:t>
      </w:r>
      <w:r w:rsidR="0031335D">
        <w:rPr>
          <w:rFonts w:asciiTheme="minorHAnsi" w:eastAsiaTheme="minorHAnsi" w:hAnsiTheme="minorHAnsi"/>
          <w:sz w:val="24"/>
          <w:szCs w:val="24"/>
          <w:lang w:eastAsia="en-US"/>
        </w:rPr>
        <w:t>erçevesinde nasıl revize edilebileceğine dair de kısa bir yorum ekl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>iyoruz</w:t>
      </w:r>
      <w:r w:rsidR="0031335D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31335D" w:rsidRDefault="0031335D" w:rsidP="00E23A71">
      <w:pPr>
        <w:suppressAutoHyphens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31335D" w:rsidRDefault="0031335D" w:rsidP="00E23A71">
      <w:pPr>
        <w:suppressAutoHyphens w:val="0"/>
        <w:spacing w:line="276" w:lineRule="auto"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31335D">
        <w:rPr>
          <w:rFonts w:asciiTheme="minorHAnsi" w:eastAsiaTheme="minorHAnsi" w:hAnsiTheme="minorHAnsi"/>
          <w:b/>
          <w:sz w:val="24"/>
          <w:szCs w:val="24"/>
          <w:lang w:eastAsia="en-US"/>
        </w:rPr>
        <w:t>Otomobil sahipliğinin gelir g</w:t>
      </w:r>
      <w:r w:rsidR="005E2172">
        <w:rPr>
          <w:rFonts w:asciiTheme="minorHAnsi" w:eastAsiaTheme="minorHAnsi" w:hAnsiTheme="minorHAnsi"/>
          <w:b/>
          <w:sz w:val="24"/>
          <w:szCs w:val="24"/>
          <w:lang w:eastAsia="en-US"/>
        </w:rPr>
        <w:t>rup</w:t>
      </w:r>
      <w:r w:rsidRPr="0031335D">
        <w:rPr>
          <w:rFonts w:asciiTheme="minorHAnsi" w:eastAsiaTheme="minorHAnsi" w:hAnsiTheme="minorHAnsi"/>
          <w:b/>
          <w:sz w:val="24"/>
          <w:szCs w:val="24"/>
          <w:lang w:eastAsia="en-US"/>
        </w:rPr>
        <w:t>larına göre evrimi</w:t>
      </w:r>
    </w:p>
    <w:p w:rsidR="00130A6B" w:rsidRPr="005E2172" w:rsidRDefault="0031335D" w:rsidP="00E23A71">
      <w:pPr>
        <w:suppressAutoHyphens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Özel otomobil sahipliğinin yüzde 20’lik gelir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grupları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itibariyle son 10 yılda nasıl </w:t>
      </w:r>
      <w:proofErr w:type="spellStart"/>
      <w:r>
        <w:rPr>
          <w:rFonts w:asciiTheme="minorHAnsi" w:eastAsiaTheme="minorHAnsi" w:hAnsiTheme="minorHAnsi"/>
          <w:sz w:val="24"/>
          <w:szCs w:val="24"/>
          <w:lang w:eastAsia="en-US"/>
        </w:rPr>
        <w:t>evrildiğini</w:t>
      </w:r>
      <w:proofErr w:type="spellEnd"/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 w:val="24"/>
          <w:szCs w:val="24"/>
          <w:lang w:eastAsia="en-US"/>
        </w:rPr>
        <w:t>TÜİK’in</w:t>
      </w:r>
      <w:proofErr w:type="spellEnd"/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iki farklı mikro veri tabanını kullanarak inceliyoruz. Şekil 1’de </w:t>
      </w:r>
      <w:proofErr w:type="spellStart"/>
      <w:r>
        <w:rPr>
          <w:rFonts w:asciiTheme="minorHAnsi" w:eastAsiaTheme="minorHAnsi" w:hAnsiTheme="minorHAnsi"/>
          <w:sz w:val="24"/>
          <w:szCs w:val="24"/>
          <w:lang w:eastAsia="en-US"/>
        </w:rPr>
        <w:t>Hanehalkı</w:t>
      </w:r>
      <w:proofErr w:type="spellEnd"/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Bütçe Anketi’nin (HBA) mikro verileri itib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>a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r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yle 2005-2014 döneminde 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>yüzde 20’lik gelir gruplarında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 xml:space="preserve">otomobil sahibi hanelerin paylarının gelişimini, Sekil 2’de aynı payların Gelir ve Yaşam Koşulları Anketi’nin (GYKA) </w:t>
      </w:r>
      <w:r w:rsidR="00360EA4">
        <w:rPr>
          <w:rFonts w:asciiTheme="minorHAnsi" w:eastAsiaTheme="minorHAnsi" w:hAnsiTheme="minorHAnsi"/>
          <w:sz w:val="24"/>
          <w:szCs w:val="24"/>
          <w:lang w:eastAsia="en-US"/>
        </w:rPr>
        <w:t xml:space="preserve">mikro verileri itibariyle 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 xml:space="preserve">2006-2015 dönemindeki gelişimi gösteriliyor. İki farklı anket söz konusu olduğundan aynı yılda aynı gelir grubunda paylar arasında farklılıklar olması doğaldır. Ancak bu farkların çok sınırlı kaldığı görülüyor. Dolayısıyla bu </w:t>
      </w:r>
      <w:r w:rsidR="005E2172">
        <w:rPr>
          <w:rFonts w:asciiTheme="minorHAnsi" w:eastAsiaTheme="minorHAnsi" w:hAnsiTheme="minorHAnsi"/>
          <w:sz w:val="24"/>
          <w:szCs w:val="24"/>
          <w:lang w:eastAsia="en-US"/>
        </w:rPr>
        <w:t xml:space="preserve">iki 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 xml:space="preserve">anketin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gelir düzeylerine göre otomobil</w:t>
      </w:r>
      <w:r w:rsidR="00880F30">
        <w:rPr>
          <w:rFonts w:asciiTheme="minorHAnsi" w:eastAsiaTheme="minorHAnsi" w:hAnsiTheme="minorHAnsi"/>
          <w:sz w:val="24"/>
          <w:szCs w:val="24"/>
          <w:lang w:eastAsia="en-US"/>
        </w:rPr>
        <w:t xml:space="preserve"> sahipliğini oldukça gerçekçi bir biçimde tahmin ettiğini söyleyebiliriz.</w:t>
      </w:r>
    </w:p>
    <w:p w:rsidR="00130A6B" w:rsidRDefault="00130A6B" w:rsidP="00E23A71">
      <w:pPr>
        <w:pStyle w:val="Caption"/>
        <w:keepNext/>
        <w:spacing w:line="276" w:lineRule="auto"/>
        <w:rPr>
          <w:rFonts w:asciiTheme="minorHAnsi" w:hAnsiTheme="minorHAnsi"/>
          <w:sz w:val="24"/>
        </w:rPr>
      </w:pPr>
    </w:p>
    <w:p w:rsidR="009F6EFE" w:rsidRPr="009F6EFE" w:rsidRDefault="009F6EFE" w:rsidP="00E23A7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6EFE">
        <w:rPr>
          <w:rFonts w:asciiTheme="minorHAnsi" w:hAnsiTheme="minorHAnsi" w:cstheme="minorHAnsi"/>
          <w:sz w:val="24"/>
          <w:szCs w:val="24"/>
        </w:rPr>
        <w:t>Beklendiği gibi</w:t>
      </w:r>
      <w:r>
        <w:rPr>
          <w:rFonts w:asciiTheme="minorHAnsi" w:hAnsiTheme="minorHAnsi" w:cstheme="minorHAnsi"/>
          <w:sz w:val="24"/>
          <w:szCs w:val="24"/>
        </w:rPr>
        <w:t xml:space="preserve"> otomobil sahipliği tüm gelir gruplarında zaman </w:t>
      </w:r>
      <w:r w:rsidR="00FF19BF">
        <w:rPr>
          <w:rFonts w:asciiTheme="minorHAnsi" w:hAnsiTheme="minorHAnsi" w:cstheme="minorHAnsi"/>
          <w:sz w:val="24"/>
          <w:szCs w:val="24"/>
        </w:rPr>
        <w:t xml:space="preserve">içinde </w:t>
      </w:r>
      <w:r>
        <w:rPr>
          <w:rFonts w:asciiTheme="minorHAnsi" w:hAnsiTheme="minorHAnsi" w:cstheme="minorHAnsi"/>
          <w:sz w:val="24"/>
          <w:szCs w:val="24"/>
        </w:rPr>
        <w:t xml:space="preserve">artıyor. </w:t>
      </w:r>
      <w:r w:rsidR="00FF19BF">
        <w:rPr>
          <w:rFonts w:asciiTheme="minorHAnsi" w:hAnsiTheme="minorHAnsi" w:cstheme="minorHAnsi"/>
          <w:sz w:val="24"/>
          <w:szCs w:val="24"/>
        </w:rPr>
        <w:t>D</w:t>
      </w:r>
      <w:r w:rsidR="00600E61">
        <w:rPr>
          <w:rFonts w:asciiTheme="minorHAnsi" w:hAnsiTheme="minorHAnsi" w:cstheme="minorHAnsi"/>
          <w:sz w:val="24"/>
          <w:szCs w:val="24"/>
        </w:rPr>
        <w:t>i</w:t>
      </w:r>
      <w:r w:rsidR="00FF19BF">
        <w:rPr>
          <w:rFonts w:asciiTheme="minorHAnsi" w:hAnsiTheme="minorHAnsi" w:cstheme="minorHAnsi"/>
          <w:sz w:val="24"/>
          <w:szCs w:val="24"/>
        </w:rPr>
        <w:t xml:space="preserve">kkat çekilmesi gereken nokta son 10 yılda otomobil sahipliğinin yüksek gelirlilerden düşük gelirlilere doğru inildikçe çok daha hızlı artıyor olmasıdır. Örnek vermek gerekirse en düşük gelirli grupta </w:t>
      </w:r>
      <w:r w:rsidR="005E2172">
        <w:rPr>
          <w:rFonts w:asciiTheme="minorHAnsi" w:hAnsiTheme="minorHAnsi" w:cstheme="minorHAnsi"/>
          <w:sz w:val="24"/>
          <w:szCs w:val="24"/>
        </w:rPr>
        <w:t xml:space="preserve">2006 yılında </w:t>
      </w:r>
      <w:r w:rsidR="00FF19BF">
        <w:rPr>
          <w:rFonts w:asciiTheme="minorHAnsi" w:hAnsiTheme="minorHAnsi" w:cstheme="minorHAnsi"/>
          <w:sz w:val="24"/>
          <w:szCs w:val="24"/>
        </w:rPr>
        <w:t>her yüz</w:t>
      </w:r>
      <w:r w:rsidR="00913F7D">
        <w:rPr>
          <w:rFonts w:asciiTheme="minorHAnsi" w:hAnsiTheme="minorHAnsi" w:cstheme="minorHAnsi"/>
          <w:sz w:val="24"/>
          <w:szCs w:val="24"/>
        </w:rPr>
        <w:t xml:space="preserve"> haneden</w:t>
      </w:r>
      <w:r w:rsidR="00600E61">
        <w:rPr>
          <w:rFonts w:asciiTheme="minorHAnsi" w:hAnsiTheme="minorHAnsi" w:cstheme="minorHAnsi"/>
          <w:sz w:val="24"/>
          <w:szCs w:val="24"/>
        </w:rPr>
        <w:t xml:space="preserve"> </w:t>
      </w:r>
      <w:r w:rsidR="005E2172">
        <w:rPr>
          <w:rFonts w:asciiTheme="minorHAnsi" w:hAnsiTheme="minorHAnsi" w:cstheme="minorHAnsi"/>
          <w:sz w:val="24"/>
          <w:szCs w:val="24"/>
        </w:rPr>
        <w:t>yaklaşık 5 hane otomobil sahibi iken</w:t>
      </w:r>
      <w:r w:rsidR="00913F7D">
        <w:rPr>
          <w:rFonts w:asciiTheme="minorHAnsi" w:hAnsiTheme="minorHAnsi" w:cstheme="minorHAnsi"/>
          <w:sz w:val="24"/>
          <w:szCs w:val="24"/>
        </w:rPr>
        <w:t>,</w:t>
      </w:r>
      <w:r w:rsidR="005E2172">
        <w:rPr>
          <w:rFonts w:asciiTheme="minorHAnsi" w:hAnsiTheme="minorHAnsi" w:cstheme="minorHAnsi"/>
          <w:sz w:val="24"/>
          <w:szCs w:val="24"/>
        </w:rPr>
        <w:t xml:space="preserve"> bu oran 2014 yılında </w:t>
      </w:r>
      <w:proofErr w:type="spellStart"/>
      <w:r w:rsidR="005E2172">
        <w:rPr>
          <w:rFonts w:asciiTheme="minorHAnsi" w:hAnsiTheme="minorHAnsi" w:cstheme="minorHAnsi"/>
          <w:sz w:val="24"/>
          <w:szCs w:val="24"/>
        </w:rPr>
        <w:t>HBA’da</w:t>
      </w:r>
      <w:proofErr w:type="spellEnd"/>
      <w:r w:rsidR="005E2172">
        <w:rPr>
          <w:rFonts w:asciiTheme="minorHAnsi" w:hAnsiTheme="minorHAnsi" w:cstheme="minorHAnsi"/>
          <w:sz w:val="24"/>
          <w:szCs w:val="24"/>
        </w:rPr>
        <w:t xml:space="preserve"> yüzde 17’ye, </w:t>
      </w:r>
      <w:proofErr w:type="spellStart"/>
      <w:r w:rsidR="005E2172">
        <w:rPr>
          <w:rFonts w:asciiTheme="minorHAnsi" w:hAnsiTheme="minorHAnsi" w:cstheme="minorHAnsi"/>
          <w:sz w:val="24"/>
          <w:szCs w:val="24"/>
        </w:rPr>
        <w:t>GYKA’da</w:t>
      </w:r>
      <w:proofErr w:type="spellEnd"/>
      <w:r w:rsidR="005E2172">
        <w:rPr>
          <w:rFonts w:asciiTheme="minorHAnsi" w:hAnsiTheme="minorHAnsi" w:cstheme="minorHAnsi"/>
          <w:sz w:val="24"/>
          <w:szCs w:val="24"/>
        </w:rPr>
        <w:t xml:space="preserve"> yüzde 12’ye yükseliyor. Buna karşılık en yüksek gelir grubunda otomobil sahibi hanelerin payı yüzde 55 civarından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13F7D">
        <w:rPr>
          <w:rFonts w:asciiTheme="minorHAnsi" w:hAnsiTheme="minorHAnsi" w:cstheme="minorHAnsi"/>
          <w:sz w:val="24"/>
          <w:szCs w:val="24"/>
        </w:rPr>
        <w:t xml:space="preserve">ancak </w:t>
      </w:r>
      <w:r w:rsidR="005E2172">
        <w:rPr>
          <w:rFonts w:asciiTheme="minorHAnsi" w:hAnsiTheme="minorHAnsi" w:cstheme="minorHAnsi"/>
          <w:sz w:val="24"/>
          <w:szCs w:val="24"/>
        </w:rPr>
        <w:t>yüzde 65 civarına çıkıyor.</w:t>
      </w:r>
    </w:p>
    <w:p w:rsidR="009F6EFE" w:rsidRPr="009F6EFE" w:rsidRDefault="009F6EFE" w:rsidP="00E23A71">
      <w:pPr>
        <w:spacing w:line="276" w:lineRule="auto"/>
      </w:pPr>
    </w:p>
    <w:p w:rsidR="00130A6B" w:rsidRPr="00130A6B" w:rsidRDefault="00130A6B" w:rsidP="00130A6B">
      <w:pPr>
        <w:pStyle w:val="Caption"/>
        <w:keepNext/>
        <w:rPr>
          <w:rFonts w:asciiTheme="minorHAnsi" w:hAnsiTheme="minorHAnsi"/>
        </w:rPr>
      </w:pPr>
      <w:r w:rsidRPr="00130A6B">
        <w:rPr>
          <w:rFonts w:asciiTheme="minorHAnsi" w:hAnsiTheme="minorHAnsi"/>
          <w:sz w:val="22"/>
        </w:rPr>
        <w:t xml:space="preserve">Şekil </w:t>
      </w:r>
      <w:r w:rsidRPr="00130A6B">
        <w:rPr>
          <w:rFonts w:asciiTheme="minorHAnsi" w:hAnsiTheme="minorHAnsi"/>
          <w:sz w:val="22"/>
        </w:rPr>
        <w:fldChar w:fldCharType="begin"/>
      </w:r>
      <w:r w:rsidRPr="00130A6B">
        <w:rPr>
          <w:rFonts w:asciiTheme="minorHAnsi" w:hAnsiTheme="minorHAnsi"/>
          <w:sz w:val="22"/>
        </w:rPr>
        <w:instrText xml:space="preserve"> SEQ Şekil \* ARABIC </w:instrText>
      </w:r>
      <w:r w:rsidRPr="00130A6B">
        <w:rPr>
          <w:rFonts w:asciiTheme="minorHAnsi" w:hAnsiTheme="minorHAnsi"/>
          <w:sz w:val="22"/>
        </w:rPr>
        <w:fldChar w:fldCharType="separate"/>
      </w:r>
      <w:r w:rsidRPr="00130A6B">
        <w:rPr>
          <w:rFonts w:asciiTheme="minorHAnsi" w:hAnsiTheme="minorHAnsi"/>
          <w:noProof/>
          <w:sz w:val="22"/>
        </w:rPr>
        <w:t>1</w:t>
      </w:r>
      <w:r w:rsidRPr="00130A6B">
        <w:rPr>
          <w:rFonts w:asciiTheme="minorHAnsi" w:hAnsiTheme="minorHAnsi"/>
          <w:sz w:val="22"/>
        </w:rPr>
        <w:fldChar w:fldCharType="end"/>
      </w:r>
      <w:r w:rsidRPr="00130A6B">
        <w:rPr>
          <w:rFonts w:asciiTheme="minorHAnsi" w:hAnsiTheme="minorHAnsi"/>
          <w:sz w:val="22"/>
        </w:rPr>
        <w:t xml:space="preserve"> Gelir gruplarında otomobil sahibi olanların payı (%), HBA</w:t>
      </w:r>
      <w:r w:rsidRPr="00130A6B">
        <w:rPr>
          <w:rFonts w:asciiTheme="minorHAnsi" w:hAnsiTheme="minorHAnsi"/>
          <w:noProof/>
          <w:lang w:eastAsia="tr-TR"/>
        </w:rPr>
        <w:drawing>
          <wp:inline distT="0" distB="0" distL="0" distR="0" wp14:anchorId="18387ACE" wp14:editId="49CBE104">
            <wp:extent cx="5819775" cy="3819525"/>
            <wp:effectExtent l="19050" t="0" r="0" b="0"/>
            <wp:docPr id="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37355C-FA2A-4ED1-9927-9525504B95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30A6B">
        <w:rPr>
          <w:rFonts w:asciiTheme="minorHAnsi" w:hAnsiTheme="minorHAnsi"/>
          <w:sz w:val="18"/>
        </w:rPr>
        <w:t xml:space="preserve"> </w:t>
      </w:r>
      <w:r w:rsidRPr="00130A6B">
        <w:rPr>
          <w:rFonts w:asciiTheme="minorHAnsi" w:hAnsiTheme="minorHAnsi"/>
          <w:b w:val="0"/>
          <w:sz w:val="18"/>
        </w:rPr>
        <w:t xml:space="preserve">Kaynak: </w:t>
      </w:r>
      <w:proofErr w:type="spellStart"/>
      <w:r w:rsidRPr="00130A6B">
        <w:rPr>
          <w:rFonts w:asciiTheme="minorHAnsi" w:hAnsiTheme="minorHAnsi"/>
          <w:b w:val="0"/>
          <w:sz w:val="18"/>
        </w:rPr>
        <w:t>Hanehalkı</w:t>
      </w:r>
      <w:proofErr w:type="spellEnd"/>
      <w:r w:rsidRPr="00130A6B">
        <w:rPr>
          <w:rFonts w:asciiTheme="minorHAnsi" w:hAnsiTheme="minorHAnsi"/>
          <w:b w:val="0"/>
          <w:sz w:val="18"/>
        </w:rPr>
        <w:t xml:space="preserve"> Bütçe Anketi, 2005-2014 Mikro veri setleri, TÜİK; Betam hesaplamaları</w:t>
      </w:r>
    </w:p>
    <w:p w:rsidR="00130A6B" w:rsidRPr="00130A6B" w:rsidRDefault="00130A6B" w:rsidP="00130A6B">
      <w:pPr>
        <w:rPr>
          <w:rFonts w:asciiTheme="minorHAnsi" w:hAnsiTheme="minorHAnsi"/>
        </w:rPr>
      </w:pPr>
    </w:p>
    <w:p w:rsidR="00130A6B" w:rsidRPr="00130A6B" w:rsidRDefault="00130A6B" w:rsidP="00130A6B">
      <w:pPr>
        <w:pStyle w:val="Caption"/>
        <w:keepNext/>
        <w:rPr>
          <w:rFonts w:asciiTheme="minorHAnsi" w:hAnsiTheme="minorHAnsi"/>
          <w:sz w:val="16"/>
        </w:rPr>
      </w:pPr>
      <w:r w:rsidRPr="00130A6B">
        <w:rPr>
          <w:rFonts w:asciiTheme="minorHAnsi" w:hAnsiTheme="minorHAnsi"/>
          <w:sz w:val="22"/>
        </w:rPr>
        <w:t xml:space="preserve">Şekil </w:t>
      </w:r>
      <w:r w:rsidRPr="00130A6B">
        <w:rPr>
          <w:rFonts w:asciiTheme="minorHAnsi" w:hAnsiTheme="minorHAnsi"/>
          <w:sz w:val="22"/>
        </w:rPr>
        <w:fldChar w:fldCharType="begin"/>
      </w:r>
      <w:r w:rsidRPr="00130A6B">
        <w:rPr>
          <w:rFonts w:asciiTheme="minorHAnsi" w:hAnsiTheme="minorHAnsi"/>
          <w:sz w:val="22"/>
        </w:rPr>
        <w:instrText xml:space="preserve"> SEQ Şekil \* ARABIC </w:instrText>
      </w:r>
      <w:r w:rsidRPr="00130A6B">
        <w:rPr>
          <w:rFonts w:asciiTheme="minorHAnsi" w:hAnsiTheme="minorHAnsi"/>
          <w:sz w:val="22"/>
        </w:rPr>
        <w:fldChar w:fldCharType="separate"/>
      </w:r>
      <w:r w:rsidRPr="00130A6B">
        <w:rPr>
          <w:rFonts w:asciiTheme="minorHAnsi" w:hAnsiTheme="minorHAnsi"/>
          <w:sz w:val="22"/>
        </w:rPr>
        <w:t>2</w:t>
      </w:r>
      <w:r w:rsidRPr="00130A6B">
        <w:rPr>
          <w:rFonts w:asciiTheme="minorHAnsi" w:hAnsiTheme="minorHAnsi"/>
          <w:sz w:val="22"/>
        </w:rPr>
        <w:fldChar w:fldCharType="end"/>
      </w:r>
      <w:r w:rsidRPr="00130A6B">
        <w:rPr>
          <w:rFonts w:asciiTheme="minorHAnsi" w:hAnsiTheme="minorHAnsi"/>
          <w:sz w:val="22"/>
        </w:rPr>
        <w:t xml:space="preserve"> Gelir gruplarında otomobil sahibi olanların payı (%), GYKA</w:t>
      </w:r>
    </w:p>
    <w:p w:rsidR="00130A6B" w:rsidRPr="00130A6B" w:rsidRDefault="00130A6B" w:rsidP="00130A6B">
      <w:pPr>
        <w:rPr>
          <w:rFonts w:asciiTheme="minorHAnsi" w:hAnsiTheme="minorHAnsi"/>
          <w:sz w:val="20"/>
          <w:szCs w:val="20"/>
        </w:rPr>
      </w:pPr>
      <w:r w:rsidRPr="00130A6B">
        <w:rPr>
          <w:rFonts w:asciiTheme="minorHAnsi" w:hAnsiTheme="minorHAnsi"/>
          <w:noProof/>
          <w:sz w:val="20"/>
          <w:lang w:eastAsia="tr-TR"/>
        </w:rPr>
        <w:drawing>
          <wp:inline distT="0" distB="0" distL="0" distR="0" wp14:anchorId="2D84286D" wp14:editId="420FAC7F">
            <wp:extent cx="6210300" cy="3629025"/>
            <wp:effectExtent l="19050" t="0" r="0" b="0"/>
            <wp:docPr id="5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5C00553-B1F7-4FDC-803E-A73D75421A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30A6B">
        <w:rPr>
          <w:rFonts w:asciiTheme="minorHAnsi" w:hAnsiTheme="minorHAnsi"/>
          <w:sz w:val="18"/>
          <w:szCs w:val="20"/>
        </w:rPr>
        <w:t>Kaynak: Gelir ve Yaşam Koşulları Anketi, 2006-2015 Mikro veri setleri, TÜİK; Betam hesaplamaları</w:t>
      </w:r>
    </w:p>
    <w:p w:rsidR="00130A6B" w:rsidRPr="00130A6B" w:rsidRDefault="00130A6B" w:rsidP="00130A6B">
      <w:pPr>
        <w:rPr>
          <w:rFonts w:asciiTheme="minorHAnsi" w:hAnsiTheme="minorHAnsi"/>
          <w:sz w:val="20"/>
          <w:szCs w:val="20"/>
        </w:rPr>
        <w:sectPr w:rsidR="00130A6B" w:rsidRPr="00130A6B" w:rsidSect="00133D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0A6B" w:rsidRDefault="00130A6B" w:rsidP="00130A6B">
      <w:pPr>
        <w:rPr>
          <w:rFonts w:asciiTheme="minorHAnsi" w:hAnsiTheme="minorHAnsi"/>
          <w:sz w:val="20"/>
          <w:szCs w:val="20"/>
        </w:rPr>
      </w:pPr>
    </w:p>
    <w:p w:rsidR="009F6EFE" w:rsidRPr="00473A4F" w:rsidRDefault="005E2172" w:rsidP="00E23A71">
      <w:pPr>
        <w:spacing w:line="276" w:lineRule="auto"/>
        <w:rPr>
          <w:rFonts w:asciiTheme="minorHAnsi" w:hAnsiTheme="minorHAnsi"/>
          <w:sz w:val="24"/>
          <w:szCs w:val="24"/>
        </w:rPr>
      </w:pPr>
      <w:r w:rsidRPr="005E2172">
        <w:rPr>
          <w:rFonts w:asciiTheme="minorHAnsi" w:hAnsiTheme="minorHAnsi"/>
          <w:sz w:val="24"/>
          <w:szCs w:val="24"/>
        </w:rPr>
        <w:t xml:space="preserve">Tablo 1’de </w:t>
      </w:r>
      <w:r>
        <w:rPr>
          <w:rFonts w:asciiTheme="minorHAnsi" w:hAnsiTheme="minorHAnsi"/>
          <w:sz w:val="24"/>
          <w:szCs w:val="24"/>
        </w:rPr>
        <w:t xml:space="preserve">otomobil sahibi hane sayıları özetleniyor. </w:t>
      </w:r>
      <w:r w:rsidR="00F94752">
        <w:rPr>
          <w:rFonts w:asciiTheme="minorHAnsi" w:hAnsiTheme="minorHAnsi"/>
          <w:sz w:val="24"/>
          <w:szCs w:val="24"/>
        </w:rPr>
        <w:t xml:space="preserve">Türkiye genelinde </w:t>
      </w:r>
      <w:r>
        <w:rPr>
          <w:rFonts w:asciiTheme="minorHAnsi" w:hAnsiTheme="minorHAnsi"/>
          <w:sz w:val="24"/>
          <w:szCs w:val="24"/>
        </w:rPr>
        <w:t>200</w:t>
      </w:r>
      <w:r w:rsidR="00F94752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’te</w:t>
      </w:r>
      <w:r w:rsidR="00F9475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94752">
        <w:rPr>
          <w:rFonts w:asciiTheme="minorHAnsi" w:hAnsiTheme="minorHAnsi"/>
          <w:sz w:val="24"/>
          <w:szCs w:val="24"/>
        </w:rPr>
        <w:t>MTV’ye</w:t>
      </w:r>
      <w:proofErr w:type="spellEnd"/>
      <w:r w:rsidR="00F94752">
        <w:rPr>
          <w:rFonts w:asciiTheme="minorHAnsi" w:hAnsiTheme="minorHAnsi"/>
          <w:sz w:val="24"/>
          <w:szCs w:val="24"/>
        </w:rPr>
        <w:t xml:space="preserve"> tabi yaklaşık 4 milyon 600 bin otomobil varken 2015’te bu sayı iki katına yakın artarak 8 milyon 600 bine yükseliyor. Bu artış yükselmekte olan bütçe açığını kontrol altına almaya çabalayan Maliye’nin neden </w:t>
      </w:r>
      <w:proofErr w:type="spellStart"/>
      <w:r w:rsidR="00F94752">
        <w:rPr>
          <w:rFonts w:asciiTheme="minorHAnsi" w:hAnsiTheme="minorHAnsi"/>
          <w:sz w:val="24"/>
          <w:szCs w:val="24"/>
        </w:rPr>
        <w:t>MTV’ye</w:t>
      </w:r>
      <w:proofErr w:type="spellEnd"/>
      <w:r w:rsidR="00F94752">
        <w:rPr>
          <w:rFonts w:asciiTheme="minorHAnsi" w:hAnsiTheme="minorHAnsi"/>
          <w:sz w:val="24"/>
          <w:szCs w:val="24"/>
        </w:rPr>
        <w:t xml:space="preserve"> yüklendiği</w:t>
      </w:r>
      <w:r w:rsidR="00323C25">
        <w:rPr>
          <w:rFonts w:asciiTheme="minorHAnsi" w:hAnsiTheme="minorHAnsi"/>
          <w:sz w:val="24"/>
          <w:szCs w:val="24"/>
        </w:rPr>
        <w:t>ne</w:t>
      </w:r>
      <w:r w:rsidR="00F94752">
        <w:rPr>
          <w:rFonts w:asciiTheme="minorHAnsi" w:hAnsiTheme="minorHAnsi"/>
          <w:sz w:val="24"/>
          <w:szCs w:val="24"/>
        </w:rPr>
        <w:t xml:space="preserve"> de </w:t>
      </w:r>
      <w:r w:rsidR="00323C25">
        <w:rPr>
          <w:rFonts w:asciiTheme="minorHAnsi" w:hAnsiTheme="minorHAnsi"/>
          <w:sz w:val="24"/>
          <w:szCs w:val="24"/>
        </w:rPr>
        <w:t>ışık tutuyor</w:t>
      </w:r>
      <w:r w:rsidR="00F94752">
        <w:rPr>
          <w:rFonts w:asciiTheme="minorHAnsi" w:hAnsiTheme="minorHAnsi"/>
          <w:sz w:val="24"/>
          <w:szCs w:val="24"/>
        </w:rPr>
        <w:t>. GYKA verilerini izlersek gelir dağılımında en düşük yüzde 60</w:t>
      </w:r>
      <w:r w:rsidR="00323C25">
        <w:rPr>
          <w:rFonts w:asciiTheme="minorHAnsi" w:hAnsiTheme="minorHAnsi"/>
          <w:sz w:val="24"/>
          <w:szCs w:val="24"/>
        </w:rPr>
        <w:t>’ı</w:t>
      </w:r>
      <w:r w:rsidR="00F94752">
        <w:rPr>
          <w:rFonts w:asciiTheme="minorHAnsi" w:hAnsiTheme="minorHAnsi"/>
          <w:sz w:val="24"/>
          <w:szCs w:val="24"/>
        </w:rPr>
        <w:t xml:space="preserve"> oluşturan hanelerin </w:t>
      </w:r>
      <w:r w:rsidR="00473A4F">
        <w:rPr>
          <w:rFonts w:asciiTheme="minorHAnsi" w:hAnsiTheme="minorHAnsi"/>
          <w:sz w:val="24"/>
          <w:szCs w:val="24"/>
        </w:rPr>
        <w:t xml:space="preserve">arasında otomobil sahibi olanlar toplam otomobil sahipliğinin 2006’da yüzde 27’sini oluştururken 2015’te bu oran yüzde 35’e yükseliyor. Göreli olarak düşük gelirlilerin payında artış var ama yine </w:t>
      </w:r>
      <w:r w:rsidR="00323C25">
        <w:rPr>
          <w:rFonts w:asciiTheme="minorHAnsi" w:hAnsiTheme="minorHAnsi"/>
          <w:sz w:val="24"/>
          <w:szCs w:val="24"/>
        </w:rPr>
        <w:t xml:space="preserve">de </w:t>
      </w:r>
      <w:r w:rsidR="00473A4F">
        <w:rPr>
          <w:rFonts w:asciiTheme="minorHAnsi" w:hAnsiTheme="minorHAnsi"/>
          <w:sz w:val="24"/>
          <w:szCs w:val="24"/>
        </w:rPr>
        <w:t>otomobil sahibi her üç haneden ikisi</w:t>
      </w:r>
      <w:r w:rsidR="00323C25">
        <w:rPr>
          <w:rFonts w:asciiTheme="minorHAnsi" w:hAnsiTheme="minorHAnsi"/>
          <w:sz w:val="24"/>
          <w:szCs w:val="24"/>
        </w:rPr>
        <w:t>nin</w:t>
      </w:r>
      <w:r w:rsidR="00473A4F">
        <w:rPr>
          <w:rFonts w:asciiTheme="minorHAnsi" w:hAnsiTheme="minorHAnsi"/>
          <w:sz w:val="24"/>
          <w:szCs w:val="24"/>
        </w:rPr>
        <w:t xml:space="preserve"> yüksek gelir düzeylerine </w:t>
      </w:r>
      <w:r w:rsidR="00323C25">
        <w:rPr>
          <w:rFonts w:asciiTheme="minorHAnsi" w:hAnsiTheme="minorHAnsi"/>
          <w:sz w:val="24"/>
          <w:szCs w:val="24"/>
        </w:rPr>
        <w:t xml:space="preserve">mensup olduğunu </w:t>
      </w:r>
      <w:r w:rsidR="00600E61">
        <w:rPr>
          <w:rFonts w:asciiTheme="minorHAnsi" w:hAnsiTheme="minorHAnsi"/>
          <w:sz w:val="24"/>
          <w:szCs w:val="24"/>
        </w:rPr>
        <w:t>görüyoruz</w:t>
      </w:r>
      <w:r w:rsidR="00473A4F">
        <w:rPr>
          <w:rFonts w:asciiTheme="minorHAnsi" w:hAnsiTheme="minorHAnsi"/>
          <w:sz w:val="24"/>
          <w:szCs w:val="24"/>
        </w:rPr>
        <w:t>. Bu dağılımı akılda tutarak MTV yüküne dair bazı saptamalar yapabiliriz.</w:t>
      </w:r>
    </w:p>
    <w:p w:rsidR="009F6EFE" w:rsidRPr="00130A6B" w:rsidRDefault="009F6EFE" w:rsidP="00130A6B">
      <w:pPr>
        <w:rPr>
          <w:rFonts w:asciiTheme="minorHAnsi" w:hAnsiTheme="minorHAnsi"/>
          <w:sz w:val="20"/>
          <w:szCs w:val="20"/>
        </w:rPr>
      </w:pPr>
    </w:p>
    <w:p w:rsidR="00130A6B" w:rsidRPr="00130A6B" w:rsidRDefault="00130A6B" w:rsidP="00130A6B">
      <w:pPr>
        <w:pStyle w:val="Caption"/>
        <w:keepNext/>
        <w:rPr>
          <w:rFonts w:asciiTheme="minorHAnsi" w:hAnsiTheme="minorHAnsi"/>
          <w:sz w:val="22"/>
        </w:rPr>
      </w:pPr>
      <w:r w:rsidRPr="00130A6B">
        <w:rPr>
          <w:rFonts w:asciiTheme="minorHAnsi" w:hAnsiTheme="minorHAnsi"/>
          <w:sz w:val="22"/>
        </w:rPr>
        <w:t xml:space="preserve">Tablo </w:t>
      </w:r>
      <w:r w:rsidRPr="00130A6B">
        <w:rPr>
          <w:rFonts w:asciiTheme="minorHAnsi" w:hAnsiTheme="minorHAnsi"/>
          <w:sz w:val="22"/>
        </w:rPr>
        <w:fldChar w:fldCharType="begin"/>
      </w:r>
      <w:r w:rsidRPr="00130A6B">
        <w:rPr>
          <w:rFonts w:asciiTheme="minorHAnsi" w:hAnsiTheme="minorHAnsi"/>
          <w:sz w:val="22"/>
        </w:rPr>
        <w:instrText xml:space="preserve"> SEQ Tablo \* ARABIC </w:instrText>
      </w:r>
      <w:r w:rsidRPr="00130A6B">
        <w:rPr>
          <w:rFonts w:asciiTheme="minorHAnsi" w:hAnsiTheme="minorHAnsi"/>
          <w:sz w:val="22"/>
        </w:rPr>
        <w:fldChar w:fldCharType="separate"/>
      </w:r>
      <w:r w:rsidRPr="00130A6B">
        <w:rPr>
          <w:rFonts w:asciiTheme="minorHAnsi" w:hAnsiTheme="minorHAnsi"/>
          <w:noProof/>
          <w:sz w:val="22"/>
        </w:rPr>
        <w:t>1</w:t>
      </w:r>
      <w:r w:rsidRPr="00130A6B">
        <w:rPr>
          <w:rFonts w:asciiTheme="minorHAnsi" w:hAnsiTheme="minorHAnsi"/>
          <w:sz w:val="22"/>
        </w:rPr>
        <w:fldChar w:fldCharType="end"/>
      </w:r>
      <w:r w:rsidRPr="00130A6B">
        <w:rPr>
          <w:rFonts w:asciiTheme="minorHAnsi" w:hAnsiTheme="minorHAnsi"/>
          <w:sz w:val="22"/>
        </w:rPr>
        <w:t xml:space="preserve"> </w:t>
      </w:r>
      <w:r w:rsidR="005E2172">
        <w:rPr>
          <w:rFonts w:asciiTheme="minorHAnsi" w:hAnsiTheme="minorHAnsi"/>
          <w:sz w:val="22"/>
        </w:rPr>
        <w:t>Gelir gruplarına göre otomobil sahibi hanelerin sayıları (HBA ve GYKA)</w:t>
      </w:r>
    </w:p>
    <w:tbl>
      <w:tblPr>
        <w:tblW w:w="9904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928"/>
        <w:gridCol w:w="910"/>
        <w:gridCol w:w="927"/>
        <w:gridCol w:w="909"/>
        <w:gridCol w:w="927"/>
        <w:gridCol w:w="909"/>
        <w:gridCol w:w="927"/>
        <w:gridCol w:w="909"/>
      </w:tblGrid>
      <w:tr w:rsidR="00130A6B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center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proofErr w:type="spellStart"/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Hanehalkı</w:t>
            </w:r>
            <w:proofErr w:type="spellEnd"/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 xml:space="preserve"> Bütçe Anketi'ne göre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center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Gelir ve Yaşam Koşulları Anketi'ne göre</w:t>
            </w:r>
          </w:p>
        </w:tc>
      </w:tr>
      <w:tr w:rsidR="00130A6B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center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2005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center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2014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center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2006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center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2015</w:t>
            </w:r>
          </w:p>
        </w:tc>
      </w:tr>
      <w:tr w:rsidR="00546965" w:rsidRPr="00DE0D55" w:rsidTr="00DE0D55">
        <w:trPr>
          <w:trHeight w:val="164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hanelerin payı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 sayısı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hanelerin payı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 sayısı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hanelerin payı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 sayısı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hanelerin payı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0A6B" w:rsidRPr="00DE0D55" w:rsidRDefault="00130A6B" w:rsidP="00546965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Otomobil sahibi olan hane sayısı</w:t>
            </w:r>
          </w:p>
        </w:tc>
      </w:tr>
      <w:tr w:rsidR="00546965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  <w:t>1.%20'lik gelir grubu (en düşük)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143.267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610.154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161.164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452.119</w:t>
            </w:r>
          </w:p>
        </w:tc>
      </w:tr>
      <w:tr w:rsidR="00546965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  <w:t>2.%20'lik gelir grubu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470.623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1.118.217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410.455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1.046.633</w:t>
            </w:r>
          </w:p>
        </w:tc>
      </w:tr>
      <w:tr w:rsidR="00546965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  <w:t>3.%20'lik gelir grubu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847.725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1.466.933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747.361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1.535.990</w:t>
            </w:r>
          </w:p>
        </w:tc>
      </w:tr>
      <w:tr w:rsidR="00546965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  <w:t>4.%20'lik gelir grubu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1.166.803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45,8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1.993.871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1.283.456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45,8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2.106.289</w:t>
            </w:r>
          </w:p>
        </w:tc>
      </w:tr>
      <w:tr w:rsidR="00546965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  <w:t>5.%20'lik gelir grubu (en yüksek)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1.993.485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2.867.873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58,0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2.337.185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color w:val="000000"/>
                <w:lang w:eastAsia="tr-TR"/>
              </w:rPr>
              <w:t>3.471.191</w:t>
            </w:r>
          </w:p>
        </w:tc>
      </w:tr>
      <w:tr w:rsidR="00546965" w:rsidRPr="00DE0D55" w:rsidTr="00DE0D55">
        <w:trPr>
          <w:trHeight w:val="5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sz w:val="18"/>
                <w:lang w:eastAsia="tr-TR"/>
              </w:rPr>
              <w:t>Türkiye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26,9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4.621.902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38,8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8.057.048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28,6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4.939.620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39,4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A6B" w:rsidRPr="00DE0D55" w:rsidRDefault="00130A6B" w:rsidP="008757C6">
            <w:pPr>
              <w:jc w:val="right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DE0D5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8.612.222</w:t>
            </w:r>
          </w:p>
        </w:tc>
      </w:tr>
    </w:tbl>
    <w:p w:rsidR="00130A6B" w:rsidRPr="00130A6B" w:rsidRDefault="00130A6B" w:rsidP="00130A6B">
      <w:pPr>
        <w:rPr>
          <w:rFonts w:asciiTheme="minorHAnsi" w:hAnsiTheme="minorHAnsi"/>
          <w:sz w:val="20"/>
        </w:rPr>
      </w:pPr>
      <w:r w:rsidRPr="00130A6B">
        <w:rPr>
          <w:rFonts w:asciiTheme="minorHAnsi" w:hAnsiTheme="minorHAnsi"/>
          <w:sz w:val="18"/>
          <w:szCs w:val="20"/>
        </w:rPr>
        <w:t xml:space="preserve">Kaynak: </w:t>
      </w:r>
      <w:proofErr w:type="spellStart"/>
      <w:r w:rsidRPr="00130A6B">
        <w:rPr>
          <w:rFonts w:asciiTheme="minorHAnsi" w:hAnsiTheme="minorHAnsi"/>
          <w:sz w:val="18"/>
          <w:szCs w:val="20"/>
        </w:rPr>
        <w:t>Hanehalkı</w:t>
      </w:r>
      <w:proofErr w:type="spellEnd"/>
      <w:r w:rsidRPr="00130A6B">
        <w:rPr>
          <w:rFonts w:asciiTheme="minorHAnsi" w:hAnsiTheme="minorHAnsi"/>
          <w:sz w:val="18"/>
          <w:szCs w:val="20"/>
        </w:rPr>
        <w:t xml:space="preserve"> Bütçe Anketi, 2005-2014 Mikro veri setleri </w:t>
      </w:r>
      <w:r w:rsidR="00E62D5C">
        <w:rPr>
          <w:rFonts w:asciiTheme="minorHAnsi" w:hAnsiTheme="minorHAnsi"/>
          <w:sz w:val="18"/>
          <w:szCs w:val="20"/>
        </w:rPr>
        <w:t>ile</w:t>
      </w:r>
      <w:r w:rsidRPr="00130A6B">
        <w:rPr>
          <w:rFonts w:asciiTheme="minorHAnsi" w:hAnsiTheme="minorHAnsi"/>
          <w:sz w:val="18"/>
          <w:szCs w:val="20"/>
        </w:rPr>
        <w:t xml:space="preserve"> Gelir ve Yaşam Koşulları Anketi, 2006-2015 Mikro veri setleri, TÜİK; Betam hesaplamaları</w:t>
      </w:r>
    </w:p>
    <w:p w:rsidR="001326BA" w:rsidRPr="00130A6B" w:rsidRDefault="001326BA" w:rsidP="00AF0710">
      <w:pPr>
        <w:suppressAutoHyphens w:val="0"/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9075BF" w:rsidRDefault="00206894" w:rsidP="00AF0710">
      <w:pPr>
        <w:suppressAutoHyphens w:val="0"/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MTV zammında adalet tartışması</w:t>
      </w:r>
    </w:p>
    <w:p w:rsidR="00206894" w:rsidRDefault="00206894" w:rsidP="00AF0710">
      <w:pPr>
        <w:suppressAutoHyphens w:val="0"/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C47C58" w:rsidRDefault="00206894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eastAsiaTheme="minorHAnsi" w:hAnsiTheme="minorHAnsi"/>
          <w:sz w:val="24"/>
          <w:szCs w:val="24"/>
          <w:lang w:eastAsia="en-US"/>
        </w:rPr>
        <w:t>MTV’de</w:t>
      </w:r>
      <w:proofErr w:type="spellEnd"/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yüzde 40 oranında artışının nispeten düşük gelirli 3 milyon haneye (en az 12 milyon fert) ağır bir 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ilave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yük getirdiği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aşikârdır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.  Yü</w:t>
      </w:r>
      <w:r w:rsidR="002D6E2F">
        <w:rPr>
          <w:rFonts w:asciiTheme="minorHAnsi" w:eastAsiaTheme="minorHAnsi" w:hAnsiTheme="minorHAnsi"/>
          <w:sz w:val="24"/>
          <w:szCs w:val="24"/>
          <w:lang w:eastAsia="en-US"/>
        </w:rPr>
        <w:t>k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sek gelirli gruplarda, özellikle de en yüksek yüzde 20’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lik gruba mensup hanelerde 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 xml:space="preserve">bu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düzeyde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 xml:space="preserve"> bir 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>vergi artışının hane geliri içindeki payı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nın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oldukça düşük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 kal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acağını kolaylıkla tahmin edebiliriz. Buna karşılık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 en düşük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gelirli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 hanelerde bu payın hissedilir ölçüde yüksek olacağı da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aşikârdır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. Sonuç olarak yüzde 40’lık vergi artışının adil olmadığı rahatlıkla söylenebilir. </w:t>
      </w:r>
    </w:p>
    <w:p w:rsidR="00C47C58" w:rsidRDefault="00C47C58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C233AA" w:rsidRDefault="00C47C58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B</w:t>
      </w:r>
      <w:r w:rsidR="00206894">
        <w:rPr>
          <w:rFonts w:asciiTheme="minorHAnsi" w:eastAsiaTheme="minorHAnsi" w:hAnsiTheme="minorHAnsi"/>
          <w:sz w:val="24"/>
          <w:szCs w:val="24"/>
          <w:lang w:eastAsia="en-US"/>
        </w:rPr>
        <w:t xml:space="preserve">u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durumun</w:t>
      </w:r>
      <w:r w:rsidR="00206894">
        <w:rPr>
          <w:rFonts w:asciiTheme="minorHAnsi" w:eastAsiaTheme="minorHAnsi" w:hAnsiTheme="minorHAnsi"/>
          <w:sz w:val="24"/>
          <w:szCs w:val="24"/>
          <w:lang w:eastAsia="en-US"/>
        </w:rPr>
        <w:t xml:space="preserve"> siyasetteki muhtemel olumsuz etkilerinin de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iktidar çevrelerinde </w:t>
      </w:r>
      <w:r w:rsidR="00206894">
        <w:rPr>
          <w:rFonts w:asciiTheme="minorHAnsi" w:eastAsiaTheme="minorHAnsi" w:hAnsiTheme="minorHAnsi"/>
          <w:sz w:val="24"/>
          <w:szCs w:val="24"/>
          <w:lang w:eastAsia="en-US"/>
        </w:rPr>
        <w:t>endişe yaratması doğ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aldır.  Maliye’nin de vergi gelirlerini arttırma ihtiyacı içinde olduğu düşünülürse, çözümün MTV zammını motor hacimlerine göre farklılaştırmaktan geçtiği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kendiliğinden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ortaya çıkar. Düşük gelirli otomobil sahiplerinin ezici çoğunluğunun düşük motor hacimli otomobillere sahip oldukları kabulü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çerçevesinde</w:t>
      </w:r>
      <w:r w:rsidR="00C233AA">
        <w:rPr>
          <w:rFonts w:asciiTheme="minorHAnsi" w:eastAsiaTheme="minorHAnsi" w:hAnsiTheme="minorHAnsi"/>
          <w:sz w:val="24"/>
          <w:szCs w:val="24"/>
          <w:lang w:eastAsia="en-US"/>
        </w:rPr>
        <w:t xml:space="preserve"> MTV zammı en düşük hacimde enflasyon civarı, en yüksek hacimlerde de yüzde 40 olarak belirlenebilir. Bu durumda MTV zammının daha 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adil bir etkiye sahip olması beklenir</w:t>
      </w:r>
      <w:r w:rsidR="00C233AA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C233AA" w:rsidRDefault="00C233AA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C233AA" w:rsidRDefault="00C233AA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Bu notu bitirirken tartışmanın farklı bir boyutuna da kısaca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değinmek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isteriz. MTV bir varlık vergisidir. 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 xml:space="preserve">Yüksek bir zammın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Düşük gelirli – Düşük varlıklı kesimlerin</w:t>
      </w:r>
      <w:r w:rsidR="00C47C58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otomobil taleplerini ol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u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msuz etkilemesi muhtemeldir. Yerli otomotiv sektörü için bu kesim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>lerin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talebi önemlidir. Yüksek gelirliler 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çoğunlukla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ithal otomob</w:t>
      </w:r>
      <w:r w:rsidR="00600E61">
        <w:rPr>
          <w:rFonts w:asciiTheme="minorHAnsi" w:eastAsiaTheme="minorHAnsi" w:hAnsiTheme="minorHAnsi"/>
          <w:sz w:val="24"/>
          <w:szCs w:val="24"/>
          <w:lang w:eastAsia="en-US"/>
        </w:rPr>
        <w:t>illeri tercih etmektedir. Seyyan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en yüzde 40 zammın yerli otomotiv sektörünü de endişelendirmiş olması </w:t>
      </w:r>
      <w:r w:rsidR="00FE4D91">
        <w:rPr>
          <w:rFonts w:asciiTheme="minorHAnsi" w:eastAsiaTheme="minorHAnsi" w:hAnsiTheme="minorHAnsi"/>
          <w:sz w:val="24"/>
          <w:szCs w:val="24"/>
          <w:lang w:eastAsia="en-US"/>
        </w:rPr>
        <w:t xml:space="preserve">bu bakımdan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doğaldır. Dolayısıyla </w:t>
      </w:r>
      <w:r w:rsidR="000D7BBF">
        <w:rPr>
          <w:rFonts w:asciiTheme="minorHAnsi" w:eastAsiaTheme="minorHAnsi" w:hAnsiTheme="minorHAnsi"/>
          <w:sz w:val="24"/>
          <w:szCs w:val="24"/>
          <w:lang w:eastAsia="en-US"/>
        </w:rPr>
        <w:t xml:space="preserve">düşük motor hacmine sahip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yerli o</w:t>
      </w:r>
      <w:r w:rsidR="000D7BBF">
        <w:rPr>
          <w:rFonts w:asciiTheme="minorHAnsi" w:eastAsiaTheme="minorHAnsi" w:hAnsiTheme="minorHAnsi"/>
          <w:sz w:val="24"/>
          <w:szCs w:val="24"/>
          <w:lang w:eastAsia="en-US"/>
        </w:rPr>
        <w:t>t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omobiller için MTV yükünün düşük tutulması daha akıllıca ol</w:t>
      </w:r>
      <w:r w:rsidR="000D7BBF">
        <w:rPr>
          <w:rFonts w:asciiTheme="minorHAnsi" w:eastAsiaTheme="minorHAnsi" w:hAnsiTheme="minorHAnsi"/>
          <w:sz w:val="24"/>
          <w:szCs w:val="24"/>
          <w:lang w:eastAsia="en-US"/>
        </w:rPr>
        <w:t>acaktır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</w:p>
    <w:p w:rsidR="00A20621" w:rsidRDefault="00A20621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bookmarkStart w:id="0" w:name="_GoBack"/>
      <w:bookmarkEnd w:id="0"/>
    </w:p>
    <w:p w:rsidR="00C233AA" w:rsidRDefault="00C233AA" w:rsidP="00E23A71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Bir soruyla </w:t>
      </w:r>
      <w:r w:rsidR="001769AC">
        <w:rPr>
          <w:rFonts w:asciiTheme="minorHAnsi" w:eastAsiaTheme="minorHAnsi" w:hAnsiTheme="minorHAnsi"/>
          <w:sz w:val="24"/>
          <w:szCs w:val="24"/>
          <w:lang w:eastAsia="en-US"/>
        </w:rPr>
        <w:t>noktalayalım.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MTV artışı revize edildiğinde ortaya çıkacak vergi geliri eksikliği hangi yeni vergilerle karşılanacak?</w:t>
      </w:r>
    </w:p>
    <w:p w:rsidR="00C233AA" w:rsidRPr="00206894" w:rsidRDefault="00C233AA" w:rsidP="00AF0710">
      <w:pPr>
        <w:suppressAutoHyphens w:val="0"/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</w:p>
    <w:sectPr w:rsidR="00C233AA" w:rsidRPr="00206894" w:rsidSect="00DE0D55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DA" w:rsidRDefault="00B54BDA" w:rsidP="00894DBA">
      <w:r>
        <w:separator/>
      </w:r>
    </w:p>
  </w:endnote>
  <w:endnote w:type="continuationSeparator" w:id="0">
    <w:p w:rsidR="00B54BDA" w:rsidRDefault="00B54BDA" w:rsidP="008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052980"/>
      <w:docPartObj>
        <w:docPartGallery w:val="Page Numbers (Bottom of Page)"/>
        <w:docPartUnique/>
      </w:docPartObj>
    </w:sdtPr>
    <w:sdtEndPr/>
    <w:sdtContent>
      <w:p w:rsidR="006A0CB2" w:rsidRDefault="00600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E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CB2" w:rsidRDefault="006A0CB2">
    <w:pPr>
      <w:pStyle w:val="Footer"/>
    </w:pPr>
  </w:p>
  <w:p w:rsidR="00DB5296" w:rsidRDefault="00DB529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DA" w:rsidRDefault="00B54BDA" w:rsidP="00894DBA">
      <w:r>
        <w:separator/>
      </w:r>
    </w:p>
  </w:footnote>
  <w:footnote w:type="continuationSeparator" w:id="0">
    <w:p w:rsidR="00B54BDA" w:rsidRDefault="00B54BDA" w:rsidP="00894DBA">
      <w:r>
        <w:continuationSeparator/>
      </w:r>
    </w:p>
  </w:footnote>
  <w:footnote w:id="1">
    <w:p w:rsidR="006A0CB2" w:rsidRPr="00184C7A" w:rsidRDefault="006A0CB2" w:rsidP="00AC6FF9">
      <w:pPr>
        <w:pStyle w:val="FootnoteText"/>
        <w:jc w:val="both"/>
        <w:rPr>
          <w:rFonts w:asciiTheme="minorHAnsi" w:hAnsiTheme="minorHAnsi" w:cs="Arial"/>
          <w:sz w:val="16"/>
          <w:szCs w:val="16"/>
        </w:rPr>
      </w:pPr>
      <w:r w:rsidRPr="00184C7A">
        <w:rPr>
          <w:rStyle w:val="FootnoteReference"/>
          <w:rFonts w:asciiTheme="minorHAnsi" w:hAnsiTheme="minorHAnsi" w:cs="Arial"/>
          <w:b/>
          <w:bCs/>
          <w:sz w:val="16"/>
          <w:szCs w:val="16"/>
        </w:rPr>
        <w:t>*</w:t>
      </w:r>
      <w:r w:rsidRPr="00184C7A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1326BA" w:rsidRPr="001326BA">
        <w:rPr>
          <w:rFonts w:asciiTheme="minorHAnsi" w:hAnsiTheme="minorHAnsi" w:cs="Arial"/>
          <w:sz w:val="16"/>
          <w:szCs w:val="16"/>
        </w:rPr>
        <w:t xml:space="preserve">Prof. Dr. Seyfettin Gürsel, Betam, Direktör, </w:t>
      </w:r>
      <w:hyperlink r:id="rId1" w:history="1">
        <w:r w:rsidR="001326BA" w:rsidRPr="001326BA">
          <w:rPr>
            <w:rStyle w:val="Hyperlink"/>
            <w:rFonts w:asciiTheme="minorHAnsi" w:hAnsiTheme="minorHAnsi" w:cs="Arial"/>
            <w:sz w:val="16"/>
            <w:szCs w:val="16"/>
          </w:rPr>
          <w:t>seyfettin.gursel@eas.bau.edu.tr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0"/>
    <w:rsid w:val="00005CA1"/>
    <w:rsid w:val="00005E24"/>
    <w:rsid w:val="00007F8D"/>
    <w:rsid w:val="000208E8"/>
    <w:rsid w:val="000210F0"/>
    <w:rsid w:val="00025C56"/>
    <w:rsid w:val="00027F8F"/>
    <w:rsid w:val="000335CB"/>
    <w:rsid w:val="00033739"/>
    <w:rsid w:val="000414EA"/>
    <w:rsid w:val="00041D67"/>
    <w:rsid w:val="0005557B"/>
    <w:rsid w:val="000662AA"/>
    <w:rsid w:val="00070911"/>
    <w:rsid w:val="00074098"/>
    <w:rsid w:val="00076AF1"/>
    <w:rsid w:val="000812D7"/>
    <w:rsid w:val="00082EAD"/>
    <w:rsid w:val="0008507E"/>
    <w:rsid w:val="0009654D"/>
    <w:rsid w:val="00097F47"/>
    <w:rsid w:val="000B001C"/>
    <w:rsid w:val="000B304A"/>
    <w:rsid w:val="000B474F"/>
    <w:rsid w:val="000C0509"/>
    <w:rsid w:val="000C3901"/>
    <w:rsid w:val="000D7BBF"/>
    <w:rsid w:val="000E745F"/>
    <w:rsid w:val="000F42F1"/>
    <w:rsid w:val="00113043"/>
    <w:rsid w:val="00113A77"/>
    <w:rsid w:val="00124279"/>
    <w:rsid w:val="00124F98"/>
    <w:rsid w:val="0012600C"/>
    <w:rsid w:val="00130A6B"/>
    <w:rsid w:val="001326BA"/>
    <w:rsid w:val="001340E8"/>
    <w:rsid w:val="0013774F"/>
    <w:rsid w:val="001416EE"/>
    <w:rsid w:val="00141EAF"/>
    <w:rsid w:val="00146316"/>
    <w:rsid w:val="001475D9"/>
    <w:rsid w:val="00151C9E"/>
    <w:rsid w:val="001573BE"/>
    <w:rsid w:val="001656BC"/>
    <w:rsid w:val="0017037A"/>
    <w:rsid w:val="00170DEF"/>
    <w:rsid w:val="00173520"/>
    <w:rsid w:val="00174EB3"/>
    <w:rsid w:val="001769AC"/>
    <w:rsid w:val="00184C7A"/>
    <w:rsid w:val="00187E9C"/>
    <w:rsid w:val="00191A21"/>
    <w:rsid w:val="00196A7A"/>
    <w:rsid w:val="00197A57"/>
    <w:rsid w:val="001C3218"/>
    <w:rsid w:val="001E4B8B"/>
    <w:rsid w:val="001E633A"/>
    <w:rsid w:val="001F2584"/>
    <w:rsid w:val="001F29E8"/>
    <w:rsid w:val="00206894"/>
    <w:rsid w:val="0021737A"/>
    <w:rsid w:val="00220951"/>
    <w:rsid w:val="00221FC3"/>
    <w:rsid w:val="00222494"/>
    <w:rsid w:val="00223158"/>
    <w:rsid w:val="002304DF"/>
    <w:rsid w:val="002338D3"/>
    <w:rsid w:val="0024187D"/>
    <w:rsid w:val="002445DB"/>
    <w:rsid w:val="00254850"/>
    <w:rsid w:val="00256157"/>
    <w:rsid w:val="00257387"/>
    <w:rsid w:val="002575AB"/>
    <w:rsid w:val="00265DD5"/>
    <w:rsid w:val="0026731F"/>
    <w:rsid w:val="00270301"/>
    <w:rsid w:val="00271AC2"/>
    <w:rsid w:val="00272752"/>
    <w:rsid w:val="00273853"/>
    <w:rsid w:val="00280727"/>
    <w:rsid w:val="002809A4"/>
    <w:rsid w:val="002819E5"/>
    <w:rsid w:val="002976EA"/>
    <w:rsid w:val="002A0B36"/>
    <w:rsid w:val="002A1914"/>
    <w:rsid w:val="002A3650"/>
    <w:rsid w:val="002A3A7E"/>
    <w:rsid w:val="002A53A2"/>
    <w:rsid w:val="002B08B9"/>
    <w:rsid w:val="002B122C"/>
    <w:rsid w:val="002B13B4"/>
    <w:rsid w:val="002C232E"/>
    <w:rsid w:val="002C41B8"/>
    <w:rsid w:val="002D107F"/>
    <w:rsid w:val="002D6E2F"/>
    <w:rsid w:val="002E0561"/>
    <w:rsid w:val="002E3ECC"/>
    <w:rsid w:val="002F016B"/>
    <w:rsid w:val="002F3288"/>
    <w:rsid w:val="002F4918"/>
    <w:rsid w:val="0031214C"/>
    <w:rsid w:val="0031335D"/>
    <w:rsid w:val="00314C47"/>
    <w:rsid w:val="0031622B"/>
    <w:rsid w:val="003234A5"/>
    <w:rsid w:val="00323C25"/>
    <w:rsid w:val="0032556E"/>
    <w:rsid w:val="00327031"/>
    <w:rsid w:val="00331293"/>
    <w:rsid w:val="00333EA2"/>
    <w:rsid w:val="003340D3"/>
    <w:rsid w:val="00334E03"/>
    <w:rsid w:val="00337169"/>
    <w:rsid w:val="00343F2F"/>
    <w:rsid w:val="00350F9A"/>
    <w:rsid w:val="003518AF"/>
    <w:rsid w:val="00352F0C"/>
    <w:rsid w:val="00360EA4"/>
    <w:rsid w:val="00361CF8"/>
    <w:rsid w:val="003625C6"/>
    <w:rsid w:val="00362EA9"/>
    <w:rsid w:val="0037489E"/>
    <w:rsid w:val="00380290"/>
    <w:rsid w:val="003804B5"/>
    <w:rsid w:val="0038206B"/>
    <w:rsid w:val="00391609"/>
    <w:rsid w:val="00393B6D"/>
    <w:rsid w:val="003B1595"/>
    <w:rsid w:val="003B26E8"/>
    <w:rsid w:val="003B673F"/>
    <w:rsid w:val="003C31AB"/>
    <w:rsid w:val="003C5ECD"/>
    <w:rsid w:val="003C777E"/>
    <w:rsid w:val="003D1C32"/>
    <w:rsid w:val="003D4AEC"/>
    <w:rsid w:val="003D659B"/>
    <w:rsid w:val="003D661E"/>
    <w:rsid w:val="003E01DB"/>
    <w:rsid w:val="003E0B43"/>
    <w:rsid w:val="003E40E7"/>
    <w:rsid w:val="003E7463"/>
    <w:rsid w:val="003F220A"/>
    <w:rsid w:val="003F314A"/>
    <w:rsid w:val="003F599E"/>
    <w:rsid w:val="004120BD"/>
    <w:rsid w:val="004132E0"/>
    <w:rsid w:val="00413828"/>
    <w:rsid w:val="00413E20"/>
    <w:rsid w:val="00425796"/>
    <w:rsid w:val="004262C5"/>
    <w:rsid w:val="0042645F"/>
    <w:rsid w:val="00427BD7"/>
    <w:rsid w:val="00427C01"/>
    <w:rsid w:val="0043156F"/>
    <w:rsid w:val="0044317E"/>
    <w:rsid w:val="0044372D"/>
    <w:rsid w:val="00447F3E"/>
    <w:rsid w:val="0045398F"/>
    <w:rsid w:val="00453E3B"/>
    <w:rsid w:val="00457FF6"/>
    <w:rsid w:val="00460BD0"/>
    <w:rsid w:val="00465F99"/>
    <w:rsid w:val="00467FB3"/>
    <w:rsid w:val="00473A4F"/>
    <w:rsid w:val="00474190"/>
    <w:rsid w:val="00476C48"/>
    <w:rsid w:val="0048570A"/>
    <w:rsid w:val="00486FAD"/>
    <w:rsid w:val="004874AB"/>
    <w:rsid w:val="00495B86"/>
    <w:rsid w:val="00496F78"/>
    <w:rsid w:val="004A2EBA"/>
    <w:rsid w:val="004B602A"/>
    <w:rsid w:val="004B6253"/>
    <w:rsid w:val="004C2ABE"/>
    <w:rsid w:val="004C4452"/>
    <w:rsid w:val="004C4FE3"/>
    <w:rsid w:val="004C5D72"/>
    <w:rsid w:val="004C6400"/>
    <w:rsid w:val="004C7567"/>
    <w:rsid w:val="004D033B"/>
    <w:rsid w:val="004D2987"/>
    <w:rsid w:val="004D3FDE"/>
    <w:rsid w:val="004E4475"/>
    <w:rsid w:val="004E7A9B"/>
    <w:rsid w:val="004F0BB8"/>
    <w:rsid w:val="0050274C"/>
    <w:rsid w:val="00510674"/>
    <w:rsid w:val="00511770"/>
    <w:rsid w:val="0051413B"/>
    <w:rsid w:val="00515B48"/>
    <w:rsid w:val="0051749C"/>
    <w:rsid w:val="005174CC"/>
    <w:rsid w:val="0053032A"/>
    <w:rsid w:val="005325CA"/>
    <w:rsid w:val="00533DE0"/>
    <w:rsid w:val="00535BFB"/>
    <w:rsid w:val="0054110D"/>
    <w:rsid w:val="00543D3E"/>
    <w:rsid w:val="00546965"/>
    <w:rsid w:val="0055061C"/>
    <w:rsid w:val="00552D50"/>
    <w:rsid w:val="00570871"/>
    <w:rsid w:val="00574A6C"/>
    <w:rsid w:val="005807DC"/>
    <w:rsid w:val="005817A5"/>
    <w:rsid w:val="005855A3"/>
    <w:rsid w:val="005A274C"/>
    <w:rsid w:val="005A449F"/>
    <w:rsid w:val="005A62D0"/>
    <w:rsid w:val="005B57D1"/>
    <w:rsid w:val="005B6723"/>
    <w:rsid w:val="005C0044"/>
    <w:rsid w:val="005D3649"/>
    <w:rsid w:val="005D6243"/>
    <w:rsid w:val="005E18FA"/>
    <w:rsid w:val="005E2172"/>
    <w:rsid w:val="005E295C"/>
    <w:rsid w:val="005E2C21"/>
    <w:rsid w:val="005E5609"/>
    <w:rsid w:val="005E70FB"/>
    <w:rsid w:val="005F0BCD"/>
    <w:rsid w:val="005F2081"/>
    <w:rsid w:val="006002CB"/>
    <w:rsid w:val="00600E61"/>
    <w:rsid w:val="00600F3F"/>
    <w:rsid w:val="00603322"/>
    <w:rsid w:val="006045EC"/>
    <w:rsid w:val="0061058F"/>
    <w:rsid w:val="00627E3B"/>
    <w:rsid w:val="00630683"/>
    <w:rsid w:val="00637173"/>
    <w:rsid w:val="00637F33"/>
    <w:rsid w:val="006425C3"/>
    <w:rsid w:val="00643F74"/>
    <w:rsid w:val="0066015E"/>
    <w:rsid w:val="006615E6"/>
    <w:rsid w:val="00663035"/>
    <w:rsid w:val="00666586"/>
    <w:rsid w:val="006705EF"/>
    <w:rsid w:val="006844A1"/>
    <w:rsid w:val="006861DD"/>
    <w:rsid w:val="00693846"/>
    <w:rsid w:val="006A0CB2"/>
    <w:rsid w:val="006A4CC0"/>
    <w:rsid w:val="006B285F"/>
    <w:rsid w:val="006C7254"/>
    <w:rsid w:val="006C7E1D"/>
    <w:rsid w:val="006D25B6"/>
    <w:rsid w:val="006D45FA"/>
    <w:rsid w:val="006D5756"/>
    <w:rsid w:val="006E58D3"/>
    <w:rsid w:val="006F1D8F"/>
    <w:rsid w:val="006F24D3"/>
    <w:rsid w:val="00706403"/>
    <w:rsid w:val="00715657"/>
    <w:rsid w:val="007178A2"/>
    <w:rsid w:val="007208E8"/>
    <w:rsid w:val="00721F06"/>
    <w:rsid w:val="007240B4"/>
    <w:rsid w:val="00724E46"/>
    <w:rsid w:val="00732808"/>
    <w:rsid w:val="00733DC2"/>
    <w:rsid w:val="0073685C"/>
    <w:rsid w:val="007370EA"/>
    <w:rsid w:val="00740C63"/>
    <w:rsid w:val="00740FDB"/>
    <w:rsid w:val="0074519E"/>
    <w:rsid w:val="00747ED5"/>
    <w:rsid w:val="007544CB"/>
    <w:rsid w:val="00755111"/>
    <w:rsid w:val="007626FD"/>
    <w:rsid w:val="0076585E"/>
    <w:rsid w:val="0077270A"/>
    <w:rsid w:val="00780E4F"/>
    <w:rsid w:val="007862EE"/>
    <w:rsid w:val="007863C0"/>
    <w:rsid w:val="00791FF5"/>
    <w:rsid w:val="00793016"/>
    <w:rsid w:val="007A4ADA"/>
    <w:rsid w:val="007A5177"/>
    <w:rsid w:val="007A56C3"/>
    <w:rsid w:val="007A6D2B"/>
    <w:rsid w:val="007A7E37"/>
    <w:rsid w:val="007B3323"/>
    <w:rsid w:val="007B46CB"/>
    <w:rsid w:val="007C5524"/>
    <w:rsid w:val="007C7CA1"/>
    <w:rsid w:val="007E6AFC"/>
    <w:rsid w:val="007E78EE"/>
    <w:rsid w:val="007E7CB8"/>
    <w:rsid w:val="007F0B4B"/>
    <w:rsid w:val="007F1E97"/>
    <w:rsid w:val="007F53D1"/>
    <w:rsid w:val="007F5D7A"/>
    <w:rsid w:val="007F60EC"/>
    <w:rsid w:val="007F79AC"/>
    <w:rsid w:val="00803D38"/>
    <w:rsid w:val="008052D4"/>
    <w:rsid w:val="0081327D"/>
    <w:rsid w:val="0081624D"/>
    <w:rsid w:val="0082228C"/>
    <w:rsid w:val="00823526"/>
    <w:rsid w:val="008236D7"/>
    <w:rsid w:val="00831FBD"/>
    <w:rsid w:val="008325A9"/>
    <w:rsid w:val="008367C9"/>
    <w:rsid w:val="008434B3"/>
    <w:rsid w:val="00847BED"/>
    <w:rsid w:val="00851E16"/>
    <w:rsid w:val="00860ED0"/>
    <w:rsid w:val="00864DB3"/>
    <w:rsid w:val="00872562"/>
    <w:rsid w:val="00873CA8"/>
    <w:rsid w:val="00874250"/>
    <w:rsid w:val="008747E5"/>
    <w:rsid w:val="00880F30"/>
    <w:rsid w:val="00883107"/>
    <w:rsid w:val="0088447A"/>
    <w:rsid w:val="008944A5"/>
    <w:rsid w:val="00894DBA"/>
    <w:rsid w:val="008975E6"/>
    <w:rsid w:val="008A1092"/>
    <w:rsid w:val="008A3C5C"/>
    <w:rsid w:val="008A4EB2"/>
    <w:rsid w:val="008B02F8"/>
    <w:rsid w:val="008C014F"/>
    <w:rsid w:val="008D1F40"/>
    <w:rsid w:val="008D2315"/>
    <w:rsid w:val="008D45BD"/>
    <w:rsid w:val="008D649F"/>
    <w:rsid w:val="008E17D2"/>
    <w:rsid w:val="008E7C55"/>
    <w:rsid w:val="008F12D2"/>
    <w:rsid w:val="008F33DE"/>
    <w:rsid w:val="008F54D7"/>
    <w:rsid w:val="009026AD"/>
    <w:rsid w:val="009075BF"/>
    <w:rsid w:val="00907826"/>
    <w:rsid w:val="00913F7D"/>
    <w:rsid w:val="00915CDE"/>
    <w:rsid w:val="009218C6"/>
    <w:rsid w:val="009236D2"/>
    <w:rsid w:val="00924604"/>
    <w:rsid w:val="009248D9"/>
    <w:rsid w:val="00930BAF"/>
    <w:rsid w:val="00937DBC"/>
    <w:rsid w:val="00946F3F"/>
    <w:rsid w:val="00953E58"/>
    <w:rsid w:val="00957C3D"/>
    <w:rsid w:val="00962113"/>
    <w:rsid w:val="0096341B"/>
    <w:rsid w:val="00970272"/>
    <w:rsid w:val="00971BEC"/>
    <w:rsid w:val="009756AA"/>
    <w:rsid w:val="009804F6"/>
    <w:rsid w:val="00983934"/>
    <w:rsid w:val="00983E63"/>
    <w:rsid w:val="00984932"/>
    <w:rsid w:val="009854FF"/>
    <w:rsid w:val="009A2B2E"/>
    <w:rsid w:val="009A482E"/>
    <w:rsid w:val="009B7516"/>
    <w:rsid w:val="009C112D"/>
    <w:rsid w:val="009C3BCC"/>
    <w:rsid w:val="009C7B0B"/>
    <w:rsid w:val="009E3288"/>
    <w:rsid w:val="009E713A"/>
    <w:rsid w:val="009F21DB"/>
    <w:rsid w:val="009F29FF"/>
    <w:rsid w:val="009F487D"/>
    <w:rsid w:val="009F588C"/>
    <w:rsid w:val="009F6EFE"/>
    <w:rsid w:val="00A009B9"/>
    <w:rsid w:val="00A023DE"/>
    <w:rsid w:val="00A056B2"/>
    <w:rsid w:val="00A132BE"/>
    <w:rsid w:val="00A145E0"/>
    <w:rsid w:val="00A20621"/>
    <w:rsid w:val="00A238F7"/>
    <w:rsid w:val="00A24568"/>
    <w:rsid w:val="00A34288"/>
    <w:rsid w:val="00A4050A"/>
    <w:rsid w:val="00A47B91"/>
    <w:rsid w:val="00A53B08"/>
    <w:rsid w:val="00A53EBF"/>
    <w:rsid w:val="00A618D5"/>
    <w:rsid w:val="00A7312A"/>
    <w:rsid w:val="00A7360B"/>
    <w:rsid w:val="00A73A34"/>
    <w:rsid w:val="00A74AEF"/>
    <w:rsid w:val="00A80FCC"/>
    <w:rsid w:val="00A813EB"/>
    <w:rsid w:val="00A81E85"/>
    <w:rsid w:val="00A83E4C"/>
    <w:rsid w:val="00A8727C"/>
    <w:rsid w:val="00A87C43"/>
    <w:rsid w:val="00A90629"/>
    <w:rsid w:val="00A91882"/>
    <w:rsid w:val="00A91F04"/>
    <w:rsid w:val="00A9703E"/>
    <w:rsid w:val="00AA277E"/>
    <w:rsid w:val="00AB44C0"/>
    <w:rsid w:val="00AC6FF9"/>
    <w:rsid w:val="00AC7AE8"/>
    <w:rsid w:val="00AE5A51"/>
    <w:rsid w:val="00AE71AE"/>
    <w:rsid w:val="00AF0710"/>
    <w:rsid w:val="00AF6D51"/>
    <w:rsid w:val="00B045C6"/>
    <w:rsid w:val="00B11416"/>
    <w:rsid w:val="00B160BF"/>
    <w:rsid w:val="00B21484"/>
    <w:rsid w:val="00B327E3"/>
    <w:rsid w:val="00B329E3"/>
    <w:rsid w:val="00B338F3"/>
    <w:rsid w:val="00B440E7"/>
    <w:rsid w:val="00B45FA2"/>
    <w:rsid w:val="00B46288"/>
    <w:rsid w:val="00B50802"/>
    <w:rsid w:val="00B5366D"/>
    <w:rsid w:val="00B54BDA"/>
    <w:rsid w:val="00B55B2A"/>
    <w:rsid w:val="00B6213F"/>
    <w:rsid w:val="00B624EA"/>
    <w:rsid w:val="00B638CE"/>
    <w:rsid w:val="00B641C3"/>
    <w:rsid w:val="00B76FA5"/>
    <w:rsid w:val="00B83AEE"/>
    <w:rsid w:val="00B8470B"/>
    <w:rsid w:val="00B87A1C"/>
    <w:rsid w:val="00B90F1C"/>
    <w:rsid w:val="00B93CD3"/>
    <w:rsid w:val="00B94FAE"/>
    <w:rsid w:val="00BA4E40"/>
    <w:rsid w:val="00BA557B"/>
    <w:rsid w:val="00BA6994"/>
    <w:rsid w:val="00BB02CF"/>
    <w:rsid w:val="00BB0E83"/>
    <w:rsid w:val="00BB306D"/>
    <w:rsid w:val="00BB5C11"/>
    <w:rsid w:val="00BC5643"/>
    <w:rsid w:val="00BC5DCE"/>
    <w:rsid w:val="00BD09E9"/>
    <w:rsid w:val="00BD1DBC"/>
    <w:rsid w:val="00BD627E"/>
    <w:rsid w:val="00BD7408"/>
    <w:rsid w:val="00BE060E"/>
    <w:rsid w:val="00BE1BDA"/>
    <w:rsid w:val="00BE5AC8"/>
    <w:rsid w:val="00BE649A"/>
    <w:rsid w:val="00BF7382"/>
    <w:rsid w:val="00BF7FAF"/>
    <w:rsid w:val="00C061E9"/>
    <w:rsid w:val="00C07AF4"/>
    <w:rsid w:val="00C13C55"/>
    <w:rsid w:val="00C172F6"/>
    <w:rsid w:val="00C2043D"/>
    <w:rsid w:val="00C233AA"/>
    <w:rsid w:val="00C260E0"/>
    <w:rsid w:val="00C27A72"/>
    <w:rsid w:val="00C44357"/>
    <w:rsid w:val="00C4579F"/>
    <w:rsid w:val="00C4765E"/>
    <w:rsid w:val="00C47C58"/>
    <w:rsid w:val="00C54BB7"/>
    <w:rsid w:val="00C6075D"/>
    <w:rsid w:val="00C7359B"/>
    <w:rsid w:val="00C750A6"/>
    <w:rsid w:val="00C8215F"/>
    <w:rsid w:val="00C83802"/>
    <w:rsid w:val="00C9229B"/>
    <w:rsid w:val="00C96BF1"/>
    <w:rsid w:val="00C96F40"/>
    <w:rsid w:val="00CA4007"/>
    <w:rsid w:val="00CC7CF6"/>
    <w:rsid w:val="00CD439A"/>
    <w:rsid w:val="00CD445F"/>
    <w:rsid w:val="00CD4BD0"/>
    <w:rsid w:val="00CE1F44"/>
    <w:rsid w:val="00CE2939"/>
    <w:rsid w:val="00CF04A8"/>
    <w:rsid w:val="00CF3A97"/>
    <w:rsid w:val="00CF3D6A"/>
    <w:rsid w:val="00CF55FA"/>
    <w:rsid w:val="00D01C45"/>
    <w:rsid w:val="00D038B6"/>
    <w:rsid w:val="00D04B55"/>
    <w:rsid w:val="00D13D68"/>
    <w:rsid w:val="00D2258F"/>
    <w:rsid w:val="00D24DE3"/>
    <w:rsid w:val="00D27605"/>
    <w:rsid w:val="00D34065"/>
    <w:rsid w:val="00D52653"/>
    <w:rsid w:val="00D534F5"/>
    <w:rsid w:val="00D54674"/>
    <w:rsid w:val="00D577B5"/>
    <w:rsid w:val="00D609B5"/>
    <w:rsid w:val="00D65483"/>
    <w:rsid w:val="00D71392"/>
    <w:rsid w:val="00D720F8"/>
    <w:rsid w:val="00D7418C"/>
    <w:rsid w:val="00D83F55"/>
    <w:rsid w:val="00D879C2"/>
    <w:rsid w:val="00D93E20"/>
    <w:rsid w:val="00D94587"/>
    <w:rsid w:val="00DA0FC4"/>
    <w:rsid w:val="00DA1887"/>
    <w:rsid w:val="00DA64A1"/>
    <w:rsid w:val="00DB12FE"/>
    <w:rsid w:val="00DB5296"/>
    <w:rsid w:val="00DD5C56"/>
    <w:rsid w:val="00DE079F"/>
    <w:rsid w:val="00DE0D55"/>
    <w:rsid w:val="00DF0AA9"/>
    <w:rsid w:val="00DF6798"/>
    <w:rsid w:val="00E0056F"/>
    <w:rsid w:val="00E022E5"/>
    <w:rsid w:val="00E0427E"/>
    <w:rsid w:val="00E05592"/>
    <w:rsid w:val="00E0647C"/>
    <w:rsid w:val="00E06E12"/>
    <w:rsid w:val="00E06F4F"/>
    <w:rsid w:val="00E1086B"/>
    <w:rsid w:val="00E17E58"/>
    <w:rsid w:val="00E23895"/>
    <w:rsid w:val="00E23A71"/>
    <w:rsid w:val="00E4139A"/>
    <w:rsid w:val="00E418EE"/>
    <w:rsid w:val="00E52D0C"/>
    <w:rsid w:val="00E54055"/>
    <w:rsid w:val="00E54D08"/>
    <w:rsid w:val="00E61021"/>
    <w:rsid w:val="00E62D5C"/>
    <w:rsid w:val="00E66ACB"/>
    <w:rsid w:val="00E67292"/>
    <w:rsid w:val="00E7506B"/>
    <w:rsid w:val="00E75884"/>
    <w:rsid w:val="00E80E6E"/>
    <w:rsid w:val="00E84FB1"/>
    <w:rsid w:val="00E93B22"/>
    <w:rsid w:val="00EA199D"/>
    <w:rsid w:val="00EA61FE"/>
    <w:rsid w:val="00EB2ABF"/>
    <w:rsid w:val="00EB4C56"/>
    <w:rsid w:val="00EC01DC"/>
    <w:rsid w:val="00EC3962"/>
    <w:rsid w:val="00EC6959"/>
    <w:rsid w:val="00EC7398"/>
    <w:rsid w:val="00ED0671"/>
    <w:rsid w:val="00ED66E8"/>
    <w:rsid w:val="00ED6E21"/>
    <w:rsid w:val="00EE38F8"/>
    <w:rsid w:val="00EE5CD8"/>
    <w:rsid w:val="00EE7F7B"/>
    <w:rsid w:val="00F02A28"/>
    <w:rsid w:val="00F167E5"/>
    <w:rsid w:val="00F226C5"/>
    <w:rsid w:val="00F228F8"/>
    <w:rsid w:val="00F31073"/>
    <w:rsid w:val="00F3129D"/>
    <w:rsid w:val="00F312EA"/>
    <w:rsid w:val="00F37AA4"/>
    <w:rsid w:val="00F40493"/>
    <w:rsid w:val="00F408FA"/>
    <w:rsid w:val="00F435E6"/>
    <w:rsid w:val="00F46B26"/>
    <w:rsid w:val="00F511A5"/>
    <w:rsid w:val="00F56A62"/>
    <w:rsid w:val="00F62B8D"/>
    <w:rsid w:val="00F631EF"/>
    <w:rsid w:val="00F72F16"/>
    <w:rsid w:val="00F762F1"/>
    <w:rsid w:val="00F77FEB"/>
    <w:rsid w:val="00F82607"/>
    <w:rsid w:val="00F94752"/>
    <w:rsid w:val="00F96916"/>
    <w:rsid w:val="00FA1B68"/>
    <w:rsid w:val="00FA2291"/>
    <w:rsid w:val="00FA27DF"/>
    <w:rsid w:val="00FA695D"/>
    <w:rsid w:val="00FA7816"/>
    <w:rsid w:val="00FB1761"/>
    <w:rsid w:val="00FB31C3"/>
    <w:rsid w:val="00FC0811"/>
    <w:rsid w:val="00FC5130"/>
    <w:rsid w:val="00FD567A"/>
    <w:rsid w:val="00FE3E93"/>
    <w:rsid w:val="00FE4D91"/>
    <w:rsid w:val="00FE575C"/>
    <w:rsid w:val="00FF071C"/>
    <w:rsid w:val="00FF19BF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9D7F"/>
  <w15:docId w15:val="{A00067B4-4D3C-4888-ADC9-4B1320F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50"/>
    <w:pPr>
      <w:suppressAutoHyphens/>
    </w:pPr>
    <w:rPr>
      <w:rFonts w:ascii="Arial" w:hAnsi="Arial" w:cs="Arial"/>
      <w:sz w:val="16"/>
      <w:szCs w:val="1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2BE"/>
    <w:pPr>
      <w:keepNext/>
      <w:jc w:val="center"/>
      <w:outlineLvl w:val="0"/>
    </w:pPr>
    <w:rPr>
      <w:rFonts w:cs="Times New Roman"/>
      <w:b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2BE"/>
    <w:pPr>
      <w:keepNext/>
      <w:spacing w:before="240" w:after="60"/>
      <w:outlineLvl w:val="1"/>
    </w:pPr>
    <w:rPr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2BE"/>
    <w:pPr>
      <w:keepNext/>
      <w:spacing w:before="240" w:after="60"/>
      <w:outlineLvl w:val="2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32BE"/>
    <w:rPr>
      <w:rFonts w:ascii="Arial" w:hAnsi="Arial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132BE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A132BE"/>
    <w:rPr>
      <w:rFonts w:ascii="Arial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uiPriority w:val="35"/>
    <w:qFormat/>
    <w:rsid w:val="00A132BE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132BE"/>
    <w:rPr>
      <w:b/>
      <w:bCs/>
    </w:rPr>
  </w:style>
  <w:style w:type="character" w:styleId="Emphasis">
    <w:name w:val="Emphasis"/>
    <w:basedOn w:val="DefaultParagraphFont"/>
    <w:uiPriority w:val="20"/>
    <w:qFormat/>
    <w:rsid w:val="00A132BE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894D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4DBA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DBA"/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C4F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FE3"/>
    <w:rPr>
      <w:rFonts w:ascii="Arial" w:hAnsi="Arial" w:cs="Arial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C4F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E3"/>
    <w:rPr>
      <w:rFonts w:ascii="Arial" w:hAnsi="Arial" w:cs="Arial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3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6E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7D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6AF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CB2"/>
    <w:rPr>
      <w:color w:val="808080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1326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yfettin.gursel@eas.bau.edu.t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ike.kokkizil\Google%20Drive\WB_Informality&amp;Savings\HBA\otomobil%20-%20mt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ike.kokkizil\Google%20Drive\WB_Informality&amp;Savings\HBA\otomobil%20-%20mt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13704193373274E-2"/>
          <c:y val="3.479634919792797E-2"/>
          <c:w val="0.94436097139659214"/>
          <c:h val="0.7435401960103013"/>
        </c:manualLayout>
      </c:layout>
      <c:lineChart>
        <c:grouping val="standard"/>
        <c:varyColors val="0"/>
        <c:ser>
          <c:idx val="0"/>
          <c:order val="0"/>
          <c:tx>
            <c:strRef>
              <c:f>'[otomobil - mtv.xlsx]HBA'!$H$61</c:f>
              <c:strCache>
                <c:ptCount val="1"/>
                <c:pt idx="0">
                  <c:v>1.%20'lik gelir grubu (en düşük)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mtv.xlsx]HBA'!$I$60:$R$60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'[otomobil - mtv.xlsx]HBA'!$I$61:$R$61</c:f>
              <c:numCache>
                <c:formatCode>0.0</c:formatCode>
                <c:ptCount val="10"/>
                <c:pt idx="0">
                  <c:v>4.8499999999999996</c:v>
                </c:pt>
                <c:pt idx="1">
                  <c:v>5.6</c:v>
                </c:pt>
                <c:pt idx="2">
                  <c:v>7.3599999999999985</c:v>
                </c:pt>
                <c:pt idx="3">
                  <c:v>9.43</c:v>
                </c:pt>
                <c:pt idx="4">
                  <c:v>9.850000000000005</c:v>
                </c:pt>
                <c:pt idx="5">
                  <c:v>11.93</c:v>
                </c:pt>
                <c:pt idx="6">
                  <c:v>11.92</c:v>
                </c:pt>
                <c:pt idx="7">
                  <c:v>16.05</c:v>
                </c:pt>
                <c:pt idx="8">
                  <c:v>14.91</c:v>
                </c:pt>
                <c:pt idx="9">
                  <c:v>17.27999999999999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38-4D83-A657-E8EEA8831CBA}"/>
            </c:ext>
          </c:extLst>
        </c:ser>
        <c:ser>
          <c:idx val="1"/>
          <c:order val="1"/>
          <c:tx>
            <c:strRef>
              <c:f>'[otomobil - mtv.xlsx]HBA'!$H$62</c:f>
              <c:strCache>
                <c:ptCount val="1"/>
                <c:pt idx="0">
                  <c:v>2.%20'lik gelir grubu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tar"/>
            <c:size val="7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mtv.xlsx]HBA'!$I$60:$R$60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'[otomobil - mtv.xlsx]HBA'!$I$62:$R$62</c:f>
              <c:numCache>
                <c:formatCode>0.0</c:formatCode>
                <c:ptCount val="10"/>
                <c:pt idx="0">
                  <c:v>13.83</c:v>
                </c:pt>
                <c:pt idx="1">
                  <c:v>16.62</c:v>
                </c:pt>
                <c:pt idx="2">
                  <c:v>17.05</c:v>
                </c:pt>
                <c:pt idx="3">
                  <c:v>21.72</c:v>
                </c:pt>
                <c:pt idx="4">
                  <c:v>20.420000000000002</c:v>
                </c:pt>
                <c:pt idx="5">
                  <c:v>20.79</c:v>
                </c:pt>
                <c:pt idx="6">
                  <c:v>22.19</c:v>
                </c:pt>
                <c:pt idx="7">
                  <c:v>26.63000000000001</c:v>
                </c:pt>
                <c:pt idx="8">
                  <c:v>27.150000000000009</c:v>
                </c:pt>
                <c:pt idx="9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38-4D83-A657-E8EEA8831CBA}"/>
            </c:ext>
          </c:extLst>
        </c:ser>
        <c:ser>
          <c:idx val="2"/>
          <c:order val="2"/>
          <c:tx>
            <c:strRef>
              <c:f>'[otomobil - mtv.xlsx]HBA'!$H$63</c:f>
              <c:strCache>
                <c:ptCount val="1"/>
                <c:pt idx="0">
                  <c:v>3.%20'lik gelir grubu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x"/>
            <c:size val="7"/>
            <c:spPr>
              <a:noFill/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mtv.xlsx]HBA'!$I$60:$R$60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'[otomobil - mtv.xlsx]HBA'!$I$63:$R$63</c:f>
              <c:numCache>
                <c:formatCode>0.0</c:formatCode>
                <c:ptCount val="10"/>
                <c:pt idx="0">
                  <c:v>24.150000000000009</c:v>
                </c:pt>
                <c:pt idx="1">
                  <c:v>26.23</c:v>
                </c:pt>
                <c:pt idx="2">
                  <c:v>23.17</c:v>
                </c:pt>
                <c:pt idx="3">
                  <c:v>30.64</c:v>
                </c:pt>
                <c:pt idx="4">
                  <c:v>28.29</c:v>
                </c:pt>
                <c:pt idx="5">
                  <c:v>29.25</c:v>
                </c:pt>
                <c:pt idx="6">
                  <c:v>29.55</c:v>
                </c:pt>
                <c:pt idx="7">
                  <c:v>33.270000000000003</c:v>
                </c:pt>
                <c:pt idx="8">
                  <c:v>37.160000000000011</c:v>
                </c:pt>
                <c:pt idx="9">
                  <c:v>35.410000000000004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38-4D83-A657-E8EEA8831CBA}"/>
            </c:ext>
          </c:extLst>
        </c:ser>
        <c:ser>
          <c:idx val="3"/>
          <c:order val="3"/>
          <c:tx>
            <c:strRef>
              <c:f>'[otomobil - mtv.xlsx]HBA'!$H$64</c:f>
              <c:strCache>
                <c:ptCount val="1"/>
                <c:pt idx="0">
                  <c:v>4.%20'lik gelir grubu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mtv.xlsx]HBA'!$I$60:$R$60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'[otomobil - mtv.xlsx]HBA'!$I$64:$R$64</c:f>
              <c:numCache>
                <c:formatCode>0.0</c:formatCode>
                <c:ptCount val="10"/>
                <c:pt idx="0">
                  <c:v>31.88</c:v>
                </c:pt>
                <c:pt idx="1">
                  <c:v>34.07</c:v>
                </c:pt>
                <c:pt idx="2">
                  <c:v>31.9</c:v>
                </c:pt>
                <c:pt idx="3">
                  <c:v>38.43</c:v>
                </c:pt>
                <c:pt idx="4">
                  <c:v>37.190000000000012</c:v>
                </c:pt>
                <c:pt idx="5">
                  <c:v>39.770000000000003</c:v>
                </c:pt>
                <c:pt idx="6">
                  <c:v>39.660000000000011</c:v>
                </c:pt>
                <c:pt idx="7">
                  <c:v>45.2</c:v>
                </c:pt>
                <c:pt idx="8">
                  <c:v>45.09</c:v>
                </c:pt>
                <c:pt idx="9">
                  <c:v>45.78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838-4D83-A657-E8EEA8831CBA}"/>
            </c:ext>
          </c:extLst>
        </c:ser>
        <c:ser>
          <c:idx val="4"/>
          <c:order val="4"/>
          <c:tx>
            <c:strRef>
              <c:f>'[otomobil - mtv.xlsx]HBA'!$H$65</c:f>
              <c:strCache>
                <c:ptCount val="1"/>
                <c:pt idx="0">
                  <c:v>5.%20'lik gelir grubu (en yüksek)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mtv.xlsx]HBA'!$I$60:$R$60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'[otomobil - mtv.xlsx]HBA'!$I$65:$R$65</c:f>
              <c:numCache>
                <c:formatCode>0.0</c:formatCode>
                <c:ptCount val="10"/>
                <c:pt idx="0">
                  <c:v>54.59</c:v>
                </c:pt>
                <c:pt idx="1">
                  <c:v>54.220000000000013</c:v>
                </c:pt>
                <c:pt idx="2">
                  <c:v>49.87</c:v>
                </c:pt>
                <c:pt idx="3">
                  <c:v>56.809999999999995</c:v>
                </c:pt>
                <c:pt idx="4">
                  <c:v>59.48</c:v>
                </c:pt>
                <c:pt idx="5">
                  <c:v>57.78</c:v>
                </c:pt>
                <c:pt idx="6">
                  <c:v>61.91</c:v>
                </c:pt>
                <c:pt idx="7">
                  <c:v>61.97</c:v>
                </c:pt>
                <c:pt idx="8">
                  <c:v>65.569999999999993</c:v>
                </c:pt>
                <c:pt idx="9">
                  <c:v>60.21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838-4D83-A657-E8EEA8831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052096"/>
        <c:axId val="134103040"/>
      </c:lineChart>
      <c:catAx>
        <c:axId val="13405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4103040"/>
        <c:crosses val="autoZero"/>
        <c:auto val="1"/>
        <c:lblAlgn val="ctr"/>
        <c:lblOffset val="100"/>
        <c:noMultiLvlLbl val="0"/>
      </c:catAx>
      <c:valAx>
        <c:axId val="134103040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4052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769352129573335E-2"/>
          <c:y val="0.87386286053887297"/>
          <c:w val="0.9572791163463672"/>
          <c:h val="0.107157312625893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327438393509074E-2"/>
          <c:y val="3.4879099105577079E-2"/>
          <c:w val="0.94991889171748267"/>
          <c:h val="0.76195526686880133"/>
        </c:manualLayout>
      </c:layout>
      <c:lineChart>
        <c:grouping val="standard"/>
        <c:varyColors val="0"/>
        <c:ser>
          <c:idx val="0"/>
          <c:order val="0"/>
          <c:tx>
            <c:strRef>
              <c:f>'[otomobil - mtv.xlsx]HBA'!$AB$61</c:f>
              <c:strCache>
                <c:ptCount val="1"/>
                <c:pt idx="0">
                  <c:v>1.%20'lik gelir grubu (en düşük)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tar"/>
            <c:size val="7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mtv.xlsx]HBA'!$AC$60:$AL$60</c:f>
              <c:numCache>
                <c:formatCode>0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'[otomobil - mtv.xlsx]HBA'!$AC$61:$AL$61</c:f>
              <c:numCache>
                <c:formatCode>0.0</c:formatCode>
                <c:ptCount val="10"/>
                <c:pt idx="0">
                  <c:v>5.57</c:v>
                </c:pt>
                <c:pt idx="1">
                  <c:v>5.68</c:v>
                </c:pt>
                <c:pt idx="2">
                  <c:v>6.74</c:v>
                </c:pt>
                <c:pt idx="3">
                  <c:v>6.71</c:v>
                </c:pt>
                <c:pt idx="4">
                  <c:v>7.35</c:v>
                </c:pt>
                <c:pt idx="5">
                  <c:v>8.2200000000000006</c:v>
                </c:pt>
                <c:pt idx="6">
                  <c:v>8.81</c:v>
                </c:pt>
                <c:pt idx="7">
                  <c:v>10.69</c:v>
                </c:pt>
                <c:pt idx="8">
                  <c:v>11.639999999999999</c:v>
                </c:pt>
                <c:pt idx="9">
                  <c:v>11.61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8B-4240-8DCF-D8B65E15AC07}"/>
            </c:ext>
          </c:extLst>
        </c:ser>
        <c:ser>
          <c:idx val="1"/>
          <c:order val="1"/>
          <c:tx>
            <c:strRef>
              <c:f>'[otomobil - mtv.xlsx]HBA'!$AB$62</c:f>
              <c:strCache>
                <c:ptCount val="1"/>
                <c:pt idx="0">
                  <c:v>2.%20'lik gelir grubu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x"/>
            <c:size val="7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mtv.xlsx]HBA'!$AC$60:$AL$60</c:f>
              <c:numCache>
                <c:formatCode>0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'[otomobil - mtv.xlsx]HBA'!$AC$62:$AL$62</c:f>
              <c:numCache>
                <c:formatCode>0.0</c:formatCode>
                <c:ptCount val="10"/>
                <c:pt idx="0">
                  <c:v>12.79</c:v>
                </c:pt>
                <c:pt idx="1">
                  <c:v>12.03</c:v>
                </c:pt>
                <c:pt idx="2">
                  <c:v>13.99</c:v>
                </c:pt>
                <c:pt idx="3">
                  <c:v>16.54</c:v>
                </c:pt>
                <c:pt idx="4">
                  <c:v>16.97999999999999</c:v>
                </c:pt>
                <c:pt idx="5">
                  <c:v>18.47999999999999</c:v>
                </c:pt>
                <c:pt idx="6">
                  <c:v>18.32</c:v>
                </c:pt>
                <c:pt idx="7">
                  <c:v>22.35</c:v>
                </c:pt>
                <c:pt idx="8">
                  <c:v>25.71</c:v>
                </c:pt>
                <c:pt idx="9">
                  <c:v>26.03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8B-4240-8DCF-D8B65E15AC07}"/>
            </c:ext>
          </c:extLst>
        </c:ser>
        <c:ser>
          <c:idx val="2"/>
          <c:order val="2"/>
          <c:tx>
            <c:strRef>
              <c:f>'[otomobil - mtv.xlsx]HBA'!$AB$63</c:f>
              <c:strCache>
                <c:ptCount val="1"/>
                <c:pt idx="0">
                  <c:v>3.%20'lik gelir grubu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mtv.xlsx]HBA'!$AC$60:$AL$60</c:f>
              <c:numCache>
                <c:formatCode>0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'[otomobil - mtv.xlsx]HBA'!$AC$63:$AL$63</c:f>
              <c:numCache>
                <c:formatCode>0.0</c:formatCode>
                <c:ptCount val="10"/>
                <c:pt idx="0">
                  <c:v>21.810000000000009</c:v>
                </c:pt>
                <c:pt idx="1">
                  <c:v>23.439999999999991</c:v>
                </c:pt>
                <c:pt idx="2">
                  <c:v>23.75</c:v>
                </c:pt>
                <c:pt idx="3">
                  <c:v>25.97999999999999</c:v>
                </c:pt>
                <c:pt idx="4">
                  <c:v>26.2</c:v>
                </c:pt>
                <c:pt idx="5">
                  <c:v>28.43</c:v>
                </c:pt>
                <c:pt idx="6">
                  <c:v>29.72</c:v>
                </c:pt>
                <c:pt idx="7">
                  <c:v>29.09</c:v>
                </c:pt>
                <c:pt idx="8">
                  <c:v>35.370000000000005</c:v>
                </c:pt>
                <c:pt idx="9">
                  <c:v>35.220000000000013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8B-4240-8DCF-D8B65E15AC07}"/>
            </c:ext>
          </c:extLst>
        </c:ser>
        <c:ser>
          <c:idx val="3"/>
          <c:order val="3"/>
          <c:tx>
            <c:strRef>
              <c:f>'[otomobil - mtv.xlsx]HBA'!$AB$64</c:f>
              <c:strCache>
                <c:ptCount val="1"/>
                <c:pt idx="0">
                  <c:v>4.%20'lik gelir grubu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mtv.xlsx]HBA'!$AC$60:$AL$60</c:f>
              <c:numCache>
                <c:formatCode>0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'[otomobil - mtv.xlsx]HBA'!$AC$64:$AL$64</c:f>
              <c:numCache>
                <c:formatCode>0.0</c:formatCode>
                <c:ptCount val="10"/>
                <c:pt idx="0">
                  <c:v>34.42</c:v>
                </c:pt>
                <c:pt idx="1">
                  <c:v>33.220000000000013</c:v>
                </c:pt>
                <c:pt idx="2">
                  <c:v>34.800000000000004</c:v>
                </c:pt>
                <c:pt idx="3">
                  <c:v>37.03</c:v>
                </c:pt>
                <c:pt idx="4">
                  <c:v>37.190000000000012</c:v>
                </c:pt>
                <c:pt idx="5">
                  <c:v>38.58</c:v>
                </c:pt>
                <c:pt idx="6">
                  <c:v>38.89</c:v>
                </c:pt>
                <c:pt idx="7">
                  <c:v>43.839999999999996</c:v>
                </c:pt>
                <c:pt idx="8">
                  <c:v>46.55</c:v>
                </c:pt>
                <c:pt idx="9">
                  <c:v>45.760000000000012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8B-4240-8DCF-D8B65E15AC07}"/>
            </c:ext>
          </c:extLst>
        </c:ser>
        <c:ser>
          <c:idx val="4"/>
          <c:order val="4"/>
          <c:tx>
            <c:strRef>
              <c:f>'[otomobil - mtv.xlsx]HBA'!$AB$65</c:f>
              <c:strCache>
                <c:ptCount val="1"/>
                <c:pt idx="0">
                  <c:v>5.%20'lik gelir grubu (en yüksek)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'[otomobil - mtv.xlsx]HBA'!$AC$60:$AL$60</c:f>
              <c:numCache>
                <c:formatCode>0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'[otomobil - mtv.xlsx]HBA'!$AC$65:$AL$65</c:f>
              <c:numCache>
                <c:formatCode>0.0</c:formatCode>
                <c:ptCount val="10"/>
                <c:pt idx="0">
                  <c:v>58.04</c:v>
                </c:pt>
                <c:pt idx="1">
                  <c:v>53.77</c:v>
                </c:pt>
                <c:pt idx="2">
                  <c:v>58.220000000000013</c:v>
                </c:pt>
                <c:pt idx="3">
                  <c:v>56.54</c:v>
                </c:pt>
                <c:pt idx="4">
                  <c:v>58.809999999999995</c:v>
                </c:pt>
                <c:pt idx="5">
                  <c:v>61.09</c:v>
                </c:pt>
                <c:pt idx="6">
                  <c:v>63.379999999999995</c:v>
                </c:pt>
                <c:pt idx="7">
                  <c:v>65.2</c:v>
                </c:pt>
                <c:pt idx="8">
                  <c:v>67.55</c:v>
                </c:pt>
                <c:pt idx="9">
                  <c:v>69.83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68B-4240-8DCF-D8B65E15A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03360"/>
        <c:axId val="132704896"/>
      </c:lineChart>
      <c:catAx>
        <c:axId val="1327033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2704896"/>
        <c:crosses val="autoZero"/>
        <c:auto val="1"/>
        <c:lblAlgn val="ctr"/>
        <c:lblOffset val="100"/>
        <c:noMultiLvlLbl val="0"/>
      </c:catAx>
      <c:valAx>
        <c:axId val="132704896"/>
        <c:scaling>
          <c:orientation val="minMax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2703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621596172658868E-2"/>
          <c:y val="0.87356289123513453"/>
          <c:w val="0.94559593584636459"/>
          <c:h val="0.107412145616368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6740-CB9A-4F90-8C7A-EE9CC75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acar</dc:creator>
  <cp:lastModifiedBy>merve.akgul</cp:lastModifiedBy>
  <cp:revision>5</cp:revision>
  <cp:lastPrinted>2014-06-25T07:13:00Z</cp:lastPrinted>
  <dcterms:created xsi:type="dcterms:W3CDTF">2017-10-05T10:16:00Z</dcterms:created>
  <dcterms:modified xsi:type="dcterms:W3CDTF">2017-10-05T10:33:00Z</dcterms:modified>
</cp:coreProperties>
</file>