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79" w:rsidRPr="00821820" w:rsidRDefault="00626613" w:rsidP="00640379">
      <w:pPr>
        <w:rPr>
          <w:rFonts w:ascii="Arial" w:hAnsi="Arial" w:cs="Arial"/>
          <w:sz w:val="20"/>
          <w:szCs w:val="20"/>
        </w:rPr>
      </w:pPr>
      <w:r>
        <w:rPr>
          <w:rFonts w:ascii="Arial" w:hAnsi="Arial" w:cs="Arial"/>
          <w:noProof/>
          <w:sz w:val="20"/>
          <w:szCs w:val="20"/>
          <w:lang w:val="en-US" w:eastAsia="en-US"/>
        </w:rPr>
        <mc:AlternateContent>
          <mc:Choice Requires="wps">
            <w:drawing>
              <wp:anchor distT="0" distB="0" distL="114935" distR="114935" simplePos="0" relativeHeight="251657216" behindDoc="0" locked="0" layoutInCell="1" allowOverlap="1">
                <wp:simplePos x="0" y="0"/>
                <wp:positionH relativeFrom="column">
                  <wp:posOffset>1813560</wp:posOffset>
                </wp:positionH>
                <wp:positionV relativeFrom="paragraph">
                  <wp:posOffset>-384810</wp:posOffset>
                </wp:positionV>
                <wp:extent cx="3963670" cy="5689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CFE" w:rsidRPr="00D9195B" w:rsidRDefault="00F11CFE" w:rsidP="00640379">
                            <w:pPr>
                              <w:pStyle w:val="Heading1"/>
                              <w:jc w:val="left"/>
                              <w:rPr>
                                <w:rFonts w:ascii="Palatino Linotype" w:hAnsi="Palatino Linotype"/>
                                <w:color w:val="FF0000"/>
                                <w:sz w:val="52"/>
                                <w:szCs w:val="52"/>
                              </w:rPr>
                            </w:pPr>
                            <w:r w:rsidRPr="00D9195B">
                              <w:rPr>
                                <w:rFonts w:ascii="Palatino Linotype" w:hAnsi="Palatino Linotype"/>
                                <w:sz w:val="52"/>
                                <w:szCs w:val="52"/>
                              </w:rPr>
                              <w:t>Araştırma Notu 1</w:t>
                            </w:r>
                            <w:r>
                              <w:rPr>
                                <w:rFonts w:ascii="Palatino Linotype" w:hAnsi="Palatino Linotype"/>
                                <w:sz w:val="52"/>
                                <w:szCs w:val="52"/>
                              </w:rPr>
                              <w:t>7</w:t>
                            </w:r>
                            <w:r w:rsidRPr="00D9195B">
                              <w:rPr>
                                <w:rFonts w:ascii="Palatino Linotype" w:hAnsi="Palatino Linotype"/>
                                <w:sz w:val="52"/>
                                <w:szCs w:val="52"/>
                              </w:rPr>
                              <w:t>/</w:t>
                            </w:r>
                            <w:r>
                              <w:rPr>
                                <w:rFonts w:ascii="Palatino Linotype" w:hAnsi="Palatino Linotype"/>
                                <w:sz w:val="52"/>
                                <w:szCs w:val="52"/>
                              </w:rPr>
                              <w:t>217</w:t>
                            </w:r>
                          </w:p>
                          <w:p w:rsidR="00F11CFE" w:rsidRPr="00526178" w:rsidRDefault="00F11CFE" w:rsidP="00640379">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30.3pt;width:312.1pt;height:44.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RXiwIAABw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" stroked="f">
                <v:fill opacity="0"/>
                <v:textbox inset="0,0,0,0">
                  <w:txbxContent>
                    <w:p w:rsidR="00F11CFE" w:rsidRPr="00D9195B" w:rsidRDefault="00F11CFE" w:rsidP="00640379">
                      <w:pPr>
                        <w:pStyle w:val="Heading1"/>
                        <w:jc w:val="left"/>
                        <w:rPr>
                          <w:rFonts w:ascii="Palatino Linotype" w:hAnsi="Palatino Linotype"/>
                          <w:color w:val="FF0000"/>
                          <w:sz w:val="52"/>
                          <w:szCs w:val="52"/>
                        </w:rPr>
                      </w:pPr>
                      <w:r w:rsidRPr="00D9195B">
                        <w:rPr>
                          <w:rFonts w:ascii="Palatino Linotype" w:hAnsi="Palatino Linotype"/>
                          <w:sz w:val="52"/>
                          <w:szCs w:val="52"/>
                        </w:rPr>
                        <w:t>Araştırma Notu 1</w:t>
                      </w:r>
                      <w:r>
                        <w:rPr>
                          <w:rFonts w:ascii="Palatino Linotype" w:hAnsi="Palatino Linotype"/>
                          <w:sz w:val="52"/>
                          <w:szCs w:val="52"/>
                        </w:rPr>
                        <w:t>7</w:t>
                      </w:r>
                      <w:r w:rsidRPr="00D9195B">
                        <w:rPr>
                          <w:rFonts w:ascii="Palatino Linotype" w:hAnsi="Palatino Linotype"/>
                          <w:sz w:val="52"/>
                          <w:szCs w:val="52"/>
                        </w:rPr>
                        <w:t>/</w:t>
                      </w:r>
                      <w:r>
                        <w:rPr>
                          <w:rFonts w:ascii="Palatino Linotype" w:hAnsi="Palatino Linotype"/>
                          <w:sz w:val="52"/>
                          <w:szCs w:val="52"/>
                        </w:rPr>
                        <w:t>217</w:t>
                      </w:r>
                    </w:p>
                    <w:p w:rsidR="00F11CFE" w:rsidRPr="00526178" w:rsidRDefault="00F11CFE" w:rsidP="00640379">
                      <w:pPr>
                        <w:pStyle w:val="Heading2"/>
                        <w:numPr>
                          <w:ilvl w:val="1"/>
                          <w:numId w:val="1"/>
                        </w:numPr>
                        <w:rPr>
                          <w:b w:val="0"/>
                          <w:bCs w:val="0"/>
                          <w:i w:val="0"/>
                          <w:iCs w:val="0"/>
                        </w:rPr>
                      </w:pPr>
                    </w:p>
                  </w:txbxContent>
                </v:textbox>
              </v:shape>
            </w:pict>
          </mc:Fallback>
        </mc:AlternateContent>
      </w:r>
      <w:r w:rsidR="00FF567A">
        <w:rPr>
          <w:rFonts w:ascii="Arial" w:hAnsi="Arial" w:cs="Arial"/>
          <w:noProof/>
          <w:sz w:val="20"/>
          <w:szCs w:val="20"/>
          <w:lang w:val="en-US" w:eastAsia="en-US"/>
        </w:rPr>
        <w:drawing>
          <wp:anchor distT="0" distB="0" distL="114300" distR="114300" simplePos="0" relativeHeight="251659264" behindDoc="1" locked="0" layoutInCell="1" allowOverlap="1">
            <wp:simplePos x="0" y="0"/>
            <wp:positionH relativeFrom="column">
              <wp:posOffset>-742950</wp:posOffset>
            </wp:positionH>
            <wp:positionV relativeFrom="paragraph">
              <wp:posOffset>-737870</wp:posOffset>
            </wp:positionV>
            <wp:extent cx="7315200" cy="1330325"/>
            <wp:effectExtent l="19050" t="0" r="0" b="0"/>
            <wp:wrapNone/>
            <wp:docPr id="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rsidR="00640379" w:rsidRPr="00821820" w:rsidRDefault="00626613" w:rsidP="00640379">
      <w:pPr>
        <w:rPr>
          <w:rFonts w:ascii="Arial" w:hAnsi="Arial" w:cs="Arial"/>
          <w:sz w:val="20"/>
          <w:szCs w:val="20"/>
        </w:rPr>
      </w:pPr>
      <w:r>
        <w:rPr>
          <w:rFonts w:ascii="Arial" w:hAnsi="Arial" w:cs="Arial"/>
          <w:noProof/>
          <w:sz w:val="20"/>
          <w:szCs w:val="20"/>
          <w:lang w:val="en-US" w:eastAsia="en-US"/>
        </w:rPr>
        <mc:AlternateContent>
          <mc:Choice Requires="wps">
            <w:drawing>
              <wp:anchor distT="0" distB="0" distL="114935" distR="114935" simplePos="0" relativeHeight="251658240" behindDoc="0" locked="0" layoutInCell="1" allowOverlap="1">
                <wp:simplePos x="0" y="0"/>
                <wp:positionH relativeFrom="column">
                  <wp:posOffset>5386070</wp:posOffset>
                </wp:positionH>
                <wp:positionV relativeFrom="paragraph">
                  <wp:posOffset>83820</wp:posOffset>
                </wp:positionV>
                <wp:extent cx="1104900" cy="3657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65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CFE" w:rsidRPr="00D9195B" w:rsidRDefault="00F11CFE" w:rsidP="00640379">
                            <w:pPr>
                              <w:pStyle w:val="Heading3"/>
                              <w:rPr>
                                <w:rFonts w:ascii="Palatino Linotype" w:hAnsi="Palatino Linotype"/>
                                <w:color w:val="FFFFFF"/>
                                <w:sz w:val="22"/>
                                <w:szCs w:val="22"/>
                                <w:lang w:val="tr-TR"/>
                              </w:rPr>
                            </w:pPr>
                            <w:r>
                              <w:rPr>
                                <w:rFonts w:ascii="Palatino Linotype" w:hAnsi="Palatino Linotype"/>
                                <w:color w:val="FFFFFF"/>
                                <w:sz w:val="22"/>
                                <w:szCs w:val="22"/>
                              </w:rPr>
                              <w:t xml:space="preserve">14 </w:t>
                            </w:r>
                            <w:proofErr w:type="spellStart"/>
                            <w:r>
                              <w:rPr>
                                <w:rFonts w:ascii="Palatino Linotype" w:hAnsi="Palatino Linotype"/>
                                <w:color w:val="FFFFFF"/>
                                <w:sz w:val="22"/>
                                <w:szCs w:val="22"/>
                              </w:rPr>
                              <w:t>Eylül</w:t>
                            </w:r>
                            <w:proofErr w:type="spellEnd"/>
                            <w:r>
                              <w:rPr>
                                <w:rFonts w:ascii="Palatino Linotype" w:hAnsi="Palatino Linotype"/>
                                <w:color w:val="FFFFFF"/>
                                <w:sz w:val="22"/>
                                <w:szCs w:val="22"/>
                              </w:rPr>
                              <w:t xml:space="preserve"> 2017</w:t>
                            </w:r>
                          </w:p>
                          <w:p w:rsidR="00F11CFE" w:rsidRDefault="00F11CFE" w:rsidP="006403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4.1pt;margin-top:6.6pt;width:87pt;height:28.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" stroked="f">
                <v:fill opacity="0"/>
                <v:textbox inset="0,0,0,0">
                  <w:txbxContent>
                    <w:p w:rsidR="00F11CFE" w:rsidRPr="00D9195B" w:rsidRDefault="00F11CFE" w:rsidP="00640379">
                      <w:pPr>
                        <w:pStyle w:val="Heading3"/>
                        <w:rPr>
                          <w:rFonts w:ascii="Palatino Linotype" w:hAnsi="Palatino Linotype"/>
                          <w:color w:val="FFFFFF"/>
                          <w:sz w:val="22"/>
                          <w:szCs w:val="22"/>
                          <w:lang w:val="tr-TR"/>
                        </w:rPr>
                      </w:pPr>
                      <w:r>
                        <w:rPr>
                          <w:rFonts w:ascii="Palatino Linotype" w:hAnsi="Palatino Linotype"/>
                          <w:color w:val="FFFFFF"/>
                          <w:sz w:val="22"/>
                          <w:szCs w:val="22"/>
                        </w:rPr>
                        <w:t xml:space="preserve">14 </w:t>
                      </w:r>
                      <w:proofErr w:type="spellStart"/>
                      <w:r>
                        <w:rPr>
                          <w:rFonts w:ascii="Palatino Linotype" w:hAnsi="Palatino Linotype"/>
                          <w:color w:val="FFFFFF"/>
                          <w:sz w:val="22"/>
                          <w:szCs w:val="22"/>
                        </w:rPr>
                        <w:t>Eylül</w:t>
                      </w:r>
                      <w:proofErr w:type="spellEnd"/>
                      <w:r>
                        <w:rPr>
                          <w:rFonts w:ascii="Palatino Linotype" w:hAnsi="Palatino Linotype"/>
                          <w:color w:val="FFFFFF"/>
                          <w:sz w:val="22"/>
                          <w:szCs w:val="22"/>
                        </w:rPr>
                        <w:t xml:space="preserve"> 2017</w:t>
                      </w:r>
                    </w:p>
                    <w:p w:rsidR="00F11CFE" w:rsidRDefault="00F11CFE" w:rsidP="00640379"/>
                  </w:txbxContent>
                </v:textbox>
              </v:shape>
            </w:pict>
          </mc:Fallback>
        </mc:AlternateContent>
      </w:r>
    </w:p>
    <w:p w:rsidR="00640379" w:rsidRPr="00821820" w:rsidRDefault="00640379" w:rsidP="00640379">
      <w:pPr>
        <w:rPr>
          <w:rFonts w:ascii="Arial" w:hAnsi="Arial" w:cs="Arial"/>
          <w:sz w:val="20"/>
          <w:szCs w:val="20"/>
        </w:rPr>
      </w:pPr>
    </w:p>
    <w:p w:rsidR="00640379" w:rsidRPr="00821820" w:rsidRDefault="00640379" w:rsidP="00640379">
      <w:pPr>
        <w:rPr>
          <w:rFonts w:ascii="Arial" w:hAnsi="Arial" w:cs="Arial"/>
          <w:sz w:val="20"/>
          <w:szCs w:val="20"/>
        </w:rPr>
      </w:pPr>
    </w:p>
    <w:p w:rsidR="00640379" w:rsidRPr="00D9195B" w:rsidRDefault="00640379" w:rsidP="00640379">
      <w:pPr>
        <w:rPr>
          <w:rFonts w:ascii="Palatino Linotype" w:hAnsi="Palatino Linotype" w:cs="Arial"/>
          <w:b/>
          <w:bCs/>
          <w:sz w:val="20"/>
          <w:szCs w:val="20"/>
        </w:rPr>
      </w:pPr>
    </w:p>
    <w:p w:rsidR="00AE2FAA" w:rsidRPr="00D9195B" w:rsidRDefault="00714AB7" w:rsidP="00AE2FAA">
      <w:pPr>
        <w:jc w:val="center"/>
        <w:rPr>
          <w:rFonts w:ascii="Palatino Linotype" w:hAnsi="Palatino Linotype" w:cs="Arial"/>
          <w:b/>
          <w:sz w:val="20"/>
          <w:szCs w:val="20"/>
        </w:rPr>
      </w:pPr>
      <w:r w:rsidRPr="00D9195B">
        <w:rPr>
          <w:rFonts w:ascii="Palatino Linotype" w:hAnsi="Palatino Linotype" w:cs="Arial"/>
          <w:b/>
          <w:sz w:val="28"/>
          <w:szCs w:val="28"/>
        </w:rPr>
        <w:t>YENİ GSYH SERİLERİ</w:t>
      </w:r>
      <w:r w:rsidR="00ED057D">
        <w:rPr>
          <w:rFonts w:ascii="Palatino Linotype" w:hAnsi="Palatino Linotype" w:cs="Arial"/>
          <w:b/>
          <w:sz w:val="28"/>
          <w:szCs w:val="28"/>
        </w:rPr>
        <w:t xml:space="preserve">NDE BÜYÜMEYE </w:t>
      </w:r>
      <w:r w:rsidR="00ED057D" w:rsidRPr="00332F54">
        <w:rPr>
          <w:rFonts w:ascii="Palatino Linotype" w:hAnsi="Palatino Linotype" w:cs="Arial"/>
          <w:b/>
          <w:sz w:val="28"/>
          <w:szCs w:val="28"/>
        </w:rPr>
        <w:t>KATKI</w:t>
      </w:r>
      <w:r w:rsidR="00626613" w:rsidRPr="00332F54">
        <w:rPr>
          <w:rFonts w:ascii="Palatino Linotype" w:hAnsi="Palatino Linotype" w:cs="Arial"/>
          <w:b/>
          <w:sz w:val="28"/>
          <w:szCs w:val="28"/>
        </w:rPr>
        <w:t>LAR</w:t>
      </w:r>
    </w:p>
    <w:p w:rsidR="00714AB7" w:rsidRPr="00F07E67" w:rsidRDefault="00714AB7" w:rsidP="004009D4">
      <w:pPr>
        <w:jc w:val="center"/>
        <w:rPr>
          <w:rFonts w:ascii="Arial" w:hAnsi="Arial" w:cs="Arial"/>
          <w:sz w:val="20"/>
          <w:szCs w:val="20"/>
        </w:rPr>
      </w:pPr>
    </w:p>
    <w:p w:rsidR="0040699C" w:rsidRPr="00F07E67" w:rsidRDefault="001A6364" w:rsidP="004009D4">
      <w:pPr>
        <w:jc w:val="center"/>
        <w:rPr>
          <w:rFonts w:ascii="Palatino Linotype" w:hAnsi="Palatino Linotype" w:cs="Arial"/>
        </w:rPr>
      </w:pPr>
      <w:r w:rsidRPr="00C45534">
        <w:rPr>
          <w:rFonts w:ascii="Palatino Linotype" w:hAnsi="Palatino Linotype" w:cs="Arial"/>
          <w:b/>
        </w:rPr>
        <w:t>Ozan Bakış</w:t>
      </w:r>
      <w:r w:rsidR="002408E1" w:rsidRPr="00F07E67">
        <w:rPr>
          <w:rStyle w:val="FootnoteReference"/>
          <w:rFonts w:ascii="Palatino Linotype" w:hAnsi="Palatino Linotype" w:cs="Arial"/>
        </w:rPr>
        <w:footnoteReference w:customMarkFollows="1" w:id="1"/>
        <w:t>*</w:t>
      </w:r>
    </w:p>
    <w:p w:rsidR="00AE2FAA" w:rsidRPr="00F07E67" w:rsidRDefault="00AE2FAA" w:rsidP="00AE2FAA">
      <w:pPr>
        <w:jc w:val="center"/>
        <w:rPr>
          <w:rFonts w:ascii="Palatino Linotype" w:hAnsi="Palatino Linotype" w:cs="Arial"/>
          <w:b/>
        </w:rPr>
      </w:pPr>
    </w:p>
    <w:p w:rsidR="00AE2FAA" w:rsidRPr="00F07E67" w:rsidRDefault="00AE2FAA" w:rsidP="00AE2FAA">
      <w:pPr>
        <w:jc w:val="center"/>
        <w:rPr>
          <w:rFonts w:ascii="Palatino Linotype" w:hAnsi="Palatino Linotype" w:cs="Arial"/>
          <w:b/>
        </w:rPr>
      </w:pPr>
      <w:r w:rsidRPr="00F07E67">
        <w:rPr>
          <w:rFonts w:ascii="Palatino Linotype" w:hAnsi="Palatino Linotype" w:cs="Arial"/>
          <w:b/>
        </w:rPr>
        <w:t>Yönetici Özeti</w:t>
      </w:r>
    </w:p>
    <w:p w:rsidR="00AE2FAA" w:rsidRPr="0027354C" w:rsidRDefault="00AE2FAA" w:rsidP="00AE2FAA">
      <w:pPr>
        <w:jc w:val="center"/>
        <w:rPr>
          <w:rFonts w:ascii="Arial" w:hAnsi="Arial" w:cs="Arial"/>
          <w:b/>
          <w:sz w:val="20"/>
          <w:szCs w:val="20"/>
        </w:rPr>
      </w:pPr>
    </w:p>
    <w:p w:rsidR="00A823AA" w:rsidRPr="00803A9D" w:rsidRDefault="00714AB7" w:rsidP="00DA5B49">
      <w:pPr>
        <w:pStyle w:val="ListParagraph"/>
        <w:ind w:left="1066"/>
        <w:jc w:val="both"/>
        <w:rPr>
          <w:rFonts w:ascii="Palatino Linotype" w:hAnsi="Palatino Linotype"/>
          <w:sz w:val="22"/>
          <w:szCs w:val="22"/>
        </w:rPr>
      </w:pPr>
      <w:proofErr w:type="spellStart"/>
      <w:r w:rsidRPr="00714AB7">
        <w:rPr>
          <w:rFonts w:ascii="Palatino Linotype" w:hAnsi="Palatino Linotype"/>
          <w:sz w:val="22"/>
          <w:szCs w:val="22"/>
        </w:rPr>
        <w:t>T</w:t>
      </w:r>
      <w:r w:rsidR="00D231BE">
        <w:rPr>
          <w:rFonts w:ascii="Palatino Linotype" w:hAnsi="Palatino Linotype"/>
          <w:sz w:val="22"/>
          <w:szCs w:val="22"/>
        </w:rPr>
        <w:t>ÜİK’in</w:t>
      </w:r>
      <w:proofErr w:type="spellEnd"/>
      <w:r w:rsidR="00D231BE">
        <w:rPr>
          <w:rFonts w:ascii="Palatino Linotype" w:hAnsi="Palatino Linotype"/>
          <w:sz w:val="22"/>
          <w:szCs w:val="22"/>
        </w:rPr>
        <w:t xml:space="preserve"> yayınladığı yeni milli gelir serileri ile büyümeye katkı hesaplarını eski serilerde olduğu gibi kolayca yapmak artık mümkün değil. Hem ana seriler ile onu oluşturan alt serilerin toplamı arasında, yöntemden kaynaklı bir fark oluştu, hem de yeni yöntemde reel fiyatlarla stok değişiklikleri TÜİK tarafından yayınlanmamaktadır. Bu araştırma notunda bu iki sorunu dikkate alarak </w:t>
      </w:r>
      <w:r w:rsidR="005364F6">
        <w:rPr>
          <w:rFonts w:ascii="Palatino Linotype" w:hAnsi="Palatino Linotype"/>
          <w:sz w:val="22"/>
          <w:szCs w:val="22"/>
        </w:rPr>
        <w:t xml:space="preserve">önce </w:t>
      </w:r>
      <w:r w:rsidR="00D231BE">
        <w:rPr>
          <w:rFonts w:ascii="Palatino Linotype" w:hAnsi="Palatino Linotype"/>
          <w:sz w:val="22"/>
          <w:szCs w:val="22"/>
        </w:rPr>
        <w:t>yeni milli gelir serilerinde büyümeye katkının nasıl yapılacağını</w:t>
      </w:r>
      <w:r w:rsidR="005364F6">
        <w:rPr>
          <w:rFonts w:ascii="Palatino Linotype" w:hAnsi="Palatino Linotype"/>
          <w:sz w:val="22"/>
          <w:szCs w:val="22"/>
        </w:rPr>
        <w:t>, devamında da anlatılan yaklaşım ışığında</w:t>
      </w:r>
      <w:r w:rsidR="00D231BE">
        <w:rPr>
          <w:rFonts w:ascii="Palatino Linotype" w:hAnsi="Palatino Linotype"/>
          <w:sz w:val="22"/>
          <w:szCs w:val="22"/>
        </w:rPr>
        <w:t xml:space="preserve"> 2009 sonrası </w:t>
      </w:r>
      <w:r w:rsidR="00D20C6A">
        <w:rPr>
          <w:rFonts w:ascii="Palatino Linotype" w:hAnsi="Palatino Linotype"/>
          <w:sz w:val="22"/>
          <w:szCs w:val="22"/>
        </w:rPr>
        <w:t xml:space="preserve">yeni ulusal hesap </w:t>
      </w:r>
      <w:r w:rsidR="00D20C6A" w:rsidRPr="00332F54">
        <w:rPr>
          <w:rFonts w:ascii="Palatino Linotype" w:hAnsi="Palatino Linotype"/>
          <w:sz w:val="22"/>
          <w:szCs w:val="22"/>
        </w:rPr>
        <w:t xml:space="preserve">rakamlarıyla harcama kalemlerinin </w:t>
      </w:r>
      <w:r w:rsidR="00D231BE" w:rsidRPr="00332F54">
        <w:rPr>
          <w:rFonts w:ascii="Palatino Linotype" w:hAnsi="Palatino Linotype"/>
          <w:sz w:val="22"/>
          <w:szCs w:val="22"/>
        </w:rPr>
        <w:t xml:space="preserve">büyümeye </w:t>
      </w:r>
      <w:r w:rsidR="00D20C6A" w:rsidRPr="00332F54">
        <w:rPr>
          <w:rFonts w:ascii="Palatino Linotype" w:hAnsi="Palatino Linotype"/>
          <w:sz w:val="22"/>
          <w:szCs w:val="22"/>
        </w:rPr>
        <w:t xml:space="preserve">yaptığı </w:t>
      </w:r>
      <w:r w:rsidR="00332F54" w:rsidRPr="00332F54">
        <w:rPr>
          <w:rFonts w:ascii="Palatino Linotype" w:hAnsi="Palatino Linotype"/>
          <w:sz w:val="22"/>
          <w:szCs w:val="22"/>
        </w:rPr>
        <w:t>katkıları ilk</w:t>
      </w:r>
      <w:r w:rsidR="00D20C6A" w:rsidRPr="00332F54">
        <w:rPr>
          <w:rFonts w:ascii="Palatino Linotype" w:hAnsi="Palatino Linotype"/>
          <w:sz w:val="22"/>
          <w:szCs w:val="22"/>
        </w:rPr>
        <w:t xml:space="preserve"> kez </w:t>
      </w:r>
      <w:r w:rsidR="005364F6" w:rsidRPr="00332F54">
        <w:rPr>
          <w:rFonts w:ascii="Palatino Linotype" w:hAnsi="Palatino Linotype"/>
          <w:sz w:val="22"/>
          <w:szCs w:val="22"/>
        </w:rPr>
        <w:t>yayınlıyoruz</w:t>
      </w:r>
      <w:r w:rsidR="00D231BE" w:rsidRPr="00332F54">
        <w:rPr>
          <w:rFonts w:ascii="Palatino Linotype" w:hAnsi="Palatino Linotype"/>
          <w:sz w:val="22"/>
          <w:szCs w:val="22"/>
        </w:rPr>
        <w:t>.</w:t>
      </w:r>
      <w:r w:rsidR="00ED057D" w:rsidRPr="00ED057D">
        <w:rPr>
          <w:rFonts w:ascii="Palatino Linotype" w:hAnsi="Palatino Linotype"/>
          <w:sz w:val="22"/>
          <w:szCs w:val="22"/>
        </w:rPr>
        <w:t xml:space="preserve"> </w:t>
      </w:r>
    </w:p>
    <w:p w:rsidR="00D33367" w:rsidRPr="00714AB7" w:rsidRDefault="00714AB7" w:rsidP="00714AB7">
      <w:pPr>
        <w:pStyle w:val="Heading2"/>
        <w:spacing w:line="360" w:lineRule="auto"/>
        <w:ind w:firstLine="340"/>
        <w:rPr>
          <w:rFonts w:ascii="Palatino Linotype" w:hAnsi="Palatino Linotype"/>
          <w:lang w:val="tr-TR"/>
        </w:rPr>
      </w:pPr>
      <w:r>
        <w:rPr>
          <w:rFonts w:ascii="Palatino Linotype" w:hAnsi="Palatino Linotype"/>
          <w:lang w:val="tr-TR"/>
        </w:rPr>
        <w:t>Giriş</w:t>
      </w:r>
    </w:p>
    <w:p w:rsidR="009B6F3A" w:rsidRDefault="00ED057D" w:rsidP="00714AB7">
      <w:pPr>
        <w:spacing w:line="360" w:lineRule="auto"/>
        <w:ind w:firstLine="340"/>
        <w:jc w:val="both"/>
        <w:rPr>
          <w:rFonts w:ascii="Palatino Linotype" w:hAnsi="Palatino Linotype"/>
        </w:rPr>
      </w:pPr>
      <w:r w:rsidRPr="00ED057D">
        <w:rPr>
          <w:rFonts w:ascii="Palatino Linotype" w:hAnsi="Palatino Linotype"/>
        </w:rPr>
        <w:t>Türkiye İstatistik Kurumu’nun (T</w:t>
      </w:r>
      <w:r>
        <w:rPr>
          <w:rFonts w:ascii="Palatino Linotype" w:hAnsi="Palatino Linotype"/>
        </w:rPr>
        <w:t>ÜİK</w:t>
      </w:r>
      <w:r w:rsidRPr="00ED057D">
        <w:rPr>
          <w:rFonts w:ascii="Palatino Linotype" w:hAnsi="Palatino Linotype"/>
        </w:rPr>
        <w:t>) güncellediği yeni milli gelir serilerinin eski serilerden nasıl ayrıldığını daha önce ele almış ve her iki seri arasında çok önemli tanım, seviye ve oran farklarının bulunduğuna dikkat çekmiştik (bkz. Betam Araştırma Notu 16/203).</w:t>
      </w:r>
      <w:r>
        <w:rPr>
          <w:rFonts w:ascii="Palatino Linotype" w:hAnsi="Palatino Linotype"/>
        </w:rPr>
        <w:t xml:space="preserve"> İlgili notta sadece değinerek bıraktığımız bir noktayı elinizdeki araştırma notunda detaylı incelemek istiyoruz. </w:t>
      </w:r>
      <w:r w:rsidR="001469DC">
        <w:rPr>
          <w:rFonts w:ascii="Palatino Linotype" w:hAnsi="Palatino Linotype"/>
        </w:rPr>
        <w:t xml:space="preserve">Önemli değişikliklerden bir tanesi </w:t>
      </w:r>
      <w:r w:rsidR="003E6DC1">
        <w:rPr>
          <w:rFonts w:ascii="Palatino Linotype" w:hAnsi="Palatino Linotype"/>
        </w:rPr>
        <w:t>reel GSYH büyümesi</w:t>
      </w:r>
      <w:r w:rsidR="00714AB7" w:rsidRPr="005D2515">
        <w:rPr>
          <w:rFonts w:ascii="Palatino Linotype" w:hAnsi="Palatino Linotype"/>
        </w:rPr>
        <w:t xml:space="preserve"> hesap</w:t>
      </w:r>
      <w:r w:rsidR="00714AB7">
        <w:rPr>
          <w:rFonts w:ascii="Palatino Linotype" w:hAnsi="Palatino Linotype"/>
        </w:rPr>
        <w:t>l</w:t>
      </w:r>
      <w:r w:rsidR="00714AB7" w:rsidRPr="005D2515">
        <w:rPr>
          <w:rFonts w:ascii="Palatino Linotype" w:hAnsi="Palatino Linotype"/>
        </w:rPr>
        <w:t>a</w:t>
      </w:r>
      <w:r w:rsidR="001469DC">
        <w:rPr>
          <w:rFonts w:ascii="Palatino Linotype" w:hAnsi="Palatino Linotype"/>
        </w:rPr>
        <w:t>nırken eski seride</w:t>
      </w:r>
      <w:r w:rsidR="003E6DC1">
        <w:rPr>
          <w:rFonts w:ascii="Palatino Linotype" w:hAnsi="Palatino Linotype"/>
        </w:rPr>
        <w:t xml:space="preserve"> sabit fiyat yaklaşımı kullanılırken </w:t>
      </w:r>
      <w:r w:rsidR="001469DC">
        <w:rPr>
          <w:rFonts w:ascii="Palatino Linotype" w:hAnsi="Palatino Linotype"/>
        </w:rPr>
        <w:t>yeni seride reel</w:t>
      </w:r>
      <w:r w:rsidR="00714AB7" w:rsidRPr="005D2515">
        <w:rPr>
          <w:rFonts w:ascii="Palatino Linotype" w:hAnsi="Palatino Linotype"/>
        </w:rPr>
        <w:t xml:space="preserve"> GSYH hesabı zincirleme hacim endeksi</w:t>
      </w:r>
      <w:r w:rsidR="001469DC">
        <w:rPr>
          <w:rFonts w:ascii="Palatino Linotype" w:hAnsi="Palatino Linotype"/>
        </w:rPr>
        <w:t xml:space="preserve"> ile yapılıyor. Zincirleme hacim endeksi yaklaşımının önemli </w:t>
      </w:r>
      <w:r w:rsidR="003E6DC1">
        <w:rPr>
          <w:rFonts w:ascii="Palatino Linotype" w:hAnsi="Palatino Linotype"/>
        </w:rPr>
        <w:t>üstünlükleri</w:t>
      </w:r>
      <w:r w:rsidR="001469DC">
        <w:rPr>
          <w:rFonts w:ascii="Palatino Linotype" w:hAnsi="Palatino Linotype"/>
        </w:rPr>
        <w:t xml:space="preserve"> bulunuyor: </w:t>
      </w:r>
      <w:r w:rsidR="003C38EF">
        <w:rPr>
          <w:rFonts w:ascii="Palatino Linotype" w:hAnsi="Palatino Linotype"/>
        </w:rPr>
        <w:t>r</w:t>
      </w:r>
      <w:r w:rsidR="001469DC" w:rsidRPr="001469DC">
        <w:rPr>
          <w:rFonts w:ascii="Palatino Linotype" w:hAnsi="Palatino Linotype"/>
        </w:rPr>
        <w:t>eel GSYH hesaplanırken hep bir önceki yılın fiyatları kullanıl</w:t>
      </w:r>
      <w:r w:rsidR="001469DC">
        <w:rPr>
          <w:rFonts w:ascii="Palatino Linotype" w:hAnsi="Palatino Linotype"/>
        </w:rPr>
        <w:t xml:space="preserve">dığı için hem baz yıl güncellemeleri otomatik hale gelmiş oluyor hem de </w:t>
      </w:r>
      <w:r w:rsidR="003E6DC1">
        <w:rPr>
          <w:rFonts w:ascii="Palatino Linotype" w:hAnsi="Palatino Linotype"/>
        </w:rPr>
        <w:t xml:space="preserve">bu </w:t>
      </w:r>
      <w:r w:rsidR="001469DC" w:rsidRPr="005D2515">
        <w:rPr>
          <w:rFonts w:ascii="Palatino Linotype" w:hAnsi="Palatino Linotype"/>
        </w:rPr>
        <w:t>güncellemeler</w:t>
      </w:r>
      <w:r w:rsidR="003E6DC1">
        <w:rPr>
          <w:rFonts w:ascii="Palatino Linotype" w:hAnsi="Palatino Linotype"/>
        </w:rPr>
        <w:t>le</w:t>
      </w:r>
      <w:r w:rsidR="001469DC" w:rsidRPr="005D2515">
        <w:rPr>
          <w:rFonts w:ascii="Palatino Linotype" w:hAnsi="Palatino Linotype"/>
        </w:rPr>
        <w:t xml:space="preserve"> geçmiş yılların büyüme oranları</w:t>
      </w:r>
      <w:r w:rsidR="003E6DC1">
        <w:rPr>
          <w:rFonts w:ascii="Palatino Linotype" w:hAnsi="Palatino Linotype"/>
        </w:rPr>
        <w:t xml:space="preserve"> değişmiyor. Eski serilerin türetildiği sabit fiyat yaklaşımında </w:t>
      </w:r>
      <w:r w:rsidR="001B3FD2" w:rsidRPr="004B2C4C">
        <w:rPr>
          <w:rFonts w:ascii="Palatino Linotype" w:hAnsi="Palatino Linotype"/>
        </w:rPr>
        <w:t xml:space="preserve">baz yılı fiyat güncellemeleri </w:t>
      </w:r>
      <w:r w:rsidR="003E6DC1" w:rsidRPr="004B2C4C">
        <w:rPr>
          <w:rFonts w:ascii="Palatino Linotype" w:hAnsi="Palatino Linotype"/>
        </w:rPr>
        <w:t xml:space="preserve">çok geç </w:t>
      </w:r>
      <w:r w:rsidR="003C38EF" w:rsidRPr="004B2C4C">
        <w:rPr>
          <w:rFonts w:ascii="Palatino Linotype" w:hAnsi="Palatino Linotype"/>
        </w:rPr>
        <w:t>yapılırken</w:t>
      </w:r>
      <w:r w:rsidR="003C38EF">
        <w:rPr>
          <w:rFonts w:ascii="Palatino Linotype" w:hAnsi="Palatino Linotype"/>
        </w:rPr>
        <w:t xml:space="preserve"> </w:t>
      </w:r>
      <w:r w:rsidR="003E6DC1">
        <w:rPr>
          <w:rFonts w:ascii="Palatino Linotype" w:hAnsi="Palatino Linotype"/>
        </w:rPr>
        <w:t xml:space="preserve">geçmiş büyüme oranlarını </w:t>
      </w:r>
      <w:r w:rsidR="004B2C4C">
        <w:rPr>
          <w:rFonts w:ascii="Palatino Linotype" w:hAnsi="Palatino Linotype"/>
        </w:rPr>
        <w:t xml:space="preserve">da </w:t>
      </w:r>
      <w:r w:rsidR="003E6DC1">
        <w:rPr>
          <w:rFonts w:ascii="Palatino Linotype" w:hAnsi="Palatino Linotype"/>
        </w:rPr>
        <w:t xml:space="preserve">değiştirmekteydi. </w:t>
      </w:r>
    </w:p>
    <w:p w:rsidR="00714AB7" w:rsidRPr="005D2515" w:rsidRDefault="003E6DC1" w:rsidP="00714AB7">
      <w:pPr>
        <w:spacing w:line="360" w:lineRule="auto"/>
        <w:ind w:firstLine="340"/>
        <w:jc w:val="both"/>
        <w:rPr>
          <w:rFonts w:ascii="Palatino Linotype" w:hAnsi="Palatino Linotype"/>
        </w:rPr>
      </w:pPr>
      <w:r>
        <w:rPr>
          <w:rFonts w:ascii="Palatino Linotype" w:hAnsi="Palatino Linotype"/>
        </w:rPr>
        <w:t xml:space="preserve">Buna karşın zincirleme </w:t>
      </w:r>
      <w:r w:rsidR="002B1BE6">
        <w:rPr>
          <w:rFonts w:ascii="Palatino Linotype" w:hAnsi="Palatino Linotype"/>
        </w:rPr>
        <w:t xml:space="preserve">endeks yönteminin önemli bir dezavantajı bulunuyor. </w:t>
      </w:r>
      <w:r w:rsidR="00073308">
        <w:rPr>
          <w:rFonts w:ascii="Palatino Linotype" w:hAnsi="Palatino Linotype"/>
        </w:rPr>
        <w:t>Z</w:t>
      </w:r>
      <w:r w:rsidR="00074311">
        <w:rPr>
          <w:rFonts w:ascii="Palatino Linotype" w:hAnsi="Palatino Linotype"/>
        </w:rPr>
        <w:t>incirleme yöntem</w:t>
      </w:r>
      <w:r w:rsidR="00073308">
        <w:rPr>
          <w:rFonts w:ascii="Palatino Linotype" w:hAnsi="Palatino Linotype"/>
        </w:rPr>
        <w:t xml:space="preserve">le elde edilen reel serilerde ana kalem (mesela GSYH) ile alt kalemler </w:t>
      </w:r>
      <w:r w:rsidR="00073308">
        <w:rPr>
          <w:rFonts w:ascii="Palatino Linotype" w:hAnsi="Palatino Linotype"/>
        </w:rPr>
        <w:lastRenderedPageBreak/>
        <w:t>(mesela tüketim, yatırım ve net ihracat) arasında</w:t>
      </w:r>
      <w:r w:rsidR="00073308" w:rsidRPr="00073308">
        <w:rPr>
          <w:rFonts w:ascii="Palatino Linotype" w:hAnsi="Palatino Linotype"/>
        </w:rPr>
        <w:t xml:space="preserve"> toplamsal olmama sorunu </w:t>
      </w:r>
      <w:r w:rsidR="00073308">
        <w:rPr>
          <w:rFonts w:ascii="Palatino Linotype" w:hAnsi="Palatino Linotype"/>
        </w:rPr>
        <w:t>(</w:t>
      </w:r>
      <w:proofErr w:type="spellStart"/>
      <w:r w:rsidR="00073308" w:rsidRPr="00073308">
        <w:rPr>
          <w:rFonts w:ascii="Palatino Linotype" w:hAnsi="Palatino Linotype"/>
          <w:i/>
        </w:rPr>
        <w:t>non-additivity</w:t>
      </w:r>
      <w:proofErr w:type="spellEnd"/>
      <w:r w:rsidR="00073308" w:rsidRPr="00073308">
        <w:rPr>
          <w:rFonts w:ascii="Palatino Linotype" w:hAnsi="Palatino Linotype"/>
          <w:i/>
        </w:rPr>
        <w:t xml:space="preserve"> problem</w:t>
      </w:r>
      <w:r w:rsidR="00073308">
        <w:rPr>
          <w:rFonts w:ascii="Palatino Linotype" w:hAnsi="Palatino Linotype"/>
        </w:rPr>
        <w:t xml:space="preserve">) </w:t>
      </w:r>
      <w:r w:rsidR="00073308" w:rsidRPr="00073308">
        <w:rPr>
          <w:rFonts w:ascii="Palatino Linotype" w:hAnsi="Palatino Linotype"/>
        </w:rPr>
        <w:t>ortaya çıkmaktadır</w:t>
      </w:r>
      <w:r w:rsidR="00073308">
        <w:rPr>
          <w:rFonts w:ascii="Palatino Linotype" w:hAnsi="Palatino Linotype"/>
        </w:rPr>
        <w:t xml:space="preserve">. </w:t>
      </w:r>
      <w:r w:rsidR="00601895">
        <w:rPr>
          <w:rFonts w:ascii="Palatino Linotype" w:hAnsi="Palatino Linotype"/>
        </w:rPr>
        <w:t xml:space="preserve">Bunun temel sebebi her bir alt serinin kullandığı fiyat serilerinin yıldan yıla farklılık göstermesidir. </w:t>
      </w:r>
      <w:proofErr w:type="spellStart"/>
      <w:r w:rsidR="00601895">
        <w:rPr>
          <w:rFonts w:ascii="Palatino Linotype" w:hAnsi="Palatino Linotype"/>
        </w:rPr>
        <w:t>Toplamsallık</w:t>
      </w:r>
      <w:proofErr w:type="spellEnd"/>
      <w:r w:rsidR="00601895">
        <w:rPr>
          <w:rFonts w:ascii="Palatino Linotype" w:hAnsi="Palatino Linotype"/>
        </w:rPr>
        <w:t xml:space="preserve"> sorunundan dolayı büyüme rakamlarının değerlendirilmesi ve konjonktür analizinde sıkça kullanılan “büyümeye katkı” hesaplarının eski yöntemlerle yapılamamasına (veya yanlış yapılmasına) sebebiyet vermektedir. </w:t>
      </w:r>
      <w:r w:rsidR="00D60BE4">
        <w:rPr>
          <w:rFonts w:ascii="Palatino Linotype" w:hAnsi="Palatino Linotype"/>
        </w:rPr>
        <w:t>Elinizdeki b</w:t>
      </w:r>
      <w:r w:rsidR="00714AB7" w:rsidRPr="005D2515">
        <w:rPr>
          <w:rFonts w:ascii="Palatino Linotype" w:hAnsi="Palatino Linotype"/>
        </w:rPr>
        <w:t xml:space="preserve">u </w:t>
      </w:r>
      <w:r w:rsidR="00D60BE4">
        <w:rPr>
          <w:rFonts w:ascii="Palatino Linotype" w:hAnsi="Palatino Linotype"/>
        </w:rPr>
        <w:t xml:space="preserve">araştırma </w:t>
      </w:r>
      <w:r w:rsidR="00714AB7" w:rsidRPr="005D2515">
        <w:rPr>
          <w:rFonts w:ascii="Palatino Linotype" w:hAnsi="Palatino Linotype"/>
        </w:rPr>
        <w:t>not</w:t>
      </w:r>
      <w:r w:rsidR="00D60BE4">
        <w:rPr>
          <w:rFonts w:ascii="Palatino Linotype" w:hAnsi="Palatino Linotype"/>
        </w:rPr>
        <w:t>unda yeni seriler ile nasıl büyümeye katkı hesaplanacağını göstermeye çalışacağız.</w:t>
      </w:r>
    </w:p>
    <w:p w:rsidR="00714AB7" w:rsidRPr="005D2515" w:rsidRDefault="001E4A24" w:rsidP="00714AB7">
      <w:pPr>
        <w:pStyle w:val="Heading2"/>
        <w:spacing w:line="360" w:lineRule="auto"/>
        <w:ind w:firstLine="340"/>
        <w:rPr>
          <w:rFonts w:ascii="Palatino Linotype" w:hAnsi="Palatino Linotype"/>
          <w:lang w:val="tr-TR"/>
        </w:rPr>
      </w:pPr>
      <w:proofErr w:type="spellStart"/>
      <w:r>
        <w:rPr>
          <w:rFonts w:ascii="Palatino Linotype" w:hAnsi="Palatino Linotype"/>
          <w:lang w:val="tr-TR"/>
        </w:rPr>
        <w:t>Toplamsallık</w:t>
      </w:r>
      <w:proofErr w:type="spellEnd"/>
      <w:r>
        <w:rPr>
          <w:rFonts w:ascii="Palatino Linotype" w:hAnsi="Palatino Linotype"/>
          <w:lang w:val="tr-TR"/>
        </w:rPr>
        <w:t xml:space="preserve"> </w:t>
      </w:r>
      <w:r w:rsidR="0085773D">
        <w:rPr>
          <w:rFonts w:ascii="Palatino Linotype" w:hAnsi="Palatino Linotype"/>
          <w:lang w:val="tr-TR"/>
        </w:rPr>
        <w:t>s</w:t>
      </w:r>
      <w:r>
        <w:rPr>
          <w:rFonts w:ascii="Palatino Linotype" w:hAnsi="Palatino Linotype"/>
          <w:lang w:val="tr-TR"/>
        </w:rPr>
        <w:t>orunu</w:t>
      </w:r>
    </w:p>
    <w:p w:rsidR="001E4A24" w:rsidRDefault="001E4A24" w:rsidP="00714AB7">
      <w:pPr>
        <w:spacing w:line="360" w:lineRule="auto"/>
        <w:ind w:firstLine="340"/>
        <w:jc w:val="both"/>
        <w:rPr>
          <w:rFonts w:ascii="Palatino Linotype" w:hAnsi="Palatino Linotype"/>
        </w:rPr>
      </w:pPr>
      <w:r>
        <w:rPr>
          <w:rFonts w:ascii="Palatino Linotype" w:hAnsi="Palatino Linotype"/>
        </w:rPr>
        <w:t xml:space="preserve">Sabit fiyatlı yaklaşımda hem cari serilerde hem de reel serilerde ana kalemler alt kalemlerin toplamıdır. Ders kitaplarına da giren </w:t>
      </w:r>
      <w:r w:rsidR="00074311">
        <w:rPr>
          <w:rFonts w:ascii="Palatino Linotype" w:hAnsi="Palatino Linotype"/>
        </w:rPr>
        <w:t xml:space="preserve">harcama yöntemi ile </w:t>
      </w:r>
      <w:r>
        <w:rPr>
          <w:rFonts w:ascii="Palatino Linotype" w:hAnsi="Palatino Linotype"/>
        </w:rPr>
        <w:t>milli gelir özdeşliği her iki seride de sağlanmaktadır</w:t>
      </w:r>
    </w:p>
    <w:p w:rsidR="001E4A24" w:rsidRPr="001E4A24" w:rsidRDefault="001E4A24" w:rsidP="00714AB7">
      <w:pPr>
        <w:spacing w:line="360" w:lineRule="auto"/>
        <w:ind w:firstLine="340"/>
        <w:jc w:val="both"/>
        <w:rPr>
          <w:rFonts w:ascii="Palatino Linotype" w:hAnsi="Palatino Linotype"/>
        </w:rPr>
      </w:pPr>
      <m:oMathPara>
        <m:oMath>
          <m:r>
            <w:rPr>
              <w:rFonts w:ascii="Cambria Math" w:hAnsi="Cambria Math"/>
            </w:rPr>
            <m:t>Y=C+I+G+X-M+dS</m:t>
          </m:r>
        </m:oMath>
      </m:oMathPara>
    </w:p>
    <w:p w:rsidR="00467873" w:rsidRDefault="001E4A24" w:rsidP="00467873">
      <w:pPr>
        <w:spacing w:line="360" w:lineRule="auto"/>
        <w:ind w:firstLine="340"/>
        <w:jc w:val="both"/>
        <w:rPr>
          <w:rFonts w:ascii="Palatino Linotype" w:hAnsi="Palatino Linotype"/>
        </w:rPr>
      </w:pPr>
      <w:r>
        <w:rPr>
          <w:rFonts w:ascii="Palatino Linotype" w:hAnsi="Palatino Linotype"/>
        </w:rPr>
        <w:t xml:space="preserve">Bilindiği üzere Y, C, I, G, X, M ve </w:t>
      </w:r>
      <w:proofErr w:type="spellStart"/>
      <w:r>
        <w:rPr>
          <w:rFonts w:ascii="Palatino Linotype" w:hAnsi="Palatino Linotype"/>
        </w:rPr>
        <w:t>dS</w:t>
      </w:r>
      <w:proofErr w:type="spellEnd"/>
      <w:r>
        <w:rPr>
          <w:rFonts w:ascii="Palatino Linotype" w:hAnsi="Palatino Linotype"/>
        </w:rPr>
        <w:t xml:space="preserve"> sırası ile GSYH, yatırım, kamu tüketimi, ihracat, ithalat ve stok değişimini ifade etmektedir. </w:t>
      </w:r>
      <w:proofErr w:type="spellStart"/>
      <w:r w:rsidR="00467873">
        <w:rPr>
          <w:rFonts w:ascii="Palatino Linotype" w:hAnsi="Palatino Linotype"/>
        </w:rPr>
        <w:t>Toplamsallık</w:t>
      </w:r>
      <w:proofErr w:type="spellEnd"/>
      <w:r w:rsidR="00467873">
        <w:rPr>
          <w:rFonts w:ascii="Palatino Linotype" w:hAnsi="Palatino Linotype"/>
        </w:rPr>
        <w:t xml:space="preserve"> sorunu olmadığı için iki dönem arasındaki milli gelir farkı alt kalemlerin farkına eşittir.</w:t>
      </w:r>
      <w:r w:rsidR="008835BF">
        <w:rPr>
          <w:rFonts w:ascii="Palatino Linotype" w:hAnsi="Palatino Linotype"/>
        </w:rPr>
        <w:t xml:space="preserve"> Reel büyüklüklerde, ana serinin alt kalemlerin toplamı olmasının sebebi farklı yılların üretim miktarının hep aynı fiyat vektörü ile çarpılmasıdır. Başka bir deyişle göreli fiyatların (veya ağırlıkların) değişmediğini varsaydığımız için </w:t>
      </w:r>
      <w:proofErr w:type="spellStart"/>
      <w:r w:rsidR="008835BF">
        <w:rPr>
          <w:rFonts w:ascii="Palatino Linotype" w:hAnsi="Palatino Linotype"/>
        </w:rPr>
        <w:t>toplamsallık</w:t>
      </w:r>
      <w:proofErr w:type="spellEnd"/>
      <w:r w:rsidR="008835BF">
        <w:rPr>
          <w:rFonts w:ascii="Palatino Linotype" w:hAnsi="Palatino Linotype"/>
        </w:rPr>
        <w:t xml:space="preserve"> mümkün olmaktadır.</w:t>
      </w:r>
    </w:p>
    <w:p w:rsidR="00467873" w:rsidRPr="00467873" w:rsidRDefault="00467873" w:rsidP="00467873">
      <w:pPr>
        <w:spacing w:line="360" w:lineRule="auto"/>
        <w:ind w:firstLine="340"/>
        <w:jc w:val="both"/>
        <w:rPr>
          <w:rFonts w:ascii="Palatino Linotype" w:hAnsi="Palatino Linotype"/>
        </w:rPr>
      </w:pPr>
      <m:oMathPara>
        <m:oMath>
          <m:r>
            <w:rPr>
              <w:rFonts w:ascii="Cambria Math" w:hAnsi="Cambria Math"/>
            </w:rPr>
            <m:t>∆Y=∆C+∆I+∆G+∆X-∆M+∆dS</m:t>
          </m:r>
        </m:oMath>
      </m:oMathPara>
    </w:p>
    <w:p w:rsidR="00467873" w:rsidRDefault="00467873" w:rsidP="00467873">
      <w:pPr>
        <w:spacing w:line="360" w:lineRule="auto"/>
        <w:ind w:firstLine="340"/>
        <w:jc w:val="both"/>
        <w:rPr>
          <w:rFonts w:ascii="Palatino Linotype" w:hAnsi="Palatino Linotype"/>
        </w:rPr>
      </w:pPr>
      <w:r>
        <w:rPr>
          <w:rFonts w:ascii="Palatino Linotype" w:hAnsi="Palatino Linotype"/>
        </w:rPr>
        <w:t xml:space="preserve">Buradan hareketle herhangi bir alt kalemin GSYH büyümesine katkısı için bu farkı milli gelire oranlamak yeterlidir. Mesela tüketimin GSYH büyümesine yaptığı katkı </w:t>
      </w:r>
      <m:oMath>
        <m:r>
          <w:rPr>
            <w:rFonts w:ascii="Cambria Math" w:hAnsi="Cambria Math"/>
          </w:rPr>
          <m:t>∆C/Y</m:t>
        </m:r>
      </m:oMath>
      <w:r>
        <w:rPr>
          <w:rFonts w:ascii="Palatino Linotype" w:hAnsi="Palatino Linotype"/>
        </w:rPr>
        <w:t xml:space="preserve"> ifadesini hesaplayarak bulunur. </w:t>
      </w:r>
    </w:p>
    <w:p w:rsidR="008835BF" w:rsidRDefault="00467873" w:rsidP="00467873">
      <w:pPr>
        <w:spacing w:line="360" w:lineRule="auto"/>
        <w:ind w:firstLine="340"/>
        <w:jc w:val="both"/>
        <w:rPr>
          <w:rFonts w:ascii="Palatino Linotype" w:hAnsi="Palatino Linotype"/>
        </w:rPr>
      </w:pPr>
      <w:r>
        <w:rPr>
          <w:rFonts w:ascii="Palatino Linotype" w:hAnsi="Palatino Linotype"/>
        </w:rPr>
        <w:t xml:space="preserve">Zincirleme endeks yönteminde reel büyüklükler arasında </w:t>
      </w:r>
      <w:proofErr w:type="spellStart"/>
      <w:r>
        <w:rPr>
          <w:rFonts w:ascii="Palatino Linotype" w:hAnsi="Palatino Linotype"/>
        </w:rPr>
        <w:t>toplamsallık</w:t>
      </w:r>
      <w:proofErr w:type="spellEnd"/>
      <w:r>
        <w:rPr>
          <w:rFonts w:ascii="Palatino Linotype" w:hAnsi="Palatino Linotype"/>
        </w:rPr>
        <w:t xml:space="preserve"> sorunu olduğu için alt kalemlerin büyüme oranına yaptığı katkıyı eski seride olduğu gibi kolayca hesaplamak mümkün değildir. Biraz daha karışık bir formül kullanarak büyüme katkılarını hesaplamak mümkündür. Bunun nasıl olacağını göstermeden </w:t>
      </w:r>
      <w:r w:rsidR="004B2C4C">
        <w:rPr>
          <w:rFonts w:ascii="Palatino Linotype" w:hAnsi="Palatino Linotype"/>
        </w:rPr>
        <w:t>önce</w:t>
      </w:r>
      <w:r w:rsidR="009B6F3A">
        <w:rPr>
          <w:rFonts w:ascii="Palatino Linotype" w:hAnsi="Palatino Linotype"/>
        </w:rPr>
        <w:t xml:space="preserve"> </w:t>
      </w:r>
      <w:r>
        <w:rPr>
          <w:rFonts w:ascii="Palatino Linotype" w:hAnsi="Palatino Linotype"/>
        </w:rPr>
        <w:t>okuyucunun ilk elde merak ettiği işin “</w:t>
      </w:r>
      <w:proofErr w:type="spellStart"/>
      <w:r>
        <w:rPr>
          <w:rFonts w:ascii="Palatino Linotype" w:hAnsi="Palatino Linotype"/>
        </w:rPr>
        <w:t>nasıl”ı</w:t>
      </w:r>
      <w:proofErr w:type="spellEnd"/>
      <w:r>
        <w:rPr>
          <w:rFonts w:ascii="Palatino Linotype" w:hAnsi="Palatino Linotype"/>
        </w:rPr>
        <w:t xml:space="preserve"> değil “</w:t>
      </w:r>
      <w:proofErr w:type="spellStart"/>
      <w:r>
        <w:rPr>
          <w:rFonts w:ascii="Palatino Linotype" w:hAnsi="Palatino Linotype"/>
        </w:rPr>
        <w:t>niye”sidir</w:t>
      </w:r>
      <w:proofErr w:type="spellEnd"/>
      <w:r>
        <w:rPr>
          <w:rFonts w:ascii="Palatino Linotype" w:hAnsi="Palatino Linotype"/>
        </w:rPr>
        <w:t xml:space="preserve">. Neden </w:t>
      </w:r>
      <w:proofErr w:type="spellStart"/>
      <w:r>
        <w:rPr>
          <w:rFonts w:ascii="Palatino Linotype" w:hAnsi="Palatino Linotype"/>
        </w:rPr>
        <w:t>toplamsallık</w:t>
      </w:r>
      <w:proofErr w:type="spellEnd"/>
      <w:r>
        <w:rPr>
          <w:rFonts w:ascii="Palatino Linotype" w:hAnsi="Palatino Linotype"/>
        </w:rPr>
        <w:t xml:space="preserve"> sorunu vardır? </w:t>
      </w:r>
    </w:p>
    <w:p w:rsidR="0085773D" w:rsidRDefault="00A93904" w:rsidP="00467873">
      <w:pPr>
        <w:spacing w:line="360" w:lineRule="auto"/>
        <w:ind w:firstLine="340"/>
        <w:jc w:val="both"/>
        <w:rPr>
          <w:rFonts w:ascii="Palatino Linotype" w:hAnsi="Palatino Linotype"/>
        </w:rPr>
      </w:pPr>
      <w:r>
        <w:rPr>
          <w:rFonts w:ascii="Palatino Linotype" w:hAnsi="Palatino Linotype"/>
        </w:rPr>
        <w:lastRenderedPageBreak/>
        <w:t>Sorunun kaynağına inmek i</w:t>
      </w:r>
      <w:r w:rsidR="00467873">
        <w:rPr>
          <w:rFonts w:ascii="Palatino Linotype" w:hAnsi="Palatino Linotype"/>
        </w:rPr>
        <w:t>çin domates ve bilgisayar gibi iki ürün düşünelim. Örneğimizin gerçekçi olması için bilgisayar üreten sektörlerde teknolojik ilerleme sonucu her yıl yüzde 10 bir verimlilik artışı olduğunu</w:t>
      </w:r>
      <w:r w:rsidR="00A15DA2">
        <w:rPr>
          <w:rFonts w:ascii="Palatino Linotype" w:hAnsi="Palatino Linotype"/>
        </w:rPr>
        <w:t>, d</w:t>
      </w:r>
      <w:r w:rsidR="00467873">
        <w:rPr>
          <w:rFonts w:ascii="Palatino Linotype" w:hAnsi="Palatino Linotype"/>
        </w:rPr>
        <w:t>omates üret</w:t>
      </w:r>
      <w:r w:rsidR="00A15DA2">
        <w:rPr>
          <w:rFonts w:ascii="Palatino Linotype" w:hAnsi="Palatino Linotype"/>
        </w:rPr>
        <w:t>en sektörlerde ise</w:t>
      </w:r>
      <w:r w:rsidR="00467873">
        <w:rPr>
          <w:rFonts w:ascii="Palatino Linotype" w:hAnsi="Palatino Linotype"/>
        </w:rPr>
        <w:t xml:space="preserve"> veriml</w:t>
      </w:r>
      <w:r w:rsidR="00A15DA2">
        <w:rPr>
          <w:rFonts w:ascii="Palatino Linotype" w:hAnsi="Palatino Linotype"/>
        </w:rPr>
        <w:t>ilik artışı olmadığını</w:t>
      </w:r>
      <w:r w:rsidR="00A40CAD">
        <w:rPr>
          <w:rFonts w:ascii="Palatino Linotype" w:hAnsi="Palatino Linotype"/>
        </w:rPr>
        <w:t xml:space="preserve"> ve her yıl aynı miktarda domates üretildiğini</w:t>
      </w:r>
      <w:r w:rsidR="00A15DA2">
        <w:rPr>
          <w:rFonts w:ascii="Palatino Linotype" w:hAnsi="Palatino Linotype"/>
        </w:rPr>
        <w:t xml:space="preserve"> varsayalım. Sadece bu ürünü tüketen </w:t>
      </w:r>
      <w:proofErr w:type="spellStart"/>
      <w:r w:rsidR="00A15DA2">
        <w:rPr>
          <w:rFonts w:ascii="Palatino Linotype" w:hAnsi="Palatino Linotype"/>
        </w:rPr>
        <w:t>hanehalklarının</w:t>
      </w:r>
      <w:proofErr w:type="spellEnd"/>
      <w:r w:rsidR="00A15DA2">
        <w:rPr>
          <w:rFonts w:ascii="Palatino Linotype" w:hAnsi="Palatino Linotype"/>
        </w:rPr>
        <w:t xml:space="preserve"> her yıl </w:t>
      </w:r>
      <w:r w:rsidR="00A40CAD">
        <w:rPr>
          <w:rFonts w:ascii="Palatino Linotype" w:hAnsi="Palatino Linotype"/>
        </w:rPr>
        <w:t xml:space="preserve">cari </w:t>
      </w:r>
      <w:r w:rsidR="00A15DA2">
        <w:rPr>
          <w:rFonts w:ascii="Palatino Linotype" w:hAnsi="Palatino Linotype"/>
        </w:rPr>
        <w:t xml:space="preserve">bütçelerinin yarısını bilgisayar yarısını domates harcamalarına ayırdıklarını varsayalım. </w:t>
      </w:r>
      <w:r w:rsidR="00844348">
        <w:rPr>
          <w:rFonts w:ascii="Palatino Linotype" w:hAnsi="Palatino Linotype"/>
        </w:rPr>
        <w:t xml:space="preserve">Tabii, böyle bir durum, ancak </w:t>
      </w:r>
      <w:r w:rsidR="00A40CAD">
        <w:rPr>
          <w:rFonts w:ascii="Palatino Linotype" w:hAnsi="Palatino Linotype"/>
        </w:rPr>
        <w:t>bilgisayar/domates fiyat oranının düzenli olarak azalması ile mümkün</w:t>
      </w:r>
      <w:r w:rsidR="00844348">
        <w:rPr>
          <w:rFonts w:ascii="Palatino Linotype" w:hAnsi="Palatino Linotype"/>
        </w:rPr>
        <w:t>dür</w:t>
      </w:r>
      <w:r w:rsidR="00A40CAD">
        <w:rPr>
          <w:rFonts w:ascii="Palatino Linotype" w:hAnsi="Palatino Linotype"/>
        </w:rPr>
        <w:t xml:space="preserve">. </w:t>
      </w:r>
      <w:r w:rsidR="00844348">
        <w:rPr>
          <w:rFonts w:ascii="Palatino Linotype" w:hAnsi="Palatino Linotype"/>
        </w:rPr>
        <w:t>Böyle bir</w:t>
      </w:r>
      <w:r w:rsidR="00A40CAD">
        <w:rPr>
          <w:rFonts w:ascii="Palatino Linotype" w:hAnsi="Palatino Linotype"/>
        </w:rPr>
        <w:t xml:space="preserve"> ekonomide sabit fiyatlarla milli gelir hesaplıyor olsak uzun vadede büyüme oranı büyüyen sektör olan bilgisayar sektörünün büyüme oranına eşitlenirdi. </w:t>
      </w:r>
      <w:r w:rsidR="00345CAB">
        <w:rPr>
          <w:rFonts w:ascii="Palatino Linotype" w:hAnsi="Palatino Linotype"/>
        </w:rPr>
        <w:t>Oysa unutmayalım, tüketiciler bütçelerinin her yıl sadece yarısını bilgisayar tüketimine ayırmaktalar. Zincirleme yöntemde her yıl bir önceki yılın fiyatları kullanıldığından</w:t>
      </w:r>
      <w:r w:rsidR="008835BF">
        <w:rPr>
          <w:rFonts w:ascii="Palatino Linotype" w:hAnsi="Palatino Linotype"/>
        </w:rPr>
        <w:t xml:space="preserve"> </w:t>
      </w:r>
      <w:r w:rsidR="00AA63AC">
        <w:rPr>
          <w:rFonts w:ascii="Palatino Linotype" w:hAnsi="Palatino Linotype"/>
        </w:rPr>
        <w:t>bilgisayar üretimi her yıl daha düşük bir ağırlığa sahip olacaktır.</w:t>
      </w:r>
      <w:r w:rsidR="0085773D">
        <w:rPr>
          <w:rFonts w:ascii="Palatino Linotype" w:hAnsi="Palatino Linotype"/>
        </w:rPr>
        <w:t xml:space="preserve"> </w:t>
      </w:r>
      <w:r w:rsidR="004B2C4C">
        <w:rPr>
          <w:rFonts w:ascii="Palatino Linotype" w:hAnsi="Palatino Linotype"/>
        </w:rPr>
        <w:t xml:space="preserve">Ne var ki </w:t>
      </w:r>
      <w:r w:rsidR="0085773D">
        <w:rPr>
          <w:rFonts w:ascii="Palatino Linotype" w:hAnsi="Palatino Linotype"/>
        </w:rPr>
        <w:t>reel seriler oluşturulurken</w:t>
      </w:r>
      <w:r w:rsidR="00AA63AC">
        <w:rPr>
          <w:rFonts w:ascii="Palatino Linotype" w:hAnsi="Palatino Linotype"/>
        </w:rPr>
        <w:t xml:space="preserve"> </w:t>
      </w:r>
      <w:r w:rsidR="0085773D">
        <w:rPr>
          <w:rFonts w:ascii="Palatino Linotype" w:hAnsi="Palatino Linotype"/>
        </w:rPr>
        <w:t xml:space="preserve">her yıl göreli fiyatlar değiştiği için </w:t>
      </w:r>
      <w:proofErr w:type="spellStart"/>
      <w:r w:rsidR="0085773D">
        <w:rPr>
          <w:rFonts w:ascii="Palatino Linotype" w:hAnsi="Palatino Linotype"/>
        </w:rPr>
        <w:t>toplamsallık</w:t>
      </w:r>
      <w:proofErr w:type="spellEnd"/>
      <w:r w:rsidR="0085773D">
        <w:rPr>
          <w:rFonts w:ascii="Palatino Linotype" w:hAnsi="Palatino Linotype"/>
        </w:rPr>
        <w:t xml:space="preserve"> sorunu ortaya çıkmaktadır. </w:t>
      </w:r>
    </w:p>
    <w:p w:rsidR="00A15DA2" w:rsidRDefault="00AA63AC" w:rsidP="00467873">
      <w:pPr>
        <w:spacing w:line="360" w:lineRule="auto"/>
        <w:ind w:firstLine="340"/>
        <w:jc w:val="both"/>
        <w:rPr>
          <w:rFonts w:ascii="Palatino Linotype" w:hAnsi="Palatino Linotype"/>
        </w:rPr>
      </w:pPr>
      <w:r>
        <w:rPr>
          <w:rFonts w:ascii="Palatino Linotype" w:hAnsi="Palatino Linotype"/>
        </w:rPr>
        <w:t xml:space="preserve">Matematiksel detayları bir kenara bırakarak, bu ekonomide reel GSYH </w:t>
      </w:r>
      <w:r w:rsidR="003C38EF">
        <w:rPr>
          <w:rFonts w:ascii="Palatino Linotype" w:hAnsi="Palatino Linotype"/>
        </w:rPr>
        <w:t>büyümesinin</w:t>
      </w:r>
      <w:r>
        <w:rPr>
          <w:rFonts w:ascii="Palatino Linotype" w:hAnsi="Palatino Linotype"/>
        </w:rPr>
        <w:t xml:space="preserve"> yüzde 5 olacağını belirtelim. Bu oranı elde ederken</w:t>
      </w:r>
      <w:r w:rsidR="00577959">
        <w:rPr>
          <w:rFonts w:ascii="Palatino Linotype" w:hAnsi="Palatino Linotype"/>
        </w:rPr>
        <w:t>, aslında,</w:t>
      </w:r>
      <w:r>
        <w:rPr>
          <w:rFonts w:ascii="Palatino Linotype" w:hAnsi="Palatino Linotype"/>
        </w:rPr>
        <w:t xml:space="preserve"> her bir sektörün büyüme oranını tüketim </w:t>
      </w:r>
      <w:r w:rsidR="00387373">
        <w:rPr>
          <w:rFonts w:ascii="Palatino Linotype" w:hAnsi="Palatino Linotype"/>
        </w:rPr>
        <w:t xml:space="preserve">sepeti içindeki payı ile çarparak elde </w:t>
      </w:r>
      <w:r w:rsidR="00577959">
        <w:rPr>
          <w:rFonts w:ascii="Palatino Linotype" w:hAnsi="Palatino Linotype"/>
        </w:rPr>
        <w:t>ettiğimizi düşünebilirsiniz</w:t>
      </w:r>
      <w:r w:rsidR="00D44626">
        <w:rPr>
          <w:rFonts w:ascii="Palatino Linotype" w:hAnsi="Palatino Linotype"/>
        </w:rPr>
        <w:t xml:space="preserve"> (bkz. </w:t>
      </w:r>
      <w:proofErr w:type="spellStart"/>
      <w:r w:rsidR="00D44626">
        <w:rPr>
          <w:rFonts w:ascii="Palatino Linotype" w:hAnsi="Palatino Linotype"/>
        </w:rPr>
        <w:t>Jones</w:t>
      </w:r>
      <w:proofErr w:type="spellEnd"/>
      <w:r w:rsidR="00D44626">
        <w:rPr>
          <w:rFonts w:ascii="Palatino Linotype" w:hAnsi="Palatino Linotype"/>
        </w:rPr>
        <w:t>, 2012)</w:t>
      </w:r>
      <w:r w:rsidR="00387373">
        <w:rPr>
          <w:rFonts w:ascii="Palatino Linotype" w:hAnsi="Palatino Linotype"/>
        </w:rPr>
        <w:t xml:space="preserve">. </w:t>
      </w:r>
      <w:r w:rsidR="00844348">
        <w:rPr>
          <w:rFonts w:ascii="Palatino Linotype" w:hAnsi="Palatino Linotype"/>
        </w:rPr>
        <w:t>Bu</w:t>
      </w:r>
      <w:r w:rsidR="00A93904">
        <w:rPr>
          <w:rFonts w:ascii="Palatino Linotype" w:hAnsi="Palatino Linotype"/>
        </w:rPr>
        <w:t xml:space="preserve"> basit örnekte de gördüğümüz </w:t>
      </w:r>
      <w:r w:rsidR="00577959">
        <w:rPr>
          <w:rFonts w:ascii="Palatino Linotype" w:hAnsi="Palatino Linotype"/>
        </w:rPr>
        <w:t xml:space="preserve">gibi farklı </w:t>
      </w:r>
      <w:r w:rsidR="00844348">
        <w:rPr>
          <w:rFonts w:ascii="Palatino Linotype" w:hAnsi="Palatino Linotype"/>
        </w:rPr>
        <w:t xml:space="preserve">sektörlerin büyüme oranları farklılaştığı zaman </w:t>
      </w:r>
      <w:r w:rsidR="009D3AC7" w:rsidRPr="004B2C4C">
        <w:rPr>
          <w:rFonts w:ascii="Palatino Linotype" w:hAnsi="Palatino Linotype"/>
        </w:rPr>
        <w:t xml:space="preserve">reel serilerde </w:t>
      </w:r>
      <w:r w:rsidR="00844348" w:rsidRPr="004B2C4C">
        <w:rPr>
          <w:rFonts w:ascii="Palatino Linotype" w:hAnsi="Palatino Linotype"/>
        </w:rPr>
        <w:t>ana</w:t>
      </w:r>
      <w:r w:rsidR="00844348">
        <w:rPr>
          <w:rFonts w:ascii="Palatino Linotype" w:hAnsi="Palatino Linotype"/>
        </w:rPr>
        <w:t xml:space="preserve"> seri ile alt seriler arasında</w:t>
      </w:r>
      <w:r w:rsidR="00577959">
        <w:rPr>
          <w:rFonts w:ascii="Palatino Linotype" w:hAnsi="Palatino Linotype"/>
        </w:rPr>
        <w:t>,</w:t>
      </w:r>
      <w:r w:rsidR="008835BF">
        <w:rPr>
          <w:rFonts w:ascii="Palatino Linotype" w:hAnsi="Palatino Linotype"/>
        </w:rPr>
        <w:t xml:space="preserve"> </w:t>
      </w:r>
      <w:proofErr w:type="spellStart"/>
      <w:r w:rsidR="00844348">
        <w:rPr>
          <w:rFonts w:ascii="Palatino Linotype" w:hAnsi="Palatino Linotype"/>
        </w:rPr>
        <w:t>toplamsallık</w:t>
      </w:r>
      <w:proofErr w:type="spellEnd"/>
      <w:r w:rsidR="00844348">
        <w:rPr>
          <w:rFonts w:ascii="Palatino Linotype" w:hAnsi="Palatino Linotype"/>
        </w:rPr>
        <w:t xml:space="preserve"> sorunu ortaya çıkar. Serinin başladığı referans yıl dışındaki yıllarda, tesadüfler hariç, </w:t>
      </w:r>
      <w:proofErr w:type="spellStart"/>
      <w:r w:rsidR="00844348">
        <w:rPr>
          <w:rFonts w:ascii="Palatino Linotype" w:hAnsi="Palatino Linotype"/>
        </w:rPr>
        <w:t>toplamsallık</w:t>
      </w:r>
      <w:proofErr w:type="spellEnd"/>
      <w:r w:rsidR="00844348">
        <w:rPr>
          <w:rFonts w:ascii="Palatino Linotype" w:hAnsi="Palatino Linotype"/>
        </w:rPr>
        <w:t xml:space="preserve"> bulunmaz. </w:t>
      </w:r>
    </w:p>
    <w:p w:rsidR="0085773D" w:rsidRPr="0085773D" w:rsidRDefault="0085773D" w:rsidP="0085773D">
      <w:pPr>
        <w:pStyle w:val="Heading2"/>
        <w:spacing w:line="360" w:lineRule="auto"/>
        <w:ind w:firstLine="340"/>
        <w:rPr>
          <w:rFonts w:ascii="Palatino Linotype" w:hAnsi="Palatino Linotype"/>
          <w:lang w:val="tr-TR"/>
        </w:rPr>
      </w:pPr>
      <w:r>
        <w:rPr>
          <w:rFonts w:ascii="Palatino Linotype" w:hAnsi="Palatino Linotype"/>
          <w:lang w:val="tr-TR"/>
        </w:rPr>
        <w:t>Stok değişimi sorunu</w:t>
      </w:r>
    </w:p>
    <w:p w:rsidR="0085773D" w:rsidRDefault="0085773D" w:rsidP="004B2C4C">
      <w:pPr>
        <w:spacing w:line="360" w:lineRule="auto"/>
        <w:ind w:firstLine="340"/>
        <w:jc w:val="both"/>
        <w:rPr>
          <w:rFonts w:ascii="Palatino Linotype" w:hAnsi="Palatino Linotype"/>
        </w:rPr>
      </w:pPr>
      <w:proofErr w:type="spellStart"/>
      <w:r>
        <w:rPr>
          <w:rFonts w:ascii="Palatino Linotype" w:hAnsi="Palatino Linotype"/>
        </w:rPr>
        <w:t>Toplamsallık</w:t>
      </w:r>
      <w:proofErr w:type="spellEnd"/>
      <w:r>
        <w:rPr>
          <w:rFonts w:ascii="Palatino Linotype" w:hAnsi="Palatino Linotype"/>
        </w:rPr>
        <w:t xml:space="preserve"> sorununu anladıktan sonra i</w:t>
      </w:r>
      <w:r w:rsidR="00E73F35">
        <w:rPr>
          <w:rFonts w:ascii="Palatino Linotype" w:hAnsi="Palatino Linotype"/>
        </w:rPr>
        <w:t xml:space="preserve">lk akla gelen bu sorunun </w:t>
      </w:r>
      <w:r>
        <w:rPr>
          <w:rFonts w:ascii="Palatino Linotype" w:hAnsi="Palatino Linotype"/>
        </w:rPr>
        <w:t xml:space="preserve">pratikte </w:t>
      </w:r>
      <w:r w:rsidR="00E73F35">
        <w:rPr>
          <w:rFonts w:ascii="Palatino Linotype" w:hAnsi="Palatino Linotype"/>
        </w:rPr>
        <w:t xml:space="preserve">ne kadar büyük olduğunu </w:t>
      </w:r>
      <w:r>
        <w:rPr>
          <w:rFonts w:ascii="Palatino Linotype" w:hAnsi="Palatino Linotype"/>
        </w:rPr>
        <w:t>saptamak</w:t>
      </w:r>
      <w:r w:rsidR="009D3AC7">
        <w:rPr>
          <w:rFonts w:ascii="Palatino Linotype" w:hAnsi="Palatino Linotype"/>
        </w:rPr>
        <w:t xml:space="preserve"> </w:t>
      </w:r>
      <w:r w:rsidR="009D3AC7" w:rsidRPr="004B2C4C">
        <w:rPr>
          <w:rFonts w:ascii="Palatino Linotype" w:hAnsi="Palatino Linotype"/>
        </w:rPr>
        <w:t>gerekir</w:t>
      </w:r>
      <w:r w:rsidRPr="004B2C4C">
        <w:rPr>
          <w:rFonts w:ascii="Palatino Linotype" w:hAnsi="Palatino Linotype"/>
        </w:rPr>
        <w:t>.</w:t>
      </w:r>
      <w:r>
        <w:rPr>
          <w:rFonts w:ascii="Palatino Linotype" w:hAnsi="Palatino Linotype"/>
        </w:rPr>
        <w:t xml:space="preserve"> Bunun için </w:t>
      </w:r>
      <w:r w:rsidR="00E73F35">
        <w:rPr>
          <w:rFonts w:ascii="Palatino Linotype" w:hAnsi="Palatino Linotype"/>
        </w:rPr>
        <w:t xml:space="preserve">zincirlenmiş fiyatlarla hesaplanan </w:t>
      </w:r>
      <w:r w:rsidR="00074311">
        <w:rPr>
          <w:rFonts w:ascii="Palatino Linotype" w:hAnsi="Palatino Linotype"/>
        </w:rPr>
        <w:t>alt seriler</w:t>
      </w:r>
      <w:r>
        <w:rPr>
          <w:rFonts w:ascii="Palatino Linotype" w:hAnsi="Palatino Linotype"/>
        </w:rPr>
        <w:t xml:space="preserve"> toplamını</w:t>
      </w:r>
      <w:r w:rsidR="00074311">
        <w:rPr>
          <w:rFonts w:ascii="Palatino Linotype" w:hAnsi="Palatino Linotype"/>
        </w:rPr>
        <w:t>n ana seri</w:t>
      </w:r>
      <w:r>
        <w:rPr>
          <w:rFonts w:ascii="Palatino Linotype" w:hAnsi="Palatino Linotype"/>
        </w:rPr>
        <w:t>den ne kadar farklılaştığını</w:t>
      </w:r>
      <w:r w:rsidR="004B2C4C">
        <w:rPr>
          <w:rFonts w:ascii="Palatino Linotype" w:hAnsi="Palatino Linotype"/>
        </w:rPr>
        <w:t xml:space="preserve"> hesaplayabiliriz.</w:t>
      </w:r>
      <w:r w:rsidR="00074311">
        <w:rPr>
          <w:rFonts w:ascii="Palatino Linotype" w:hAnsi="Palatino Linotype"/>
        </w:rPr>
        <w:t xml:space="preserve"> Eğer harcama yöntemi ile hesaplanmış GSYH serilerini </w:t>
      </w:r>
      <w:r w:rsidR="00074311" w:rsidRPr="00541B24">
        <w:rPr>
          <w:rFonts w:ascii="Palatino Linotype" w:hAnsi="Palatino Linotype"/>
        </w:rPr>
        <w:t xml:space="preserve">kullanmak istersek </w:t>
      </w:r>
      <w:proofErr w:type="spellStart"/>
      <w:r w:rsidR="00074311" w:rsidRPr="00541B24">
        <w:rPr>
          <w:rFonts w:ascii="Palatino Linotype" w:hAnsi="Palatino Linotype"/>
        </w:rPr>
        <w:t>toplamsallık</w:t>
      </w:r>
      <w:proofErr w:type="spellEnd"/>
      <w:r w:rsidR="00074311" w:rsidRPr="00541B24">
        <w:rPr>
          <w:rFonts w:ascii="Palatino Linotype" w:hAnsi="Palatino Linotype"/>
        </w:rPr>
        <w:t xml:space="preserve"> sorununa yeni bir sorunun eklendiğini görürüz</w:t>
      </w:r>
      <w:r w:rsidRPr="00541B24">
        <w:rPr>
          <w:rFonts w:ascii="Palatino Linotype" w:hAnsi="Palatino Linotype"/>
        </w:rPr>
        <w:t>: stok değişimi sorunu</w:t>
      </w:r>
      <w:r w:rsidR="00074311" w:rsidRPr="00541B24">
        <w:rPr>
          <w:rFonts w:ascii="Palatino Linotype" w:hAnsi="Palatino Linotype"/>
        </w:rPr>
        <w:t xml:space="preserve">. </w:t>
      </w:r>
      <w:r w:rsidR="009D3AC7" w:rsidRPr="00541B24">
        <w:rPr>
          <w:rFonts w:ascii="Palatino Linotype" w:hAnsi="Palatino Linotype"/>
        </w:rPr>
        <w:t xml:space="preserve">Yaratılan katma değerlerin toplamı olarak tanımlanan üretim yönünden GSYH esas ölçümdür. Farklı verilerle </w:t>
      </w:r>
      <w:r w:rsidR="009D3AC7" w:rsidRPr="00541B24">
        <w:rPr>
          <w:rFonts w:ascii="Palatino Linotype" w:hAnsi="Palatino Linotype"/>
        </w:rPr>
        <w:lastRenderedPageBreak/>
        <w:t>tahmin edilen harcama kalemlerinin toplamı istatistiki hata dışard</w:t>
      </w:r>
      <w:r w:rsidR="003C38EF">
        <w:rPr>
          <w:rFonts w:ascii="Palatino Linotype" w:hAnsi="Palatino Linotype"/>
        </w:rPr>
        <w:t>a bırakıldığında da katma değerleri</w:t>
      </w:r>
      <w:r w:rsidR="009D3AC7" w:rsidRPr="00541B24">
        <w:rPr>
          <w:rFonts w:ascii="Palatino Linotype" w:hAnsi="Palatino Linotype"/>
        </w:rPr>
        <w:t>n toplamına eşit değildir çünkü kimi zaman üretimin bir kısmı stoklara eklenir (satın al</w:t>
      </w:r>
      <w:r w:rsidR="004B2C4C" w:rsidRPr="00541B24">
        <w:rPr>
          <w:rFonts w:ascii="Palatino Linotype" w:hAnsi="Palatino Linotype"/>
        </w:rPr>
        <w:t>ın</w:t>
      </w:r>
      <w:r w:rsidR="009D3AC7" w:rsidRPr="00541B24">
        <w:rPr>
          <w:rFonts w:ascii="Palatino Linotype" w:hAnsi="Palatino Linotype"/>
        </w:rPr>
        <w:t xml:space="preserve">maz) kimi zaman da stoktan satış yapılır. İlk durumda stok değişimi pozitif ikinci durum </w:t>
      </w:r>
      <w:r w:rsidR="003C38EF" w:rsidRPr="00541B24">
        <w:rPr>
          <w:rFonts w:ascii="Palatino Linotype" w:hAnsi="Palatino Linotype"/>
        </w:rPr>
        <w:t>negatiftir</w:t>
      </w:r>
      <w:r w:rsidR="009D3AC7" w:rsidRPr="00541B24">
        <w:rPr>
          <w:rFonts w:ascii="Palatino Linotype" w:hAnsi="Palatino Linotype"/>
        </w:rPr>
        <w:t xml:space="preserve">. </w:t>
      </w:r>
      <w:r w:rsidR="003B7CA7" w:rsidRPr="00541B24">
        <w:rPr>
          <w:rFonts w:ascii="Palatino Linotype" w:hAnsi="Palatino Linotype"/>
        </w:rPr>
        <w:t>Kısacası</w:t>
      </w:r>
      <w:r w:rsidR="004B2C4C" w:rsidRPr="00541B24">
        <w:rPr>
          <w:rFonts w:ascii="Palatino Linotype" w:hAnsi="Palatino Linotype"/>
        </w:rPr>
        <w:t>,</w:t>
      </w:r>
      <w:r w:rsidR="003B7CA7" w:rsidRPr="00541B24">
        <w:rPr>
          <w:rFonts w:ascii="Palatino Linotype" w:hAnsi="Palatino Linotype"/>
        </w:rPr>
        <w:t xml:space="preserve"> harcama yönünden GSYH üretim yönünden </w:t>
      </w:r>
      <w:proofErr w:type="spellStart"/>
      <w:r w:rsidR="003B7CA7" w:rsidRPr="00541B24">
        <w:rPr>
          <w:rFonts w:ascii="Palatino Linotype" w:hAnsi="Palatino Linotype"/>
        </w:rPr>
        <w:t>GSYH’ya</w:t>
      </w:r>
      <w:proofErr w:type="spellEnd"/>
      <w:r w:rsidR="003B7CA7" w:rsidRPr="00541B24">
        <w:rPr>
          <w:rFonts w:ascii="Palatino Linotype" w:hAnsi="Palatino Linotype"/>
        </w:rPr>
        <w:t xml:space="preserve"> stok değişimi aracılığı ile eşitlenir. </w:t>
      </w:r>
      <w:r w:rsidR="00541B24" w:rsidRPr="00541B24">
        <w:rPr>
          <w:rFonts w:ascii="Palatino Linotype" w:hAnsi="Palatino Linotype"/>
        </w:rPr>
        <w:t>“</w:t>
      </w:r>
      <w:r w:rsidR="004B2C4C" w:rsidRPr="00541B24">
        <w:rPr>
          <w:rFonts w:ascii="Palatino Linotype" w:hAnsi="Palatino Linotype"/>
        </w:rPr>
        <w:t>Stok</w:t>
      </w:r>
      <w:r w:rsidR="00541B24" w:rsidRPr="00541B24">
        <w:rPr>
          <w:rFonts w:ascii="Palatino Linotype" w:hAnsi="Palatino Linotype"/>
        </w:rPr>
        <w:t>taki</w:t>
      </w:r>
      <w:r w:rsidR="004B2C4C" w:rsidRPr="00541B24">
        <w:rPr>
          <w:rFonts w:ascii="Palatino Linotype" w:hAnsi="Palatino Linotype"/>
        </w:rPr>
        <w:t xml:space="preserve"> değişiklikler</w:t>
      </w:r>
      <w:r w:rsidR="00541B24" w:rsidRPr="00541B24">
        <w:rPr>
          <w:rFonts w:ascii="Palatino Linotype" w:hAnsi="Palatino Linotype"/>
        </w:rPr>
        <w:t>” kalemi</w:t>
      </w:r>
      <w:r w:rsidR="004B2C4C" w:rsidRPr="00541B24">
        <w:rPr>
          <w:rFonts w:ascii="Palatino Linotype" w:hAnsi="Palatino Linotype"/>
        </w:rPr>
        <w:t xml:space="preserve"> üretim ve harcama yöntemleriyle hesaplanan GSYH arasındaki fark olduğu için istatistiki hatayı da içermektedir.</w:t>
      </w:r>
      <w:r w:rsidR="003B7CA7" w:rsidRPr="00541B24">
        <w:rPr>
          <w:rFonts w:ascii="Palatino Linotype" w:hAnsi="Palatino Linotype"/>
        </w:rPr>
        <w:t xml:space="preserve"> </w:t>
      </w:r>
      <w:r w:rsidR="00074311" w:rsidRPr="00541B24">
        <w:rPr>
          <w:rFonts w:ascii="Palatino Linotype" w:hAnsi="Palatino Linotype"/>
        </w:rPr>
        <w:t>Zincirleme yöntem</w:t>
      </w:r>
      <w:r w:rsidR="006D68E0" w:rsidRPr="00541B24">
        <w:rPr>
          <w:rFonts w:ascii="Palatino Linotype" w:hAnsi="Palatino Linotype"/>
        </w:rPr>
        <w:t>de, cari değeri</w:t>
      </w:r>
      <w:r w:rsidR="00074311" w:rsidRPr="00541B24">
        <w:rPr>
          <w:rFonts w:ascii="Palatino Linotype" w:hAnsi="Palatino Linotype"/>
        </w:rPr>
        <w:t xml:space="preserve"> bir</w:t>
      </w:r>
      <w:r w:rsidR="00074311">
        <w:rPr>
          <w:rFonts w:ascii="Palatino Linotype" w:hAnsi="Palatino Linotype"/>
        </w:rPr>
        <w:t xml:space="preserve"> yıl pozitif </w:t>
      </w:r>
      <w:r w:rsidR="006D68E0">
        <w:rPr>
          <w:rFonts w:ascii="Palatino Linotype" w:hAnsi="Palatino Linotype"/>
        </w:rPr>
        <w:t>başka bir yıl</w:t>
      </w:r>
      <w:r w:rsidR="00074311">
        <w:rPr>
          <w:rFonts w:ascii="Palatino Linotype" w:hAnsi="Palatino Linotype"/>
        </w:rPr>
        <w:t xml:space="preserve"> negatif </w:t>
      </w:r>
      <w:r w:rsidR="006D68E0">
        <w:rPr>
          <w:rFonts w:ascii="Palatino Linotype" w:hAnsi="Palatino Linotype"/>
        </w:rPr>
        <w:t>çıkan</w:t>
      </w:r>
      <w:r w:rsidR="00074311">
        <w:rPr>
          <w:rFonts w:ascii="Palatino Linotype" w:hAnsi="Palatino Linotype"/>
        </w:rPr>
        <w:t xml:space="preserve"> </w:t>
      </w:r>
      <w:r w:rsidR="00074311" w:rsidRPr="00541B24">
        <w:rPr>
          <w:rFonts w:ascii="Palatino Linotype" w:hAnsi="Palatino Linotype"/>
        </w:rPr>
        <w:t>"stoktaki değişiklikler"</w:t>
      </w:r>
      <w:r w:rsidR="00074311">
        <w:rPr>
          <w:rFonts w:ascii="Palatino Linotype" w:hAnsi="Palatino Linotype"/>
        </w:rPr>
        <w:t xml:space="preserve"> </w:t>
      </w:r>
      <w:r w:rsidR="003B7CA7">
        <w:rPr>
          <w:rFonts w:ascii="Palatino Linotype" w:hAnsi="Palatino Linotype"/>
        </w:rPr>
        <w:t>kalemi</w:t>
      </w:r>
      <w:r w:rsidR="00541B24">
        <w:rPr>
          <w:rFonts w:ascii="Palatino Linotype" w:hAnsi="Palatino Linotype"/>
        </w:rPr>
        <w:t xml:space="preserve"> için </w:t>
      </w:r>
      <w:r w:rsidR="00074311">
        <w:rPr>
          <w:rFonts w:ascii="Palatino Linotype" w:hAnsi="Palatino Linotype"/>
        </w:rPr>
        <w:t>zincirlenmiş endeks türet</w:t>
      </w:r>
      <w:r w:rsidR="00541B24">
        <w:rPr>
          <w:rFonts w:ascii="Palatino Linotype" w:hAnsi="Palatino Linotype"/>
        </w:rPr>
        <w:t>il</w:t>
      </w:r>
      <w:r w:rsidR="00074311">
        <w:rPr>
          <w:rFonts w:ascii="Palatino Linotype" w:hAnsi="Palatino Linotype"/>
        </w:rPr>
        <w:t xml:space="preserve">ememektedir. Böyle olunca, alt serilerin toplamı ile ana seri arasındaki farkın iki sebebi bulunmaktadır: </w:t>
      </w:r>
      <w:proofErr w:type="spellStart"/>
      <w:r w:rsidR="00E935B7">
        <w:rPr>
          <w:rFonts w:ascii="Palatino Linotype" w:hAnsi="Palatino Linotype"/>
        </w:rPr>
        <w:t>T</w:t>
      </w:r>
      <w:r w:rsidR="00074311">
        <w:rPr>
          <w:rFonts w:ascii="Palatino Linotype" w:hAnsi="Palatino Linotype"/>
        </w:rPr>
        <w:t>oplamsallığın</w:t>
      </w:r>
      <w:proofErr w:type="spellEnd"/>
      <w:r w:rsidR="00074311">
        <w:rPr>
          <w:rFonts w:ascii="Palatino Linotype" w:hAnsi="Palatino Linotype"/>
        </w:rPr>
        <w:t xml:space="preserve"> olmayışından gelen fark ve stoktaki değişimlerden gelen fark. Gözlemlenen farkın ne kadarı hangisine ait, ayrıştırmak mümkün </w:t>
      </w:r>
      <w:r w:rsidR="00074311" w:rsidRPr="00541B24">
        <w:rPr>
          <w:rFonts w:ascii="Palatino Linotype" w:hAnsi="Palatino Linotype"/>
        </w:rPr>
        <w:t>değil</w:t>
      </w:r>
      <w:r w:rsidR="003B7CA7" w:rsidRPr="00541B24">
        <w:rPr>
          <w:rFonts w:ascii="Palatino Linotype" w:hAnsi="Palatino Linotype"/>
        </w:rPr>
        <w:t>dir</w:t>
      </w:r>
      <w:r w:rsidR="00074311" w:rsidRPr="00541B24">
        <w:rPr>
          <w:rFonts w:ascii="Palatino Linotype" w:hAnsi="Palatino Linotype"/>
        </w:rPr>
        <w:t>.</w:t>
      </w:r>
      <w:r w:rsidR="00074311">
        <w:rPr>
          <w:rFonts w:ascii="Palatino Linotype" w:hAnsi="Palatino Linotype"/>
        </w:rPr>
        <w:t xml:space="preserve"> </w:t>
      </w:r>
      <w:r w:rsidR="006D68E0">
        <w:rPr>
          <w:rFonts w:ascii="Palatino Linotype" w:hAnsi="Palatino Linotype"/>
        </w:rPr>
        <w:t xml:space="preserve">Dikkatli okur, </w:t>
      </w:r>
      <w:proofErr w:type="spellStart"/>
      <w:r w:rsidR="006D68E0">
        <w:rPr>
          <w:rFonts w:ascii="Palatino Linotype" w:hAnsi="Palatino Linotype"/>
        </w:rPr>
        <w:t>TÜİK’in</w:t>
      </w:r>
      <w:proofErr w:type="spellEnd"/>
      <w:r w:rsidR="006D68E0">
        <w:rPr>
          <w:rFonts w:ascii="Palatino Linotype" w:hAnsi="Palatino Linotype"/>
        </w:rPr>
        <w:t xml:space="preserve"> yayınladığı milli gelir serilerinde ve ilgili haber bültenlerinde cari fiyatlarla hesaplanan serilerde “stoktaki değişiklikler” kaleminin olduğunu görürken, zincirlenmiş hacim endeksi yöntemiyle hesaplanan serilerde bu kalemin boş olduğunu fark etmiştir.</w:t>
      </w:r>
      <w:r w:rsidR="006D68E0">
        <w:rPr>
          <w:rStyle w:val="FootnoteReference"/>
          <w:rFonts w:ascii="Palatino Linotype" w:hAnsi="Palatino Linotype"/>
        </w:rPr>
        <w:footnoteReference w:id="2"/>
      </w:r>
      <w:r w:rsidR="006D68E0">
        <w:rPr>
          <w:rFonts w:ascii="Palatino Linotype" w:hAnsi="Palatino Linotype"/>
        </w:rPr>
        <w:t xml:space="preserve"> </w:t>
      </w:r>
    </w:p>
    <w:p w:rsidR="005635E6" w:rsidRDefault="00E935B7" w:rsidP="006D68E0">
      <w:pPr>
        <w:spacing w:line="360" w:lineRule="auto"/>
        <w:ind w:firstLine="340"/>
        <w:jc w:val="both"/>
        <w:rPr>
          <w:rFonts w:ascii="Palatino Linotype" w:hAnsi="Palatino Linotype"/>
        </w:rPr>
      </w:pPr>
      <w:r>
        <w:rPr>
          <w:rFonts w:ascii="Palatino Linotype" w:hAnsi="Palatino Linotype"/>
        </w:rPr>
        <w:t xml:space="preserve">Tablo </w:t>
      </w:r>
      <w:r w:rsidR="000A201B">
        <w:rPr>
          <w:rFonts w:ascii="Palatino Linotype" w:hAnsi="Palatino Linotype"/>
        </w:rPr>
        <w:t>1</w:t>
      </w:r>
      <w:r w:rsidR="005635E6">
        <w:rPr>
          <w:rFonts w:ascii="Palatino Linotype" w:hAnsi="Palatino Linotype"/>
        </w:rPr>
        <w:t>’de</w:t>
      </w:r>
      <w:r>
        <w:rPr>
          <w:rFonts w:ascii="Palatino Linotype" w:hAnsi="Palatino Linotype"/>
        </w:rPr>
        <w:t xml:space="preserve"> 2009-2016 yılla</w:t>
      </w:r>
      <w:r w:rsidR="005635E6">
        <w:rPr>
          <w:rFonts w:ascii="Palatino Linotype" w:hAnsi="Palatino Linotype"/>
        </w:rPr>
        <w:t xml:space="preserve">rı için harcama yöntemi ile hesaplanmış cari fiyatlarla ve zincirlenmiş hacim serileri sunulmaktadır.  Tablonun </w:t>
      </w:r>
      <w:proofErr w:type="spellStart"/>
      <w:r w:rsidR="005635E6">
        <w:rPr>
          <w:rFonts w:ascii="Palatino Linotype" w:hAnsi="Palatino Linotype"/>
        </w:rPr>
        <w:t>Yt</w:t>
      </w:r>
      <w:proofErr w:type="spellEnd"/>
      <w:r w:rsidR="005635E6">
        <w:rPr>
          <w:rFonts w:ascii="Palatino Linotype" w:hAnsi="Palatino Linotype"/>
        </w:rPr>
        <w:t xml:space="preserve"> sütununda alt kalemlerin toplamı, son sütununda ise ana kalem (Y) ile alt kalemlerin farkının ana kalem büyüklüğüne oranı yüzde olarak verilmektedir. Bu farkın yüzde 3’leri bulduğu anlaşılmaktadır.  </w:t>
      </w:r>
    </w:p>
    <w:p w:rsidR="00DA5B49" w:rsidRDefault="00DA5B49" w:rsidP="00DA5B49">
      <w:pPr>
        <w:spacing w:line="360" w:lineRule="auto"/>
        <w:ind w:firstLine="340"/>
        <w:jc w:val="both"/>
        <w:rPr>
          <w:rFonts w:ascii="Palatino Linotype" w:hAnsi="Palatino Linotype"/>
          <w:b/>
        </w:rPr>
      </w:pPr>
      <w:r w:rsidRPr="008D3FAF">
        <w:rPr>
          <w:rFonts w:ascii="Palatino Linotype" w:hAnsi="Palatino Linotype"/>
          <w:b/>
        </w:rPr>
        <w:t>Tablo 1. Cari fiyat ve zincirlenmiş hacim serileri cinsinden GSYH ve alt kalemleri</w:t>
      </w:r>
    </w:p>
    <w:tbl>
      <w:tblPr>
        <w:tblW w:w="6780" w:type="dxa"/>
        <w:jc w:val="center"/>
        <w:tblLook w:val="04A0" w:firstRow="1" w:lastRow="0" w:firstColumn="1" w:lastColumn="0" w:noHBand="0" w:noVBand="1"/>
      </w:tblPr>
      <w:tblGrid>
        <w:gridCol w:w="692"/>
        <w:gridCol w:w="649"/>
        <w:gridCol w:w="516"/>
        <w:gridCol w:w="516"/>
        <w:gridCol w:w="439"/>
        <w:gridCol w:w="516"/>
        <w:gridCol w:w="1088"/>
        <w:gridCol w:w="649"/>
        <w:gridCol w:w="649"/>
        <w:gridCol w:w="1117"/>
      </w:tblGrid>
      <w:tr w:rsidR="00DB2C52" w:rsidRPr="00DB2C52" w:rsidTr="00DB2C52">
        <w:trPr>
          <w:trHeight w:val="240"/>
          <w:jc w:val="center"/>
        </w:trPr>
        <w:tc>
          <w:tcPr>
            <w:tcW w:w="6780" w:type="dxa"/>
            <w:gridSpan w:val="10"/>
            <w:tcBorders>
              <w:top w:val="single" w:sz="4" w:space="0" w:color="auto"/>
              <w:left w:val="nil"/>
              <w:bottom w:val="nil"/>
              <w:right w:val="single" w:sz="4" w:space="0" w:color="000000"/>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proofErr w:type="spellStart"/>
            <w:r w:rsidRPr="00DB2C52">
              <w:rPr>
                <w:rFonts w:ascii="Cambria" w:hAnsi="Cambria" w:cs="Calibri"/>
                <w:b/>
                <w:bCs/>
                <w:color w:val="000000"/>
                <w:sz w:val="18"/>
                <w:szCs w:val="18"/>
                <w:lang w:val="en-US" w:eastAsia="en-US"/>
              </w:rPr>
              <w:t>Cari</w:t>
            </w:r>
            <w:proofErr w:type="spellEnd"/>
            <w:r w:rsidRPr="00DB2C52">
              <w:rPr>
                <w:rFonts w:ascii="Cambria" w:hAnsi="Cambria" w:cs="Calibri"/>
                <w:b/>
                <w:bCs/>
                <w:color w:val="000000"/>
                <w:sz w:val="18"/>
                <w:szCs w:val="18"/>
                <w:lang w:val="en-US" w:eastAsia="en-US"/>
              </w:rPr>
              <w:t xml:space="preserve"> </w:t>
            </w:r>
            <w:proofErr w:type="spellStart"/>
            <w:r w:rsidRPr="00DB2C52">
              <w:rPr>
                <w:rFonts w:ascii="Cambria" w:hAnsi="Cambria" w:cs="Calibri"/>
                <w:b/>
                <w:bCs/>
                <w:color w:val="000000"/>
                <w:sz w:val="18"/>
                <w:szCs w:val="18"/>
                <w:lang w:val="en-US" w:eastAsia="en-US"/>
              </w:rPr>
              <w:t>fiyatlarla</w:t>
            </w:r>
            <w:proofErr w:type="spellEnd"/>
            <w:r w:rsidRPr="00DB2C52">
              <w:rPr>
                <w:rFonts w:ascii="Cambria" w:hAnsi="Cambria" w:cs="Calibri"/>
                <w:b/>
                <w:bCs/>
                <w:color w:val="000000"/>
                <w:sz w:val="18"/>
                <w:szCs w:val="18"/>
                <w:lang w:val="en-US" w:eastAsia="en-US"/>
              </w:rPr>
              <w:t xml:space="preserve"> GSYH </w:t>
            </w:r>
            <w:proofErr w:type="spellStart"/>
            <w:r w:rsidRPr="00DB2C52">
              <w:rPr>
                <w:rFonts w:ascii="Cambria" w:hAnsi="Cambria" w:cs="Calibri"/>
                <w:b/>
                <w:bCs/>
                <w:color w:val="000000"/>
                <w:sz w:val="18"/>
                <w:szCs w:val="18"/>
                <w:lang w:val="en-US" w:eastAsia="en-US"/>
              </w:rPr>
              <w:t>ve</w:t>
            </w:r>
            <w:proofErr w:type="spellEnd"/>
            <w:r w:rsidRPr="00DB2C52">
              <w:rPr>
                <w:rFonts w:ascii="Cambria" w:hAnsi="Cambria" w:cs="Calibri"/>
                <w:b/>
                <w:bCs/>
                <w:color w:val="000000"/>
                <w:sz w:val="18"/>
                <w:szCs w:val="18"/>
                <w:lang w:val="en-US" w:eastAsia="en-US"/>
              </w:rPr>
              <w:t xml:space="preserve"> alt </w:t>
            </w:r>
            <w:proofErr w:type="spellStart"/>
            <w:r w:rsidRPr="00DB2C52">
              <w:rPr>
                <w:rFonts w:ascii="Cambria" w:hAnsi="Cambria" w:cs="Calibri"/>
                <w:b/>
                <w:bCs/>
                <w:color w:val="000000"/>
                <w:sz w:val="18"/>
                <w:szCs w:val="18"/>
                <w:lang w:val="en-US" w:eastAsia="en-US"/>
              </w:rPr>
              <w:t>kalemleri</w:t>
            </w:r>
            <w:proofErr w:type="spellEnd"/>
            <w:r w:rsidRPr="00DB2C52">
              <w:rPr>
                <w:rFonts w:ascii="Cambria" w:hAnsi="Cambria" w:cs="Calibri"/>
                <w:b/>
                <w:bCs/>
                <w:color w:val="000000"/>
                <w:sz w:val="18"/>
                <w:szCs w:val="18"/>
                <w:lang w:val="en-US" w:eastAsia="en-US"/>
              </w:rPr>
              <w:t xml:space="preserve"> (</w:t>
            </w:r>
            <w:proofErr w:type="spellStart"/>
            <w:r w:rsidRPr="00DB2C52">
              <w:rPr>
                <w:rFonts w:ascii="Cambria" w:hAnsi="Cambria" w:cs="Calibri"/>
                <w:b/>
                <w:bCs/>
                <w:color w:val="000000"/>
                <w:sz w:val="18"/>
                <w:szCs w:val="18"/>
                <w:lang w:val="en-US" w:eastAsia="en-US"/>
              </w:rPr>
              <w:t>milyon</w:t>
            </w:r>
            <w:proofErr w:type="spellEnd"/>
            <w:r w:rsidRPr="00DB2C52">
              <w:rPr>
                <w:rFonts w:ascii="Cambria" w:hAnsi="Cambria" w:cs="Calibri"/>
                <w:b/>
                <w:bCs/>
                <w:color w:val="000000"/>
                <w:sz w:val="18"/>
                <w:szCs w:val="18"/>
                <w:lang w:val="en-US" w:eastAsia="en-US"/>
              </w:rPr>
              <w:t xml:space="preserve"> TL)</w:t>
            </w:r>
          </w:p>
        </w:tc>
      </w:tr>
      <w:tr w:rsidR="00DB2C52" w:rsidRPr="00DB2C52" w:rsidTr="00DB2C52">
        <w:trPr>
          <w:trHeight w:val="240"/>
          <w:jc w:val="center"/>
        </w:trPr>
        <w:tc>
          <w:tcPr>
            <w:tcW w:w="692"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 </w:t>
            </w:r>
          </w:p>
        </w:tc>
        <w:tc>
          <w:tcPr>
            <w:tcW w:w="649"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r w:rsidRPr="00DB2C52">
              <w:rPr>
                <w:rFonts w:ascii="Cambria" w:hAnsi="Cambria" w:cs="Calibri"/>
                <w:b/>
                <w:bCs/>
                <w:color w:val="000000"/>
                <w:sz w:val="18"/>
                <w:szCs w:val="18"/>
                <w:lang w:val="en-US" w:eastAsia="en-US"/>
              </w:rPr>
              <w:t>C</w:t>
            </w:r>
          </w:p>
        </w:tc>
        <w:tc>
          <w:tcPr>
            <w:tcW w:w="499"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r w:rsidRPr="00DB2C52">
              <w:rPr>
                <w:rFonts w:ascii="Cambria" w:hAnsi="Cambria" w:cs="Calibri"/>
                <w:b/>
                <w:bCs/>
                <w:color w:val="000000"/>
                <w:sz w:val="18"/>
                <w:szCs w:val="18"/>
                <w:lang w:val="en-US" w:eastAsia="en-US"/>
              </w:rPr>
              <w:t>G</w:t>
            </w:r>
          </w:p>
        </w:tc>
        <w:tc>
          <w:tcPr>
            <w:tcW w:w="499"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r w:rsidRPr="00DB2C52">
              <w:rPr>
                <w:rFonts w:ascii="Cambria" w:hAnsi="Cambria" w:cs="Calibri"/>
                <w:b/>
                <w:bCs/>
                <w:color w:val="000000"/>
                <w:sz w:val="18"/>
                <w:szCs w:val="18"/>
                <w:lang w:val="en-US" w:eastAsia="en-US"/>
              </w:rPr>
              <w:t>I</w:t>
            </w:r>
          </w:p>
        </w:tc>
        <w:tc>
          <w:tcPr>
            <w:tcW w:w="439"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proofErr w:type="spellStart"/>
            <w:r w:rsidRPr="00DB2C52">
              <w:rPr>
                <w:rFonts w:ascii="Cambria" w:hAnsi="Cambria" w:cs="Calibri"/>
                <w:b/>
                <w:bCs/>
                <w:color w:val="000000"/>
                <w:sz w:val="18"/>
                <w:szCs w:val="18"/>
                <w:lang w:val="en-US" w:eastAsia="en-US"/>
              </w:rPr>
              <w:t>dS</w:t>
            </w:r>
            <w:proofErr w:type="spellEnd"/>
          </w:p>
        </w:tc>
        <w:tc>
          <w:tcPr>
            <w:tcW w:w="499"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r w:rsidRPr="00DB2C52">
              <w:rPr>
                <w:rFonts w:ascii="Cambria" w:hAnsi="Cambria" w:cs="Calibri"/>
                <w:b/>
                <w:bCs/>
                <w:color w:val="000000"/>
                <w:sz w:val="18"/>
                <w:szCs w:val="18"/>
                <w:lang w:val="en-US" w:eastAsia="en-US"/>
              </w:rPr>
              <w:t>X</w:t>
            </w:r>
          </w:p>
        </w:tc>
        <w:tc>
          <w:tcPr>
            <w:tcW w:w="1088"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r w:rsidRPr="00DB2C52">
              <w:rPr>
                <w:rFonts w:ascii="Cambria" w:hAnsi="Cambria" w:cs="Calibri"/>
                <w:b/>
                <w:bCs/>
                <w:color w:val="000000"/>
                <w:sz w:val="18"/>
                <w:szCs w:val="18"/>
                <w:lang w:val="en-US" w:eastAsia="en-US"/>
              </w:rPr>
              <w:t>(</w:t>
            </w:r>
            <w:proofErr w:type="spellStart"/>
            <w:r w:rsidRPr="00DB2C52">
              <w:rPr>
                <w:rFonts w:ascii="Cambria" w:hAnsi="Cambria" w:cs="Calibri"/>
                <w:b/>
                <w:bCs/>
                <w:color w:val="000000"/>
                <w:sz w:val="18"/>
                <w:szCs w:val="18"/>
                <w:lang w:val="en-US" w:eastAsia="en-US"/>
              </w:rPr>
              <w:t>Eksi</w:t>
            </w:r>
            <w:proofErr w:type="spellEnd"/>
            <w:r w:rsidRPr="00DB2C52">
              <w:rPr>
                <w:rFonts w:ascii="Cambria" w:hAnsi="Cambria" w:cs="Calibri"/>
                <w:b/>
                <w:bCs/>
                <w:color w:val="000000"/>
                <w:sz w:val="18"/>
                <w:szCs w:val="18"/>
                <w:lang w:val="en-US" w:eastAsia="en-US"/>
              </w:rPr>
              <w:t>) M</w:t>
            </w:r>
          </w:p>
        </w:tc>
        <w:tc>
          <w:tcPr>
            <w:tcW w:w="649"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r w:rsidRPr="00DB2C52">
              <w:rPr>
                <w:rFonts w:ascii="Cambria" w:hAnsi="Cambria" w:cs="Calibri"/>
                <w:b/>
                <w:bCs/>
                <w:color w:val="000000"/>
                <w:sz w:val="18"/>
                <w:szCs w:val="18"/>
                <w:lang w:val="en-US" w:eastAsia="en-US"/>
              </w:rPr>
              <w:t>Y</w:t>
            </w:r>
          </w:p>
        </w:tc>
        <w:tc>
          <w:tcPr>
            <w:tcW w:w="649" w:type="dxa"/>
            <w:tcBorders>
              <w:top w:val="single" w:sz="4" w:space="0" w:color="auto"/>
              <w:left w:val="nil"/>
              <w:bottom w:val="single" w:sz="4" w:space="0" w:color="auto"/>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proofErr w:type="spellStart"/>
            <w:r w:rsidRPr="00DB2C52">
              <w:rPr>
                <w:rFonts w:ascii="Cambria" w:hAnsi="Cambria" w:cs="Calibri"/>
                <w:b/>
                <w:bCs/>
                <w:color w:val="000000"/>
                <w:sz w:val="18"/>
                <w:szCs w:val="18"/>
                <w:lang w:val="en-US" w:eastAsia="en-US"/>
              </w:rPr>
              <w:t>Yt</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r w:rsidRPr="00DB2C52">
              <w:rPr>
                <w:rFonts w:ascii="Cambria" w:hAnsi="Cambria" w:cs="Calibri"/>
                <w:b/>
                <w:bCs/>
                <w:color w:val="000000"/>
                <w:sz w:val="18"/>
                <w:szCs w:val="18"/>
                <w:lang w:val="en-US" w:eastAsia="en-US"/>
              </w:rPr>
              <w:t>Fark(%)</w:t>
            </w:r>
          </w:p>
        </w:tc>
      </w:tr>
      <w:tr w:rsidR="00DB2C52" w:rsidRPr="00DB2C52" w:rsidTr="00DB2C52">
        <w:trPr>
          <w:trHeight w:val="240"/>
          <w:jc w:val="center"/>
        </w:trPr>
        <w:tc>
          <w:tcPr>
            <w:tcW w:w="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2009 </w:t>
            </w:r>
          </w:p>
        </w:tc>
        <w:tc>
          <w:tcPr>
            <w:tcW w:w="649" w:type="dxa"/>
            <w:tcBorders>
              <w:top w:val="single" w:sz="4" w:space="0" w:color="auto"/>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619</w:t>
            </w:r>
          </w:p>
        </w:tc>
        <w:tc>
          <w:tcPr>
            <w:tcW w:w="499" w:type="dxa"/>
            <w:tcBorders>
              <w:top w:val="single" w:sz="4" w:space="0" w:color="auto"/>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158</w:t>
            </w:r>
          </w:p>
        </w:tc>
        <w:tc>
          <w:tcPr>
            <w:tcW w:w="499" w:type="dxa"/>
            <w:tcBorders>
              <w:top w:val="single" w:sz="4" w:space="0" w:color="auto"/>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224</w:t>
            </w:r>
          </w:p>
        </w:tc>
        <w:tc>
          <w:tcPr>
            <w:tcW w:w="439" w:type="dxa"/>
            <w:tcBorders>
              <w:top w:val="single" w:sz="4" w:space="0" w:color="auto"/>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6</w:t>
            </w:r>
          </w:p>
        </w:tc>
        <w:tc>
          <w:tcPr>
            <w:tcW w:w="499" w:type="dxa"/>
            <w:tcBorders>
              <w:top w:val="single" w:sz="4" w:space="0" w:color="auto"/>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226</w:t>
            </w:r>
          </w:p>
        </w:tc>
        <w:tc>
          <w:tcPr>
            <w:tcW w:w="1088" w:type="dxa"/>
            <w:tcBorders>
              <w:top w:val="single" w:sz="4" w:space="0" w:color="auto"/>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233</w:t>
            </w:r>
          </w:p>
        </w:tc>
        <w:tc>
          <w:tcPr>
            <w:tcW w:w="649" w:type="dxa"/>
            <w:tcBorders>
              <w:top w:val="single" w:sz="4" w:space="0" w:color="auto"/>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999</w:t>
            </w: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999</w:t>
            </w:r>
          </w:p>
        </w:tc>
        <w:tc>
          <w:tcPr>
            <w:tcW w:w="1117" w:type="dxa"/>
            <w:tcBorders>
              <w:top w:val="nil"/>
              <w:left w:val="single" w:sz="4" w:space="0" w:color="auto"/>
              <w:bottom w:val="nil"/>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0.0</w:t>
            </w:r>
          </w:p>
        </w:tc>
      </w:tr>
      <w:tr w:rsidR="00DB2C52" w:rsidRPr="00DB2C52" w:rsidTr="00DB2C52">
        <w:trPr>
          <w:trHeight w:val="24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2010 </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731</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174</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288</w:t>
            </w:r>
          </w:p>
        </w:tc>
        <w:tc>
          <w:tcPr>
            <w:tcW w:w="43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24</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237</w:t>
            </w:r>
          </w:p>
        </w:tc>
        <w:tc>
          <w:tcPr>
            <w:tcW w:w="1088"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295</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1160</w:t>
            </w: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1160</w:t>
            </w:r>
          </w:p>
        </w:tc>
        <w:tc>
          <w:tcPr>
            <w:tcW w:w="1117" w:type="dxa"/>
            <w:tcBorders>
              <w:top w:val="nil"/>
              <w:left w:val="single" w:sz="4" w:space="0" w:color="auto"/>
              <w:bottom w:val="nil"/>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0.0</w:t>
            </w:r>
          </w:p>
        </w:tc>
      </w:tr>
      <w:tr w:rsidR="00DB2C52" w:rsidRPr="00DB2C52" w:rsidTr="00DB2C52">
        <w:trPr>
          <w:trHeight w:val="24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2011 </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881</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191</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391</w:t>
            </w:r>
          </w:p>
        </w:tc>
        <w:tc>
          <w:tcPr>
            <w:tcW w:w="43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45</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310</w:t>
            </w:r>
          </w:p>
        </w:tc>
        <w:tc>
          <w:tcPr>
            <w:tcW w:w="1088"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424</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1394</w:t>
            </w: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1394</w:t>
            </w:r>
          </w:p>
        </w:tc>
        <w:tc>
          <w:tcPr>
            <w:tcW w:w="1117" w:type="dxa"/>
            <w:tcBorders>
              <w:top w:val="nil"/>
              <w:left w:val="single" w:sz="4" w:space="0" w:color="auto"/>
              <w:bottom w:val="nil"/>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0.0</w:t>
            </w:r>
          </w:p>
        </w:tc>
      </w:tr>
      <w:tr w:rsidR="00DB2C52" w:rsidRPr="00DB2C52" w:rsidTr="00DB2C52">
        <w:trPr>
          <w:trHeight w:val="24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2012 </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979</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223</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429</w:t>
            </w:r>
          </w:p>
        </w:tc>
        <w:tc>
          <w:tcPr>
            <w:tcW w:w="43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15</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372</w:t>
            </w:r>
          </w:p>
        </w:tc>
        <w:tc>
          <w:tcPr>
            <w:tcW w:w="1088"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449</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1570</w:t>
            </w: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1570</w:t>
            </w:r>
          </w:p>
        </w:tc>
        <w:tc>
          <w:tcPr>
            <w:tcW w:w="1117" w:type="dxa"/>
            <w:tcBorders>
              <w:top w:val="nil"/>
              <w:left w:val="single" w:sz="4" w:space="0" w:color="auto"/>
              <w:bottom w:val="nil"/>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0.0</w:t>
            </w:r>
          </w:p>
        </w:tc>
      </w:tr>
      <w:tr w:rsidR="00DB2C52" w:rsidRPr="00DB2C52" w:rsidTr="00DB2C52">
        <w:trPr>
          <w:trHeight w:val="24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2013 </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1120</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256</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516</w:t>
            </w:r>
          </w:p>
        </w:tc>
        <w:tc>
          <w:tcPr>
            <w:tcW w:w="43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23</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403</w:t>
            </w:r>
          </w:p>
        </w:tc>
        <w:tc>
          <w:tcPr>
            <w:tcW w:w="1088"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508</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1810</w:t>
            </w: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1810</w:t>
            </w:r>
          </w:p>
        </w:tc>
        <w:tc>
          <w:tcPr>
            <w:tcW w:w="1117" w:type="dxa"/>
            <w:tcBorders>
              <w:top w:val="nil"/>
              <w:left w:val="single" w:sz="4" w:space="0" w:color="auto"/>
              <w:bottom w:val="nil"/>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0.0</w:t>
            </w:r>
          </w:p>
        </w:tc>
      </w:tr>
      <w:tr w:rsidR="00DB2C52" w:rsidRPr="00DB2C52" w:rsidTr="00DB2C52">
        <w:trPr>
          <w:trHeight w:val="24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2014 </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1242</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288</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591</w:t>
            </w:r>
          </w:p>
        </w:tc>
        <w:tc>
          <w:tcPr>
            <w:tcW w:w="43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486</w:t>
            </w:r>
          </w:p>
        </w:tc>
        <w:tc>
          <w:tcPr>
            <w:tcW w:w="1088"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565</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2044</w:t>
            </w: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2044</w:t>
            </w:r>
          </w:p>
        </w:tc>
        <w:tc>
          <w:tcPr>
            <w:tcW w:w="1117" w:type="dxa"/>
            <w:tcBorders>
              <w:top w:val="nil"/>
              <w:left w:val="single" w:sz="4" w:space="0" w:color="auto"/>
              <w:bottom w:val="nil"/>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0.0</w:t>
            </w:r>
          </w:p>
        </w:tc>
      </w:tr>
      <w:tr w:rsidR="00DB2C52" w:rsidRPr="00DB2C52" w:rsidTr="00DB2C52">
        <w:trPr>
          <w:trHeight w:val="24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2015 </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1412</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325</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695</w:t>
            </w:r>
          </w:p>
        </w:tc>
        <w:tc>
          <w:tcPr>
            <w:tcW w:w="43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-31</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546</w:t>
            </w:r>
          </w:p>
        </w:tc>
        <w:tc>
          <w:tcPr>
            <w:tcW w:w="1088"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607</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2339</w:t>
            </w: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2339</w:t>
            </w:r>
          </w:p>
        </w:tc>
        <w:tc>
          <w:tcPr>
            <w:tcW w:w="1117" w:type="dxa"/>
            <w:tcBorders>
              <w:top w:val="nil"/>
              <w:left w:val="single" w:sz="4" w:space="0" w:color="auto"/>
              <w:bottom w:val="nil"/>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0.0</w:t>
            </w:r>
          </w:p>
        </w:tc>
      </w:tr>
      <w:tr w:rsidR="00DB2C52" w:rsidRPr="00DB2C52" w:rsidTr="00DB2C52">
        <w:trPr>
          <w:trHeight w:val="255"/>
          <w:jc w:val="center"/>
        </w:trPr>
        <w:tc>
          <w:tcPr>
            <w:tcW w:w="692" w:type="dxa"/>
            <w:tcBorders>
              <w:top w:val="nil"/>
              <w:left w:val="single" w:sz="4" w:space="0" w:color="auto"/>
              <w:bottom w:val="double" w:sz="6"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2016 </w:t>
            </w:r>
          </w:p>
        </w:tc>
        <w:tc>
          <w:tcPr>
            <w:tcW w:w="649" w:type="dxa"/>
            <w:tcBorders>
              <w:top w:val="nil"/>
              <w:left w:val="nil"/>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1561</w:t>
            </w:r>
          </w:p>
        </w:tc>
        <w:tc>
          <w:tcPr>
            <w:tcW w:w="499" w:type="dxa"/>
            <w:tcBorders>
              <w:top w:val="nil"/>
              <w:left w:val="nil"/>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387</w:t>
            </w:r>
          </w:p>
        </w:tc>
        <w:tc>
          <w:tcPr>
            <w:tcW w:w="499" w:type="dxa"/>
            <w:tcBorders>
              <w:top w:val="nil"/>
              <w:left w:val="nil"/>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765</w:t>
            </w:r>
          </w:p>
        </w:tc>
        <w:tc>
          <w:tcPr>
            <w:tcW w:w="439" w:type="dxa"/>
            <w:tcBorders>
              <w:top w:val="nil"/>
              <w:left w:val="nil"/>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-28</w:t>
            </w:r>
          </w:p>
        </w:tc>
        <w:tc>
          <w:tcPr>
            <w:tcW w:w="499" w:type="dxa"/>
            <w:tcBorders>
              <w:top w:val="nil"/>
              <w:left w:val="nil"/>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573</w:t>
            </w:r>
          </w:p>
        </w:tc>
        <w:tc>
          <w:tcPr>
            <w:tcW w:w="1088" w:type="dxa"/>
            <w:tcBorders>
              <w:top w:val="nil"/>
              <w:left w:val="nil"/>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648</w:t>
            </w:r>
          </w:p>
        </w:tc>
        <w:tc>
          <w:tcPr>
            <w:tcW w:w="649" w:type="dxa"/>
            <w:tcBorders>
              <w:top w:val="nil"/>
              <w:left w:val="nil"/>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2609</w:t>
            </w:r>
          </w:p>
        </w:tc>
        <w:tc>
          <w:tcPr>
            <w:tcW w:w="649" w:type="dxa"/>
            <w:tcBorders>
              <w:top w:val="nil"/>
              <w:left w:val="nil"/>
              <w:bottom w:val="double" w:sz="6" w:space="0" w:color="auto"/>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2609</w:t>
            </w:r>
          </w:p>
        </w:tc>
        <w:tc>
          <w:tcPr>
            <w:tcW w:w="1117" w:type="dxa"/>
            <w:tcBorders>
              <w:top w:val="nil"/>
              <w:left w:val="single" w:sz="4" w:space="0" w:color="auto"/>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0.0</w:t>
            </w:r>
          </w:p>
        </w:tc>
      </w:tr>
      <w:tr w:rsidR="00DB2C52" w:rsidRPr="00DB2C52" w:rsidTr="00DB2C52">
        <w:trPr>
          <w:trHeight w:val="255"/>
          <w:jc w:val="center"/>
        </w:trPr>
        <w:tc>
          <w:tcPr>
            <w:tcW w:w="692"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rPr>
                <w:sz w:val="20"/>
                <w:szCs w:val="20"/>
                <w:lang w:val="en-US" w:eastAsia="en-US"/>
              </w:rPr>
            </w:pPr>
          </w:p>
        </w:tc>
        <w:tc>
          <w:tcPr>
            <w:tcW w:w="499" w:type="dxa"/>
            <w:tcBorders>
              <w:top w:val="nil"/>
              <w:left w:val="nil"/>
              <w:bottom w:val="nil"/>
              <w:right w:val="nil"/>
            </w:tcBorders>
            <w:shd w:val="clear" w:color="auto" w:fill="auto"/>
            <w:noWrap/>
            <w:vAlign w:val="bottom"/>
            <w:hideMark/>
          </w:tcPr>
          <w:p w:rsidR="00DB2C52" w:rsidRPr="00DB2C52" w:rsidRDefault="00DB2C52" w:rsidP="00DB2C52">
            <w:pPr>
              <w:suppressAutoHyphens w:val="0"/>
              <w:rPr>
                <w:sz w:val="20"/>
                <w:szCs w:val="20"/>
                <w:lang w:val="en-US" w:eastAsia="en-US"/>
              </w:rPr>
            </w:pPr>
          </w:p>
        </w:tc>
        <w:tc>
          <w:tcPr>
            <w:tcW w:w="499" w:type="dxa"/>
            <w:tcBorders>
              <w:top w:val="nil"/>
              <w:left w:val="nil"/>
              <w:bottom w:val="nil"/>
              <w:right w:val="nil"/>
            </w:tcBorders>
            <w:shd w:val="clear" w:color="auto" w:fill="auto"/>
            <w:noWrap/>
            <w:vAlign w:val="bottom"/>
            <w:hideMark/>
          </w:tcPr>
          <w:p w:rsidR="00DB2C52" w:rsidRPr="00DB2C52" w:rsidRDefault="00DB2C52" w:rsidP="00DB2C52">
            <w:pPr>
              <w:suppressAutoHyphens w:val="0"/>
              <w:rPr>
                <w:sz w:val="20"/>
                <w:szCs w:val="20"/>
                <w:lang w:val="en-US" w:eastAsia="en-US"/>
              </w:rPr>
            </w:pPr>
          </w:p>
        </w:tc>
        <w:tc>
          <w:tcPr>
            <w:tcW w:w="439" w:type="dxa"/>
            <w:tcBorders>
              <w:top w:val="nil"/>
              <w:left w:val="nil"/>
              <w:bottom w:val="nil"/>
              <w:right w:val="nil"/>
            </w:tcBorders>
            <w:shd w:val="clear" w:color="auto" w:fill="auto"/>
            <w:noWrap/>
            <w:vAlign w:val="bottom"/>
            <w:hideMark/>
          </w:tcPr>
          <w:p w:rsidR="00DB2C52" w:rsidRPr="00DB2C52" w:rsidRDefault="00DB2C52" w:rsidP="00DB2C52">
            <w:pPr>
              <w:suppressAutoHyphens w:val="0"/>
              <w:rPr>
                <w:sz w:val="20"/>
                <w:szCs w:val="20"/>
                <w:lang w:val="en-US" w:eastAsia="en-US"/>
              </w:rPr>
            </w:pPr>
          </w:p>
        </w:tc>
        <w:tc>
          <w:tcPr>
            <w:tcW w:w="499" w:type="dxa"/>
            <w:tcBorders>
              <w:top w:val="nil"/>
              <w:left w:val="nil"/>
              <w:bottom w:val="nil"/>
              <w:right w:val="nil"/>
            </w:tcBorders>
            <w:shd w:val="clear" w:color="auto" w:fill="auto"/>
            <w:noWrap/>
            <w:vAlign w:val="bottom"/>
            <w:hideMark/>
          </w:tcPr>
          <w:p w:rsidR="00DB2C52" w:rsidRPr="00DB2C52" w:rsidRDefault="00DB2C52" w:rsidP="00DB2C52">
            <w:pPr>
              <w:suppressAutoHyphens w:val="0"/>
              <w:rPr>
                <w:sz w:val="20"/>
                <w:szCs w:val="20"/>
                <w:lang w:val="en-US" w:eastAsia="en-US"/>
              </w:rPr>
            </w:pPr>
          </w:p>
        </w:tc>
        <w:tc>
          <w:tcPr>
            <w:tcW w:w="1088" w:type="dxa"/>
            <w:tcBorders>
              <w:top w:val="nil"/>
              <w:left w:val="nil"/>
              <w:bottom w:val="nil"/>
              <w:right w:val="nil"/>
            </w:tcBorders>
            <w:shd w:val="clear" w:color="auto" w:fill="auto"/>
            <w:noWrap/>
            <w:vAlign w:val="bottom"/>
            <w:hideMark/>
          </w:tcPr>
          <w:p w:rsidR="00DB2C52" w:rsidRPr="00DB2C52" w:rsidRDefault="00DB2C52" w:rsidP="00DB2C52">
            <w:pPr>
              <w:suppressAutoHyphens w:val="0"/>
              <w:rPr>
                <w:sz w:val="20"/>
                <w:szCs w:val="20"/>
                <w:lang w:val="en-US" w:eastAsia="en-US"/>
              </w:rPr>
            </w:pP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rPr>
                <w:sz w:val="20"/>
                <w:szCs w:val="20"/>
                <w:lang w:val="en-US" w:eastAsia="en-US"/>
              </w:rPr>
            </w:pP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rPr>
                <w:sz w:val="20"/>
                <w:szCs w:val="20"/>
                <w:lang w:val="en-US" w:eastAsia="en-US"/>
              </w:rPr>
            </w:pPr>
          </w:p>
        </w:tc>
        <w:tc>
          <w:tcPr>
            <w:tcW w:w="1117" w:type="dxa"/>
            <w:tcBorders>
              <w:top w:val="nil"/>
              <w:left w:val="nil"/>
              <w:bottom w:val="nil"/>
              <w:right w:val="single" w:sz="4" w:space="0" w:color="auto"/>
            </w:tcBorders>
            <w:shd w:val="clear" w:color="auto" w:fill="auto"/>
            <w:noWrap/>
            <w:vAlign w:val="bottom"/>
            <w:hideMark/>
          </w:tcPr>
          <w:p w:rsidR="00DB2C52" w:rsidRPr="00DB2C52" w:rsidRDefault="00DB2C52" w:rsidP="00DB2C52">
            <w:pPr>
              <w:suppressAutoHyphens w:val="0"/>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 </w:t>
            </w:r>
          </w:p>
        </w:tc>
      </w:tr>
      <w:tr w:rsidR="00DB2C52" w:rsidRPr="00DB2C52" w:rsidTr="00DB2C52">
        <w:trPr>
          <w:trHeight w:val="240"/>
          <w:jc w:val="center"/>
        </w:trPr>
        <w:tc>
          <w:tcPr>
            <w:tcW w:w="6780" w:type="dxa"/>
            <w:gridSpan w:val="10"/>
            <w:tcBorders>
              <w:top w:val="single" w:sz="4" w:space="0" w:color="auto"/>
              <w:left w:val="nil"/>
              <w:bottom w:val="nil"/>
              <w:right w:val="single" w:sz="4" w:space="0" w:color="000000"/>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proofErr w:type="spellStart"/>
            <w:r w:rsidRPr="00DB2C52">
              <w:rPr>
                <w:rFonts w:ascii="Cambria" w:hAnsi="Cambria" w:cs="Calibri"/>
                <w:b/>
                <w:bCs/>
                <w:color w:val="000000"/>
                <w:sz w:val="18"/>
                <w:szCs w:val="18"/>
                <w:lang w:val="en-US" w:eastAsia="en-US"/>
              </w:rPr>
              <w:lastRenderedPageBreak/>
              <w:t>Zincirlenmiş</w:t>
            </w:r>
            <w:proofErr w:type="spellEnd"/>
            <w:r w:rsidRPr="00DB2C52">
              <w:rPr>
                <w:rFonts w:ascii="Cambria" w:hAnsi="Cambria" w:cs="Calibri"/>
                <w:b/>
                <w:bCs/>
                <w:color w:val="000000"/>
                <w:sz w:val="18"/>
                <w:szCs w:val="18"/>
                <w:lang w:val="en-US" w:eastAsia="en-US"/>
              </w:rPr>
              <w:t xml:space="preserve"> </w:t>
            </w:r>
            <w:proofErr w:type="spellStart"/>
            <w:r w:rsidRPr="00DB2C52">
              <w:rPr>
                <w:rFonts w:ascii="Cambria" w:hAnsi="Cambria" w:cs="Calibri"/>
                <w:b/>
                <w:bCs/>
                <w:color w:val="000000"/>
                <w:sz w:val="18"/>
                <w:szCs w:val="18"/>
                <w:lang w:val="en-US" w:eastAsia="en-US"/>
              </w:rPr>
              <w:t>fiyatlarla</w:t>
            </w:r>
            <w:proofErr w:type="spellEnd"/>
            <w:r w:rsidRPr="00DB2C52">
              <w:rPr>
                <w:rFonts w:ascii="Cambria" w:hAnsi="Cambria" w:cs="Calibri"/>
                <w:b/>
                <w:bCs/>
                <w:color w:val="000000"/>
                <w:sz w:val="18"/>
                <w:szCs w:val="18"/>
                <w:lang w:val="en-US" w:eastAsia="en-US"/>
              </w:rPr>
              <w:t xml:space="preserve"> GSYH </w:t>
            </w:r>
            <w:proofErr w:type="spellStart"/>
            <w:r w:rsidRPr="00DB2C52">
              <w:rPr>
                <w:rFonts w:ascii="Cambria" w:hAnsi="Cambria" w:cs="Calibri"/>
                <w:b/>
                <w:bCs/>
                <w:color w:val="000000"/>
                <w:sz w:val="18"/>
                <w:szCs w:val="18"/>
                <w:lang w:val="en-US" w:eastAsia="en-US"/>
              </w:rPr>
              <w:t>ve</w:t>
            </w:r>
            <w:proofErr w:type="spellEnd"/>
            <w:r w:rsidRPr="00DB2C52">
              <w:rPr>
                <w:rFonts w:ascii="Cambria" w:hAnsi="Cambria" w:cs="Calibri"/>
                <w:b/>
                <w:bCs/>
                <w:color w:val="000000"/>
                <w:sz w:val="18"/>
                <w:szCs w:val="18"/>
                <w:lang w:val="en-US" w:eastAsia="en-US"/>
              </w:rPr>
              <w:t xml:space="preserve"> alt </w:t>
            </w:r>
            <w:proofErr w:type="spellStart"/>
            <w:r w:rsidRPr="00DB2C52">
              <w:rPr>
                <w:rFonts w:ascii="Cambria" w:hAnsi="Cambria" w:cs="Calibri"/>
                <w:b/>
                <w:bCs/>
                <w:color w:val="000000"/>
                <w:sz w:val="18"/>
                <w:szCs w:val="18"/>
                <w:lang w:val="en-US" w:eastAsia="en-US"/>
              </w:rPr>
              <w:t>kalemleri</w:t>
            </w:r>
            <w:proofErr w:type="spellEnd"/>
            <w:r w:rsidRPr="00DB2C52">
              <w:rPr>
                <w:rFonts w:ascii="Cambria" w:hAnsi="Cambria" w:cs="Calibri"/>
                <w:b/>
                <w:bCs/>
                <w:color w:val="000000"/>
                <w:sz w:val="18"/>
                <w:szCs w:val="18"/>
                <w:lang w:val="en-US" w:eastAsia="en-US"/>
              </w:rPr>
              <w:t xml:space="preserve"> (</w:t>
            </w:r>
            <w:proofErr w:type="spellStart"/>
            <w:r w:rsidRPr="00DB2C52">
              <w:rPr>
                <w:rFonts w:ascii="Cambria" w:hAnsi="Cambria" w:cs="Calibri"/>
                <w:b/>
                <w:bCs/>
                <w:color w:val="000000"/>
                <w:sz w:val="18"/>
                <w:szCs w:val="18"/>
                <w:lang w:val="en-US" w:eastAsia="en-US"/>
              </w:rPr>
              <w:t>milyon</w:t>
            </w:r>
            <w:proofErr w:type="spellEnd"/>
            <w:r w:rsidRPr="00DB2C52">
              <w:rPr>
                <w:rFonts w:ascii="Cambria" w:hAnsi="Cambria" w:cs="Calibri"/>
                <w:b/>
                <w:bCs/>
                <w:color w:val="000000"/>
                <w:sz w:val="18"/>
                <w:szCs w:val="18"/>
                <w:lang w:val="en-US" w:eastAsia="en-US"/>
              </w:rPr>
              <w:t xml:space="preserve"> TL)</w:t>
            </w:r>
          </w:p>
        </w:tc>
      </w:tr>
      <w:tr w:rsidR="00DB2C52" w:rsidRPr="00DB2C52" w:rsidTr="00DB2C52">
        <w:trPr>
          <w:trHeight w:val="240"/>
          <w:jc w:val="center"/>
        </w:trPr>
        <w:tc>
          <w:tcPr>
            <w:tcW w:w="692"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 </w:t>
            </w:r>
          </w:p>
        </w:tc>
        <w:tc>
          <w:tcPr>
            <w:tcW w:w="649"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r w:rsidRPr="00DB2C52">
              <w:rPr>
                <w:rFonts w:ascii="Cambria" w:hAnsi="Cambria" w:cs="Calibri"/>
                <w:b/>
                <w:bCs/>
                <w:color w:val="000000"/>
                <w:sz w:val="18"/>
                <w:szCs w:val="18"/>
                <w:lang w:val="en-US" w:eastAsia="en-US"/>
              </w:rPr>
              <w:t>C</w:t>
            </w:r>
          </w:p>
        </w:tc>
        <w:tc>
          <w:tcPr>
            <w:tcW w:w="499"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r w:rsidRPr="00DB2C52">
              <w:rPr>
                <w:rFonts w:ascii="Cambria" w:hAnsi="Cambria" w:cs="Calibri"/>
                <w:b/>
                <w:bCs/>
                <w:color w:val="000000"/>
                <w:sz w:val="18"/>
                <w:szCs w:val="18"/>
                <w:lang w:val="en-US" w:eastAsia="en-US"/>
              </w:rPr>
              <w:t>G</w:t>
            </w:r>
          </w:p>
        </w:tc>
        <w:tc>
          <w:tcPr>
            <w:tcW w:w="499"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r w:rsidRPr="00DB2C52">
              <w:rPr>
                <w:rFonts w:ascii="Cambria" w:hAnsi="Cambria" w:cs="Calibri"/>
                <w:b/>
                <w:bCs/>
                <w:color w:val="000000"/>
                <w:sz w:val="18"/>
                <w:szCs w:val="18"/>
                <w:lang w:val="en-US" w:eastAsia="en-US"/>
              </w:rPr>
              <w:t>I</w:t>
            </w:r>
          </w:p>
        </w:tc>
        <w:tc>
          <w:tcPr>
            <w:tcW w:w="439"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proofErr w:type="spellStart"/>
            <w:r w:rsidRPr="00DB2C52">
              <w:rPr>
                <w:rFonts w:ascii="Cambria" w:hAnsi="Cambria" w:cs="Calibri"/>
                <w:b/>
                <w:bCs/>
                <w:color w:val="000000"/>
                <w:sz w:val="18"/>
                <w:szCs w:val="18"/>
                <w:lang w:val="en-US" w:eastAsia="en-US"/>
              </w:rPr>
              <w:t>dS</w:t>
            </w:r>
            <w:proofErr w:type="spellEnd"/>
          </w:p>
        </w:tc>
        <w:tc>
          <w:tcPr>
            <w:tcW w:w="499"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r w:rsidRPr="00DB2C52">
              <w:rPr>
                <w:rFonts w:ascii="Cambria" w:hAnsi="Cambria" w:cs="Calibri"/>
                <w:b/>
                <w:bCs/>
                <w:color w:val="000000"/>
                <w:sz w:val="18"/>
                <w:szCs w:val="18"/>
                <w:lang w:val="en-US" w:eastAsia="en-US"/>
              </w:rPr>
              <w:t>X</w:t>
            </w:r>
          </w:p>
        </w:tc>
        <w:tc>
          <w:tcPr>
            <w:tcW w:w="1088"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r w:rsidRPr="00DB2C52">
              <w:rPr>
                <w:rFonts w:ascii="Cambria" w:hAnsi="Cambria" w:cs="Calibri"/>
                <w:b/>
                <w:bCs/>
                <w:color w:val="000000"/>
                <w:sz w:val="18"/>
                <w:szCs w:val="18"/>
                <w:lang w:val="en-US" w:eastAsia="en-US"/>
              </w:rPr>
              <w:t>(</w:t>
            </w:r>
            <w:proofErr w:type="spellStart"/>
            <w:r w:rsidRPr="00DB2C52">
              <w:rPr>
                <w:rFonts w:ascii="Cambria" w:hAnsi="Cambria" w:cs="Calibri"/>
                <w:b/>
                <w:bCs/>
                <w:color w:val="000000"/>
                <w:sz w:val="18"/>
                <w:szCs w:val="18"/>
                <w:lang w:val="en-US" w:eastAsia="en-US"/>
              </w:rPr>
              <w:t>Eksi</w:t>
            </w:r>
            <w:proofErr w:type="spellEnd"/>
            <w:r w:rsidRPr="00DB2C52">
              <w:rPr>
                <w:rFonts w:ascii="Cambria" w:hAnsi="Cambria" w:cs="Calibri"/>
                <w:b/>
                <w:bCs/>
                <w:color w:val="000000"/>
                <w:sz w:val="18"/>
                <w:szCs w:val="18"/>
                <w:lang w:val="en-US" w:eastAsia="en-US"/>
              </w:rPr>
              <w:t>) M</w:t>
            </w:r>
          </w:p>
        </w:tc>
        <w:tc>
          <w:tcPr>
            <w:tcW w:w="649" w:type="dxa"/>
            <w:tcBorders>
              <w:top w:val="single" w:sz="4" w:space="0" w:color="auto"/>
              <w:left w:val="nil"/>
              <w:bottom w:val="nil"/>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r w:rsidRPr="00DB2C52">
              <w:rPr>
                <w:rFonts w:ascii="Cambria" w:hAnsi="Cambria" w:cs="Calibri"/>
                <w:b/>
                <w:bCs/>
                <w:color w:val="000000"/>
                <w:sz w:val="18"/>
                <w:szCs w:val="18"/>
                <w:lang w:val="en-US" w:eastAsia="en-US"/>
              </w:rPr>
              <w:t>Y</w:t>
            </w:r>
          </w:p>
        </w:tc>
        <w:tc>
          <w:tcPr>
            <w:tcW w:w="649" w:type="dxa"/>
            <w:tcBorders>
              <w:top w:val="single" w:sz="4" w:space="0" w:color="auto"/>
              <w:left w:val="nil"/>
              <w:bottom w:val="single" w:sz="4" w:space="0" w:color="auto"/>
              <w:right w:val="nil"/>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proofErr w:type="spellStart"/>
            <w:r w:rsidRPr="00DB2C52">
              <w:rPr>
                <w:rFonts w:ascii="Cambria" w:hAnsi="Cambria" w:cs="Calibri"/>
                <w:b/>
                <w:bCs/>
                <w:color w:val="000000"/>
                <w:sz w:val="18"/>
                <w:szCs w:val="18"/>
                <w:lang w:val="en-US" w:eastAsia="en-US"/>
              </w:rPr>
              <w:t>Yt</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52" w:rsidRPr="00DB2C52" w:rsidRDefault="00DB2C52" w:rsidP="00DB2C52">
            <w:pPr>
              <w:suppressAutoHyphens w:val="0"/>
              <w:jc w:val="center"/>
              <w:rPr>
                <w:rFonts w:ascii="Cambria" w:hAnsi="Cambria" w:cs="Calibri"/>
                <w:b/>
                <w:bCs/>
                <w:color w:val="000000"/>
                <w:sz w:val="18"/>
                <w:szCs w:val="18"/>
                <w:lang w:val="en-US" w:eastAsia="en-US"/>
              </w:rPr>
            </w:pPr>
            <w:r w:rsidRPr="00DB2C52">
              <w:rPr>
                <w:rFonts w:ascii="Cambria" w:hAnsi="Cambria" w:cs="Calibri"/>
                <w:b/>
                <w:bCs/>
                <w:color w:val="000000"/>
                <w:sz w:val="18"/>
                <w:szCs w:val="18"/>
                <w:lang w:val="en-US" w:eastAsia="en-US"/>
              </w:rPr>
              <w:t>Fark(%)</w:t>
            </w:r>
          </w:p>
        </w:tc>
      </w:tr>
      <w:tr w:rsidR="00DB2C52" w:rsidRPr="00DB2C52" w:rsidTr="00DB2C52">
        <w:trPr>
          <w:trHeight w:val="240"/>
          <w:jc w:val="center"/>
        </w:trPr>
        <w:tc>
          <w:tcPr>
            <w:tcW w:w="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2009 </w:t>
            </w:r>
          </w:p>
        </w:tc>
        <w:tc>
          <w:tcPr>
            <w:tcW w:w="649" w:type="dxa"/>
            <w:tcBorders>
              <w:top w:val="single" w:sz="4" w:space="0" w:color="auto"/>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619</w:t>
            </w:r>
          </w:p>
        </w:tc>
        <w:tc>
          <w:tcPr>
            <w:tcW w:w="499" w:type="dxa"/>
            <w:tcBorders>
              <w:top w:val="single" w:sz="4" w:space="0" w:color="auto"/>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158</w:t>
            </w:r>
          </w:p>
        </w:tc>
        <w:tc>
          <w:tcPr>
            <w:tcW w:w="499" w:type="dxa"/>
            <w:tcBorders>
              <w:top w:val="single" w:sz="4" w:space="0" w:color="auto"/>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224</w:t>
            </w:r>
          </w:p>
        </w:tc>
        <w:tc>
          <w:tcPr>
            <w:tcW w:w="439" w:type="dxa"/>
            <w:tcBorders>
              <w:top w:val="single" w:sz="4" w:space="0" w:color="auto"/>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rPr>
                <w:rFonts w:ascii="Cambria" w:hAnsi="Cambria" w:cs="Calibri"/>
                <w:sz w:val="18"/>
                <w:szCs w:val="18"/>
                <w:lang w:val="en-US" w:eastAsia="en-US"/>
              </w:rPr>
            </w:pPr>
            <w:r w:rsidRPr="00DB2C52">
              <w:rPr>
                <w:rFonts w:ascii="Cambria" w:hAnsi="Cambria" w:cs="Calibri"/>
                <w:sz w:val="18"/>
                <w:szCs w:val="18"/>
                <w:lang w:val="en-US" w:eastAsia="en-US"/>
              </w:rPr>
              <w:t> </w:t>
            </w:r>
          </w:p>
        </w:tc>
        <w:tc>
          <w:tcPr>
            <w:tcW w:w="499" w:type="dxa"/>
            <w:tcBorders>
              <w:top w:val="single" w:sz="4" w:space="0" w:color="auto"/>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226</w:t>
            </w:r>
          </w:p>
        </w:tc>
        <w:tc>
          <w:tcPr>
            <w:tcW w:w="1088" w:type="dxa"/>
            <w:tcBorders>
              <w:top w:val="single" w:sz="4" w:space="0" w:color="auto"/>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233</w:t>
            </w:r>
          </w:p>
        </w:tc>
        <w:tc>
          <w:tcPr>
            <w:tcW w:w="649" w:type="dxa"/>
            <w:tcBorders>
              <w:top w:val="single" w:sz="4" w:space="0" w:color="auto"/>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999</w:t>
            </w: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993</w:t>
            </w:r>
          </w:p>
        </w:tc>
        <w:tc>
          <w:tcPr>
            <w:tcW w:w="1117" w:type="dxa"/>
            <w:tcBorders>
              <w:top w:val="nil"/>
              <w:left w:val="single" w:sz="4" w:space="0" w:color="auto"/>
              <w:bottom w:val="nil"/>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-0.6</w:t>
            </w:r>
          </w:p>
        </w:tc>
      </w:tr>
      <w:tr w:rsidR="00DB2C52" w:rsidRPr="00DB2C52" w:rsidTr="00DB2C52">
        <w:trPr>
          <w:trHeight w:val="24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2010 </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686</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160</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274</w:t>
            </w:r>
          </w:p>
        </w:tc>
        <w:tc>
          <w:tcPr>
            <w:tcW w:w="43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rPr>
                <w:rFonts w:ascii="Cambria" w:hAnsi="Cambria" w:cs="Calibri"/>
                <w:sz w:val="18"/>
                <w:szCs w:val="18"/>
                <w:lang w:val="en-US" w:eastAsia="en-US"/>
              </w:rPr>
            </w:pPr>
            <w:r w:rsidRPr="00DB2C52">
              <w:rPr>
                <w:rFonts w:ascii="Cambria" w:hAnsi="Cambria" w:cs="Calibri"/>
                <w:sz w:val="18"/>
                <w:szCs w:val="18"/>
                <w:lang w:val="en-US" w:eastAsia="en-US"/>
              </w:rPr>
              <w:t> </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229</w:t>
            </w:r>
          </w:p>
        </w:tc>
        <w:tc>
          <w:tcPr>
            <w:tcW w:w="1088"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279</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1084</w:t>
            </w: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1071</w:t>
            </w:r>
          </w:p>
        </w:tc>
        <w:tc>
          <w:tcPr>
            <w:tcW w:w="1117" w:type="dxa"/>
            <w:tcBorders>
              <w:top w:val="nil"/>
              <w:left w:val="single" w:sz="4" w:space="0" w:color="auto"/>
              <w:bottom w:val="nil"/>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-1.2</w:t>
            </w:r>
          </w:p>
        </w:tc>
      </w:tr>
      <w:tr w:rsidR="00DB2C52" w:rsidRPr="00DB2C52" w:rsidTr="00DB2C52">
        <w:trPr>
          <w:trHeight w:val="24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2011 </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770</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162</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339</w:t>
            </w:r>
          </w:p>
        </w:tc>
        <w:tc>
          <w:tcPr>
            <w:tcW w:w="43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rPr>
                <w:rFonts w:ascii="Cambria" w:hAnsi="Cambria" w:cs="Calibri"/>
                <w:sz w:val="18"/>
                <w:szCs w:val="18"/>
                <w:lang w:val="en-US" w:eastAsia="en-US"/>
              </w:rPr>
            </w:pPr>
            <w:r w:rsidRPr="00DB2C52">
              <w:rPr>
                <w:rFonts w:ascii="Cambria" w:hAnsi="Cambria" w:cs="Calibri"/>
                <w:sz w:val="18"/>
                <w:szCs w:val="18"/>
                <w:lang w:val="en-US" w:eastAsia="en-US"/>
              </w:rPr>
              <w:t> </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260</w:t>
            </w:r>
          </w:p>
        </w:tc>
        <w:tc>
          <w:tcPr>
            <w:tcW w:w="1088"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322</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1204</w:t>
            </w: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1210</w:t>
            </w:r>
          </w:p>
        </w:tc>
        <w:tc>
          <w:tcPr>
            <w:tcW w:w="1117" w:type="dxa"/>
            <w:tcBorders>
              <w:top w:val="nil"/>
              <w:left w:val="single" w:sz="4" w:space="0" w:color="auto"/>
              <w:bottom w:val="nil"/>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0.4</w:t>
            </w:r>
          </w:p>
        </w:tc>
      </w:tr>
      <w:tr w:rsidR="00DB2C52" w:rsidRPr="00DB2C52" w:rsidTr="00DB2C52">
        <w:trPr>
          <w:trHeight w:val="24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2012 </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795</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173</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348</w:t>
            </w:r>
          </w:p>
        </w:tc>
        <w:tc>
          <w:tcPr>
            <w:tcW w:w="43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rPr>
                <w:rFonts w:ascii="Cambria" w:hAnsi="Cambria" w:cs="Calibri"/>
                <w:sz w:val="18"/>
                <w:szCs w:val="18"/>
                <w:lang w:val="en-US" w:eastAsia="en-US"/>
              </w:rPr>
            </w:pPr>
            <w:r w:rsidRPr="00DB2C52">
              <w:rPr>
                <w:rFonts w:ascii="Cambria" w:hAnsi="Cambria" w:cs="Calibri"/>
                <w:sz w:val="18"/>
                <w:szCs w:val="18"/>
                <w:lang w:val="en-US" w:eastAsia="en-US"/>
              </w:rPr>
              <w:t> </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299</w:t>
            </w:r>
          </w:p>
        </w:tc>
        <w:tc>
          <w:tcPr>
            <w:tcW w:w="1088"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324</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1262</w:t>
            </w: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1291</w:t>
            </w:r>
          </w:p>
        </w:tc>
        <w:tc>
          <w:tcPr>
            <w:tcW w:w="1117" w:type="dxa"/>
            <w:tcBorders>
              <w:top w:val="nil"/>
              <w:left w:val="single" w:sz="4" w:space="0" w:color="auto"/>
              <w:bottom w:val="nil"/>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2.3</w:t>
            </w:r>
          </w:p>
        </w:tc>
      </w:tr>
      <w:tr w:rsidR="00DB2C52" w:rsidRPr="00DB2C52" w:rsidTr="00DB2C52">
        <w:trPr>
          <w:trHeight w:val="24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2013 </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857</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187</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397</w:t>
            </w:r>
          </w:p>
        </w:tc>
        <w:tc>
          <w:tcPr>
            <w:tcW w:w="43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rPr>
                <w:rFonts w:ascii="Cambria" w:hAnsi="Cambria" w:cs="Calibri"/>
                <w:sz w:val="18"/>
                <w:szCs w:val="18"/>
                <w:lang w:val="en-US" w:eastAsia="en-US"/>
              </w:rPr>
            </w:pPr>
            <w:r w:rsidRPr="00DB2C52">
              <w:rPr>
                <w:rFonts w:ascii="Cambria" w:hAnsi="Cambria" w:cs="Calibri"/>
                <w:sz w:val="18"/>
                <w:szCs w:val="18"/>
                <w:lang w:val="en-US" w:eastAsia="en-US"/>
              </w:rPr>
              <w:t> </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302</w:t>
            </w:r>
          </w:p>
        </w:tc>
        <w:tc>
          <w:tcPr>
            <w:tcW w:w="1088"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350</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1369</w:t>
            </w: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1393</w:t>
            </w:r>
          </w:p>
        </w:tc>
        <w:tc>
          <w:tcPr>
            <w:tcW w:w="1117" w:type="dxa"/>
            <w:tcBorders>
              <w:top w:val="nil"/>
              <w:left w:val="single" w:sz="4" w:space="0" w:color="auto"/>
              <w:bottom w:val="nil"/>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1.7</w:t>
            </w:r>
          </w:p>
        </w:tc>
      </w:tr>
      <w:tr w:rsidR="00DB2C52" w:rsidRPr="00DB2C52" w:rsidTr="00DB2C52">
        <w:trPr>
          <w:trHeight w:val="24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2014 </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883</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193</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417</w:t>
            </w:r>
          </w:p>
        </w:tc>
        <w:tc>
          <w:tcPr>
            <w:tcW w:w="43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rPr>
                <w:rFonts w:ascii="Cambria" w:hAnsi="Cambria" w:cs="Calibri"/>
                <w:sz w:val="18"/>
                <w:szCs w:val="18"/>
                <w:lang w:val="en-US" w:eastAsia="en-US"/>
              </w:rPr>
            </w:pPr>
            <w:r w:rsidRPr="00DB2C52">
              <w:rPr>
                <w:rFonts w:ascii="Cambria" w:hAnsi="Cambria" w:cs="Calibri"/>
                <w:sz w:val="18"/>
                <w:szCs w:val="18"/>
                <w:lang w:val="en-US" w:eastAsia="en-US"/>
              </w:rPr>
              <w:t> </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327</w:t>
            </w:r>
          </w:p>
        </w:tc>
        <w:tc>
          <w:tcPr>
            <w:tcW w:w="1088"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349</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1440</w:t>
            </w: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1470</w:t>
            </w:r>
          </w:p>
        </w:tc>
        <w:tc>
          <w:tcPr>
            <w:tcW w:w="1117" w:type="dxa"/>
            <w:tcBorders>
              <w:top w:val="nil"/>
              <w:left w:val="single" w:sz="4" w:space="0" w:color="auto"/>
              <w:bottom w:val="nil"/>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2.1</w:t>
            </w:r>
          </w:p>
        </w:tc>
      </w:tr>
      <w:tr w:rsidR="00DB2C52" w:rsidRPr="00DB2C52" w:rsidTr="00DB2C52">
        <w:trPr>
          <w:trHeight w:val="24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2015 </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931</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200</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456</w:t>
            </w:r>
          </w:p>
        </w:tc>
        <w:tc>
          <w:tcPr>
            <w:tcW w:w="43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rPr>
                <w:rFonts w:ascii="Cambria" w:hAnsi="Cambria" w:cs="Calibri"/>
                <w:sz w:val="18"/>
                <w:szCs w:val="18"/>
                <w:lang w:val="en-US" w:eastAsia="en-US"/>
              </w:rPr>
            </w:pPr>
            <w:r w:rsidRPr="00DB2C52">
              <w:rPr>
                <w:rFonts w:ascii="Cambria" w:hAnsi="Cambria" w:cs="Calibri"/>
                <w:sz w:val="18"/>
                <w:szCs w:val="18"/>
                <w:lang w:val="en-US" w:eastAsia="en-US"/>
              </w:rPr>
              <w:t> </w:t>
            </w:r>
          </w:p>
        </w:tc>
        <w:tc>
          <w:tcPr>
            <w:tcW w:w="49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341</w:t>
            </w:r>
          </w:p>
        </w:tc>
        <w:tc>
          <w:tcPr>
            <w:tcW w:w="1088"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355</w:t>
            </w:r>
          </w:p>
        </w:tc>
        <w:tc>
          <w:tcPr>
            <w:tcW w:w="649" w:type="dxa"/>
            <w:tcBorders>
              <w:top w:val="nil"/>
              <w:left w:val="nil"/>
              <w:bottom w:val="single" w:sz="4" w:space="0" w:color="auto"/>
              <w:right w:val="single" w:sz="4" w:space="0" w:color="auto"/>
            </w:tcBorders>
            <w:shd w:val="clear" w:color="000000" w:fill="FFFFFF"/>
            <w:noWrap/>
            <w:vAlign w:val="bottom"/>
            <w:hideMark/>
          </w:tcPr>
          <w:p w:rsidR="00DB2C52" w:rsidRPr="00DB2C52" w:rsidRDefault="00DB2C52" w:rsidP="00DB2C52">
            <w:pPr>
              <w:suppressAutoHyphens w:val="0"/>
              <w:jc w:val="right"/>
              <w:rPr>
                <w:rFonts w:ascii="Cambria" w:hAnsi="Cambria" w:cs="Calibri"/>
                <w:sz w:val="18"/>
                <w:szCs w:val="18"/>
                <w:lang w:val="en-US" w:eastAsia="en-US"/>
              </w:rPr>
            </w:pPr>
            <w:r w:rsidRPr="00DB2C52">
              <w:rPr>
                <w:rFonts w:ascii="Cambria" w:hAnsi="Cambria" w:cs="Calibri"/>
                <w:sz w:val="18"/>
                <w:szCs w:val="18"/>
                <w:lang w:val="en-US" w:eastAsia="en-US"/>
              </w:rPr>
              <w:t>1528</w:t>
            </w:r>
          </w:p>
        </w:tc>
        <w:tc>
          <w:tcPr>
            <w:tcW w:w="649" w:type="dxa"/>
            <w:tcBorders>
              <w:top w:val="nil"/>
              <w:left w:val="nil"/>
              <w:bottom w:val="nil"/>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1572</w:t>
            </w:r>
          </w:p>
        </w:tc>
        <w:tc>
          <w:tcPr>
            <w:tcW w:w="1117" w:type="dxa"/>
            <w:tcBorders>
              <w:top w:val="nil"/>
              <w:left w:val="single" w:sz="4" w:space="0" w:color="auto"/>
              <w:bottom w:val="nil"/>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2.9</w:t>
            </w:r>
          </w:p>
        </w:tc>
      </w:tr>
      <w:tr w:rsidR="00DB2C52" w:rsidRPr="00DB2C52" w:rsidTr="00DB2C52">
        <w:trPr>
          <w:trHeight w:val="255"/>
          <w:jc w:val="center"/>
        </w:trPr>
        <w:tc>
          <w:tcPr>
            <w:tcW w:w="692" w:type="dxa"/>
            <w:tcBorders>
              <w:top w:val="nil"/>
              <w:left w:val="single" w:sz="4" w:space="0" w:color="auto"/>
              <w:bottom w:val="double" w:sz="6" w:space="0" w:color="auto"/>
              <w:right w:val="single" w:sz="4" w:space="0" w:color="auto"/>
            </w:tcBorders>
            <w:shd w:val="clear" w:color="000000" w:fill="FFFFFF"/>
            <w:noWrap/>
            <w:vAlign w:val="center"/>
            <w:hideMark/>
          </w:tcPr>
          <w:p w:rsidR="00DB2C52" w:rsidRPr="00DB2C52" w:rsidRDefault="00DB2C52" w:rsidP="00DB2C52">
            <w:pPr>
              <w:suppressAutoHyphens w:val="0"/>
              <w:jc w:val="center"/>
              <w:rPr>
                <w:rFonts w:ascii="Cambria" w:hAnsi="Cambria" w:cs="Calibri"/>
                <w:b/>
                <w:bCs/>
                <w:sz w:val="18"/>
                <w:szCs w:val="18"/>
                <w:lang w:val="en-US" w:eastAsia="en-US"/>
              </w:rPr>
            </w:pPr>
            <w:r w:rsidRPr="00DB2C52">
              <w:rPr>
                <w:rFonts w:ascii="Cambria" w:hAnsi="Cambria" w:cs="Calibri"/>
                <w:b/>
                <w:bCs/>
                <w:sz w:val="18"/>
                <w:szCs w:val="18"/>
                <w:lang w:val="en-US" w:eastAsia="en-US"/>
              </w:rPr>
              <w:t xml:space="preserve">2016 </w:t>
            </w:r>
          </w:p>
        </w:tc>
        <w:tc>
          <w:tcPr>
            <w:tcW w:w="649" w:type="dxa"/>
            <w:tcBorders>
              <w:top w:val="nil"/>
              <w:left w:val="nil"/>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965</w:t>
            </w:r>
          </w:p>
        </w:tc>
        <w:tc>
          <w:tcPr>
            <w:tcW w:w="499" w:type="dxa"/>
            <w:tcBorders>
              <w:top w:val="nil"/>
              <w:left w:val="nil"/>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219</w:t>
            </w:r>
          </w:p>
        </w:tc>
        <w:tc>
          <w:tcPr>
            <w:tcW w:w="499" w:type="dxa"/>
            <w:tcBorders>
              <w:top w:val="nil"/>
              <w:left w:val="nil"/>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466</w:t>
            </w:r>
          </w:p>
        </w:tc>
        <w:tc>
          <w:tcPr>
            <w:tcW w:w="439" w:type="dxa"/>
            <w:tcBorders>
              <w:top w:val="nil"/>
              <w:left w:val="nil"/>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 </w:t>
            </w:r>
          </w:p>
        </w:tc>
        <w:tc>
          <w:tcPr>
            <w:tcW w:w="499" w:type="dxa"/>
            <w:tcBorders>
              <w:top w:val="nil"/>
              <w:left w:val="nil"/>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334</w:t>
            </w:r>
          </w:p>
        </w:tc>
        <w:tc>
          <w:tcPr>
            <w:tcW w:w="1088" w:type="dxa"/>
            <w:tcBorders>
              <w:top w:val="nil"/>
              <w:left w:val="nil"/>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368</w:t>
            </w:r>
          </w:p>
        </w:tc>
        <w:tc>
          <w:tcPr>
            <w:tcW w:w="649" w:type="dxa"/>
            <w:tcBorders>
              <w:top w:val="nil"/>
              <w:left w:val="nil"/>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1576</w:t>
            </w:r>
          </w:p>
        </w:tc>
        <w:tc>
          <w:tcPr>
            <w:tcW w:w="649" w:type="dxa"/>
            <w:tcBorders>
              <w:top w:val="nil"/>
              <w:left w:val="nil"/>
              <w:bottom w:val="double" w:sz="6" w:space="0" w:color="auto"/>
              <w:right w:val="nil"/>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1616</w:t>
            </w:r>
          </w:p>
        </w:tc>
        <w:tc>
          <w:tcPr>
            <w:tcW w:w="1117" w:type="dxa"/>
            <w:tcBorders>
              <w:top w:val="nil"/>
              <w:left w:val="single" w:sz="4" w:space="0" w:color="auto"/>
              <w:bottom w:val="double" w:sz="6" w:space="0" w:color="auto"/>
              <w:right w:val="single" w:sz="4" w:space="0" w:color="auto"/>
            </w:tcBorders>
            <w:shd w:val="clear" w:color="auto" w:fill="auto"/>
            <w:noWrap/>
            <w:vAlign w:val="bottom"/>
            <w:hideMark/>
          </w:tcPr>
          <w:p w:rsidR="00DB2C52" w:rsidRPr="00DB2C52" w:rsidRDefault="00DB2C52" w:rsidP="00DB2C52">
            <w:pPr>
              <w:suppressAutoHyphens w:val="0"/>
              <w:jc w:val="right"/>
              <w:rPr>
                <w:rFonts w:ascii="Cambria" w:hAnsi="Cambria" w:cs="Calibri"/>
                <w:color w:val="000000"/>
                <w:sz w:val="18"/>
                <w:szCs w:val="18"/>
                <w:lang w:val="en-US" w:eastAsia="en-US"/>
              </w:rPr>
            </w:pPr>
            <w:r w:rsidRPr="00DB2C52">
              <w:rPr>
                <w:rFonts w:ascii="Cambria" w:hAnsi="Cambria" w:cs="Calibri"/>
                <w:color w:val="000000"/>
                <w:sz w:val="18"/>
                <w:szCs w:val="18"/>
                <w:lang w:val="en-US" w:eastAsia="en-US"/>
              </w:rPr>
              <w:t>2.5</w:t>
            </w:r>
          </w:p>
        </w:tc>
      </w:tr>
    </w:tbl>
    <w:p w:rsidR="00DA5B49" w:rsidRDefault="00DB2C52" w:rsidP="00DA5B49">
      <w:pPr>
        <w:spacing w:line="360" w:lineRule="auto"/>
        <w:ind w:firstLine="340"/>
        <w:jc w:val="both"/>
        <w:rPr>
          <w:rFonts w:ascii="Palatino Linotype" w:hAnsi="Palatino Linotype"/>
        </w:rPr>
      </w:pPr>
      <w:r>
        <w:rPr>
          <w:rFonts w:ascii="Palatino Linotype" w:hAnsi="Palatino Linotype"/>
        </w:rPr>
        <w:t>K</w:t>
      </w:r>
      <w:r w:rsidR="00E20B86">
        <w:rPr>
          <w:rFonts w:ascii="Palatino Linotype" w:hAnsi="Palatino Linotype"/>
        </w:rPr>
        <w:t>aynak</w:t>
      </w:r>
      <w:r w:rsidR="00DA5B49">
        <w:rPr>
          <w:rFonts w:ascii="Palatino Linotype" w:hAnsi="Palatino Linotype"/>
        </w:rPr>
        <w:t>: TÜİK, Betam.</w:t>
      </w:r>
    </w:p>
    <w:p w:rsidR="006D68E0" w:rsidRPr="006D68E0" w:rsidRDefault="006D68E0" w:rsidP="006D68E0">
      <w:pPr>
        <w:pStyle w:val="Heading2"/>
        <w:spacing w:line="360" w:lineRule="auto"/>
        <w:ind w:firstLine="340"/>
        <w:rPr>
          <w:rFonts w:ascii="Palatino Linotype" w:hAnsi="Palatino Linotype"/>
          <w:lang w:val="tr-TR"/>
        </w:rPr>
      </w:pPr>
      <w:r>
        <w:rPr>
          <w:rFonts w:ascii="Palatino Linotype" w:hAnsi="Palatino Linotype"/>
          <w:lang w:val="tr-TR"/>
        </w:rPr>
        <w:t xml:space="preserve">Büyümeye katkı: yaklaşık ve </w:t>
      </w:r>
      <w:r w:rsidR="004F62A4">
        <w:rPr>
          <w:rFonts w:ascii="Palatino Linotype" w:hAnsi="Palatino Linotype"/>
          <w:lang w:val="tr-TR"/>
        </w:rPr>
        <w:t>kesin hesaplar</w:t>
      </w:r>
    </w:p>
    <w:p w:rsidR="008D09C8" w:rsidRDefault="00713054" w:rsidP="00467873">
      <w:pPr>
        <w:spacing w:line="360" w:lineRule="auto"/>
        <w:ind w:firstLine="340"/>
        <w:jc w:val="both"/>
        <w:rPr>
          <w:rFonts w:ascii="Palatino Linotype" w:hAnsi="Palatino Linotype"/>
        </w:rPr>
      </w:pPr>
      <w:r>
        <w:rPr>
          <w:rFonts w:ascii="Palatino Linotype" w:hAnsi="Palatino Linotype"/>
        </w:rPr>
        <w:t>H</w:t>
      </w:r>
      <w:r w:rsidR="00074311">
        <w:rPr>
          <w:rFonts w:ascii="Palatino Linotype" w:hAnsi="Palatino Linotype"/>
        </w:rPr>
        <w:t>arcamalar yönüyle büyümeye katkı hesaplayan kişi ve kurumlar</w:t>
      </w:r>
      <w:r>
        <w:rPr>
          <w:rFonts w:ascii="Palatino Linotype" w:hAnsi="Palatino Linotype"/>
        </w:rPr>
        <w:t xml:space="preserve">, yeni milli gelir serileriyle büyümeye </w:t>
      </w:r>
      <w:r w:rsidRPr="004C75A9">
        <w:rPr>
          <w:rFonts w:ascii="Palatino Linotype" w:hAnsi="Palatino Linotype"/>
        </w:rPr>
        <w:t>katkı</w:t>
      </w:r>
      <w:r w:rsidR="003B7CA7" w:rsidRPr="004C75A9">
        <w:rPr>
          <w:rFonts w:ascii="Palatino Linotype" w:hAnsi="Palatino Linotype"/>
        </w:rPr>
        <w:t>ları</w:t>
      </w:r>
      <w:r w:rsidRPr="004C75A9">
        <w:rPr>
          <w:rFonts w:ascii="Palatino Linotype" w:hAnsi="Palatino Linotype"/>
        </w:rPr>
        <w:t xml:space="preserve"> hesaplarken,</w:t>
      </w:r>
      <w:r w:rsidR="00074311" w:rsidRPr="004C75A9">
        <w:rPr>
          <w:rFonts w:ascii="Palatino Linotype" w:hAnsi="Palatino Linotype"/>
        </w:rPr>
        <w:t xml:space="preserve"> </w:t>
      </w:r>
      <w:proofErr w:type="spellStart"/>
      <w:r w:rsidR="00074311" w:rsidRPr="004C75A9">
        <w:rPr>
          <w:rFonts w:ascii="Palatino Linotype" w:hAnsi="Palatino Linotype"/>
        </w:rPr>
        <w:t>toplamsallık</w:t>
      </w:r>
      <w:proofErr w:type="spellEnd"/>
      <w:r w:rsidR="00074311" w:rsidRPr="004C75A9">
        <w:rPr>
          <w:rFonts w:ascii="Palatino Linotype" w:hAnsi="Palatino Linotype"/>
        </w:rPr>
        <w:t xml:space="preserve"> sorununu göz ardı ederek </w:t>
      </w:r>
      <w:r w:rsidR="00475CFB" w:rsidRPr="004C75A9">
        <w:rPr>
          <w:rFonts w:ascii="Palatino Linotype" w:hAnsi="Palatino Linotype"/>
        </w:rPr>
        <w:t xml:space="preserve">alt serilerin toplamı ile ana seri arasındaki farkı stok değişimi olarak kabul ettiler. Eğer </w:t>
      </w:r>
      <w:proofErr w:type="spellStart"/>
      <w:r w:rsidR="00475CFB" w:rsidRPr="004C75A9">
        <w:rPr>
          <w:rFonts w:ascii="Palatino Linotype" w:hAnsi="Palatino Linotype"/>
        </w:rPr>
        <w:t>toplamsallıktan</w:t>
      </w:r>
      <w:proofErr w:type="spellEnd"/>
      <w:r w:rsidR="00475CFB" w:rsidRPr="004C75A9">
        <w:rPr>
          <w:rFonts w:ascii="Palatino Linotype" w:hAnsi="Palatino Linotype"/>
        </w:rPr>
        <w:t xml:space="preserve"> kaynaklanan </w:t>
      </w:r>
      <w:r w:rsidR="003B7CA7" w:rsidRPr="004C75A9">
        <w:rPr>
          <w:rFonts w:ascii="Palatino Linotype" w:hAnsi="Palatino Linotype"/>
        </w:rPr>
        <w:t xml:space="preserve">fark </w:t>
      </w:r>
      <w:r w:rsidR="00475CFB" w:rsidRPr="004C75A9">
        <w:rPr>
          <w:rFonts w:ascii="Palatino Linotype" w:hAnsi="Palatino Linotype"/>
        </w:rPr>
        <w:t xml:space="preserve">ihmal edilebilir düzeyde ise bu </w:t>
      </w:r>
      <w:r w:rsidR="006D68E0" w:rsidRPr="004C75A9">
        <w:rPr>
          <w:rFonts w:ascii="Palatino Linotype" w:hAnsi="Palatino Linotype"/>
        </w:rPr>
        <w:t xml:space="preserve">“yaklaşık </w:t>
      </w:r>
      <w:r w:rsidR="004F62A4" w:rsidRPr="004C75A9">
        <w:rPr>
          <w:rFonts w:ascii="Palatino Linotype" w:hAnsi="Palatino Linotype"/>
        </w:rPr>
        <w:t>hesap</w:t>
      </w:r>
      <w:r w:rsidR="006D68E0" w:rsidRPr="004C75A9">
        <w:rPr>
          <w:rFonts w:ascii="Palatino Linotype" w:hAnsi="Palatino Linotype"/>
        </w:rPr>
        <w:t>”</w:t>
      </w:r>
      <w:r w:rsidR="00475CFB" w:rsidRPr="004C75A9">
        <w:rPr>
          <w:rFonts w:ascii="Palatino Linotype" w:hAnsi="Palatino Linotype"/>
        </w:rPr>
        <w:t xml:space="preserve"> kabul edilebilir</w:t>
      </w:r>
      <w:r w:rsidR="006D68E0" w:rsidRPr="004C75A9">
        <w:rPr>
          <w:rFonts w:ascii="Palatino Linotype" w:hAnsi="Palatino Linotype"/>
        </w:rPr>
        <w:t xml:space="preserve">. </w:t>
      </w:r>
      <w:r w:rsidR="003C38EF" w:rsidRPr="004C75A9">
        <w:rPr>
          <w:rFonts w:ascii="Palatino Linotype" w:hAnsi="Palatino Linotype"/>
        </w:rPr>
        <w:t>Fakat</w:t>
      </w:r>
      <w:r w:rsidR="00475CFB" w:rsidRPr="004C75A9">
        <w:rPr>
          <w:rFonts w:ascii="Palatino Linotype" w:hAnsi="Palatino Linotype"/>
        </w:rPr>
        <w:t xml:space="preserve"> önce bu</w:t>
      </w:r>
      <w:r w:rsidR="006D68E0" w:rsidRPr="004C75A9">
        <w:rPr>
          <w:rFonts w:ascii="Palatino Linotype" w:hAnsi="Palatino Linotype"/>
        </w:rPr>
        <w:t xml:space="preserve"> yaklaşık </w:t>
      </w:r>
      <w:r w:rsidR="004F62A4" w:rsidRPr="004C75A9">
        <w:rPr>
          <w:rFonts w:ascii="Palatino Linotype" w:hAnsi="Palatino Linotype"/>
        </w:rPr>
        <w:t>hesabın</w:t>
      </w:r>
      <w:r w:rsidR="006D68E0" w:rsidRPr="004C75A9">
        <w:rPr>
          <w:rFonts w:ascii="Palatino Linotype" w:hAnsi="Palatino Linotype"/>
        </w:rPr>
        <w:t xml:space="preserve"> </w:t>
      </w:r>
      <w:r w:rsidR="004F62A4" w:rsidRPr="004C75A9">
        <w:rPr>
          <w:rFonts w:ascii="Palatino Linotype" w:hAnsi="Palatino Linotype"/>
        </w:rPr>
        <w:t xml:space="preserve">kesin hesaptan </w:t>
      </w:r>
      <w:r w:rsidR="006D68E0" w:rsidRPr="004C75A9">
        <w:rPr>
          <w:rFonts w:ascii="Palatino Linotype" w:hAnsi="Palatino Linotype"/>
        </w:rPr>
        <w:t>çok da farklı olmadığını göstermek gerekir</w:t>
      </w:r>
      <w:r w:rsidR="00475CFB" w:rsidRPr="004C75A9">
        <w:rPr>
          <w:rFonts w:ascii="Palatino Linotype" w:hAnsi="Palatino Linotype"/>
        </w:rPr>
        <w:t xml:space="preserve">. </w:t>
      </w:r>
      <w:r w:rsidR="004C75A9">
        <w:rPr>
          <w:rFonts w:ascii="Palatino Linotype" w:hAnsi="Palatino Linotype"/>
        </w:rPr>
        <w:t>Ö</w:t>
      </w:r>
      <w:r w:rsidR="004F62A4" w:rsidRPr="004C75A9">
        <w:rPr>
          <w:rFonts w:ascii="Palatino Linotype" w:hAnsi="Palatino Linotype"/>
        </w:rPr>
        <w:t xml:space="preserve">nce </w:t>
      </w:r>
      <w:r w:rsidR="00C1640C" w:rsidRPr="004C75A9">
        <w:rPr>
          <w:rFonts w:ascii="Palatino Linotype" w:hAnsi="Palatino Linotype"/>
        </w:rPr>
        <w:t xml:space="preserve">kesin hesabın nasıl yapılacağını görelim. Zincirlenmiş hacim endekslerini kullanarak </w:t>
      </w:r>
      <w:proofErr w:type="spellStart"/>
      <w:r w:rsidR="00475CFB" w:rsidRPr="004C75A9">
        <w:rPr>
          <w:rFonts w:ascii="Palatino Linotype" w:hAnsi="Palatino Linotype"/>
        </w:rPr>
        <w:t>toplamsallık</w:t>
      </w:r>
      <w:proofErr w:type="spellEnd"/>
      <w:r w:rsidR="00475CFB" w:rsidRPr="004C75A9">
        <w:rPr>
          <w:rFonts w:ascii="Palatino Linotype" w:hAnsi="Palatino Linotype"/>
        </w:rPr>
        <w:t xml:space="preserve"> sorunu olmayan büyümeye katkıların </w:t>
      </w:r>
      <w:r w:rsidR="00C1640C" w:rsidRPr="004C75A9">
        <w:rPr>
          <w:rFonts w:ascii="Palatino Linotype" w:hAnsi="Palatino Linotype"/>
        </w:rPr>
        <w:t>nasıl hesaplanacağı IMF’nin Dönemsel Hesaplar Kılavuzu'nda örneklerle anlatılmaktadır</w:t>
      </w:r>
      <w:r w:rsidR="00475CFB" w:rsidRPr="004C75A9">
        <w:rPr>
          <w:rFonts w:ascii="Palatino Linotype" w:hAnsi="Palatino Linotype"/>
        </w:rPr>
        <w:t>.</w:t>
      </w:r>
      <w:r w:rsidR="00475CFB" w:rsidRPr="004C75A9">
        <w:rPr>
          <w:rStyle w:val="FootnoteReference"/>
          <w:rFonts w:ascii="Palatino Linotype" w:hAnsi="Palatino Linotype"/>
        </w:rPr>
        <w:footnoteReference w:id="3"/>
      </w:r>
      <w:r w:rsidR="00475CFB" w:rsidRPr="004C75A9">
        <w:rPr>
          <w:rFonts w:ascii="Palatino Linotype" w:hAnsi="Palatino Linotype"/>
        </w:rPr>
        <w:t xml:space="preserve"> Aşağıda</w:t>
      </w:r>
      <w:r w:rsidR="00C1640C" w:rsidRPr="004C75A9">
        <w:rPr>
          <w:rFonts w:ascii="Palatino Linotype" w:hAnsi="Palatino Linotype"/>
        </w:rPr>
        <w:t>,</w:t>
      </w:r>
      <w:r w:rsidR="00475CFB" w:rsidRPr="004C75A9">
        <w:rPr>
          <w:rFonts w:ascii="Palatino Linotype" w:hAnsi="Palatino Linotype"/>
        </w:rPr>
        <w:t xml:space="preserve"> tüketimin GSYH büyümesine katkısını hesaplamak için önerilen formülü </w:t>
      </w:r>
      <w:r w:rsidR="002E4792" w:rsidRPr="004C75A9">
        <w:rPr>
          <w:rFonts w:ascii="Palatino Linotype" w:hAnsi="Palatino Linotype"/>
        </w:rPr>
        <w:t xml:space="preserve">tüketim için </w:t>
      </w:r>
      <w:r w:rsidR="00475CFB" w:rsidRPr="004C75A9">
        <w:rPr>
          <w:rFonts w:ascii="Palatino Linotype" w:hAnsi="Palatino Linotype"/>
        </w:rPr>
        <w:t xml:space="preserve">yazıyoruz. Bu </w:t>
      </w:r>
      <w:r w:rsidR="00475CFB">
        <w:rPr>
          <w:rFonts w:ascii="Palatino Linotype" w:hAnsi="Palatino Linotype"/>
        </w:rPr>
        <w:t>formül benzer şekilde</w:t>
      </w:r>
      <w:r w:rsidR="002E4792">
        <w:rPr>
          <w:rFonts w:ascii="Palatino Linotype" w:hAnsi="Palatino Linotype"/>
        </w:rPr>
        <w:t xml:space="preserve">, </w:t>
      </w:r>
      <w:r w:rsidR="00475CFB">
        <w:rPr>
          <w:rFonts w:ascii="Palatino Linotype" w:hAnsi="Palatino Linotype"/>
        </w:rPr>
        <w:t>yatırım, ihracat ve ithalat için de yazılabilir. IMF Kılavuzun</w:t>
      </w:r>
      <w:r w:rsidR="0061670A">
        <w:rPr>
          <w:rFonts w:ascii="Palatino Linotype" w:hAnsi="Palatino Linotype"/>
        </w:rPr>
        <w:t>da</w:t>
      </w:r>
      <w:r w:rsidR="00475CFB">
        <w:rPr>
          <w:rFonts w:ascii="Palatino Linotype" w:hAnsi="Palatino Linotype"/>
        </w:rPr>
        <w:t xml:space="preserve"> </w:t>
      </w:r>
      <w:r w:rsidR="0061670A">
        <w:rPr>
          <w:rFonts w:ascii="Palatino Linotype" w:hAnsi="Palatino Linotype"/>
        </w:rPr>
        <w:t xml:space="preserve">mevsim ve takvim etkilerinden arındırılmış veriler için çeyreklik büyümeye katkıların nasıl hesaplanacağı örneklerle anlatılmıştır. Söz konusu Kılavuzun 30. Sayfasında yer alan </w:t>
      </w:r>
      <w:r w:rsidR="00E72A5A">
        <w:rPr>
          <w:rFonts w:ascii="Palatino Linotype" w:hAnsi="Palatino Linotype"/>
        </w:rPr>
        <w:t>20 numaralı</w:t>
      </w:r>
      <w:r w:rsidR="00475CFB">
        <w:rPr>
          <w:rFonts w:ascii="Palatino Linotype" w:hAnsi="Palatino Linotype"/>
        </w:rPr>
        <w:t xml:space="preserve"> eşitlik</w:t>
      </w:r>
      <w:r w:rsidR="0061670A">
        <w:rPr>
          <w:rFonts w:ascii="Palatino Linotype" w:hAnsi="Palatino Linotype"/>
        </w:rPr>
        <w:t>te</w:t>
      </w:r>
      <w:r w:rsidR="008D09C8">
        <w:rPr>
          <w:rFonts w:ascii="Palatino Linotype" w:hAnsi="Palatino Linotype"/>
        </w:rPr>
        <w:t xml:space="preserve"> 2,</w:t>
      </w:r>
      <w:r w:rsidR="00C1640C">
        <w:rPr>
          <w:rFonts w:ascii="Palatino Linotype" w:hAnsi="Palatino Linotype"/>
        </w:rPr>
        <w:t xml:space="preserve"> </w:t>
      </w:r>
      <w:r w:rsidR="008D09C8">
        <w:rPr>
          <w:rFonts w:ascii="Palatino Linotype" w:hAnsi="Palatino Linotype"/>
        </w:rPr>
        <w:t xml:space="preserve">3, ve 4. çeyrekler için </w:t>
      </w:r>
      <w:r w:rsidR="0061670A">
        <w:rPr>
          <w:rFonts w:ascii="Palatino Linotype" w:hAnsi="Palatino Linotype"/>
        </w:rPr>
        <w:t xml:space="preserve">uygulanması gereken formül </w:t>
      </w:r>
      <w:r w:rsidR="008D09C8">
        <w:rPr>
          <w:rFonts w:ascii="Palatino Linotype" w:hAnsi="Palatino Linotype"/>
        </w:rPr>
        <w:t>şu şekildedir:</w:t>
      </w:r>
    </w:p>
    <w:p w:rsidR="00475CFB" w:rsidRDefault="00761B66" w:rsidP="00467873">
      <w:pPr>
        <w:spacing w:line="360" w:lineRule="auto"/>
        <w:ind w:firstLine="340"/>
        <w:jc w:val="both"/>
        <w:rPr>
          <w:rFonts w:ascii="Palatino Linotype" w:hAnsi="Palatino Linotype"/>
        </w:rPr>
      </w:pPr>
      <m:oMathPara>
        <m:oMath>
          <m:sSubSup>
            <m:sSubSupPr>
              <m:ctrlPr>
                <w:rPr>
                  <w:rFonts w:ascii="Cambria Math" w:hAnsi="Cambria Math"/>
                  <w:i/>
                </w:rPr>
              </m:ctrlPr>
            </m:sSubSupPr>
            <m:e>
              <m:r>
                <w:rPr>
                  <w:rFonts w:ascii="Cambria Math" w:hAnsi="Cambria Math"/>
                </w:rPr>
                <m:t>m</m:t>
              </m:r>
            </m:e>
            <m:sub>
              <m:r>
                <w:rPr>
                  <w:rFonts w:ascii="Cambria Math" w:hAnsi="Cambria Math"/>
                </w:rPr>
                <m:t>q,t</m:t>
              </m:r>
            </m:sub>
            <m:sup>
              <m:r>
                <w:rPr>
                  <w:rFonts w:ascii="Cambria Math" w:hAnsi="Cambria Math"/>
                </w:rPr>
                <m:t>C</m:t>
              </m:r>
            </m:sup>
          </m:sSubSup>
          <m:r>
            <w:rPr>
              <w:rFonts w:ascii="Cambria Math" w:hAnsi="Cambria Math"/>
            </w:rPr>
            <m:t>=100×</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q,t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q-1,t</m:t>
                      </m:r>
                    </m:sub>
                  </m:sSub>
                </m:num>
                <m:den>
                  <m:sSub>
                    <m:sSubPr>
                      <m:ctrlPr>
                        <w:rPr>
                          <w:rFonts w:ascii="Cambria Math" w:hAnsi="Cambria Math"/>
                          <w:i/>
                        </w:rPr>
                      </m:ctrlPr>
                    </m:sSubPr>
                    <m:e>
                      <m:r>
                        <w:rPr>
                          <w:rFonts w:ascii="Cambria Math" w:hAnsi="Cambria Math"/>
                        </w:rPr>
                        <m:t>y</m:t>
                      </m:r>
                    </m:e>
                    <m:sub>
                      <m:r>
                        <w:rPr>
                          <w:rFonts w:ascii="Cambria Math" w:hAnsi="Cambria Math"/>
                        </w:rPr>
                        <m:t>q-1,t</m:t>
                      </m:r>
                    </m:sub>
                  </m:sSub>
                </m:den>
              </m:f>
            </m:e>
          </m:d>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C</m:t>
                  </m:r>
                </m:sup>
              </m:sSubSup>
            </m:num>
            <m:den>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Y</m:t>
                  </m:r>
                </m:sup>
              </m:sSubSup>
            </m:den>
          </m:f>
        </m:oMath>
      </m:oMathPara>
    </w:p>
    <w:p w:rsidR="005F008F" w:rsidRDefault="008D09C8" w:rsidP="00983F62">
      <w:pPr>
        <w:spacing w:line="360" w:lineRule="auto"/>
        <w:ind w:firstLine="340"/>
        <w:jc w:val="both"/>
        <w:rPr>
          <w:rFonts w:ascii="Palatino Linotype" w:hAnsi="Palatino Linotype"/>
        </w:rPr>
      </w:pPr>
      <w:r>
        <w:rPr>
          <w:rFonts w:ascii="Palatino Linotype" w:hAnsi="Palatino Linotype"/>
        </w:rPr>
        <w:t>Bu formülde</w:t>
      </w:r>
      <w:r w:rsidR="00983F62">
        <w:rPr>
          <w:rFonts w:ascii="Palatino Linotype" w:hAnsi="Palatino Linotype"/>
        </w:rPr>
        <w:t xml:space="preserve"> </w:t>
      </w:r>
      <m:oMath>
        <m:r>
          <w:rPr>
            <w:rFonts w:ascii="Cambria Math" w:hAnsi="Cambria Math"/>
          </w:rPr>
          <m:t>q</m:t>
        </m:r>
      </m:oMath>
      <w:r w:rsidR="00983F62">
        <w:rPr>
          <w:rFonts w:ascii="Palatino Linotype" w:hAnsi="Palatino Linotype"/>
        </w:rPr>
        <w:t xml:space="preserve"> çeyreği,  </w:t>
      </w:r>
      <m:oMath>
        <m:r>
          <w:rPr>
            <w:rFonts w:ascii="Cambria Math" w:hAnsi="Cambria Math"/>
          </w:rPr>
          <m:t>t</m:t>
        </m:r>
      </m:oMath>
      <w:r w:rsidR="00983F62">
        <w:rPr>
          <w:rFonts w:ascii="Palatino Linotype" w:hAnsi="Palatino Linotype"/>
        </w:rPr>
        <w:t xml:space="preserve"> ise yılı,</w:t>
      </w:r>
      <w:r>
        <w:rPr>
          <w:rFonts w:ascii="Palatino Linotype" w:hAnsi="Palatino Linotype"/>
        </w:rPr>
        <w:t xml:space="preserve"> </w:t>
      </w:r>
      <m:oMath>
        <m:sSup>
          <m:sSupPr>
            <m:ctrlPr>
              <w:rPr>
                <w:rFonts w:ascii="Cambria Math" w:hAnsi="Cambria Math"/>
                <w:i/>
              </w:rPr>
            </m:ctrlPr>
          </m:sSupPr>
          <m:e>
            <m:r>
              <w:rPr>
                <w:rFonts w:ascii="Cambria Math" w:hAnsi="Cambria Math"/>
              </w:rPr>
              <m:t>m</m:t>
            </m:r>
          </m:e>
          <m:sup>
            <m:r>
              <w:rPr>
                <w:rFonts w:ascii="Cambria Math" w:hAnsi="Cambria Math"/>
              </w:rPr>
              <m:t>C</m:t>
            </m:r>
          </m:sup>
        </m:sSup>
      </m:oMath>
      <w:r w:rsidR="00616E4E">
        <w:rPr>
          <w:rFonts w:ascii="Palatino Linotype" w:hAnsi="Palatino Linotype"/>
        </w:rPr>
        <w:t xml:space="preserve"> tüketimin GSYH büyümesine katkısını, </w:t>
      </w:r>
      <m:oMath>
        <m:r>
          <w:rPr>
            <w:rFonts w:ascii="Cambria Math" w:hAnsi="Cambria Math"/>
          </w:rPr>
          <m:t>c</m:t>
        </m:r>
      </m:oMath>
      <w:r w:rsidR="00616E4E">
        <w:rPr>
          <w:rFonts w:ascii="Palatino Linotype" w:hAnsi="Palatino Linotype"/>
        </w:rPr>
        <w:t xml:space="preserve"> zincirlenmiş </w:t>
      </w:r>
      <w:r w:rsidR="00983F62">
        <w:rPr>
          <w:rFonts w:ascii="Palatino Linotype" w:hAnsi="Palatino Linotype"/>
        </w:rPr>
        <w:t xml:space="preserve">çeyreklik </w:t>
      </w:r>
      <w:r w:rsidR="00616E4E">
        <w:rPr>
          <w:rFonts w:ascii="Palatino Linotype" w:hAnsi="Palatino Linotype"/>
        </w:rPr>
        <w:t xml:space="preserve">tüketim </w:t>
      </w:r>
      <w:r w:rsidR="00983F62">
        <w:rPr>
          <w:rFonts w:ascii="Palatino Linotype" w:hAnsi="Palatino Linotype"/>
        </w:rPr>
        <w:t>değerini</w:t>
      </w:r>
      <w:r w:rsidR="00616E4E">
        <w:rPr>
          <w:rFonts w:ascii="Palatino Linotype" w:hAnsi="Palatino Linotype"/>
        </w:rPr>
        <w:t xml:space="preserve">,  </w:t>
      </w:r>
      <m:oMath>
        <m:r>
          <w:rPr>
            <w:rFonts w:ascii="Cambria Math" w:hAnsi="Cambria Math"/>
          </w:rPr>
          <m:t>y</m:t>
        </m:r>
      </m:oMath>
      <w:r w:rsidR="00616E4E">
        <w:rPr>
          <w:rFonts w:ascii="Palatino Linotype" w:hAnsi="Palatino Linotype"/>
        </w:rPr>
        <w:t xml:space="preserve"> zincirlenmiş çeyreklik GSYH değerini, son olarak </w:t>
      </w:r>
      <m:oMath>
        <m:sSup>
          <m:sSupPr>
            <m:ctrlPr>
              <w:rPr>
                <w:rFonts w:ascii="Cambria Math" w:hAnsi="Cambria Math"/>
                <w:i/>
              </w:rPr>
            </m:ctrlPr>
          </m:sSupPr>
          <m:e>
            <m:r>
              <w:rPr>
                <w:rFonts w:ascii="Cambria Math" w:hAnsi="Cambria Math"/>
              </w:rPr>
              <m:t>P</m:t>
            </m:r>
          </m:e>
          <m:sup>
            <m:r>
              <w:rPr>
                <w:rFonts w:ascii="Cambria Math" w:hAnsi="Cambria Math"/>
              </w:rPr>
              <m:t>C</m:t>
            </m:r>
          </m:sup>
        </m:sSup>
      </m:oMath>
      <w:r w:rsidR="00616E4E">
        <w:rPr>
          <w:rFonts w:ascii="Palatino Linotype" w:hAnsi="Palatino Linotype"/>
        </w:rPr>
        <w:t xml:space="preserve"> ve </w:t>
      </w:r>
      <m:oMath>
        <m:sSup>
          <m:sSupPr>
            <m:ctrlPr>
              <w:rPr>
                <w:rFonts w:ascii="Cambria Math" w:hAnsi="Cambria Math"/>
                <w:i/>
              </w:rPr>
            </m:ctrlPr>
          </m:sSupPr>
          <m:e>
            <m:r>
              <w:rPr>
                <w:rFonts w:ascii="Cambria Math" w:hAnsi="Cambria Math"/>
              </w:rPr>
              <m:t>P</m:t>
            </m:r>
          </m:e>
          <m:sup>
            <m:r>
              <w:rPr>
                <w:rFonts w:ascii="Cambria Math" w:hAnsi="Cambria Math"/>
              </w:rPr>
              <m:t>Y</m:t>
            </m:r>
          </m:sup>
        </m:sSup>
      </m:oMath>
      <w:r w:rsidR="00616E4E">
        <w:rPr>
          <w:rFonts w:ascii="Palatino Linotype" w:hAnsi="Palatino Linotype"/>
        </w:rPr>
        <w:t xml:space="preserve">, sırasıyla, tüketim ve GSYH zımni deflatörlerini </w:t>
      </w:r>
      <w:r w:rsidR="00983F62">
        <w:rPr>
          <w:rFonts w:ascii="Palatino Linotype" w:hAnsi="Palatino Linotype"/>
        </w:rPr>
        <w:t xml:space="preserve">ifade etmektedir. Dördüncü çeyrekten birinci çeyreğe olan değişim farklı iki yılın </w:t>
      </w:r>
      <w:r w:rsidR="00FF687B">
        <w:rPr>
          <w:rFonts w:ascii="Palatino Linotype" w:hAnsi="Palatino Linotype"/>
        </w:rPr>
        <w:t>deflatörlerini</w:t>
      </w:r>
      <w:r w:rsidR="00983F62">
        <w:rPr>
          <w:rFonts w:ascii="Palatino Linotype" w:hAnsi="Palatino Linotype"/>
        </w:rPr>
        <w:t xml:space="preserve"> içerdiği </w:t>
      </w:r>
      <w:r w:rsidR="00983F62">
        <w:rPr>
          <w:rFonts w:ascii="Palatino Linotype" w:hAnsi="Palatino Linotype"/>
        </w:rPr>
        <w:lastRenderedPageBreak/>
        <w:t>için</w:t>
      </w:r>
      <w:r w:rsidR="002E4792">
        <w:rPr>
          <w:rFonts w:ascii="Palatino Linotype" w:hAnsi="Palatino Linotype"/>
        </w:rPr>
        <w:t xml:space="preserve"> </w:t>
      </w:r>
      <w:r w:rsidR="00983F62">
        <w:rPr>
          <w:rFonts w:ascii="Palatino Linotype" w:hAnsi="Palatino Linotype"/>
        </w:rPr>
        <w:t>yukarıdaki formülde bir ilave düzeltme yapma ihtiyacı doğmaktadır. Düzeltilmiş formül</w:t>
      </w:r>
      <w:r w:rsidR="005F008F">
        <w:rPr>
          <w:rFonts w:ascii="Palatino Linotype" w:hAnsi="Palatino Linotype"/>
        </w:rPr>
        <w:t xml:space="preserve"> IMF Kılavuzunda 21 numaralı eşitlikte verilmektedir.</w:t>
      </w:r>
    </w:p>
    <w:p w:rsidR="00983F62" w:rsidRPr="0061670A" w:rsidRDefault="00761B66" w:rsidP="00983F62">
      <w:pPr>
        <w:spacing w:line="360" w:lineRule="auto"/>
        <w:ind w:firstLine="340"/>
        <w:jc w:val="both"/>
        <w:rPr>
          <w:rFonts w:ascii="Palatino Linotype" w:hAnsi="Palatino Linotype"/>
        </w:rPr>
      </w:pPr>
      <m:oMathPara>
        <m:oMath>
          <m:sSubSup>
            <m:sSubSupPr>
              <m:ctrlPr>
                <w:rPr>
                  <w:rFonts w:ascii="Cambria Math" w:hAnsi="Cambria Math"/>
                  <w:i/>
                </w:rPr>
              </m:ctrlPr>
            </m:sSubSupPr>
            <m:e>
              <m:r>
                <w:rPr>
                  <w:rFonts w:ascii="Cambria Math" w:hAnsi="Cambria Math"/>
                </w:rPr>
                <m:t>m</m:t>
              </m:r>
            </m:e>
            <m:sub>
              <m:r>
                <w:rPr>
                  <w:rFonts w:ascii="Cambria Math" w:hAnsi="Cambria Math"/>
                </w:rPr>
                <m:t>1,t</m:t>
              </m:r>
            </m:sub>
            <m:sup>
              <m:r>
                <w:rPr>
                  <w:rFonts w:ascii="Cambria Math" w:hAnsi="Cambria Math"/>
                </w:rPr>
                <m:t>C</m:t>
              </m:r>
            </m:sup>
          </m:sSubSup>
          <m:r>
            <w:rPr>
              <w:rFonts w:ascii="Cambria Math" w:hAnsi="Cambria Math"/>
            </w:rPr>
            <m:t>=100×</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4,t-1</m:t>
                      </m:r>
                    </m:sub>
                  </m:sSub>
                </m:num>
                <m:den>
                  <m:sSub>
                    <m:sSubPr>
                      <m:ctrlPr>
                        <w:rPr>
                          <w:rFonts w:ascii="Cambria Math" w:hAnsi="Cambria Math"/>
                          <w:i/>
                        </w:rPr>
                      </m:ctrlPr>
                    </m:sSubPr>
                    <m:e>
                      <m:r>
                        <w:rPr>
                          <w:rFonts w:ascii="Cambria Math" w:hAnsi="Cambria Math"/>
                        </w:rPr>
                        <m:t>y</m:t>
                      </m:r>
                    </m:e>
                    <m:sub>
                      <m:r>
                        <w:rPr>
                          <w:rFonts w:ascii="Cambria Math" w:hAnsi="Cambria Math"/>
                        </w:rPr>
                        <m:t>4,t-1</m:t>
                      </m:r>
                    </m:sub>
                  </m:sSub>
                </m:den>
              </m:f>
            </m:e>
          </m:d>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C</m:t>
                  </m:r>
                </m:sup>
              </m:sSubSup>
            </m:num>
            <m:den>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Y</m:t>
                  </m:r>
                </m:sup>
              </m:sSubSup>
            </m:den>
          </m:f>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4,t-1</m:t>
                      </m:r>
                    </m:sub>
                  </m:sSub>
                </m:num>
                <m:den>
                  <m:sSub>
                    <m:sSubPr>
                      <m:ctrlPr>
                        <w:rPr>
                          <w:rFonts w:ascii="Cambria Math" w:hAnsi="Cambria Math"/>
                          <w:i/>
                        </w:rPr>
                      </m:ctrlPr>
                    </m:sSubPr>
                    <m:e>
                      <m:r>
                        <w:rPr>
                          <w:rFonts w:ascii="Cambria Math" w:hAnsi="Cambria Math"/>
                        </w:rPr>
                        <m:t>y</m:t>
                      </m:r>
                    </m:e>
                    <m:sub>
                      <m:r>
                        <w:rPr>
                          <w:rFonts w:ascii="Cambria Math" w:hAnsi="Cambria Math"/>
                        </w:rPr>
                        <m:t>4,t-1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t-1</m:t>
                      </m:r>
                    </m:sub>
                  </m:sSub>
                </m:num>
                <m:den>
                  <m:sSub>
                    <m:sSubPr>
                      <m:ctrlPr>
                        <w:rPr>
                          <w:rFonts w:ascii="Cambria Math" w:hAnsi="Cambria Math"/>
                          <w:i/>
                        </w:rPr>
                      </m:ctrlPr>
                    </m:sSubPr>
                    <m:e>
                      <m:r>
                        <w:rPr>
                          <w:rFonts w:ascii="Cambria Math" w:hAnsi="Cambria Math"/>
                        </w:rPr>
                        <m:t>Y</m:t>
                      </m:r>
                    </m:e>
                    <m:sub>
                      <m:r>
                        <w:rPr>
                          <w:rFonts w:ascii="Cambria Math" w:hAnsi="Cambria Math"/>
                        </w:rPr>
                        <m:t>t-1</m:t>
                      </m:r>
                    </m:sub>
                  </m:sSub>
                </m:den>
              </m:f>
            </m:e>
          </m:d>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C</m:t>
                      </m:r>
                    </m:sup>
                  </m:sSubSup>
                </m:num>
                <m:den>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Y</m:t>
                      </m:r>
                    </m:sup>
                  </m:sSubSup>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t-2</m:t>
                      </m:r>
                    </m:sub>
                    <m:sup>
                      <m:r>
                        <w:rPr>
                          <w:rFonts w:ascii="Cambria Math" w:hAnsi="Cambria Math"/>
                        </w:rPr>
                        <m:t>C</m:t>
                      </m:r>
                    </m:sup>
                  </m:sSubSup>
                </m:num>
                <m:den>
                  <m:sSubSup>
                    <m:sSubSupPr>
                      <m:ctrlPr>
                        <w:rPr>
                          <w:rFonts w:ascii="Cambria Math" w:hAnsi="Cambria Math"/>
                          <w:i/>
                        </w:rPr>
                      </m:ctrlPr>
                    </m:sSubSupPr>
                    <m:e>
                      <m:r>
                        <w:rPr>
                          <w:rFonts w:ascii="Cambria Math" w:hAnsi="Cambria Math"/>
                        </w:rPr>
                        <m:t>P</m:t>
                      </m:r>
                    </m:e>
                    <m:sub>
                      <m:r>
                        <w:rPr>
                          <w:rFonts w:ascii="Cambria Math" w:hAnsi="Cambria Math"/>
                        </w:rPr>
                        <m:t>t-2</m:t>
                      </m:r>
                    </m:sub>
                    <m:sup>
                      <m:r>
                        <w:rPr>
                          <w:rFonts w:ascii="Cambria Math" w:hAnsi="Cambria Math"/>
                        </w:rPr>
                        <m:t>Y</m:t>
                      </m:r>
                    </m:sup>
                  </m:sSubSup>
                </m:den>
              </m:f>
            </m:e>
          </m:d>
        </m:oMath>
      </m:oMathPara>
    </w:p>
    <w:p w:rsidR="0061670A" w:rsidRDefault="0061670A" w:rsidP="00983F62">
      <w:pPr>
        <w:spacing w:line="360" w:lineRule="auto"/>
        <w:ind w:firstLine="340"/>
        <w:jc w:val="both"/>
        <w:rPr>
          <w:rFonts w:ascii="Palatino Linotype" w:hAnsi="Palatino Linotype"/>
        </w:rPr>
      </w:pPr>
      <w:r>
        <w:rPr>
          <w:rFonts w:ascii="Palatino Linotype" w:hAnsi="Palatino Linotype"/>
        </w:rPr>
        <w:t>Dönemsel verilerle aynı zamanda geçen yılın aynı dönemine göre olan büyüme oranı da hesaplanmaktadır. Bu büyüme oranı farklı iki yılın hesaplarını içerdiği için yukarıdaki formülde yapılan düzeltmenin bir benzeri yapılmalıdır. Geçen yılın aynı dönemine göre büyüme oranına yapılan katkıları hesaplamak için aşağıdaki formül uygulanmalıdır:</w:t>
      </w:r>
    </w:p>
    <w:p w:rsidR="0061670A" w:rsidRPr="0061670A" w:rsidRDefault="00761B66" w:rsidP="008F520A">
      <w:pPr>
        <w:spacing w:line="360" w:lineRule="auto"/>
        <w:ind w:firstLine="340"/>
        <w:jc w:val="both"/>
        <w:rPr>
          <w:rFonts w:ascii="Palatino Linotype" w:hAnsi="Palatino Linotype"/>
        </w:rPr>
      </w:pPr>
      <m:oMathPara>
        <m:oMath>
          <m:sSubSup>
            <m:sSubSupPr>
              <m:ctrlPr>
                <w:rPr>
                  <w:rFonts w:ascii="Cambria Math" w:hAnsi="Cambria Math"/>
                  <w:i/>
                </w:rPr>
              </m:ctrlPr>
            </m:sSubSupPr>
            <m:e>
              <m:r>
                <w:rPr>
                  <w:rFonts w:ascii="Cambria Math" w:hAnsi="Cambria Math"/>
                </w:rPr>
                <m:t>m</m:t>
              </m:r>
            </m:e>
            <m:sub>
              <m:r>
                <w:rPr>
                  <w:rFonts w:ascii="Cambria Math" w:hAnsi="Cambria Math"/>
                </w:rPr>
                <m:t>q,t</m:t>
              </m:r>
            </m:sub>
            <m:sup>
              <m:r>
                <w:rPr>
                  <w:rFonts w:ascii="Cambria Math" w:hAnsi="Cambria Math"/>
                </w:rPr>
                <m:t>C</m:t>
              </m:r>
            </m:sup>
          </m:sSubSup>
          <m:r>
            <w:rPr>
              <w:rFonts w:ascii="Cambria Math" w:hAnsi="Cambria Math"/>
            </w:rPr>
            <m:t>=100×</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q,t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q,t-1</m:t>
                      </m:r>
                    </m:sub>
                  </m:sSub>
                </m:num>
                <m:den>
                  <m:sSub>
                    <m:sSubPr>
                      <m:ctrlPr>
                        <w:rPr>
                          <w:rFonts w:ascii="Cambria Math" w:hAnsi="Cambria Math"/>
                          <w:i/>
                        </w:rPr>
                      </m:ctrlPr>
                    </m:sSubPr>
                    <m:e>
                      <m:r>
                        <w:rPr>
                          <w:rFonts w:ascii="Cambria Math" w:hAnsi="Cambria Math"/>
                        </w:rPr>
                        <m:t>y</m:t>
                      </m:r>
                    </m:e>
                    <m:sub>
                      <m:r>
                        <w:rPr>
                          <w:rFonts w:ascii="Cambria Math" w:hAnsi="Cambria Math"/>
                        </w:rPr>
                        <m:t>q,t-1</m:t>
                      </m:r>
                    </m:sub>
                  </m:sSub>
                </m:den>
              </m:f>
            </m:e>
          </m:d>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C</m:t>
                  </m:r>
                </m:sup>
              </m:sSubSup>
            </m:num>
            <m:den>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Y</m:t>
                  </m:r>
                </m:sup>
              </m:sSubSup>
            </m:den>
          </m:f>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q,t-1</m:t>
                      </m:r>
                    </m:sub>
                  </m:sSub>
                </m:num>
                <m:den>
                  <m:sSub>
                    <m:sSubPr>
                      <m:ctrlPr>
                        <w:rPr>
                          <w:rFonts w:ascii="Cambria Math" w:hAnsi="Cambria Math"/>
                          <w:i/>
                        </w:rPr>
                      </m:ctrlPr>
                    </m:sSubPr>
                    <m:e>
                      <m:r>
                        <w:rPr>
                          <w:rFonts w:ascii="Cambria Math" w:hAnsi="Cambria Math"/>
                        </w:rPr>
                        <m:t>y</m:t>
                      </m:r>
                    </m:e>
                    <m:sub>
                      <m:r>
                        <w:rPr>
                          <w:rFonts w:ascii="Cambria Math" w:hAnsi="Cambria Math"/>
                        </w:rPr>
                        <m:t>q,t-1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t-1</m:t>
                      </m:r>
                    </m:sub>
                  </m:sSub>
                </m:num>
                <m:den>
                  <m:sSub>
                    <m:sSubPr>
                      <m:ctrlPr>
                        <w:rPr>
                          <w:rFonts w:ascii="Cambria Math" w:hAnsi="Cambria Math"/>
                          <w:i/>
                        </w:rPr>
                      </m:ctrlPr>
                    </m:sSubPr>
                    <m:e>
                      <m:r>
                        <w:rPr>
                          <w:rFonts w:ascii="Cambria Math" w:hAnsi="Cambria Math"/>
                        </w:rPr>
                        <m:t>Y</m:t>
                      </m:r>
                    </m:e>
                    <m:sub>
                      <m:r>
                        <w:rPr>
                          <w:rFonts w:ascii="Cambria Math" w:hAnsi="Cambria Math"/>
                        </w:rPr>
                        <m:t>t-1</m:t>
                      </m:r>
                    </m:sub>
                  </m:sSub>
                </m:den>
              </m:f>
            </m:e>
          </m:d>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C</m:t>
                      </m:r>
                    </m:sup>
                  </m:sSubSup>
                </m:num>
                <m:den>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Y</m:t>
                      </m:r>
                    </m:sup>
                  </m:sSubSup>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t-2</m:t>
                      </m:r>
                    </m:sub>
                    <m:sup>
                      <m:r>
                        <w:rPr>
                          <w:rFonts w:ascii="Cambria Math" w:hAnsi="Cambria Math"/>
                        </w:rPr>
                        <m:t>C</m:t>
                      </m:r>
                    </m:sup>
                  </m:sSubSup>
                </m:num>
                <m:den>
                  <m:sSubSup>
                    <m:sSubSupPr>
                      <m:ctrlPr>
                        <w:rPr>
                          <w:rFonts w:ascii="Cambria Math" w:hAnsi="Cambria Math"/>
                          <w:i/>
                        </w:rPr>
                      </m:ctrlPr>
                    </m:sSubSupPr>
                    <m:e>
                      <m:r>
                        <w:rPr>
                          <w:rFonts w:ascii="Cambria Math" w:hAnsi="Cambria Math"/>
                        </w:rPr>
                        <m:t>P</m:t>
                      </m:r>
                    </m:e>
                    <m:sub>
                      <m:r>
                        <w:rPr>
                          <w:rFonts w:ascii="Cambria Math" w:hAnsi="Cambria Math"/>
                        </w:rPr>
                        <m:t>t-2</m:t>
                      </m:r>
                    </m:sub>
                    <m:sup>
                      <m:r>
                        <w:rPr>
                          <w:rFonts w:ascii="Cambria Math" w:hAnsi="Cambria Math"/>
                        </w:rPr>
                        <m:t>Y</m:t>
                      </m:r>
                    </m:sup>
                  </m:sSubSup>
                </m:den>
              </m:f>
            </m:e>
          </m:d>
        </m:oMath>
      </m:oMathPara>
    </w:p>
    <w:p w:rsidR="0061670A" w:rsidRDefault="005F008F" w:rsidP="00467873">
      <w:pPr>
        <w:spacing w:line="360" w:lineRule="auto"/>
        <w:ind w:firstLine="340"/>
        <w:jc w:val="both"/>
        <w:rPr>
          <w:rFonts w:ascii="Palatino Linotype" w:hAnsi="Palatino Linotype"/>
        </w:rPr>
      </w:pPr>
      <w:r>
        <w:rPr>
          <w:rFonts w:ascii="Palatino Linotype" w:hAnsi="Palatino Linotype"/>
        </w:rPr>
        <w:t xml:space="preserve">Yukarıdaki formüller kullanılarak hesaplanan büyümeye katkılar toplamsal oldukları için alt serilerden hesaplanan büyüme ile ana seriden hesaplanan büyüme arasındaki fark stok değişiminin katkısını verecektir. </w:t>
      </w:r>
    </w:p>
    <w:p w:rsidR="00ED1C4D" w:rsidRDefault="00281174" w:rsidP="00467873">
      <w:pPr>
        <w:spacing w:line="360" w:lineRule="auto"/>
        <w:ind w:firstLine="340"/>
        <w:jc w:val="both"/>
        <w:rPr>
          <w:rFonts w:ascii="Palatino Linotype" w:hAnsi="Palatino Linotype"/>
        </w:rPr>
      </w:pPr>
      <w:r>
        <w:rPr>
          <w:rFonts w:ascii="Palatino Linotype" w:hAnsi="Palatino Linotype"/>
        </w:rPr>
        <w:t>Yukarıdaki formüller çeyreklik veriler için türetilmiş olmakla birlikte kolayca yıllık veriye uyar</w:t>
      </w:r>
      <w:r w:rsidR="009119CB">
        <w:rPr>
          <w:rFonts w:ascii="Palatino Linotype" w:hAnsi="Palatino Linotype"/>
        </w:rPr>
        <w:t>lanabilmektedir (</w:t>
      </w:r>
      <w:r>
        <w:rPr>
          <w:rFonts w:ascii="Palatino Linotype" w:hAnsi="Palatino Linotype"/>
        </w:rPr>
        <w:t>bkz. IMF Dönems</w:t>
      </w:r>
      <w:r w:rsidR="009119CB">
        <w:rPr>
          <w:rFonts w:ascii="Palatino Linotype" w:hAnsi="Palatino Linotype"/>
        </w:rPr>
        <w:t xml:space="preserve">el Hesaplar Kılavuzu </w:t>
      </w:r>
      <w:proofErr w:type="spellStart"/>
      <w:r w:rsidR="009119CB">
        <w:rPr>
          <w:rFonts w:ascii="Palatino Linotype" w:hAnsi="Palatino Linotype"/>
        </w:rPr>
        <w:t>ss</w:t>
      </w:r>
      <w:proofErr w:type="spellEnd"/>
      <w:r w:rsidR="009119CB">
        <w:rPr>
          <w:rFonts w:ascii="Palatino Linotype" w:hAnsi="Palatino Linotype"/>
        </w:rPr>
        <w:t>. 47-48).</w:t>
      </w:r>
    </w:p>
    <w:p w:rsidR="00281174" w:rsidRDefault="00761B66" w:rsidP="00281174">
      <w:pPr>
        <w:spacing w:line="360" w:lineRule="auto"/>
        <w:ind w:firstLine="340"/>
        <w:jc w:val="both"/>
        <w:rPr>
          <w:rFonts w:ascii="Palatino Linotype" w:hAnsi="Palatino Linotype"/>
        </w:rPr>
      </w:pPr>
      <m:oMathPara>
        <m:oMath>
          <m:sSubSup>
            <m:sSubSupPr>
              <m:ctrlPr>
                <w:rPr>
                  <w:rFonts w:ascii="Cambria Math" w:hAnsi="Cambria Math"/>
                  <w:i/>
                </w:rPr>
              </m:ctrlPr>
            </m:sSubSupPr>
            <m:e>
              <m:r>
                <w:rPr>
                  <w:rFonts w:ascii="Cambria Math" w:hAnsi="Cambria Math"/>
                </w:rPr>
                <m:t>m</m:t>
              </m:r>
            </m:e>
            <m:sub>
              <m:r>
                <w:rPr>
                  <w:rFonts w:ascii="Cambria Math" w:hAnsi="Cambria Math"/>
                </w:rPr>
                <m:t>t</m:t>
              </m:r>
            </m:sub>
            <m:sup>
              <m:r>
                <w:rPr>
                  <w:rFonts w:ascii="Cambria Math" w:hAnsi="Cambria Math"/>
                </w:rPr>
                <m:t>C</m:t>
              </m:r>
            </m:sup>
          </m:sSubSup>
          <m:r>
            <w:rPr>
              <w:rFonts w:ascii="Cambria Math" w:hAnsi="Cambria Math"/>
            </w:rPr>
            <m:t>=100×</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t-1</m:t>
                      </m:r>
                    </m:sub>
                  </m:sSub>
                </m:num>
                <m:den>
                  <m:sSub>
                    <m:sSubPr>
                      <m:ctrlPr>
                        <w:rPr>
                          <w:rFonts w:ascii="Cambria Math" w:hAnsi="Cambria Math"/>
                          <w:i/>
                        </w:rPr>
                      </m:ctrlPr>
                    </m:sSubPr>
                    <m:e>
                      <m:r>
                        <w:rPr>
                          <w:rFonts w:ascii="Cambria Math" w:hAnsi="Cambria Math"/>
                        </w:rPr>
                        <m:t>Y</m:t>
                      </m:r>
                    </m:e>
                    <m:sub>
                      <m:r>
                        <w:rPr>
                          <w:rFonts w:ascii="Cambria Math" w:hAnsi="Cambria Math"/>
                        </w:rPr>
                        <m:t>t-1</m:t>
                      </m:r>
                    </m:sub>
                  </m:sSub>
                </m:den>
              </m:f>
            </m:e>
          </m:d>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C</m:t>
                  </m:r>
                </m:sup>
              </m:sSubSup>
            </m:num>
            <m:den>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Y</m:t>
                  </m:r>
                </m:sup>
              </m:sSubSup>
            </m:den>
          </m:f>
        </m:oMath>
      </m:oMathPara>
    </w:p>
    <w:p w:rsidR="009119CB" w:rsidRDefault="00BF3290" w:rsidP="009119CB">
      <w:pPr>
        <w:spacing w:line="360" w:lineRule="auto"/>
        <w:ind w:firstLine="340"/>
        <w:jc w:val="both"/>
        <w:rPr>
          <w:rFonts w:ascii="Palatino Linotype" w:hAnsi="Palatino Linotype"/>
        </w:rPr>
      </w:pPr>
      <w:r>
        <w:rPr>
          <w:rFonts w:ascii="Palatino Linotype" w:hAnsi="Palatino Linotype"/>
        </w:rPr>
        <w:t>Son yayınlanan milli gelir verilerini kullanarak</w:t>
      </w:r>
      <w:r w:rsidR="001B5C0D">
        <w:rPr>
          <w:rFonts w:ascii="Palatino Linotype" w:hAnsi="Palatino Linotype"/>
        </w:rPr>
        <w:t xml:space="preserve"> Türkiye ekonomisi için</w:t>
      </w:r>
      <w:r>
        <w:rPr>
          <w:rFonts w:ascii="Palatino Linotype" w:hAnsi="Palatino Linotype"/>
        </w:rPr>
        <w:t xml:space="preserve"> </w:t>
      </w:r>
      <w:r w:rsidR="007344E0">
        <w:rPr>
          <w:rFonts w:ascii="Palatino Linotype" w:hAnsi="Palatino Linotype"/>
        </w:rPr>
        <w:t>yıllık verilerle</w:t>
      </w:r>
      <w:r w:rsidR="001C1A21">
        <w:rPr>
          <w:rFonts w:ascii="Palatino Linotype" w:hAnsi="Palatino Linotype"/>
        </w:rPr>
        <w:t xml:space="preserve"> yaklaşık ve kesin</w:t>
      </w:r>
      <w:r w:rsidR="007344E0">
        <w:rPr>
          <w:rFonts w:ascii="Palatino Linotype" w:hAnsi="Palatino Linotype"/>
        </w:rPr>
        <w:t xml:space="preserve"> </w:t>
      </w:r>
      <w:r w:rsidR="00AA3354">
        <w:rPr>
          <w:rFonts w:ascii="Palatino Linotype" w:hAnsi="Palatino Linotype"/>
        </w:rPr>
        <w:t>büy</w:t>
      </w:r>
      <w:r w:rsidR="00344462">
        <w:rPr>
          <w:rFonts w:ascii="Palatino Linotype" w:hAnsi="Palatino Linotype"/>
        </w:rPr>
        <w:t xml:space="preserve">ümeye katkıları </w:t>
      </w:r>
      <w:r w:rsidR="009119CB">
        <w:rPr>
          <w:rFonts w:ascii="Palatino Linotype" w:hAnsi="Palatino Linotype"/>
        </w:rPr>
        <w:t xml:space="preserve">Tablo 2’de verilmiştir. </w:t>
      </w:r>
      <w:proofErr w:type="spellStart"/>
      <w:r w:rsidR="009119CB">
        <w:rPr>
          <w:rFonts w:ascii="Palatino Linotype" w:hAnsi="Palatino Linotype"/>
        </w:rPr>
        <w:t>Tablo’da</w:t>
      </w:r>
      <w:proofErr w:type="spellEnd"/>
      <w:r w:rsidR="009119CB">
        <w:rPr>
          <w:rFonts w:ascii="Palatino Linotype" w:hAnsi="Palatino Linotype"/>
        </w:rPr>
        <w:t xml:space="preserve"> görüldüğü üzere yıllık veriler üzerinden hesaplanan kesin ve yaklaşık hesaplar birbirine çok yakındır. Yaklaşık hesabın 2010-2016 yılları için en fazla yüzde 0,4 ile stoktaki değişiklikler, yüzde 0,3 ile ithalat kalemlerinde sapma yaptığını tespit ediyoruz. 2009-2016 öneminde büyümeye katkının yaklaşık yüzde 60’ı özel tüketimden, yüzde 10’u kamu tüketiminden ve yüzde 43’ü yatırımlardan kaynaklanmaktadır. Net ihracat ve stok değişiminin katkısı negatif olup her biri yaklaşık yüzde 7 civarındadır.  </w:t>
      </w:r>
    </w:p>
    <w:p w:rsidR="009119CB" w:rsidRDefault="009119CB" w:rsidP="009119CB">
      <w:pPr>
        <w:spacing w:line="360" w:lineRule="auto"/>
        <w:ind w:firstLine="340"/>
        <w:jc w:val="both"/>
        <w:rPr>
          <w:rFonts w:ascii="Palatino Linotype" w:hAnsi="Palatino Linotype"/>
        </w:rPr>
      </w:pPr>
    </w:p>
    <w:p w:rsidR="009119CB" w:rsidRDefault="009119CB" w:rsidP="009119CB">
      <w:pPr>
        <w:spacing w:line="360" w:lineRule="auto"/>
        <w:ind w:firstLine="340"/>
        <w:jc w:val="both"/>
        <w:rPr>
          <w:rFonts w:ascii="Palatino Linotype" w:hAnsi="Palatino Linotype"/>
        </w:rPr>
      </w:pPr>
    </w:p>
    <w:p w:rsidR="009119CB" w:rsidRDefault="009119CB" w:rsidP="009119CB">
      <w:pPr>
        <w:spacing w:line="360" w:lineRule="auto"/>
        <w:ind w:firstLine="340"/>
        <w:jc w:val="both"/>
        <w:rPr>
          <w:rFonts w:ascii="Palatino Linotype" w:hAnsi="Palatino Linotype"/>
        </w:rPr>
      </w:pPr>
    </w:p>
    <w:p w:rsidR="009119CB" w:rsidRDefault="009119CB" w:rsidP="009119CB">
      <w:pPr>
        <w:spacing w:line="360" w:lineRule="auto"/>
        <w:ind w:firstLine="340"/>
        <w:jc w:val="both"/>
        <w:rPr>
          <w:rFonts w:ascii="Palatino Linotype" w:hAnsi="Palatino Linotype"/>
        </w:rPr>
      </w:pPr>
      <w:r>
        <w:rPr>
          <w:rFonts w:ascii="Palatino Linotype" w:hAnsi="Palatino Linotype"/>
        </w:rPr>
        <w:t xml:space="preserve"> </w:t>
      </w:r>
    </w:p>
    <w:p w:rsidR="007344E0" w:rsidRDefault="00CE0987" w:rsidP="00467873">
      <w:pPr>
        <w:spacing w:line="360" w:lineRule="auto"/>
        <w:ind w:firstLine="340"/>
        <w:jc w:val="both"/>
        <w:rPr>
          <w:rFonts w:ascii="Palatino Linotype" w:hAnsi="Palatino Linotype"/>
          <w:b/>
        </w:rPr>
      </w:pPr>
      <w:r w:rsidRPr="008D3FAF">
        <w:rPr>
          <w:rFonts w:ascii="Palatino Linotype" w:hAnsi="Palatino Linotype"/>
          <w:b/>
        </w:rPr>
        <w:lastRenderedPageBreak/>
        <w:t>Tablo 2</w:t>
      </w:r>
      <w:r w:rsidR="007344E0" w:rsidRPr="008D3FAF">
        <w:rPr>
          <w:rFonts w:ascii="Palatino Linotype" w:hAnsi="Palatino Linotype"/>
          <w:b/>
        </w:rPr>
        <w:t xml:space="preserve">. </w:t>
      </w:r>
      <w:r w:rsidRPr="008D3FAF">
        <w:rPr>
          <w:rFonts w:ascii="Palatino Linotype" w:hAnsi="Palatino Linotype"/>
          <w:b/>
        </w:rPr>
        <w:t>Yıllık veriler üzerinden büyümeye katkı hesabı</w:t>
      </w:r>
      <w:r w:rsidR="005E2721">
        <w:rPr>
          <w:rFonts w:ascii="Palatino Linotype" w:hAnsi="Palatino Linotype"/>
          <w:b/>
        </w:rPr>
        <w:t xml:space="preserve"> </w:t>
      </w:r>
    </w:p>
    <w:tbl>
      <w:tblPr>
        <w:tblW w:w="5702" w:type="dxa"/>
        <w:jc w:val="center"/>
        <w:tblLook w:val="04A0" w:firstRow="1" w:lastRow="0" w:firstColumn="1" w:lastColumn="0" w:noHBand="0" w:noVBand="1"/>
      </w:tblPr>
      <w:tblGrid>
        <w:gridCol w:w="824"/>
        <w:gridCol w:w="513"/>
        <w:gridCol w:w="513"/>
        <w:gridCol w:w="513"/>
        <w:gridCol w:w="628"/>
        <w:gridCol w:w="628"/>
        <w:gridCol w:w="1380"/>
        <w:gridCol w:w="703"/>
      </w:tblGrid>
      <w:tr w:rsidR="00043C2F" w:rsidRPr="00043C2F" w:rsidTr="00043C2F">
        <w:trPr>
          <w:trHeight w:val="240"/>
          <w:jc w:val="center"/>
        </w:trPr>
        <w:tc>
          <w:tcPr>
            <w:tcW w:w="5702" w:type="dxa"/>
            <w:gridSpan w:val="8"/>
            <w:tcBorders>
              <w:top w:val="nil"/>
              <w:left w:val="nil"/>
              <w:bottom w:val="single" w:sz="4"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proofErr w:type="spellStart"/>
            <w:r w:rsidRPr="00043C2F">
              <w:rPr>
                <w:rFonts w:ascii="Cambria" w:hAnsi="Cambria" w:cs="Calibri"/>
                <w:b/>
                <w:bCs/>
                <w:color w:val="000000"/>
                <w:sz w:val="18"/>
                <w:szCs w:val="18"/>
                <w:lang w:val="en-US" w:eastAsia="en-US"/>
              </w:rPr>
              <w:t>Büyümeye</w:t>
            </w:r>
            <w:proofErr w:type="spellEnd"/>
            <w:r w:rsidRPr="00043C2F">
              <w:rPr>
                <w:rFonts w:ascii="Cambria" w:hAnsi="Cambria" w:cs="Calibri"/>
                <w:b/>
                <w:bCs/>
                <w:color w:val="000000"/>
                <w:sz w:val="18"/>
                <w:szCs w:val="18"/>
                <w:lang w:val="en-US" w:eastAsia="en-US"/>
              </w:rPr>
              <w:t xml:space="preserve"> </w:t>
            </w:r>
            <w:proofErr w:type="spellStart"/>
            <w:r w:rsidRPr="00043C2F">
              <w:rPr>
                <w:rFonts w:ascii="Cambria" w:hAnsi="Cambria" w:cs="Calibri"/>
                <w:b/>
                <w:bCs/>
                <w:color w:val="000000"/>
                <w:sz w:val="18"/>
                <w:szCs w:val="18"/>
                <w:lang w:val="en-US" w:eastAsia="en-US"/>
              </w:rPr>
              <w:t>katkılar</w:t>
            </w:r>
            <w:proofErr w:type="spellEnd"/>
            <w:r w:rsidRPr="00043C2F">
              <w:rPr>
                <w:rFonts w:ascii="Cambria" w:hAnsi="Cambria" w:cs="Calibri"/>
                <w:b/>
                <w:bCs/>
                <w:color w:val="000000"/>
                <w:sz w:val="18"/>
                <w:szCs w:val="18"/>
                <w:lang w:val="en-US" w:eastAsia="en-US"/>
              </w:rPr>
              <w:t xml:space="preserve"> (%): </w:t>
            </w:r>
            <w:proofErr w:type="spellStart"/>
            <w:r w:rsidRPr="00043C2F">
              <w:rPr>
                <w:rFonts w:ascii="Cambria" w:hAnsi="Cambria" w:cs="Calibri"/>
                <w:b/>
                <w:bCs/>
                <w:color w:val="000000"/>
                <w:sz w:val="18"/>
                <w:szCs w:val="18"/>
                <w:lang w:val="en-US" w:eastAsia="en-US"/>
              </w:rPr>
              <w:t>Kesin</w:t>
            </w:r>
            <w:proofErr w:type="spellEnd"/>
            <w:r w:rsidRPr="00043C2F">
              <w:rPr>
                <w:rFonts w:ascii="Cambria" w:hAnsi="Cambria" w:cs="Calibri"/>
                <w:b/>
                <w:bCs/>
                <w:color w:val="000000"/>
                <w:sz w:val="18"/>
                <w:szCs w:val="18"/>
                <w:lang w:val="en-US" w:eastAsia="en-US"/>
              </w:rPr>
              <w:t xml:space="preserve"> </w:t>
            </w:r>
            <w:proofErr w:type="spellStart"/>
            <w:r w:rsidRPr="00043C2F">
              <w:rPr>
                <w:rFonts w:ascii="Cambria" w:hAnsi="Cambria" w:cs="Calibri"/>
                <w:b/>
                <w:bCs/>
                <w:color w:val="000000"/>
                <w:sz w:val="18"/>
                <w:szCs w:val="18"/>
                <w:lang w:val="en-US" w:eastAsia="en-US"/>
              </w:rPr>
              <w:t>hesap</w:t>
            </w:r>
            <w:proofErr w:type="spellEnd"/>
          </w:p>
        </w:tc>
      </w:tr>
      <w:tr w:rsidR="00043C2F" w:rsidRPr="00043C2F" w:rsidTr="00043C2F">
        <w:trPr>
          <w:trHeight w:val="240"/>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c>
          <w:tcPr>
            <w:tcW w:w="513" w:type="dxa"/>
            <w:tcBorders>
              <w:top w:val="nil"/>
              <w:left w:val="single" w:sz="4" w:space="0" w:color="auto"/>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r w:rsidRPr="00043C2F">
              <w:rPr>
                <w:rFonts w:ascii="Cambria" w:hAnsi="Cambria" w:cs="Calibri"/>
                <w:b/>
                <w:bCs/>
                <w:color w:val="000000"/>
                <w:sz w:val="18"/>
                <w:szCs w:val="18"/>
                <w:lang w:val="en-US" w:eastAsia="en-US"/>
              </w:rPr>
              <w:t>C</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r w:rsidRPr="00043C2F">
              <w:rPr>
                <w:rFonts w:ascii="Cambria" w:hAnsi="Cambria" w:cs="Calibri"/>
                <w:b/>
                <w:bCs/>
                <w:color w:val="000000"/>
                <w:sz w:val="18"/>
                <w:szCs w:val="18"/>
                <w:lang w:val="en-US" w:eastAsia="en-US"/>
              </w:rPr>
              <w:t>G</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r w:rsidRPr="00043C2F">
              <w:rPr>
                <w:rFonts w:ascii="Cambria" w:hAnsi="Cambria" w:cs="Calibri"/>
                <w:b/>
                <w:bCs/>
                <w:color w:val="000000"/>
                <w:sz w:val="18"/>
                <w:szCs w:val="18"/>
                <w:lang w:val="en-US" w:eastAsia="en-US"/>
              </w:rPr>
              <w:t>I</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proofErr w:type="spellStart"/>
            <w:r w:rsidRPr="00043C2F">
              <w:rPr>
                <w:rFonts w:ascii="Cambria" w:hAnsi="Cambria" w:cs="Calibri"/>
                <w:b/>
                <w:bCs/>
                <w:color w:val="000000"/>
                <w:sz w:val="18"/>
                <w:szCs w:val="18"/>
                <w:lang w:val="en-US" w:eastAsia="en-US"/>
              </w:rPr>
              <w:t>dS</w:t>
            </w:r>
            <w:proofErr w:type="spellEnd"/>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r w:rsidRPr="00043C2F">
              <w:rPr>
                <w:rFonts w:ascii="Cambria" w:hAnsi="Cambria" w:cs="Calibri"/>
                <w:b/>
                <w:bCs/>
                <w:color w:val="000000"/>
                <w:sz w:val="18"/>
                <w:szCs w:val="18"/>
                <w:lang w:val="en-US" w:eastAsia="en-US"/>
              </w:rPr>
              <w:t>X</w:t>
            </w: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r w:rsidRPr="00043C2F">
              <w:rPr>
                <w:rFonts w:ascii="Cambria" w:hAnsi="Cambria" w:cs="Calibri"/>
                <w:b/>
                <w:bCs/>
                <w:color w:val="000000"/>
                <w:sz w:val="18"/>
                <w:szCs w:val="18"/>
                <w:lang w:val="en-US" w:eastAsia="en-US"/>
              </w:rPr>
              <w:t>(</w:t>
            </w:r>
            <w:proofErr w:type="spellStart"/>
            <w:r w:rsidRPr="00043C2F">
              <w:rPr>
                <w:rFonts w:ascii="Cambria" w:hAnsi="Cambria" w:cs="Calibri"/>
                <w:b/>
                <w:bCs/>
                <w:color w:val="000000"/>
                <w:sz w:val="18"/>
                <w:szCs w:val="18"/>
                <w:lang w:val="en-US" w:eastAsia="en-US"/>
              </w:rPr>
              <w:t>Eksi</w:t>
            </w:r>
            <w:proofErr w:type="spellEnd"/>
            <w:r w:rsidRPr="00043C2F">
              <w:rPr>
                <w:rFonts w:ascii="Cambria" w:hAnsi="Cambria" w:cs="Calibri"/>
                <w:b/>
                <w:bCs/>
                <w:color w:val="000000"/>
                <w:sz w:val="18"/>
                <w:szCs w:val="18"/>
                <w:lang w:val="en-US" w:eastAsia="en-US"/>
              </w:rPr>
              <w:t>) M</w:t>
            </w: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r w:rsidRPr="00043C2F">
              <w:rPr>
                <w:rFonts w:ascii="Cambria" w:hAnsi="Cambria" w:cs="Calibri"/>
                <w:b/>
                <w:bCs/>
                <w:color w:val="000000"/>
                <w:sz w:val="18"/>
                <w:szCs w:val="18"/>
                <w:lang w:val="en-US" w:eastAsia="en-US"/>
              </w:rPr>
              <w:t>Y</w:t>
            </w:r>
          </w:p>
        </w:tc>
      </w:tr>
      <w:tr w:rsidR="00043C2F" w:rsidRPr="00043C2F" w:rsidTr="00043C2F">
        <w:trPr>
          <w:trHeight w:val="240"/>
          <w:jc w:val="center"/>
        </w:trPr>
        <w:tc>
          <w:tcPr>
            <w:tcW w:w="824" w:type="dxa"/>
            <w:tcBorders>
              <w:top w:val="single" w:sz="4" w:space="0" w:color="auto"/>
              <w:left w:val="nil"/>
              <w:bottom w:val="nil"/>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2009</w:t>
            </w:r>
          </w:p>
        </w:tc>
        <w:tc>
          <w:tcPr>
            <w:tcW w:w="513" w:type="dxa"/>
            <w:tcBorders>
              <w:top w:val="single" w:sz="4" w:space="0" w:color="auto"/>
              <w:left w:val="single" w:sz="4" w:space="0" w:color="auto"/>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c>
          <w:tcPr>
            <w:tcW w:w="513" w:type="dxa"/>
            <w:tcBorders>
              <w:top w:val="single" w:sz="4" w:space="0" w:color="auto"/>
              <w:left w:val="nil"/>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c>
          <w:tcPr>
            <w:tcW w:w="513" w:type="dxa"/>
            <w:tcBorders>
              <w:top w:val="single" w:sz="4" w:space="0" w:color="auto"/>
              <w:left w:val="nil"/>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c>
          <w:tcPr>
            <w:tcW w:w="628" w:type="dxa"/>
            <w:tcBorders>
              <w:top w:val="single" w:sz="4" w:space="0" w:color="auto"/>
              <w:left w:val="nil"/>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c>
          <w:tcPr>
            <w:tcW w:w="628" w:type="dxa"/>
            <w:tcBorders>
              <w:top w:val="single" w:sz="4" w:space="0" w:color="auto"/>
              <w:left w:val="nil"/>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c>
          <w:tcPr>
            <w:tcW w:w="1380" w:type="dxa"/>
            <w:tcBorders>
              <w:top w:val="single" w:sz="4" w:space="0" w:color="auto"/>
              <w:left w:val="nil"/>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c>
          <w:tcPr>
            <w:tcW w:w="703" w:type="dxa"/>
            <w:tcBorders>
              <w:top w:val="single" w:sz="4" w:space="0" w:color="auto"/>
              <w:left w:val="nil"/>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r>
      <w:tr w:rsidR="00043C2F" w:rsidRPr="00043C2F" w:rsidTr="00043C2F">
        <w:trPr>
          <w:trHeight w:val="240"/>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2010</w:t>
            </w:r>
          </w:p>
        </w:tc>
        <w:tc>
          <w:tcPr>
            <w:tcW w:w="513" w:type="dxa"/>
            <w:tcBorders>
              <w:top w:val="nil"/>
              <w:left w:val="single" w:sz="4" w:space="0" w:color="auto"/>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6.7</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0.3</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5.0</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0.7</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0.4</w:t>
            </w: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4.6</w:t>
            </w: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8.5</w:t>
            </w:r>
          </w:p>
        </w:tc>
      </w:tr>
      <w:tr w:rsidR="00043C2F" w:rsidRPr="00043C2F" w:rsidTr="00043C2F">
        <w:trPr>
          <w:trHeight w:val="240"/>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2011</w:t>
            </w:r>
          </w:p>
        </w:tc>
        <w:tc>
          <w:tcPr>
            <w:tcW w:w="513" w:type="dxa"/>
            <w:tcBorders>
              <w:top w:val="nil"/>
              <w:left w:val="single" w:sz="4" w:space="0" w:color="auto"/>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7.7</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0.2</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5.9</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-1.5</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2.8</w:t>
            </w: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3.9</w:t>
            </w: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11.1</w:t>
            </w:r>
          </w:p>
        </w:tc>
      </w:tr>
      <w:tr w:rsidR="00043C2F" w:rsidRPr="00043C2F" w:rsidTr="00043C2F">
        <w:trPr>
          <w:trHeight w:val="240"/>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2012</w:t>
            </w:r>
          </w:p>
        </w:tc>
        <w:tc>
          <w:tcPr>
            <w:tcW w:w="513" w:type="dxa"/>
            <w:tcBorders>
              <w:top w:val="nil"/>
              <w:left w:val="single" w:sz="4" w:space="0" w:color="auto"/>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0.9</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0.8</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3.3</w:t>
            </w: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0.2</w:t>
            </w: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4.8</w:t>
            </w:r>
          </w:p>
        </w:tc>
      </w:tr>
      <w:tr w:rsidR="00043C2F" w:rsidRPr="00043C2F" w:rsidTr="00043C2F">
        <w:trPr>
          <w:trHeight w:val="240"/>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2013</w:t>
            </w:r>
          </w:p>
        </w:tc>
        <w:tc>
          <w:tcPr>
            <w:tcW w:w="513" w:type="dxa"/>
            <w:tcBorders>
              <w:top w:val="nil"/>
              <w:left w:val="single" w:sz="4" w:space="0" w:color="auto"/>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4.9</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1.1</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3.8</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0.7</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0.3</w:t>
            </w: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2.3</w:t>
            </w: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8.5</w:t>
            </w:r>
          </w:p>
        </w:tc>
      </w:tr>
      <w:tr w:rsidR="00043C2F" w:rsidRPr="00043C2F" w:rsidTr="00043C2F">
        <w:trPr>
          <w:trHeight w:val="240"/>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2014</w:t>
            </w:r>
          </w:p>
        </w:tc>
        <w:tc>
          <w:tcPr>
            <w:tcW w:w="513" w:type="dxa"/>
            <w:tcBorders>
              <w:top w:val="nil"/>
              <w:left w:val="single" w:sz="4" w:space="0" w:color="auto"/>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1.8</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0.4</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1.5</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-0.5</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1.8</w:t>
            </w: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-0.1</w:t>
            </w: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5.2</w:t>
            </w:r>
          </w:p>
        </w:tc>
      </w:tr>
      <w:tr w:rsidR="00043C2F" w:rsidRPr="00043C2F" w:rsidTr="00043C2F">
        <w:trPr>
          <w:trHeight w:val="240"/>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2015</w:t>
            </w:r>
          </w:p>
        </w:tc>
        <w:tc>
          <w:tcPr>
            <w:tcW w:w="513" w:type="dxa"/>
            <w:tcBorders>
              <w:top w:val="nil"/>
              <w:left w:val="single" w:sz="4" w:space="0" w:color="auto"/>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3.3</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0.6</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2.7</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-1.0</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1.0</w:t>
            </w: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0.5</w:t>
            </w: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6.1</w:t>
            </w:r>
          </w:p>
        </w:tc>
      </w:tr>
      <w:tr w:rsidR="00043C2F" w:rsidRPr="00043C2F" w:rsidTr="00043C2F">
        <w:trPr>
          <w:trHeight w:val="255"/>
          <w:jc w:val="center"/>
        </w:trPr>
        <w:tc>
          <w:tcPr>
            <w:tcW w:w="824" w:type="dxa"/>
            <w:tcBorders>
              <w:top w:val="nil"/>
              <w:left w:val="nil"/>
              <w:bottom w:val="double" w:sz="6" w:space="0" w:color="auto"/>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2016</w:t>
            </w:r>
          </w:p>
        </w:tc>
        <w:tc>
          <w:tcPr>
            <w:tcW w:w="513" w:type="dxa"/>
            <w:tcBorders>
              <w:top w:val="nil"/>
              <w:left w:val="single" w:sz="4" w:space="0" w:color="auto"/>
              <w:bottom w:val="double" w:sz="6"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2.2</w:t>
            </w:r>
          </w:p>
        </w:tc>
        <w:tc>
          <w:tcPr>
            <w:tcW w:w="513" w:type="dxa"/>
            <w:tcBorders>
              <w:top w:val="nil"/>
              <w:left w:val="nil"/>
              <w:bottom w:val="double" w:sz="6"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1.3</w:t>
            </w:r>
          </w:p>
        </w:tc>
        <w:tc>
          <w:tcPr>
            <w:tcW w:w="513" w:type="dxa"/>
            <w:tcBorders>
              <w:top w:val="nil"/>
              <w:left w:val="nil"/>
              <w:bottom w:val="double" w:sz="6"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0.7</w:t>
            </w:r>
          </w:p>
        </w:tc>
        <w:tc>
          <w:tcPr>
            <w:tcW w:w="628" w:type="dxa"/>
            <w:tcBorders>
              <w:top w:val="nil"/>
              <w:left w:val="nil"/>
              <w:bottom w:val="double" w:sz="6"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0.4</w:t>
            </w:r>
          </w:p>
        </w:tc>
        <w:tc>
          <w:tcPr>
            <w:tcW w:w="628" w:type="dxa"/>
            <w:tcBorders>
              <w:top w:val="nil"/>
              <w:left w:val="nil"/>
              <w:bottom w:val="double" w:sz="6"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-0.4</w:t>
            </w:r>
          </w:p>
        </w:tc>
        <w:tc>
          <w:tcPr>
            <w:tcW w:w="1380" w:type="dxa"/>
            <w:tcBorders>
              <w:top w:val="nil"/>
              <w:left w:val="nil"/>
              <w:bottom w:val="double" w:sz="6"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1.0</w:t>
            </w:r>
          </w:p>
        </w:tc>
        <w:tc>
          <w:tcPr>
            <w:tcW w:w="703" w:type="dxa"/>
            <w:tcBorders>
              <w:top w:val="nil"/>
              <w:left w:val="nil"/>
              <w:bottom w:val="double" w:sz="6"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3.2</w:t>
            </w:r>
          </w:p>
        </w:tc>
      </w:tr>
      <w:tr w:rsidR="00043C2F" w:rsidRPr="00043C2F" w:rsidTr="00043C2F">
        <w:trPr>
          <w:trHeight w:val="255"/>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rPr>
                <w:sz w:val="20"/>
                <w:szCs w:val="20"/>
                <w:lang w:val="en-US" w:eastAsia="en-US"/>
              </w:rPr>
            </w:pP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rPr>
                <w:sz w:val="20"/>
                <w:szCs w:val="20"/>
                <w:lang w:val="en-US" w:eastAsia="en-US"/>
              </w:rPr>
            </w:pP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rPr>
                <w:sz w:val="20"/>
                <w:szCs w:val="20"/>
                <w:lang w:val="en-US" w:eastAsia="en-US"/>
              </w:rPr>
            </w:pP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rPr>
                <w:sz w:val="20"/>
                <w:szCs w:val="20"/>
                <w:lang w:val="en-US" w:eastAsia="en-US"/>
              </w:rPr>
            </w:pP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rPr>
                <w:sz w:val="20"/>
                <w:szCs w:val="20"/>
                <w:lang w:val="en-US" w:eastAsia="en-US"/>
              </w:rPr>
            </w:pP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rPr>
                <w:sz w:val="20"/>
                <w:szCs w:val="20"/>
                <w:lang w:val="en-US" w:eastAsia="en-US"/>
              </w:rPr>
            </w:pP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rPr>
                <w:sz w:val="20"/>
                <w:szCs w:val="20"/>
                <w:lang w:val="en-US" w:eastAsia="en-US"/>
              </w:rPr>
            </w:pPr>
          </w:p>
        </w:tc>
      </w:tr>
      <w:tr w:rsidR="00043C2F" w:rsidRPr="00043C2F" w:rsidTr="00043C2F">
        <w:trPr>
          <w:trHeight w:val="240"/>
          <w:jc w:val="center"/>
        </w:trPr>
        <w:tc>
          <w:tcPr>
            <w:tcW w:w="5702" w:type="dxa"/>
            <w:gridSpan w:val="8"/>
            <w:tcBorders>
              <w:top w:val="nil"/>
              <w:left w:val="nil"/>
              <w:bottom w:val="single" w:sz="4"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proofErr w:type="spellStart"/>
            <w:r w:rsidRPr="00043C2F">
              <w:rPr>
                <w:rFonts w:ascii="Cambria" w:hAnsi="Cambria" w:cs="Calibri"/>
                <w:b/>
                <w:bCs/>
                <w:color w:val="000000"/>
                <w:sz w:val="18"/>
                <w:szCs w:val="18"/>
                <w:lang w:val="en-US" w:eastAsia="en-US"/>
              </w:rPr>
              <w:t>Büyümeye</w:t>
            </w:r>
            <w:proofErr w:type="spellEnd"/>
            <w:r w:rsidRPr="00043C2F">
              <w:rPr>
                <w:rFonts w:ascii="Cambria" w:hAnsi="Cambria" w:cs="Calibri"/>
                <w:b/>
                <w:bCs/>
                <w:color w:val="000000"/>
                <w:sz w:val="18"/>
                <w:szCs w:val="18"/>
                <w:lang w:val="en-US" w:eastAsia="en-US"/>
              </w:rPr>
              <w:t xml:space="preserve"> </w:t>
            </w:r>
            <w:proofErr w:type="spellStart"/>
            <w:r w:rsidRPr="00043C2F">
              <w:rPr>
                <w:rFonts w:ascii="Cambria" w:hAnsi="Cambria" w:cs="Calibri"/>
                <w:b/>
                <w:bCs/>
                <w:color w:val="000000"/>
                <w:sz w:val="18"/>
                <w:szCs w:val="18"/>
                <w:lang w:val="en-US" w:eastAsia="en-US"/>
              </w:rPr>
              <w:t>katkılar</w:t>
            </w:r>
            <w:proofErr w:type="spellEnd"/>
            <w:r w:rsidRPr="00043C2F">
              <w:rPr>
                <w:rFonts w:ascii="Cambria" w:hAnsi="Cambria" w:cs="Calibri"/>
                <w:b/>
                <w:bCs/>
                <w:color w:val="000000"/>
                <w:sz w:val="18"/>
                <w:szCs w:val="18"/>
                <w:lang w:val="en-US" w:eastAsia="en-US"/>
              </w:rPr>
              <w:t xml:space="preserve"> (%): </w:t>
            </w:r>
            <w:proofErr w:type="spellStart"/>
            <w:r w:rsidRPr="00043C2F">
              <w:rPr>
                <w:rFonts w:ascii="Cambria" w:hAnsi="Cambria" w:cs="Calibri"/>
                <w:b/>
                <w:bCs/>
                <w:color w:val="000000"/>
                <w:sz w:val="18"/>
                <w:szCs w:val="18"/>
                <w:lang w:val="en-US" w:eastAsia="en-US"/>
              </w:rPr>
              <w:t>Yaklaşık</w:t>
            </w:r>
            <w:proofErr w:type="spellEnd"/>
            <w:r w:rsidRPr="00043C2F">
              <w:rPr>
                <w:rFonts w:ascii="Cambria" w:hAnsi="Cambria" w:cs="Calibri"/>
                <w:b/>
                <w:bCs/>
                <w:color w:val="000000"/>
                <w:sz w:val="18"/>
                <w:szCs w:val="18"/>
                <w:lang w:val="en-US" w:eastAsia="en-US"/>
              </w:rPr>
              <w:t xml:space="preserve"> </w:t>
            </w:r>
            <w:proofErr w:type="spellStart"/>
            <w:r w:rsidRPr="00043C2F">
              <w:rPr>
                <w:rFonts w:ascii="Cambria" w:hAnsi="Cambria" w:cs="Calibri"/>
                <w:b/>
                <w:bCs/>
                <w:color w:val="000000"/>
                <w:sz w:val="18"/>
                <w:szCs w:val="18"/>
                <w:lang w:val="en-US" w:eastAsia="en-US"/>
              </w:rPr>
              <w:t>hesap</w:t>
            </w:r>
            <w:proofErr w:type="spellEnd"/>
          </w:p>
        </w:tc>
      </w:tr>
      <w:tr w:rsidR="00043C2F" w:rsidRPr="00043C2F" w:rsidTr="00043C2F">
        <w:trPr>
          <w:trHeight w:val="240"/>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c>
          <w:tcPr>
            <w:tcW w:w="513" w:type="dxa"/>
            <w:tcBorders>
              <w:top w:val="nil"/>
              <w:left w:val="single" w:sz="4" w:space="0" w:color="auto"/>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r w:rsidRPr="00043C2F">
              <w:rPr>
                <w:rFonts w:ascii="Cambria" w:hAnsi="Cambria" w:cs="Calibri"/>
                <w:b/>
                <w:bCs/>
                <w:color w:val="000000"/>
                <w:sz w:val="18"/>
                <w:szCs w:val="18"/>
                <w:lang w:val="en-US" w:eastAsia="en-US"/>
              </w:rPr>
              <w:t>C</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r w:rsidRPr="00043C2F">
              <w:rPr>
                <w:rFonts w:ascii="Cambria" w:hAnsi="Cambria" w:cs="Calibri"/>
                <w:b/>
                <w:bCs/>
                <w:color w:val="000000"/>
                <w:sz w:val="18"/>
                <w:szCs w:val="18"/>
                <w:lang w:val="en-US" w:eastAsia="en-US"/>
              </w:rPr>
              <w:t>G</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r w:rsidRPr="00043C2F">
              <w:rPr>
                <w:rFonts w:ascii="Cambria" w:hAnsi="Cambria" w:cs="Calibri"/>
                <w:b/>
                <w:bCs/>
                <w:color w:val="000000"/>
                <w:sz w:val="18"/>
                <w:szCs w:val="18"/>
                <w:lang w:val="en-US" w:eastAsia="en-US"/>
              </w:rPr>
              <w:t>I</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proofErr w:type="spellStart"/>
            <w:r w:rsidRPr="00043C2F">
              <w:rPr>
                <w:rFonts w:ascii="Cambria" w:hAnsi="Cambria" w:cs="Calibri"/>
                <w:b/>
                <w:bCs/>
                <w:color w:val="000000"/>
                <w:sz w:val="18"/>
                <w:szCs w:val="18"/>
                <w:lang w:val="en-US" w:eastAsia="en-US"/>
              </w:rPr>
              <w:t>dS</w:t>
            </w:r>
            <w:proofErr w:type="spellEnd"/>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r w:rsidRPr="00043C2F">
              <w:rPr>
                <w:rFonts w:ascii="Cambria" w:hAnsi="Cambria" w:cs="Calibri"/>
                <w:b/>
                <w:bCs/>
                <w:color w:val="000000"/>
                <w:sz w:val="18"/>
                <w:szCs w:val="18"/>
                <w:lang w:val="en-US" w:eastAsia="en-US"/>
              </w:rPr>
              <w:t>X</w:t>
            </w: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r w:rsidRPr="00043C2F">
              <w:rPr>
                <w:rFonts w:ascii="Cambria" w:hAnsi="Cambria" w:cs="Calibri"/>
                <w:b/>
                <w:bCs/>
                <w:color w:val="000000"/>
                <w:sz w:val="18"/>
                <w:szCs w:val="18"/>
                <w:lang w:val="en-US" w:eastAsia="en-US"/>
              </w:rPr>
              <w:t>(</w:t>
            </w:r>
            <w:proofErr w:type="spellStart"/>
            <w:r w:rsidRPr="00043C2F">
              <w:rPr>
                <w:rFonts w:ascii="Cambria" w:hAnsi="Cambria" w:cs="Calibri"/>
                <w:b/>
                <w:bCs/>
                <w:color w:val="000000"/>
                <w:sz w:val="18"/>
                <w:szCs w:val="18"/>
                <w:lang w:val="en-US" w:eastAsia="en-US"/>
              </w:rPr>
              <w:t>Eksi</w:t>
            </w:r>
            <w:proofErr w:type="spellEnd"/>
            <w:r w:rsidRPr="00043C2F">
              <w:rPr>
                <w:rFonts w:ascii="Cambria" w:hAnsi="Cambria" w:cs="Calibri"/>
                <w:b/>
                <w:bCs/>
                <w:color w:val="000000"/>
                <w:sz w:val="18"/>
                <w:szCs w:val="18"/>
                <w:lang w:val="en-US" w:eastAsia="en-US"/>
              </w:rPr>
              <w:t>) M</w:t>
            </w: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b/>
                <w:bCs/>
                <w:color w:val="000000"/>
                <w:sz w:val="18"/>
                <w:szCs w:val="18"/>
                <w:lang w:val="en-US" w:eastAsia="en-US"/>
              </w:rPr>
            </w:pPr>
            <w:r w:rsidRPr="00043C2F">
              <w:rPr>
                <w:rFonts w:ascii="Cambria" w:hAnsi="Cambria" w:cs="Calibri"/>
                <w:b/>
                <w:bCs/>
                <w:color w:val="000000"/>
                <w:sz w:val="18"/>
                <w:szCs w:val="18"/>
                <w:lang w:val="en-US" w:eastAsia="en-US"/>
              </w:rPr>
              <w:t>Y</w:t>
            </w:r>
          </w:p>
        </w:tc>
      </w:tr>
      <w:tr w:rsidR="00043C2F" w:rsidRPr="00043C2F" w:rsidTr="00043C2F">
        <w:trPr>
          <w:trHeight w:val="240"/>
          <w:jc w:val="center"/>
        </w:trPr>
        <w:tc>
          <w:tcPr>
            <w:tcW w:w="824" w:type="dxa"/>
            <w:tcBorders>
              <w:top w:val="single" w:sz="4" w:space="0" w:color="auto"/>
              <w:left w:val="nil"/>
              <w:bottom w:val="nil"/>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2009</w:t>
            </w:r>
          </w:p>
        </w:tc>
        <w:tc>
          <w:tcPr>
            <w:tcW w:w="513" w:type="dxa"/>
            <w:tcBorders>
              <w:top w:val="single" w:sz="4" w:space="0" w:color="auto"/>
              <w:left w:val="single" w:sz="4" w:space="0" w:color="auto"/>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c>
          <w:tcPr>
            <w:tcW w:w="513" w:type="dxa"/>
            <w:tcBorders>
              <w:top w:val="single" w:sz="4" w:space="0" w:color="auto"/>
              <w:left w:val="nil"/>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c>
          <w:tcPr>
            <w:tcW w:w="513" w:type="dxa"/>
            <w:tcBorders>
              <w:top w:val="single" w:sz="4" w:space="0" w:color="auto"/>
              <w:left w:val="nil"/>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c>
          <w:tcPr>
            <w:tcW w:w="628" w:type="dxa"/>
            <w:tcBorders>
              <w:top w:val="single" w:sz="4" w:space="0" w:color="auto"/>
              <w:left w:val="nil"/>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c>
          <w:tcPr>
            <w:tcW w:w="628" w:type="dxa"/>
            <w:tcBorders>
              <w:top w:val="single" w:sz="4" w:space="0" w:color="auto"/>
              <w:left w:val="nil"/>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c>
          <w:tcPr>
            <w:tcW w:w="1380" w:type="dxa"/>
            <w:tcBorders>
              <w:top w:val="single" w:sz="4" w:space="0" w:color="auto"/>
              <w:left w:val="nil"/>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c>
          <w:tcPr>
            <w:tcW w:w="703" w:type="dxa"/>
            <w:tcBorders>
              <w:top w:val="single" w:sz="4" w:space="0" w:color="auto"/>
              <w:left w:val="nil"/>
              <w:bottom w:val="nil"/>
              <w:right w:val="nil"/>
            </w:tcBorders>
            <w:shd w:val="clear" w:color="auto" w:fill="auto"/>
            <w:noWrap/>
            <w:vAlign w:val="bottom"/>
            <w:hideMark/>
          </w:tcPr>
          <w:p w:rsidR="00043C2F" w:rsidRPr="00043C2F" w:rsidRDefault="00043C2F" w:rsidP="00043C2F">
            <w:pPr>
              <w:suppressAutoHyphens w:val="0"/>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 </w:t>
            </w:r>
          </w:p>
        </w:tc>
      </w:tr>
      <w:tr w:rsidR="00043C2F" w:rsidRPr="00043C2F" w:rsidTr="00043C2F">
        <w:trPr>
          <w:trHeight w:val="240"/>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2010</w:t>
            </w:r>
          </w:p>
        </w:tc>
        <w:tc>
          <w:tcPr>
            <w:tcW w:w="513" w:type="dxa"/>
            <w:tcBorders>
              <w:top w:val="nil"/>
              <w:left w:val="single" w:sz="4" w:space="0" w:color="auto"/>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6.7</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0.3</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5.0</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0.7</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0.4</w:t>
            </w: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4.6</w:t>
            </w: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8.5</w:t>
            </w:r>
          </w:p>
        </w:tc>
      </w:tr>
      <w:tr w:rsidR="00043C2F" w:rsidRPr="00043C2F" w:rsidTr="00043C2F">
        <w:trPr>
          <w:trHeight w:val="240"/>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2011</w:t>
            </w:r>
          </w:p>
        </w:tc>
        <w:tc>
          <w:tcPr>
            <w:tcW w:w="513" w:type="dxa"/>
            <w:tcBorders>
              <w:top w:val="nil"/>
              <w:left w:val="single" w:sz="4" w:space="0" w:color="auto"/>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7.8</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0.2</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6.0</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-1.7</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2.8</w:t>
            </w: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4.0</w:t>
            </w: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11.1</w:t>
            </w:r>
          </w:p>
        </w:tc>
      </w:tr>
      <w:tr w:rsidR="00043C2F" w:rsidRPr="00043C2F" w:rsidTr="00043C2F">
        <w:trPr>
          <w:trHeight w:val="240"/>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2012</w:t>
            </w:r>
          </w:p>
        </w:tc>
        <w:tc>
          <w:tcPr>
            <w:tcW w:w="513" w:type="dxa"/>
            <w:tcBorders>
              <w:top w:val="nil"/>
              <w:left w:val="single" w:sz="4" w:space="0" w:color="auto"/>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0.9</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0.8</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-1.9</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3.2</w:t>
            </w: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0.2</w:t>
            </w: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4.8</w:t>
            </w:r>
          </w:p>
        </w:tc>
      </w:tr>
      <w:tr w:rsidR="00043C2F" w:rsidRPr="00043C2F" w:rsidTr="00043C2F">
        <w:trPr>
          <w:trHeight w:val="240"/>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2013</w:t>
            </w:r>
          </w:p>
        </w:tc>
        <w:tc>
          <w:tcPr>
            <w:tcW w:w="513" w:type="dxa"/>
            <w:tcBorders>
              <w:top w:val="nil"/>
              <w:left w:val="single" w:sz="4" w:space="0" w:color="auto"/>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5.0</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1.1</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3.8</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0.4</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0.3</w:t>
            </w: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2.1</w:t>
            </w: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8.5</w:t>
            </w:r>
          </w:p>
        </w:tc>
      </w:tr>
      <w:tr w:rsidR="00043C2F" w:rsidRPr="00043C2F" w:rsidTr="00043C2F">
        <w:trPr>
          <w:trHeight w:val="240"/>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2014</w:t>
            </w:r>
          </w:p>
        </w:tc>
        <w:tc>
          <w:tcPr>
            <w:tcW w:w="513" w:type="dxa"/>
            <w:tcBorders>
              <w:top w:val="nil"/>
              <w:left w:val="single" w:sz="4" w:space="0" w:color="auto"/>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1.9</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0.4</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1.5</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-0.5</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1.8</w:t>
            </w: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-0.1</w:t>
            </w: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5.2</w:t>
            </w:r>
          </w:p>
        </w:tc>
      </w:tr>
      <w:tr w:rsidR="00043C2F" w:rsidRPr="00043C2F" w:rsidTr="00043C2F">
        <w:trPr>
          <w:trHeight w:val="240"/>
          <w:jc w:val="center"/>
        </w:trPr>
        <w:tc>
          <w:tcPr>
            <w:tcW w:w="824"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2015</w:t>
            </w:r>
          </w:p>
        </w:tc>
        <w:tc>
          <w:tcPr>
            <w:tcW w:w="513" w:type="dxa"/>
            <w:tcBorders>
              <w:top w:val="nil"/>
              <w:left w:val="single" w:sz="4" w:space="0" w:color="auto"/>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3.3</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0.5</w:t>
            </w:r>
          </w:p>
        </w:tc>
        <w:tc>
          <w:tcPr>
            <w:tcW w:w="51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2.7</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-1.0</w:t>
            </w:r>
          </w:p>
        </w:tc>
        <w:tc>
          <w:tcPr>
            <w:tcW w:w="628"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1.0</w:t>
            </w:r>
          </w:p>
        </w:tc>
        <w:tc>
          <w:tcPr>
            <w:tcW w:w="1380"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0.4</w:t>
            </w:r>
          </w:p>
        </w:tc>
        <w:tc>
          <w:tcPr>
            <w:tcW w:w="703" w:type="dxa"/>
            <w:tcBorders>
              <w:top w:val="nil"/>
              <w:left w:val="nil"/>
              <w:bottom w:val="nil"/>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6.1</w:t>
            </w:r>
          </w:p>
        </w:tc>
      </w:tr>
      <w:tr w:rsidR="00043C2F" w:rsidRPr="00043C2F" w:rsidTr="00043C2F">
        <w:trPr>
          <w:trHeight w:val="255"/>
          <w:jc w:val="center"/>
        </w:trPr>
        <w:tc>
          <w:tcPr>
            <w:tcW w:w="824" w:type="dxa"/>
            <w:tcBorders>
              <w:top w:val="nil"/>
              <w:left w:val="nil"/>
              <w:bottom w:val="double" w:sz="6" w:space="0" w:color="auto"/>
              <w:right w:val="nil"/>
            </w:tcBorders>
            <w:shd w:val="clear" w:color="auto" w:fill="auto"/>
            <w:noWrap/>
            <w:vAlign w:val="bottom"/>
            <w:hideMark/>
          </w:tcPr>
          <w:p w:rsidR="00043C2F" w:rsidRPr="00043C2F" w:rsidRDefault="00043C2F" w:rsidP="00043C2F">
            <w:pPr>
              <w:suppressAutoHyphens w:val="0"/>
              <w:jc w:val="right"/>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2016</w:t>
            </w:r>
          </w:p>
        </w:tc>
        <w:tc>
          <w:tcPr>
            <w:tcW w:w="513" w:type="dxa"/>
            <w:tcBorders>
              <w:top w:val="nil"/>
              <w:left w:val="single" w:sz="4" w:space="0" w:color="auto"/>
              <w:bottom w:val="double" w:sz="6"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2.2</w:t>
            </w:r>
          </w:p>
        </w:tc>
        <w:tc>
          <w:tcPr>
            <w:tcW w:w="513" w:type="dxa"/>
            <w:tcBorders>
              <w:top w:val="nil"/>
              <w:left w:val="nil"/>
              <w:bottom w:val="double" w:sz="6"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1.2</w:t>
            </w:r>
          </w:p>
        </w:tc>
        <w:tc>
          <w:tcPr>
            <w:tcW w:w="513" w:type="dxa"/>
            <w:tcBorders>
              <w:top w:val="nil"/>
              <w:left w:val="nil"/>
              <w:bottom w:val="double" w:sz="6"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0.7</w:t>
            </w:r>
          </w:p>
        </w:tc>
        <w:tc>
          <w:tcPr>
            <w:tcW w:w="628" w:type="dxa"/>
            <w:tcBorders>
              <w:top w:val="nil"/>
              <w:left w:val="nil"/>
              <w:bottom w:val="double" w:sz="6"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0.3</w:t>
            </w:r>
          </w:p>
        </w:tc>
        <w:tc>
          <w:tcPr>
            <w:tcW w:w="628" w:type="dxa"/>
            <w:tcBorders>
              <w:top w:val="nil"/>
              <w:left w:val="nil"/>
              <w:bottom w:val="double" w:sz="6"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-0.4</w:t>
            </w:r>
          </w:p>
        </w:tc>
        <w:tc>
          <w:tcPr>
            <w:tcW w:w="1380" w:type="dxa"/>
            <w:tcBorders>
              <w:top w:val="nil"/>
              <w:left w:val="nil"/>
              <w:bottom w:val="double" w:sz="6"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0.9</w:t>
            </w:r>
          </w:p>
        </w:tc>
        <w:tc>
          <w:tcPr>
            <w:tcW w:w="703" w:type="dxa"/>
            <w:tcBorders>
              <w:top w:val="nil"/>
              <w:left w:val="nil"/>
              <w:bottom w:val="double" w:sz="6" w:space="0" w:color="auto"/>
              <w:right w:val="nil"/>
            </w:tcBorders>
            <w:shd w:val="clear" w:color="auto" w:fill="auto"/>
            <w:noWrap/>
            <w:vAlign w:val="bottom"/>
            <w:hideMark/>
          </w:tcPr>
          <w:p w:rsidR="00043C2F" w:rsidRPr="00043C2F" w:rsidRDefault="00043C2F" w:rsidP="00043C2F">
            <w:pPr>
              <w:suppressAutoHyphens w:val="0"/>
              <w:jc w:val="center"/>
              <w:rPr>
                <w:rFonts w:ascii="Cambria" w:hAnsi="Cambria" w:cs="Calibri"/>
                <w:color w:val="000000"/>
                <w:sz w:val="18"/>
                <w:szCs w:val="18"/>
                <w:lang w:val="en-US" w:eastAsia="en-US"/>
              </w:rPr>
            </w:pPr>
            <w:r w:rsidRPr="00043C2F">
              <w:rPr>
                <w:rFonts w:ascii="Cambria" w:hAnsi="Cambria" w:cs="Calibri"/>
                <w:color w:val="000000"/>
                <w:sz w:val="18"/>
                <w:szCs w:val="18"/>
                <w:lang w:val="en-US" w:eastAsia="en-US"/>
              </w:rPr>
              <w:t>3.2</w:t>
            </w:r>
          </w:p>
        </w:tc>
      </w:tr>
    </w:tbl>
    <w:p w:rsidR="00467873" w:rsidRPr="005D2515" w:rsidRDefault="00043C2F" w:rsidP="00C63EF5">
      <w:pPr>
        <w:spacing w:line="360" w:lineRule="auto"/>
        <w:ind w:firstLine="340"/>
        <w:jc w:val="both"/>
        <w:rPr>
          <w:rFonts w:ascii="Palatino Linotype" w:hAnsi="Palatino Linotype"/>
        </w:rPr>
      </w:pPr>
      <w:r>
        <w:rPr>
          <w:rFonts w:ascii="Palatino Linotype" w:hAnsi="Palatino Linotype"/>
        </w:rPr>
        <w:t>K</w:t>
      </w:r>
      <w:r w:rsidR="00C63EF5">
        <w:rPr>
          <w:rFonts w:ascii="Palatino Linotype" w:hAnsi="Palatino Linotype"/>
        </w:rPr>
        <w:t>aynak: TÜİK, Betam.</w:t>
      </w:r>
    </w:p>
    <w:p w:rsidR="00F85995" w:rsidRDefault="001A77B8" w:rsidP="00F85995">
      <w:pPr>
        <w:spacing w:line="360" w:lineRule="auto"/>
        <w:ind w:firstLine="340"/>
        <w:jc w:val="both"/>
        <w:rPr>
          <w:rFonts w:ascii="Palatino Linotype" w:hAnsi="Palatino Linotype"/>
        </w:rPr>
      </w:pPr>
      <w:r>
        <w:rPr>
          <w:rFonts w:ascii="Palatino Linotype" w:hAnsi="Palatino Linotype"/>
        </w:rPr>
        <w:t xml:space="preserve">Benzer katkı hesaplarını çeyreklik veriler ile yaptığımızda Tablo </w:t>
      </w:r>
      <w:r w:rsidR="00CE0987">
        <w:rPr>
          <w:rFonts w:ascii="Palatino Linotype" w:hAnsi="Palatino Linotype"/>
        </w:rPr>
        <w:t>3 ve 4</w:t>
      </w:r>
      <w:r>
        <w:rPr>
          <w:rFonts w:ascii="Palatino Linotype" w:hAnsi="Palatino Linotype"/>
        </w:rPr>
        <w:t>’</w:t>
      </w:r>
      <w:r w:rsidR="00CE0987">
        <w:rPr>
          <w:rFonts w:ascii="Palatino Linotype" w:hAnsi="Palatino Linotype"/>
        </w:rPr>
        <w:t>ü</w:t>
      </w:r>
      <w:r>
        <w:rPr>
          <w:rFonts w:ascii="Palatino Linotype" w:hAnsi="Palatino Linotype"/>
        </w:rPr>
        <w:t xml:space="preserve"> elde ederiz.</w:t>
      </w:r>
      <w:r w:rsidR="0057381B">
        <w:rPr>
          <w:rFonts w:ascii="Palatino Linotype" w:hAnsi="Palatino Linotype"/>
        </w:rPr>
        <w:t xml:space="preserve"> </w:t>
      </w:r>
      <w:r w:rsidR="00F85995">
        <w:rPr>
          <w:rFonts w:ascii="Palatino Linotype" w:hAnsi="Palatino Linotype"/>
        </w:rPr>
        <w:t xml:space="preserve">Tablo 3 geçen yılın aynı çeyreğine kıyasla büyüme oranına yapılan katkıları verirken, Tablo 4 bir önceki çeyreğe kıyasla büyüme oranına yapılan katkıları özetlemektedir. </w:t>
      </w:r>
      <w:r w:rsidR="0057381B">
        <w:rPr>
          <w:rFonts w:ascii="Palatino Linotype" w:hAnsi="Palatino Linotype"/>
        </w:rPr>
        <w:t xml:space="preserve">Her iki Tabloda da gördüğümüz üzere, kesin ve yaklaşık hesap arasındaki farklar yıllık verilere benzer şekilde birbirine yakındır. </w:t>
      </w:r>
      <w:r w:rsidR="00F85995">
        <w:rPr>
          <w:rFonts w:ascii="Palatino Linotype" w:hAnsi="Palatino Linotype"/>
        </w:rPr>
        <w:t>Tablo 3’te e</w:t>
      </w:r>
      <w:r w:rsidR="00DB4916">
        <w:rPr>
          <w:rFonts w:ascii="Palatino Linotype" w:hAnsi="Palatino Linotype"/>
        </w:rPr>
        <w:t xml:space="preserve">n büyük sapma yüzde 0,6 ile ithalat ve yüzde 0,5 ile stoktaki değişiklikler kalemlerinde görülüyor. </w:t>
      </w:r>
      <w:r w:rsidR="00F85995">
        <w:rPr>
          <w:rFonts w:ascii="Palatino Linotype" w:hAnsi="Palatino Linotype"/>
        </w:rPr>
        <w:t xml:space="preserve">Tablo 4’te en büyük sapma yüzde 0,3 ile ithalat ve stoktaki değişiklikler kalemlerinde görülüyor. </w:t>
      </w:r>
      <w:r w:rsidR="008B76CD">
        <w:rPr>
          <w:rFonts w:ascii="Palatino Linotype" w:hAnsi="Palatino Linotype"/>
        </w:rPr>
        <w:t xml:space="preserve">Bu analizlerden çıkan ilk sonuç </w:t>
      </w:r>
      <w:proofErr w:type="spellStart"/>
      <w:r w:rsidR="008B76CD">
        <w:rPr>
          <w:rFonts w:ascii="Palatino Linotype" w:hAnsi="Palatino Linotype"/>
        </w:rPr>
        <w:t>toplamsallığı</w:t>
      </w:r>
      <w:proofErr w:type="spellEnd"/>
      <w:r w:rsidR="008B76CD">
        <w:rPr>
          <w:rFonts w:ascii="Palatino Linotype" w:hAnsi="Palatino Linotype"/>
        </w:rPr>
        <w:t xml:space="preserve"> ihmal ederek yapılan katkı hesaplarının çok büyük bir yanılgıya yol açmayacağı yönündedir.</w:t>
      </w:r>
    </w:p>
    <w:p w:rsidR="002F0434" w:rsidRDefault="002F0434" w:rsidP="00F85995">
      <w:pPr>
        <w:spacing w:line="360" w:lineRule="auto"/>
        <w:ind w:firstLine="340"/>
        <w:jc w:val="both"/>
        <w:rPr>
          <w:rFonts w:ascii="Palatino Linotype" w:hAnsi="Palatino Linotype"/>
        </w:rPr>
      </w:pPr>
      <w:r>
        <w:rPr>
          <w:rFonts w:ascii="Palatino Linotype" w:hAnsi="Palatino Linotype"/>
        </w:rPr>
        <w:t>Yapılan katkıların analizine gelinc</w:t>
      </w:r>
      <w:r w:rsidR="001E3187">
        <w:rPr>
          <w:rFonts w:ascii="Palatino Linotype" w:hAnsi="Palatino Linotype"/>
        </w:rPr>
        <w:t xml:space="preserve">e. Geçen yılın aynı çeyreğine göre büyümeye en büyük katkıyı, ortalamada, yüzde </w:t>
      </w:r>
      <w:r w:rsidR="00347957">
        <w:rPr>
          <w:rFonts w:ascii="Palatino Linotype" w:hAnsi="Palatino Linotype"/>
        </w:rPr>
        <w:t>59</w:t>
      </w:r>
      <w:r w:rsidR="001E3187">
        <w:rPr>
          <w:rFonts w:ascii="Palatino Linotype" w:hAnsi="Palatino Linotype"/>
        </w:rPr>
        <w:t xml:space="preserve"> ile</w:t>
      </w:r>
      <w:r w:rsidR="0078615F">
        <w:rPr>
          <w:rFonts w:ascii="Palatino Linotype" w:hAnsi="Palatino Linotype"/>
        </w:rPr>
        <w:t xml:space="preserve"> özel</w:t>
      </w:r>
      <w:r w:rsidR="00347957">
        <w:rPr>
          <w:rFonts w:ascii="Palatino Linotype" w:hAnsi="Palatino Linotype"/>
        </w:rPr>
        <w:t xml:space="preserve"> tüketim yaparken</w:t>
      </w:r>
      <w:r w:rsidR="0078615F">
        <w:rPr>
          <w:rFonts w:ascii="Palatino Linotype" w:hAnsi="Palatino Linotype"/>
        </w:rPr>
        <w:t xml:space="preserve"> kamu</w:t>
      </w:r>
      <w:r w:rsidR="008B76CD">
        <w:rPr>
          <w:rFonts w:ascii="Palatino Linotype" w:hAnsi="Palatino Linotype"/>
        </w:rPr>
        <w:t xml:space="preserve"> tüketiminin katkısı yüzde 10, yatırımların ise yaklaşık yüzde 43 kadardır. </w:t>
      </w:r>
      <w:r w:rsidR="0078615F">
        <w:rPr>
          <w:rFonts w:ascii="Palatino Linotype" w:hAnsi="Palatino Linotype"/>
        </w:rPr>
        <w:t xml:space="preserve">Yıllık verilerde olduğu gibi stok değişimi ve net ihracatın katkısı negatif: sırası ile yüzde </w:t>
      </w:r>
      <w:r w:rsidR="008B76CD">
        <w:rPr>
          <w:rFonts w:ascii="Palatino Linotype" w:hAnsi="Palatino Linotype"/>
        </w:rPr>
        <w:t xml:space="preserve">7 ve 5 civarındadır. Bir önceki çeyrek büyümesine katkılara baktığımızda özel ve kamu tüketimi ile yatırımların payı pek değişmezken, stok değişiminin katkısı eksi yüzde 12, net ihracatın katkısı ise eksi yüzde 1’e düşmektedir. </w:t>
      </w:r>
    </w:p>
    <w:p w:rsidR="00A160C8" w:rsidRDefault="00F25BB3" w:rsidP="00714AB7">
      <w:pPr>
        <w:spacing w:line="360" w:lineRule="auto"/>
        <w:ind w:firstLine="340"/>
        <w:jc w:val="both"/>
        <w:rPr>
          <w:rFonts w:ascii="Palatino Linotype" w:hAnsi="Palatino Linotype"/>
        </w:rPr>
      </w:pPr>
      <w:r>
        <w:rPr>
          <w:rFonts w:ascii="Palatino Linotype" w:hAnsi="Palatino Linotype"/>
        </w:rPr>
        <w:lastRenderedPageBreak/>
        <w:t xml:space="preserve">  </w:t>
      </w:r>
    </w:p>
    <w:p w:rsidR="008B76CD" w:rsidRPr="005D2515" w:rsidRDefault="008B76CD" w:rsidP="008B76CD">
      <w:pPr>
        <w:pStyle w:val="Heading2"/>
        <w:spacing w:line="360" w:lineRule="auto"/>
        <w:ind w:firstLine="340"/>
        <w:rPr>
          <w:rFonts w:ascii="Palatino Linotype" w:hAnsi="Palatino Linotype"/>
          <w:lang w:val="tr-TR"/>
        </w:rPr>
      </w:pPr>
      <w:r w:rsidRPr="005D2515">
        <w:rPr>
          <w:rFonts w:ascii="Palatino Linotype" w:hAnsi="Palatino Linotype"/>
          <w:lang w:val="tr-TR"/>
        </w:rPr>
        <w:t>Genel Değerlendirme</w:t>
      </w:r>
    </w:p>
    <w:p w:rsidR="008B76CD" w:rsidRPr="005D2515" w:rsidRDefault="008B76CD" w:rsidP="008B76CD">
      <w:pPr>
        <w:spacing w:line="360" w:lineRule="auto"/>
        <w:ind w:firstLine="340"/>
        <w:jc w:val="both"/>
        <w:rPr>
          <w:rFonts w:ascii="Palatino Linotype" w:hAnsi="Palatino Linotype"/>
        </w:rPr>
      </w:pPr>
      <w:r>
        <w:rPr>
          <w:rFonts w:ascii="Palatino Linotype" w:hAnsi="Palatino Linotype"/>
        </w:rPr>
        <w:t xml:space="preserve">Yaptığımız hesaplamalar </w:t>
      </w:r>
      <w:r w:rsidR="002448F3">
        <w:rPr>
          <w:rFonts w:ascii="Palatino Linotype" w:hAnsi="Palatino Linotype"/>
        </w:rPr>
        <w:t xml:space="preserve">neticesinde zincirlenmiş milli gelir serilerinde büyümeye katkı hesaplarını yaparken sabit fiyatlı yaklaşımda olduğu gibi, </w:t>
      </w:r>
      <w:proofErr w:type="spellStart"/>
      <w:r w:rsidR="002448F3">
        <w:rPr>
          <w:rFonts w:ascii="Palatino Linotype" w:hAnsi="Palatino Linotype"/>
        </w:rPr>
        <w:t>toplamsallık</w:t>
      </w:r>
      <w:proofErr w:type="spellEnd"/>
      <w:r w:rsidR="002448F3">
        <w:rPr>
          <w:rFonts w:ascii="Palatino Linotype" w:hAnsi="Palatino Linotype"/>
        </w:rPr>
        <w:t xml:space="preserve"> </w:t>
      </w:r>
      <w:r w:rsidR="00FF5BF3">
        <w:rPr>
          <w:rFonts w:ascii="Palatino Linotype" w:hAnsi="Palatino Linotype"/>
        </w:rPr>
        <w:t>sorununu ihmal etmek ve artığı stok değişimine atmak görece önemsiz bir sapmaya yol açmaktadır. İlk bulgularımıza göre 2009 sonrası dönemde büyümeye katkının yaklaşık yüzde 60’ı özel tüketim, yüzde 10’u kamu tüketimi ve yüzde 40’tan biraz fazlası yatırım artışlarından kaynaklanmaktadır. Stok değişiklikleri ve net ihracatın katkıları genelde negatif olup yüzde, toplamda yüzde 10’un üzerinde seyretmektedir.</w:t>
      </w:r>
    </w:p>
    <w:p w:rsidR="008B76CD" w:rsidRDefault="008B76CD" w:rsidP="008B76CD">
      <w:pPr>
        <w:rPr>
          <w:rFonts w:ascii="Palatino Linotype" w:hAnsi="Palatino Linotype"/>
          <w:sz w:val="22"/>
          <w:szCs w:val="22"/>
        </w:rPr>
      </w:pPr>
    </w:p>
    <w:p w:rsidR="00380FAF" w:rsidRPr="007538C8" w:rsidRDefault="00380FAF" w:rsidP="00380FAF">
      <w:pPr>
        <w:pStyle w:val="Heading2"/>
        <w:spacing w:line="360" w:lineRule="auto"/>
        <w:ind w:firstLine="340"/>
        <w:rPr>
          <w:rFonts w:ascii="Palatino Linotype" w:hAnsi="Palatino Linotype"/>
          <w:color w:val="FF0000"/>
          <w:lang w:val="tr-TR"/>
        </w:rPr>
      </w:pPr>
      <w:r w:rsidRPr="005D2515">
        <w:rPr>
          <w:rFonts w:ascii="Palatino Linotype" w:hAnsi="Palatino Linotype"/>
          <w:lang w:val="tr-TR"/>
        </w:rPr>
        <w:t>Kaynaklar:</w:t>
      </w:r>
      <w:r>
        <w:rPr>
          <w:rFonts w:ascii="Palatino Linotype" w:hAnsi="Palatino Linotype"/>
          <w:lang w:val="tr-TR"/>
        </w:rPr>
        <w:t xml:space="preserve"> </w:t>
      </w:r>
    </w:p>
    <w:p w:rsidR="00380FAF" w:rsidRDefault="00380FAF" w:rsidP="00380FAF">
      <w:pPr>
        <w:pStyle w:val="ListParagraph"/>
        <w:numPr>
          <w:ilvl w:val="0"/>
          <w:numId w:val="11"/>
        </w:numPr>
        <w:rPr>
          <w:rFonts w:ascii="Palatino Linotype" w:hAnsi="Palatino Linotype"/>
          <w:sz w:val="22"/>
          <w:szCs w:val="22"/>
        </w:rPr>
      </w:pPr>
      <w:r>
        <w:rPr>
          <w:rFonts w:ascii="Palatino Linotype" w:hAnsi="Palatino Linotype"/>
          <w:sz w:val="22"/>
          <w:szCs w:val="22"/>
        </w:rPr>
        <w:t xml:space="preserve">IMF, (2017). </w:t>
      </w:r>
      <w:r w:rsidRPr="003E6816">
        <w:rPr>
          <w:rFonts w:ascii="Palatino Linotype" w:hAnsi="Palatino Linotype"/>
          <w:i/>
          <w:sz w:val="22"/>
          <w:szCs w:val="22"/>
        </w:rPr>
        <w:t xml:space="preserve">Update of </w:t>
      </w:r>
      <w:proofErr w:type="spellStart"/>
      <w:r w:rsidRPr="003E6816">
        <w:rPr>
          <w:rFonts w:ascii="Palatino Linotype" w:hAnsi="Palatino Linotype"/>
          <w:i/>
          <w:sz w:val="22"/>
          <w:szCs w:val="22"/>
        </w:rPr>
        <w:t>the</w:t>
      </w:r>
      <w:proofErr w:type="spellEnd"/>
      <w:r w:rsidRPr="003E6816">
        <w:rPr>
          <w:rFonts w:ascii="Palatino Linotype" w:hAnsi="Palatino Linotype"/>
          <w:i/>
          <w:sz w:val="22"/>
          <w:szCs w:val="22"/>
        </w:rPr>
        <w:t xml:space="preserve"> </w:t>
      </w:r>
      <w:proofErr w:type="spellStart"/>
      <w:r w:rsidRPr="003E6816">
        <w:rPr>
          <w:rFonts w:ascii="Palatino Linotype" w:hAnsi="Palatino Linotype"/>
          <w:i/>
          <w:sz w:val="22"/>
          <w:szCs w:val="22"/>
        </w:rPr>
        <w:t>Quarterly</w:t>
      </w:r>
      <w:proofErr w:type="spellEnd"/>
      <w:r w:rsidRPr="003E6816">
        <w:rPr>
          <w:rFonts w:ascii="Palatino Linotype" w:hAnsi="Palatino Linotype"/>
          <w:i/>
          <w:sz w:val="22"/>
          <w:szCs w:val="22"/>
        </w:rPr>
        <w:t xml:space="preserve"> </w:t>
      </w:r>
      <w:proofErr w:type="spellStart"/>
      <w:r w:rsidRPr="003E6816">
        <w:rPr>
          <w:rFonts w:ascii="Palatino Linotype" w:hAnsi="Palatino Linotype"/>
          <w:i/>
          <w:sz w:val="22"/>
          <w:szCs w:val="22"/>
        </w:rPr>
        <w:t>National</w:t>
      </w:r>
      <w:proofErr w:type="spellEnd"/>
      <w:r w:rsidRPr="003E6816">
        <w:rPr>
          <w:rFonts w:ascii="Palatino Linotype" w:hAnsi="Palatino Linotype"/>
          <w:i/>
          <w:sz w:val="22"/>
          <w:szCs w:val="22"/>
        </w:rPr>
        <w:t xml:space="preserve"> </w:t>
      </w:r>
      <w:proofErr w:type="spellStart"/>
      <w:r w:rsidRPr="003E6816">
        <w:rPr>
          <w:rFonts w:ascii="Palatino Linotype" w:hAnsi="Palatino Linotype"/>
          <w:i/>
          <w:sz w:val="22"/>
          <w:szCs w:val="22"/>
        </w:rPr>
        <w:t>Accounts</w:t>
      </w:r>
      <w:proofErr w:type="spellEnd"/>
      <w:r w:rsidRPr="003E6816">
        <w:rPr>
          <w:rFonts w:ascii="Palatino Linotype" w:hAnsi="Palatino Linotype"/>
          <w:i/>
          <w:sz w:val="22"/>
          <w:szCs w:val="22"/>
        </w:rPr>
        <w:t xml:space="preserve"> Manual, </w:t>
      </w:r>
      <w:hyperlink r:id="rId9" w:history="1">
        <w:r w:rsidRPr="001A5E0D">
          <w:rPr>
            <w:rStyle w:val="Hyperlink"/>
            <w:rFonts w:ascii="Palatino Linotype" w:hAnsi="Palatino Linotype"/>
            <w:sz w:val="22"/>
            <w:szCs w:val="22"/>
          </w:rPr>
          <w:t>http://www.imf.org/external/pubs/ft/qna/</w:t>
        </w:r>
      </w:hyperlink>
      <w:r>
        <w:rPr>
          <w:rFonts w:ascii="Palatino Linotype" w:hAnsi="Palatino Linotype"/>
          <w:sz w:val="22"/>
          <w:szCs w:val="22"/>
        </w:rPr>
        <w:t xml:space="preserve"> </w:t>
      </w:r>
    </w:p>
    <w:p w:rsidR="00380FAF" w:rsidRDefault="00380FAF" w:rsidP="00380FAF">
      <w:pPr>
        <w:pStyle w:val="ListParagraph"/>
        <w:numPr>
          <w:ilvl w:val="0"/>
          <w:numId w:val="11"/>
        </w:numPr>
        <w:rPr>
          <w:rFonts w:ascii="Palatino Linotype" w:hAnsi="Palatino Linotype"/>
          <w:sz w:val="22"/>
          <w:szCs w:val="22"/>
        </w:rPr>
      </w:pPr>
      <w:proofErr w:type="spellStart"/>
      <w:r w:rsidRPr="00A15DA2">
        <w:rPr>
          <w:rFonts w:ascii="Palatino Linotype" w:hAnsi="Palatino Linotype"/>
          <w:sz w:val="22"/>
          <w:szCs w:val="22"/>
        </w:rPr>
        <w:t>Jones</w:t>
      </w:r>
      <w:proofErr w:type="spellEnd"/>
      <w:r w:rsidRPr="00A15DA2">
        <w:rPr>
          <w:rFonts w:ascii="Palatino Linotype" w:hAnsi="Palatino Linotype"/>
          <w:sz w:val="22"/>
          <w:szCs w:val="22"/>
        </w:rPr>
        <w:t xml:space="preserve">, C. 2002. “Using </w:t>
      </w:r>
      <w:proofErr w:type="spellStart"/>
      <w:r w:rsidRPr="00A15DA2">
        <w:rPr>
          <w:rFonts w:ascii="Palatino Linotype" w:hAnsi="Palatino Linotype"/>
          <w:sz w:val="22"/>
          <w:szCs w:val="22"/>
        </w:rPr>
        <w:t>Chain-Weighted</w:t>
      </w:r>
      <w:proofErr w:type="spellEnd"/>
      <w:r w:rsidRPr="00A15DA2">
        <w:rPr>
          <w:rFonts w:ascii="Palatino Linotype" w:hAnsi="Palatino Linotype"/>
          <w:sz w:val="22"/>
          <w:szCs w:val="22"/>
        </w:rPr>
        <w:t xml:space="preserve"> NIPA Data." FRBSF </w:t>
      </w:r>
      <w:proofErr w:type="spellStart"/>
      <w:r w:rsidRPr="00A15DA2">
        <w:rPr>
          <w:rFonts w:ascii="Palatino Linotype" w:hAnsi="Palatino Linotype"/>
          <w:sz w:val="22"/>
          <w:szCs w:val="22"/>
        </w:rPr>
        <w:t>Economic</w:t>
      </w:r>
      <w:proofErr w:type="spellEnd"/>
      <w:r>
        <w:rPr>
          <w:rFonts w:ascii="Palatino Linotype" w:hAnsi="Palatino Linotype"/>
          <w:sz w:val="22"/>
          <w:szCs w:val="22"/>
        </w:rPr>
        <w:t xml:space="preserve"> </w:t>
      </w:r>
      <w:proofErr w:type="spellStart"/>
      <w:r w:rsidRPr="00A15DA2">
        <w:rPr>
          <w:rFonts w:ascii="Palatino Linotype" w:hAnsi="Palatino Linotype"/>
          <w:sz w:val="22"/>
          <w:szCs w:val="22"/>
        </w:rPr>
        <w:t>Letter</w:t>
      </w:r>
      <w:proofErr w:type="spellEnd"/>
      <w:r w:rsidRPr="00A15DA2">
        <w:rPr>
          <w:rFonts w:ascii="Palatino Linotype" w:hAnsi="Palatino Linotype"/>
          <w:sz w:val="22"/>
          <w:szCs w:val="22"/>
        </w:rPr>
        <w:t xml:space="preserve"> No. 2002-22.</w:t>
      </w:r>
    </w:p>
    <w:p w:rsidR="00380FAF" w:rsidRPr="00A15DA2" w:rsidRDefault="00380FAF" w:rsidP="00380FAF">
      <w:pPr>
        <w:pStyle w:val="ListParagraph"/>
        <w:numPr>
          <w:ilvl w:val="0"/>
          <w:numId w:val="11"/>
        </w:numPr>
        <w:rPr>
          <w:rFonts w:ascii="Palatino Linotype" w:hAnsi="Palatino Linotype"/>
          <w:sz w:val="22"/>
          <w:szCs w:val="22"/>
        </w:rPr>
      </w:pPr>
      <w:proofErr w:type="spellStart"/>
      <w:r w:rsidRPr="00A15DA2">
        <w:rPr>
          <w:rFonts w:ascii="Palatino Linotype" w:hAnsi="Palatino Linotype"/>
          <w:sz w:val="22"/>
          <w:szCs w:val="22"/>
        </w:rPr>
        <w:t>Whelan</w:t>
      </w:r>
      <w:proofErr w:type="spellEnd"/>
      <w:r w:rsidRPr="00A15DA2">
        <w:rPr>
          <w:rFonts w:ascii="Palatino Linotype" w:hAnsi="Palatino Linotype"/>
          <w:sz w:val="22"/>
          <w:szCs w:val="22"/>
        </w:rPr>
        <w:t xml:space="preserve">, K. 2000. “A Guide </w:t>
      </w:r>
      <w:proofErr w:type="spellStart"/>
      <w:r w:rsidRPr="00A15DA2">
        <w:rPr>
          <w:rFonts w:ascii="Palatino Linotype" w:hAnsi="Palatino Linotype"/>
          <w:sz w:val="22"/>
          <w:szCs w:val="22"/>
        </w:rPr>
        <w:t>to</w:t>
      </w:r>
      <w:proofErr w:type="spellEnd"/>
      <w:r>
        <w:rPr>
          <w:rFonts w:ascii="Palatino Linotype" w:hAnsi="Palatino Linotype"/>
          <w:sz w:val="22"/>
          <w:szCs w:val="22"/>
        </w:rPr>
        <w:t xml:space="preserve"> </w:t>
      </w:r>
      <w:proofErr w:type="spellStart"/>
      <w:r w:rsidRPr="00A15DA2">
        <w:rPr>
          <w:rFonts w:ascii="Palatino Linotype" w:hAnsi="Palatino Linotype"/>
          <w:sz w:val="22"/>
          <w:szCs w:val="22"/>
        </w:rPr>
        <w:t>the</w:t>
      </w:r>
      <w:proofErr w:type="spellEnd"/>
      <w:r>
        <w:rPr>
          <w:rFonts w:ascii="Palatino Linotype" w:hAnsi="Palatino Linotype"/>
          <w:sz w:val="22"/>
          <w:szCs w:val="22"/>
        </w:rPr>
        <w:t xml:space="preserve"> </w:t>
      </w:r>
      <w:proofErr w:type="spellStart"/>
      <w:r w:rsidRPr="00A15DA2">
        <w:rPr>
          <w:rFonts w:ascii="Palatino Linotype" w:hAnsi="Palatino Linotype"/>
          <w:sz w:val="22"/>
          <w:szCs w:val="22"/>
        </w:rPr>
        <w:t>Use</w:t>
      </w:r>
      <w:proofErr w:type="spellEnd"/>
      <w:r w:rsidRPr="00A15DA2">
        <w:rPr>
          <w:rFonts w:ascii="Palatino Linotype" w:hAnsi="Palatino Linotype"/>
          <w:sz w:val="22"/>
          <w:szCs w:val="22"/>
        </w:rPr>
        <w:t xml:space="preserve"> of </w:t>
      </w:r>
      <w:proofErr w:type="spellStart"/>
      <w:r w:rsidRPr="00A15DA2">
        <w:rPr>
          <w:rFonts w:ascii="Palatino Linotype" w:hAnsi="Palatino Linotype"/>
          <w:sz w:val="22"/>
          <w:szCs w:val="22"/>
        </w:rPr>
        <w:t>Chain</w:t>
      </w:r>
      <w:proofErr w:type="spellEnd"/>
      <w:r>
        <w:rPr>
          <w:rFonts w:ascii="Palatino Linotype" w:hAnsi="Palatino Linotype"/>
          <w:sz w:val="22"/>
          <w:szCs w:val="22"/>
        </w:rPr>
        <w:t xml:space="preserve"> </w:t>
      </w:r>
      <w:proofErr w:type="spellStart"/>
      <w:r w:rsidRPr="00A15DA2">
        <w:rPr>
          <w:rFonts w:ascii="Palatino Linotype" w:hAnsi="Palatino Linotype"/>
          <w:sz w:val="22"/>
          <w:szCs w:val="22"/>
        </w:rPr>
        <w:t>Aggregated</w:t>
      </w:r>
      <w:proofErr w:type="spellEnd"/>
      <w:r w:rsidRPr="00A15DA2">
        <w:rPr>
          <w:rFonts w:ascii="Palatino Linotype" w:hAnsi="Palatino Linotype"/>
          <w:sz w:val="22"/>
          <w:szCs w:val="22"/>
        </w:rPr>
        <w:t xml:space="preserve"> NIPA Data.” </w:t>
      </w:r>
      <w:proofErr w:type="spellStart"/>
      <w:r w:rsidRPr="00A15DA2">
        <w:rPr>
          <w:rFonts w:ascii="Palatino Linotype" w:hAnsi="Palatino Linotype"/>
          <w:sz w:val="22"/>
          <w:szCs w:val="22"/>
        </w:rPr>
        <w:t>Review</w:t>
      </w:r>
      <w:proofErr w:type="spellEnd"/>
      <w:r w:rsidRPr="00A15DA2">
        <w:rPr>
          <w:rFonts w:ascii="Palatino Linotype" w:hAnsi="Palatino Linotype"/>
          <w:sz w:val="22"/>
          <w:szCs w:val="22"/>
        </w:rPr>
        <w:t xml:space="preserve"> of </w:t>
      </w:r>
      <w:proofErr w:type="spellStart"/>
      <w:r w:rsidRPr="00A15DA2">
        <w:rPr>
          <w:rFonts w:ascii="Palatino Linotype" w:hAnsi="Palatino Linotype"/>
          <w:sz w:val="22"/>
          <w:szCs w:val="22"/>
        </w:rPr>
        <w:t>income</w:t>
      </w:r>
      <w:proofErr w:type="spellEnd"/>
      <w:r>
        <w:rPr>
          <w:rFonts w:ascii="Palatino Linotype" w:hAnsi="Palatino Linotype"/>
          <w:sz w:val="22"/>
          <w:szCs w:val="22"/>
        </w:rPr>
        <w:t xml:space="preserve"> </w:t>
      </w:r>
      <w:proofErr w:type="spellStart"/>
      <w:r w:rsidRPr="00A15DA2">
        <w:rPr>
          <w:rFonts w:ascii="Palatino Linotype" w:hAnsi="Palatino Linotype"/>
          <w:sz w:val="22"/>
          <w:szCs w:val="22"/>
        </w:rPr>
        <w:t>and</w:t>
      </w:r>
      <w:proofErr w:type="spellEnd"/>
      <w:r>
        <w:rPr>
          <w:rFonts w:ascii="Palatino Linotype" w:hAnsi="Palatino Linotype"/>
          <w:sz w:val="22"/>
          <w:szCs w:val="22"/>
        </w:rPr>
        <w:t xml:space="preserve"> </w:t>
      </w:r>
      <w:proofErr w:type="spellStart"/>
      <w:r w:rsidRPr="00A15DA2">
        <w:rPr>
          <w:rFonts w:ascii="Palatino Linotype" w:hAnsi="Palatino Linotype"/>
          <w:sz w:val="22"/>
          <w:szCs w:val="22"/>
        </w:rPr>
        <w:t>wealth</w:t>
      </w:r>
      <w:proofErr w:type="spellEnd"/>
      <w:r w:rsidRPr="00A15DA2">
        <w:rPr>
          <w:rFonts w:ascii="Palatino Linotype" w:hAnsi="Palatino Linotype"/>
          <w:sz w:val="22"/>
          <w:szCs w:val="22"/>
        </w:rPr>
        <w:t xml:space="preserve">, 48(2), 217-233. </w:t>
      </w:r>
    </w:p>
    <w:p w:rsidR="00F25BB3" w:rsidRDefault="00F25BB3" w:rsidP="00714AB7">
      <w:pPr>
        <w:spacing w:line="360" w:lineRule="auto"/>
        <w:ind w:firstLine="340"/>
        <w:jc w:val="both"/>
        <w:rPr>
          <w:rFonts w:ascii="Palatino Linotype" w:hAnsi="Palatino Linotype"/>
        </w:rPr>
      </w:pPr>
    </w:p>
    <w:p w:rsidR="00887B8A" w:rsidRDefault="00887B8A" w:rsidP="00714AB7">
      <w:pPr>
        <w:spacing w:line="360" w:lineRule="auto"/>
        <w:ind w:firstLine="340"/>
        <w:jc w:val="both"/>
        <w:rPr>
          <w:rFonts w:ascii="Palatino Linotype" w:hAnsi="Palatino Linotype"/>
        </w:rPr>
        <w:sectPr w:rsidR="00887B8A" w:rsidSect="005A2C0A">
          <w:footerReference w:type="default" r:id="rId10"/>
          <w:pgSz w:w="11905" w:h="16837"/>
          <w:pgMar w:top="1296" w:right="1296" w:bottom="1296" w:left="1296" w:header="709" w:footer="709" w:gutter="0"/>
          <w:cols w:space="708"/>
          <w:docGrid w:linePitch="360"/>
        </w:sectPr>
      </w:pPr>
    </w:p>
    <w:p w:rsidR="001A77B8" w:rsidRDefault="00CE0987" w:rsidP="00714AB7">
      <w:pPr>
        <w:spacing w:line="360" w:lineRule="auto"/>
        <w:ind w:firstLine="340"/>
        <w:jc w:val="both"/>
        <w:rPr>
          <w:rFonts w:ascii="Palatino Linotype" w:hAnsi="Palatino Linotype"/>
          <w:b/>
        </w:rPr>
      </w:pPr>
      <w:r w:rsidRPr="008D3FAF">
        <w:rPr>
          <w:rFonts w:ascii="Palatino Linotype" w:hAnsi="Palatino Linotype"/>
          <w:b/>
        </w:rPr>
        <w:lastRenderedPageBreak/>
        <w:t>Tablo 3</w:t>
      </w:r>
      <w:r w:rsidR="00A160C8" w:rsidRPr="008D3FAF">
        <w:rPr>
          <w:rFonts w:ascii="Palatino Linotype" w:hAnsi="Palatino Linotype"/>
          <w:b/>
        </w:rPr>
        <w:t>. Geçen yılın aynı çeyreğine göre büyüme oranına katkılar</w:t>
      </w:r>
    </w:p>
    <w:tbl>
      <w:tblPr>
        <w:tblW w:w="11382" w:type="dxa"/>
        <w:tblLook w:val="04A0" w:firstRow="1" w:lastRow="0" w:firstColumn="1" w:lastColumn="0" w:noHBand="0" w:noVBand="1"/>
      </w:tblPr>
      <w:tblGrid>
        <w:gridCol w:w="1052"/>
        <w:gridCol w:w="614"/>
        <w:gridCol w:w="549"/>
        <w:gridCol w:w="453"/>
        <w:gridCol w:w="549"/>
        <w:gridCol w:w="549"/>
        <w:gridCol w:w="1206"/>
        <w:gridCol w:w="614"/>
        <w:gridCol w:w="222"/>
        <w:gridCol w:w="1052"/>
        <w:gridCol w:w="614"/>
        <w:gridCol w:w="549"/>
        <w:gridCol w:w="453"/>
        <w:gridCol w:w="549"/>
        <w:gridCol w:w="549"/>
        <w:gridCol w:w="1206"/>
        <w:gridCol w:w="614"/>
      </w:tblGrid>
      <w:tr w:rsidR="00AB0F9D" w:rsidRPr="00AB0F9D" w:rsidTr="00AB0F9D">
        <w:trPr>
          <w:trHeight w:val="240"/>
        </w:trPr>
        <w:tc>
          <w:tcPr>
            <w:tcW w:w="5581" w:type="dxa"/>
            <w:gridSpan w:val="8"/>
            <w:tcBorders>
              <w:top w:val="single" w:sz="4" w:space="0" w:color="auto"/>
              <w:left w:val="nil"/>
              <w:bottom w:val="single" w:sz="4"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proofErr w:type="spellStart"/>
            <w:r w:rsidRPr="00AB0F9D">
              <w:rPr>
                <w:rFonts w:ascii="Cambria" w:hAnsi="Cambria" w:cs="Calibri"/>
                <w:b/>
                <w:bCs/>
                <w:color w:val="000000"/>
                <w:sz w:val="18"/>
                <w:szCs w:val="18"/>
                <w:lang w:val="en-US" w:eastAsia="en-US"/>
              </w:rPr>
              <w:t>Büyümeye</w:t>
            </w:r>
            <w:proofErr w:type="spellEnd"/>
            <w:r w:rsidRPr="00AB0F9D">
              <w:rPr>
                <w:rFonts w:ascii="Cambria" w:hAnsi="Cambria" w:cs="Calibri"/>
                <w:b/>
                <w:bCs/>
                <w:color w:val="000000"/>
                <w:sz w:val="18"/>
                <w:szCs w:val="18"/>
                <w:lang w:val="en-US" w:eastAsia="en-US"/>
              </w:rPr>
              <w:t xml:space="preserve"> </w:t>
            </w:r>
            <w:proofErr w:type="spellStart"/>
            <w:r w:rsidRPr="00AB0F9D">
              <w:rPr>
                <w:rFonts w:ascii="Cambria" w:hAnsi="Cambria" w:cs="Calibri"/>
                <w:b/>
                <w:bCs/>
                <w:color w:val="000000"/>
                <w:sz w:val="18"/>
                <w:szCs w:val="18"/>
                <w:lang w:val="en-US" w:eastAsia="en-US"/>
              </w:rPr>
              <w:t>katkılar</w:t>
            </w:r>
            <w:proofErr w:type="spellEnd"/>
            <w:r w:rsidRPr="00AB0F9D">
              <w:rPr>
                <w:rFonts w:ascii="Cambria" w:hAnsi="Cambria" w:cs="Calibri"/>
                <w:b/>
                <w:bCs/>
                <w:color w:val="000000"/>
                <w:sz w:val="18"/>
                <w:szCs w:val="18"/>
                <w:lang w:val="en-US" w:eastAsia="en-US"/>
              </w:rPr>
              <w:t xml:space="preserve"> (%): </w:t>
            </w:r>
            <w:proofErr w:type="spellStart"/>
            <w:r w:rsidRPr="00AB0F9D">
              <w:rPr>
                <w:rFonts w:ascii="Cambria" w:hAnsi="Cambria" w:cs="Calibri"/>
                <w:b/>
                <w:bCs/>
                <w:color w:val="000000"/>
                <w:sz w:val="18"/>
                <w:szCs w:val="18"/>
                <w:lang w:val="en-US" w:eastAsia="en-US"/>
              </w:rPr>
              <w:t>Kesin</w:t>
            </w:r>
            <w:proofErr w:type="spellEnd"/>
            <w:r w:rsidRPr="00AB0F9D">
              <w:rPr>
                <w:rFonts w:ascii="Cambria" w:hAnsi="Cambria" w:cs="Calibri"/>
                <w:b/>
                <w:bCs/>
                <w:color w:val="000000"/>
                <w:sz w:val="18"/>
                <w:szCs w:val="18"/>
                <w:lang w:val="en-US" w:eastAsia="en-US"/>
              </w:rPr>
              <w:t xml:space="preserve"> </w:t>
            </w:r>
            <w:proofErr w:type="spellStart"/>
            <w:r w:rsidRPr="00AB0F9D">
              <w:rPr>
                <w:rFonts w:ascii="Cambria" w:hAnsi="Cambria" w:cs="Calibri"/>
                <w:b/>
                <w:bCs/>
                <w:color w:val="000000"/>
                <w:sz w:val="18"/>
                <w:szCs w:val="18"/>
                <w:lang w:val="en-US" w:eastAsia="en-US"/>
              </w:rPr>
              <w:t>hesap</w:t>
            </w:r>
            <w:proofErr w:type="spellEnd"/>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p>
        </w:tc>
        <w:tc>
          <w:tcPr>
            <w:tcW w:w="5581" w:type="dxa"/>
            <w:gridSpan w:val="8"/>
            <w:tcBorders>
              <w:top w:val="single" w:sz="4" w:space="0" w:color="auto"/>
              <w:left w:val="nil"/>
              <w:bottom w:val="single" w:sz="4"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proofErr w:type="spellStart"/>
            <w:r w:rsidRPr="00AB0F9D">
              <w:rPr>
                <w:rFonts w:ascii="Cambria" w:hAnsi="Cambria" w:cs="Calibri"/>
                <w:b/>
                <w:bCs/>
                <w:color w:val="000000"/>
                <w:sz w:val="18"/>
                <w:szCs w:val="18"/>
                <w:lang w:val="en-US" w:eastAsia="en-US"/>
              </w:rPr>
              <w:t>Büyümeye</w:t>
            </w:r>
            <w:proofErr w:type="spellEnd"/>
            <w:r w:rsidRPr="00AB0F9D">
              <w:rPr>
                <w:rFonts w:ascii="Cambria" w:hAnsi="Cambria" w:cs="Calibri"/>
                <w:b/>
                <w:bCs/>
                <w:color w:val="000000"/>
                <w:sz w:val="18"/>
                <w:szCs w:val="18"/>
                <w:lang w:val="en-US" w:eastAsia="en-US"/>
              </w:rPr>
              <w:t xml:space="preserve"> </w:t>
            </w:r>
            <w:proofErr w:type="spellStart"/>
            <w:r w:rsidRPr="00AB0F9D">
              <w:rPr>
                <w:rFonts w:ascii="Cambria" w:hAnsi="Cambria" w:cs="Calibri"/>
                <w:b/>
                <w:bCs/>
                <w:color w:val="000000"/>
                <w:sz w:val="18"/>
                <w:szCs w:val="18"/>
                <w:lang w:val="en-US" w:eastAsia="en-US"/>
              </w:rPr>
              <w:t>katkılar</w:t>
            </w:r>
            <w:proofErr w:type="spellEnd"/>
            <w:r w:rsidRPr="00AB0F9D">
              <w:rPr>
                <w:rFonts w:ascii="Cambria" w:hAnsi="Cambria" w:cs="Calibri"/>
                <w:b/>
                <w:bCs/>
                <w:color w:val="000000"/>
                <w:sz w:val="18"/>
                <w:szCs w:val="18"/>
                <w:lang w:val="en-US" w:eastAsia="en-US"/>
              </w:rPr>
              <w:t xml:space="preserve"> (%): </w:t>
            </w:r>
            <w:proofErr w:type="spellStart"/>
            <w:r w:rsidRPr="00AB0F9D">
              <w:rPr>
                <w:rFonts w:ascii="Cambria" w:hAnsi="Cambria" w:cs="Calibri"/>
                <w:b/>
                <w:bCs/>
                <w:color w:val="000000"/>
                <w:sz w:val="18"/>
                <w:szCs w:val="18"/>
                <w:lang w:val="en-US" w:eastAsia="en-US"/>
              </w:rPr>
              <w:t>Yaklaşık</w:t>
            </w:r>
            <w:proofErr w:type="spellEnd"/>
            <w:r w:rsidRPr="00AB0F9D">
              <w:rPr>
                <w:rFonts w:ascii="Cambria" w:hAnsi="Cambria" w:cs="Calibri"/>
                <w:b/>
                <w:bCs/>
                <w:color w:val="000000"/>
                <w:sz w:val="18"/>
                <w:szCs w:val="18"/>
                <w:lang w:val="en-US" w:eastAsia="en-US"/>
              </w:rPr>
              <w:t xml:space="preserve"> </w:t>
            </w:r>
            <w:proofErr w:type="spellStart"/>
            <w:r w:rsidRPr="00AB0F9D">
              <w:rPr>
                <w:rFonts w:ascii="Cambria" w:hAnsi="Cambria" w:cs="Calibri"/>
                <w:b/>
                <w:bCs/>
                <w:color w:val="000000"/>
                <w:sz w:val="18"/>
                <w:szCs w:val="18"/>
                <w:lang w:val="en-US" w:eastAsia="en-US"/>
              </w:rPr>
              <w:t>hesap</w:t>
            </w:r>
            <w:proofErr w:type="spellEnd"/>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 </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r w:rsidRPr="00AB0F9D">
              <w:rPr>
                <w:rFonts w:ascii="Cambria" w:hAnsi="Cambria" w:cs="Calibri"/>
                <w:b/>
                <w:bCs/>
                <w:color w:val="000000"/>
                <w:sz w:val="18"/>
                <w:szCs w:val="18"/>
                <w:lang w:val="en-US" w:eastAsia="en-US"/>
              </w:rPr>
              <w:t>C</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r w:rsidRPr="00AB0F9D">
              <w:rPr>
                <w:rFonts w:ascii="Cambria" w:hAnsi="Cambria" w:cs="Calibri"/>
                <w:b/>
                <w:bCs/>
                <w:color w:val="000000"/>
                <w:sz w:val="18"/>
                <w:szCs w:val="18"/>
                <w:lang w:val="en-US" w:eastAsia="en-US"/>
              </w:rPr>
              <w:t>G</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r w:rsidRPr="00AB0F9D">
              <w:rPr>
                <w:rFonts w:ascii="Cambria" w:hAnsi="Cambria" w:cs="Calibri"/>
                <w:b/>
                <w:bCs/>
                <w:color w:val="000000"/>
                <w:sz w:val="18"/>
                <w:szCs w:val="18"/>
                <w:lang w:val="en-US" w:eastAsia="en-US"/>
              </w:rPr>
              <w:t>I</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proofErr w:type="spellStart"/>
            <w:r w:rsidRPr="00AB0F9D">
              <w:rPr>
                <w:rFonts w:ascii="Cambria" w:hAnsi="Cambria" w:cs="Calibri"/>
                <w:b/>
                <w:bCs/>
                <w:color w:val="000000"/>
                <w:sz w:val="18"/>
                <w:szCs w:val="18"/>
                <w:lang w:val="en-US" w:eastAsia="en-US"/>
              </w:rPr>
              <w:t>dS</w:t>
            </w:r>
            <w:proofErr w:type="spellEnd"/>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r w:rsidRPr="00AB0F9D">
              <w:rPr>
                <w:rFonts w:ascii="Cambria" w:hAnsi="Cambria" w:cs="Calibri"/>
                <w:b/>
                <w:bCs/>
                <w:color w:val="000000"/>
                <w:sz w:val="18"/>
                <w:szCs w:val="18"/>
                <w:lang w:val="en-US" w:eastAsia="en-US"/>
              </w:rPr>
              <w:t>X</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r w:rsidRPr="00AB0F9D">
              <w:rPr>
                <w:rFonts w:ascii="Cambria" w:hAnsi="Cambria" w:cs="Calibri"/>
                <w:b/>
                <w:bCs/>
                <w:color w:val="000000"/>
                <w:sz w:val="18"/>
                <w:szCs w:val="18"/>
                <w:lang w:val="en-US" w:eastAsia="en-US"/>
              </w:rPr>
              <w:t>(</w:t>
            </w:r>
            <w:proofErr w:type="spellStart"/>
            <w:r w:rsidRPr="00AB0F9D">
              <w:rPr>
                <w:rFonts w:ascii="Cambria" w:hAnsi="Cambria" w:cs="Calibri"/>
                <w:b/>
                <w:bCs/>
                <w:color w:val="000000"/>
                <w:sz w:val="18"/>
                <w:szCs w:val="18"/>
                <w:lang w:val="en-US" w:eastAsia="en-US"/>
              </w:rPr>
              <w:t>Eksi</w:t>
            </w:r>
            <w:proofErr w:type="spellEnd"/>
            <w:r w:rsidRPr="00AB0F9D">
              <w:rPr>
                <w:rFonts w:ascii="Cambria" w:hAnsi="Cambria" w:cs="Calibri"/>
                <w:b/>
                <w:bCs/>
                <w:color w:val="000000"/>
                <w:sz w:val="18"/>
                <w:szCs w:val="18"/>
                <w:lang w:val="en-US" w:eastAsia="en-US"/>
              </w:rPr>
              <w:t>) M</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r w:rsidRPr="00AB0F9D">
              <w:rPr>
                <w:rFonts w:ascii="Cambria" w:hAnsi="Cambria" w:cs="Calibri"/>
                <w:b/>
                <w:bCs/>
                <w:color w:val="000000"/>
                <w:sz w:val="18"/>
                <w:szCs w:val="18"/>
                <w:lang w:val="en-US" w:eastAsia="en-US"/>
              </w:rPr>
              <w:t>Y</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 </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r w:rsidRPr="00AB0F9D">
              <w:rPr>
                <w:rFonts w:ascii="Cambria" w:hAnsi="Cambria" w:cs="Calibri"/>
                <w:b/>
                <w:bCs/>
                <w:color w:val="000000"/>
                <w:sz w:val="18"/>
                <w:szCs w:val="18"/>
                <w:lang w:val="en-US" w:eastAsia="en-US"/>
              </w:rPr>
              <w:t>C</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r w:rsidRPr="00AB0F9D">
              <w:rPr>
                <w:rFonts w:ascii="Cambria" w:hAnsi="Cambria" w:cs="Calibri"/>
                <w:b/>
                <w:bCs/>
                <w:color w:val="000000"/>
                <w:sz w:val="18"/>
                <w:szCs w:val="18"/>
                <w:lang w:val="en-US" w:eastAsia="en-US"/>
              </w:rPr>
              <w:t>G</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r w:rsidRPr="00AB0F9D">
              <w:rPr>
                <w:rFonts w:ascii="Cambria" w:hAnsi="Cambria" w:cs="Calibri"/>
                <w:b/>
                <w:bCs/>
                <w:color w:val="000000"/>
                <w:sz w:val="18"/>
                <w:szCs w:val="18"/>
                <w:lang w:val="en-US" w:eastAsia="en-US"/>
              </w:rPr>
              <w:t>I</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proofErr w:type="spellStart"/>
            <w:r w:rsidRPr="00AB0F9D">
              <w:rPr>
                <w:rFonts w:ascii="Cambria" w:hAnsi="Cambria" w:cs="Calibri"/>
                <w:b/>
                <w:bCs/>
                <w:color w:val="000000"/>
                <w:sz w:val="18"/>
                <w:szCs w:val="18"/>
                <w:lang w:val="en-US" w:eastAsia="en-US"/>
              </w:rPr>
              <w:t>dS</w:t>
            </w:r>
            <w:proofErr w:type="spellEnd"/>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r w:rsidRPr="00AB0F9D">
              <w:rPr>
                <w:rFonts w:ascii="Cambria" w:hAnsi="Cambria" w:cs="Calibri"/>
                <w:b/>
                <w:bCs/>
                <w:color w:val="000000"/>
                <w:sz w:val="18"/>
                <w:szCs w:val="18"/>
                <w:lang w:val="en-US" w:eastAsia="en-US"/>
              </w:rPr>
              <w:t>X</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r w:rsidRPr="00AB0F9D">
              <w:rPr>
                <w:rFonts w:ascii="Cambria" w:hAnsi="Cambria" w:cs="Calibri"/>
                <w:b/>
                <w:bCs/>
                <w:color w:val="000000"/>
                <w:sz w:val="18"/>
                <w:szCs w:val="18"/>
                <w:lang w:val="en-US" w:eastAsia="en-US"/>
              </w:rPr>
              <w:t>(</w:t>
            </w:r>
            <w:proofErr w:type="spellStart"/>
            <w:r w:rsidRPr="00AB0F9D">
              <w:rPr>
                <w:rFonts w:ascii="Cambria" w:hAnsi="Cambria" w:cs="Calibri"/>
                <w:b/>
                <w:bCs/>
                <w:color w:val="000000"/>
                <w:sz w:val="18"/>
                <w:szCs w:val="18"/>
                <w:lang w:val="en-US" w:eastAsia="en-US"/>
              </w:rPr>
              <w:t>Eksi</w:t>
            </w:r>
            <w:proofErr w:type="spellEnd"/>
            <w:r w:rsidRPr="00AB0F9D">
              <w:rPr>
                <w:rFonts w:ascii="Cambria" w:hAnsi="Cambria" w:cs="Calibri"/>
                <w:b/>
                <w:bCs/>
                <w:color w:val="000000"/>
                <w:sz w:val="18"/>
                <w:szCs w:val="18"/>
                <w:lang w:val="en-US" w:eastAsia="en-US"/>
              </w:rPr>
              <w:t>) M</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b/>
                <w:bCs/>
                <w:color w:val="000000"/>
                <w:sz w:val="18"/>
                <w:szCs w:val="18"/>
                <w:lang w:val="en-US" w:eastAsia="en-US"/>
              </w:rPr>
            </w:pPr>
            <w:r w:rsidRPr="00AB0F9D">
              <w:rPr>
                <w:rFonts w:ascii="Cambria" w:hAnsi="Cambria" w:cs="Calibri"/>
                <w:b/>
                <w:bCs/>
                <w:color w:val="000000"/>
                <w:sz w:val="18"/>
                <w:szCs w:val="18"/>
                <w:lang w:val="en-US" w:eastAsia="en-US"/>
              </w:rPr>
              <w:t>Y</w:t>
            </w:r>
          </w:p>
        </w:tc>
      </w:tr>
      <w:tr w:rsidR="00AB0F9D" w:rsidRPr="00AB0F9D" w:rsidTr="00AB0F9D">
        <w:trPr>
          <w:trHeight w:val="240"/>
        </w:trPr>
        <w:tc>
          <w:tcPr>
            <w:tcW w:w="1052" w:type="dxa"/>
            <w:tcBorders>
              <w:top w:val="single" w:sz="4" w:space="0" w:color="auto"/>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2010q1</w:t>
            </w:r>
          </w:p>
        </w:tc>
        <w:tc>
          <w:tcPr>
            <w:tcW w:w="614" w:type="dxa"/>
            <w:tcBorders>
              <w:top w:val="single" w:sz="4" w:space="0" w:color="auto"/>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4.3</w:t>
            </w:r>
          </w:p>
        </w:tc>
        <w:tc>
          <w:tcPr>
            <w:tcW w:w="549" w:type="dxa"/>
            <w:tcBorders>
              <w:top w:val="single" w:sz="4" w:space="0" w:color="auto"/>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1.5</w:t>
            </w:r>
          </w:p>
        </w:tc>
        <w:tc>
          <w:tcPr>
            <w:tcW w:w="448" w:type="dxa"/>
            <w:tcBorders>
              <w:top w:val="single" w:sz="4" w:space="0" w:color="auto"/>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2.2</w:t>
            </w:r>
          </w:p>
        </w:tc>
        <w:tc>
          <w:tcPr>
            <w:tcW w:w="549" w:type="dxa"/>
            <w:tcBorders>
              <w:top w:val="single" w:sz="4" w:space="0" w:color="auto"/>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4.1</w:t>
            </w:r>
          </w:p>
        </w:tc>
        <w:tc>
          <w:tcPr>
            <w:tcW w:w="549" w:type="dxa"/>
            <w:tcBorders>
              <w:top w:val="single" w:sz="4" w:space="0" w:color="auto"/>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-1.4</w:t>
            </w:r>
          </w:p>
        </w:tc>
        <w:tc>
          <w:tcPr>
            <w:tcW w:w="1206" w:type="dxa"/>
            <w:tcBorders>
              <w:top w:val="single" w:sz="4" w:space="0" w:color="auto"/>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3.8</w:t>
            </w:r>
          </w:p>
        </w:tc>
        <w:tc>
          <w:tcPr>
            <w:tcW w:w="614" w:type="dxa"/>
            <w:tcBorders>
              <w:top w:val="single" w:sz="4" w:space="0" w:color="auto"/>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7.0</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single" w:sz="4" w:space="0" w:color="auto"/>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2010q1</w:t>
            </w:r>
          </w:p>
        </w:tc>
        <w:tc>
          <w:tcPr>
            <w:tcW w:w="614" w:type="dxa"/>
            <w:tcBorders>
              <w:top w:val="single" w:sz="4" w:space="0" w:color="auto"/>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4.3</w:t>
            </w:r>
          </w:p>
        </w:tc>
        <w:tc>
          <w:tcPr>
            <w:tcW w:w="549" w:type="dxa"/>
            <w:tcBorders>
              <w:top w:val="single" w:sz="4" w:space="0" w:color="auto"/>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1.5</w:t>
            </w:r>
          </w:p>
        </w:tc>
        <w:tc>
          <w:tcPr>
            <w:tcW w:w="448" w:type="dxa"/>
            <w:tcBorders>
              <w:top w:val="single" w:sz="4" w:space="0" w:color="auto"/>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2.2</w:t>
            </w:r>
          </w:p>
        </w:tc>
        <w:tc>
          <w:tcPr>
            <w:tcW w:w="549" w:type="dxa"/>
            <w:tcBorders>
              <w:top w:val="single" w:sz="4" w:space="0" w:color="auto"/>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4.1</w:t>
            </w:r>
          </w:p>
        </w:tc>
        <w:tc>
          <w:tcPr>
            <w:tcW w:w="549" w:type="dxa"/>
            <w:tcBorders>
              <w:top w:val="single" w:sz="4" w:space="0" w:color="auto"/>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-1.3</w:t>
            </w:r>
          </w:p>
        </w:tc>
        <w:tc>
          <w:tcPr>
            <w:tcW w:w="1206" w:type="dxa"/>
            <w:tcBorders>
              <w:top w:val="single" w:sz="4" w:space="0" w:color="auto"/>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3.8</w:t>
            </w:r>
          </w:p>
        </w:tc>
        <w:tc>
          <w:tcPr>
            <w:tcW w:w="614" w:type="dxa"/>
            <w:tcBorders>
              <w:top w:val="single" w:sz="4" w:space="0" w:color="auto"/>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7.0</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2010q2</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0.0</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2.5</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2.3</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5.2</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8.1</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2010q2</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0.0</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2.5</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2.3</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5.2</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8.1</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2010q3</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0.2</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6.6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3.7</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8.7</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2010q3</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0.2</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6.6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3.7</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8.7</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2010q4</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7.7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7.4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5.4</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9.7</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2010q4</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7.7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7.4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5.4</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9.7</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2011q1</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6.9</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0.5</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8.2</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11.7</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2011q1</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7.0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2.1</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8.3</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11.7</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2011q2</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9.5</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1.0</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5.7</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11.5</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2011q2</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9.5</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1.0</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5.8</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11.5</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2011q3</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6.0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4.9</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3.0</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11.6</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2011q3</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6.0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-1.5</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5.1</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3.0</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11.6</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2011q4</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-2.9</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2.7</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0.0</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9.9</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2011q4</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2.8</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0.0</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9.9</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2012q1</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1.5</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3.3</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-0.3</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6.8</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2012q1</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3.2</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6.8</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2012q2</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0.9</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5.5</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0.2</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5.0</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2012q2</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0.9</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5.4</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5.0</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2012q3</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1.4</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2.1</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0.3</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3.6</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2012q3</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1.4</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1.9</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0.6</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3.6</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2012q4</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0.9</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2.6</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0.5</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4.2</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2012q4</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0.3</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0.9</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-1.8</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2.5</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4.2</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2013q1</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4.9</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1.2</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-1.5</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1.5</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1.8</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8.5</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2013q1</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4.9</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1.2</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1.5</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1.6</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8.5</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2013q2</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1.3</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3.8</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3.1</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9.8</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2013q2</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1.3</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3.8</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2.8</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2.8</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9.8</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2013q3</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3.9</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-0.6</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1.6</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8.9</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2013q3</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0.5</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-0.6</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1.4</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8.9</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2013q4</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4.9</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1.0</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0.3</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2.7</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6.9</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2013q4</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0.9</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0.2</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2.4</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6.9</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2014q1</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1.8</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1.0</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2.9</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8.7</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2014q1</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1.8</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1.0</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2.9</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8.7</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2014q2</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1.5</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-1.4</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2.9</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2014q2</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-1.5</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1.5</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-1.3</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2.9</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2014q3</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1.9</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-0.2</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3.7</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2014q3</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1.9</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-0.2</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3.7</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2014q4</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1.0</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5.9</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2014q4</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0.9</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5.9</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2015q1</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3.8</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3.6</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2015q1</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3.9</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0.6</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1.0</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3.6</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2015q2</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0.9</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3.9</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7.2</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2015q2</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0.9</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3.9</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1.0</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0.6</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7.2</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2015q3</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2.5</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0.0</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5.8</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2015q3</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2.5</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5.8</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2015q4</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1.7</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7.5</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2015q4</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1.6</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1.1</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7.5</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2016q1</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1.7</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1.8</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0.0</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0.5</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4.8</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2016q1</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1.6</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1.8</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4.8</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2016q2</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2.1</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1.9</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4.9</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2016q2</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1.7</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4.9</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2016q3</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-2.2</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0.5</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2016q3</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0.3</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-2.1</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2016q4</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3.8</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1.0</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0.5</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4.2</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2016q4</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3.8</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0.9</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0.4</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0.5</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4.2</w:t>
            </w:r>
          </w:p>
        </w:tc>
      </w:tr>
      <w:tr w:rsidR="00AB0F9D" w:rsidRPr="00AB0F9D" w:rsidTr="00AB0F9D">
        <w:trPr>
          <w:trHeight w:val="240"/>
        </w:trPr>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2017q1</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2.1</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1.4</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0.9</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-1.6</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2.5</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0.1</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5.2</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2017q1</w:t>
            </w:r>
          </w:p>
        </w:tc>
        <w:tc>
          <w:tcPr>
            <w:tcW w:w="614" w:type="dxa"/>
            <w:tcBorders>
              <w:top w:val="nil"/>
              <w:left w:val="single" w:sz="4" w:space="0" w:color="auto"/>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2.2</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1.3</w:t>
            </w:r>
          </w:p>
        </w:tc>
        <w:tc>
          <w:tcPr>
            <w:tcW w:w="448"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0.9</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-1.5</w:t>
            </w:r>
          </w:p>
        </w:tc>
        <w:tc>
          <w:tcPr>
            <w:tcW w:w="549"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2.5</w:t>
            </w:r>
          </w:p>
        </w:tc>
        <w:tc>
          <w:tcPr>
            <w:tcW w:w="1206"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0.2</w:t>
            </w:r>
          </w:p>
        </w:tc>
        <w:tc>
          <w:tcPr>
            <w:tcW w:w="614"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5.2</w:t>
            </w:r>
          </w:p>
        </w:tc>
      </w:tr>
      <w:tr w:rsidR="00AB0F9D" w:rsidRPr="00AB0F9D" w:rsidTr="00AB0F9D">
        <w:trPr>
          <w:trHeight w:val="240"/>
        </w:trPr>
        <w:tc>
          <w:tcPr>
            <w:tcW w:w="1052" w:type="dxa"/>
            <w:tcBorders>
              <w:top w:val="nil"/>
              <w:left w:val="nil"/>
              <w:bottom w:val="double" w:sz="6" w:space="0" w:color="auto"/>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2017q2</w:t>
            </w:r>
          </w:p>
        </w:tc>
        <w:tc>
          <w:tcPr>
            <w:tcW w:w="614" w:type="dxa"/>
            <w:tcBorders>
              <w:top w:val="nil"/>
              <w:left w:val="single" w:sz="4" w:space="0" w:color="auto"/>
              <w:bottom w:val="double" w:sz="6"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1.9</w:t>
            </w:r>
          </w:p>
        </w:tc>
        <w:tc>
          <w:tcPr>
            <w:tcW w:w="549" w:type="dxa"/>
            <w:tcBorders>
              <w:top w:val="nil"/>
              <w:left w:val="nil"/>
              <w:bottom w:val="double" w:sz="6"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-0.7</w:t>
            </w:r>
          </w:p>
        </w:tc>
        <w:tc>
          <w:tcPr>
            <w:tcW w:w="448" w:type="dxa"/>
            <w:tcBorders>
              <w:top w:val="nil"/>
              <w:left w:val="nil"/>
              <w:bottom w:val="double" w:sz="6"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2.8</w:t>
            </w:r>
          </w:p>
        </w:tc>
        <w:tc>
          <w:tcPr>
            <w:tcW w:w="549" w:type="dxa"/>
            <w:tcBorders>
              <w:top w:val="nil"/>
              <w:left w:val="nil"/>
              <w:bottom w:val="double" w:sz="6"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549" w:type="dxa"/>
            <w:tcBorders>
              <w:top w:val="nil"/>
              <w:left w:val="nil"/>
              <w:bottom w:val="double" w:sz="6"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2.3</w:t>
            </w:r>
          </w:p>
        </w:tc>
        <w:tc>
          <w:tcPr>
            <w:tcW w:w="1206" w:type="dxa"/>
            <w:tcBorders>
              <w:top w:val="nil"/>
              <w:left w:val="nil"/>
              <w:bottom w:val="double" w:sz="6"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0.5</w:t>
            </w:r>
          </w:p>
        </w:tc>
        <w:tc>
          <w:tcPr>
            <w:tcW w:w="614" w:type="dxa"/>
            <w:tcBorders>
              <w:top w:val="nil"/>
              <w:left w:val="nil"/>
              <w:bottom w:val="double" w:sz="6"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5.1</w:t>
            </w:r>
          </w:p>
        </w:tc>
        <w:tc>
          <w:tcPr>
            <w:tcW w:w="220" w:type="dxa"/>
            <w:tcBorders>
              <w:top w:val="nil"/>
              <w:left w:val="nil"/>
              <w:bottom w:val="nil"/>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p>
        </w:tc>
        <w:tc>
          <w:tcPr>
            <w:tcW w:w="1052" w:type="dxa"/>
            <w:tcBorders>
              <w:top w:val="nil"/>
              <w:left w:val="nil"/>
              <w:bottom w:val="double" w:sz="6" w:space="0" w:color="auto"/>
              <w:right w:val="nil"/>
            </w:tcBorders>
            <w:shd w:val="clear" w:color="auto" w:fill="auto"/>
            <w:noWrap/>
            <w:vAlign w:val="bottom"/>
            <w:hideMark/>
          </w:tcPr>
          <w:p w:rsidR="00AB0F9D" w:rsidRPr="00AB0F9D" w:rsidRDefault="00AB0F9D" w:rsidP="00AB0F9D">
            <w:pPr>
              <w:suppressAutoHyphens w:val="0"/>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2017q2</w:t>
            </w:r>
          </w:p>
        </w:tc>
        <w:tc>
          <w:tcPr>
            <w:tcW w:w="614" w:type="dxa"/>
            <w:tcBorders>
              <w:top w:val="nil"/>
              <w:left w:val="single" w:sz="4" w:space="0" w:color="auto"/>
              <w:bottom w:val="double" w:sz="6"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1.9</w:t>
            </w:r>
          </w:p>
        </w:tc>
        <w:tc>
          <w:tcPr>
            <w:tcW w:w="549" w:type="dxa"/>
            <w:tcBorders>
              <w:top w:val="nil"/>
              <w:left w:val="nil"/>
              <w:bottom w:val="double" w:sz="6"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-0.6</w:t>
            </w:r>
          </w:p>
        </w:tc>
        <w:tc>
          <w:tcPr>
            <w:tcW w:w="448" w:type="dxa"/>
            <w:tcBorders>
              <w:top w:val="nil"/>
              <w:left w:val="nil"/>
              <w:bottom w:val="double" w:sz="6"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2.9</w:t>
            </w:r>
          </w:p>
        </w:tc>
        <w:tc>
          <w:tcPr>
            <w:tcW w:w="549" w:type="dxa"/>
            <w:tcBorders>
              <w:top w:val="nil"/>
              <w:left w:val="nil"/>
              <w:bottom w:val="double" w:sz="6"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-0.8</w:t>
            </w:r>
          </w:p>
        </w:tc>
        <w:tc>
          <w:tcPr>
            <w:tcW w:w="549" w:type="dxa"/>
            <w:tcBorders>
              <w:top w:val="nil"/>
              <w:left w:val="nil"/>
              <w:bottom w:val="double" w:sz="6"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2.2</w:t>
            </w:r>
          </w:p>
        </w:tc>
        <w:tc>
          <w:tcPr>
            <w:tcW w:w="1206" w:type="dxa"/>
            <w:tcBorders>
              <w:top w:val="nil"/>
              <w:left w:val="nil"/>
              <w:bottom w:val="double" w:sz="6"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0.6</w:t>
            </w:r>
          </w:p>
        </w:tc>
        <w:tc>
          <w:tcPr>
            <w:tcW w:w="614" w:type="dxa"/>
            <w:tcBorders>
              <w:top w:val="nil"/>
              <w:left w:val="nil"/>
              <w:bottom w:val="double" w:sz="6" w:space="0" w:color="auto"/>
              <w:right w:val="nil"/>
            </w:tcBorders>
            <w:shd w:val="clear" w:color="auto" w:fill="auto"/>
            <w:noWrap/>
            <w:vAlign w:val="bottom"/>
            <w:hideMark/>
          </w:tcPr>
          <w:p w:rsidR="00AB0F9D" w:rsidRPr="00AB0F9D" w:rsidRDefault="00AB0F9D" w:rsidP="00AB0F9D">
            <w:pPr>
              <w:suppressAutoHyphens w:val="0"/>
              <w:jc w:val="center"/>
              <w:rPr>
                <w:rFonts w:ascii="Cambria" w:hAnsi="Cambria" w:cs="Calibri"/>
                <w:color w:val="000000"/>
                <w:sz w:val="18"/>
                <w:szCs w:val="18"/>
                <w:lang w:val="en-US" w:eastAsia="en-US"/>
              </w:rPr>
            </w:pPr>
            <w:r w:rsidRPr="00AB0F9D">
              <w:rPr>
                <w:rFonts w:ascii="Cambria" w:hAnsi="Cambria" w:cs="Calibri"/>
                <w:color w:val="000000"/>
                <w:sz w:val="18"/>
                <w:szCs w:val="18"/>
                <w:lang w:val="en-US" w:eastAsia="en-US"/>
              </w:rPr>
              <w:t>5.1</w:t>
            </w:r>
          </w:p>
        </w:tc>
      </w:tr>
    </w:tbl>
    <w:p w:rsidR="00CE0987" w:rsidRDefault="00AB0F9D" w:rsidP="00CE0987">
      <w:pPr>
        <w:spacing w:line="360" w:lineRule="auto"/>
        <w:ind w:firstLine="340"/>
        <w:jc w:val="both"/>
        <w:rPr>
          <w:rFonts w:ascii="Palatino Linotype" w:hAnsi="Palatino Linotype"/>
        </w:rPr>
      </w:pPr>
      <w:r>
        <w:rPr>
          <w:rFonts w:ascii="Palatino Linotype" w:hAnsi="Palatino Linotype"/>
        </w:rPr>
        <w:t>Ka</w:t>
      </w:r>
      <w:r w:rsidR="00CE0987">
        <w:rPr>
          <w:rFonts w:ascii="Palatino Linotype" w:hAnsi="Palatino Linotype"/>
        </w:rPr>
        <w:t>ynak: TÜİK, Betam.</w:t>
      </w:r>
    </w:p>
    <w:p w:rsidR="00A160C8" w:rsidRDefault="00A160C8">
      <w:pPr>
        <w:suppressAutoHyphens w:val="0"/>
        <w:rPr>
          <w:rFonts w:ascii="Palatino Linotype" w:hAnsi="Palatino Linotype"/>
        </w:rPr>
      </w:pPr>
    </w:p>
    <w:p w:rsidR="001178B9" w:rsidRDefault="00CE0987" w:rsidP="001178B9">
      <w:pPr>
        <w:spacing w:line="360" w:lineRule="auto"/>
        <w:ind w:firstLine="340"/>
        <w:jc w:val="both"/>
        <w:rPr>
          <w:rFonts w:ascii="Palatino Linotype" w:hAnsi="Palatino Linotype"/>
          <w:b/>
        </w:rPr>
      </w:pPr>
      <w:r w:rsidRPr="008D3FAF">
        <w:rPr>
          <w:rFonts w:ascii="Palatino Linotype" w:hAnsi="Palatino Linotype"/>
          <w:b/>
        </w:rPr>
        <w:lastRenderedPageBreak/>
        <w:t>Tablo 4.</w:t>
      </w:r>
      <w:r w:rsidR="00A160C8" w:rsidRPr="008D3FAF">
        <w:rPr>
          <w:rFonts w:ascii="Palatino Linotype" w:hAnsi="Palatino Linotype"/>
          <w:b/>
        </w:rPr>
        <w:t xml:space="preserve"> Bir önceki çeyre</w:t>
      </w:r>
      <w:r w:rsidRPr="008D3FAF">
        <w:rPr>
          <w:rFonts w:ascii="Palatino Linotype" w:hAnsi="Palatino Linotype"/>
          <w:b/>
        </w:rPr>
        <w:t>ğe göre büyüme oranına katkılar</w:t>
      </w:r>
    </w:p>
    <w:tbl>
      <w:tblPr>
        <w:tblW w:w="11386" w:type="dxa"/>
        <w:tblLook w:val="04A0" w:firstRow="1" w:lastRow="0" w:firstColumn="1" w:lastColumn="0" w:noHBand="0" w:noVBand="1"/>
      </w:tblPr>
      <w:tblGrid>
        <w:gridCol w:w="1058"/>
        <w:gridCol w:w="552"/>
        <w:gridCol w:w="552"/>
        <w:gridCol w:w="552"/>
        <w:gridCol w:w="552"/>
        <w:gridCol w:w="552"/>
        <w:gridCol w:w="1213"/>
        <w:gridCol w:w="552"/>
        <w:gridCol w:w="222"/>
        <w:gridCol w:w="1058"/>
        <w:gridCol w:w="552"/>
        <w:gridCol w:w="552"/>
        <w:gridCol w:w="552"/>
        <w:gridCol w:w="552"/>
        <w:gridCol w:w="552"/>
        <w:gridCol w:w="1213"/>
        <w:gridCol w:w="552"/>
      </w:tblGrid>
      <w:tr w:rsidR="001178B9" w:rsidRPr="001178B9" w:rsidTr="001178B9">
        <w:trPr>
          <w:trHeight w:val="240"/>
        </w:trPr>
        <w:tc>
          <w:tcPr>
            <w:tcW w:w="5583" w:type="dxa"/>
            <w:gridSpan w:val="8"/>
            <w:tcBorders>
              <w:top w:val="single" w:sz="4" w:space="0" w:color="auto"/>
              <w:left w:val="nil"/>
              <w:bottom w:val="single" w:sz="4"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proofErr w:type="spellStart"/>
            <w:r w:rsidRPr="001178B9">
              <w:rPr>
                <w:rFonts w:ascii="Cambria" w:hAnsi="Cambria" w:cs="Calibri"/>
                <w:b/>
                <w:bCs/>
                <w:color w:val="000000"/>
                <w:sz w:val="18"/>
                <w:szCs w:val="18"/>
                <w:lang w:val="en-US" w:eastAsia="en-US"/>
              </w:rPr>
              <w:t>Büyümeye</w:t>
            </w:r>
            <w:proofErr w:type="spellEnd"/>
            <w:r w:rsidRPr="001178B9">
              <w:rPr>
                <w:rFonts w:ascii="Cambria" w:hAnsi="Cambria" w:cs="Calibri"/>
                <w:b/>
                <w:bCs/>
                <w:color w:val="000000"/>
                <w:sz w:val="18"/>
                <w:szCs w:val="18"/>
                <w:lang w:val="en-US" w:eastAsia="en-US"/>
              </w:rPr>
              <w:t xml:space="preserve"> </w:t>
            </w:r>
            <w:proofErr w:type="spellStart"/>
            <w:r w:rsidRPr="001178B9">
              <w:rPr>
                <w:rFonts w:ascii="Cambria" w:hAnsi="Cambria" w:cs="Calibri"/>
                <w:b/>
                <w:bCs/>
                <w:color w:val="000000"/>
                <w:sz w:val="18"/>
                <w:szCs w:val="18"/>
                <w:lang w:val="en-US" w:eastAsia="en-US"/>
              </w:rPr>
              <w:t>katkılar</w:t>
            </w:r>
            <w:proofErr w:type="spellEnd"/>
            <w:r w:rsidRPr="001178B9">
              <w:rPr>
                <w:rFonts w:ascii="Cambria" w:hAnsi="Cambria" w:cs="Calibri"/>
                <w:b/>
                <w:bCs/>
                <w:color w:val="000000"/>
                <w:sz w:val="18"/>
                <w:szCs w:val="18"/>
                <w:lang w:val="en-US" w:eastAsia="en-US"/>
              </w:rPr>
              <w:t xml:space="preserve"> (%): </w:t>
            </w:r>
            <w:proofErr w:type="spellStart"/>
            <w:r w:rsidRPr="001178B9">
              <w:rPr>
                <w:rFonts w:ascii="Cambria" w:hAnsi="Cambria" w:cs="Calibri"/>
                <w:b/>
                <w:bCs/>
                <w:color w:val="000000"/>
                <w:sz w:val="18"/>
                <w:szCs w:val="18"/>
                <w:lang w:val="en-US" w:eastAsia="en-US"/>
              </w:rPr>
              <w:t>Kesin</w:t>
            </w:r>
            <w:proofErr w:type="spellEnd"/>
            <w:r w:rsidRPr="001178B9">
              <w:rPr>
                <w:rFonts w:ascii="Cambria" w:hAnsi="Cambria" w:cs="Calibri"/>
                <w:b/>
                <w:bCs/>
                <w:color w:val="000000"/>
                <w:sz w:val="18"/>
                <w:szCs w:val="18"/>
                <w:lang w:val="en-US" w:eastAsia="en-US"/>
              </w:rPr>
              <w:t xml:space="preserve"> </w:t>
            </w:r>
            <w:proofErr w:type="spellStart"/>
            <w:r w:rsidRPr="001178B9">
              <w:rPr>
                <w:rFonts w:ascii="Cambria" w:hAnsi="Cambria" w:cs="Calibri"/>
                <w:b/>
                <w:bCs/>
                <w:color w:val="000000"/>
                <w:sz w:val="18"/>
                <w:szCs w:val="18"/>
                <w:lang w:val="en-US" w:eastAsia="en-US"/>
              </w:rPr>
              <w:t>hesap</w:t>
            </w:r>
            <w:proofErr w:type="spellEnd"/>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p>
        </w:tc>
        <w:tc>
          <w:tcPr>
            <w:tcW w:w="5583" w:type="dxa"/>
            <w:gridSpan w:val="8"/>
            <w:tcBorders>
              <w:top w:val="single" w:sz="4" w:space="0" w:color="auto"/>
              <w:left w:val="nil"/>
              <w:bottom w:val="single" w:sz="4"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proofErr w:type="spellStart"/>
            <w:r w:rsidRPr="001178B9">
              <w:rPr>
                <w:rFonts w:ascii="Cambria" w:hAnsi="Cambria" w:cs="Calibri"/>
                <w:b/>
                <w:bCs/>
                <w:color w:val="000000"/>
                <w:sz w:val="18"/>
                <w:szCs w:val="18"/>
                <w:lang w:val="en-US" w:eastAsia="en-US"/>
              </w:rPr>
              <w:t>Büyümeye</w:t>
            </w:r>
            <w:proofErr w:type="spellEnd"/>
            <w:r w:rsidRPr="001178B9">
              <w:rPr>
                <w:rFonts w:ascii="Cambria" w:hAnsi="Cambria" w:cs="Calibri"/>
                <w:b/>
                <w:bCs/>
                <w:color w:val="000000"/>
                <w:sz w:val="18"/>
                <w:szCs w:val="18"/>
                <w:lang w:val="en-US" w:eastAsia="en-US"/>
              </w:rPr>
              <w:t xml:space="preserve"> </w:t>
            </w:r>
            <w:proofErr w:type="spellStart"/>
            <w:r w:rsidRPr="001178B9">
              <w:rPr>
                <w:rFonts w:ascii="Cambria" w:hAnsi="Cambria" w:cs="Calibri"/>
                <w:b/>
                <w:bCs/>
                <w:color w:val="000000"/>
                <w:sz w:val="18"/>
                <w:szCs w:val="18"/>
                <w:lang w:val="en-US" w:eastAsia="en-US"/>
              </w:rPr>
              <w:t>katkılar</w:t>
            </w:r>
            <w:proofErr w:type="spellEnd"/>
            <w:r w:rsidRPr="001178B9">
              <w:rPr>
                <w:rFonts w:ascii="Cambria" w:hAnsi="Cambria" w:cs="Calibri"/>
                <w:b/>
                <w:bCs/>
                <w:color w:val="000000"/>
                <w:sz w:val="18"/>
                <w:szCs w:val="18"/>
                <w:lang w:val="en-US" w:eastAsia="en-US"/>
              </w:rPr>
              <w:t xml:space="preserve"> (%): </w:t>
            </w:r>
            <w:proofErr w:type="spellStart"/>
            <w:r w:rsidRPr="001178B9">
              <w:rPr>
                <w:rFonts w:ascii="Cambria" w:hAnsi="Cambria" w:cs="Calibri"/>
                <w:b/>
                <w:bCs/>
                <w:color w:val="000000"/>
                <w:sz w:val="18"/>
                <w:szCs w:val="18"/>
                <w:lang w:val="en-US" w:eastAsia="en-US"/>
              </w:rPr>
              <w:t>Yaklaşık</w:t>
            </w:r>
            <w:proofErr w:type="spellEnd"/>
            <w:r w:rsidRPr="001178B9">
              <w:rPr>
                <w:rFonts w:ascii="Cambria" w:hAnsi="Cambria" w:cs="Calibri"/>
                <w:b/>
                <w:bCs/>
                <w:color w:val="000000"/>
                <w:sz w:val="18"/>
                <w:szCs w:val="18"/>
                <w:lang w:val="en-US" w:eastAsia="en-US"/>
              </w:rPr>
              <w:t xml:space="preserve"> </w:t>
            </w:r>
            <w:proofErr w:type="spellStart"/>
            <w:r w:rsidRPr="001178B9">
              <w:rPr>
                <w:rFonts w:ascii="Cambria" w:hAnsi="Cambria" w:cs="Calibri"/>
                <w:b/>
                <w:bCs/>
                <w:color w:val="000000"/>
                <w:sz w:val="18"/>
                <w:szCs w:val="18"/>
                <w:lang w:val="en-US" w:eastAsia="en-US"/>
              </w:rPr>
              <w:t>hesap</w:t>
            </w:r>
            <w:proofErr w:type="spellEnd"/>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 </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r w:rsidRPr="001178B9">
              <w:rPr>
                <w:rFonts w:ascii="Cambria" w:hAnsi="Cambria" w:cs="Calibri"/>
                <w:b/>
                <w:bCs/>
                <w:color w:val="000000"/>
                <w:sz w:val="18"/>
                <w:szCs w:val="18"/>
                <w:lang w:val="en-US" w:eastAsia="en-US"/>
              </w:rPr>
              <w:t>C</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r w:rsidRPr="001178B9">
              <w:rPr>
                <w:rFonts w:ascii="Cambria" w:hAnsi="Cambria" w:cs="Calibri"/>
                <w:b/>
                <w:bCs/>
                <w:color w:val="000000"/>
                <w:sz w:val="18"/>
                <w:szCs w:val="18"/>
                <w:lang w:val="en-US" w:eastAsia="en-US"/>
              </w:rPr>
              <w:t>G</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r w:rsidRPr="001178B9">
              <w:rPr>
                <w:rFonts w:ascii="Cambria" w:hAnsi="Cambria" w:cs="Calibri"/>
                <w:b/>
                <w:bCs/>
                <w:color w:val="000000"/>
                <w:sz w:val="18"/>
                <w:szCs w:val="18"/>
                <w:lang w:val="en-US" w:eastAsia="en-US"/>
              </w:rPr>
              <w:t>I</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proofErr w:type="spellStart"/>
            <w:r w:rsidRPr="001178B9">
              <w:rPr>
                <w:rFonts w:ascii="Cambria" w:hAnsi="Cambria" w:cs="Calibri"/>
                <w:b/>
                <w:bCs/>
                <w:color w:val="000000"/>
                <w:sz w:val="18"/>
                <w:szCs w:val="18"/>
                <w:lang w:val="en-US" w:eastAsia="en-US"/>
              </w:rPr>
              <w:t>dS</w:t>
            </w:r>
            <w:proofErr w:type="spellEnd"/>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r w:rsidRPr="001178B9">
              <w:rPr>
                <w:rFonts w:ascii="Cambria" w:hAnsi="Cambria" w:cs="Calibri"/>
                <w:b/>
                <w:bCs/>
                <w:color w:val="000000"/>
                <w:sz w:val="18"/>
                <w:szCs w:val="18"/>
                <w:lang w:val="en-US" w:eastAsia="en-US"/>
              </w:rPr>
              <w:t>X</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r w:rsidRPr="001178B9">
              <w:rPr>
                <w:rFonts w:ascii="Cambria" w:hAnsi="Cambria" w:cs="Calibri"/>
                <w:b/>
                <w:bCs/>
                <w:color w:val="000000"/>
                <w:sz w:val="18"/>
                <w:szCs w:val="18"/>
                <w:lang w:val="en-US" w:eastAsia="en-US"/>
              </w:rPr>
              <w:t>(</w:t>
            </w:r>
            <w:proofErr w:type="spellStart"/>
            <w:r w:rsidRPr="001178B9">
              <w:rPr>
                <w:rFonts w:ascii="Cambria" w:hAnsi="Cambria" w:cs="Calibri"/>
                <w:b/>
                <w:bCs/>
                <w:color w:val="000000"/>
                <w:sz w:val="18"/>
                <w:szCs w:val="18"/>
                <w:lang w:val="en-US" w:eastAsia="en-US"/>
              </w:rPr>
              <w:t>Eksi</w:t>
            </w:r>
            <w:proofErr w:type="spellEnd"/>
            <w:r w:rsidRPr="001178B9">
              <w:rPr>
                <w:rFonts w:ascii="Cambria" w:hAnsi="Cambria" w:cs="Calibri"/>
                <w:b/>
                <w:bCs/>
                <w:color w:val="000000"/>
                <w:sz w:val="18"/>
                <w:szCs w:val="18"/>
                <w:lang w:val="en-US" w:eastAsia="en-US"/>
              </w:rPr>
              <w:t>) M</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r w:rsidRPr="001178B9">
              <w:rPr>
                <w:rFonts w:ascii="Cambria" w:hAnsi="Cambria" w:cs="Calibri"/>
                <w:b/>
                <w:bCs/>
                <w:color w:val="000000"/>
                <w:sz w:val="18"/>
                <w:szCs w:val="18"/>
                <w:lang w:val="en-US" w:eastAsia="en-US"/>
              </w:rPr>
              <w:t>Y</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 </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r w:rsidRPr="001178B9">
              <w:rPr>
                <w:rFonts w:ascii="Cambria" w:hAnsi="Cambria" w:cs="Calibri"/>
                <w:b/>
                <w:bCs/>
                <w:color w:val="000000"/>
                <w:sz w:val="18"/>
                <w:szCs w:val="18"/>
                <w:lang w:val="en-US" w:eastAsia="en-US"/>
              </w:rPr>
              <w:t>C</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r w:rsidRPr="001178B9">
              <w:rPr>
                <w:rFonts w:ascii="Cambria" w:hAnsi="Cambria" w:cs="Calibri"/>
                <w:b/>
                <w:bCs/>
                <w:color w:val="000000"/>
                <w:sz w:val="18"/>
                <w:szCs w:val="18"/>
                <w:lang w:val="en-US" w:eastAsia="en-US"/>
              </w:rPr>
              <w:t>G</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r w:rsidRPr="001178B9">
              <w:rPr>
                <w:rFonts w:ascii="Cambria" w:hAnsi="Cambria" w:cs="Calibri"/>
                <w:b/>
                <w:bCs/>
                <w:color w:val="000000"/>
                <w:sz w:val="18"/>
                <w:szCs w:val="18"/>
                <w:lang w:val="en-US" w:eastAsia="en-US"/>
              </w:rPr>
              <w:t>I</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proofErr w:type="spellStart"/>
            <w:r w:rsidRPr="001178B9">
              <w:rPr>
                <w:rFonts w:ascii="Cambria" w:hAnsi="Cambria" w:cs="Calibri"/>
                <w:b/>
                <w:bCs/>
                <w:color w:val="000000"/>
                <w:sz w:val="18"/>
                <w:szCs w:val="18"/>
                <w:lang w:val="en-US" w:eastAsia="en-US"/>
              </w:rPr>
              <w:t>dS</w:t>
            </w:r>
            <w:proofErr w:type="spellEnd"/>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r w:rsidRPr="001178B9">
              <w:rPr>
                <w:rFonts w:ascii="Cambria" w:hAnsi="Cambria" w:cs="Calibri"/>
                <w:b/>
                <w:bCs/>
                <w:color w:val="000000"/>
                <w:sz w:val="18"/>
                <w:szCs w:val="18"/>
                <w:lang w:val="en-US" w:eastAsia="en-US"/>
              </w:rPr>
              <w:t>X</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r w:rsidRPr="001178B9">
              <w:rPr>
                <w:rFonts w:ascii="Cambria" w:hAnsi="Cambria" w:cs="Calibri"/>
                <w:b/>
                <w:bCs/>
                <w:color w:val="000000"/>
                <w:sz w:val="18"/>
                <w:szCs w:val="18"/>
                <w:lang w:val="en-US" w:eastAsia="en-US"/>
              </w:rPr>
              <w:t>(</w:t>
            </w:r>
            <w:proofErr w:type="spellStart"/>
            <w:r w:rsidRPr="001178B9">
              <w:rPr>
                <w:rFonts w:ascii="Cambria" w:hAnsi="Cambria" w:cs="Calibri"/>
                <w:b/>
                <w:bCs/>
                <w:color w:val="000000"/>
                <w:sz w:val="18"/>
                <w:szCs w:val="18"/>
                <w:lang w:val="en-US" w:eastAsia="en-US"/>
              </w:rPr>
              <w:t>Eksi</w:t>
            </w:r>
            <w:proofErr w:type="spellEnd"/>
            <w:r w:rsidRPr="001178B9">
              <w:rPr>
                <w:rFonts w:ascii="Cambria" w:hAnsi="Cambria" w:cs="Calibri"/>
                <w:b/>
                <w:bCs/>
                <w:color w:val="000000"/>
                <w:sz w:val="18"/>
                <w:szCs w:val="18"/>
                <w:lang w:val="en-US" w:eastAsia="en-US"/>
              </w:rPr>
              <w:t>) M</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b/>
                <w:bCs/>
                <w:color w:val="000000"/>
                <w:sz w:val="18"/>
                <w:szCs w:val="18"/>
                <w:lang w:val="en-US" w:eastAsia="en-US"/>
              </w:rPr>
            </w:pPr>
            <w:r w:rsidRPr="001178B9">
              <w:rPr>
                <w:rFonts w:ascii="Cambria" w:hAnsi="Cambria" w:cs="Calibri"/>
                <w:b/>
                <w:bCs/>
                <w:color w:val="000000"/>
                <w:sz w:val="18"/>
                <w:szCs w:val="18"/>
                <w:lang w:val="en-US" w:eastAsia="en-US"/>
              </w:rPr>
              <w:t>Y</w:t>
            </w:r>
          </w:p>
        </w:tc>
      </w:tr>
      <w:tr w:rsidR="001178B9" w:rsidRPr="001178B9" w:rsidTr="001178B9">
        <w:trPr>
          <w:trHeight w:val="240"/>
        </w:trPr>
        <w:tc>
          <w:tcPr>
            <w:tcW w:w="1058" w:type="dxa"/>
            <w:tcBorders>
              <w:top w:val="single" w:sz="4" w:space="0" w:color="auto"/>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2010q1</w:t>
            </w:r>
          </w:p>
        </w:tc>
        <w:tc>
          <w:tcPr>
            <w:tcW w:w="552" w:type="dxa"/>
            <w:tcBorders>
              <w:top w:val="single" w:sz="4" w:space="0" w:color="auto"/>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1.7</w:t>
            </w:r>
          </w:p>
        </w:tc>
        <w:tc>
          <w:tcPr>
            <w:tcW w:w="552" w:type="dxa"/>
            <w:tcBorders>
              <w:top w:val="single" w:sz="4" w:space="0" w:color="auto"/>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single" w:sz="4" w:space="0" w:color="auto"/>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2.7</w:t>
            </w:r>
          </w:p>
        </w:tc>
        <w:tc>
          <w:tcPr>
            <w:tcW w:w="552" w:type="dxa"/>
            <w:tcBorders>
              <w:top w:val="single" w:sz="4" w:space="0" w:color="auto"/>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-1.9</w:t>
            </w:r>
          </w:p>
        </w:tc>
        <w:tc>
          <w:tcPr>
            <w:tcW w:w="552" w:type="dxa"/>
            <w:tcBorders>
              <w:top w:val="single" w:sz="4" w:space="0" w:color="auto"/>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1213" w:type="dxa"/>
            <w:tcBorders>
              <w:top w:val="single" w:sz="4" w:space="0" w:color="auto"/>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single" w:sz="4" w:space="0" w:color="auto"/>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1.7</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single" w:sz="4" w:space="0" w:color="auto"/>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2010q1</w:t>
            </w:r>
          </w:p>
        </w:tc>
        <w:tc>
          <w:tcPr>
            <w:tcW w:w="552" w:type="dxa"/>
            <w:tcBorders>
              <w:top w:val="single" w:sz="4" w:space="0" w:color="auto"/>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1.7</w:t>
            </w:r>
          </w:p>
        </w:tc>
        <w:tc>
          <w:tcPr>
            <w:tcW w:w="552" w:type="dxa"/>
            <w:tcBorders>
              <w:top w:val="single" w:sz="4" w:space="0" w:color="auto"/>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single" w:sz="4" w:space="0" w:color="auto"/>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2.7</w:t>
            </w:r>
          </w:p>
        </w:tc>
        <w:tc>
          <w:tcPr>
            <w:tcW w:w="552" w:type="dxa"/>
            <w:tcBorders>
              <w:top w:val="single" w:sz="4" w:space="0" w:color="auto"/>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-1.8</w:t>
            </w:r>
          </w:p>
        </w:tc>
        <w:tc>
          <w:tcPr>
            <w:tcW w:w="552" w:type="dxa"/>
            <w:tcBorders>
              <w:top w:val="single" w:sz="4" w:space="0" w:color="auto"/>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1213" w:type="dxa"/>
            <w:tcBorders>
              <w:top w:val="single" w:sz="4" w:space="0" w:color="auto"/>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single" w:sz="4" w:space="0" w:color="auto"/>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1.7</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2010q2</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2.6</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2010q2</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2.6</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2010q3</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3.4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2.3</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2010q3</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3.4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2.3</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2010q4</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1.8</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3.6</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2010q4</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1.8</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3.6</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2011q1</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2.6</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2011q1</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2.6</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2011q2</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2.2</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2011q2</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2.2</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2011q3</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2.9</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2.7</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2011q3</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3.0</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2.7</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2011q4</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2011q4</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2012q1</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2012q1</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2012q2</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2.6</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1.7</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2012q2</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2.5</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1.7</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2012q3</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1.6</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2012q3</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1.6</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2012q4</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2012q4</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2013q1</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3.5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3.6</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2013q1</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3.6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3.6</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2013q2</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2.6</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2013q2</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2.6</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2013q3</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2013q3</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2013q4</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2013q4</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2014q1</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2.3</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2014q1</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2.3</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2014q2</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2014q2</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2014q3</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1.9</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2014q3</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1.9</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2014q4</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0.0</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2014q4</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0.0</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2015q1</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2015q1</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2015q2</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1.7</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2015q2</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1.7</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2015q3</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0.0</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2015q3</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0.0</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2015q4</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0.0</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2015q4</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0.0</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2016q1</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2016q1</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0.8</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2016q2</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2016q2</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0.7</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2016q3</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4.0</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-1.9</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2016q3</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3.9</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-1.8</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2016q4</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3.7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-5.2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2.9</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3.9</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2016q4</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3.7</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-5.1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2.8</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3.9</w:t>
            </w:r>
          </w:p>
        </w:tc>
      </w:tr>
      <w:tr w:rsidR="001178B9" w:rsidRPr="001178B9" w:rsidTr="001178B9">
        <w:trPr>
          <w:trHeight w:val="240"/>
        </w:trPr>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2017q1</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nil"/>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2017q1</w:t>
            </w:r>
          </w:p>
        </w:tc>
        <w:tc>
          <w:tcPr>
            <w:tcW w:w="552" w:type="dxa"/>
            <w:tcBorders>
              <w:top w:val="nil"/>
              <w:left w:val="single" w:sz="4" w:space="0" w:color="auto"/>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-0.5</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0.1</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-0.3</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0.4</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1.4</w:t>
            </w:r>
          </w:p>
        </w:tc>
        <w:tc>
          <w:tcPr>
            <w:tcW w:w="1213"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552"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r>
      <w:tr w:rsidR="001178B9" w:rsidRPr="001178B9" w:rsidTr="001178B9">
        <w:trPr>
          <w:trHeight w:val="240"/>
        </w:trPr>
        <w:tc>
          <w:tcPr>
            <w:tcW w:w="1058" w:type="dxa"/>
            <w:tcBorders>
              <w:top w:val="nil"/>
              <w:left w:val="nil"/>
              <w:bottom w:val="double" w:sz="6" w:space="0" w:color="auto"/>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2017q2</w:t>
            </w:r>
          </w:p>
        </w:tc>
        <w:tc>
          <w:tcPr>
            <w:tcW w:w="552" w:type="dxa"/>
            <w:tcBorders>
              <w:top w:val="nil"/>
              <w:left w:val="single" w:sz="4" w:space="0" w:color="auto"/>
              <w:bottom w:val="double" w:sz="6"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552" w:type="dxa"/>
            <w:tcBorders>
              <w:top w:val="nil"/>
              <w:left w:val="nil"/>
              <w:bottom w:val="double" w:sz="6"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double" w:sz="6"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1.8</w:t>
            </w:r>
          </w:p>
        </w:tc>
        <w:tc>
          <w:tcPr>
            <w:tcW w:w="552" w:type="dxa"/>
            <w:tcBorders>
              <w:top w:val="nil"/>
              <w:left w:val="nil"/>
              <w:bottom w:val="double" w:sz="6"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1.0</w:t>
            </w:r>
          </w:p>
        </w:tc>
        <w:tc>
          <w:tcPr>
            <w:tcW w:w="552" w:type="dxa"/>
            <w:tcBorders>
              <w:top w:val="nil"/>
              <w:left w:val="nil"/>
              <w:bottom w:val="double" w:sz="6"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1213" w:type="dxa"/>
            <w:tcBorders>
              <w:top w:val="nil"/>
              <w:left w:val="nil"/>
              <w:bottom w:val="double" w:sz="6"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double" w:sz="6"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2.1</w:t>
            </w:r>
          </w:p>
        </w:tc>
        <w:tc>
          <w:tcPr>
            <w:tcW w:w="220" w:type="dxa"/>
            <w:tcBorders>
              <w:top w:val="nil"/>
              <w:left w:val="nil"/>
              <w:bottom w:val="nil"/>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p>
        </w:tc>
        <w:tc>
          <w:tcPr>
            <w:tcW w:w="1058" w:type="dxa"/>
            <w:tcBorders>
              <w:top w:val="nil"/>
              <w:left w:val="nil"/>
              <w:bottom w:val="double" w:sz="6" w:space="0" w:color="auto"/>
              <w:right w:val="nil"/>
            </w:tcBorders>
            <w:shd w:val="clear" w:color="auto" w:fill="auto"/>
            <w:noWrap/>
            <w:vAlign w:val="bottom"/>
            <w:hideMark/>
          </w:tcPr>
          <w:p w:rsidR="001178B9" w:rsidRPr="001178B9" w:rsidRDefault="001178B9" w:rsidP="001178B9">
            <w:pPr>
              <w:suppressAutoHyphens w:val="0"/>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2017q2</w:t>
            </w:r>
          </w:p>
        </w:tc>
        <w:tc>
          <w:tcPr>
            <w:tcW w:w="552" w:type="dxa"/>
            <w:tcBorders>
              <w:top w:val="nil"/>
              <w:left w:val="single" w:sz="4" w:space="0" w:color="auto"/>
              <w:bottom w:val="double" w:sz="6"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1.3</w:t>
            </w:r>
          </w:p>
        </w:tc>
        <w:tc>
          <w:tcPr>
            <w:tcW w:w="552" w:type="dxa"/>
            <w:tcBorders>
              <w:top w:val="nil"/>
              <w:left w:val="nil"/>
              <w:bottom w:val="double" w:sz="6"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-0.6</w:t>
            </w:r>
          </w:p>
        </w:tc>
        <w:tc>
          <w:tcPr>
            <w:tcW w:w="552" w:type="dxa"/>
            <w:tcBorders>
              <w:top w:val="nil"/>
              <w:left w:val="nil"/>
              <w:bottom w:val="double" w:sz="6"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1.8</w:t>
            </w:r>
          </w:p>
        </w:tc>
        <w:tc>
          <w:tcPr>
            <w:tcW w:w="552" w:type="dxa"/>
            <w:tcBorders>
              <w:top w:val="nil"/>
              <w:left w:val="nil"/>
              <w:bottom w:val="double" w:sz="6"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0.9</w:t>
            </w:r>
          </w:p>
        </w:tc>
        <w:tc>
          <w:tcPr>
            <w:tcW w:w="552" w:type="dxa"/>
            <w:tcBorders>
              <w:top w:val="nil"/>
              <w:left w:val="nil"/>
              <w:bottom w:val="double" w:sz="6"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-0.2</w:t>
            </w:r>
          </w:p>
        </w:tc>
        <w:tc>
          <w:tcPr>
            <w:tcW w:w="1213" w:type="dxa"/>
            <w:tcBorders>
              <w:top w:val="nil"/>
              <w:left w:val="nil"/>
              <w:bottom w:val="double" w:sz="6"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1.2</w:t>
            </w:r>
          </w:p>
        </w:tc>
        <w:tc>
          <w:tcPr>
            <w:tcW w:w="552" w:type="dxa"/>
            <w:tcBorders>
              <w:top w:val="nil"/>
              <w:left w:val="nil"/>
              <w:bottom w:val="double" w:sz="6" w:space="0" w:color="auto"/>
              <w:right w:val="nil"/>
            </w:tcBorders>
            <w:shd w:val="clear" w:color="auto" w:fill="auto"/>
            <w:noWrap/>
            <w:vAlign w:val="bottom"/>
            <w:hideMark/>
          </w:tcPr>
          <w:p w:rsidR="001178B9" w:rsidRPr="001178B9" w:rsidRDefault="001178B9" w:rsidP="001178B9">
            <w:pPr>
              <w:suppressAutoHyphens w:val="0"/>
              <w:jc w:val="center"/>
              <w:rPr>
                <w:rFonts w:ascii="Cambria" w:hAnsi="Cambria" w:cs="Calibri"/>
                <w:color w:val="000000"/>
                <w:sz w:val="18"/>
                <w:szCs w:val="18"/>
                <w:lang w:val="en-US" w:eastAsia="en-US"/>
              </w:rPr>
            </w:pPr>
            <w:r w:rsidRPr="001178B9">
              <w:rPr>
                <w:rFonts w:ascii="Cambria" w:hAnsi="Cambria" w:cs="Calibri"/>
                <w:color w:val="000000"/>
                <w:sz w:val="18"/>
                <w:szCs w:val="18"/>
                <w:lang w:val="en-US" w:eastAsia="en-US"/>
              </w:rPr>
              <w:t>2.1</w:t>
            </w:r>
          </w:p>
        </w:tc>
      </w:tr>
    </w:tbl>
    <w:p w:rsidR="00F61782" w:rsidRPr="00F61782" w:rsidRDefault="001178B9" w:rsidP="00380FAF">
      <w:pPr>
        <w:suppressAutoHyphens w:val="0"/>
        <w:rPr>
          <w:rFonts w:ascii="Palatino Linotype" w:hAnsi="Palatino Linotype"/>
          <w:sz w:val="22"/>
          <w:szCs w:val="22"/>
        </w:rPr>
      </w:pPr>
      <w:bookmarkStart w:id="0" w:name="_GoBack"/>
      <w:bookmarkEnd w:id="0"/>
      <w:r>
        <w:rPr>
          <w:rFonts w:ascii="Palatino Linotype" w:hAnsi="Palatino Linotype"/>
        </w:rPr>
        <w:t>Ka</w:t>
      </w:r>
      <w:r w:rsidR="00380FAF">
        <w:rPr>
          <w:rFonts w:ascii="Palatino Linotype" w:hAnsi="Palatino Linotype"/>
        </w:rPr>
        <w:t>ynak: TÜİK, Betam</w:t>
      </w:r>
    </w:p>
    <w:sectPr w:rsidR="00F61782" w:rsidRPr="00F61782" w:rsidSect="00887B8A">
      <w:pgSz w:w="16837" w:h="11905" w:orient="landscape"/>
      <w:pgMar w:top="1298" w:right="1298" w:bottom="1298"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6BF" w:rsidRDefault="007226BF" w:rsidP="00640379">
      <w:r>
        <w:separator/>
      </w:r>
    </w:p>
  </w:endnote>
  <w:endnote w:type="continuationSeparator" w:id="0">
    <w:p w:rsidR="007226BF" w:rsidRDefault="007226BF" w:rsidP="0064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Math">
    <w:panose1 w:val="00000000000000000000"/>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CFE" w:rsidRPr="00EA46E1" w:rsidRDefault="00F11CFE" w:rsidP="00184833">
    <w:pPr>
      <w:pStyle w:val="Footer"/>
      <w:framePr w:wrap="auto" w:vAnchor="text" w:hAnchor="margin" w:xAlign="right" w:y="1"/>
      <w:rPr>
        <w:rStyle w:val="PageNumber"/>
        <w:rFonts w:ascii="Calibri" w:hAnsi="Calibri" w:cs="Calibri"/>
        <w:sz w:val="22"/>
        <w:szCs w:val="22"/>
      </w:rPr>
    </w:pPr>
    <w:r w:rsidRPr="00EA46E1">
      <w:rPr>
        <w:rStyle w:val="PageNumber"/>
        <w:rFonts w:ascii="Calibri" w:hAnsi="Calibri" w:cs="Calibri"/>
        <w:sz w:val="22"/>
        <w:szCs w:val="22"/>
      </w:rPr>
      <w:fldChar w:fldCharType="begin"/>
    </w:r>
    <w:r w:rsidRPr="00EA46E1">
      <w:rPr>
        <w:rStyle w:val="PageNumber"/>
        <w:rFonts w:ascii="Calibri" w:hAnsi="Calibri" w:cs="Calibri"/>
        <w:sz w:val="22"/>
        <w:szCs w:val="22"/>
      </w:rPr>
      <w:instrText xml:space="preserve">PAGE  </w:instrText>
    </w:r>
    <w:r w:rsidRPr="00EA46E1">
      <w:rPr>
        <w:rStyle w:val="PageNumber"/>
        <w:rFonts w:ascii="Calibri" w:hAnsi="Calibri" w:cs="Calibri"/>
        <w:sz w:val="22"/>
        <w:szCs w:val="22"/>
      </w:rPr>
      <w:fldChar w:fldCharType="separate"/>
    </w:r>
    <w:r w:rsidR="001178B9">
      <w:rPr>
        <w:rStyle w:val="PageNumber"/>
        <w:rFonts w:ascii="Calibri" w:hAnsi="Calibri" w:cs="Calibri"/>
        <w:noProof/>
        <w:sz w:val="22"/>
        <w:szCs w:val="22"/>
      </w:rPr>
      <w:t>8</w:t>
    </w:r>
    <w:r w:rsidRPr="00EA46E1">
      <w:rPr>
        <w:rStyle w:val="PageNumber"/>
        <w:rFonts w:ascii="Calibri" w:hAnsi="Calibri" w:cs="Calibri"/>
        <w:sz w:val="22"/>
        <w:szCs w:val="22"/>
      </w:rPr>
      <w:fldChar w:fldCharType="end"/>
    </w:r>
  </w:p>
  <w:p w:rsidR="00F11CFE" w:rsidRDefault="00F11CFE" w:rsidP="00184833">
    <w:pPr>
      <w:pStyle w:val="Footer"/>
      <w:ind w:right="360"/>
      <w:jc w:val="center"/>
      <w:rPr>
        <w:rFonts w:ascii="Arial" w:hAnsi="Arial" w:cs="Arial"/>
        <w:b/>
        <w:bCs/>
        <w:i/>
        <w:iCs/>
        <w:sz w:val="20"/>
        <w:szCs w:val="20"/>
      </w:rPr>
    </w:pPr>
    <w:r>
      <w:rPr>
        <w:rFonts w:ascii="Arial" w:hAnsi="Arial" w:cs="Arial"/>
        <w:b/>
        <w:bCs/>
        <w:i/>
        <w:iCs/>
        <w:sz w:val="20"/>
        <w:szCs w:val="20"/>
      </w:rPr>
      <w:t>betam.bahcesehir.edu.tr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6BF" w:rsidRDefault="007226BF" w:rsidP="00640379">
      <w:r>
        <w:separator/>
      </w:r>
    </w:p>
  </w:footnote>
  <w:footnote w:type="continuationSeparator" w:id="0">
    <w:p w:rsidR="007226BF" w:rsidRDefault="007226BF" w:rsidP="00640379">
      <w:r>
        <w:continuationSeparator/>
      </w:r>
    </w:p>
  </w:footnote>
  <w:footnote w:id="1">
    <w:p w:rsidR="00F11CFE" w:rsidRPr="00714AB7" w:rsidRDefault="00F11CFE" w:rsidP="00714AB7">
      <w:pPr>
        <w:pStyle w:val="FootnoteText"/>
        <w:rPr>
          <w:rFonts w:ascii="Arial" w:hAnsi="Arial" w:cs="Arial"/>
          <w:sz w:val="16"/>
          <w:szCs w:val="16"/>
        </w:rPr>
      </w:pPr>
      <w:r>
        <w:rPr>
          <w:rStyle w:val="FootnoteReference"/>
        </w:rPr>
        <w:t>*</w:t>
      </w:r>
      <w:r w:rsidRPr="00BB7057">
        <w:rPr>
          <w:rFonts w:ascii="Palatino Linotype" w:hAnsi="Palatino Linotype" w:cs="Arial"/>
          <w:sz w:val="18"/>
          <w:szCs w:val="18"/>
        </w:rPr>
        <w:t xml:space="preserve">Ozan Bakış, </w:t>
      </w:r>
      <w:r w:rsidRPr="00BB7057">
        <w:rPr>
          <w:rFonts w:ascii="Palatino Linotype" w:hAnsi="Palatino Linotype" w:cs="Arial"/>
          <w:b/>
          <w:sz w:val="18"/>
          <w:szCs w:val="18"/>
        </w:rPr>
        <w:t>Betam</w:t>
      </w:r>
      <w:r w:rsidRPr="00BB7057">
        <w:rPr>
          <w:rFonts w:ascii="Palatino Linotype" w:hAnsi="Palatino Linotype" w:cs="Arial"/>
          <w:sz w:val="18"/>
          <w:szCs w:val="18"/>
        </w:rPr>
        <w:t xml:space="preserve">, </w:t>
      </w:r>
      <w:hyperlink r:id="rId1" w:history="1">
        <w:r w:rsidRPr="00BB7057">
          <w:rPr>
            <w:rStyle w:val="Hyperlink"/>
            <w:rFonts w:ascii="Palatino Linotype" w:hAnsi="Palatino Linotype" w:cs="Arial"/>
            <w:sz w:val="18"/>
            <w:szCs w:val="18"/>
          </w:rPr>
          <w:t>ozan.bakis@eas.bau.edu.tr</w:t>
        </w:r>
      </w:hyperlink>
      <w:r w:rsidRPr="00BB7057">
        <w:rPr>
          <w:rFonts w:ascii="Palatino Linotype" w:hAnsi="Palatino Linotype" w:cs="Arial"/>
          <w:sz w:val="18"/>
          <w:szCs w:val="18"/>
        </w:rPr>
        <w:t xml:space="preserve">. Bu notun yazımı sırasında </w:t>
      </w:r>
      <w:r>
        <w:rPr>
          <w:rFonts w:ascii="Palatino Linotype" w:hAnsi="Palatino Linotype" w:cs="Arial"/>
          <w:sz w:val="18"/>
          <w:szCs w:val="18"/>
        </w:rPr>
        <w:t>verileri hazırlamamda yardımcı olan asistan arkadaşımız Furkan Kavuncu ile bilgi, öneri ve eleştirilerini esirgemeyen TÜİK çalışanları Şenol Bozdağ,</w:t>
      </w:r>
      <w:r w:rsidRPr="00BB7057">
        <w:rPr>
          <w:rFonts w:ascii="Palatino Linotype" w:hAnsi="Palatino Linotype" w:cs="Arial"/>
          <w:sz w:val="18"/>
          <w:szCs w:val="18"/>
        </w:rPr>
        <w:t xml:space="preserve"> Kürşad Dosdoğru</w:t>
      </w:r>
      <w:r>
        <w:rPr>
          <w:rFonts w:ascii="Palatino Linotype" w:hAnsi="Palatino Linotype" w:cs="Arial"/>
          <w:sz w:val="18"/>
          <w:szCs w:val="18"/>
        </w:rPr>
        <w:t xml:space="preserve"> ve Özlem Yiğit’e teşekkür ederim. Mevcut hata ve eksikliklerden yazar sorumludur</w:t>
      </w:r>
      <w:r w:rsidRPr="00BB7057">
        <w:rPr>
          <w:rFonts w:ascii="Palatino Linotype" w:hAnsi="Palatino Linotype" w:cs="Arial"/>
          <w:sz w:val="18"/>
          <w:szCs w:val="18"/>
        </w:rPr>
        <w:t>.</w:t>
      </w:r>
    </w:p>
  </w:footnote>
  <w:footnote w:id="2">
    <w:p w:rsidR="00F11CFE" w:rsidRDefault="00F11CFE">
      <w:pPr>
        <w:pStyle w:val="FootnoteText"/>
      </w:pPr>
      <w:r>
        <w:rPr>
          <w:rStyle w:val="FootnoteReference"/>
        </w:rPr>
        <w:footnoteRef/>
      </w:r>
      <w:r>
        <w:t xml:space="preserve"> Örnek olarak bkz. </w:t>
      </w:r>
      <w:proofErr w:type="spellStart"/>
      <w:r>
        <w:t>TÜİK’in</w:t>
      </w:r>
      <w:proofErr w:type="spellEnd"/>
      <w:r>
        <w:t xml:space="preserve"> en son yayınladığı dönemsel GSYH haber bülteni, </w:t>
      </w:r>
      <w:r w:rsidRPr="006D68E0">
        <w:t xml:space="preserve">http://www.tuik.gov.tr/PreHaberBultenleri.do?id=24568 </w:t>
      </w:r>
      <w:r>
        <w:t xml:space="preserve"> (Erişim tarihi 12 Eylül 2017)</w:t>
      </w:r>
    </w:p>
  </w:footnote>
  <w:footnote w:id="3">
    <w:p w:rsidR="00F11CFE" w:rsidRDefault="00F11CFE">
      <w:pPr>
        <w:pStyle w:val="FootnoteText"/>
      </w:pPr>
      <w:r>
        <w:rPr>
          <w:rStyle w:val="FootnoteReference"/>
        </w:rPr>
        <w:footnoteRef/>
      </w:r>
      <w:r>
        <w:t xml:space="preserve"> </w:t>
      </w:r>
      <w:r w:rsidRPr="00475CFB">
        <w:t>http://www.imf.org/external/pubs/ft/qna/pdf/qnachapter8.pdf</w:t>
      </w:r>
      <w:r>
        <w:t xml:space="preserve">  (Erişim tarihi 12 Eylül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2B77CC7"/>
    <w:multiLevelType w:val="hybridMultilevel"/>
    <w:tmpl w:val="16D661E8"/>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24603A20"/>
    <w:multiLevelType w:val="hybridMultilevel"/>
    <w:tmpl w:val="7512D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6E1668"/>
    <w:multiLevelType w:val="hybridMultilevel"/>
    <w:tmpl w:val="85C8F232"/>
    <w:lvl w:ilvl="0" w:tplc="44083DE2">
      <w:numFmt w:val="bullet"/>
      <w:lvlText w:val="-"/>
      <w:lvlJc w:val="left"/>
      <w:pPr>
        <w:ind w:left="1065" w:hanging="360"/>
      </w:pPr>
      <w:rPr>
        <w:rFonts w:ascii="Arial" w:eastAsia="Times New Roman" w:hAnsi="Arial" w:cs="Arial" w:hint="default"/>
        <w:b w:val="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15:restartNumberingAfterBreak="0">
    <w:nsid w:val="3C0C5DBD"/>
    <w:multiLevelType w:val="hybridMultilevel"/>
    <w:tmpl w:val="F4FE394A"/>
    <w:lvl w:ilvl="0" w:tplc="198A2D4A">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15:restartNumberingAfterBreak="0">
    <w:nsid w:val="438922F9"/>
    <w:multiLevelType w:val="hybridMultilevel"/>
    <w:tmpl w:val="8F32170C"/>
    <w:lvl w:ilvl="0" w:tplc="CB647882">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6CB197A"/>
    <w:multiLevelType w:val="hybridMultilevel"/>
    <w:tmpl w:val="2BB8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C0D70"/>
    <w:multiLevelType w:val="hybridMultilevel"/>
    <w:tmpl w:val="B8F08712"/>
    <w:lvl w:ilvl="0" w:tplc="C97AE5C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6BA847AB"/>
    <w:multiLevelType w:val="hybridMultilevel"/>
    <w:tmpl w:val="F0D00858"/>
    <w:lvl w:ilvl="0" w:tplc="8D86B52C">
      <w:start w:val="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8"/>
  </w:num>
  <w:num w:numId="6">
    <w:abstractNumId w:val="2"/>
  </w:num>
  <w:num w:numId="7">
    <w:abstractNumId w:val="1"/>
  </w:num>
  <w:num w:numId="8">
    <w:abstractNumId w:val="3"/>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9"/>
    <w:rsid w:val="00006AF6"/>
    <w:rsid w:val="00007666"/>
    <w:rsid w:val="00007E63"/>
    <w:rsid w:val="00013729"/>
    <w:rsid w:val="000148D1"/>
    <w:rsid w:val="00014E33"/>
    <w:rsid w:val="00017E0F"/>
    <w:rsid w:val="00017EC6"/>
    <w:rsid w:val="00022C3C"/>
    <w:rsid w:val="00023AE1"/>
    <w:rsid w:val="00023EAD"/>
    <w:rsid w:val="000277AE"/>
    <w:rsid w:val="0003728E"/>
    <w:rsid w:val="00043C2F"/>
    <w:rsid w:val="00047577"/>
    <w:rsid w:val="0005778E"/>
    <w:rsid w:val="000640B4"/>
    <w:rsid w:val="00065B87"/>
    <w:rsid w:val="00070EEB"/>
    <w:rsid w:val="00073308"/>
    <w:rsid w:val="000738AA"/>
    <w:rsid w:val="00074311"/>
    <w:rsid w:val="00075CAC"/>
    <w:rsid w:val="00076DE2"/>
    <w:rsid w:val="00077634"/>
    <w:rsid w:val="00082852"/>
    <w:rsid w:val="00082DAD"/>
    <w:rsid w:val="00084B74"/>
    <w:rsid w:val="0008507E"/>
    <w:rsid w:val="00086D46"/>
    <w:rsid w:val="00096B8E"/>
    <w:rsid w:val="000A201B"/>
    <w:rsid w:val="000A2836"/>
    <w:rsid w:val="000A48F8"/>
    <w:rsid w:val="000A59DC"/>
    <w:rsid w:val="000A5E39"/>
    <w:rsid w:val="000A7078"/>
    <w:rsid w:val="000A71A8"/>
    <w:rsid w:val="000B0261"/>
    <w:rsid w:val="000B4E35"/>
    <w:rsid w:val="000C07FB"/>
    <w:rsid w:val="000C1380"/>
    <w:rsid w:val="000C2EE8"/>
    <w:rsid w:val="000C39DE"/>
    <w:rsid w:val="000C51BE"/>
    <w:rsid w:val="000D03D9"/>
    <w:rsid w:val="000D1186"/>
    <w:rsid w:val="000D7EB3"/>
    <w:rsid w:val="000E09BC"/>
    <w:rsid w:val="000E185F"/>
    <w:rsid w:val="000E6298"/>
    <w:rsid w:val="000F3071"/>
    <w:rsid w:val="000F5450"/>
    <w:rsid w:val="00104145"/>
    <w:rsid w:val="00107FCA"/>
    <w:rsid w:val="001107FC"/>
    <w:rsid w:val="001128D9"/>
    <w:rsid w:val="001163F4"/>
    <w:rsid w:val="00116DFB"/>
    <w:rsid w:val="0011718E"/>
    <w:rsid w:val="0011756F"/>
    <w:rsid w:val="001178B9"/>
    <w:rsid w:val="0012130F"/>
    <w:rsid w:val="00131F8A"/>
    <w:rsid w:val="001411AE"/>
    <w:rsid w:val="001429E8"/>
    <w:rsid w:val="001469DC"/>
    <w:rsid w:val="00151710"/>
    <w:rsid w:val="00152283"/>
    <w:rsid w:val="001547D9"/>
    <w:rsid w:val="00157906"/>
    <w:rsid w:val="00163268"/>
    <w:rsid w:val="0016555A"/>
    <w:rsid w:val="00166449"/>
    <w:rsid w:val="0018447F"/>
    <w:rsid w:val="00184833"/>
    <w:rsid w:val="0018499B"/>
    <w:rsid w:val="00185154"/>
    <w:rsid w:val="00185A19"/>
    <w:rsid w:val="00185CE6"/>
    <w:rsid w:val="00191DEE"/>
    <w:rsid w:val="001922B3"/>
    <w:rsid w:val="00197D6B"/>
    <w:rsid w:val="001A355C"/>
    <w:rsid w:val="001A6364"/>
    <w:rsid w:val="001A77B8"/>
    <w:rsid w:val="001B0FDA"/>
    <w:rsid w:val="001B107F"/>
    <w:rsid w:val="001B3FD2"/>
    <w:rsid w:val="001B5C0D"/>
    <w:rsid w:val="001B736C"/>
    <w:rsid w:val="001C0D5F"/>
    <w:rsid w:val="001C12FD"/>
    <w:rsid w:val="001C1A21"/>
    <w:rsid w:val="001C38E5"/>
    <w:rsid w:val="001C68B9"/>
    <w:rsid w:val="001D15F6"/>
    <w:rsid w:val="001D25F7"/>
    <w:rsid w:val="001D39B3"/>
    <w:rsid w:val="001D790F"/>
    <w:rsid w:val="001E0C08"/>
    <w:rsid w:val="001E3187"/>
    <w:rsid w:val="001E4A24"/>
    <w:rsid w:val="001F5B6B"/>
    <w:rsid w:val="001F7F8A"/>
    <w:rsid w:val="00204754"/>
    <w:rsid w:val="00204782"/>
    <w:rsid w:val="00206D18"/>
    <w:rsid w:val="002103D9"/>
    <w:rsid w:val="002112BA"/>
    <w:rsid w:val="002119E2"/>
    <w:rsid w:val="0021265A"/>
    <w:rsid w:val="00213E16"/>
    <w:rsid w:val="00215F11"/>
    <w:rsid w:val="00222F0B"/>
    <w:rsid w:val="00235788"/>
    <w:rsid w:val="002408E1"/>
    <w:rsid w:val="002448F3"/>
    <w:rsid w:val="00247A1E"/>
    <w:rsid w:val="00252C7A"/>
    <w:rsid w:val="00262F48"/>
    <w:rsid w:val="0027168A"/>
    <w:rsid w:val="0027354C"/>
    <w:rsid w:val="00281174"/>
    <w:rsid w:val="00293F89"/>
    <w:rsid w:val="00294320"/>
    <w:rsid w:val="002959DA"/>
    <w:rsid w:val="002A0024"/>
    <w:rsid w:val="002A06D6"/>
    <w:rsid w:val="002A0B64"/>
    <w:rsid w:val="002A24B1"/>
    <w:rsid w:val="002A38BD"/>
    <w:rsid w:val="002A5334"/>
    <w:rsid w:val="002A5ED7"/>
    <w:rsid w:val="002A6B38"/>
    <w:rsid w:val="002B0479"/>
    <w:rsid w:val="002B1BE6"/>
    <w:rsid w:val="002B3437"/>
    <w:rsid w:val="002B770E"/>
    <w:rsid w:val="002C151D"/>
    <w:rsid w:val="002C28AC"/>
    <w:rsid w:val="002D2127"/>
    <w:rsid w:val="002D652D"/>
    <w:rsid w:val="002D656B"/>
    <w:rsid w:val="002D739A"/>
    <w:rsid w:val="002E0A3C"/>
    <w:rsid w:val="002E2714"/>
    <w:rsid w:val="002E4210"/>
    <w:rsid w:val="002E4792"/>
    <w:rsid w:val="002F0434"/>
    <w:rsid w:val="002F07F2"/>
    <w:rsid w:val="002F25AD"/>
    <w:rsid w:val="002F401D"/>
    <w:rsid w:val="002F7855"/>
    <w:rsid w:val="00300455"/>
    <w:rsid w:val="00304B22"/>
    <w:rsid w:val="00305661"/>
    <w:rsid w:val="00307ACF"/>
    <w:rsid w:val="00311CA6"/>
    <w:rsid w:val="00313662"/>
    <w:rsid w:val="00313F4D"/>
    <w:rsid w:val="003208C7"/>
    <w:rsid w:val="003210EA"/>
    <w:rsid w:val="0032258D"/>
    <w:rsid w:val="00324DB1"/>
    <w:rsid w:val="00325473"/>
    <w:rsid w:val="00326807"/>
    <w:rsid w:val="00327112"/>
    <w:rsid w:val="00330495"/>
    <w:rsid w:val="00332DF7"/>
    <w:rsid w:val="00332F54"/>
    <w:rsid w:val="0033592D"/>
    <w:rsid w:val="0034185B"/>
    <w:rsid w:val="003438E6"/>
    <w:rsid w:val="00344462"/>
    <w:rsid w:val="00344E64"/>
    <w:rsid w:val="00345CAB"/>
    <w:rsid w:val="00347957"/>
    <w:rsid w:val="0035080F"/>
    <w:rsid w:val="00354A5A"/>
    <w:rsid w:val="00355C0D"/>
    <w:rsid w:val="0035747E"/>
    <w:rsid w:val="00357F18"/>
    <w:rsid w:val="003622EA"/>
    <w:rsid w:val="00364EE4"/>
    <w:rsid w:val="00366188"/>
    <w:rsid w:val="00371274"/>
    <w:rsid w:val="003712B6"/>
    <w:rsid w:val="00374F9E"/>
    <w:rsid w:val="00380FAF"/>
    <w:rsid w:val="00384675"/>
    <w:rsid w:val="00384FBA"/>
    <w:rsid w:val="00387373"/>
    <w:rsid w:val="003920C1"/>
    <w:rsid w:val="0039548D"/>
    <w:rsid w:val="003A0637"/>
    <w:rsid w:val="003A0D1A"/>
    <w:rsid w:val="003A17FD"/>
    <w:rsid w:val="003A2098"/>
    <w:rsid w:val="003A21E5"/>
    <w:rsid w:val="003A25E2"/>
    <w:rsid w:val="003B0FF6"/>
    <w:rsid w:val="003B650D"/>
    <w:rsid w:val="003B6D4F"/>
    <w:rsid w:val="003B7CA7"/>
    <w:rsid w:val="003C38EF"/>
    <w:rsid w:val="003C5332"/>
    <w:rsid w:val="003C5577"/>
    <w:rsid w:val="003D306A"/>
    <w:rsid w:val="003D5C80"/>
    <w:rsid w:val="003E03E1"/>
    <w:rsid w:val="003E0B22"/>
    <w:rsid w:val="003E27D9"/>
    <w:rsid w:val="003E32FF"/>
    <w:rsid w:val="003E4BA0"/>
    <w:rsid w:val="003E6816"/>
    <w:rsid w:val="003E6DC1"/>
    <w:rsid w:val="003F5C5F"/>
    <w:rsid w:val="004009D4"/>
    <w:rsid w:val="00402256"/>
    <w:rsid w:val="004037E0"/>
    <w:rsid w:val="0040699C"/>
    <w:rsid w:val="00416A24"/>
    <w:rsid w:val="00417DC3"/>
    <w:rsid w:val="004209A5"/>
    <w:rsid w:val="0042103B"/>
    <w:rsid w:val="00427721"/>
    <w:rsid w:val="004305D8"/>
    <w:rsid w:val="00431B6F"/>
    <w:rsid w:val="0043290B"/>
    <w:rsid w:val="00435889"/>
    <w:rsid w:val="004369BD"/>
    <w:rsid w:val="0043734C"/>
    <w:rsid w:val="00437EC6"/>
    <w:rsid w:val="004425C3"/>
    <w:rsid w:val="00446C25"/>
    <w:rsid w:val="004470D3"/>
    <w:rsid w:val="00450268"/>
    <w:rsid w:val="00451BF4"/>
    <w:rsid w:val="004549ED"/>
    <w:rsid w:val="00454C3A"/>
    <w:rsid w:val="00456FCA"/>
    <w:rsid w:val="00457534"/>
    <w:rsid w:val="004602E5"/>
    <w:rsid w:val="00460D2A"/>
    <w:rsid w:val="00462D3C"/>
    <w:rsid w:val="00467873"/>
    <w:rsid w:val="0047105D"/>
    <w:rsid w:val="00475CFB"/>
    <w:rsid w:val="00477F87"/>
    <w:rsid w:val="004847BA"/>
    <w:rsid w:val="00495135"/>
    <w:rsid w:val="004966D9"/>
    <w:rsid w:val="0049714E"/>
    <w:rsid w:val="004972D1"/>
    <w:rsid w:val="004A1AFF"/>
    <w:rsid w:val="004A27C3"/>
    <w:rsid w:val="004A34C4"/>
    <w:rsid w:val="004A6291"/>
    <w:rsid w:val="004A70CC"/>
    <w:rsid w:val="004A7DDD"/>
    <w:rsid w:val="004B0D3D"/>
    <w:rsid w:val="004B2C4C"/>
    <w:rsid w:val="004B393D"/>
    <w:rsid w:val="004C5EE8"/>
    <w:rsid w:val="004C6180"/>
    <w:rsid w:val="004C75A9"/>
    <w:rsid w:val="004D1E97"/>
    <w:rsid w:val="004E1192"/>
    <w:rsid w:val="004E1EFC"/>
    <w:rsid w:val="004E5EB5"/>
    <w:rsid w:val="004F4B73"/>
    <w:rsid w:val="004F62A4"/>
    <w:rsid w:val="004F63B2"/>
    <w:rsid w:val="005011D8"/>
    <w:rsid w:val="0050523F"/>
    <w:rsid w:val="00517B51"/>
    <w:rsid w:val="00521D1C"/>
    <w:rsid w:val="005269F5"/>
    <w:rsid w:val="00530066"/>
    <w:rsid w:val="00531630"/>
    <w:rsid w:val="00533ED4"/>
    <w:rsid w:val="005356EB"/>
    <w:rsid w:val="005363EC"/>
    <w:rsid w:val="005364F6"/>
    <w:rsid w:val="00541B24"/>
    <w:rsid w:val="00547550"/>
    <w:rsid w:val="00550DCC"/>
    <w:rsid w:val="00551FDA"/>
    <w:rsid w:val="0055508E"/>
    <w:rsid w:val="00555489"/>
    <w:rsid w:val="00555E86"/>
    <w:rsid w:val="00556B72"/>
    <w:rsid w:val="00561265"/>
    <w:rsid w:val="00562D23"/>
    <w:rsid w:val="005635E6"/>
    <w:rsid w:val="0056516B"/>
    <w:rsid w:val="00566DA0"/>
    <w:rsid w:val="0057381B"/>
    <w:rsid w:val="00577959"/>
    <w:rsid w:val="00577984"/>
    <w:rsid w:val="00577D0A"/>
    <w:rsid w:val="005826C4"/>
    <w:rsid w:val="0058630B"/>
    <w:rsid w:val="00593D04"/>
    <w:rsid w:val="00593FF1"/>
    <w:rsid w:val="00596A7E"/>
    <w:rsid w:val="005A10A2"/>
    <w:rsid w:val="005A2C0A"/>
    <w:rsid w:val="005A5329"/>
    <w:rsid w:val="005A7B17"/>
    <w:rsid w:val="005B02AD"/>
    <w:rsid w:val="005B1133"/>
    <w:rsid w:val="005B2AB5"/>
    <w:rsid w:val="005B3B24"/>
    <w:rsid w:val="005B670E"/>
    <w:rsid w:val="005B7E2F"/>
    <w:rsid w:val="005C0367"/>
    <w:rsid w:val="005C0B69"/>
    <w:rsid w:val="005C45A5"/>
    <w:rsid w:val="005C5A85"/>
    <w:rsid w:val="005C5EB5"/>
    <w:rsid w:val="005C6598"/>
    <w:rsid w:val="005C669E"/>
    <w:rsid w:val="005C6833"/>
    <w:rsid w:val="005D27B9"/>
    <w:rsid w:val="005D3649"/>
    <w:rsid w:val="005D6CE9"/>
    <w:rsid w:val="005E2721"/>
    <w:rsid w:val="005E2F59"/>
    <w:rsid w:val="005F008F"/>
    <w:rsid w:val="005F1270"/>
    <w:rsid w:val="005F25E2"/>
    <w:rsid w:val="005F3D42"/>
    <w:rsid w:val="005F51A3"/>
    <w:rsid w:val="006017D3"/>
    <w:rsid w:val="00601895"/>
    <w:rsid w:val="00604CF5"/>
    <w:rsid w:val="00605001"/>
    <w:rsid w:val="006123B8"/>
    <w:rsid w:val="00614A88"/>
    <w:rsid w:val="0061670A"/>
    <w:rsid w:val="00616E4E"/>
    <w:rsid w:val="00617109"/>
    <w:rsid w:val="00626613"/>
    <w:rsid w:val="00631C37"/>
    <w:rsid w:val="00631E3D"/>
    <w:rsid w:val="006373CC"/>
    <w:rsid w:val="00640379"/>
    <w:rsid w:val="00642DA3"/>
    <w:rsid w:val="006469FF"/>
    <w:rsid w:val="006516DE"/>
    <w:rsid w:val="00653DA1"/>
    <w:rsid w:val="00654351"/>
    <w:rsid w:val="00656793"/>
    <w:rsid w:val="00663A58"/>
    <w:rsid w:val="00663B4F"/>
    <w:rsid w:val="00667BAB"/>
    <w:rsid w:val="00667F4D"/>
    <w:rsid w:val="00672654"/>
    <w:rsid w:val="00673FC6"/>
    <w:rsid w:val="006761D5"/>
    <w:rsid w:val="0067740A"/>
    <w:rsid w:val="00681DA7"/>
    <w:rsid w:val="006829C2"/>
    <w:rsid w:val="00684666"/>
    <w:rsid w:val="00686D8D"/>
    <w:rsid w:val="006876DD"/>
    <w:rsid w:val="00687E12"/>
    <w:rsid w:val="0069123C"/>
    <w:rsid w:val="006924FF"/>
    <w:rsid w:val="00695C7D"/>
    <w:rsid w:val="006A0167"/>
    <w:rsid w:val="006A3C0F"/>
    <w:rsid w:val="006A5C1A"/>
    <w:rsid w:val="006A6546"/>
    <w:rsid w:val="006B2D7D"/>
    <w:rsid w:val="006B4B20"/>
    <w:rsid w:val="006B4C72"/>
    <w:rsid w:val="006B72D1"/>
    <w:rsid w:val="006B79F3"/>
    <w:rsid w:val="006D2241"/>
    <w:rsid w:val="006D3550"/>
    <w:rsid w:val="006D68E0"/>
    <w:rsid w:val="006E11FB"/>
    <w:rsid w:val="006E1839"/>
    <w:rsid w:val="006E20A4"/>
    <w:rsid w:val="006E4EBF"/>
    <w:rsid w:val="006F30D1"/>
    <w:rsid w:val="006F4CBD"/>
    <w:rsid w:val="006F50DE"/>
    <w:rsid w:val="006F5F83"/>
    <w:rsid w:val="00700570"/>
    <w:rsid w:val="00701438"/>
    <w:rsid w:val="00703EE4"/>
    <w:rsid w:val="00713054"/>
    <w:rsid w:val="00713B00"/>
    <w:rsid w:val="00714AB7"/>
    <w:rsid w:val="00714C03"/>
    <w:rsid w:val="00716B8D"/>
    <w:rsid w:val="00717040"/>
    <w:rsid w:val="007205C5"/>
    <w:rsid w:val="00721248"/>
    <w:rsid w:val="007226BF"/>
    <w:rsid w:val="00733B85"/>
    <w:rsid w:val="007344E0"/>
    <w:rsid w:val="00751886"/>
    <w:rsid w:val="007538C8"/>
    <w:rsid w:val="00753ED7"/>
    <w:rsid w:val="00761B66"/>
    <w:rsid w:val="00763184"/>
    <w:rsid w:val="00764ED2"/>
    <w:rsid w:val="00766910"/>
    <w:rsid w:val="00770435"/>
    <w:rsid w:val="007706FB"/>
    <w:rsid w:val="0077381B"/>
    <w:rsid w:val="007762D0"/>
    <w:rsid w:val="0078615F"/>
    <w:rsid w:val="007870FD"/>
    <w:rsid w:val="00790D32"/>
    <w:rsid w:val="007911BC"/>
    <w:rsid w:val="00791332"/>
    <w:rsid w:val="007A1252"/>
    <w:rsid w:val="007A4254"/>
    <w:rsid w:val="007A6D2B"/>
    <w:rsid w:val="007B3C87"/>
    <w:rsid w:val="007B4902"/>
    <w:rsid w:val="007C2FAB"/>
    <w:rsid w:val="007C4077"/>
    <w:rsid w:val="007C6456"/>
    <w:rsid w:val="007D0C70"/>
    <w:rsid w:val="007D0DAD"/>
    <w:rsid w:val="007D398D"/>
    <w:rsid w:val="007D3C93"/>
    <w:rsid w:val="007D42C0"/>
    <w:rsid w:val="007D5DBC"/>
    <w:rsid w:val="007D6E1D"/>
    <w:rsid w:val="007E339D"/>
    <w:rsid w:val="007E642F"/>
    <w:rsid w:val="007F4D5A"/>
    <w:rsid w:val="008012DC"/>
    <w:rsid w:val="00803A9D"/>
    <w:rsid w:val="00805765"/>
    <w:rsid w:val="00806624"/>
    <w:rsid w:val="00807EC9"/>
    <w:rsid w:val="00817B20"/>
    <w:rsid w:val="00821820"/>
    <w:rsid w:val="008306D5"/>
    <w:rsid w:val="00831303"/>
    <w:rsid w:val="0083155C"/>
    <w:rsid w:val="008317D7"/>
    <w:rsid w:val="0083449A"/>
    <w:rsid w:val="00836991"/>
    <w:rsid w:val="00837730"/>
    <w:rsid w:val="0084126A"/>
    <w:rsid w:val="0084191B"/>
    <w:rsid w:val="00842618"/>
    <w:rsid w:val="00842ED0"/>
    <w:rsid w:val="00844348"/>
    <w:rsid w:val="00844DC3"/>
    <w:rsid w:val="00845501"/>
    <w:rsid w:val="008507FE"/>
    <w:rsid w:val="00853697"/>
    <w:rsid w:val="00856712"/>
    <w:rsid w:val="0085773D"/>
    <w:rsid w:val="00860C3F"/>
    <w:rsid w:val="00860C7D"/>
    <w:rsid w:val="008610B3"/>
    <w:rsid w:val="00863038"/>
    <w:rsid w:val="008702CA"/>
    <w:rsid w:val="00874250"/>
    <w:rsid w:val="008813B7"/>
    <w:rsid w:val="008835BF"/>
    <w:rsid w:val="00886FDA"/>
    <w:rsid w:val="00887B8A"/>
    <w:rsid w:val="00893437"/>
    <w:rsid w:val="00894E5F"/>
    <w:rsid w:val="00894EEE"/>
    <w:rsid w:val="00895F09"/>
    <w:rsid w:val="008A40F6"/>
    <w:rsid w:val="008B0D71"/>
    <w:rsid w:val="008B1B11"/>
    <w:rsid w:val="008B26A6"/>
    <w:rsid w:val="008B37DB"/>
    <w:rsid w:val="008B5C28"/>
    <w:rsid w:val="008B65B4"/>
    <w:rsid w:val="008B7180"/>
    <w:rsid w:val="008B7607"/>
    <w:rsid w:val="008B76CD"/>
    <w:rsid w:val="008C2E64"/>
    <w:rsid w:val="008C761C"/>
    <w:rsid w:val="008C7982"/>
    <w:rsid w:val="008D09C8"/>
    <w:rsid w:val="008D3FAF"/>
    <w:rsid w:val="008D6E40"/>
    <w:rsid w:val="008E45A9"/>
    <w:rsid w:val="008E7F5C"/>
    <w:rsid w:val="008F18E3"/>
    <w:rsid w:val="008F23D2"/>
    <w:rsid w:val="008F520A"/>
    <w:rsid w:val="008F6064"/>
    <w:rsid w:val="008F6B9F"/>
    <w:rsid w:val="009056D7"/>
    <w:rsid w:val="009119CB"/>
    <w:rsid w:val="00914E49"/>
    <w:rsid w:val="00917AD0"/>
    <w:rsid w:val="009310E4"/>
    <w:rsid w:val="009321DA"/>
    <w:rsid w:val="009337CF"/>
    <w:rsid w:val="00937DBC"/>
    <w:rsid w:val="009406CB"/>
    <w:rsid w:val="00941FE8"/>
    <w:rsid w:val="00947733"/>
    <w:rsid w:val="00953FCC"/>
    <w:rsid w:val="00957EAD"/>
    <w:rsid w:val="00970F1A"/>
    <w:rsid w:val="00971131"/>
    <w:rsid w:val="009726ED"/>
    <w:rsid w:val="0097367D"/>
    <w:rsid w:val="00976A93"/>
    <w:rsid w:val="00983F62"/>
    <w:rsid w:val="009939F4"/>
    <w:rsid w:val="009A1B79"/>
    <w:rsid w:val="009A2202"/>
    <w:rsid w:val="009A50F8"/>
    <w:rsid w:val="009B5D84"/>
    <w:rsid w:val="009B6F3A"/>
    <w:rsid w:val="009B70AD"/>
    <w:rsid w:val="009B7DA4"/>
    <w:rsid w:val="009C0BDC"/>
    <w:rsid w:val="009C2ABF"/>
    <w:rsid w:val="009C31F2"/>
    <w:rsid w:val="009C6549"/>
    <w:rsid w:val="009C6A8E"/>
    <w:rsid w:val="009D1684"/>
    <w:rsid w:val="009D3AC7"/>
    <w:rsid w:val="009D70EB"/>
    <w:rsid w:val="009E0CFD"/>
    <w:rsid w:val="009E45E7"/>
    <w:rsid w:val="009F0195"/>
    <w:rsid w:val="009F232F"/>
    <w:rsid w:val="009F31D5"/>
    <w:rsid w:val="009F58D1"/>
    <w:rsid w:val="009F7D21"/>
    <w:rsid w:val="00A11F08"/>
    <w:rsid w:val="00A120F9"/>
    <w:rsid w:val="00A132BE"/>
    <w:rsid w:val="00A15C3D"/>
    <w:rsid w:val="00A15DA2"/>
    <w:rsid w:val="00A160C8"/>
    <w:rsid w:val="00A161B2"/>
    <w:rsid w:val="00A214AE"/>
    <w:rsid w:val="00A218E5"/>
    <w:rsid w:val="00A25E4D"/>
    <w:rsid w:val="00A35391"/>
    <w:rsid w:val="00A366B7"/>
    <w:rsid w:val="00A40AE3"/>
    <w:rsid w:val="00A40CAD"/>
    <w:rsid w:val="00A4360E"/>
    <w:rsid w:val="00A44230"/>
    <w:rsid w:val="00A46653"/>
    <w:rsid w:val="00A50641"/>
    <w:rsid w:val="00A57768"/>
    <w:rsid w:val="00A6357A"/>
    <w:rsid w:val="00A64EFD"/>
    <w:rsid w:val="00A6503E"/>
    <w:rsid w:val="00A65EC5"/>
    <w:rsid w:val="00A66BBD"/>
    <w:rsid w:val="00A7119E"/>
    <w:rsid w:val="00A754A7"/>
    <w:rsid w:val="00A77272"/>
    <w:rsid w:val="00A77A95"/>
    <w:rsid w:val="00A80ACA"/>
    <w:rsid w:val="00A81C31"/>
    <w:rsid w:val="00A823AA"/>
    <w:rsid w:val="00A9009C"/>
    <w:rsid w:val="00A901B3"/>
    <w:rsid w:val="00A93904"/>
    <w:rsid w:val="00A93F77"/>
    <w:rsid w:val="00AA21DD"/>
    <w:rsid w:val="00AA2A84"/>
    <w:rsid w:val="00AA3354"/>
    <w:rsid w:val="00AA3A67"/>
    <w:rsid w:val="00AA59F3"/>
    <w:rsid w:val="00AA63AC"/>
    <w:rsid w:val="00AB0F9D"/>
    <w:rsid w:val="00AB7668"/>
    <w:rsid w:val="00AC217D"/>
    <w:rsid w:val="00AC3BE1"/>
    <w:rsid w:val="00AC3E11"/>
    <w:rsid w:val="00AD0877"/>
    <w:rsid w:val="00AD2833"/>
    <w:rsid w:val="00AD4FC8"/>
    <w:rsid w:val="00AD6A5B"/>
    <w:rsid w:val="00AE042B"/>
    <w:rsid w:val="00AE106A"/>
    <w:rsid w:val="00AE160D"/>
    <w:rsid w:val="00AE2FAA"/>
    <w:rsid w:val="00AE443E"/>
    <w:rsid w:val="00AE518A"/>
    <w:rsid w:val="00AF56C7"/>
    <w:rsid w:val="00AF693A"/>
    <w:rsid w:val="00AF73FC"/>
    <w:rsid w:val="00B01099"/>
    <w:rsid w:val="00B010B2"/>
    <w:rsid w:val="00B02E38"/>
    <w:rsid w:val="00B03195"/>
    <w:rsid w:val="00B039A2"/>
    <w:rsid w:val="00B03D3C"/>
    <w:rsid w:val="00B10C09"/>
    <w:rsid w:val="00B1110A"/>
    <w:rsid w:val="00B16C6F"/>
    <w:rsid w:val="00B174D5"/>
    <w:rsid w:val="00B177AF"/>
    <w:rsid w:val="00B226B5"/>
    <w:rsid w:val="00B22F76"/>
    <w:rsid w:val="00B26434"/>
    <w:rsid w:val="00B305A5"/>
    <w:rsid w:val="00B31B42"/>
    <w:rsid w:val="00B31C94"/>
    <w:rsid w:val="00B36DB8"/>
    <w:rsid w:val="00B372F7"/>
    <w:rsid w:val="00B4254B"/>
    <w:rsid w:val="00B471CA"/>
    <w:rsid w:val="00B50A13"/>
    <w:rsid w:val="00B641C3"/>
    <w:rsid w:val="00B64AF5"/>
    <w:rsid w:val="00B76F0A"/>
    <w:rsid w:val="00B82C44"/>
    <w:rsid w:val="00B85FCA"/>
    <w:rsid w:val="00B90F1C"/>
    <w:rsid w:val="00B92FAC"/>
    <w:rsid w:val="00B93CD3"/>
    <w:rsid w:val="00B95FB8"/>
    <w:rsid w:val="00BA12B4"/>
    <w:rsid w:val="00BA6A12"/>
    <w:rsid w:val="00BB1F2F"/>
    <w:rsid w:val="00BB6051"/>
    <w:rsid w:val="00BB69B6"/>
    <w:rsid w:val="00BB7057"/>
    <w:rsid w:val="00BB7843"/>
    <w:rsid w:val="00BC5629"/>
    <w:rsid w:val="00BC7009"/>
    <w:rsid w:val="00BC79F0"/>
    <w:rsid w:val="00BD0CFB"/>
    <w:rsid w:val="00BD3F96"/>
    <w:rsid w:val="00BD641C"/>
    <w:rsid w:val="00BE08D2"/>
    <w:rsid w:val="00BE240A"/>
    <w:rsid w:val="00BE3BD0"/>
    <w:rsid w:val="00BE4EF4"/>
    <w:rsid w:val="00BE6B3B"/>
    <w:rsid w:val="00BF3290"/>
    <w:rsid w:val="00BF4262"/>
    <w:rsid w:val="00BF4E3A"/>
    <w:rsid w:val="00BF58AA"/>
    <w:rsid w:val="00C036E8"/>
    <w:rsid w:val="00C049BE"/>
    <w:rsid w:val="00C06B5F"/>
    <w:rsid w:val="00C06BE2"/>
    <w:rsid w:val="00C06D69"/>
    <w:rsid w:val="00C14CED"/>
    <w:rsid w:val="00C155C6"/>
    <w:rsid w:val="00C1640C"/>
    <w:rsid w:val="00C16992"/>
    <w:rsid w:val="00C226F1"/>
    <w:rsid w:val="00C277D8"/>
    <w:rsid w:val="00C32B59"/>
    <w:rsid w:val="00C3455D"/>
    <w:rsid w:val="00C34B4A"/>
    <w:rsid w:val="00C36159"/>
    <w:rsid w:val="00C36654"/>
    <w:rsid w:val="00C36B17"/>
    <w:rsid w:val="00C36EAD"/>
    <w:rsid w:val="00C45534"/>
    <w:rsid w:val="00C45975"/>
    <w:rsid w:val="00C468AC"/>
    <w:rsid w:val="00C5223E"/>
    <w:rsid w:val="00C563F6"/>
    <w:rsid w:val="00C56DBA"/>
    <w:rsid w:val="00C57D88"/>
    <w:rsid w:val="00C61B9F"/>
    <w:rsid w:val="00C63EF5"/>
    <w:rsid w:val="00C70D35"/>
    <w:rsid w:val="00C71279"/>
    <w:rsid w:val="00C71395"/>
    <w:rsid w:val="00C730A3"/>
    <w:rsid w:val="00C77849"/>
    <w:rsid w:val="00C80C6F"/>
    <w:rsid w:val="00C85586"/>
    <w:rsid w:val="00C92372"/>
    <w:rsid w:val="00C93926"/>
    <w:rsid w:val="00C94FFC"/>
    <w:rsid w:val="00C966B6"/>
    <w:rsid w:val="00CA0865"/>
    <w:rsid w:val="00CA0A3A"/>
    <w:rsid w:val="00CA1D33"/>
    <w:rsid w:val="00CA4007"/>
    <w:rsid w:val="00CB2135"/>
    <w:rsid w:val="00CB2CD9"/>
    <w:rsid w:val="00CB52AD"/>
    <w:rsid w:val="00CC0F19"/>
    <w:rsid w:val="00CC0F85"/>
    <w:rsid w:val="00CC49C2"/>
    <w:rsid w:val="00CC50E3"/>
    <w:rsid w:val="00CD0632"/>
    <w:rsid w:val="00CD0803"/>
    <w:rsid w:val="00CD4B2A"/>
    <w:rsid w:val="00CD58F7"/>
    <w:rsid w:val="00CE01FB"/>
    <w:rsid w:val="00CE0987"/>
    <w:rsid w:val="00CE2083"/>
    <w:rsid w:val="00CE54B1"/>
    <w:rsid w:val="00CE63AF"/>
    <w:rsid w:val="00CF66E7"/>
    <w:rsid w:val="00D046C9"/>
    <w:rsid w:val="00D11A8E"/>
    <w:rsid w:val="00D145A9"/>
    <w:rsid w:val="00D15846"/>
    <w:rsid w:val="00D20C6A"/>
    <w:rsid w:val="00D231BE"/>
    <w:rsid w:val="00D31AF6"/>
    <w:rsid w:val="00D33367"/>
    <w:rsid w:val="00D351C9"/>
    <w:rsid w:val="00D36080"/>
    <w:rsid w:val="00D36759"/>
    <w:rsid w:val="00D44626"/>
    <w:rsid w:val="00D468C4"/>
    <w:rsid w:val="00D47139"/>
    <w:rsid w:val="00D4794A"/>
    <w:rsid w:val="00D47B52"/>
    <w:rsid w:val="00D50FE3"/>
    <w:rsid w:val="00D53261"/>
    <w:rsid w:val="00D60BE4"/>
    <w:rsid w:val="00D6253C"/>
    <w:rsid w:val="00D65493"/>
    <w:rsid w:val="00D663BE"/>
    <w:rsid w:val="00D664FF"/>
    <w:rsid w:val="00D70C80"/>
    <w:rsid w:val="00D71CC6"/>
    <w:rsid w:val="00D771A8"/>
    <w:rsid w:val="00D85A6E"/>
    <w:rsid w:val="00D9195B"/>
    <w:rsid w:val="00DA22C2"/>
    <w:rsid w:val="00DA5B49"/>
    <w:rsid w:val="00DB1016"/>
    <w:rsid w:val="00DB2C52"/>
    <w:rsid w:val="00DB4916"/>
    <w:rsid w:val="00DB494A"/>
    <w:rsid w:val="00DC13C4"/>
    <w:rsid w:val="00DC19D9"/>
    <w:rsid w:val="00DC2F6F"/>
    <w:rsid w:val="00DC37AE"/>
    <w:rsid w:val="00DD05AD"/>
    <w:rsid w:val="00DD15E1"/>
    <w:rsid w:val="00DD4270"/>
    <w:rsid w:val="00DD4347"/>
    <w:rsid w:val="00DE2B2C"/>
    <w:rsid w:val="00DE4105"/>
    <w:rsid w:val="00DF0115"/>
    <w:rsid w:val="00DF10E8"/>
    <w:rsid w:val="00DF51EA"/>
    <w:rsid w:val="00DF6744"/>
    <w:rsid w:val="00E01CD6"/>
    <w:rsid w:val="00E030E8"/>
    <w:rsid w:val="00E03967"/>
    <w:rsid w:val="00E052CE"/>
    <w:rsid w:val="00E06808"/>
    <w:rsid w:val="00E1418A"/>
    <w:rsid w:val="00E1680A"/>
    <w:rsid w:val="00E20B86"/>
    <w:rsid w:val="00E2104A"/>
    <w:rsid w:val="00E257F5"/>
    <w:rsid w:val="00E25D28"/>
    <w:rsid w:val="00E26636"/>
    <w:rsid w:val="00E3709C"/>
    <w:rsid w:val="00E37AEE"/>
    <w:rsid w:val="00E4151D"/>
    <w:rsid w:val="00E433A0"/>
    <w:rsid w:val="00E514CF"/>
    <w:rsid w:val="00E51638"/>
    <w:rsid w:val="00E5219A"/>
    <w:rsid w:val="00E53CFB"/>
    <w:rsid w:val="00E54A61"/>
    <w:rsid w:val="00E54BC9"/>
    <w:rsid w:val="00E55EC4"/>
    <w:rsid w:val="00E6002E"/>
    <w:rsid w:val="00E6215D"/>
    <w:rsid w:val="00E62374"/>
    <w:rsid w:val="00E64892"/>
    <w:rsid w:val="00E65C89"/>
    <w:rsid w:val="00E67100"/>
    <w:rsid w:val="00E71DEE"/>
    <w:rsid w:val="00E72A5A"/>
    <w:rsid w:val="00E73F35"/>
    <w:rsid w:val="00E8137D"/>
    <w:rsid w:val="00E8169E"/>
    <w:rsid w:val="00E87152"/>
    <w:rsid w:val="00E9234C"/>
    <w:rsid w:val="00E92EA3"/>
    <w:rsid w:val="00E935B7"/>
    <w:rsid w:val="00E96501"/>
    <w:rsid w:val="00EA2F72"/>
    <w:rsid w:val="00EA67D8"/>
    <w:rsid w:val="00EA7278"/>
    <w:rsid w:val="00EB0999"/>
    <w:rsid w:val="00EB2230"/>
    <w:rsid w:val="00EB544A"/>
    <w:rsid w:val="00EB5CFD"/>
    <w:rsid w:val="00EB7D3C"/>
    <w:rsid w:val="00EC52E9"/>
    <w:rsid w:val="00ED057D"/>
    <w:rsid w:val="00ED1985"/>
    <w:rsid w:val="00ED1C4D"/>
    <w:rsid w:val="00ED3865"/>
    <w:rsid w:val="00ED6ED4"/>
    <w:rsid w:val="00ED7FFA"/>
    <w:rsid w:val="00EE51C0"/>
    <w:rsid w:val="00EE6BF3"/>
    <w:rsid w:val="00EF6C95"/>
    <w:rsid w:val="00F01493"/>
    <w:rsid w:val="00F02D6A"/>
    <w:rsid w:val="00F04F68"/>
    <w:rsid w:val="00F07E67"/>
    <w:rsid w:val="00F11CFE"/>
    <w:rsid w:val="00F20E86"/>
    <w:rsid w:val="00F217CC"/>
    <w:rsid w:val="00F229BA"/>
    <w:rsid w:val="00F22C80"/>
    <w:rsid w:val="00F233C0"/>
    <w:rsid w:val="00F23F10"/>
    <w:rsid w:val="00F255FF"/>
    <w:rsid w:val="00F25BB3"/>
    <w:rsid w:val="00F269F7"/>
    <w:rsid w:val="00F2735D"/>
    <w:rsid w:val="00F35842"/>
    <w:rsid w:val="00F46F09"/>
    <w:rsid w:val="00F54F38"/>
    <w:rsid w:val="00F61782"/>
    <w:rsid w:val="00F61853"/>
    <w:rsid w:val="00F61E44"/>
    <w:rsid w:val="00F70844"/>
    <w:rsid w:val="00F76E8B"/>
    <w:rsid w:val="00F822BF"/>
    <w:rsid w:val="00F853DA"/>
    <w:rsid w:val="00F85995"/>
    <w:rsid w:val="00F90C5E"/>
    <w:rsid w:val="00F939DE"/>
    <w:rsid w:val="00F95A1D"/>
    <w:rsid w:val="00F9678B"/>
    <w:rsid w:val="00FA2D7B"/>
    <w:rsid w:val="00FA41DB"/>
    <w:rsid w:val="00FB1DED"/>
    <w:rsid w:val="00FB2AEC"/>
    <w:rsid w:val="00FB2E12"/>
    <w:rsid w:val="00FB408A"/>
    <w:rsid w:val="00FB4A7C"/>
    <w:rsid w:val="00FB4FC4"/>
    <w:rsid w:val="00FB5E4E"/>
    <w:rsid w:val="00FD4EBE"/>
    <w:rsid w:val="00FE249F"/>
    <w:rsid w:val="00FE3770"/>
    <w:rsid w:val="00FE5FD7"/>
    <w:rsid w:val="00FF119A"/>
    <w:rsid w:val="00FF200B"/>
    <w:rsid w:val="00FF567A"/>
    <w:rsid w:val="00FF5BF3"/>
    <w:rsid w:val="00FF68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1B77"/>
  <w15:docId w15:val="{02925403-71C2-447E-BE09-C5EF6C40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0379"/>
    <w:pPr>
      <w:suppressAutoHyphens/>
    </w:pPr>
    <w:rPr>
      <w:sz w:val="24"/>
      <w:szCs w:val="24"/>
      <w:lang w:val="tr-TR" w:eastAsia="ar-SA"/>
    </w:rPr>
  </w:style>
  <w:style w:type="paragraph" w:styleId="Heading1">
    <w:name w:val="heading 1"/>
    <w:basedOn w:val="Normal"/>
    <w:next w:val="Normal"/>
    <w:link w:val="Heading1Char"/>
    <w:uiPriority w:val="99"/>
    <w:qFormat/>
    <w:rsid w:val="00A132BE"/>
    <w:pPr>
      <w:keepNext/>
      <w:jc w:val="center"/>
      <w:outlineLvl w:val="0"/>
    </w:pPr>
    <w:rPr>
      <w:rFonts w:ascii="Arial" w:hAnsi="Arial"/>
      <w:b/>
      <w:iCs/>
      <w:sz w:val="18"/>
      <w:szCs w:val="18"/>
    </w:rPr>
  </w:style>
  <w:style w:type="paragraph" w:styleId="Heading2">
    <w:name w:val="heading 2"/>
    <w:basedOn w:val="Normal"/>
    <w:next w:val="Normal"/>
    <w:link w:val="Heading2Char"/>
    <w:uiPriority w:val="99"/>
    <w:qFormat/>
    <w:rsid w:val="00A132BE"/>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132BE"/>
    <w:rPr>
      <w:rFonts w:ascii="Arial" w:hAnsi="Arial"/>
      <w:b/>
      <w:iCs/>
      <w:sz w:val="18"/>
      <w:szCs w:val="18"/>
      <w:lang w:val="tr-TR" w:eastAsia="ar-SA"/>
    </w:rPr>
  </w:style>
  <w:style w:type="character" w:customStyle="1" w:styleId="Heading2Char">
    <w:name w:val="Heading 2 Char"/>
    <w:link w:val="Heading2"/>
    <w:uiPriority w:val="99"/>
    <w:rsid w:val="00A132BE"/>
    <w:rPr>
      <w:rFonts w:ascii="Arial" w:hAnsi="Arial" w:cs="Arial"/>
      <w:b/>
      <w:bCs/>
      <w:i/>
      <w:iCs/>
      <w:sz w:val="28"/>
      <w:szCs w:val="28"/>
      <w:lang w:val="en-GB" w:eastAsia="ar-SA"/>
    </w:rPr>
  </w:style>
  <w:style w:type="character" w:customStyle="1" w:styleId="Heading3Char">
    <w:name w:val="Heading 3 Char"/>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qFormat/>
    <w:rsid w:val="00A132BE"/>
    <w:rPr>
      <w:b/>
      <w:bCs/>
    </w:rPr>
  </w:style>
  <w:style w:type="character" w:styleId="Emphasis">
    <w:name w:val="Emphasis"/>
    <w:uiPriority w:val="20"/>
    <w:qFormat/>
    <w:rsid w:val="00A132BE"/>
    <w:rPr>
      <w:i/>
      <w:iCs/>
    </w:rPr>
  </w:style>
  <w:style w:type="character" w:styleId="FootnoteReference">
    <w:name w:val="footnote reference"/>
    <w:uiPriority w:val="99"/>
    <w:semiHidden/>
    <w:rsid w:val="00640379"/>
    <w:rPr>
      <w:vertAlign w:val="superscript"/>
    </w:rPr>
  </w:style>
  <w:style w:type="paragraph" w:styleId="FootnoteText">
    <w:name w:val="footnote text"/>
    <w:basedOn w:val="Normal"/>
    <w:link w:val="FootnoteTextChar"/>
    <w:uiPriority w:val="99"/>
    <w:semiHidden/>
    <w:rsid w:val="00640379"/>
    <w:rPr>
      <w:sz w:val="20"/>
      <w:szCs w:val="20"/>
    </w:rPr>
  </w:style>
  <w:style w:type="character" w:customStyle="1" w:styleId="FootnoteTextChar">
    <w:name w:val="Footnote Text Char"/>
    <w:link w:val="FootnoteText"/>
    <w:uiPriority w:val="99"/>
    <w:semiHidden/>
    <w:rsid w:val="00640379"/>
    <w:rPr>
      <w:lang w:eastAsia="ar-SA"/>
    </w:rPr>
  </w:style>
  <w:style w:type="paragraph" w:styleId="Footer">
    <w:name w:val="footer"/>
    <w:basedOn w:val="Normal"/>
    <w:link w:val="FooterChar"/>
    <w:uiPriority w:val="99"/>
    <w:rsid w:val="00640379"/>
    <w:pPr>
      <w:tabs>
        <w:tab w:val="center" w:pos="4536"/>
        <w:tab w:val="right" w:pos="9072"/>
      </w:tabs>
    </w:pPr>
  </w:style>
  <w:style w:type="character" w:customStyle="1" w:styleId="FooterChar">
    <w:name w:val="Footer Char"/>
    <w:link w:val="Footer"/>
    <w:uiPriority w:val="99"/>
    <w:rsid w:val="00640379"/>
    <w:rPr>
      <w:sz w:val="24"/>
      <w:szCs w:val="24"/>
      <w:lang w:eastAsia="ar-SA"/>
    </w:rPr>
  </w:style>
  <w:style w:type="character" w:styleId="PageNumber">
    <w:name w:val="page number"/>
    <w:basedOn w:val="DefaultParagraphFont"/>
    <w:uiPriority w:val="99"/>
    <w:rsid w:val="00640379"/>
  </w:style>
  <w:style w:type="paragraph" w:styleId="BalloonText">
    <w:name w:val="Balloon Text"/>
    <w:basedOn w:val="Normal"/>
    <w:link w:val="BalloonTextChar"/>
    <w:uiPriority w:val="99"/>
    <w:semiHidden/>
    <w:unhideWhenUsed/>
    <w:rsid w:val="00EB0999"/>
    <w:rPr>
      <w:rFonts w:ascii="Tahoma" w:hAnsi="Tahoma"/>
      <w:sz w:val="16"/>
      <w:szCs w:val="16"/>
    </w:rPr>
  </w:style>
  <w:style w:type="character" w:customStyle="1" w:styleId="BalloonTextChar">
    <w:name w:val="Balloon Text Char"/>
    <w:link w:val="BalloonText"/>
    <w:uiPriority w:val="99"/>
    <w:semiHidden/>
    <w:rsid w:val="00EB0999"/>
    <w:rPr>
      <w:rFonts w:ascii="Tahoma" w:hAnsi="Tahoma" w:cs="Tahoma"/>
      <w:sz w:val="16"/>
      <w:szCs w:val="16"/>
      <w:lang w:eastAsia="ar-SA"/>
    </w:rPr>
  </w:style>
  <w:style w:type="table" w:styleId="TableGrid">
    <w:name w:val="Table Grid"/>
    <w:basedOn w:val="TableNormal"/>
    <w:uiPriority w:val="59"/>
    <w:rsid w:val="002A00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191B"/>
    <w:rPr>
      <w:sz w:val="16"/>
      <w:szCs w:val="16"/>
    </w:rPr>
  </w:style>
  <w:style w:type="paragraph" w:styleId="CommentText">
    <w:name w:val="annotation text"/>
    <w:basedOn w:val="Normal"/>
    <w:link w:val="CommentTextChar"/>
    <w:uiPriority w:val="99"/>
    <w:semiHidden/>
    <w:unhideWhenUsed/>
    <w:rsid w:val="0084191B"/>
    <w:rPr>
      <w:sz w:val="20"/>
      <w:szCs w:val="20"/>
    </w:rPr>
  </w:style>
  <w:style w:type="character" w:customStyle="1" w:styleId="CommentTextChar">
    <w:name w:val="Comment Text Char"/>
    <w:link w:val="CommentText"/>
    <w:uiPriority w:val="99"/>
    <w:semiHidden/>
    <w:rsid w:val="0084191B"/>
    <w:rPr>
      <w:lang w:eastAsia="ar-SA"/>
    </w:rPr>
  </w:style>
  <w:style w:type="paragraph" w:styleId="CommentSubject">
    <w:name w:val="annotation subject"/>
    <w:basedOn w:val="CommentText"/>
    <w:next w:val="CommentText"/>
    <w:link w:val="CommentSubjectChar"/>
    <w:uiPriority w:val="99"/>
    <w:semiHidden/>
    <w:unhideWhenUsed/>
    <w:rsid w:val="0084191B"/>
    <w:rPr>
      <w:b/>
      <w:bCs/>
    </w:rPr>
  </w:style>
  <w:style w:type="character" w:customStyle="1" w:styleId="CommentSubjectChar">
    <w:name w:val="Comment Subject Char"/>
    <w:link w:val="CommentSubject"/>
    <w:uiPriority w:val="99"/>
    <w:semiHidden/>
    <w:rsid w:val="0084191B"/>
    <w:rPr>
      <w:b/>
      <w:bCs/>
      <w:lang w:eastAsia="ar-SA"/>
    </w:rPr>
  </w:style>
  <w:style w:type="paragraph" w:styleId="Header">
    <w:name w:val="header"/>
    <w:basedOn w:val="Normal"/>
    <w:link w:val="HeaderChar"/>
    <w:uiPriority w:val="99"/>
    <w:unhideWhenUsed/>
    <w:rsid w:val="005011D8"/>
    <w:pPr>
      <w:tabs>
        <w:tab w:val="center" w:pos="4536"/>
        <w:tab w:val="right" w:pos="9072"/>
      </w:tabs>
    </w:pPr>
  </w:style>
  <w:style w:type="character" w:customStyle="1" w:styleId="HeaderChar">
    <w:name w:val="Header Char"/>
    <w:link w:val="Header"/>
    <w:uiPriority w:val="99"/>
    <w:rsid w:val="005011D8"/>
    <w:rPr>
      <w:sz w:val="24"/>
      <w:szCs w:val="24"/>
      <w:lang w:eastAsia="ar-SA"/>
    </w:rPr>
  </w:style>
  <w:style w:type="paragraph" w:styleId="EndnoteText">
    <w:name w:val="endnote text"/>
    <w:basedOn w:val="Normal"/>
    <w:link w:val="EndnoteTextChar"/>
    <w:uiPriority w:val="99"/>
    <w:semiHidden/>
    <w:unhideWhenUsed/>
    <w:rsid w:val="00222F0B"/>
    <w:rPr>
      <w:sz w:val="20"/>
      <w:szCs w:val="20"/>
    </w:rPr>
  </w:style>
  <w:style w:type="character" w:customStyle="1" w:styleId="EndnoteTextChar">
    <w:name w:val="Endnote Text Char"/>
    <w:basedOn w:val="DefaultParagraphFont"/>
    <w:link w:val="EndnoteText"/>
    <w:uiPriority w:val="99"/>
    <w:semiHidden/>
    <w:rsid w:val="00222F0B"/>
    <w:rPr>
      <w:lang w:val="tr-TR" w:eastAsia="ar-SA"/>
    </w:rPr>
  </w:style>
  <w:style w:type="character" w:styleId="EndnoteReference">
    <w:name w:val="endnote reference"/>
    <w:basedOn w:val="DefaultParagraphFont"/>
    <w:uiPriority w:val="99"/>
    <w:semiHidden/>
    <w:unhideWhenUsed/>
    <w:rsid w:val="00222F0B"/>
    <w:rPr>
      <w:vertAlign w:val="superscript"/>
    </w:rPr>
  </w:style>
  <w:style w:type="paragraph" w:styleId="ListParagraph">
    <w:name w:val="List Paragraph"/>
    <w:basedOn w:val="Normal"/>
    <w:uiPriority w:val="34"/>
    <w:qFormat/>
    <w:rsid w:val="001A6364"/>
    <w:pPr>
      <w:ind w:left="720"/>
      <w:contextualSpacing/>
    </w:pPr>
  </w:style>
  <w:style w:type="character" w:styleId="Hyperlink">
    <w:name w:val="Hyperlink"/>
    <w:basedOn w:val="DefaultParagraphFont"/>
    <w:uiPriority w:val="99"/>
    <w:unhideWhenUsed/>
    <w:rsid w:val="001A6364"/>
    <w:rPr>
      <w:color w:val="0000FF" w:themeColor="hyperlink"/>
      <w:u w:val="single"/>
    </w:rPr>
  </w:style>
  <w:style w:type="paragraph" w:styleId="NormalWeb">
    <w:name w:val="Normal (Web)"/>
    <w:basedOn w:val="Normal"/>
    <w:uiPriority w:val="99"/>
    <w:semiHidden/>
    <w:unhideWhenUsed/>
    <w:rsid w:val="00562D23"/>
    <w:pPr>
      <w:suppressAutoHyphens w:val="0"/>
      <w:spacing w:before="100" w:beforeAutospacing="1" w:after="100" w:afterAutospacing="1"/>
    </w:pPr>
    <w:rPr>
      <w:rFonts w:eastAsiaTheme="minorEastAsia"/>
      <w:lang w:eastAsia="tr-TR"/>
    </w:rPr>
  </w:style>
  <w:style w:type="character" w:styleId="PlaceholderText">
    <w:name w:val="Placeholder Text"/>
    <w:basedOn w:val="DefaultParagraphFont"/>
    <w:uiPriority w:val="99"/>
    <w:semiHidden/>
    <w:rsid w:val="001E4A24"/>
    <w:rPr>
      <w:color w:val="808080"/>
    </w:rPr>
  </w:style>
  <w:style w:type="character" w:customStyle="1" w:styleId="Mention1">
    <w:name w:val="Mention1"/>
    <w:basedOn w:val="DefaultParagraphFont"/>
    <w:uiPriority w:val="99"/>
    <w:semiHidden/>
    <w:unhideWhenUsed/>
    <w:rsid w:val="00A65E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1085">
      <w:bodyDiv w:val="1"/>
      <w:marLeft w:val="0"/>
      <w:marRight w:val="0"/>
      <w:marTop w:val="0"/>
      <w:marBottom w:val="0"/>
      <w:divBdr>
        <w:top w:val="none" w:sz="0" w:space="0" w:color="auto"/>
        <w:left w:val="none" w:sz="0" w:space="0" w:color="auto"/>
        <w:bottom w:val="none" w:sz="0" w:space="0" w:color="auto"/>
        <w:right w:val="none" w:sz="0" w:space="0" w:color="auto"/>
      </w:divBdr>
    </w:div>
    <w:div w:id="143859789">
      <w:bodyDiv w:val="1"/>
      <w:marLeft w:val="0"/>
      <w:marRight w:val="0"/>
      <w:marTop w:val="0"/>
      <w:marBottom w:val="0"/>
      <w:divBdr>
        <w:top w:val="none" w:sz="0" w:space="0" w:color="auto"/>
        <w:left w:val="none" w:sz="0" w:space="0" w:color="auto"/>
        <w:bottom w:val="none" w:sz="0" w:space="0" w:color="auto"/>
        <w:right w:val="none" w:sz="0" w:space="0" w:color="auto"/>
      </w:divBdr>
    </w:div>
    <w:div w:id="160707282">
      <w:bodyDiv w:val="1"/>
      <w:marLeft w:val="0"/>
      <w:marRight w:val="0"/>
      <w:marTop w:val="0"/>
      <w:marBottom w:val="0"/>
      <w:divBdr>
        <w:top w:val="none" w:sz="0" w:space="0" w:color="auto"/>
        <w:left w:val="none" w:sz="0" w:space="0" w:color="auto"/>
        <w:bottom w:val="none" w:sz="0" w:space="0" w:color="auto"/>
        <w:right w:val="none" w:sz="0" w:space="0" w:color="auto"/>
      </w:divBdr>
    </w:div>
    <w:div w:id="166485511">
      <w:bodyDiv w:val="1"/>
      <w:marLeft w:val="0"/>
      <w:marRight w:val="0"/>
      <w:marTop w:val="0"/>
      <w:marBottom w:val="0"/>
      <w:divBdr>
        <w:top w:val="none" w:sz="0" w:space="0" w:color="auto"/>
        <w:left w:val="none" w:sz="0" w:space="0" w:color="auto"/>
        <w:bottom w:val="none" w:sz="0" w:space="0" w:color="auto"/>
        <w:right w:val="none" w:sz="0" w:space="0" w:color="auto"/>
      </w:divBdr>
    </w:div>
    <w:div w:id="171729738">
      <w:bodyDiv w:val="1"/>
      <w:marLeft w:val="0"/>
      <w:marRight w:val="0"/>
      <w:marTop w:val="0"/>
      <w:marBottom w:val="0"/>
      <w:divBdr>
        <w:top w:val="none" w:sz="0" w:space="0" w:color="auto"/>
        <w:left w:val="none" w:sz="0" w:space="0" w:color="auto"/>
        <w:bottom w:val="none" w:sz="0" w:space="0" w:color="auto"/>
        <w:right w:val="none" w:sz="0" w:space="0" w:color="auto"/>
      </w:divBdr>
    </w:div>
    <w:div w:id="287202934">
      <w:bodyDiv w:val="1"/>
      <w:marLeft w:val="0"/>
      <w:marRight w:val="0"/>
      <w:marTop w:val="0"/>
      <w:marBottom w:val="0"/>
      <w:divBdr>
        <w:top w:val="none" w:sz="0" w:space="0" w:color="auto"/>
        <w:left w:val="none" w:sz="0" w:space="0" w:color="auto"/>
        <w:bottom w:val="none" w:sz="0" w:space="0" w:color="auto"/>
        <w:right w:val="none" w:sz="0" w:space="0" w:color="auto"/>
      </w:divBdr>
    </w:div>
    <w:div w:id="328367946">
      <w:bodyDiv w:val="1"/>
      <w:marLeft w:val="0"/>
      <w:marRight w:val="0"/>
      <w:marTop w:val="0"/>
      <w:marBottom w:val="0"/>
      <w:divBdr>
        <w:top w:val="none" w:sz="0" w:space="0" w:color="auto"/>
        <w:left w:val="none" w:sz="0" w:space="0" w:color="auto"/>
        <w:bottom w:val="none" w:sz="0" w:space="0" w:color="auto"/>
        <w:right w:val="none" w:sz="0" w:space="0" w:color="auto"/>
      </w:divBdr>
    </w:div>
    <w:div w:id="386682911">
      <w:bodyDiv w:val="1"/>
      <w:marLeft w:val="0"/>
      <w:marRight w:val="0"/>
      <w:marTop w:val="0"/>
      <w:marBottom w:val="0"/>
      <w:divBdr>
        <w:top w:val="none" w:sz="0" w:space="0" w:color="auto"/>
        <w:left w:val="none" w:sz="0" w:space="0" w:color="auto"/>
        <w:bottom w:val="none" w:sz="0" w:space="0" w:color="auto"/>
        <w:right w:val="none" w:sz="0" w:space="0" w:color="auto"/>
      </w:divBdr>
    </w:div>
    <w:div w:id="574782380">
      <w:bodyDiv w:val="1"/>
      <w:marLeft w:val="0"/>
      <w:marRight w:val="0"/>
      <w:marTop w:val="0"/>
      <w:marBottom w:val="0"/>
      <w:divBdr>
        <w:top w:val="none" w:sz="0" w:space="0" w:color="auto"/>
        <w:left w:val="none" w:sz="0" w:space="0" w:color="auto"/>
        <w:bottom w:val="none" w:sz="0" w:space="0" w:color="auto"/>
        <w:right w:val="none" w:sz="0" w:space="0" w:color="auto"/>
      </w:divBdr>
    </w:div>
    <w:div w:id="686249772">
      <w:bodyDiv w:val="1"/>
      <w:marLeft w:val="0"/>
      <w:marRight w:val="0"/>
      <w:marTop w:val="0"/>
      <w:marBottom w:val="0"/>
      <w:divBdr>
        <w:top w:val="none" w:sz="0" w:space="0" w:color="auto"/>
        <w:left w:val="none" w:sz="0" w:space="0" w:color="auto"/>
        <w:bottom w:val="none" w:sz="0" w:space="0" w:color="auto"/>
        <w:right w:val="none" w:sz="0" w:space="0" w:color="auto"/>
      </w:divBdr>
    </w:div>
    <w:div w:id="782459435">
      <w:bodyDiv w:val="1"/>
      <w:marLeft w:val="0"/>
      <w:marRight w:val="0"/>
      <w:marTop w:val="0"/>
      <w:marBottom w:val="0"/>
      <w:divBdr>
        <w:top w:val="none" w:sz="0" w:space="0" w:color="auto"/>
        <w:left w:val="none" w:sz="0" w:space="0" w:color="auto"/>
        <w:bottom w:val="none" w:sz="0" w:space="0" w:color="auto"/>
        <w:right w:val="none" w:sz="0" w:space="0" w:color="auto"/>
      </w:divBdr>
    </w:div>
    <w:div w:id="888146431">
      <w:bodyDiv w:val="1"/>
      <w:marLeft w:val="0"/>
      <w:marRight w:val="0"/>
      <w:marTop w:val="0"/>
      <w:marBottom w:val="0"/>
      <w:divBdr>
        <w:top w:val="none" w:sz="0" w:space="0" w:color="auto"/>
        <w:left w:val="none" w:sz="0" w:space="0" w:color="auto"/>
        <w:bottom w:val="none" w:sz="0" w:space="0" w:color="auto"/>
        <w:right w:val="none" w:sz="0" w:space="0" w:color="auto"/>
      </w:divBdr>
    </w:div>
    <w:div w:id="929236498">
      <w:bodyDiv w:val="1"/>
      <w:marLeft w:val="0"/>
      <w:marRight w:val="0"/>
      <w:marTop w:val="0"/>
      <w:marBottom w:val="0"/>
      <w:divBdr>
        <w:top w:val="none" w:sz="0" w:space="0" w:color="auto"/>
        <w:left w:val="none" w:sz="0" w:space="0" w:color="auto"/>
        <w:bottom w:val="none" w:sz="0" w:space="0" w:color="auto"/>
        <w:right w:val="none" w:sz="0" w:space="0" w:color="auto"/>
      </w:divBdr>
    </w:div>
    <w:div w:id="1115366550">
      <w:bodyDiv w:val="1"/>
      <w:marLeft w:val="0"/>
      <w:marRight w:val="0"/>
      <w:marTop w:val="0"/>
      <w:marBottom w:val="0"/>
      <w:divBdr>
        <w:top w:val="none" w:sz="0" w:space="0" w:color="auto"/>
        <w:left w:val="none" w:sz="0" w:space="0" w:color="auto"/>
        <w:bottom w:val="none" w:sz="0" w:space="0" w:color="auto"/>
        <w:right w:val="none" w:sz="0" w:space="0" w:color="auto"/>
      </w:divBdr>
    </w:div>
    <w:div w:id="1121339265">
      <w:bodyDiv w:val="1"/>
      <w:marLeft w:val="0"/>
      <w:marRight w:val="0"/>
      <w:marTop w:val="0"/>
      <w:marBottom w:val="0"/>
      <w:divBdr>
        <w:top w:val="none" w:sz="0" w:space="0" w:color="auto"/>
        <w:left w:val="none" w:sz="0" w:space="0" w:color="auto"/>
        <w:bottom w:val="none" w:sz="0" w:space="0" w:color="auto"/>
        <w:right w:val="none" w:sz="0" w:space="0" w:color="auto"/>
      </w:divBdr>
    </w:div>
    <w:div w:id="1121727680">
      <w:bodyDiv w:val="1"/>
      <w:marLeft w:val="0"/>
      <w:marRight w:val="0"/>
      <w:marTop w:val="0"/>
      <w:marBottom w:val="0"/>
      <w:divBdr>
        <w:top w:val="none" w:sz="0" w:space="0" w:color="auto"/>
        <w:left w:val="none" w:sz="0" w:space="0" w:color="auto"/>
        <w:bottom w:val="none" w:sz="0" w:space="0" w:color="auto"/>
        <w:right w:val="none" w:sz="0" w:space="0" w:color="auto"/>
      </w:divBdr>
    </w:div>
    <w:div w:id="1156727256">
      <w:bodyDiv w:val="1"/>
      <w:marLeft w:val="0"/>
      <w:marRight w:val="0"/>
      <w:marTop w:val="0"/>
      <w:marBottom w:val="0"/>
      <w:divBdr>
        <w:top w:val="none" w:sz="0" w:space="0" w:color="auto"/>
        <w:left w:val="none" w:sz="0" w:space="0" w:color="auto"/>
        <w:bottom w:val="none" w:sz="0" w:space="0" w:color="auto"/>
        <w:right w:val="none" w:sz="0" w:space="0" w:color="auto"/>
      </w:divBdr>
    </w:div>
    <w:div w:id="1163207572">
      <w:bodyDiv w:val="1"/>
      <w:marLeft w:val="0"/>
      <w:marRight w:val="0"/>
      <w:marTop w:val="0"/>
      <w:marBottom w:val="0"/>
      <w:divBdr>
        <w:top w:val="none" w:sz="0" w:space="0" w:color="auto"/>
        <w:left w:val="none" w:sz="0" w:space="0" w:color="auto"/>
        <w:bottom w:val="none" w:sz="0" w:space="0" w:color="auto"/>
        <w:right w:val="none" w:sz="0" w:space="0" w:color="auto"/>
      </w:divBdr>
    </w:div>
    <w:div w:id="1170680961">
      <w:bodyDiv w:val="1"/>
      <w:marLeft w:val="0"/>
      <w:marRight w:val="0"/>
      <w:marTop w:val="0"/>
      <w:marBottom w:val="0"/>
      <w:divBdr>
        <w:top w:val="none" w:sz="0" w:space="0" w:color="auto"/>
        <w:left w:val="none" w:sz="0" w:space="0" w:color="auto"/>
        <w:bottom w:val="none" w:sz="0" w:space="0" w:color="auto"/>
        <w:right w:val="none" w:sz="0" w:space="0" w:color="auto"/>
      </w:divBdr>
    </w:div>
    <w:div w:id="1198735835">
      <w:bodyDiv w:val="1"/>
      <w:marLeft w:val="0"/>
      <w:marRight w:val="0"/>
      <w:marTop w:val="0"/>
      <w:marBottom w:val="0"/>
      <w:divBdr>
        <w:top w:val="none" w:sz="0" w:space="0" w:color="auto"/>
        <w:left w:val="none" w:sz="0" w:space="0" w:color="auto"/>
        <w:bottom w:val="none" w:sz="0" w:space="0" w:color="auto"/>
        <w:right w:val="none" w:sz="0" w:space="0" w:color="auto"/>
      </w:divBdr>
    </w:div>
    <w:div w:id="1206528503">
      <w:bodyDiv w:val="1"/>
      <w:marLeft w:val="0"/>
      <w:marRight w:val="0"/>
      <w:marTop w:val="0"/>
      <w:marBottom w:val="0"/>
      <w:divBdr>
        <w:top w:val="none" w:sz="0" w:space="0" w:color="auto"/>
        <w:left w:val="none" w:sz="0" w:space="0" w:color="auto"/>
        <w:bottom w:val="none" w:sz="0" w:space="0" w:color="auto"/>
        <w:right w:val="none" w:sz="0" w:space="0" w:color="auto"/>
      </w:divBdr>
    </w:div>
    <w:div w:id="1282616707">
      <w:bodyDiv w:val="1"/>
      <w:marLeft w:val="0"/>
      <w:marRight w:val="0"/>
      <w:marTop w:val="0"/>
      <w:marBottom w:val="0"/>
      <w:divBdr>
        <w:top w:val="none" w:sz="0" w:space="0" w:color="auto"/>
        <w:left w:val="none" w:sz="0" w:space="0" w:color="auto"/>
        <w:bottom w:val="none" w:sz="0" w:space="0" w:color="auto"/>
        <w:right w:val="none" w:sz="0" w:space="0" w:color="auto"/>
      </w:divBdr>
    </w:div>
    <w:div w:id="1287270228">
      <w:bodyDiv w:val="1"/>
      <w:marLeft w:val="0"/>
      <w:marRight w:val="0"/>
      <w:marTop w:val="0"/>
      <w:marBottom w:val="0"/>
      <w:divBdr>
        <w:top w:val="none" w:sz="0" w:space="0" w:color="auto"/>
        <w:left w:val="none" w:sz="0" w:space="0" w:color="auto"/>
        <w:bottom w:val="none" w:sz="0" w:space="0" w:color="auto"/>
        <w:right w:val="none" w:sz="0" w:space="0" w:color="auto"/>
      </w:divBdr>
    </w:div>
    <w:div w:id="1341078595">
      <w:bodyDiv w:val="1"/>
      <w:marLeft w:val="0"/>
      <w:marRight w:val="0"/>
      <w:marTop w:val="0"/>
      <w:marBottom w:val="0"/>
      <w:divBdr>
        <w:top w:val="none" w:sz="0" w:space="0" w:color="auto"/>
        <w:left w:val="none" w:sz="0" w:space="0" w:color="auto"/>
        <w:bottom w:val="none" w:sz="0" w:space="0" w:color="auto"/>
        <w:right w:val="none" w:sz="0" w:space="0" w:color="auto"/>
      </w:divBdr>
    </w:div>
    <w:div w:id="1357271098">
      <w:bodyDiv w:val="1"/>
      <w:marLeft w:val="0"/>
      <w:marRight w:val="0"/>
      <w:marTop w:val="0"/>
      <w:marBottom w:val="0"/>
      <w:divBdr>
        <w:top w:val="none" w:sz="0" w:space="0" w:color="auto"/>
        <w:left w:val="none" w:sz="0" w:space="0" w:color="auto"/>
        <w:bottom w:val="none" w:sz="0" w:space="0" w:color="auto"/>
        <w:right w:val="none" w:sz="0" w:space="0" w:color="auto"/>
      </w:divBdr>
    </w:div>
    <w:div w:id="1533298811">
      <w:bodyDiv w:val="1"/>
      <w:marLeft w:val="0"/>
      <w:marRight w:val="0"/>
      <w:marTop w:val="0"/>
      <w:marBottom w:val="0"/>
      <w:divBdr>
        <w:top w:val="none" w:sz="0" w:space="0" w:color="auto"/>
        <w:left w:val="none" w:sz="0" w:space="0" w:color="auto"/>
        <w:bottom w:val="none" w:sz="0" w:space="0" w:color="auto"/>
        <w:right w:val="none" w:sz="0" w:space="0" w:color="auto"/>
      </w:divBdr>
    </w:div>
    <w:div w:id="1555392667">
      <w:bodyDiv w:val="1"/>
      <w:marLeft w:val="0"/>
      <w:marRight w:val="0"/>
      <w:marTop w:val="0"/>
      <w:marBottom w:val="0"/>
      <w:divBdr>
        <w:top w:val="none" w:sz="0" w:space="0" w:color="auto"/>
        <w:left w:val="none" w:sz="0" w:space="0" w:color="auto"/>
        <w:bottom w:val="none" w:sz="0" w:space="0" w:color="auto"/>
        <w:right w:val="none" w:sz="0" w:space="0" w:color="auto"/>
      </w:divBdr>
    </w:div>
    <w:div w:id="1591740748">
      <w:bodyDiv w:val="1"/>
      <w:marLeft w:val="0"/>
      <w:marRight w:val="0"/>
      <w:marTop w:val="0"/>
      <w:marBottom w:val="0"/>
      <w:divBdr>
        <w:top w:val="none" w:sz="0" w:space="0" w:color="auto"/>
        <w:left w:val="none" w:sz="0" w:space="0" w:color="auto"/>
        <w:bottom w:val="none" w:sz="0" w:space="0" w:color="auto"/>
        <w:right w:val="none" w:sz="0" w:space="0" w:color="auto"/>
      </w:divBdr>
    </w:div>
    <w:div w:id="1723629337">
      <w:bodyDiv w:val="1"/>
      <w:marLeft w:val="0"/>
      <w:marRight w:val="0"/>
      <w:marTop w:val="0"/>
      <w:marBottom w:val="0"/>
      <w:divBdr>
        <w:top w:val="none" w:sz="0" w:space="0" w:color="auto"/>
        <w:left w:val="none" w:sz="0" w:space="0" w:color="auto"/>
        <w:bottom w:val="none" w:sz="0" w:space="0" w:color="auto"/>
        <w:right w:val="none" w:sz="0" w:space="0" w:color="auto"/>
      </w:divBdr>
    </w:div>
    <w:div w:id="1751535059">
      <w:bodyDiv w:val="1"/>
      <w:marLeft w:val="0"/>
      <w:marRight w:val="0"/>
      <w:marTop w:val="0"/>
      <w:marBottom w:val="0"/>
      <w:divBdr>
        <w:top w:val="none" w:sz="0" w:space="0" w:color="auto"/>
        <w:left w:val="none" w:sz="0" w:space="0" w:color="auto"/>
        <w:bottom w:val="none" w:sz="0" w:space="0" w:color="auto"/>
        <w:right w:val="none" w:sz="0" w:space="0" w:color="auto"/>
      </w:divBdr>
    </w:div>
    <w:div w:id="1836189357">
      <w:bodyDiv w:val="1"/>
      <w:marLeft w:val="0"/>
      <w:marRight w:val="0"/>
      <w:marTop w:val="0"/>
      <w:marBottom w:val="0"/>
      <w:divBdr>
        <w:top w:val="none" w:sz="0" w:space="0" w:color="auto"/>
        <w:left w:val="none" w:sz="0" w:space="0" w:color="auto"/>
        <w:bottom w:val="none" w:sz="0" w:space="0" w:color="auto"/>
        <w:right w:val="none" w:sz="0" w:space="0" w:color="auto"/>
      </w:divBdr>
    </w:div>
    <w:div w:id="1936089845">
      <w:bodyDiv w:val="1"/>
      <w:marLeft w:val="0"/>
      <w:marRight w:val="0"/>
      <w:marTop w:val="0"/>
      <w:marBottom w:val="0"/>
      <w:divBdr>
        <w:top w:val="none" w:sz="0" w:space="0" w:color="auto"/>
        <w:left w:val="none" w:sz="0" w:space="0" w:color="auto"/>
        <w:bottom w:val="none" w:sz="0" w:space="0" w:color="auto"/>
        <w:right w:val="none" w:sz="0" w:space="0" w:color="auto"/>
      </w:divBdr>
    </w:div>
    <w:div w:id="20830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f.org/external/pubs/ft/qn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ozan.bakis@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9CA0-DC44-4464-9882-BE1AE7EA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3146</Words>
  <Characters>16896</Characters>
  <Application>Microsoft Office Word</Application>
  <DocSecurity>0</DocSecurity>
  <Lines>1689</Lines>
  <Paragraphs>1541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Ozan BAKIS</cp:lastModifiedBy>
  <cp:revision>13</cp:revision>
  <cp:lastPrinted>2017-09-14T07:18:00Z</cp:lastPrinted>
  <dcterms:created xsi:type="dcterms:W3CDTF">2017-09-13T14:40:00Z</dcterms:created>
  <dcterms:modified xsi:type="dcterms:W3CDTF">2017-09-14T15:39:00Z</dcterms:modified>
</cp:coreProperties>
</file>