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79" w:rsidRPr="000E48AE" w:rsidRDefault="00B733A9" w:rsidP="00640379">
      <w:pPr>
        <w:rPr>
          <w:rFonts w:asciiTheme="majorHAnsi" w:hAnsiTheme="majorHAnsi" w:cstheme="minorHAnsi"/>
        </w:rPr>
      </w:pPr>
      <w:r>
        <w:rPr>
          <w:rFonts w:asciiTheme="majorHAnsi" w:hAnsiTheme="majorHAnsi" w:cstheme="minorHAnsi"/>
          <w:noProof/>
          <w:lang w:eastAsia="tr-TR"/>
        </w:rPr>
        <mc:AlternateContent>
          <mc:Choice Requires="wps">
            <w:drawing>
              <wp:anchor distT="0" distB="0" distL="114935" distR="114935" simplePos="0" relativeHeight="251652608" behindDoc="0" locked="0" layoutInCell="1" allowOverlap="1">
                <wp:simplePos x="0" y="0"/>
                <wp:positionH relativeFrom="column">
                  <wp:posOffset>1813560</wp:posOffset>
                </wp:positionH>
                <wp:positionV relativeFrom="paragraph">
                  <wp:posOffset>-384810</wp:posOffset>
                </wp:positionV>
                <wp:extent cx="3963670" cy="568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274" w:rsidRPr="008813B7" w:rsidRDefault="00885274" w:rsidP="00640379">
                            <w:pPr>
                              <w:pStyle w:val="Heading1"/>
                              <w:jc w:val="left"/>
                              <w:rPr>
                                <w:color w:val="FF0000"/>
                                <w:sz w:val="52"/>
                                <w:szCs w:val="52"/>
                              </w:rPr>
                            </w:pPr>
                            <w:r w:rsidRPr="00526178">
                              <w:rPr>
                                <w:sz w:val="52"/>
                                <w:szCs w:val="52"/>
                              </w:rPr>
                              <w:t>Ara</w:t>
                            </w:r>
                            <w:r>
                              <w:rPr>
                                <w:sz w:val="52"/>
                                <w:szCs w:val="52"/>
                              </w:rPr>
                              <w:t>ştırma Notu 17/216</w:t>
                            </w:r>
                          </w:p>
                          <w:p w:rsidR="00885274" w:rsidRPr="00526178" w:rsidRDefault="00885274" w:rsidP="00640379">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X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PgQxFeLAgAAHAUAAA4AAAAAAAAAAAAAAAAALgIAAGRycy9lMm9Eb2MueG1sUEsBAi0AFAAG&#10;AAgAAAAhANyHOzvdAAAACgEAAA8AAAAAAAAAAAAAAAAA5QQAAGRycy9kb3ducmV2LnhtbFBLBQYA&#10;AAAABAAEAPMAAADvBQAAAAA=&#10;" stroked="f">
                <v:fill opacity="0"/>
                <v:textbox inset="0,0,0,0">
                  <w:txbxContent>
                    <w:p w:rsidR="00885274" w:rsidRPr="008813B7" w:rsidRDefault="00885274" w:rsidP="00640379">
                      <w:pPr>
                        <w:pStyle w:val="Heading1"/>
                        <w:jc w:val="left"/>
                        <w:rPr>
                          <w:color w:val="FF0000"/>
                          <w:sz w:val="52"/>
                          <w:szCs w:val="52"/>
                        </w:rPr>
                      </w:pPr>
                      <w:r w:rsidRPr="00526178">
                        <w:rPr>
                          <w:sz w:val="52"/>
                          <w:szCs w:val="52"/>
                        </w:rPr>
                        <w:t>Ara</w:t>
                      </w:r>
                      <w:r>
                        <w:rPr>
                          <w:sz w:val="52"/>
                          <w:szCs w:val="52"/>
                        </w:rPr>
                        <w:t>ştırma Notu 17/216</w:t>
                      </w:r>
                    </w:p>
                    <w:p w:rsidR="00885274" w:rsidRPr="00526178" w:rsidRDefault="00885274" w:rsidP="00640379">
                      <w:pPr>
                        <w:pStyle w:val="Heading2"/>
                        <w:numPr>
                          <w:ilvl w:val="1"/>
                          <w:numId w:val="1"/>
                        </w:numPr>
                        <w:rPr>
                          <w:b w:val="0"/>
                          <w:bCs w:val="0"/>
                          <w:i w:val="0"/>
                          <w:iCs w:val="0"/>
                        </w:rPr>
                      </w:pPr>
                    </w:p>
                  </w:txbxContent>
                </v:textbox>
              </v:shape>
            </w:pict>
          </mc:Fallback>
        </mc:AlternateContent>
      </w:r>
      <w:r w:rsidR="00FF567A" w:rsidRPr="000E48AE">
        <w:rPr>
          <w:rFonts w:asciiTheme="majorHAnsi" w:hAnsiTheme="majorHAnsi" w:cstheme="minorHAnsi"/>
          <w:noProof/>
          <w:lang w:eastAsia="tr-TR"/>
        </w:rPr>
        <w:drawing>
          <wp:anchor distT="0" distB="0" distL="114300" distR="114300" simplePos="0" relativeHeight="251665920"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0E48AE" w:rsidRDefault="00B733A9" w:rsidP="00640379">
      <w:pPr>
        <w:rPr>
          <w:rFonts w:asciiTheme="majorHAnsi" w:hAnsiTheme="majorHAnsi" w:cstheme="minorHAnsi"/>
        </w:rPr>
      </w:pPr>
      <w:r>
        <w:rPr>
          <w:rFonts w:asciiTheme="majorHAnsi" w:hAnsiTheme="majorHAnsi" w:cstheme="minorHAnsi"/>
          <w:noProof/>
          <w:lang w:eastAsia="tr-TR"/>
        </w:rPr>
        <mc:AlternateContent>
          <mc:Choice Requires="wps">
            <w:drawing>
              <wp:anchor distT="0" distB="0" distL="114935" distR="114935" simplePos="0" relativeHeight="251656704" behindDoc="0" locked="0" layoutInCell="1" allowOverlap="1">
                <wp:simplePos x="0" y="0"/>
                <wp:positionH relativeFrom="column">
                  <wp:posOffset>5173980</wp:posOffset>
                </wp:positionH>
                <wp:positionV relativeFrom="paragraph">
                  <wp:posOffset>60960</wp:posOffset>
                </wp:positionV>
                <wp:extent cx="1374140" cy="434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34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274" w:rsidRDefault="00885274" w:rsidP="00640379">
                            <w:pPr>
                              <w:pStyle w:val="Heading3"/>
                              <w:rPr>
                                <w:color w:val="FFFFFF"/>
                                <w:sz w:val="22"/>
                                <w:szCs w:val="22"/>
                                <w:lang w:val="tr-TR"/>
                              </w:rPr>
                            </w:pPr>
                            <w:r>
                              <w:rPr>
                                <w:color w:val="FFFFFF"/>
                                <w:sz w:val="22"/>
                                <w:szCs w:val="22"/>
                              </w:rPr>
                              <w:t xml:space="preserve">  06 </w:t>
                            </w:r>
                            <w:proofErr w:type="spellStart"/>
                            <w:r>
                              <w:rPr>
                                <w:color w:val="FFFFFF"/>
                                <w:sz w:val="22"/>
                                <w:szCs w:val="22"/>
                              </w:rPr>
                              <w:t>Eylül</w:t>
                            </w:r>
                            <w:proofErr w:type="spellEnd"/>
                            <w:r>
                              <w:rPr>
                                <w:color w:val="FFFFFF"/>
                                <w:sz w:val="22"/>
                                <w:szCs w:val="22"/>
                              </w:rPr>
                              <w:t xml:space="preserve"> 2017</w:t>
                            </w:r>
                          </w:p>
                          <w:p w:rsidR="00885274" w:rsidRDefault="00885274" w:rsidP="00640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7.4pt;margin-top:4.8pt;width:108.2pt;height:34.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" stroked="f">
                <v:fill opacity="0"/>
                <v:textbox inset="0,0,0,0">
                  <w:txbxContent>
                    <w:p w:rsidR="00885274" w:rsidRDefault="00885274" w:rsidP="00640379">
                      <w:pPr>
                        <w:pStyle w:val="Heading3"/>
                        <w:rPr>
                          <w:color w:val="FFFFFF"/>
                          <w:sz w:val="22"/>
                          <w:szCs w:val="22"/>
                          <w:lang w:val="tr-TR"/>
                        </w:rPr>
                      </w:pPr>
                      <w:r>
                        <w:rPr>
                          <w:color w:val="FFFFFF"/>
                          <w:sz w:val="22"/>
                          <w:szCs w:val="22"/>
                        </w:rPr>
                        <w:t xml:space="preserve">  06 </w:t>
                      </w:r>
                      <w:proofErr w:type="spellStart"/>
                      <w:r>
                        <w:rPr>
                          <w:color w:val="FFFFFF"/>
                          <w:sz w:val="22"/>
                          <w:szCs w:val="22"/>
                        </w:rPr>
                        <w:t>Eylül</w:t>
                      </w:r>
                      <w:proofErr w:type="spellEnd"/>
                      <w:r>
                        <w:rPr>
                          <w:color w:val="FFFFFF"/>
                          <w:sz w:val="22"/>
                          <w:szCs w:val="22"/>
                        </w:rPr>
                        <w:t xml:space="preserve"> 2017</w:t>
                      </w:r>
                    </w:p>
                    <w:p w:rsidR="00885274" w:rsidRDefault="00885274" w:rsidP="00640379"/>
                  </w:txbxContent>
                </v:textbox>
              </v:shape>
            </w:pict>
          </mc:Fallback>
        </mc:AlternateContent>
      </w:r>
    </w:p>
    <w:p w:rsidR="00640379" w:rsidRPr="000E48AE" w:rsidRDefault="00640379" w:rsidP="00640379">
      <w:pPr>
        <w:rPr>
          <w:rFonts w:asciiTheme="majorHAnsi" w:hAnsiTheme="majorHAnsi" w:cstheme="minorHAnsi"/>
        </w:rPr>
      </w:pPr>
    </w:p>
    <w:p w:rsidR="00640379" w:rsidRPr="000E48AE" w:rsidRDefault="00640379" w:rsidP="00640379">
      <w:pPr>
        <w:rPr>
          <w:rFonts w:asciiTheme="majorHAnsi" w:hAnsiTheme="majorHAnsi" w:cstheme="minorHAnsi"/>
        </w:rPr>
      </w:pPr>
    </w:p>
    <w:p w:rsidR="00640379" w:rsidRPr="000E48AE" w:rsidRDefault="00640379" w:rsidP="00640379">
      <w:pPr>
        <w:rPr>
          <w:rFonts w:asciiTheme="majorHAnsi" w:hAnsiTheme="majorHAnsi" w:cstheme="minorHAnsi"/>
          <w:b/>
          <w:bCs/>
        </w:rPr>
      </w:pPr>
    </w:p>
    <w:p w:rsidR="00294320" w:rsidRPr="000E48AE" w:rsidRDefault="006A7467" w:rsidP="00294320">
      <w:pPr>
        <w:jc w:val="center"/>
        <w:rPr>
          <w:rFonts w:asciiTheme="majorHAnsi" w:hAnsiTheme="majorHAnsi" w:cstheme="minorHAnsi"/>
          <w:b/>
        </w:rPr>
      </w:pPr>
      <w:r w:rsidRPr="000E48AE">
        <w:rPr>
          <w:rFonts w:asciiTheme="majorHAnsi" w:hAnsiTheme="majorHAnsi" w:cstheme="minorHAnsi"/>
          <w:b/>
        </w:rPr>
        <w:t>YENİ GSYH SERİLERİ İLE SEKTÖREL EMEK VERİMLİLİĞİ</w:t>
      </w:r>
    </w:p>
    <w:p w:rsidR="00AE2FAA" w:rsidRPr="000E48AE" w:rsidRDefault="00AE2FAA" w:rsidP="00AE2FAA">
      <w:pPr>
        <w:jc w:val="center"/>
        <w:rPr>
          <w:rFonts w:asciiTheme="majorHAnsi" w:hAnsiTheme="majorHAnsi" w:cstheme="minorHAnsi"/>
          <w:b/>
        </w:rPr>
      </w:pPr>
    </w:p>
    <w:p w:rsidR="0040699C" w:rsidRPr="000E48AE" w:rsidRDefault="00AE2FAA" w:rsidP="004009D4">
      <w:pPr>
        <w:jc w:val="center"/>
        <w:rPr>
          <w:rFonts w:asciiTheme="majorHAnsi" w:hAnsiTheme="majorHAnsi" w:cstheme="minorHAnsi"/>
          <w:b/>
        </w:rPr>
      </w:pPr>
      <w:r w:rsidRPr="000E48AE">
        <w:rPr>
          <w:rFonts w:asciiTheme="majorHAnsi" w:hAnsiTheme="majorHAnsi" w:cstheme="minorHAnsi"/>
          <w:b/>
        </w:rPr>
        <w:t>Seyfettin Gürsel</w:t>
      </w:r>
      <w:r w:rsidR="002408E1" w:rsidRPr="000E48AE">
        <w:rPr>
          <w:rStyle w:val="FootnoteReference"/>
          <w:rFonts w:asciiTheme="majorHAnsi" w:hAnsiTheme="majorHAnsi" w:cstheme="minorHAnsi"/>
          <w:b/>
        </w:rPr>
        <w:footnoteReference w:customMarkFollows="1" w:id="1"/>
        <w:sym w:font="Symbol" w:char="F02A"/>
      </w:r>
      <w:r w:rsidR="001A6364" w:rsidRPr="000E48AE">
        <w:rPr>
          <w:rFonts w:asciiTheme="majorHAnsi" w:hAnsiTheme="majorHAnsi" w:cstheme="minorHAnsi"/>
          <w:b/>
        </w:rPr>
        <w:t>, Ozan Bakış</w:t>
      </w:r>
      <w:r w:rsidR="002408E1" w:rsidRPr="000E48AE">
        <w:rPr>
          <w:rStyle w:val="FootnoteReference"/>
          <w:rFonts w:asciiTheme="majorHAnsi" w:hAnsiTheme="majorHAnsi" w:cstheme="minorHAnsi"/>
          <w:b/>
        </w:rPr>
        <w:footnoteReference w:customMarkFollows="1" w:id="2"/>
        <w:t>**</w:t>
      </w:r>
      <w:r w:rsidR="001A6364" w:rsidRPr="000E48AE">
        <w:rPr>
          <w:rFonts w:asciiTheme="majorHAnsi" w:hAnsiTheme="majorHAnsi" w:cstheme="minorHAnsi"/>
          <w:b/>
        </w:rPr>
        <w:t xml:space="preserve"> ve Selin Köksal</w:t>
      </w:r>
      <w:r w:rsidR="001A6364" w:rsidRPr="000E48AE">
        <w:rPr>
          <w:rStyle w:val="FootnoteReference"/>
          <w:rFonts w:asciiTheme="majorHAnsi" w:hAnsiTheme="majorHAnsi" w:cstheme="minorHAnsi"/>
          <w:b/>
        </w:rPr>
        <w:footnoteReference w:customMarkFollows="1" w:id="3"/>
        <w:t>***</w:t>
      </w:r>
    </w:p>
    <w:p w:rsidR="00AE2FAA" w:rsidRPr="000E48AE" w:rsidRDefault="00AE2FAA" w:rsidP="00AE2FAA">
      <w:pPr>
        <w:jc w:val="center"/>
        <w:rPr>
          <w:rFonts w:asciiTheme="majorHAnsi" w:hAnsiTheme="majorHAnsi" w:cstheme="minorHAnsi"/>
          <w:b/>
        </w:rPr>
      </w:pPr>
    </w:p>
    <w:p w:rsidR="00AE2FAA" w:rsidRPr="000E48AE" w:rsidRDefault="00AE2FAA" w:rsidP="00AE2FAA">
      <w:pPr>
        <w:jc w:val="center"/>
        <w:rPr>
          <w:rFonts w:asciiTheme="majorHAnsi" w:hAnsiTheme="majorHAnsi" w:cstheme="minorHAnsi"/>
          <w:b/>
        </w:rPr>
      </w:pPr>
      <w:r w:rsidRPr="000E48AE">
        <w:rPr>
          <w:rFonts w:asciiTheme="majorHAnsi" w:hAnsiTheme="majorHAnsi" w:cstheme="minorHAnsi"/>
          <w:b/>
        </w:rPr>
        <w:t>Yönetici Özeti</w:t>
      </w:r>
    </w:p>
    <w:p w:rsidR="00A8006A" w:rsidRPr="000E48AE" w:rsidRDefault="00A8006A" w:rsidP="00AE2FAA">
      <w:pPr>
        <w:jc w:val="center"/>
        <w:rPr>
          <w:rFonts w:asciiTheme="majorHAnsi" w:hAnsiTheme="majorHAnsi" w:cstheme="minorHAnsi"/>
          <w:b/>
        </w:rPr>
      </w:pPr>
    </w:p>
    <w:p w:rsidR="00A8006A" w:rsidRPr="000E48AE" w:rsidRDefault="00A8006A" w:rsidP="00AE2FAA">
      <w:pPr>
        <w:jc w:val="center"/>
        <w:rPr>
          <w:rFonts w:asciiTheme="majorHAnsi" w:hAnsiTheme="majorHAnsi" w:cstheme="minorHAnsi"/>
          <w:b/>
        </w:rPr>
      </w:pPr>
    </w:p>
    <w:p w:rsidR="00943F18" w:rsidRDefault="00175D54" w:rsidP="00E8031C">
      <w:pPr>
        <w:jc w:val="both"/>
        <w:rPr>
          <w:rFonts w:asciiTheme="majorHAnsi" w:hAnsiTheme="majorHAnsi" w:cstheme="minorHAnsi"/>
        </w:rPr>
      </w:pPr>
      <w:r>
        <w:rPr>
          <w:rFonts w:asciiTheme="majorHAnsi" w:hAnsiTheme="majorHAnsi" w:cstheme="minorHAnsi"/>
        </w:rPr>
        <w:t>Bu notta, g</w:t>
      </w:r>
      <w:r w:rsidRPr="00175D54">
        <w:rPr>
          <w:rFonts w:asciiTheme="majorHAnsi" w:hAnsiTheme="majorHAnsi" w:cstheme="minorHAnsi"/>
        </w:rPr>
        <w:t>ün</w:t>
      </w:r>
      <w:r>
        <w:rPr>
          <w:rFonts w:asciiTheme="majorHAnsi" w:hAnsiTheme="majorHAnsi" w:cstheme="minorHAnsi"/>
        </w:rPr>
        <w:t xml:space="preserve">cellenen milli gelir serileri ile tarım, sanayi, inşaat ve hizmetler sektörlerindeki emek verimliliğini </w:t>
      </w:r>
      <w:r w:rsidR="00724BD2">
        <w:rPr>
          <w:rFonts w:asciiTheme="majorHAnsi" w:hAnsiTheme="majorHAnsi" w:cstheme="minorHAnsi"/>
        </w:rPr>
        <w:t xml:space="preserve">2005(1)-2017(1) dönemi için </w:t>
      </w:r>
      <w:r>
        <w:rPr>
          <w:rFonts w:asciiTheme="majorHAnsi" w:hAnsiTheme="majorHAnsi" w:cstheme="minorHAnsi"/>
        </w:rPr>
        <w:t>inceliyoruz.</w:t>
      </w:r>
      <w:r w:rsidR="00724BD2">
        <w:rPr>
          <w:rFonts w:asciiTheme="majorHAnsi" w:hAnsiTheme="majorHAnsi" w:cstheme="minorHAnsi"/>
        </w:rPr>
        <w:t xml:space="preserve"> 3 alt dönem tespit ediyoruz.  </w:t>
      </w:r>
      <w:r>
        <w:rPr>
          <w:rFonts w:asciiTheme="majorHAnsi" w:hAnsiTheme="majorHAnsi" w:cstheme="minorHAnsi"/>
        </w:rPr>
        <w:t xml:space="preserve"> </w:t>
      </w:r>
    </w:p>
    <w:p w:rsidR="00943F18" w:rsidRDefault="00943F18" w:rsidP="00E8031C">
      <w:pPr>
        <w:jc w:val="both"/>
        <w:rPr>
          <w:rFonts w:asciiTheme="majorHAnsi" w:hAnsiTheme="majorHAnsi" w:cstheme="minorHAnsi"/>
        </w:rPr>
      </w:pPr>
      <w:r>
        <w:rPr>
          <w:rFonts w:asciiTheme="majorHAnsi" w:hAnsiTheme="majorHAnsi" w:cstheme="minorHAnsi"/>
        </w:rPr>
        <w:tab/>
        <w:t>i)</w:t>
      </w:r>
      <w:r w:rsidR="00175D54">
        <w:rPr>
          <w:rFonts w:asciiTheme="majorHAnsi" w:hAnsiTheme="majorHAnsi" w:cstheme="minorHAnsi"/>
        </w:rPr>
        <w:t xml:space="preserve"> </w:t>
      </w:r>
      <w:r w:rsidRPr="00943F18">
        <w:rPr>
          <w:rFonts w:asciiTheme="majorHAnsi" w:hAnsiTheme="majorHAnsi" w:cstheme="minorHAnsi"/>
        </w:rPr>
        <w:t>Yüksek büyüme - Yüksek veri</w:t>
      </w:r>
      <w:r>
        <w:rPr>
          <w:rFonts w:asciiTheme="majorHAnsi" w:hAnsiTheme="majorHAnsi" w:cstheme="minorHAnsi"/>
        </w:rPr>
        <w:t>mlilik artışı (2005(1)-2008(2)):</w:t>
      </w:r>
      <w:r w:rsidRPr="00943F18">
        <w:rPr>
          <w:rFonts w:asciiTheme="majorHAnsi" w:hAnsiTheme="majorHAnsi" w:cstheme="minorHAnsi"/>
        </w:rPr>
        <w:t xml:space="preserve"> </w:t>
      </w:r>
      <w:r w:rsidR="00110924">
        <w:rPr>
          <w:rFonts w:asciiTheme="majorHAnsi" w:hAnsiTheme="majorHAnsi" w:cstheme="minorHAnsi"/>
        </w:rPr>
        <w:t>T</w:t>
      </w:r>
      <w:r>
        <w:rPr>
          <w:rFonts w:asciiTheme="majorHAnsi" w:hAnsiTheme="majorHAnsi" w:cstheme="minorHAnsi"/>
        </w:rPr>
        <w:t>üm sektörlerde verimlilik artışları görülmekle birlikte inşaat ve tarımdaki artışlar özellikle dikkat çekicidir. Tarımdaki verimlilik artışının gerisinde istihdam azalması yatarken inşaat sektöründe hem istihdam artmış hem de çok yüksek GSYH artışları gözlenmiştir.</w:t>
      </w:r>
    </w:p>
    <w:p w:rsidR="00943F18" w:rsidRDefault="00943F18" w:rsidP="00E8031C">
      <w:pPr>
        <w:jc w:val="both"/>
        <w:rPr>
          <w:rFonts w:asciiTheme="majorHAnsi" w:hAnsiTheme="majorHAnsi" w:cstheme="minorHAnsi"/>
        </w:rPr>
      </w:pPr>
      <w:r>
        <w:rPr>
          <w:rFonts w:asciiTheme="majorHAnsi" w:hAnsiTheme="majorHAnsi" w:cstheme="minorHAnsi"/>
        </w:rPr>
        <w:tab/>
        <w:t xml:space="preserve">ii) </w:t>
      </w:r>
      <w:r w:rsidRPr="00943F18">
        <w:rPr>
          <w:rFonts w:asciiTheme="majorHAnsi" w:hAnsiTheme="majorHAnsi" w:cstheme="minorHAnsi"/>
        </w:rPr>
        <w:t>Krizden güçlü çıkış - Emek verimliliğ</w:t>
      </w:r>
      <w:r>
        <w:rPr>
          <w:rFonts w:asciiTheme="majorHAnsi" w:hAnsiTheme="majorHAnsi" w:cstheme="minorHAnsi"/>
        </w:rPr>
        <w:t>inde artış (2009(4)-2013(4)) :</w:t>
      </w:r>
      <w:r w:rsidRPr="00943F18">
        <w:rPr>
          <w:rFonts w:asciiTheme="majorHAnsi" w:hAnsiTheme="majorHAnsi" w:cstheme="minorHAnsi"/>
        </w:rPr>
        <w:t xml:space="preserve"> </w:t>
      </w:r>
      <w:r w:rsidR="00110924">
        <w:rPr>
          <w:rFonts w:asciiTheme="majorHAnsi" w:hAnsiTheme="majorHAnsi" w:cstheme="minorHAnsi"/>
        </w:rPr>
        <w:t>T</w:t>
      </w:r>
      <w:r>
        <w:rPr>
          <w:rFonts w:asciiTheme="majorHAnsi" w:hAnsiTheme="majorHAnsi" w:cstheme="minorHAnsi"/>
        </w:rPr>
        <w:t xml:space="preserve">üm sektörlerde verimlilik artışları gerçekleşmesine rağmen sanayi ve inşaat sektörleri öne çıkmaktadır. Her iki sektörde de </w:t>
      </w:r>
      <w:r w:rsidR="00110924">
        <w:rPr>
          <w:rFonts w:asciiTheme="majorHAnsi" w:hAnsiTheme="majorHAnsi" w:cstheme="minorHAnsi"/>
        </w:rPr>
        <w:t xml:space="preserve">istihdam ve üretim beraber artmış fakat GSYH artışları çok yüksek olduğu için verimlilik yüksek seyretmiştir. </w:t>
      </w:r>
    </w:p>
    <w:p w:rsidR="00110924" w:rsidRDefault="00943F18" w:rsidP="00E8031C">
      <w:pPr>
        <w:jc w:val="both"/>
        <w:rPr>
          <w:rFonts w:asciiTheme="majorHAnsi" w:hAnsiTheme="majorHAnsi" w:cstheme="minorHAnsi"/>
        </w:rPr>
      </w:pPr>
      <w:r>
        <w:rPr>
          <w:rFonts w:asciiTheme="majorHAnsi" w:hAnsiTheme="majorHAnsi" w:cstheme="minorHAnsi"/>
        </w:rPr>
        <w:tab/>
        <w:t xml:space="preserve">iii) </w:t>
      </w:r>
      <w:r w:rsidRPr="00943F18">
        <w:rPr>
          <w:rFonts w:asciiTheme="majorHAnsi" w:hAnsiTheme="majorHAnsi" w:cstheme="minorHAnsi"/>
        </w:rPr>
        <w:t>Devam eden büyüme – Emek verimliliği</w:t>
      </w:r>
      <w:r>
        <w:rPr>
          <w:rFonts w:asciiTheme="majorHAnsi" w:hAnsiTheme="majorHAnsi" w:cstheme="minorHAnsi"/>
        </w:rPr>
        <w:t>nde duraksama (2014(1)-2017(1)):</w:t>
      </w:r>
      <w:r w:rsidR="00175D54">
        <w:rPr>
          <w:rFonts w:asciiTheme="majorHAnsi" w:hAnsiTheme="majorHAnsi" w:cstheme="minorHAnsi"/>
        </w:rPr>
        <w:t xml:space="preserve"> </w:t>
      </w:r>
      <w:r w:rsidR="00110924">
        <w:rPr>
          <w:rFonts w:asciiTheme="majorHAnsi" w:hAnsiTheme="majorHAnsi" w:cstheme="minorHAnsi"/>
        </w:rPr>
        <w:t>Önceki dönemlere kıyasla  tüm sektörlerin verimlilik artışında bir yavaşlama olduğu görül</w:t>
      </w:r>
      <w:r w:rsidR="003473E2">
        <w:rPr>
          <w:rFonts w:asciiTheme="majorHAnsi" w:hAnsiTheme="majorHAnsi" w:cstheme="minorHAnsi"/>
        </w:rPr>
        <w:t>mektedir</w:t>
      </w:r>
      <w:r w:rsidR="00110924">
        <w:rPr>
          <w:rFonts w:asciiTheme="majorHAnsi" w:hAnsiTheme="majorHAnsi" w:cstheme="minorHAnsi"/>
        </w:rPr>
        <w:t>. Hizmetlerde ve tarımda verimlilik artışları neredeyse yok denecek kadar düşük iken sanayi sektörü en yüksek verimlilik artışının olduğu sektör olarak öne çık</w:t>
      </w:r>
      <w:r w:rsidR="003473E2">
        <w:rPr>
          <w:rFonts w:asciiTheme="majorHAnsi" w:hAnsiTheme="majorHAnsi" w:cstheme="minorHAnsi"/>
        </w:rPr>
        <w:t>maktadır</w:t>
      </w:r>
      <w:r w:rsidR="00110924">
        <w:rPr>
          <w:rFonts w:asciiTheme="majorHAnsi" w:hAnsiTheme="majorHAnsi" w:cstheme="minorHAnsi"/>
        </w:rPr>
        <w:t>. Bunun sebebi, hizmetler ve inşaatta istihdam ve GSYH büyümelerinin görece yüksek ve birbirine yakın oluşu, buna karşın sanayide</w:t>
      </w:r>
      <w:r w:rsidR="0055733F">
        <w:rPr>
          <w:rFonts w:asciiTheme="majorHAnsi" w:hAnsiTheme="majorHAnsi" w:cstheme="minorHAnsi"/>
        </w:rPr>
        <w:t xml:space="preserve"> yüksek</w:t>
      </w:r>
      <w:r w:rsidR="00110924">
        <w:rPr>
          <w:rFonts w:asciiTheme="majorHAnsi" w:hAnsiTheme="majorHAnsi" w:cstheme="minorHAnsi"/>
        </w:rPr>
        <w:t xml:space="preserve"> GSYH </w:t>
      </w:r>
      <w:r w:rsidR="0055733F">
        <w:rPr>
          <w:rFonts w:asciiTheme="majorHAnsi" w:hAnsiTheme="majorHAnsi" w:cstheme="minorHAnsi"/>
        </w:rPr>
        <w:t xml:space="preserve">büyümesine rağmen istihda artışının zayıf kalışıdır. </w:t>
      </w:r>
    </w:p>
    <w:p w:rsidR="00AE2FAA" w:rsidRPr="000E48AE" w:rsidRDefault="00AE2FAA" w:rsidP="00AE2FAA">
      <w:pPr>
        <w:jc w:val="center"/>
        <w:rPr>
          <w:rFonts w:asciiTheme="majorHAnsi" w:hAnsiTheme="majorHAnsi" w:cstheme="minorHAnsi"/>
          <w:b/>
        </w:rPr>
      </w:pPr>
    </w:p>
    <w:p w:rsidR="00A6448F" w:rsidRPr="001A17C8" w:rsidRDefault="00A6448F" w:rsidP="001A17C8">
      <w:pPr>
        <w:pStyle w:val="Heading3"/>
        <w:rPr>
          <w:rFonts w:asciiTheme="majorHAnsi" w:hAnsiTheme="majorHAnsi" w:cstheme="minorHAnsi"/>
          <w:sz w:val="24"/>
          <w:szCs w:val="24"/>
          <w:lang w:val="tr-TR"/>
        </w:rPr>
      </w:pPr>
      <w:r w:rsidRPr="000E48AE">
        <w:rPr>
          <w:rFonts w:asciiTheme="majorHAnsi" w:hAnsiTheme="majorHAnsi" w:cstheme="minorHAnsi"/>
          <w:sz w:val="24"/>
          <w:szCs w:val="24"/>
          <w:lang w:val="tr-TR"/>
        </w:rPr>
        <w:t>Giriş</w:t>
      </w:r>
    </w:p>
    <w:p w:rsidR="008C45A0" w:rsidRPr="000E48AE" w:rsidRDefault="006704A5" w:rsidP="00A6448F">
      <w:pPr>
        <w:spacing w:line="360" w:lineRule="auto"/>
        <w:jc w:val="both"/>
        <w:rPr>
          <w:rFonts w:asciiTheme="majorHAnsi" w:hAnsiTheme="majorHAnsi" w:cstheme="minorHAnsi"/>
        </w:rPr>
      </w:pPr>
      <w:r w:rsidRPr="000E48AE">
        <w:rPr>
          <w:rFonts w:asciiTheme="majorHAnsi" w:hAnsiTheme="majorHAnsi" w:cstheme="minorHAnsi"/>
        </w:rPr>
        <w:t>Aralık 2016’da TÜİK çok boyutlu milli gelir revizyonu çerçeves</w:t>
      </w:r>
      <w:r w:rsidR="00EF2941">
        <w:rPr>
          <w:rFonts w:asciiTheme="majorHAnsi" w:hAnsiTheme="majorHAnsi" w:cstheme="minorHAnsi"/>
        </w:rPr>
        <w:t>i</w:t>
      </w:r>
      <w:r w:rsidRPr="000E48AE">
        <w:rPr>
          <w:rFonts w:asciiTheme="majorHAnsi" w:hAnsiTheme="majorHAnsi" w:cstheme="minorHAnsi"/>
        </w:rPr>
        <w:t xml:space="preserve">nde GSYH büyüme oranlarını özellikle 2012-2016 dönemi için büyük ölçüde yukarı doğru revize ettiğinden kişi başı gelir artışlarının başlıca etkeni olan </w:t>
      </w:r>
      <w:r w:rsidR="0052221D">
        <w:rPr>
          <w:rFonts w:asciiTheme="majorHAnsi" w:hAnsiTheme="majorHAnsi" w:cstheme="minorHAnsi"/>
        </w:rPr>
        <w:t>emek</w:t>
      </w:r>
      <w:r w:rsidRPr="000E48AE">
        <w:rPr>
          <w:rFonts w:asciiTheme="majorHAnsi" w:hAnsiTheme="majorHAnsi" w:cstheme="minorHAnsi"/>
        </w:rPr>
        <w:t xml:space="preserve"> verimlil</w:t>
      </w:r>
      <w:r w:rsidR="00EF2941">
        <w:rPr>
          <w:rFonts w:asciiTheme="majorHAnsi" w:hAnsiTheme="majorHAnsi" w:cstheme="minorHAnsi"/>
        </w:rPr>
        <w:t>i</w:t>
      </w:r>
      <w:r w:rsidRPr="000E48AE">
        <w:rPr>
          <w:rFonts w:asciiTheme="majorHAnsi" w:hAnsiTheme="majorHAnsi" w:cstheme="minorHAnsi"/>
        </w:rPr>
        <w:t>ğinin</w:t>
      </w:r>
      <w:r w:rsidR="0052221D">
        <w:rPr>
          <w:rFonts w:asciiTheme="majorHAnsi" w:hAnsiTheme="majorHAnsi" w:cstheme="minorHAnsi"/>
        </w:rPr>
        <w:t xml:space="preserve"> (E</w:t>
      </w:r>
      <w:r w:rsidR="00EF2941">
        <w:rPr>
          <w:rFonts w:asciiTheme="majorHAnsi" w:hAnsiTheme="majorHAnsi" w:cstheme="minorHAnsi"/>
        </w:rPr>
        <w:t>V)</w:t>
      </w:r>
      <w:r w:rsidRPr="000E48AE">
        <w:rPr>
          <w:rFonts w:asciiTheme="majorHAnsi" w:hAnsiTheme="majorHAnsi" w:cstheme="minorHAnsi"/>
        </w:rPr>
        <w:t xml:space="preserve"> önceki seyrini (Betam Araştırma Notu 16/198) güncellemek gerekmişti. Bu gereği </w:t>
      </w:r>
      <w:r w:rsidR="00A6448F" w:rsidRPr="000E48AE">
        <w:rPr>
          <w:rFonts w:asciiTheme="majorHAnsi" w:hAnsiTheme="majorHAnsi" w:cstheme="minorHAnsi"/>
        </w:rPr>
        <w:t xml:space="preserve">3 Ağustos 2017 tarihli araştırma notumuzda (“Milli gelir bağlamında Orta Gelir Tuzağına yeniden bakış”, </w:t>
      </w:r>
      <w:r w:rsidR="00EF2941">
        <w:rPr>
          <w:rFonts w:asciiTheme="majorHAnsi" w:hAnsiTheme="majorHAnsi" w:cstheme="minorHAnsi"/>
        </w:rPr>
        <w:t xml:space="preserve">Betam Araştırma Notu </w:t>
      </w:r>
      <w:r w:rsidR="00A6448F" w:rsidRPr="000E48AE">
        <w:rPr>
          <w:rFonts w:asciiTheme="majorHAnsi" w:hAnsiTheme="majorHAnsi" w:cstheme="minorHAnsi"/>
        </w:rPr>
        <w:t xml:space="preserve">17/215) </w:t>
      </w:r>
      <w:r w:rsidR="00B3505B" w:rsidRPr="000E48AE">
        <w:rPr>
          <w:rFonts w:asciiTheme="majorHAnsi" w:hAnsiTheme="majorHAnsi" w:cstheme="minorHAnsi"/>
        </w:rPr>
        <w:t xml:space="preserve">yerine getirdik. </w:t>
      </w:r>
      <w:r w:rsidRPr="000E48AE">
        <w:rPr>
          <w:rFonts w:asciiTheme="majorHAnsi" w:hAnsiTheme="majorHAnsi" w:cstheme="minorHAnsi"/>
        </w:rPr>
        <w:t>Bu</w:t>
      </w:r>
      <w:r w:rsidR="00B3505B" w:rsidRPr="000E48AE">
        <w:rPr>
          <w:rFonts w:asciiTheme="majorHAnsi" w:hAnsiTheme="majorHAnsi" w:cstheme="minorHAnsi"/>
        </w:rPr>
        <w:t xml:space="preserve"> araştırma not</w:t>
      </w:r>
      <w:r w:rsidR="00B458E4">
        <w:rPr>
          <w:rFonts w:asciiTheme="majorHAnsi" w:hAnsiTheme="majorHAnsi" w:cstheme="minorHAnsi"/>
        </w:rPr>
        <w:t>u</w:t>
      </w:r>
      <w:r w:rsidR="00B3505B" w:rsidRPr="000E48AE">
        <w:rPr>
          <w:rFonts w:asciiTheme="majorHAnsi" w:hAnsiTheme="majorHAnsi" w:cstheme="minorHAnsi"/>
        </w:rPr>
        <w:t>muzda eski milli gelir verileriyle yapmış olduğumuz sektörel incelemeyi (</w:t>
      </w:r>
      <w:r w:rsidR="000E48AE" w:rsidRPr="000E48AE">
        <w:rPr>
          <w:rFonts w:asciiTheme="majorHAnsi" w:hAnsiTheme="majorHAnsi" w:cstheme="minorHAnsi"/>
        </w:rPr>
        <w:t xml:space="preserve">“Verimsizlik Tuzağının Sektörel Kaynakları”, </w:t>
      </w:r>
      <w:r w:rsidR="00B3505B" w:rsidRPr="000E48AE">
        <w:rPr>
          <w:rFonts w:asciiTheme="majorHAnsi" w:hAnsiTheme="majorHAnsi" w:cstheme="minorHAnsi"/>
        </w:rPr>
        <w:t>Betam Araştırma Notu</w:t>
      </w:r>
      <w:r w:rsidR="000E48AE" w:rsidRPr="000E48AE">
        <w:rPr>
          <w:rFonts w:asciiTheme="majorHAnsi" w:hAnsiTheme="majorHAnsi" w:cstheme="minorHAnsi"/>
        </w:rPr>
        <w:t xml:space="preserve"> 16/201</w:t>
      </w:r>
      <w:r w:rsidR="00B3505B" w:rsidRPr="000E48AE">
        <w:rPr>
          <w:rFonts w:asciiTheme="majorHAnsi" w:hAnsiTheme="majorHAnsi" w:cstheme="minorHAnsi"/>
        </w:rPr>
        <w:t xml:space="preserve">) güncelliyoruz. </w:t>
      </w:r>
    </w:p>
    <w:p w:rsidR="00C36B17" w:rsidRPr="000E48AE" w:rsidRDefault="008C45A0" w:rsidP="00C36B17">
      <w:pPr>
        <w:spacing w:line="360" w:lineRule="auto"/>
        <w:jc w:val="both"/>
        <w:rPr>
          <w:rFonts w:asciiTheme="majorHAnsi" w:hAnsiTheme="majorHAnsi" w:cstheme="minorHAnsi"/>
        </w:rPr>
      </w:pPr>
      <w:r w:rsidRPr="000E48AE">
        <w:rPr>
          <w:rFonts w:asciiTheme="majorHAnsi" w:hAnsiTheme="majorHAnsi" w:cstheme="minorHAnsi"/>
        </w:rPr>
        <w:lastRenderedPageBreak/>
        <w:t xml:space="preserve">Bu çerçevede </w:t>
      </w:r>
      <w:r w:rsidR="00252019" w:rsidRPr="000E48AE">
        <w:rPr>
          <w:rFonts w:asciiTheme="majorHAnsi" w:hAnsiTheme="majorHAnsi" w:cstheme="minorHAnsi"/>
        </w:rPr>
        <w:t xml:space="preserve">Tarım, Sanayi, İnşaat ve Hizmet sektörlerinde </w:t>
      </w:r>
      <w:r w:rsidR="00A6448F" w:rsidRPr="000E48AE">
        <w:rPr>
          <w:rFonts w:asciiTheme="majorHAnsi" w:hAnsiTheme="majorHAnsi" w:cstheme="minorHAnsi"/>
        </w:rPr>
        <w:t>2005(</w:t>
      </w:r>
      <w:r w:rsidR="00252019" w:rsidRPr="000E48AE">
        <w:rPr>
          <w:rFonts w:asciiTheme="majorHAnsi" w:hAnsiTheme="majorHAnsi" w:cstheme="minorHAnsi"/>
        </w:rPr>
        <w:t>1</w:t>
      </w:r>
      <w:r w:rsidR="00A6448F" w:rsidRPr="000E48AE">
        <w:rPr>
          <w:rFonts w:asciiTheme="majorHAnsi" w:hAnsiTheme="majorHAnsi" w:cstheme="minorHAnsi"/>
        </w:rPr>
        <w:t>)-2017(1) dönemin</w:t>
      </w:r>
      <w:r w:rsidRPr="000E48AE">
        <w:rPr>
          <w:rFonts w:asciiTheme="majorHAnsi" w:hAnsiTheme="majorHAnsi" w:cstheme="minorHAnsi"/>
        </w:rPr>
        <w:t xml:space="preserve">de </w:t>
      </w:r>
      <w:r w:rsidR="0052221D">
        <w:rPr>
          <w:rFonts w:asciiTheme="majorHAnsi" w:hAnsiTheme="majorHAnsi" w:cstheme="minorHAnsi"/>
        </w:rPr>
        <w:t>emek</w:t>
      </w:r>
      <w:r w:rsidRPr="000E48AE">
        <w:rPr>
          <w:rFonts w:asciiTheme="majorHAnsi" w:hAnsiTheme="majorHAnsi" w:cstheme="minorHAnsi"/>
        </w:rPr>
        <w:t xml:space="preserve"> verimliğinin (sektörel katma değer</w:t>
      </w:r>
      <w:r w:rsidR="00471CE8">
        <w:rPr>
          <w:rFonts w:asciiTheme="majorHAnsi" w:hAnsiTheme="majorHAnsi" w:cstheme="minorHAnsi"/>
        </w:rPr>
        <w:t>/</w:t>
      </w:r>
      <w:r w:rsidRPr="000E48AE">
        <w:rPr>
          <w:rFonts w:asciiTheme="majorHAnsi" w:hAnsiTheme="majorHAnsi" w:cstheme="minorHAnsi"/>
        </w:rPr>
        <w:t xml:space="preserve">istihdam) değişimlerini analiz ediyoruz. Bu dönemde </w:t>
      </w:r>
      <w:r w:rsidR="00DF6744" w:rsidRPr="000E48AE">
        <w:rPr>
          <w:rFonts w:asciiTheme="majorHAnsi" w:hAnsiTheme="majorHAnsi" w:cstheme="minorHAnsi"/>
        </w:rPr>
        <w:t xml:space="preserve">çeyreklik </w:t>
      </w:r>
      <w:r w:rsidR="002C151D" w:rsidRPr="000E48AE">
        <w:rPr>
          <w:rFonts w:asciiTheme="majorHAnsi" w:hAnsiTheme="majorHAnsi" w:cstheme="minorHAnsi"/>
        </w:rPr>
        <w:t>büyüme oranları</w:t>
      </w:r>
      <w:r w:rsidR="00DF6744" w:rsidRPr="000E48AE">
        <w:rPr>
          <w:rFonts w:asciiTheme="majorHAnsi" w:hAnsiTheme="majorHAnsi" w:cstheme="minorHAnsi"/>
        </w:rPr>
        <w:t xml:space="preserve"> hesaplanmış ve</w:t>
      </w:r>
      <w:r w:rsidR="0013293D">
        <w:rPr>
          <w:rFonts w:asciiTheme="majorHAnsi" w:hAnsiTheme="majorHAnsi" w:cstheme="minorHAnsi"/>
        </w:rPr>
        <w:t xml:space="preserve"> </w:t>
      </w:r>
      <w:r w:rsidR="00DF6744" w:rsidRPr="000E48AE">
        <w:rPr>
          <w:rFonts w:asciiTheme="majorHAnsi" w:hAnsiTheme="majorHAnsi" w:cstheme="minorHAnsi"/>
        </w:rPr>
        <w:t>GSYH ile istihdam arasındaki ilişki karşılaştırabilir hale ge</w:t>
      </w:r>
      <w:r w:rsidR="004B393D" w:rsidRPr="000E48AE">
        <w:rPr>
          <w:rFonts w:asciiTheme="majorHAnsi" w:hAnsiTheme="majorHAnsi" w:cstheme="minorHAnsi"/>
        </w:rPr>
        <w:t>tirilmiştir</w:t>
      </w:r>
      <w:r w:rsidR="00DF6744" w:rsidRPr="000E48AE">
        <w:rPr>
          <w:rFonts w:asciiTheme="majorHAnsi" w:hAnsiTheme="majorHAnsi" w:cstheme="minorHAnsi"/>
        </w:rPr>
        <w:t xml:space="preserve">. Böylece, </w:t>
      </w:r>
      <w:r w:rsidR="0052221D">
        <w:rPr>
          <w:rFonts w:asciiTheme="majorHAnsi" w:hAnsiTheme="majorHAnsi" w:cstheme="minorHAnsi"/>
        </w:rPr>
        <w:t>EV’nin</w:t>
      </w:r>
      <w:r w:rsidR="00807EC9" w:rsidRPr="000E48AE">
        <w:rPr>
          <w:rFonts w:asciiTheme="majorHAnsi" w:hAnsiTheme="majorHAnsi" w:cstheme="minorHAnsi"/>
        </w:rPr>
        <w:t xml:space="preserve"> farklı sektörlerde yıllar içerisinde nasıl bir trend izlediğini ve hangi sektörler</w:t>
      </w:r>
      <w:r w:rsidR="005B1133" w:rsidRPr="000E48AE">
        <w:rPr>
          <w:rFonts w:asciiTheme="majorHAnsi" w:hAnsiTheme="majorHAnsi" w:cstheme="minorHAnsi"/>
        </w:rPr>
        <w:t>in farklılaştığını</w:t>
      </w:r>
      <w:r w:rsidR="00807EC9" w:rsidRPr="000E48AE">
        <w:rPr>
          <w:rFonts w:asciiTheme="majorHAnsi" w:hAnsiTheme="majorHAnsi" w:cstheme="minorHAnsi"/>
        </w:rPr>
        <w:t xml:space="preserve"> gözlemle</w:t>
      </w:r>
      <w:r w:rsidR="00E7248F" w:rsidRPr="000E48AE">
        <w:rPr>
          <w:rFonts w:asciiTheme="majorHAnsi" w:hAnsiTheme="majorHAnsi" w:cstheme="minorHAnsi"/>
        </w:rPr>
        <w:t>mek mümkün olmuştur. Orta gelir tuzağı</w:t>
      </w:r>
      <w:r w:rsidR="00023DBB" w:rsidRPr="000E48AE">
        <w:rPr>
          <w:rFonts w:asciiTheme="majorHAnsi" w:hAnsiTheme="majorHAnsi" w:cstheme="minorHAnsi"/>
        </w:rPr>
        <w:t>na yeniden bakış başlıklı araştırma notumuz ile</w:t>
      </w:r>
      <w:r w:rsidR="00807EC9" w:rsidRPr="000E48AE">
        <w:rPr>
          <w:rFonts w:asciiTheme="majorHAnsi" w:hAnsiTheme="majorHAnsi" w:cstheme="minorHAnsi"/>
        </w:rPr>
        <w:t xml:space="preserve"> uyumlu olması açısından</w:t>
      </w:r>
      <w:r w:rsidR="00E7248F" w:rsidRPr="000E48AE">
        <w:rPr>
          <w:rFonts w:asciiTheme="majorHAnsi" w:hAnsiTheme="majorHAnsi" w:cstheme="minorHAnsi"/>
        </w:rPr>
        <w:t xml:space="preserve"> 2005(4)-2017(1</w:t>
      </w:r>
      <w:r w:rsidR="00D24892" w:rsidRPr="000E48AE">
        <w:rPr>
          <w:rFonts w:asciiTheme="majorHAnsi" w:hAnsiTheme="majorHAnsi" w:cstheme="minorHAnsi"/>
        </w:rPr>
        <w:t xml:space="preserve">) dönemi yine üç </w:t>
      </w:r>
      <w:r w:rsidR="005B1133" w:rsidRPr="000E48AE">
        <w:rPr>
          <w:rFonts w:asciiTheme="majorHAnsi" w:hAnsiTheme="majorHAnsi" w:cstheme="minorHAnsi"/>
        </w:rPr>
        <w:t>alt döneme</w:t>
      </w:r>
      <w:r w:rsidR="0013293D">
        <w:rPr>
          <w:rFonts w:asciiTheme="majorHAnsi" w:hAnsiTheme="majorHAnsi" w:cstheme="minorHAnsi"/>
        </w:rPr>
        <w:t xml:space="preserve"> </w:t>
      </w:r>
      <w:r w:rsidR="00D24892" w:rsidRPr="000E48AE">
        <w:rPr>
          <w:rFonts w:asciiTheme="majorHAnsi" w:hAnsiTheme="majorHAnsi" w:cstheme="minorHAnsi"/>
        </w:rPr>
        <w:t>ayrılmıştır</w:t>
      </w:r>
      <w:r w:rsidR="00023DBB" w:rsidRPr="000E48AE">
        <w:rPr>
          <w:rFonts w:asciiTheme="majorHAnsi" w:hAnsiTheme="majorHAnsi" w:cstheme="minorHAnsi"/>
        </w:rPr>
        <w:t xml:space="preserve">: </w:t>
      </w:r>
      <w:r w:rsidR="00023DBB" w:rsidRPr="00471CE8">
        <w:rPr>
          <w:rFonts w:asciiTheme="majorHAnsi" w:hAnsiTheme="majorHAnsi" w:cstheme="minorHAnsi"/>
          <w:b/>
        </w:rPr>
        <w:t>Yüksek büyüme</w:t>
      </w:r>
      <w:r w:rsidR="000E48AE" w:rsidRPr="00471CE8">
        <w:rPr>
          <w:rFonts w:asciiTheme="majorHAnsi" w:hAnsiTheme="majorHAnsi" w:cstheme="minorHAnsi"/>
          <w:b/>
        </w:rPr>
        <w:t xml:space="preserve"> -</w:t>
      </w:r>
      <w:r w:rsidR="00023DBB" w:rsidRPr="00471CE8">
        <w:rPr>
          <w:rFonts w:asciiTheme="majorHAnsi" w:hAnsiTheme="majorHAnsi" w:cstheme="minorHAnsi"/>
          <w:b/>
        </w:rPr>
        <w:t xml:space="preserve"> Y</w:t>
      </w:r>
      <w:r w:rsidR="00FE497B" w:rsidRPr="00471CE8">
        <w:rPr>
          <w:rFonts w:asciiTheme="majorHAnsi" w:hAnsiTheme="majorHAnsi" w:cstheme="minorHAnsi"/>
          <w:b/>
        </w:rPr>
        <w:t>üksek verimlilik artışı</w:t>
      </w:r>
      <w:r w:rsidR="00FE497B">
        <w:rPr>
          <w:rFonts w:asciiTheme="majorHAnsi" w:hAnsiTheme="majorHAnsi" w:cstheme="minorHAnsi"/>
        </w:rPr>
        <w:t xml:space="preserve"> (2005(1)</w:t>
      </w:r>
      <w:r w:rsidR="00471CE8">
        <w:rPr>
          <w:rFonts w:asciiTheme="majorHAnsi" w:hAnsiTheme="majorHAnsi" w:cstheme="minorHAnsi"/>
        </w:rPr>
        <w:t>-</w:t>
      </w:r>
      <w:r w:rsidR="00FE497B">
        <w:rPr>
          <w:rFonts w:asciiTheme="majorHAnsi" w:hAnsiTheme="majorHAnsi" w:cstheme="minorHAnsi"/>
        </w:rPr>
        <w:t>2008(</w:t>
      </w:r>
      <w:r w:rsidR="00B458E4">
        <w:rPr>
          <w:rFonts w:asciiTheme="majorHAnsi" w:hAnsiTheme="majorHAnsi" w:cstheme="minorHAnsi"/>
        </w:rPr>
        <w:t>2)</w:t>
      </w:r>
      <w:r w:rsidR="00FE497B">
        <w:rPr>
          <w:rFonts w:asciiTheme="majorHAnsi" w:hAnsiTheme="majorHAnsi" w:cstheme="minorHAnsi"/>
        </w:rPr>
        <w:t>)</w:t>
      </w:r>
      <w:r w:rsidR="00B458E4">
        <w:rPr>
          <w:rFonts w:asciiTheme="majorHAnsi" w:hAnsiTheme="majorHAnsi" w:cstheme="minorHAnsi"/>
        </w:rPr>
        <w:t xml:space="preserve">, </w:t>
      </w:r>
      <w:r w:rsidR="00B458E4" w:rsidRPr="00471CE8">
        <w:rPr>
          <w:rFonts w:asciiTheme="majorHAnsi" w:hAnsiTheme="majorHAnsi" w:cstheme="minorHAnsi"/>
          <w:b/>
        </w:rPr>
        <w:t>Krizden güçlü çık</w:t>
      </w:r>
      <w:r w:rsidR="000E48AE" w:rsidRPr="00471CE8">
        <w:rPr>
          <w:rFonts w:asciiTheme="majorHAnsi" w:hAnsiTheme="majorHAnsi" w:cstheme="minorHAnsi"/>
          <w:b/>
        </w:rPr>
        <w:t xml:space="preserve">ış - </w:t>
      </w:r>
      <w:r w:rsidR="00023DBB" w:rsidRPr="00471CE8">
        <w:rPr>
          <w:rFonts w:asciiTheme="majorHAnsi" w:hAnsiTheme="majorHAnsi" w:cstheme="minorHAnsi"/>
          <w:b/>
        </w:rPr>
        <w:t>Emek verimliliğinde artış</w:t>
      </w:r>
      <w:r w:rsidR="00023DBB" w:rsidRPr="000E48AE">
        <w:rPr>
          <w:rFonts w:asciiTheme="majorHAnsi" w:hAnsiTheme="majorHAnsi" w:cstheme="minorHAnsi"/>
        </w:rPr>
        <w:t xml:space="preserve"> (2009</w:t>
      </w:r>
      <w:r w:rsidR="00FE497B">
        <w:rPr>
          <w:rFonts w:asciiTheme="majorHAnsi" w:hAnsiTheme="majorHAnsi" w:cstheme="minorHAnsi"/>
        </w:rPr>
        <w:t>(</w:t>
      </w:r>
      <w:r w:rsidR="00023DBB" w:rsidRPr="000E48AE">
        <w:rPr>
          <w:rFonts w:asciiTheme="majorHAnsi" w:hAnsiTheme="majorHAnsi" w:cstheme="minorHAnsi"/>
        </w:rPr>
        <w:t>4</w:t>
      </w:r>
      <w:r w:rsidR="00FE497B">
        <w:rPr>
          <w:rFonts w:asciiTheme="majorHAnsi" w:hAnsiTheme="majorHAnsi" w:cstheme="minorHAnsi"/>
        </w:rPr>
        <w:t>)</w:t>
      </w:r>
      <w:r w:rsidR="00471CE8">
        <w:rPr>
          <w:rFonts w:asciiTheme="majorHAnsi" w:hAnsiTheme="majorHAnsi" w:cstheme="minorHAnsi"/>
        </w:rPr>
        <w:t>-</w:t>
      </w:r>
      <w:r w:rsidR="00FE497B">
        <w:rPr>
          <w:rFonts w:asciiTheme="majorHAnsi" w:hAnsiTheme="majorHAnsi" w:cstheme="minorHAnsi"/>
        </w:rPr>
        <w:t>2013(</w:t>
      </w:r>
      <w:r w:rsidR="00023DBB" w:rsidRPr="000E48AE">
        <w:rPr>
          <w:rFonts w:asciiTheme="majorHAnsi" w:hAnsiTheme="majorHAnsi" w:cstheme="minorHAnsi"/>
        </w:rPr>
        <w:t>4)</w:t>
      </w:r>
      <w:r w:rsidR="00FE497B">
        <w:rPr>
          <w:rFonts w:asciiTheme="majorHAnsi" w:hAnsiTheme="majorHAnsi" w:cstheme="minorHAnsi"/>
        </w:rPr>
        <w:t>)</w:t>
      </w:r>
      <w:r w:rsidR="00023DBB" w:rsidRPr="000E48AE">
        <w:rPr>
          <w:rFonts w:asciiTheme="majorHAnsi" w:hAnsiTheme="majorHAnsi" w:cstheme="minorHAnsi"/>
        </w:rPr>
        <w:t xml:space="preserve"> ve </w:t>
      </w:r>
      <w:r w:rsidR="00023DBB" w:rsidRPr="00471CE8">
        <w:rPr>
          <w:rFonts w:asciiTheme="majorHAnsi" w:hAnsiTheme="majorHAnsi" w:cstheme="minorHAnsi"/>
          <w:b/>
        </w:rPr>
        <w:t>Devam eden büyüm</w:t>
      </w:r>
      <w:r w:rsidR="00B655BE" w:rsidRPr="00471CE8">
        <w:rPr>
          <w:rFonts w:asciiTheme="majorHAnsi" w:hAnsiTheme="majorHAnsi" w:cstheme="minorHAnsi"/>
          <w:b/>
        </w:rPr>
        <w:t>e</w:t>
      </w:r>
      <w:r w:rsidR="00023DBB" w:rsidRPr="00471CE8">
        <w:rPr>
          <w:rFonts w:asciiTheme="majorHAnsi" w:hAnsiTheme="majorHAnsi" w:cstheme="minorHAnsi"/>
          <w:b/>
        </w:rPr>
        <w:t xml:space="preserve"> – Emek</w:t>
      </w:r>
      <w:r w:rsidR="00FE497B" w:rsidRPr="00471CE8">
        <w:rPr>
          <w:rFonts w:asciiTheme="majorHAnsi" w:hAnsiTheme="majorHAnsi" w:cstheme="minorHAnsi"/>
          <w:b/>
        </w:rPr>
        <w:t xml:space="preserve"> verimliliğinde duraksama</w:t>
      </w:r>
      <w:r w:rsidR="00FE497B">
        <w:rPr>
          <w:rFonts w:asciiTheme="majorHAnsi" w:hAnsiTheme="majorHAnsi" w:cstheme="minorHAnsi"/>
        </w:rPr>
        <w:t xml:space="preserve"> (2014(</w:t>
      </w:r>
      <w:r w:rsidR="00023DBB" w:rsidRPr="000E48AE">
        <w:rPr>
          <w:rFonts w:asciiTheme="majorHAnsi" w:hAnsiTheme="majorHAnsi" w:cstheme="minorHAnsi"/>
        </w:rPr>
        <w:t>1</w:t>
      </w:r>
      <w:r w:rsidR="00FE497B">
        <w:rPr>
          <w:rFonts w:asciiTheme="majorHAnsi" w:hAnsiTheme="majorHAnsi" w:cstheme="minorHAnsi"/>
        </w:rPr>
        <w:t>)</w:t>
      </w:r>
      <w:r w:rsidR="00471CE8">
        <w:rPr>
          <w:rFonts w:asciiTheme="majorHAnsi" w:hAnsiTheme="majorHAnsi" w:cstheme="minorHAnsi"/>
        </w:rPr>
        <w:t>-</w:t>
      </w:r>
      <w:r w:rsidR="00FE497B">
        <w:rPr>
          <w:rFonts w:asciiTheme="majorHAnsi" w:hAnsiTheme="majorHAnsi" w:cstheme="minorHAnsi"/>
        </w:rPr>
        <w:t>2017(</w:t>
      </w:r>
      <w:r w:rsidR="00023DBB" w:rsidRPr="000E48AE">
        <w:rPr>
          <w:rFonts w:asciiTheme="majorHAnsi" w:hAnsiTheme="majorHAnsi" w:cstheme="minorHAnsi"/>
        </w:rPr>
        <w:t>1)</w:t>
      </w:r>
      <w:r w:rsidR="00FE497B">
        <w:rPr>
          <w:rFonts w:asciiTheme="majorHAnsi" w:hAnsiTheme="majorHAnsi" w:cstheme="minorHAnsi"/>
        </w:rPr>
        <w:t>)</w:t>
      </w:r>
      <w:r w:rsidR="00023DBB" w:rsidRPr="000E48AE">
        <w:rPr>
          <w:rFonts w:asciiTheme="majorHAnsi" w:hAnsiTheme="majorHAnsi" w:cstheme="minorHAnsi"/>
        </w:rPr>
        <w:t>.</w:t>
      </w:r>
    </w:p>
    <w:p w:rsidR="00244B55" w:rsidRDefault="00244B55" w:rsidP="00431B6F">
      <w:pPr>
        <w:spacing w:line="360" w:lineRule="auto"/>
        <w:jc w:val="both"/>
        <w:rPr>
          <w:rFonts w:asciiTheme="majorHAnsi" w:hAnsiTheme="majorHAnsi" w:cstheme="minorHAnsi"/>
        </w:rPr>
      </w:pPr>
      <w:r w:rsidRPr="00EF2941">
        <w:rPr>
          <w:rFonts w:asciiTheme="majorHAnsi" w:hAnsiTheme="majorHAnsi" w:cstheme="minorHAnsi"/>
        </w:rPr>
        <w:t>Ayrıntılara geçmeden evvel</w:t>
      </w:r>
      <w:r w:rsidR="00EF2941" w:rsidRPr="00EF2941">
        <w:rPr>
          <w:rFonts w:asciiTheme="majorHAnsi" w:hAnsiTheme="majorHAnsi" w:cstheme="minorHAnsi"/>
        </w:rPr>
        <w:t xml:space="preserve"> sektörel </w:t>
      </w:r>
      <w:r w:rsidR="008D3D8C">
        <w:rPr>
          <w:rFonts w:asciiTheme="majorHAnsi" w:hAnsiTheme="majorHAnsi" w:cstheme="minorHAnsi"/>
        </w:rPr>
        <w:t>E</w:t>
      </w:r>
      <w:r w:rsidR="003652F9">
        <w:rPr>
          <w:rFonts w:asciiTheme="majorHAnsi" w:hAnsiTheme="majorHAnsi" w:cstheme="minorHAnsi"/>
        </w:rPr>
        <w:t>V</w:t>
      </w:r>
      <w:r w:rsidR="00EF2941" w:rsidRPr="00EF2941">
        <w:rPr>
          <w:rFonts w:asciiTheme="majorHAnsi" w:hAnsiTheme="majorHAnsi" w:cstheme="minorHAnsi"/>
        </w:rPr>
        <w:t xml:space="preserve"> endekslerinin nasıl hesaplandığını hatırlatmakta yarar </w:t>
      </w:r>
      <w:r w:rsidR="00C1636D">
        <w:rPr>
          <w:rFonts w:asciiTheme="majorHAnsi" w:hAnsiTheme="majorHAnsi" w:cstheme="minorHAnsi"/>
        </w:rPr>
        <w:t>var.</w:t>
      </w:r>
      <w:r w:rsidR="00AC4A92">
        <w:rPr>
          <w:rFonts w:asciiTheme="majorHAnsi" w:hAnsiTheme="majorHAnsi" w:cstheme="minorHAnsi"/>
        </w:rPr>
        <w:t xml:space="preserve"> </w:t>
      </w:r>
      <w:r w:rsidR="00EF2941">
        <w:rPr>
          <w:rFonts w:asciiTheme="majorHAnsi" w:hAnsiTheme="majorHAnsi" w:cstheme="minorHAnsi"/>
        </w:rPr>
        <w:t>Önce</w:t>
      </w:r>
      <w:r w:rsidR="00C1636D">
        <w:rPr>
          <w:rFonts w:asciiTheme="majorHAnsi" w:hAnsiTheme="majorHAnsi" w:cstheme="minorHAnsi"/>
        </w:rPr>
        <w:t>,</w:t>
      </w:r>
      <w:r w:rsidR="00EF2941">
        <w:rPr>
          <w:rFonts w:asciiTheme="majorHAnsi" w:hAnsiTheme="majorHAnsi" w:cstheme="minorHAnsi"/>
        </w:rPr>
        <w:t xml:space="preserve"> mevsim ve takvim etkilerinden arındırılmış sektörel GSYH ve istihdam verilerinden </w:t>
      </w:r>
      <w:r w:rsidR="007C4BCE">
        <w:rPr>
          <w:rFonts w:asciiTheme="majorHAnsi" w:hAnsiTheme="majorHAnsi" w:cstheme="minorHAnsi"/>
        </w:rPr>
        <w:t>E</w:t>
      </w:r>
      <w:r w:rsidR="003652F9">
        <w:rPr>
          <w:rFonts w:asciiTheme="majorHAnsi" w:hAnsiTheme="majorHAnsi" w:cstheme="minorHAnsi"/>
        </w:rPr>
        <w:t>V</w:t>
      </w:r>
      <w:r w:rsidR="00C1636D">
        <w:rPr>
          <w:rFonts w:asciiTheme="majorHAnsi" w:hAnsiTheme="majorHAnsi" w:cstheme="minorHAnsi"/>
        </w:rPr>
        <w:t xml:space="preserve"> serileri türetilmiş ve 2015 yılının ilk çeyreği 100 olacak şekilde endekse dönüştürülmüştür. </w:t>
      </w:r>
      <w:r w:rsidR="00EF2941">
        <w:rPr>
          <w:rFonts w:asciiTheme="majorHAnsi" w:hAnsiTheme="majorHAnsi" w:cstheme="minorHAnsi"/>
        </w:rPr>
        <w:t>Daha sonra</w:t>
      </w:r>
      <w:r w:rsidR="00C1636D">
        <w:rPr>
          <w:rFonts w:asciiTheme="majorHAnsi" w:hAnsiTheme="majorHAnsi" w:cstheme="minorHAnsi"/>
        </w:rPr>
        <w:t xml:space="preserve">, özellikle </w:t>
      </w:r>
      <w:r w:rsidR="00AC4A92">
        <w:rPr>
          <w:rFonts w:asciiTheme="majorHAnsi" w:hAnsiTheme="majorHAnsi" w:cstheme="minorHAnsi"/>
        </w:rPr>
        <w:t xml:space="preserve">uzun dönemli trendleri tespit etmek </w:t>
      </w:r>
      <w:r w:rsidR="003F1F59">
        <w:rPr>
          <w:rFonts w:asciiTheme="majorHAnsi" w:hAnsiTheme="majorHAnsi" w:cstheme="minorHAnsi"/>
        </w:rPr>
        <w:t xml:space="preserve">ve böylece alt dönemleri tespit etmek için </w:t>
      </w:r>
      <w:r w:rsidR="00EF2941">
        <w:rPr>
          <w:rFonts w:asciiTheme="majorHAnsi" w:hAnsiTheme="majorHAnsi" w:cstheme="minorHAnsi"/>
        </w:rPr>
        <w:t xml:space="preserve">bu serilerin dört çeyreklik </w:t>
      </w:r>
      <w:r w:rsidR="00EF2941" w:rsidRPr="00EF2941">
        <w:rPr>
          <w:rFonts w:asciiTheme="majorHAnsi" w:hAnsiTheme="majorHAnsi" w:cstheme="minorHAnsi"/>
        </w:rPr>
        <w:t>har</w:t>
      </w:r>
      <w:r w:rsidR="00EF2941">
        <w:rPr>
          <w:rFonts w:asciiTheme="majorHAnsi" w:hAnsiTheme="majorHAnsi" w:cstheme="minorHAnsi"/>
        </w:rPr>
        <w:t xml:space="preserve">eketli ortalamaları hesaplanarak 2015 yılının son çeyreği 100 olacak şekilde </w:t>
      </w:r>
      <w:r w:rsidR="00EF2941" w:rsidRPr="00EF2941">
        <w:rPr>
          <w:rFonts w:asciiTheme="majorHAnsi" w:hAnsiTheme="majorHAnsi" w:cstheme="minorHAnsi"/>
        </w:rPr>
        <w:t>endekslen</w:t>
      </w:r>
      <w:r w:rsidR="00EF2941">
        <w:rPr>
          <w:rFonts w:asciiTheme="majorHAnsi" w:hAnsiTheme="majorHAnsi" w:cstheme="minorHAnsi"/>
        </w:rPr>
        <w:t xml:space="preserve">miştir. </w:t>
      </w:r>
      <w:r w:rsidR="00AC4A92">
        <w:rPr>
          <w:rFonts w:asciiTheme="majorHAnsi" w:hAnsiTheme="majorHAnsi" w:cstheme="minorHAnsi"/>
        </w:rPr>
        <w:t xml:space="preserve">Her bir alt dönem için hesaplanan büyüme oranları </w:t>
      </w:r>
      <w:r w:rsidR="003F1F59">
        <w:rPr>
          <w:rFonts w:asciiTheme="majorHAnsi" w:hAnsiTheme="majorHAnsi" w:cstheme="minorHAnsi"/>
        </w:rPr>
        <w:t xml:space="preserve">kullanılan seriler </w:t>
      </w:r>
      <w:r w:rsidR="00AC4A92" w:rsidRPr="00EF2941">
        <w:rPr>
          <w:rFonts w:asciiTheme="majorHAnsi" w:hAnsiTheme="majorHAnsi" w:cstheme="minorHAnsi"/>
        </w:rPr>
        <w:t>har</w:t>
      </w:r>
      <w:r w:rsidR="00AC4A92">
        <w:rPr>
          <w:rFonts w:asciiTheme="majorHAnsi" w:hAnsiTheme="majorHAnsi" w:cstheme="minorHAnsi"/>
        </w:rPr>
        <w:t xml:space="preserve">eketli ortalama </w:t>
      </w:r>
      <w:r w:rsidR="003F1F59">
        <w:rPr>
          <w:rFonts w:asciiTheme="majorHAnsi" w:hAnsiTheme="majorHAnsi" w:cstheme="minorHAnsi"/>
        </w:rPr>
        <w:t>serileri değil, mevsim ve takvim etkilerinden arındırılmış GSYH, istihdam ve EV serileridir.</w:t>
      </w:r>
    </w:p>
    <w:p w:rsidR="00AC4A92" w:rsidRPr="000E48AE" w:rsidRDefault="00AC4A92" w:rsidP="00431B6F">
      <w:pPr>
        <w:spacing w:line="360" w:lineRule="auto"/>
        <w:jc w:val="both"/>
        <w:rPr>
          <w:rFonts w:asciiTheme="majorHAnsi" w:hAnsiTheme="majorHAnsi" w:cstheme="minorHAnsi"/>
          <w:b/>
        </w:rPr>
      </w:pPr>
    </w:p>
    <w:p w:rsidR="00D11A8E" w:rsidRPr="000E48AE" w:rsidRDefault="00AF73FC" w:rsidP="00431B6F">
      <w:pPr>
        <w:spacing w:line="360" w:lineRule="auto"/>
        <w:jc w:val="both"/>
        <w:rPr>
          <w:rFonts w:asciiTheme="majorHAnsi" w:hAnsiTheme="majorHAnsi" w:cstheme="minorHAnsi"/>
          <w:b/>
        </w:rPr>
      </w:pPr>
      <w:r w:rsidRPr="000E48AE">
        <w:rPr>
          <w:rFonts w:asciiTheme="majorHAnsi" w:hAnsiTheme="majorHAnsi" w:cstheme="minorHAnsi"/>
          <w:b/>
        </w:rPr>
        <w:t>Yüksek</w:t>
      </w:r>
      <w:r w:rsidR="00AE2FAA" w:rsidRPr="000E48AE">
        <w:rPr>
          <w:rFonts w:asciiTheme="majorHAnsi" w:hAnsiTheme="majorHAnsi" w:cstheme="minorHAnsi"/>
          <w:b/>
        </w:rPr>
        <w:t xml:space="preserve"> büyüme</w:t>
      </w:r>
      <w:r w:rsidR="00FF200B" w:rsidRPr="000E48AE">
        <w:rPr>
          <w:rFonts w:asciiTheme="majorHAnsi" w:hAnsiTheme="majorHAnsi" w:cstheme="minorHAnsi"/>
          <w:b/>
        </w:rPr>
        <w:t xml:space="preserve">- </w:t>
      </w:r>
      <w:r w:rsidR="00A218E5" w:rsidRPr="000E48AE">
        <w:rPr>
          <w:rFonts w:asciiTheme="majorHAnsi" w:hAnsiTheme="majorHAnsi" w:cstheme="minorHAnsi"/>
          <w:b/>
        </w:rPr>
        <w:t>Y</w:t>
      </w:r>
      <w:r w:rsidRPr="000E48AE">
        <w:rPr>
          <w:rFonts w:asciiTheme="majorHAnsi" w:hAnsiTheme="majorHAnsi" w:cstheme="minorHAnsi"/>
          <w:b/>
        </w:rPr>
        <w:t>üksek verimlilik artışı</w:t>
      </w:r>
      <w:r w:rsidR="001263E3" w:rsidRPr="000E48AE">
        <w:rPr>
          <w:rFonts w:asciiTheme="majorHAnsi" w:hAnsiTheme="majorHAnsi" w:cstheme="minorHAnsi"/>
          <w:b/>
        </w:rPr>
        <w:t>(2005</w:t>
      </w:r>
      <w:r w:rsidR="00175D54">
        <w:rPr>
          <w:rFonts w:asciiTheme="majorHAnsi" w:hAnsiTheme="majorHAnsi" w:cstheme="minorHAnsi"/>
          <w:b/>
        </w:rPr>
        <w:t>(</w:t>
      </w:r>
      <w:r w:rsidR="001263E3" w:rsidRPr="000E48AE">
        <w:rPr>
          <w:rFonts w:asciiTheme="majorHAnsi" w:hAnsiTheme="majorHAnsi" w:cstheme="minorHAnsi"/>
          <w:b/>
        </w:rPr>
        <w:t>1</w:t>
      </w:r>
      <w:r w:rsidR="00175D54">
        <w:rPr>
          <w:rFonts w:asciiTheme="majorHAnsi" w:hAnsiTheme="majorHAnsi" w:cstheme="minorHAnsi"/>
          <w:b/>
        </w:rPr>
        <w:t xml:space="preserve">) - </w:t>
      </w:r>
      <w:r w:rsidR="007D3E4D" w:rsidRPr="000E48AE">
        <w:rPr>
          <w:rFonts w:asciiTheme="majorHAnsi" w:hAnsiTheme="majorHAnsi" w:cstheme="minorHAnsi"/>
          <w:b/>
        </w:rPr>
        <w:t xml:space="preserve"> </w:t>
      </w:r>
      <w:r w:rsidR="00827D06" w:rsidRPr="000E48AE">
        <w:rPr>
          <w:rFonts w:asciiTheme="majorHAnsi" w:hAnsiTheme="majorHAnsi" w:cstheme="minorHAnsi"/>
          <w:b/>
        </w:rPr>
        <w:t>2008</w:t>
      </w:r>
      <w:r w:rsidR="00175D54">
        <w:rPr>
          <w:rFonts w:asciiTheme="majorHAnsi" w:hAnsiTheme="majorHAnsi" w:cstheme="minorHAnsi"/>
          <w:b/>
        </w:rPr>
        <w:t>(</w:t>
      </w:r>
      <w:r w:rsidR="00827D06" w:rsidRPr="000E48AE">
        <w:rPr>
          <w:rFonts w:asciiTheme="majorHAnsi" w:hAnsiTheme="majorHAnsi" w:cstheme="minorHAnsi"/>
          <w:b/>
        </w:rPr>
        <w:t>2</w:t>
      </w:r>
      <w:r w:rsidR="00344E64" w:rsidRPr="000E48AE">
        <w:rPr>
          <w:rFonts w:asciiTheme="majorHAnsi" w:hAnsiTheme="majorHAnsi" w:cstheme="minorHAnsi"/>
          <w:b/>
        </w:rPr>
        <w:t>)</w:t>
      </w:r>
      <w:r w:rsidR="00175D54">
        <w:rPr>
          <w:rFonts w:asciiTheme="majorHAnsi" w:hAnsiTheme="majorHAnsi" w:cstheme="minorHAnsi"/>
          <w:b/>
        </w:rPr>
        <w:t>)</w:t>
      </w:r>
    </w:p>
    <w:p w:rsidR="00AD4FC8" w:rsidRPr="000E48AE" w:rsidRDefault="00AD4FC8" w:rsidP="001A17C8">
      <w:pPr>
        <w:spacing w:line="360" w:lineRule="auto"/>
        <w:jc w:val="both"/>
        <w:rPr>
          <w:rFonts w:asciiTheme="majorHAnsi" w:hAnsiTheme="majorHAnsi" w:cstheme="minorHAnsi"/>
        </w:rPr>
      </w:pPr>
      <w:r w:rsidRPr="000E48AE">
        <w:rPr>
          <w:rFonts w:asciiTheme="majorHAnsi" w:hAnsiTheme="majorHAnsi" w:cstheme="minorHAnsi"/>
        </w:rPr>
        <w:t>Bu dönemde tarım istihdamında mey</w:t>
      </w:r>
      <w:r w:rsidR="00213E16" w:rsidRPr="000E48AE">
        <w:rPr>
          <w:rFonts w:asciiTheme="majorHAnsi" w:hAnsiTheme="majorHAnsi" w:cstheme="minorHAnsi"/>
        </w:rPr>
        <w:t>dana gelen hızlı azalma</w:t>
      </w:r>
      <w:r w:rsidR="00FB408A" w:rsidRPr="000E48AE">
        <w:rPr>
          <w:rFonts w:asciiTheme="majorHAnsi" w:hAnsiTheme="majorHAnsi" w:cstheme="minorHAnsi"/>
        </w:rPr>
        <w:t>nın da katkısıyla</w:t>
      </w:r>
      <w:r w:rsidRPr="000E48AE">
        <w:rPr>
          <w:rFonts w:asciiTheme="majorHAnsi" w:hAnsiTheme="majorHAnsi" w:cstheme="minorHAnsi"/>
        </w:rPr>
        <w:t xml:space="preserve"> emek verimliliğindeki artış kişi başına GSYH artışlarının </w:t>
      </w:r>
      <w:r w:rsidR="00FB408A" w:rsidRPr="000E48AE">
        <w:rPr>
          <w:rFonts w:asciiTheme="majorHAnsi" w:hAnsiTheme="majorHAnsi" w:cstheme="minorHAnsi"/>
        </w:rPr>
        <w:t>esas kaynağı</w:t>
      </w:r>
      <w:r w:rsidRPr="000E48AE">
        <w:rPr>
          <w:rFonts w:asciiTheme="majorHAnsi" w:hAnsiTheme="majorHAnsi" w:cstheme="minorHAnsi"/>
        </w:rPr>
        <w:t xml:space="preserve"> olmuştur</w:t>
      </w:r>
      <w:r w:rsidR="0097367D" w:rsidRPr="000E48AE">
        <w:rPr>
          <w:rFonts w:asciiTheme="majorHAnsi" w:hAnsiTheme="majorHAnsi" w:cstheme="minorHAnsi"/>
        </w:rPr>
        <w:t>.</w:t>
      </w:r>
      <w:r w:rsidR="00431B6F" w:rsidRPr="000E48AE">
        <w:rPr>
          <w:rFonts w:asciiTheme="majorHAnsi" w:hAnsiTheme="majorHAnsi" w:cstheme="minorHAnsi"/>
        </w:rPr>
        <w:t xml:space="preserve"> Tarım istihdamı bu dönem</w:t>
      </w:r>
      <w:r w:rsidR="00FB408A" w:rsidRPr="000E48AE">
        <w:rPr>
          <w:rFonts w:asciiTheme="majorHAnsi" w:hAnsiTheme="majorHAnsi" w:cstheme="minorHAnsi"/>
        </w:rPr>
        <w:t>de</w:t>
      </w:r>
      <w:r w:rsidR="00EA791D" w:rsidRPr="000E48AE">
        <w:rPr>
          <w:rFonts w:asciiTheme="majorHAnsi" w:hAnsiTheme="majorHAnsi" w:cstheme="minorHAnsi"/>
        </w:rPr>
        <w:t xml:space="preserve"> </w:t>
      </w:r>
      <w:r w:rsidR="00CD1808">
        <w:rPr>
          <w:rFonts w:asciiTheme="majorHAnsi" w:hAnsiTheme="majorHAnsi" w:cstheme="minorHAnsi"/>
        </w:rPr>
        <w:t xml:space="preserve">yüzde </w:t>
      </w:r>
      <w:r w:rsidR="00EA791D" w:rsidRPr="000E48AE">
        <w:rPr>
          <w:rFonts w:asciiTheme="majorHAnsi" w:hAnsiTheme="majorHAnsi" w:cstheme="minorHAnsi"/>
        </w:rPr>
        <w:t>12</w:t>
      </w:r>
      <w:r w:rsidR="00431B6F" w:rsidRPr="000E48AE">
        <w:rPr>
          <w:rFonts w:asciiTheme="majorHAnsi" w:hAnsiTheme="majorHAnsi" w:cstheme="minorHAnsi"/>
        </w:rPr>
        <w:t xml:space="preserve"> </w:t>
      </w:r>
      <w:r w:rsidR="00CD1808">
        <w:rPr>
          <w:rFonts w:asciiTheme="majorHAnsi" w:hAnsiTheme="majorHAnsi" w:cstheme="minorHAnsi"/>
        </w:rPr>
        <w:t>oranında</w:t>
      </w:r>
      <w:r w:rsidR="00431B6F" w:rsidRPr="00CD1808">
        <w:rPr>
          <w:rFonts w:asciiTheme="majorHAnsi" w:hAnsiTheme="majorHAnsi" w:cstheme="minorHAnsi"/>
        </w:rPr>
        <w:t xml:space="preserve"> düşüş gösterirken, sanayi, inşaat ve hizmet sek</w:t>
      </w:r>
      <w:r w:rsidR="0051015D" w:rsidRPr="00CD1808">
        <w:rPr>
          <w:rFonts w:asciiTheme="majorHAnsi" w:hAnsiTheme="majorHAnsi" w:cstheme="minorHAnsi"/>
        </w:rPr>
        <w:t xml:space="preserve">törlerinde istihdam sırasıyla </w:t>
      </w:r>
      <w:r w:rsidR="009053E8" w:rsidRPr="00CD1808">
        <w:rPr>
          <w:rFonts w:asciiTheme="majorHAnsi" w:hAnsiTheme="majorHAnsi" w:cstheme="minorHAnsi"/>
        </w:rPr>
        <w:t xml:space="preserve">yüzde </w:t>
      </w:r>
      <w:r w:rsidR="0051015D" w:rsidRPr="00CD1808">
        <w:rPr>
          <w:rFonts w:asciiTheme="majorHAnsi" w:hAnsiTheme="majorHAnsi" w:cstheme="minorHAnsi"/>
        </w:rPr>
        <w:t>13,4, 19</w:t>
      </w:r>
      <w:r w:rsidR="00431B6F" w:rsidRPr="00CD1808">
        <w:rPr>
          <w:rFonts w:asciiTheme="majorHAnsi" w:hAnsiTheme="majorHAnsi" w:cstheme="minorHAnsi"/>
        </w:rPr>
        <w:t xml:space="preserve"> ve 1</w:t>
      </w:r>
      <w:r w:rsidR="00252AFE" w:rsidRPr="00CD1808">
        <w:rPr>
          <w:rFonts w:asciiTheme="majorHAnsi" w:hAnsiTheme="majorHAnsi" w:cstheme="minorHAnsi"/>
        </w:rPr>
        <w:t>2</w:t>
      </w:r>
      <w:r w:rsidR="0051015D" w:rsidRPr="00CD1808">
        <w:rPr>
          <w:rFonts w:asciiTheme="majorHAnsi" w:hAnsiTheme="majorHAnsi" w:cstheme="minorHAnsi"/>
        </w:rPr>
        <w:t xml:space="preserve">,8 </w:t>
      </w:r>
      <w:r w:rsidR="00252AFE" w:rsidRPr="00CD1808">
        <w:rPr>
          <w:rFonts w:asciiTheme="majorHAnsi" w:hAnsiTheme="majorHAnsi" w:cstheme="minorHAnsi"/>
        </w:rPr>
        <w:t>artmıştır</w:t>
      </w:r>
      <w:r w:rsidR="00252AFE" w:rsidRPr="000E48AE">
        <w:rPr>
          <w:rFonts w:asciiTheme="majorHAnsi" w:hAnsiTheme="majorHAnsi" w:cstheme="minorHAnsi"/>
        </w:rPr>
        <w:t xml:space="preserve"> (</w:t>
      </w:r>
      <w:r w:rsidR="0051015D" w:rsidRPr="000E48AE">
        <w:rPr>
          <w:rFonts w:asciiTheme="majorHAnsi" w:hAnsiTheme="majorHAnsi" w:cstheme="minorHAnsi"/>
        </w:rPr>
        <w:t>Ek Tablo 1</w:t>
      </w:r>
      <w:r w:rsidR="00431B6F" w:rsidRPr="000E48AE">
        <w:rPr>
          <w:rFonts w:asciiTheme="majorHAnsi" w:hAnsiTheme="majorHAnsi" w:cstheme="minorHAnsi"/>
        </w:rPr>
        <w:t>).</w:t>
      </w:r>
      <w:r w:rsidR="0097367D" w:rsidRPr="000E48AE">
        <w:rPr>
          <w:rFonts w:asciiTheme="majorHAnsi" w:hAnsiTheme="majorHAnsi" w:cstheme="minorHAnsi"/>
        </w:rPr>
        <w:t xml:space="preserve"> Şekil </w:t>
      </w:r>
      <w:r w:rsidR="00B226B5" w:rsidRPr="000E48AE">
        <w:rPr>
          <w:rFonts w:asciiTheme="majorHAnsi" w:hAnsiTheme="majorHAnsi" w:cstheme="minorHAnsi"/>
        </w:rPr>
        <w:t>1</w:t>
      </w:r>
      <w:r w:rsidR="0097367D" w:rsidRPr="000E48AE">
        <w:rPr>
          <w:rFonts w:asciiTheme="majorHAnsi" w:hAnsiTheme="majorHAnsi" w:cstheme="minorHAnsi"/>
        </w:rPr>
        <w:t>’d</w:t>
      </w:r>
      <w:r w:rsidR="0051015D" w:rsidRPr="000E48AE">
        <w:rPr>
          <w:rFonts w:asciiTheme="majorHAnsi" w:hAnsiTheme="majorHAnsi" w:cstheme="minorHAnsi"/>
        </w:rPr>
        <w:t xml:space="preserve">e görüldüğü gibi tüm </w:t>
      </w:r>
      <w:r w:rsidRPr="000E48AE">
        <w:rPr>
          <w:rFonts w:asciiTheme="majorHAnsi" w:hAnsiTheme="majorHAnsi" w:cstheme="minorHAnsi"/>
        </w:rPr>
        <w:t>sektörlerde istihdam artışları GSY</w:t>
      </w:r>
      <w:r w:rsidR="00A57768" w:rsidRPr="000E48AE">
        <w:rPr>
          <w:rFonts w:asciiTheme="majorHAnsi" w:hAnsiTheme="majorHAnsi" w:cstheme="minorHAnsi"/>
        </w:rPr>
        <w:t>H</w:t>
      </w:r>
      <w:r w:rsidRPr="000E48AE">
        <w:rPr>
          <w:rFonts w:asciiTheme="majorHAnsi" w:hAnsiTheme="majorHAnsi" w:cstheme="minorHAnsi"/>
        </w:rPr>
        <w:t xml:space="preserve"> artışlarının gerisinde kalmıştır. </w:t>
      </w:r>
      <w:r w:rsidR="00023DBB" w:rsidRPr="000E48AE">
        <w:rPr>
          <w:rFonts w:asciiTheme="majorHAnsi" w:hAnsiTheme="majorHAnsi" w:cstheme="minorHAnsi"/>
        </w:rPr>
        <w:t>Öte yandan</w:t>
      </w:r>
      <w:r w:rsidR="006C3702" w:rsidRPr="000E48AE">
        <w:rPr>
          <w:rFonts w:asciiTheme="majorHAnsi" w:hAnsiTheme="majorHAnsi" w:cstheme="minorHAnsi"/>
        </w:rPr>
        <w:t xml:space="preserve"> tarım hariç tüm sektörlerde GSYH hızlı artışlar göstermiştir. Buna göre, </w:t>
      </w:r>
      <w:r w:rsidR="00587111" w:rsidRPr="000E48AE">
        <w:rPr>
          <w:rFonts w:asciiTheme="majorHAnsi" w:hAnsiTheme="majorHAnsi" w:cstheme="minorHAnsi"/>
        </w:rPr>
        <w:t xml:space="preserve">dönem içerisinde </w:t>
      </w:r>
      <w:r w:rsidR="006C3702" w:rsidRPr="000E48AE">
        <w:rPr>
          <w:rFonts w:asciiTheme="majorHAnsi" w:hAnsiTheme="majorHAnsi" w:cstheme="minorHAnsi"/>
        </w:rPr>
        <w:t xml:space="preserve">sanayi inşaat ve </w:t>
      </w:r>
      <w:r w:rsidR="006C3702" w:rsidRPr="00CD1808">
        <w:rPr>
          <w:rFonts w:asciiTheme="majorHAnsi" w:hAnsiTheme="majorHAnsi" w:cstheme="minorHAnsi"/>
        </w:rPr>
        <w:t>hizmetlerde katma değer sırasıyla</w:t>
      </w:r>
      <w:r w:rsidR="0013293D" w:rsidRPr="00CD1808">
        <w:rPr>
          <w:rFonts w:asciiTheme="majorHAnsi" w:hAnsiTheme="majorHAnsi" w:cstheme="minorHAnsi"/>
        </w:rPr>
        <w:t xml:space="preserve"> </w:t>
      </w:r>
      <w:r w:rsidR="009053E8" w:rsidRPr="00CD1808">
        <w:rPr>
          <w:rFonts w:asciiTheme="majorHAnsi" w:hAnsiTheme="majorHAnsi" w:cstheme="minorHAnsi"/>
        </w:rPr>
        <w:t xml:space="preserve">yüzde </w:t>
      </w:r>
      <w:r w:rsidR="00587111" w:rsidRPr="00CD1808">
        <w:rPr>
          <w:rFonts w:asciiTheme="majorHAnsi" w:hAnsiTheme="majorHAnsi" w:cstheme="minorHAnsi"/>
        </w:rPr>
        <w:t xml:space="preserve">23,1, </w:t>
      </w:r>
      <w:r w:rsidR="00CD1808">
        <w:rPr>
          <w:rFonts w:asciiTheme="majorHAnsi" w:hAnsiTheme="majorHAnsi" w:cstheme="minorHAnsi"/>
        </w:rPr>
        <w:t>4</w:t>
      </w:r>
      <w:r w:rsidR="00587111" w:rsidRPr="00CD1808">
        <w:rPr>
          <w:rFonts w:asciiTheme="majorHAnsi" w:hAnsiTheme="majorHAnsi" w:cstheme="minorHAnsi"/>
        </w:rPr>
        <w:t>5,1 ve 17,8 yükselmiş</w:t>
      </w:r>
      <w:r w:rsidR="00023DBB" w:rsidRPr="00CD1808">
        <w:rPr>
          <w:rFonts w:asciiTheme="majorHAnsi" w:hAnsiTheme="majorHAnsi" w:cstheme="minorHAnsi"/>
        </w:rPr>
        <w:t>,</w:t>
      </w:r>
      <w:r w:rsidR="00CD1808">
        <w:rPr>
          <w:rFonts w:asciiTheme="majorHAnsi" w:hAnsiTheme="majorHAnsi" w:cstheme="minorHAnsi"/>
        </w:rPr>
        <w:t xml:space="preserve"> </w:t>
      </w:r>
      <w:r w:rsidR="001263E3" w:rsidRPr="00CD1808">
        <w:rPr>
          <w:rFonts w:asciiTheme="majorHAnsi" w:hAnsiTheme="majorHAnsi" w:cstheme="minorHAnsi"/>
        </w:rPr>
        <w:t>tarım</w:t>
      </w:r>
      <w:r w:rsidR="00023DBB" w:rsidRPr="00CD1808">
        <w:rPr>
          <w:rFonts w:asciiTheme="majorHAnsi" w:hAnsiTheme="majorHAnsi" w:cstheme="minorHAnsi"/>
        </w:rPr>
        <w:t>da ise</w:t>
      </w:r>
      <w:r w:rsidR="001263E3" w:rsidRPr="00CD1808">
        <w:rPr>
          <w:rFonts w:asciiTheme="majorHAnsi" w:hAnsiTheme="majorHAnsi" w:cstheme="minorHAnsi"/>
        </w:rPr>
        <w:t xml:space="preserve"> GSYH bu dönemde </w:t>
      </w:r>
      <w:r w:rsidR="009053E8" w:rsidRPr="00CD1808">
        <w:rPr>
          <w:rFonts w:asciiTheme="majorHAnsi" w:hAnsiTheme="majorHAnsi" w:cstheme="minorHAnsi"/>
        </w:rPr>
        <w:t xml:space="preserve">yüzde </w:t>
      </w:r>
      <w:r w:rsidR="00023DBB" w:rsidRPr="00CD1808">
        <w:rPr>
          <w:rFonts w:asciiTheme="majorHAnsi" w:hAnsiTheme="majorHAnsi" w:cstheme="minorHAnsi"/>
        </w:rPr>
        <w:t xml:space="preserve">3 </w:t>
      </w:r>
      <w:r w:rsidR="001263E3" w:rsidRPr="00CD1808">
        <w:rPr>
          <w:rFonts w:asciiTheme="majorHAnsi" w:hAnsiTheme="majorHAnsi" w:cstheme="minorHAnsi"/>
        </w:rPr>
        <w:t>gerilemiştir.</w:t>
      </w:r>
      <w:r w:rsidR="001263E3" w:rsidRPr="000E48AE">
        <w:rPr>
          <w:rFonts w:asciiTheme="majorHAnsi" w:hAnsiTheme="majorHAnsi" w:cstheme="minorHAnsi"/>
        </w:rPr>
        <w:t xml:space="preserve"> </w:t>
      </w:r>
    </w:p>
    <w:p w:rsidR="00FD0BD2" w:rsidRDefault="001263E3" w:rsidP="006E280C">
      <w:pPr>
        <w:spacing w:line="360" w:lineRule="auto"/>
        <w:jc w:val="both"/>
        <w:rPr>
          <w:rFonts w:asciiTheme="majorHAnsi" w:hAnsiTheme="majorHAnsi" w:cstheme="minorHAnsi"/>
        </w:rPr>
      </w:pPr>
      <w:r w:rsidRPr="000E48AE">
        <w:rPr>
          <w:rFonts w:asciiTheme="majorHAnsi" w:hAnsiTheme="majorHAnsi" w:cstheme="minorHAnsi"/>
        </w:rPr>
        <w:t>2005(1)-2008(2</w:t>
      </w:r>
      <w:r w:rsidR="005A5329" w:rsidRPr="000E48AE">
        <w:rPr>
          <w:rFonts w:asciiTheme="majorHAnsi" w:hAnsiTheme="majorHAnsi" w:cstheme="minorHAnsi"/>
        </w:rPr>
        <w:t xml:space="preserve">) dönemini sektörel </w:t>
      </w:r>
      <w:r w:rsidR="008D3D8C">
        <w:rPr>
          <w:rFonts w:asciiTheme="majorHAnsi" w:hAnsiTheme="majorHAnsi" w:cstheme="minorHAnsi"/>
        </w:rPr>
        <w:t>E</w:t>
      </w:r>
      <w:r w:rsidR="0052221D">
        <w:rPr>
          <w:rFonts w:asciiTheme="majorHAnsi" w:hAnsiTheme="majorHAnsi" w:cstheme="minorHAnsi"/>
        </w:rPr>
        <w:t>V</w:t>
      </w:r>
      <w:r w:rsidR="005A5329" w:rsidRPr="000E48AE">
        <w:rPr>
          <w:rFonts w:asciiTheme="majorHAnsi" w:hAnsiTheme="majorHAnsi" w:cstheme="minorHAnsi"/>
        </w:rPr>
        <w:t xml:space="preserve"> açısından incelediğimizde, her sektörde </w:t>
      </w:r>
      <w:r w:rsidR="008D3D8C">
        <w:rPr>
          <w:rFonts w:asciiTheme="majorHAnsi" w:hAnsiTheme="majorHAnsi" w:cstheme="minorHAnsi"/>
        </w:rPr>
        <w:t>E</w:t>
      </w:r>
      <w:r w:rsidR="0052221D">
        <w:rPr>
          <w:rFonts w:asciiTheme="majorHAnsi" w:hAnsiTheme="majorHAnsi" w:cstheme="minorHAnsi"/>
        </w:rPr>
        <w:t>V</w:t>
      </w:r>
      <w:r w:rsidR="005A5329" w:rsidRPr="000E48AE">
        <w:rPr>
          <w:rFonts w:asciiTheme="majorHAnsi" w:hAnsiTheme="majorHAnsi" w:cstheme="minorHAnsi"/>
        </w:rPr>
        <w:t xml:space="preserve"> artışları göze çarpmaktadır.</w:t>
      </w:r>
      <w:r w:rsidR="00943F18">
        <w:rPr>
          <w:rFonts w:asciiTheme="majorHAnsi" w:hAnsiTheme="majorHAnsi" w:cstheme="minorHAnsi"/>
        </w:rPr>
        <w:t xml:space="preserve"> </w:t>
      </w:r>
      <w:r w:rsidR="00885274">
        <w:fldChar w:fldCharType="begin"/>
      </w:r>
      <w:r w:rsidR="00885274">
        <w:instrText xml:space="preserve"> REF _Ref465937387 \h  \* MERGEFORMAT </w:instrText>
      </w:r>
      <w:r w:rsidR="00885274">
        <w:fldChar w:fldCharType="separate"/>
      </w:r>
      <w:r w:rsidR="009433FC" w:rsidRPr="000E48AE">
        <w:rPr>
          <w:rFonts w:asciiTheme="majorHAnsi" w:hAnsiTheme="majorHAnsi" w:cstheme="minorHAnsi"/>
        </w:rPr>
        <w:t>Ek Tablo 2</w:t>
      </w:r>
      <w:r w:rsidR="00885274">
        <w:fldChar w:fldCharType="end"/>
      </w:r>
      <w:r w:rsidR="005A5329" w:rsidRPr="000E48AE">
        <w:rPr>
          <w:rFonts w:asciiTheme="majorHAnsi" w:hAnsiTheme="majorHAnsi" w:cstheme="minorHAnsi"/>
        </w:rPr>
        <w:t xml:space="preserve">’de görülebileceği üzere, </w:t>
      </w:r>
      <w:r w:rsidR="009053E8">
        <w:rPr>
          <w:rFonts w:asciiTheme="majorHAnsi" w:hAnsiTheme="majorHAnsi" w:cstheme="minorHAnsi"/>
        </w:rPr>
        <w:t xml:space="preserve">dönem boyunca </w:t>
      </w:r>
      <w:r w:rsidR="008D3D8C">
        <w:rPr>
          <w:rFonts w:asciiTheme="majorHAnsi" w:hAnsiTheme="majorHAnsi" w:cstheme="minorHAnsi"/>
        </w:rPr>
        <w:t>E</w:t>
      </w:r>
      <w:r w:rsidR="0052221D">
        <w:rPr>
          <w:rFonts w:asciiTheme="majorHAnsi" w:hAnsiTheme="majorHAnsi" w:cstheme="minorHAnsi"/>
        </w:rPr>
        <w:t>V</w:t>
      </w:r>
      <w:r w:rsidR="005A5329" w:rsidRPr="000E48AE">
        <w:rPr>
          <w:rFonts w:asciiTheme="majorHAnsi" w:hAnsiTheme="majorHAnsi" w:cstheme="minorHAnsi"/>
        </w:rPr>
        <w:t xml:space="preserve"> tarım, sanayi, inşaat ve </w:t>
      </w:r>
      <w:r w:rsidR="006233C7" w:rsidRPr="000E48AE">
        <w:rPr>
          <w:rFonts w:asciiTheme="majorHAnsi" w:hAnsiTheme="majorHAnsi" w:cstheme="minorHAnsi"/>
        </w:rPr>
        <w:t xml:space="preserve">hizmet sektörlerinde sırasıyla </w:t>
      </w:r>
      <w:r w:rsidR="009053E8">
        <w:rPr>
          <w:rFonts w:asciiTheme="majorHAnsi" w:hAnsiTheme="majorHAnsi" w:cstheme="minorHAnsi"/>
        </w:rPr>
        <w:t>yüzde 10,3, yüzde 8,5, yüzde 22,0 ve yüzde 4,4</w:t>
      </w:r>
      <w:r w:rsidR="005A5329" w:rsidRPr="000E48AE">
        <w:rPr>
          <w:rFonts w:asciiTheme="majorHAnsi" w:hAnsiTheme="majorHAnsi" w:cstheme="minorHAnsi"/>
        </w:rPr>
        <w:t xml:space="preserve"> artış göstermiştir.</w:t>
      </w:r>
      <w:r w:rsidR="00384027">
        <w:rPr>
          <w:rStyle w:val="FootnoteReference"/>
          <w:rFonts w:asciiTheme="majorHAnsi" w:hAnsiTheme="majorHAnsi" w:cstheme="minorHAnsi"/>
        </w:rPr>
        <w:footnoteReference w:id="4"/>
      </w:r>
      <w:r w:rsidR="00943F18">
        <w:rPr>
          <w:rFonts w:asciiTheme="majorHAnsi" w:hAnsiTheme="majorHAnsi" w:cstheme="minorHAnsi"/>
        </w:rPr>
        <w:t xml:space="preserve"> </w:t>
      </w:r>
      <w:r w:rsidR="006233C7" w:rsidRPr="000E48AE">
        <w:rPr>
          <w:rFonts w:asciiTheme="majorHAnsi" w:hAnsiTheme="majorHAnsi" w:cstheme="minorHAnsi"/>
        </w:rPr>
        <w:t xml:space="preserve">En belirgin artış </w:t>
      </w:r>
      <w:r w:rsidR="00781136">
        <w:rPr>
          <w:rFonts w:asciiTheme="majorHAnsi" w:hAnsiTheme="majorHAnsi" w:cstheme="minorHAnsi"/>
        </w:rPr>
        <w:t xml:space="preserve">yüzde 22 ile </w:t>
      </w:r>
      <w:r w:rsidR="006233C7" w:rsidRPr="000E48AE">
        <w:rPr>
          <w:rFonts w:asciiTheme="majorHAnsi" w:hAnsiTheme="majorHAnsi" w:cstheme="minorHAnsi"/>
        </w:rPr>
        <w:t>inşaat</w:t>
      </w:r>
      <w:r w:rsidR="00A161B2" w:rsidRPr="000E48AE">
        <w:rPr>
          <w:rFonts w:asciiTheme="majorHAnsi" w:hAnsiTheme="majorHAnsi" w:cstheme="minorHAnsi"/>
        </w:rPr>
        <w:t xml:space="preserve"> sektöründe görülmektedir.</w:t>
      </w:r>
      <w:r w:rsidR="006233C7" w:rsidRPr="000E48AE">
        <w:rPr>
          <w:rFonts w:asciiTheme="majorHAnsi" w:hAnsiTheme="majorHAnsi" w:cstheme="minorHAnsi"/>
        </w:rPr>
        <w:t xml:space="preserve"> Bu </w:t>
      </w:r>
      <w:r w:rsidR="006233C7" w:rsidRPr="000E48AE">
        <w:rPr>
          <w:rFonts w:asciiTheme="majorHAnsi" w:hAnsiTheme="majorHAnsi" w:cstheme="minorHAnsi"/>
        </w:rPr>
        <w:lastRenderedPageBreak/>
        <w:t xml:space="preserve">güçlü artış, inşaat GSYH’nın inşaat istihdamının çok üstünde artması ile gerçekleşmiştir. </w:t>
      </w:r>
      <w:r w:rsidR="00384027">
        <w:rPr>
          <w:rFonts w:asciiTheme="majorHAnsi" w:hAnsiTheme="majorHAnsi" w:cstheme="minorHAnsi"/>
        </w:rPr>
        <w:t xml:space="preserve">Bu dönemde GSYH yaklaşık yüzde 45 artarken, istihdam artışı yüzde 20’nin altında kalmıştır. </w:t>
      </w:r>
      <w:r w:rsidR="006233C7" w:rsidRPr="000E48AE">
        <w:rPr>
          <w:rFonts w:asciiTheme="majorHAnsi" w:hAnsiTheme="majorHAnsi" w:cstheme="minorHAnsi"/>
        </w:rPr>
        <w:t xml:space="preserve">Öte yandan </w:t>
      </w:r>
      <w:r w:rsidR="00C67DEB">
        <w:rPr>
          <w:rFonts w:asciiTheme="majorHAnsi" w:hAnsiTheme="majorHAnsi" w:cstheme="minorHAnsi"/>
        </w:rPr>
        <w:t>tarımda hem</w:t>
      </w:r>
      <w:r w:rsidR="006233C7" w:rsidRPr="000E48AE">
        <w:rPr>
          <w:rFonts w:asciiTheme="majorHAnsi" w:hAnsiTheme="majorHAnsi" w:cstheme="minorHAnsi"/>
        </w:rPr>
        <w:t xml:space="preserve"> istihdam hem de GSYH’da düşüş görülmesine rağmen, tarım</w:t>
      </w:r>
      <w:r w:rsidR="009433FC" w:rsidRPr="000E48AE">
        <w:rPr>
          <w:rFonts w:asciiTheme="majorHAnsi" w:hAnsiTheme="majorHAnsi" w:cstheme="minorHAnsi"/>
        </w:rPr>
        <w:t xml:space="preserve">daki </w:t>
      </w:r>
      <w:r w:rsidR="00C67DEB">
        <w:rPr>
          <w:rFonts w:asciiTheme="majorHAnsi" w:hAnsiTheme="majorHAnsi" w:cstheme="minorHAnsi"/>
        </w:rPr>
        <w:t>EV’inde</w:t>
      </w:r>
      <w:r w:rsidR="0013293D">
        <w:rPr>
          <w:rFonts w:asciiTheme="majorHAnsi" w:hAnsiTheme="majorHAnsi" w:cstheme="minorHAnsi"/>
        </w:rPr>
        <w:t xml:space="preserve"> </w:t>
      </w:r>
      <w:r w:rsidR="00C67DEB">
        <w:rPr>
          <w:rFonts w:asciiTheme="majorHAnsi" w:hAnsiTheme="majorHAnsi" w:cstheme="minorHAnsi"/>
        </w:rPr>
        <w:t>yüzde 10’luk bir</w:t>
      </w:r>
      <w:r w:rsidR="009433FC" w:rsidRPr="000E48AE">
        <w:rPr>
          <w:rFonts w:asciiTheme="majorHAnsi" w:hAnsiTheme="majorHAnsi" w:cstheme="minorHAnsi"/>
        </w:rPr>
        <w:t xml:space="preserve"> artış kaydedilmiştir. Bunun sebebi ise tarım istihdamının katma değere oranla daha fazla azalmasıdır.</w:t>
      </w:r>
      <w:r w:rsidR="00CD1808">
        <w:rPr>
          <w:rFonts w:asciiTheme="majorHAnsi" w:hAnsiTheme="majorHAnsi" w:cstheme="minorHAnsi"/>
        </w:rPr>
        <w:t xml:space="preserve"> </w:t>
      </w:r>
      <w:r w:rsidR="00C86C5C" w:rsidRPr="000E48AE">
        <w:rPr>
          <w:rFonts w:asciiTheme="majorHAnsi" w:hAnsiTheme="majorHAnsi" w:cstheme="minorHAnsi"/>
        </w:rPr>
        <w:t xml:space="preserve">Buna karşılık </w:t>
      </w:r>
      <w:r w:rsidR="00C67DEB">
        <w:rPr>
          <w:rFonts w:asciiTheme="majorHAnsi" w:hAnsiTheme="majorHAnsi" w:cstheme="minorHAnsi"/>
        </w:rPr>
        <w:t xml:space="preserve">sanayi ve </w:t>
      </w:r>
      <w:r w:rsidR="00C86C5C" w:rsidRPr="000E48AE">
        <w:rPr>
          <w:rFonts w:asciiTheme="majorHAnsi" w:hAnsiTheme="majorHAnsi" w:cstheme="minorHAnsi"/>
        </w:rPr>
        <w:t>hizmet sektör</w:t>
      </w:r>
      <w:r w:rsidR="00C67DEB">
        <w:rPr>
          <w:rFonts w:asciiTheme="majorHAnsi" w:hAnsiTheme="majorHAnsi" w:cstheme="minorHAnsi"/>
        </w:rPr>
        <w:t xml:space="preserve">lerinde EV artışları sırasıyla yüzde </w:t>
      </w:r>
      <w:r w:rsidR="00781136">
        <w:rPr>
          <w:rFonts w:asciiTheme="majorHAnsi" w:hAnsiTheme="majorHAnsi" w:cstheme="minorHAnsi"/>
        </w:rPr>
        <w:t>8,5 ve yüzde</w:t>
      </w:r>
      <w:r w:rsidR="00C86C5C" w:rsidRPr="000E48AE">
        <w:rPr>
          <w:rFonts w:asciiTheme="majorHAnsi" w:hAnsiTheme="majorHAnsi" w:cstheme="minorHAnsi"/>
        </w:rPr>
        <w:t xml:space="preserve"> 4,4 </w:t>
      </w:r>
      <w:r w:rsidR="00781136">
        <w:rPr>
          <w:rFonts w:asciiTheme="majorHAnsi" w:hAnsiTheme="majorHAnsi" w:cstheme="minorHAnsi"/>
        </w:rPr>
        <w:t xml:space="preserve">ile </w:t>
      </w:r>
      <w:r w:rsidR="00C86C5C" w:rsidRPr="000E48AE">
        <w:rPr>
          <w:rFonts w:asciiTheme="majorHAnsi" w:hAnsiTheme="majorHAnsi" w:cstheme="minorHAnsi"/>
        </w:rPr>
        <w:t>yüzde puandan ibarettir. Bu</w:t>
      </w:r>
      <w:r w:rsidR="00CD1808">
        <w:rPr>
          <w:rFonts w:asciiTheme="majorHAnsi" w:hAnsiTheme="majorHAnsi" w:cstheme="minorHAnsi"/>
        </w:rPr>
        <w:t xml:space="preserve"> </w:t>
      </w:r>
      <w:r w:rsidR="00781136">
        <w:rPr>
          <w:rFonts w:asciiTheme="majorHAnsi" w:hAnsiTheme="majorHAnsi" w:cstheme="minorHAnsi"/>
        </w:rPr>
        <w:t xml:space="preserve">görece </w:t>
      </w:r>
      <w:r w:rsidR="00C86C5C" w:rsidRPr="000E48AE">
        <w:rPr>
          <w:rFonts w:asciiTheme="majorHAnsi" w:hAnsiTheme="majorHAnsi" w:cstheme="minorHAnsi"/>
        </w:rPr>
        <w:t>d</w:t>
      </w:r>
      <w:r w:rsidR="006E35BD" w:rsidRPr="000E48AE">
        <w:rPr>
          <w:rFonts w:asciiTheme="majorHAnsi" w:hAnsiTheme="majorHAnsi" w:cstheme="minorHAnsi"/>
        </w:rPr>
        <w:t>ü</w:t>
      </w:r>
      <w:r w:rsidR="00C86C5C" w:rsidRPr="000E48AE">
        <w:rPr>
          <w:rFonts w:asciiTheme="majorHAnsi" w:hAnsiTheme="majorHAnsi" w:cstheme="minorHAnsi"/>
        </w:rPr>
        <w:t>ş</w:t>
      </w:r>
      <w:r w:rsidR="006E35BD" w:rsidRPr="000E48AE">
        <w:rPr>
          <w:rFonts w:asciiTheme="majorHAnsi" w:hAnsiTheme="majorHAnsi" w:cstheme="minorHAnsi"/>
        </w:rPr>
        <w:t>ü</w:t>
      </w:r>
      <w:r w:rsidR="00C86C5C" w:rsidRPr="000E48AE">
        <w:rPr>
          <w:rFonts w:asciiTheme="majorHAnsi" w:hAnsiTheme="majorHAnsi" w:cstheme="minorHAnsi"/>
        </w:rPr>
        <w:t>k artışın ardında ılımlı GSYH artışına</w:t>
      </w:r>
      <w:r w:rsidR="0013293D">
        <w:rPr>
          <w:rFonts w:asciiTheme="majorHAnsi" w:hAnsiTheme="majorHAnsi" w:cstheme="minorHAnsi"/>
        </w:rPr>
        <w:t xml:space="preserve"> </w:t>
      </w:r>
      <w:r w:rsidR="006E35BD" w:rsidRPr="000E48AE">
        <w:rPr>
          <w:rFonts w:asciiTheme="majorHAnsi" w:hAnsiTheme="majorHAnsi" w:cstheme="minorHAnsi"/>
        </w:rPr>
        <w:t>karşılık</w:t>
      </w:r>
      <w:r w:rsidR="00781136">
        <w:rPr>
          <w:rFonts w:asciiTheme="majorHAnsi" w:hAnsiTheme="majorHAnsi" w:cstheme="minorHAnsi"/>
        </w:rPr>
        <w:t xml:space="preserve"> her iki sektörde </w:t>
      </w:r>
      <w:r w:rsidR="006E35BD" w:rsidRPr="000E48AE">
        <w:rPr>
          <w:rFonts w:asciiTheme="majorHAnsi" w:hAnsiTheme="majorHAnsi" w:cstheme="minorHAnsi"/>
        </w:rPr>
        <w:t>istihdam artışı</w:t>
      </w:r>
      <w:r w:rsidR="00781136">
        <w:rPr>
          <w:rFonts w:asciiTheme="majorHAnsi" w:hAnsiTheme="majorHAnsi" w:cstheme="minorHAnsi"/>
        </w:rPr>
        <w:t>nın da yüksek seyretmesidir.</w:t>
      </w:r>
    </w:p>
    <w:p w:rsidR="006E280C" w:rsidRPr="006E280C" w:rsidRDefault="006E280C" w:rsidP="006E280C">
      <w:pPr>
        <w:spacing w:line="360" w:lineRule="auto"/>
        <w:jc w:val="both"/>
        <w:rPr>
          <w:rFonts w:asciiTheme="majorHAnsi" w:hAnsiTheme="majorHAnsi" w:cstheme="minorHAnsi"/>
        </w:rPr>
      </w:pPr>
    </w:p>
    <w:p w:rsidR="00D11A8E" w:rsidRPr="003F36C4" w:rsidRDefault="00B57853" w:rsidP="0027354C">
      <w:pPr>
        <w:spacing w:line="360" w:lineRule="auto"/>
        <w:rPr>
          <w:rFonts w:asciiTheme="majorHAnsi" w:hAnsiTheme="majorHAnsi" w:cstheme="minorHAnsi"/>
          <w:b/>
          <w:color w:val="FF0000"/>
        </w:rPr>
      </w:pPr>
      <w:r w:rsidRPr="000E48AE">
        <w:rPr>
          <w:rFonts w:asciiTheme="majorHAnsi" w:hAnsiTheme="majorHAnsi" w:cstheme="minorHAnsi"/>
          <w:b/>
        </w:rPr>
        <w:t>Krizden güçlü çıkış - Emek verimliliğinde artış (2009</w:t>
      </w:r>
      <w:r w:rsidR="00175D54">
        <w:rPr>
          <w:rFonts w:asciiTheme="majorHAnsi" w:hAnsiTheme="majorHAnsi" w:cstheme="minorHAnsi"/>
          <w:b/>
        </w:rPr>
        <w:t>(</w:t>
      </w:r>
      <w:r w:rsidR="007D3E4D" w:rsidRPr="000E48AE">
        <w:rPr>
          <w:rFonts w:asciiTheme="majorHAnsi" w:hAnsiTheme="majorHAnsi" w:cstheme="minorHAnsi"/>
          <w:b/>
        </w:rPr>
        <w:t>2</w:t>
      </w:r>
      <w:r w:rsidR="00175D54">
        <w:rPr>
          <w:rFonts w:asciiTheme="majorHAnsi" w:hAnsiTheme="majorHAnsi" w:cstheme="minorHAnsi"/>
          <w:b/>
        </w:rPr>
        <w:t>) -</w:t>
      </w:r>
      <w:r w:rsidR="007D3E4D" w:rsidRPr="000E48AE">
        <w:rPr>
          <w:rFonts w:asciiTheme="majorHAnsi" w:hAnsiTheme="majorHAnsi" w:cstheme="minorHAnsi"/>
          <w:b/>
        </w:rPr>
        <w:t xml:space="preserve"> </w:t>
      </w:r>
      <w:r w:rsidRPr="000E48AE">
        <w:rPr>
          <w:rFonts w:asciiTheme="majorHAnsi" w:hAnsiTheme="majorHAnsi" w:cstheme="minorHAnsi"/>
          <w:b/>
        </w:rPr>
        <w:t>2013</w:t>
      </w:r>
      <w:r w:rsidR="00175D54">
        <w:rPr>
          <w:rFonts w:asciiTheme="majorHAnsi" w:hAnsiTheme="majorHAnsi" w:cstheme="minorHAnsi"/>
          <w:b/>
        </w:rPr>
        <w:t>(</w:t>
      </w:r>
      <w:r w:rsidRPr="000E48AE">
        <w:rPr>
          <w:rFonts w:asciiTheme="majorHAnsi" w:hAnsiTheme="majorHAnsi" w:cstheme="minorHAnsi"/>
          <w:b/>
        </w:rPr>
        <w:t>4)</w:t>
      </w:r>
      <w:r w:rsidR="00175D54">
        <w:rPr>
          <w:rFonts w:asciiTheme="majorHAnsi" w:hAnsiTheme="majorHAnsi" w:cstheme="minorHAnsi"/>
          <w:b/>
        </w:rPr>
        <w:t>)</w:t>
      </w:r>
    </w:p>
    <w:p w:rsidR="00885274" w:rsidRDefault="00B226B5" w:rsidP="0027354C">
      <w:pPr>
        <w:spacing w:line="360" w:lineRule="auto"/>
        <w:jc w:val="both"/>
        <w:rPr>
          <w:rFonts w:asciiTheme="majorHAnsi" w:hAnsiTheme="majorHAnsi" w:cstheme="minorHAnsi"/>
        </w:rPr>
      </w:pPr>
      <w:r w:rsidRPr="000E48AE">
        <w:rPr>
          <w:rFonts w:asciiTheme="majorHAnsi" w:hAnsiTheme="majorHAnsi" w:cstheme="minorHAnsi"/>
        </w:rPr>
        <w:t>Kriz döneminin analizi</w:t>
      </w:r>
      <w:r w:rsidR="00B26434" w:rsidRPr="000E48AE">
        <w:rPr>
          <w:rFonts w:asciiTheme="majorHAnsi" w:hAnsiTheme="majorHAnsi" w:cstheme="minorHAnsi"/>
        </w:rPr>
        <w:t>,</w:t>
      </w:r>
      <w:r w:rsidR="0013293D">
        <w:rPr>
          <w:rFonts w:asciiTheme="majorHAnsi" w:hAnsiTheme="majorHAnsi" w:cstheme="minorHAnsi"/>
        </w:rPr>
        <w:t xml:space="preserve"> </w:t>
      </w:r>
      <w:r w:rsidR="008D3D8C">
        <w:rPr>
          <w:rFonts w:asciiTheme="majorHAnsi" w:hAnsiTheme="majorHAnsi" w:cstheme="minorHAnsi"/>
        </w:rPr>
        <w:t xml:space="preserve">EV’ne </w:t>
      </w:r>
      <w:r w:rsidRPr="000E48AE">
        <w:rPr>
          <w:rFonts w:asciiTheme="majorHAnsi" w:hAnsiTheme="majorHAnsi" w:cstheme="minorHAnsi"/>
        </w:rPr>
        <w:t>dair yorum yapmak</w:t>
      </w:r>
      <w:r w:rsidR="00AE2FAA" w:rsidRPr="000E48AE">
        <w:rPr>
          <w:rFonts w:asciiTheme="majorHAnsi" w:hAnsiTheme="majorHAnsi" w:cstheme="minorHAnsi"/>
        </w:rPr>
        <w:t xml:space="preserve"> açısından </w:t>
      </w:r>
      <w:r w:rsidR="00CF66E7" w:rsidRPr="000E48AE">
        <w:rPr>
          <w:rFonts w:asciiTheme="majorHAnsi" w:hAnsiTheme="majorHAnsi" w:cstheme="minorHAnsi"/>
        </w:rPr>
        <w:t xml:space="preserve">çok </w:t>
      </w:r>
      <w:r w:rsidR="00AE2FAA" w:rsidRPr="000E48AE">
        <w:rPr>
          <w:rFonts w:asciiTheme="majorHAnsi" w:hAnsiTheme="majorHAnsi" w:cstheme="minorHAnsi"/>
        </w:rPr>
        <w:t>anlamlı değil</w:t>
      </w:r>
      <w:r w:rsidR="00CF66E7" w:rsidRPr="000E48AE">
        <w:rPr>
          <w:rFonts w:asciiTheme="majorHAnsi" w:hAnsiTheme="majorHAnsi" w:cstheme="minorHAnsi"/>
        </w:rPr>
        <w:t>dir</w:t>
      </w:r>
      <w:r w:rsidR="00AE2FAA" w:rsidRPr="000E48AE">
        <w:rPr>
          <w:rFonts w:asciiTheme="majorHAnsi" w:hAnsiTheme="majorHAnsi" w:cstheme="minorHAnsi"/>
        </w:rPr>
        <w:t xml:space="preserve">. </w:t>
      </w:r>
      <w:r w:rsidR="006A0167" w:rsidRPr="000E48AE">
        <w:rPr>
          <w:rFonts w:asciiTheme="majorHAnsi" w:hAnsiTheme="majorHAnsi" w:cstheme="minorHAnsi"/>
        </w:rPr>
        <w:t>Ekonominin genelinde</w:t>
      </w:r>
      <w:r w:rsidR="00343DB5" w:rsidRPr="000E48AE">
        <w:rPr>
          <w:rFonts w:asciiTheme="majorHAnsi" w:hAnsiTheme="majorHAnsi" w:cstheme="minorHAnsi"/>
        </w:rPr>
        <w:t xml:space="preserve"> olduğu gibi</w:t>
      </w:r>
      <w:r w:rsidR="006A0167" w:rsidRPr="000E48AE">
        <w:rPr>
          <w:rFonts w:asciiTheme="majorHAnsi" w:hAnsiTheme="majorHAnsi" w:cstheme="minorHAnsi"/>
        </w:rPr>
        <w:t xml:space="preserve"> GSYH </w:t>
      </w:r>
      <w:r w:rsidR="00343DB5" w:rsidRPr="000E48AE">
        <w:rPr>
          <w:rFonts w:asciiTheme="majorHAnsi" w:hAnsiTheme="majorHAnsi" w:cstheme="minorHAnsi"/>
        </w:rPr>
        <w:t>tarım hariç sanayi, inşaat ve hizmet s</w:t>
      </w:r>
      <w:r w:rsidR="0013293D">
        <w:rPr>
          <w:rFonts w:asciiTheme="majorHAnsi" w:hAnsiTheme="majorHAnsi" w:cstheme="minorHAnsi"/>
        </w:rPr>
        <w:t>e</w:t>
      </w:r>
      <w:r w:rsidR="00343DB5" w:rsidRPr="000E48AE">
        <w:rPr>
          <w:rFonts w:asciiTheme="majorHAnsi" w:hAnsiTheme="majorHAnsi" w:cstheme="minorHAnsi"/>
        </w:rPr>
        <w:t>k</w:t>
      </w:r>
      <w:r w:rsidR="00710DDF">
        <w:rPr>
          <w:rFonts w:asciiTheme="majorHAnsi" w:hAnsiTheme="majorHAnsi" w:cstheme="minorHAnsi"/>
        </w:rPr>
        <w:t>töründe 4 çeyrek boyunca (2008(2)</w:t>
      </w:r>
      <w:r w:rsidR="00FE497B">
        <w:rPr>
          <w:rFonts w:asciiTheme="majorHAnsi" w:hAnsiTheme="majorHAnsi" w:cstheme="minorHAnsi"/>
        </w:rPr>
        <w:t>/</w:t>
      </w:r>
      <w:r w:rsidR="00710DDF">
        <w:rPr>
          <w:rFonts w:asciiTheme="majorHAnsi" w:hAnsiTheme="majorHAnsi" w:cstheme="minorHAnsi"/>
        </w:rPr>
        <w:t>2009(</w:t>
      </w:r>
      <w:r w:rsidR="00343DB5" w:rsidRPr="000E48AE">
        <w:rPr>
          <w:rFonts w:asciiTheme="majorHAnsi" w:hAnsiTheme="majorHAnsi" w:cstheme="minorHAnsi"/>
        </w:rPr>
        <w:t>1)</w:t>
      </w:r>
      <w:r w:rsidR="00710DDF">
        <w:rPr>
          <w:rFonts w:asciiTheme="majorHAnsi" w:hAnsiTheme="majorHAnsi" w:cstheme="minorHAnsi"/>
        </w:rPr>
        <w:t>)</w:t>
      </w:r>
      <w:r w:rsidR="00343DB5" w:rsidRPr="000E48AE">
        <w:rPr>
          <w:rFonts w:asciiTheme="majorHAnsi" w:hAnsiTheme="majorHAnsi" w:cstheme="minorHAnsi"/>
        </w:rPr>
        <w:t xml:space="preserve"> </w:t>
      </w:r>
      <w:r w:rsidR="006A0167" w:rsidRPr="000E48AE">
        <w:rPr>
          <w:rFonts w:asciiTheme="majorHAnsi" w:hAnsiTheme="majorHAnsi" w:cstheme="minorHAnsi"/>
        </w:rPr>
        <w:t>önemli ölçüde azalırken</w:t>
      </w:r>
      <w:r w:rsidR="00343DB5" w:rsidRPr="000E48AE">
        <w:rPr>
          <w:rFonts w:asciiTheme="majorHAnsi" w:hAnsiTheme="majorHAnsi" w:cstheme="minorHAnsi"/>
        </w:rPr>
        <w:t xml:space="preserve"> (</w:t>
      </w:r>
      <w:r w:rsidR="00710DDF">
        <w:rPr>
          <w:rFonts w:asciiTheme="majorHAnsi" w:hAnsiTheme="majorHAnsi" w:cstheme="minorHAnsi"/>
        </w:rPr>
        <w:t xml:space="preserve">Ek </w:t>
      </w:r>
      <w:r w:rsidR="00343DB5" w:rsidRPr="000E48AE">
        <w:rPr>
          <w:rFonts w:asciiTheme="majorHAnsi" w:hAnsiTheme="majorHAnsi" w:cstheme="minorHAnsi"/>
        </w:rPr>
        <w:t>Tablo 1)</w:t>
      </w:r>
      <w:r w:rsidR="00710DDF">
        <w:rPr>
          <w:rFonts w:asciiTheme="majorHAnsi" w:hAnsiTheme="majorHAnsi" w:cstheme="minorHAnsi"/>
        </w:rPr>
        <w:t xml:space="preserve"> </w:t>
      </w:r>
      <w:r w:rsidR="00343DB5" w:rsidRPr="000E48AE">
        <w:rPr>
          <w:rFonts w:asciiTheme="majorHAnsi" w:hAnsiTheme="majorHAnsi" w:cstheme="minorHAnsi"/>
        </w:rPr>
        <w:t>istihdam bu daralmayı izlememiştir. İ</w:t>
      </w:r>
      <w:r w:rsidR="006A0167" w:rsidRPr="000E48AE">
        <w:rPr>
          <w:rFonts w:asciiTheme="majorHAnsi" w:hAnsiTheme="majorHAnsi" w:cstheme="minorHAnsi"/>
        </w:rPr>
        <w:t>şten çıkarma maliyetlerin yüksekliği</w:t>
      </w:r>
      <w:r w:rsidR="0013293D">
        <w:rPr>
          <w:rFonts w:asciiTheme="majorHAnsi" w:hAnsiTheme="majorHAnsi" w:cstheme="minorHAnsi"/>
        </w:rPr>
        <w:t xml:space="preserve"> </w:t>
      </w:r>
      <w:r w:rsidR="006A0167" w:rsidRPr="000E48AE">
        <w:rPr>
          <w:rFonts w:asciiTheme="majorHAnsi" w:hAnsiTheme="majorHAnsi" w:cstheme="minorHAnsi"/>
        </w:rPr>
        <w:t xml:space="preserve">krizin </w:t>
      </w:r>
      <w:r w:rsidR="00343DB5" w:rsidRPr="000E48AE">
        <w:rPr>
          <w:rFonts w:asciiTheme="majorHAnsi" w:hAnsiTheme="majorHAnsi" w:cstheme="minorHAnsi"/>
        </w:rPr>
        <w:t>uzun sürmeyebileceği algısı ile birl</w:t>
      </w:r>
      <w:r w:rsidR="00B458E4">
        <w:rPr>
          <w:rFonts w:asciiTheme="majorHAnsi" w:hAnsiTheme="majorHAnsi" w:cstheme="minorHAnsi"/>
        </w:rPr>
        <w:t>e</w:t>
      </w:r>
      <w:r w:rsidR="00343DB5" w:rsidRPr="000E48AE">
        <w:rPr>
          <w:rFonts w:asciiTheme="majorHAnsi" w:hAnsiTheme="majorHAnsi" w:cstheme="minorHAnsi"/>
        </w:rPr>
        <w:t xml:space="preserve">ştiğinden </w:t>
      </w:r>
      <w:r w:rsidR="00B458E4">
        <w:rPr>
          <w:rFonts w:asciiTheme="majorHAnsi" w:hAnsiTheme="majorHAnsi" w:cstheme="minorHAnsi"/>
        </w:rPr>
        <w:t xml:space="preserve">muhtemelen </w:t>
      </w:r>
      <w:r w:rsidR="00343DB5" w:rsidRPr="000E48AE">
        <w:rPr>
          <w:rFonts w:asciiTheme="majorHAnsi" w:hAnsiTheme="majorHAnsi" w:cstheme="minorHAnsi"/>
        </w:rPr>
        <w:t xml:space="preserve">sanayi ve inşaat firmaları istihdamlarını (özellikle deneyimli ve vasıflı çalışanlarını korumayı) tercih etmiştir. Bu davranışı </w:t>
      </w:r>
      <w:r w:rsidR="006A0167" w:rsidRPr="000E48AE">
        <w:rPr>
          <w:rFonts w:asciiTheme="majorHAnsi" w:hAnsiTheme="majorHAnsi" w:cstheme="minorHAnsi"/>
        </w:rPr>
        <w:t>kısa süreli ç</w:t>
      </w:r>
      <w:r w:rsidR="00343DB5" w:rsidRPr="000E48AE">
        <w:rPr>
          <w:rFonts w:asciiTheme="majorHAnsi" w:hAnsiTheme="majorHAnsi" w:cstheme="minorHAnsi"/>
        </w:rPr>
        <w:t>alışmaya verilen devlet desteği de desteklemiştir. Bu nedenlerle sanayi ve inşatta istihdam daralması dalgalı seyretmiş ve çok sınırlı kalmıştır (</w:t>
      </w:r>
      <w:r w:rsidR="00710DDF">
        <w:rPr>
          <w:rFonts w:asciiTheme="majorHAnsi" w:hAnsiTheme="majorHAnsi" w:cstheme="minorHAnsi"/>
        </w:rPr>
        <w:t xml:space="preserve">Ek </w:t>
      </w:r>
      <w:r w:rsidR="00343DB5" w:rsidRPr="000E48AE">
        <w:rPr>
          <w:rFonts w:asciiTheme="majorHAnsi" w:hAnsiTheme="majorHAnsi" w:cstheme="minorHAnsi"/>
        </w:rPr>
        <w:t xml:space="preserve">Tablo 1). </w:t>
      </w:r>
    </w:p>
    <w:p w:rsidR="005826C4" w:rsidRPr="000E48AE" w:rsidRDefault="00343DB5" w:rsidP="0027354C">
      <w:pPr>
        <w:spacing w:line="360" w:lineRule="auto"/>
        <w:jc w:val="both"/>
        <w:rPr>
          <w:rFonts w:asciiTheme="majorHAnsi" w:hAnsiTheme="majorHAnsi" w:cstheme="minorHAnsi"/>
        </w:rPr>
      </w:pPr>
      <w:r w:rsidRPr="000E48AE">
        <w:rPr>
          <w:rFonts w:asciiTheme="majorHAnsi" w:hAnsiTheme="majorHAnsi" w:cstheme="minorHAnsi"/>
        </w:rPr>
        <w:t xml:space="preserve">Hizmetlerde ise istihdam az da olsa artmıştır. Bu artışın </w:t>
      </w:r>
      <w:r w:rsidR="005F3058" w:rsidRPr="000E48AE">
        <w:rPr>
          <w:rFonts w:asciiTheme="majorHAnsi" w:hAnsiTheme="majorHAnsi" w:cstheme="minorHAnsi"/>
        </w:rPr>
        <w:t xml:space="preserve">nedenleri arasında </w:t>
      </w:r>
      <w:r w:rsidRPr="000E48AE">
        <w:rPr>
          <w:rFonts w:asciiTheme="majorHAnsi" w:hAnsiTheme="majorHAnsi" w:cstheme="minorHAnsi"/>
        </w:rPr>
        <w:t xml:space="preserve">andığımız etkenler bulunduğu gibi </w:t>
      </w:r>
      <w:r w:rsidR="005F3058" w:rsidRPr="000E48AE">
        <w:rPr>
          <w:rFonts w:asciiTheme="majorHAnsi" w:hAnsiTheme="majorHAnsi" w:cstheme="minorHAnsi"/>
        </w:rPr>
        <w:t>esasen işgücü ekonomisinde “ek çalışan etkisi” olarak anılan ve özellikle inaktif kadınları kapsayan neden söz konusudur.</w:t>
      </w:r>
      <w:r w:rsidR="00885274">
        <w:rPr>
          <w:rFonts w:asciiTheme="majorHAnsi" w:hAnsiTheme="majorHAnsi" w:cstheme="minorHAnsi"/>
        </w:rPr>
        <w:t xml:space="preserve"> </w:t>
      </w:r>
      <w:r w:rsidR="00B458E4">
        <w:rPr>
          <w:rFonts w:asciiTheme="majorHAnsi" w:hAnsiTheme="majorHAnsi" w:cstheme="minorHAnsi"/>
        </w:rPr>
        <w:t>Bu geliş</w:t>
      </w:r>
      <w:r w:rsidR="005F3058" w:rsidRPr="000E48AE">
        <w:rPr>
          <w:rFonts w:asciiTheme="majorHAnsi" w:hAnsiTheme="majorHAnsi" w:cstheme="minorHAnsi"/>
        </w:rPr>
        <w:t>melerin sonucunda bu sektörlerde emek verimliğinde gerilemeler gerçekleşmiştir (</w:t>
      </w:r>
      <w:r w:rsidR="00710DDF">
        <w:rPr>
          <w:rFonts w:asciiTheme="majorHAnsi" w:hAnsiTheme="majorHAnsi" w:cstheme="minorHAnsi"/>
        </w:rPr>
        <w:t xml:space="preserve">Ek </w:t>
      </w:r>
      <w:r w:rsidR="005F3058" w:rsidRPr="000E48AE">
        <w:rPr>
          <w:rFonts w:asciiTheme="majorHAnsi" w:hAnsiTheme="majorHAnsi" w:cstheme="minorHAnsi"/>
        </w:rPr>
        <w:t>Tablo 2). Ancak gerileme yapısa</w:t>
      </w:r>
      <w:r w:rsidR="000B57F7">
        <w:rPr>
          <w:rFonts w:asciiTheme="majorHAnsi" w:hAnsiTheme="majorHAnsi" w:cstheme="minorHAnsi"/>
        </w:rPr>
        <w:t>l olmayıp konjonktürel dolayısı</w:t>
      </w:r>
      <w:r w:rsidR="005F3058" w:rsidRPr="000E48AE">
        <w:rPr>
          <w:rFonts w:asciiTheme="majorHAnsi" w:hAnsiTheme="majorHAnsi" w:cstheme="minorHAnsi"/>
        </w:rPr>
        <w:t>yla geçici bir sonuç olarak görülmelidir.</w:t>
      </w:r>
    </w:p>
    <w:p w:rsidR="009D47F5" w:rsidRPr="000E48AE" w:rsidRDefault="00C93C48" w:rsidP="0027354C">
      <w:pPr>
        <w:spacing w:line="360" w:lineRule="auto"/>
        <w:jc w:val="both"/>
        <w:rPr>
          <w:rFonts w:asciiTheme="majorHAnsi" w:hAnsiTheme="majorHAnsi" w:cstheme="minorHAnsi"/>
        </w:rPr>
      </w:pPr>
      <w:r w:rsidRPr="000E48AE">
        <w:rPr>
          <w:rFonts w:asciiTheme="majorHAnsi" w:hAnsiTheme="majorHAnsi" w:cstheme="minorHAnsi"/>
        </w:rPr>
        <w:t>2010</w:t>
      </w:r>
      <w:r w:rsidR="00AE2FAA" w:rsidRPr="000E48AE">
        <w:rPr>
          <w:rFonts w:asciiTheme="majorHAnsi" w:hAnsiTheme="majorHAnsi" w:cstheme="minorHAnsi"/>
        </w:rPr>
        <w:t xml:space="preserve">’un </w:t>
      </w:r>
      <w:r w:rsidRPr="000E48AE">
        <w:rPr>
          <w:rFonts w:asciiTheme="majorHAnsi" w:hAnsiTheme="majorHAnsi" w:cstheme="minorHAnsi"/>
        </w:rPr>
        <w:t>başından</w:t>
      </w:r>
      <w:r w:rsidR="00AE2FAA" w:rsidRPr="000E48AE">
        <w:rPr>
          <w:rFonts w:asciiTheme="majorHAnsi" w:hAnsiTheme="majorHAnsi" w:cstheme="minorHAnsi"/>
        </w:rPr>
        <w:t xml:space="preserve"> itibaren Türkiye ekonom</w:t>
      </w:r>
      <w:r w:rsidR="00CB00B6" w:rsidRPr="000E48AE">
        <w:rPr>
          <w:rFonts w:asciiTheme="majorHAnsi" w:hAnsiTheme="majorHAnsi" w:cstheme="minorHAnsi"/>
        </w:rPr>
        <w:t>isi krizden hızla çıkmış ve 2013’ün sonuna</w:t>
      </w:r>
      <w:r w:rsidR="00AE2FAA" w:rsidRPr="000E48AE">
        <w:rPr>
          <w:rFonts w:asciiTheme="majorHAnsi" w:hAnsiTheme="majorHAnsi" w:cstheme="minorHAnsi"/>
        </w:rPr>
        <w:t xml:space="preserve"> kadar çok yüksek büyüme hızları gerçekleşmiştir. </w:t>
      </w:r>
      <w:r w:rsidR="00827F2A" w:rsidRPr="000E48AE">
        <w:rPr>
          <w:rFonts w:asciiTheme="majorHAnsi" w:hAnsiTheme="majorHAnsi" w:cstheme="minorHAnsi"/>
        </w:rPr>
        <w:t>Tek istisna devasa boyutlara ulaşan cari açığ</w:t>
      </w:r>
      <w:r w:rsidR="000B57F7">
        <w:rPr>
          <w:rFonts w:asciiTheme="majorHAnsi" w:hAnsiTheme="majorHAnsi" w:cstheme="minorHAnsi"/>
        </w:rPr>
        <w:t>ı</w:t>
      </w:r>
      <w:r w:rsidR="00827F2A" w:rsidRPr="000E48AE">
        <w:rPr>
          <w:rFonts w:asciiTheme="majorHAnsi" w:hAnsiTheme="majorHAnsi" w:cstheme="minorHAnsi"/>
        </w:rPr>
        <w:t xml:space="preserve"> kontrol altına almak için uygulanan iç talebi kısıcı pol</w:t>
      </w:r>
      <w:r w:rsidR="009D47F5" w:rsidRPr="000E48AE">
        <w:rPr>
          <w:rFonts w:asciiTheme="majorHAnsi" w:hAnsiTheme="majorHAnsi" w:cstheme="minorHAnsi"/>
        </w:rPr>
        <w:t>i</w:t>
      </w:r>
      <w:r w:rsidR="00827F2A" w:rsidRPr="000E48AE">
        <w:rPr>
          <w:rFonts w:asciiTheme="majorHAnsi" w:hAnsiTheme="majorHAnsi" w:cstheme="minorHAnsi"/>
        </w:rPr>
        <w:t>tikaların etkisiyle</w:t>
      </w:r>
      <w:r w:rsidR="000B57F7">
        <w:rPr>
          <w:rFonts w:asciiTheme="majorHAnsi" w:hAnsiTheme="majorHAnsi" w:cstheme="minorHAnsi"/>
        </w:rPr>
        <w:t xml:space="preserve"> (“den</w:t>
      </w:r>
      <w:r w:rsidR="009D47F5" w:rsidRPr="000E48AE">
        <w:rPr>
          <w:rFonts w:asciiTheme="majorHAnsi" w:hAnsiTheme="majorHAnsi" w:cstheme="minorHAnsi"/>
        </w:rPr>
        <w:t>geli büyüme” politikaları) GSYH artışının</w:t>
      </w:r>
      <w:r w:rsidR="00827F2A" w:rsidRPr="000E48AE">
        <w:rPr>
          <w:rFonts w:asciiTheme="majorHAnsi" w:hAnsiTheme="majorHAnsi" w:cstheme="minorHAnsi"/>
        </w:rPr>
        <w:t xml:space="preserve"> yüzde 4 civarına gerilediği 2012 yılıdır.</w:t>
      </w:r>
      <w:r w:rsidR="009D47F5" w:rsidRPr="000E48AE">
        <w:rPr>
          <w:rFonts w:asciiTheme="majorHAnsi" w:hAnsiTheme="majorHAnsi" w:cstheme="minorHAnsi"/>
        </w:rPr>
        <w:t xml:space="preserve"> Diğer yıllarda büyüme oranı yüzde 8’in üzerinde gerçekleşmiştir.</w:t>
      </w:r>
    </w:p>
    <w:p w:rsidR="008B3308" w:rsidRPr="000E48AE" w:rsidRDefault="00827F2A" w:rsidP="008B3308">
      <w:pPr>
        <w:spacing w:line="360" w:lineRule="auto"/>
        <w:jc w:val="both"/>
        <w:rPr>
          <w:rFonts w:asciiTheme="majorHAnsi" w:hAnsiTheme="majorHAnsi" w:cstheme="minorHAnsi"/>
        </w:rPr>
      </w:pPr>
      <w:r w:rsidRPr="000E48AE">
        <w:rPr>
          <w:rFonts w:asciiTheme="majorHAnsi" w:hAnsiTheme="majorHAnsi" w:cstheme="minorHAnsi"/>
        </w:rPr>
        <w:t xml:space="preserve">Ekonominin genelinden sektörlere inildiğinde </w:t>
      </w:r>
      <w:r w:rsidR="00C00AD7">
        <w:rPr>
          <w:rFonts w:asciiTheme="majorHAnsi" w:hAnsiTheme="majorHAnsi" w:cstheme="minorHAnsi"/>
        </w:rPr>
        <w:t>EV’nin</w:t>
      </w:r>
      <w:r w:rsidR="009E0CFD" w:rsidRPr="000E48AE">
        <w:rPr>
          <w:rFonts w:asciiTheme="majorHAnsi" w:hAnsiTheme="majorHAnsi" w:cstheme="minorHAnsi"/>
        </w:rPr>
        <w:t xml:space="preserve"> büyümeye katkısı</w:t>
      </w:r>
      <w:r w:rsidRPr="000E48AE">
        <w:rPr>
          <w:rFonts w:asciiTheme="majorHAnsi" w:hAnsiTheme="majorHAnsi" w:cstheme="minorHAnsi"/>
        </w:rPr>
        <w:t>nın</w:t>
      </w:r>
      <w:r w:rsidR="009E0CFD" w:rsidRPr="000E48AE">
        <w:rPr>
          <w:rFonts w:asciiTheme="majorHAnsi" w:hAnsiTheme="majorHAnsi" w:cstheme="minorHAnsi"/>
        </w:rPr>
        <w:t xml:space="preserve"> sektörden sektöre </w:t>
      </w:r>
      <w:r w:rsidRPr="000E48AE">
        <w:rPr>
          <w:rFonts w:asciiTheme="majorHAnsi" w:hAnsiTheme="majorHAnsi" w:cstheme="minorHAnsi"/>
        </w:rPr>
        <w:t>farklılaştığı gözlemlenmektedir.</w:t>
      </w:r>
      <w:r w:rsidR="00943F18">
        <w:rPr>
          <w:rFonts w:asciiTheme="majorHAnsi" w:hAnsiTheme="majorHAnsi" w:cstheme="minorHAnsi"/>
        </w:rPr>
        <w:t xml:space="preserve"> </w:t>
      </w:r>
      <w:r w:rsidR="004425C3" w:rsidRPr="000E48AE">
        <w:rPr>
          <w:rFonts w:asciiTheme="majorHAnsi" w:hAnsiTheme="majorHAnsi" w:cstheme="minorHAnsi"/>
        </w:rPr>
        <w:t>Krizden hızlı çıkış döneminde</w:t>
      </w:r>
      <w:r w:rsidR="00A6503A" w:rsidRPr="000E48AE">
        <w:rPr>
          <w:rFonts w:asciiTheme="majorHAnsi" w:hAnsiTheme="majorHAnsi" w:cstheme="minorHAnsi"/>
        </w:rPr>
        <w:t>, tarım dışı</w:t>
      </w:r>
      <w:r w:rsidR="00910509" w:rsidRPr="000E48AE">
        <w:rPr>
          <w:rFonts w:asciiTheme="majorHAnsi" w:hAnsiTheme="majorHAnsi" w:cstheme="minorHAnsi"/>
        </w:rPr>
        <w:t xml:space="preserve"> sektörlerde </w:t>
      </w:r>
      <w:r w:rsidR="009E0CFD" w:rsidRPr="000E48AE">
        <w:rPr>
          <w:rFonts w:asciiTheme="majorHAnsi" w:hAnsiTheme="majorHAnsi" w:cstheme="minorHAnsi"/>
        </w:rPr>
        <w:t>emek verimli</w:t>
      </w:r>
      <w:r w:rsidR="009C0BDC" w:rsidRPr="000E48AE">
        <w:rPr>
          <w:rFonts w:asciiTheme="majorHAnsi" w:hAnsiTheme="majorHAnsi" w:cstheme="minorHAnsi"/>
        </w:rPr>
        <w:t xml:space="preserve">ği </w:t>
      </w:r>
      <w:r w:rsidR="009E0CFD" w:rsidRPr="000E48AE">
        <w:rPr>
          <w:rFonts w:asciiTheme="majorHAnsi" w:hAnsiTheme="majorHAnsi" w:cstheme="minorHAnsi"/>
        </w:rPr>
        <w:t>artı</w:t>
      </w:r>
      <w:r w:rsidR="009C0BDC" w:rsidRPr="000E48AE">
        <w:rPr>
          <w:rFonts w:asciiTheme="majorHAnsi" w:hAnsiTheme="majorHAnsi" w:cstheme="minorHAnsi"/>
        </w:rPr>
        <w:t>şları belirgin ve istikrarlıdır</w:t>
      </w:r>
      <w:r w:rsidR="00A6503A" w:rsidRPr="000E48AE">
        <w:rPr>
          <w:rFonts w:asciiTheme="majorHAnsi" w:hAnsiTheme="majorHAnsi" w:cstheme="minorHAnsi"/>
        </w:rPr>
        <w:t xml:space="preserve">. </w:t>
      </w:r>
      <w:r w:rsidR="009F3636" w:rsidRPr="000E48AE">
        <w:rPr>
          <w:rFonts w:asciiTheme="majorHAnsi" w:hAnsiTheme="majorHAnsi" w:cstheme="minorHAnsi"/>
        </w:rPr>
        <w:t>Tablo 1 ve 2’de yer alan endeks rakamları itibariyle e</w:t>
      </w:r>
      <w:r w:rsidR="009E7EF1" w:rsidRPr="000E48AE">
        <w:rPr>
          <w:rFonts w:asciiTheme="majorHAnsi" w:hAnsiTheme="majorHAnsi" w:cstheme="minorHAnsi"/>
        </w:rPr>
        <w:t>n yüksek artış</w:t>
      </w:r>
      <w:r w:rsidR="009F3636" w:rsidRPr="000E48AE">
        <w:rPr>
          <w:rFonts w:asciiTheme="majorHAnsi" w:hAnsiTheme="majorHAnsi" w:cstheme="minorHAnsi"/>
        </w:rPr>
        <w:t>ın</w:t>
      </w:r>
      <w:r w:rsidR="009E7EF1" w:rsidRPr="000E48AE">
        <w:rPr>
          <w:rFonts w:asciiTheme="majorHAnsi" w:hAnsiTheme="majorHAnsi" w:cstheme="minorHAnsi"/>
        </w:rPr>
        <w:t xml:space="preserve"> beklendiği gibi sanayi</w:t>
      </w:r>
      <w:r w:rsidR="008B3308">
        <w:rPr>
          <w:rFonts w:asciiTheme="majorHAnsi" w:hAnsiTheme="majorHAnsi" w:cstheme="minorHAnsi"/>
        </w:rPr>
        <w:t xml:space="preserve"> ve inşaat sektörlerinde </w:t>
      </w:r>
      <w:r w:rsidR="009E7EF1" w:rsidRPr="000E48AE">
        <w:rPr>
          <w:rFonts w:asciiTheme="majorHAnsi" w:hAnsiTheme="majorHAnsi" w:cstheme="minorHAnsi"/>
        </w:rPr>
        <w:t>gerçekleş</w:t>
      </w:r>
      <w:r w:rsidR="009F3636" w:rsidRPr="000E48AE">
        <w:rPr>
          <w:rFonts w:asciiTheme="majorHAnsi" w:hAnsiTheme="majorHAnsi" w:cstheme="minorHAnsi"/>
        </w:rPr>
        <w:t>tiği görülmektedir</w:t>
      </w:r>
      <w:r w:rsidR="008B3308">
        <w:rPr>
          <w:rFonts w:asciiTheme="majorHAnsi" w:hAnsiTheme="majorHAnsi" w:cstheme="minorHAnsi"/>
        </w:rPr>
        <w:t>. Beş yıla yakın süren bu dönemde, inşaat sektöründe GSYH artışı yüzde 93,7olarak gerçekleşirken</w:t>
      </w:r>
      <w:r w:rsidR="0013293D">
        <w:rPr>
          <w:rFonts w:asciiTheme="majorHAnsi" w:hAnsiTheme="majorHAnsi" w:cstheme="minorHAnsi"/>
        </w:rPr>
        <w:t xml:space="preserve"> </w:t>
      </w:r>
      <w:r w:rsidR="008B3308" w:rsidRPr="000E48AE">
        <w:rPr>
          <w:rFonts w:asciiTheme="majorHAnsi" w:hAnsiTheme="majorHAnsi" w:cstheme="minorHAnsi"/>
        </w:rPr>
        <w:t xml:space="preserve">istihdam artışı da </w:t>
      </w:r>
      <w:r w:rsidR="008B3308">
        <w:rPr>
          <w:rFonts w:asciiTheme="majorHAnsi" w:hAnsiTheme="majorHAnsi" w:cstheme="minorHAnsi"/>
        </w:rPr>
        <w:t>yüzde 44</w:t>
      </w:r>
      <w:r w:rsidR="008B3308" w:rsidRPr="000E48AE">
        <w:rPr>
          <w:rFonts w:asciiTheme="majorHAnsi" w:hAnsiTheme="majorHAnsi" w:cstheme="minorHAnsi"/>
        </w:rPr>
        <w:t>,</w:t>
      </w:r>
      <w:r w:rsidR="008B3308">
        <w:rPr>
          <w:rFonts w:asciiTheme="majorHAnsi" w:hAnsiTheme="majorHAnsi" w:cstheme="minorHAnsi"/>
        </w:rPr>
        <w:t>6</w:t>
      </w:r>
      <w:r w:rsidR="00885274">
        <w:rPr>
          <w:rFonts w:asciiTheme="majorHAnsi" w:hAnsiTheme="majorHAnsi" w:cstheme="minorHAnsi"/>
        </w:rPr>
        <w:t xml:space="preserve"> </w:t>
      </w:r>
      <w:r w:rsidR="008B3308">
        <w:rPr>
          <w:rFonts w:asciiTheme="majorHAnsi" w:hAnsiTheme="majorHAnsi" w:cstheme="minorHAnsi"/>
        </w:rPr>
        <w:t xml:space="preserve">gibi </w:t>
      </w:r>
      <w:r w:rsidR="008B3308" w:rsidRPr="000E48AE">
        <w:rPr>
          <w:rFonts w:asciiTheme="majorHAnsi" w:hAnsiTheme="majorHAnsi" w:cstheme="minorHAnsi"/>
        </w:rPr>
        <w:t xml:space="preserve">çok yüksek </w:t>
      </w:r>
      <w:r w:rsidR="008B3308">
        <w:rPr>
          <w:rFonts w:asciiTheme="majorHAnsi" w:hAnsiTheme="majorHAnsi" w:cstheme="minorHAnsi"/>
        </w:rPr>
        <w:t xml:space="preserve">bir </w:t>
      </w:r>
      <w:r w:rsidR="008B3308">
        <w:rPr>
          <w:rFonts w:asciiTheme="majorHAnsi" w:hAnsiTheme="majorHAnsi" w:cstheme="minorHAnsi"/>
        </w:rPr>
        <w:lastRenderedPageBreak/>
        <w:t>rakam ulaşmış ve</w:t>
      </w:r>
      <w:r w:rsidR="0013293D">
        <w:rPr>
          <w:rFonts w:asciiTheme="majorHAnsi" w:hAnsiTheme="majorHAnsi" w:cstheme="minorHAnsi"/>
        </w:rPr>
        <w:t xml:space="preserve"> </w:t>
      </w:r>
      <w:r w:rsidR="008B3308">
        <w:rPr>
          <w:rFonts w:asciiTheme="majorHAnsi" w:hAnsiTheme="majorHAnsi" w:cstheme="minorHAnsi"/>
        </w:rPr>
        <w:t>EV</w:t>
      </w:r>
      <w:r w:rsidR="0013293D">
        <w:rPr>
          <w:rFonts w:asciiTheme="majorHAnsi" w:hAnsiTheme="majorHAnsi" w:cstheme="minorHAnsi"/>
        </w:rPr>
        <w:t xml:space="preserve"> </w:t>
      </w:r>
      <w:r w:rsidR="008B3308">
        <w:rPr>
          <w:rFonts w:asciiTheme="majorHAnsi" w:hAnsiTheme="majorHAnsi" w:cstheme="minorHAnsi"/>
        </w:rPr>
        <w:t xml:space="preserve">artışı yüzde 34 olmuştur </w:t>
      </w:r>
      <w:r w:rsidR="008B3308" w:rsidRPr="000E48AE">
        <w:rPr>
          <w:rFonts w:asciiTheme="majorHAnsi" w:hAnsiTheme="majorHAnsi" w:cstheme="minorHAnsi"/>
        </w:rPr>
        <w:t>(Tablo 1).</w:t>
      </w:r>
      <w:r w:rsidR="008B3308">
        <w:rPr>
          <w:rFonts w:asciiTheme="majorHAnsi" w:hAnsiTheme="majorHAnsi" w:cstheme="minorHAnsi"/>
        </w:rPr>
        <w:t xml:space="preserve"> İkinci sırada sanayi sektörü gelmektedir. Bu dönemde, sanayide,</w:t>
      </w:r>
      <w:r w:rsidR="003D56BE">
        <w:rPr>
          <w:rFonts w:asciiTheme="majorHAnsi" w:hAnsiTheme="majorHAnsi" w:cstheme="minorHAnsi"/>
        </w:rPr>
        <w:t xml:space="preserve"> </w:t>
      </w:r>
      <w:r w:rsidR="009F3636" w:rsidRPr="000E48AE">
        <w:rPr>
          <w:rFonts w:asciiTheme="majorHAnsi" w:hAnsiTheme="majorHAnsi" w:cstheme="minorHAnsi"/>
        </w:rPr>
        <w:t xml:space="preserve">GSYH </w:t>
      </w:r>
      <w:r w:rsidR="0098301F">
        <w:rPr>
          <w:rFonts w:asciiTheme="majorHAnsi" w:hAnsiTheme="majorHAnsi" w:cstheme="minorHAnsi"/>
        </w:rPr>
        <w:t xml:space="preserve">yüzde </w:t>
      </w:r>
      <w:r w:rsidR="00C00AD7">
        <w:rPr>
          <w:rFonts w:asciiTheme="majorHAnsi" w:hAnsiTheme="majorHAnsi" w:cstheme="minorHAnsi"/>
        </w:rPr>
        <w:t>5</w:t>
      </w:r>
      <w:r w:rsidR="0098301F">
        <w:rPr>
          <w:rFonts w:asciiTheme="majorHAnsi" w:hAnsiTheme="majorHAnsi" w:cstheme="minorHAnsi"/>
        </w:rPr>
        <w:t>9</w:t>
      </w:r>
      <w:r w:rsidR="009E7EF1" w:rsidRPr="000E48AE">
        <w:rPr>
          <w:rFonts w:asciiTheme="majorHAnsi" w:hAnsiTheme="majorHAnsi" w:cstheme="minorHAnsi"/>
        </w:rPr>
        <w:t>,</w:t>
      </w:r>
      <w:r w:rsidR="00C00AD7">
        <w:rPr>
          <w:rFonts w:asciiTheme="majorHAnsi" w:hAnsiTheme="majorHAnsi" w:cstheme="minorHAnsi"/>
        </w:rPr>
        <w:t>5</w:t>
      </w:r>
      <w:r w:rsidR="0098301F">
        <w:rPr>
          <w:rFonts w:asciiTheme="majorHAnsi" w:hAnsiTheme="majorHAnsi" w:cstheme="minorHAnsi"/>
        </w:rPr>
        <w:t>’luk gibi çok y</w:t>
      </w:r>
      <w:r w:rsidR="009E7EF1" w:rsidRPr="000E48AE">
        <w:rPr>
          <w:rFonts w:asciiTheme="majorHAnsi" w:hAnsiTheme="majorHAnsi" w:cstheme="minorHAnsi"/>
        </w:rPr>
        <w:t xml:space="preserve">üksek bir artış </w:t>
      </w:r>
      <w:r w:rsidR="0098301F">
        <w:rPr>
          <w:rFonts w:asciiTheme="majorHAnsi" w:hAnsiTheme="majorHAnsi" w:cstheme="minorHAnsi"/>
        </w:rPr>
        <w:t xml:space="preserve">oranına </w:t>
      </w:r>
      <w:r w:rsidR="009E7EF1" w:rsidRPr="000E48AE">
        <w:rPr>
          <w:rFonts w:asciiTheme="majorHAnsi" w:hAnsiTheme="majorHAnsi" w:cstheme="minorHAnsi"/>
        </w:rPr>
        <w:t xml:space="preserve">erişirken istihdam artışı </w:t>
      </w:r>
      <w:r w:rsidR="0098301F">
        <w:rPr>
          <w:rFonts w:asciiTheme="majorHAnsi" w:hAnsiTheme="majorHAnsi" w:cstheme="minorHAnsi"/>
        </w:rPr>
        <w:t xml:space="preserve">yüzde </w:t>
      </w:r>
      <w:r w:rsidR="009E7EF1" w:rsidRPr="000E48AE">
        <w:rPr>
          <w:rFonts w:asciiTheme="majorHAnsi" w:hAnsiTheme="majorHAnsi" w:cstheme="minorHAnsi"/>
        </w:rPr>
        <w:t>2</w:t>
      </w:r>
      <w:r w:rsidR="0098301F">
        <w:rPr>
          <w:rFonts w:asciiTheme="majorHAnsi" w:hAnsiTheme="majorHAnsi" w:cstheme="minorHAnsi"/>
        </w:rPr>
        <w:t>3</w:t>
      </w:r>
      <w:r w:rsidR="009E7EF1" w:rsidRPr="000E48AE">
        <w:rPr>
          <w:rFonts w:asciiTheme="majorHAnsi" w:hAnsiTheme="majorHAnsi" w:cstheme="minorHAnsi"/>
        </w:rPr>
        <w:t>,</w:t>
      </w:r>
      <w:r w:rsidR="003D56BE">
        <w:rPr>
          <w:rFonts w:asciiTheme="majorHAnsi" w:hAnsiTheme="majorHAnsi" w:cstheme="minorHAnsi"/>
        </w:rPr>
        <w:t>5’te</w:t>
      </w:r>
      <w:r w:rsidR="0098301F">
        <w:rPr>
          <w:rFonts w:asciiTheme="majorHAnsi" w:hAnsiTheme="majorHAnsi" w:cstheme="minorHAnsi"/>
        </w:rPr>
        <w:t xml:space="preserve"> kalmıştır</w:t>
      </w:r>
      <w:r w:rsidR="009F3636" w:rsidRPr="000E48AE">
        <w:rPr>
          <w:rFonts w:asciiTheme="majorHAnsi" w:hAnsiTheme="majorHAnsi" w:cstheme="minorHAnsi"/>
        </w:rPr>
        <w:t xml:space="preserve"> (Tablo 1)</w:t>
      </w:r>
      <w:r w:rsidR="009E7EF1" w:rsidRPr="000E48AE">
        <w:rPr>
          <w:rFonts w:asciiTheme="majorHAnsi" w:hAnsiTheme="majorHAnsi" w:cstheme="minorHAnsi"/>
        </w:rPr>
        <w:t xml:space="preserve">. </w:t>
      </w:r>
      <w:r w:rsidR="0098301F">
        <w:rPr>
          <w:rFonts w:asciiTheme="majorHAnsi" w:hAnsiTheme="majorHAnsi" w:cstheme="minorHAnsi"/>
        </w:rPr>
        <w:t>Sonuçta EV artışı oranı</w:t>
      </w:r>
      <w:r w:rsidR="009F3636" w:rsidRPr="000E48AE">
        <w:rPr>
          <w:rFonts w:asciiTheme="majorHAnsi" w:hAnsiTheme="majorHAnsi" w:cstheme="minorHAnsi"/>
        </w:rPr>
        <w:t xml:space="preserve"> sanayide </w:t>
      </w:r>
      <w:r w:rsidR="0098301F">
        <w:rPr>
          <w:rFonts w:asciiTheme="majorHAnsi" w:hAnsiTheme="majorHAnsi" w:cstheme="minorHAnsi"/>
        </w:rPr>
        <w:t>yüzde 2</w:t>
      </w:r>
      <w:r w:rsidR="008B3308">
        <w:rPr>
          <w:rFonts w:asciiTheme="majorHAnsi" w:hAnsiTheme="majorHAnsi" w:cstheme="minorHAnsi"/>
        </w:rPr>
        <w:t>9</w:t>
      </w:r>
      <w:r w:rsidR="0098301F">
        <w:rPr>
          <w:rFonts w:asciiTheme="majorHAnsi" w:hAnsiTheme="majorHAnsi" w:cstheme="minorHAnsi"/>
        </w:rPr>
        <w:t>,</w:t>
      </w:r>
      <w:r w:rsidR="008B3308">
        <w:rPr>
          <w:rFonts w:asciiTheme="majorHAnsi" w:hAnsiTheme="majorHAnsi" w:cstheme="minorHAnsi"/>
        </w:rPr>
        <w:t>2</w:t>
      </w:r>
      <w:r w:rsidR="009F3636" w:rsidRPr="000E48AE">
        <w:rPr>
          <w:rFonts w:asciiTheme="majorHAnsi" w:hAnsiTheme="majorHAnsi" w:cstheme="minorHAnsi"/>
        </w:rPr>
        <w:t xml:space="preserve"> gibi etkiley</w:t>
      </w:r>
      <w:r w:rsidR="008B3308">
        <w:rPr>
          <w:rFonts w:asciiTheme="majorHAnsi" w:hAnsiTheme="majorHAnsi" w:cstheme="minorHAnsi"/>
        </w:rPr>
        <w:t>i</w:t>
      </w:r>
      <w:r w:rsidR="009F3636" w:rsidRPr="000E48AE">
        <w:rPr>
          <w:rFonts w:asciiTheme="majorHAnsi" w:hAnsiTheme="majorHAnsi" w:cstheme="minorHAnsi"/>
        </w:rPr>
        <w:t xml:space="preserve">ci bir rakama ulaşmıştır. </w:t>
      </w:r>
    </w:p>
    <w:p w:rsidR="009E7EF1" w:rsidRDefault="009F3636" w:rsidP="0027354C">
      <w:pPr>
        <w:spacing w:line="360" w:lineRule="auto"/>
        <w:jc w:val="both"/>
        <w:rPr>
          <w:rFonts w:asciiTheme="majorHAnsi" w:hAnsiTheme="majorHAnsi" w:cstheme="minorHAnsi"/>
        </w:rPr>
      </w:pPr>
      <w:r w:rsidRPr="000E48AE">
        <w:rPr>
          <w:rFonts w:asciiTheme="majorHAnsi" w:hAnsiTheme="majorHAnsi" w:cstheme="minorHAnsi"/>
        </w:rPr>
        <w:t xml:space="preserve">Tarım ve hizmet sektörlerinde </w:t>
      </w:r>
      <w:r w:rsidR="00C00AD7">
        <w:rPr>
          <w:rFonts w:asciiTheme="majorHAnsi" w:hAnsiTheme="majorHAnsi" w:cstheme="minorHAnsi"/>
        </w:rPr>
        <w:t>EV</w:t>
      </w:r>
      <w:r w:rsidRPr="000E48AE">
        <w:rPr>
          <w:rFonts w:asciiTheme="majorHAnsi" w:hAnsiTheme="majorHAnsi" w:cstheme="minorHAnsi"/>
        </w:rPr>
        <w:t xml:space="preserve"> artışı </w:t>
      </w:r>
      <w:r w:rsidR="008B3308">
        <w:rPr>
          <w:rFonts w:asciiTheme="majorHAnsi" w:hAnsiTheme="majorHAnsi" w:cstheme="minorHAnsi"/>
        </w:rPr>
        <w:t>görece</w:t>
      </w:r>
      <w:r w:rsidRPr="000E48AE">
        <w:rPr>
          <w:rFonts w:asciiTheme="majorHAnsi" w:hAnsiTheme="majorHAnsi" w:cstheme="minorHAnsi"/>
        </w:rPr>
        <w:t xml:space="preserve"> düşük</w:t>
      </w:r>
      <w:r w:rsidR="008B3308">
        <w:rPr>
          <w:rFonts w:asciiTheme="majorHAnsi" w:hAnsiTheme="majorHAnsi" w:cstheme="minorHAnsi"/>
        </w:rPr>
        <w:t xml:space="preserve"> kalmıştır</w:t>
      </w:r>
      <w:r w:rsidRPr="000E48AE">
        <w:rPr>
          <w:rFonts w:asciiTheme="majorHAnsi" w:hAnsiTheme="majorHAnsi" w:cstheme="minorHAnsi"/>
        </w:rPr>
        <w:t xml:space="preserve">. Tarımda hem GSYH hem de istihdam artışı (beklendiği gibi) çok düşük kalırken (sırasıyla </w:t>
      </w:r>
      <w:r w:rsidR="00835413">
        <w:rPr>
          <w:rFonts w:asciiTheme="majorHAnsi" w:hAnsiTheme="majorHAnsi" w:cstheme="minorHAnsi"/>
        </w:rPr>
        <w:t xml:space="preserve">yüzde </w:t>
      </w:r>
      <w:r w:rsidR="00C00AD7">
        <w:rPr>
          <w:rFonts w:asciiTheme="majorHAnsi" w:hAnsiTheme="majorHAnsi" w:cstheme="minorHAnsi"/>
        </w:rPr>
        <w:t>1</w:t>
      </w:r>
      <w:r w:rsidR="008B3308">
        <w:rPr>
          <w:rFonts w:asciiTheme="majorHAnsi" w:hAnsiTheme="majorHAnsi" w:cstheme="minorHAnsi"/>
        </w:rPr>
        <w:t>7</w:t>
      </w:r>
      <w:r w:rsidRPr="000E48AE">
        <w:rPr>
          <w:rFonts w:asciiTheme="majorHAnsi" w:hAnsiTheme="majorHAnsi" w:cstheme="minorHAnsi"/>
        </w:rPr>
        <w:t>,</w:t>
      </w:r>
      <w:r w:rsidR="008B3308">
        <w:rPr>
          <w:rFonts w:asciiTheme="majorHAnsi" w:hAnsiTheme="majorHAnsi" w:cstheme="minorHAnsi"/>
        </w:rPr>
        <w:t>7</w:t>
      </w:r>
      <w:r w:rsidRPr="000E48AE">
        <w:rPr>
          <w:rFonts w:asciiTheme="majorHAnsi" w:hAnsiTheme="majorHAnsi" w:cstheme="minorHAnsi"/>
        </w:rPr>
        <w:t xml:space="preserve"> ve </w:t>
      </w:r>
      <w:r w:rsidR="00835413">
        <w:rPr>
          <w:rFonts w:asciiTheme="majorHAnsi" w:hAnsiTheme="majorHAnsi" w:cstheme="minorHAnsi"/>
        </w:rPr>
        <w:t xml:space="preserve">yüzde </w:t>
      </w:r>
      <w:r w:rsidR="008B3308">
        <w:rPr>
          <w:rFonts w:asciiTheme="majorHAnsi" w:hAnsiTheme="majorHAnsi" w:cstheme="minorHAnsi"/>
        </w:rPr>
        <w:t>11</w:t>
      </w:r>
      <w:r w:rsidR="00C00AD7">
        <w:rPr>
          <w:rFonts w:asciiTheme="majorHAnsi" w:hAnsiTheme="majorHAnsi" w:cstheme="minorHAnsi"/>
        </w:rPr>
        <w:t>,</w:t>
      </w:r>
      <w:r w:rsidR="008B3308">
        <w:rPr>
          <w:rFonts w:asciiTheme="majorHAnsi" w:hAnsiTheme="majorHAnsi" w:cstheme="minorHAnsi"/>
        </w:rPr>
        <w:t>6</w:t>
      </w:r>
      <w:r w:rsidR="00835413">
        <w:rPr>
          <w:rFonts w:asciiTheme="majorHAnsi" w:hAnsiTheme="majorHAnsi" w:cstheme="minorHAnsi"/>
        </w:rPr>
        <w:t>)</w:t>
      </w:r>
      <w:r w:rsidRPr="000E48AE">
        <w:rPr>
          <w:rFonts w:asciiTheme="majorHAnsi" w:hAnsiTheme="majorHAnsi" w:cstheme="minorHAnsi"/>
        </w:rPr>
        <w:t xml:space="preserve"> emek verimliği artışı </w:t>
      </w:r>
      <w:r w:rsidR="008B3308">
        <w:rPr>
          <w:rFonts w:asciiTheme="majorHAnsi" w:hAnsiTheme="majorHAnsi" w:cstheme="minorHAnsi"/>
        </w:rPr>
        <w:t>yüzde 5</w:t>
      </w:r>
      <w:r w:rsidR="00C00AD7">
        <w:rPr>
          <w:rFonts w:asciiTheme="majorHAnsi" w:hAnsiTheme="majorHAnsi" w:cstheme="minorHAnsi"/>
        </w:rPr>
        <w:t>,</w:t>
      </w:r>
      <w:r w:rsidR="008B3308">
        <w:rPr>
          <w:rFonts w:asciiTheme="majorHAnsi" w:hAnsiTheme="majorHAnsi" w:cstheme="minorHAnsi"/>
        </w:rPr>
        <w:t>6’da kalmıştır</w:t>
      </w:r>
      <w:r w:rsidRPr="000E48AE">
        <w:rPr>
          <w:rFonts w:asciiTheme="majorHAnsi" w:hAnsiTheme="majorHAnsi" w:cstheme="minorHAnsi"/>
        </w:rPr>
        <w:t xml:space="preserve">. Hizmetlerde ise nispeten </w:t>
      </w:r>
      <w:r w:rsidR="008B3308">
        <w:rPr>
          <w:rFonts w:asciiTheme="majorHAnsi" w:hAnsiTheme="majorHAnsi" w:cstheme="minorHAnsi"/>
        </w:rPr>
        <w:t>daha güçlü</w:t>
      </w:r>
      <w:r w:rsidRPr="000E48AE">
        <w:rPr>
          <w:rFonts w:asciiTheme="majorHAnsi" w:hAnsiTheme="majorHAnsi" w:cstheme="minorHAnsi"/>
        </w:rPr>
        <w:t xml:space="preserve"> GSYH ve istihdam artışları son</w:t>
      </w:r>
      <w:r w:rsidR="008B3308">
        <w:rPr>
          <w:rFonts w:asciiTheme="majorHAnsi" w:hAnsiTheme="majorHAnsi" w:cstheme="minorHAnsi"/>
        </w:rPr>
        <w:t>ucu</w:t>
      </w:r>
      <w:r w:rsidRPr="000E48AE">
        <w:rPr>
          <w:rFonts w:asciiTheme="majorHAnsi" w:hAnsiTheme="majorHAnsi" w:cstheme="minorHAnsi"/>
        </w:rPr>
        <w:t xml:space="preserve"> (sırasıyla</w:t>
      </w:r>
      <w:r w:rsidR="00835413">
        <w:rPr>
          <w:rFonts w:asciiTheme="majorHAnsi" w:hAnsiTheme="majorHAnsi" w:cstheme="minorHAnsi"/>
        </w:rPr>
        <w:t xml:space="preserve"> yüzde</w:t>
      </w:r>
      <w:r w:rsidRPr="000E48AE">
        <w:rPr>
          <w:rFonts w:asciiTheme="majorHAnsi" w:hAnsiTheme="majorHAnsi" w:cstheme="minorHAnsi"/>
        </w:rPr>
        <w:t xml:space="preserve"> 3</w:t>
      </w:r>
      <w:r w:rsidR="00C00AD7">
        <w:rPr>
          <w:rFonts w:asciiTheme="majorHAnsi" w:hAnsiTheme="majorHAnsi" w:cstheme="minorHAnsi"/>
        </w:rPr>
        <w:t>4</w:t>
      </w:r>
      <w:r w:rsidRPr="000E48AE">
        <w:rPr>
          <w:rFonts w:asciiTheme="majorHAnsi" w:hAnsiTheme="majorHAnsi" w:cstheme="minorHAnsi"/>
        </w:rPr>
        <w:t>,</w:t>
      </w:r>
      <w:r w:rsidR="008B3308">
        <w:rPr>
          <w:rFonts w:asciiTheme="majorHAnsi" w:hAnsiTheme="majorHAnsi" w:cstheme="minorHAnsi"/>
        </w:rPr>
        <w:t>7</w:t>
      </w:r>
      <w:r w:rsidRPr="000E48AE">
        <w:rPr>
          <w:rFonts w:asciiTheme="majorHAnsi" w:hAnsiTheme="majorHAnsi" w:cstheme="minorHAnsi"/>
        </w:rPr>
        <w:t xml:space="preserve"> ve </w:t>
      </w:r>
      <w:r w:rsidR="00C00AD7">
        <w:rPr>
          <w:rFonts w:asciiTheme="majorHAnsi" w:hAnsiTheme="majorHAnsi" w:cstheme="minorHAnsi"/>
        </w:rPr>
        <w:t>2</w:t>
      </w:r>
      <w:r w:rsidR="008B3308">
        <w:rPr>
          <w:rFonts w:asciiTheme="majorHAnsi" w:hAnsiTheme="majorHAnsi" w:cstheme="minorHAnsi"/>
        </w:rPr>
        <w:t>4</w:t>
      </w:r>
      <w:r w:rsidRPr="000E48AE">
        <w:rPr>
          <w:rFonts w:asciiTheme="majorHAnsi" w:hAnsiTheme="majorHAnsi" w:cstheme="minorHAnsi"/>
        </w:rPr>
        <w:t xml:space="preserve">) </w:t>
      </w:r>
      <w:r w:rsidR="00C00AD7">
        <w:rPr>
          <w:rFonts w:asciiTheme="majorHAnsi" w:hAnsiTheme="majorHAnsi" w:cstheme="minorHAnsi"/>
        </w:rPr>
        <w:t>EV</w:t>
      </w:r>
      <w:r w:rsidRPr="000E48AE">
        <w:rPr>
          <w:rFonts w:asciiTheme="majorHAnsi" w:hAnsiTheme="majorHAnsi" w:cstheme="minorHAnsi"/>
        </w:rPr>
        <w:t xml:space="preserve"> artışı da </w:t>
      </w:r>
      <w:r w:rsidR="00835413">
        <w:rPr>
          <w:rFonts w:asciiTheme="majorHAnsi" w:hAnsiTheme="majorHAnsi" w:cstheme="minorHAnsi"/>
        </w:rPr>
        <w:t>yüzde 8,7 olarak gerçekleşmiştir.</w:t>
      </w:r>
    </w:p>
    <w:p w:rsidR="00C82C56" w:rsidRPr="000E48AE" w:rsidRDefault="00C82C56" w:rsidP="0027354C">
      <w:pPr>
        <w:spacing w:line="360" w:lineRule="auto"/>
        <w:jc w:val="both"/>
        <w:rPr>
          <w:rFonts w:asciiTheme="majorHAnsi" w:hAnsiTheme="majorHAnsi" w:cstheme="minorHAnsi"/>
        </w:rPr>
      </w:pPr>
    </w:p>
    <w:p w:rsidR="004847BA" w:rsidRPr="000E48AE" w:rsidRDefault="00C82C56" w:rsidP="0027354C">
      <w:pPr>
        <w:spacing w:line="360" w:lineRule="auto"/>
        <w:jc w:val="both"/>
        <w:rPr>
          <w:rFonts w:asciiTheme="majorHAnsi" w:hAnsiTheme="majorHAnsi" w:cstheme="minorHAnsi"/>
          <w:color w:val="FF0000"/>
        </w:rPr>
      </w:pPr>
      <w:r w:rsidRPr="000E48AE">
        <w:rPr>
          <w:rFonts w:asciiTheme="majorHAnsi" w:hAnsiTheme="majorHAnsi" w:cstheme="minorHAnsi"/>
        </w:rPr>
        <w:t>Bu dönem</w:t>
      </w:r>
      <w:r w:rsidR="00E0103E">
        <w:rPr>
          <w:rFonts w:asciiTheme="majorHAnsi" w:hAnsiTheme="majorHAnsi" w:cstheme="minorHAnsi"/>
        </w:rPr>
        <w:t xml:space="preserve">i kriz öncesi dönemle karşılaştırmak için </w:t>
      </w:r>
      <w:r>
        <w:rPr>
          <w:rFonts w:asciiTheme="majorHAnsi" w:hAnsiTheme="majorHAnsi" w:cstheme="minorHAnsi"/>
        </w:rPr>
        <w:t>her sektör</w:t>
      </w:r>
      <w:r w:rsidR="00E0103E">
        <w:rPr>
          <w:rFonts w:asciiTheme="majorHAnsi" w:hAnsiTheme="majorHAnsi" w:cstheme="minorHAnsi"/>
        </w:rPr>
        <w:t>ün</w:t>
      </w:r>
      <w:r>
        <w:rPr>
          <w:rFonts w:asciiTheme="majorHAnsi" w:hAnsiTheme="majorHAnsi" w:cstheme="minorHAnsi"/>
        </w:rPr>
        <w:t xml:space="preserve"> çeyrek başına düşen </w:t>
      </w:r>
      <w:r w:rsidR="00E0103E">
        <w:rPr>
          <w:rFonts w:asciiTheme="majorHAnsi" w:hAnsiTheme="majorHAnsi" w:cstheme="minorHAnsi"/>
        </w:rPr>
        <w:t xml:space="preserve">ortalama </w:t>
      </w:r>
      <w:r>
        <w:rPr>
          <w:rFonts w:asciiTheme="majorHAnsi" w:hAnsiTheme="majorHAnsi" w:cstheme="minorHAnsi"/>
        </w:rPr>
        <w:t xml:space="preserve">EV artışını her </w:t>
      </w:r>
      <w:r w:rsidR="00E0103E">
        <w:rPr>
          <w:rFonts w:asciiTheme="majorHAnsi" w:hAnsiTheme="majorHAnsi" w:cstheme="minorHAnsi"/>
        </w:rPr>
        <w:t xml:space="preserve">alt </w:t>
      </w:r>
      <w:r>
        <w:rPr>
          <w:rFonts w:asciiTheme="majorHAnsi" w:hAnsiTheme="majorHAnsi" w:cstheme="minorHAnsi"/>
        </w:rPr>
        <w:t>dönem için hesapladık (Ek Tablo 3</w:t>
      </w:r>
      <w:r w:rsidRPr="000E48AE">
        <w:rPr>
          <w:rFonts w:asciiTheme="majorHAnsi" w:hAnsiTheme="majorHAnsi" w:cstheme="minorHAnsi"/>
        </w:rPr>
        <w:t>).</w:t>
      </w:r>
      <w:r>
        <w:rPr>
          <w:rFonts w:asciiTheme="majorHAnsi" w:hAnsiTheme="majorHAnsi" w:cstheme="minorHAnsi"/>
        </w:rPr>
        <w:t xml:space="preserve"> Tablodan da görülüğü üzere </w:t>
      </w:r>
      <w:r w:rsidR="00E0103E">
        <w:rPr>
          <w:rFonts w:asciiTheme="majorHAnsi" w:hAnsiTheme="majorHAnsi" w:cstheme="minorHAnsi"/>
        </w:rPr>
        <w:t xml:space="preserve">tarım için kriz öncesi dönemde daha yüksek verimlilik artışları söz konusu iken sanayi sektörü için kriz sonrası dönem belirgin şekilde daha iyi bir dönemdir. </w:t>
      </w:r>
      <w:r w:rsidR="007E1353">
        <w:rPr>
          <w:rFonts w:asciiTheme="majorHAnsi" w:hAnsiTheme="majorHAnsi" w:cstheme="minorHAnsi"/>
        </w:rPr>
        <w:t>İnşaat ve hizmetler sektörlerinde ise çeyreklik ortalama verimlilik artışları birbirine çok yakındır. Okuyucularımıza Ek Tablo 3’teki sayısal değerlerin dönemlendirme için seçtiğimiz tarihlere duyarlı olduğunu hatırlatmak isteriz.</w:t>
      </w:r>
    </w:p>
    <w:p w:rsidR="002375AB" w:rsidRPr="000E48AE" w:rsidRDefault="002375AB" w:rsidP="00EB7D3C">
      <w:pPr>
        <w:spacing w:line="360" w:lineRule="auto"/>
        <w:jc w:val="both"/>
        <w:rPr>
          <w:rFonts w:asciiTheme="majorHAnsi" w:hAnsiTheme="majorHAnsi" w:cstheme="minorHAnsi"/>
          <w:b/>
        </w:rPr>
      </w:pPr>
    </w:p>
    <w:p w:rsidR="00D9708B" w:rsidRPr="001A17C8" w:rsidRDefault="00B57853" w:rsidP="001A17C8">
      <w:pPr>
        <w:spacing w:line="360" w:lineRule="auto"/>
        <w:jc w:val="both"/>
        <w:rPr>
          <w:rFonts w:asciiTheme="majorHAnsi" w:hAnsiTheme="majorHAnsi" w:cstheme="minorHAnsi"/>
        </w:rPr>
      </w:pPr>
      <w:r w:rsidRPr="000E48AE">
        <w:rPr>
          <w:rFonts w:asciiTheme="majorHAnsi" w:hAnsiTheme="majorHAnsi" w:cstheme="minorHAnsi"/>
          <w:b/>
        </w:rPr>
        <w:t>Devam eden büyüme – Emek verimliliğinde duraksama (2014(1) - 2017(1</w:t>
      </w:r>
      <w:r w:rsidR="00A6503A" w:rsidRPr="000E48AE">
        <w:rPr>
          <w:rFonts w:asciiTheme="majorHAnsi" w:hAnsiTheme="majorHAnsi" w:cstheme="minorHAnsi"/>
          <w:b/>
        </w:rPr>
        <w:t>))</w:t>
      </w:r>
    </w:p>
    <w:p w:rsidR="000A2836" w:rsidRDefault="00FB5E4E" w:rsidP="0027354C">
      <w:pPr>
        <w:spacing w:line="360" w:lineRule="auto"/>
        <w:jc w:val="both"/>
        <w:rPr>
          <w:rFonts w:asciiTheme="majorHAnsi" w:hAnsiTheme="majorHAnsi" w:cstheme="minorHAnsi"/>
        </w:rPr>
      </w:pPr>
      <w:r w:rsidRPr="000E48AE">
        <w:rPr>
          <w:rFonts w:asciiTheme="majorHAnsi" w:hAnsiTheme="majorHAnsi" w:cstheme="minorHAnsi"/>
        </w:rPr>
        <w:t>Son üç yılı kapsayan bu dönem</w:t>
      </w:r>
      <w:r w:rsidR="00F90C5E" w:rsidRPr="000E48AE">
        <w:rPr>
          <w:rFonts w:asciiTheme="majorHAnsi" w:hAnsiTheme="majorHAnsi" w:cstheme="minorHAnsi"/>
        </w:rPr>
        <w:t xml:space="preserve">in özelliği </w:t>
      </w:r>
      <w:r w:rsidRPr="000E48AE">
        <w:rPr>
          <w:rFonts w:asciiTheme="majorHAnsi" w:hAnsiTheme="majorHAnsi" w:cstheme="minorHAnsi"/>
        </w:rPr>
        <w:t xml:space="preserve">ekonominin genelinde </w:t>
      </w:r>
      <w:r w:rsidR="00A6503A" w:rsidRPr="000E48AE">
        <w:rPr>
          <w:rFonts w:asciiTheme="majorHAnsi" w:hAnsiTheme="majorHAnsi" w:cstheme="minorHAnsi"/>
        </w:rPr>
        <w:t xml:space="preserve">diğer dönemlere kıyasla </w:t>
      </w:r>
      <w:r w:rsidR="00F90C5E" w:rsidRPr="000E48AE">
        <w:rPr>
          <w:rFonts w:asciiTheme="majorHAnsi" w:hAnsiTheme="majorHAnsi" w:cstheme="minorHAnsi"/>
        </w:rPr>
        <w:t xml:space="preserve">çok </w:t>
      </w:r>
      <w:r w:rsidR="00744C9B" w:rsidRPr="000E48AE">
        <w:rPr>
          <w:rFonts w:asciiTheme="majorHAnsi" w:hAnsiTheme="majorHAnsi" w:cstheme="minorHAnsi"/>
        </w:rPr>
        <w:t xml:space="preserve">daha </w:t>
      </w:r>
      <w:r w:rsidR="00F90C5E" w:rsidRPr="000E48AE">
        <w:rPr>
          <w:rFonts w:asciiTheme="majorHAnsi" w:hAnsiTheme="majorHAnsi" w:cstheme="minorHAnsi"/>
        </w:rPr>
        <w:t>sınır</w:t>
      </w:r>
      <w:r w:rsidR="00744C9B" w:rsidRPr="000E48AE">
        <w:rPr>
          <w:rFonts w:asciiTheme="majorHAnsi" w:hAnsiTheme="majorHAnsi" w:cstheme="minorHAnsi"/>
        </w:rPr>
        <w:t>lı büyüyen</w:t>
      </w:r>
      <w:r w:rsidR="00F90C5E" w:rsidRPr="000E48AE">
        <w:rPr>
          <w:rFonts w:asciiTheme="majorHAnsi" w:hAnsiTheme="majorHAnsi" w:cstheme="minorHAnsi"/>
        </w:rPr>
        <w:t xml:space="preserve"> em</w:t>
      </w:r>
      <w:r w:rsidR="00744C9B" w:rsidRPr="000E48AE">
        <w:rPr>
          <w:rFonts w:asciiTheme="majorHAnsi" w:hAnsiTheme="majorHAnsi" w:cstheme="minorHAnsi"/>
        </w:rPr>
        <w:t>ek verimliliğinin görülmesidir</w:t>
      </w:r>
      <w:r w:rsidR="00F80A34">
        <w:rPr>
          <w:rFonts w:asciiTheme="majorHAnsi" w:hAnsiTheme="majorHAnsi" w:cstheme="minorHAnsi"/>
        </w:rPr>
        <w:t xml:space="preserve"> (</w:t>
      </w:r>
      <w:r w:rsidR="00885274">
        <w:fldChar w:fldCharType="begin"/>
      </w:r>
      <w:r w:rsidR="00885274">
        <w:instrText xml:space="preserve"> REF _Ref465937387 \h  \* MERGEFORMAT </w:instrText>
      </w:r>
      <w:r w:rsidR="00885274">
        <w:fldChar w:fldCharType="separate"/>
      </w:r>
      <w:r w:rsidR="006E280C" w:rsidRPr="000E48AE">
        <w:rPr>
          <w:rFonts w:asciiTheme="majorHAnsi" w:hAnsiTheme="majorHAnsi" w:cstheme="minorHAnsi"/>
        </w:rPr>
        <w:t>Ek Tablo 2</w:t>
      </w:r>
      <w:r w:rsidR="00885274">
        <w:fldChar w:fldCharType="end"/>
      </w:r>
      <w:r w:rsidR="006E280C">
        <w:rPr>
          <w:rFonts w:asciiTheme="majorHAnsi" w:hAnsiTheme="majorHAnsi" w:cstheme="minorHAnsi"/>
        </w:rPr>
        <w:t xml:space="preserve"> ve </w:t>
      </w:r>
      <w:r w:rsidR="00F80A34">
        <w:rPr>
          <w:rFonts w:asciiTheme="majorHAnsi" w:hAnsiTheme="majorHAnsi" w:cstheme="minorHAnsi"/>
        </w:rPr>
        <w:t>Ek Tablo 3)</w:t>
      </w:r>
      <w:r w:rsidR="00744C9B" w:rsidRPr="000E48AE">
        <w:rPr>
          <w:rFonts w:asciiTheme="majorHAnsi" w:hAnsiTheme="majorHAnsi" w:cstheme="minorHAnsi"/>
        </w:rPr>
        <w:t>. Bu dönemde en hızlı</w:t>
      </w:r>
      <w:r w:rsidR="00F90C5E" w:rsidRPr="000E48AE">
        <w:rPr>
          <w:rFonts w:asciiTheme="majorHAnsi" w:hAnsiTheme="majorHAnsi" w:cstheme="minorHAnsi"/>
        </w:rPr>
        <w:t xml:space="preserve"> emek verimliliği</w:t>
      </w:r>
      <w:r w:rsidR="00744C9B" w:rsidRPr="000E48AE">
        <w:rPr>
          <w:rFonts w:asciiTheme="majorHAnsi" w:hAnsiTheme="majorHAnsi" w:cstheme="minorHAnsi"/>
        </w:rPr>
        <w:t xml:space="preserve"> artışı kaydeden </w:t>
      </w:r>
      <w:r w:rsidR="006E280C">
        <w:rPr>
          <w:rFonts w:asciiTheme="majorHAnsi" w:hAnsiTheme="majorHAnsi" w:cstheme="minorHAnsi"/>
        </w:rPr>
        <w:t xml:space="preserve">sektör yüzde 11,6 ile </w:t>
      </w:r>
      <w:r w:rsidR="00744C9B" w:rsidRPr="000E48AE">
        <w:rPr>
          <w:rFonts w:asciiTheme="majorHAnsi" w:hAnsiTheme="majorHAnsi" w:cstheme="minorHAnsi"/>
        </w:rPr>
        <w:t>sanayi sektörü olmuştur.</w:t>
      </w:r>
      <w:r w:rsidR="006E280C">
        <w:rPr>
          <w:rFonts w:asciiTheme="majorHAnsi" w:hAnsiTheme="majorHAnsi" w:cstheme="minorHAnsi"/>
        </w:rPr>
        <w:t xml:space="preserve"> Sanayide GSYH artışı yüzde 15,7 iken istihdam neredeyse yerinde saymıştır (yüzde 3,7). Diğer sektörlerde GSYH büyümesi istihdam büyümesine yakın olduğu için çok düşük verimlilik artışları görüyoruz. Tarımda EV artışı yüzde 2,4 iken (GSYH artışı yüzde 9,8, istihdam artışı yüzde 7,2); inşaatta yüzde 2,2 (GSYH artışı yüzde 17,2, istihdam artışı yüzde 14,7)</w:t>
      </w:r>
      <w:r w:rsidR="00C77D52">
        <w:rPr>
          <w:rFonts w:asciiTheme="majorHAnsi" w:hAnsiTheme="majorHAnsi" w:cstheme="minorHAnsi"/>
        </w:rPr>
        <w:t>;</w:t>
      </w:r>
      <w:r w:rsidR="006E280C">
        <w:rPr>
          <w:rFonts w:asciiTheme="majorHAnsi" w:hAnsiTheme="majorHAnsi" w:cstheme="minorHAnsi"/>
        </w:rPr>
        <w:t xml:space="preserve"> hizmetlerde </w:t>
      </w:r>
      <w:r w:rsidR="00C77D52">
        <w:rPr>
          <w:rFonts w:asciiTheme="majorHAnsi" w:hAnsiTheme="majorHAnsi" w:cstheme="minorHAnsi"/>
        </w:rPr>
        <w:t xml:space="preserve">ise yüzde 0,9 (GSYH artışı yüzde 18,2, istihdam artışı yüzde 17,2) olarak gerçekleşmiştir. </w:t>
      </w:r>
    </w:p>
    <w:p w:rsidR="002375AB" w:rsidRPr="000E48AE" w:rsidRDefault="00C77D52" w:rsidP="002C08B4">
      <w:pPr>
        <w:spacing w:line="360" w:lineRule="auto"/>
        <w:jc w:val="both"/>
        <w:rPr>
          <w:rFonts w:asciiTheme="majorHAnsi" w:hAnsiTheme="majorHAnsi" w:cstheme="minorHAnsi"/>
          <w:color w:val="FF0000"/>
        </w:rPr>
      </w:pPr>
      <w:r>
        <w:rPr>
          <w:rFonts w:asciiTheme="majorHAnsi" w:hAnsiTheme="majorHAnsi" w:cstheme="minorHAnsi"/>
        </w:rPr>
        <w:t xml:space="preserve">Diğer iki alt dönemle kıyaslandığında her ne kadar tüm sektörlerin verimliliğinde bir duraksama görülse çeyreklik ortalama verimlilik tablosu (Ek Tablo 3) uzun dönemli dinamikler açısından ek bilgiler sunmaktadır. Buna göre en büyük düşüş inşaatta meydana gelmiştir. </w:t>
      </w:r>
      <w:r w:rsidR="002C08B4">
        <w:rPr>
          <w:rFonts w:asciiTheme="majorHAnsi" w:hAnsiTheme="majorHAnsi" w:cstheme="minorHAnsi"/>
        </w:rPr>
        <w:t xml:space="preserve">İnşaat sektörü ilk iki dönemim parlayan sektörü iken son dönemde çok düşük bir verimlilik performansı göstermiştir. </w:t>
      </w:r>
      <w:r>
        <w:rPr>
          <w:rFonts w:asciiTheme="majorHAnsi" w:hAnsiTheme="majorHAnsi" w:cstheme="minorHAnsi"/>
        </w:rPr>
        <w:t xml:space="preserve">Öyle ki çeyreklik ortalama verimlilik artışları olarak baktığımızda inşaat ile tarım sektörleri son üç yıllık dönemde aynı rakama sahiptir.  </w:t>
      </w:r>
      <w:r>
        <w:rPr>
          <w:rFonts w:asciiTheme="majorHAnsi" w:hAnsiTheme="majorHAnsi" w:cstheme="minorHAnsi"/>
        </w:rPr>
        <w:lastRenderedPageBreak/>
        <w:t xml:space="preserve">Hizmetler ise EV neredeyse hiç artış göstermemiş, yerinde saymıştır. </w:t>
      </w:r>
      <w:r w:rsidR="002C08B4">
        <w:rPr>
          <w:rFonts w:asciiTheme="majorHAnsi" w:hAnsiTheme="majorHAnsi" w:cstheme="minorHAnsi"/>
        </w:rPr>
        <w:t>Buna rağmen hizmetler sektörünün istihdam yaratmada çok önemli bir yer tuttuğunu hatırlatmakta fayda görüyoruz. İlk iki dönemde hizmetler ile sanayinin istihdam artış oranları birbirine çok yakın iken son dönemde denge hizmetler lehine bozulmuştur.</w:t>
      </w:r>
      <w:r w:rsidR="002C08B4" w:rsidRPr="003D56BE">
        <w:rPr>
          <w:rFonts w:asciiTheme="majorHAnsi" w:hAnsiTheme="majorHAnsi" w:cstheme="minorHAnsi"/>
        </w:rPr>
        <w:t xml:space="preserve"> Bu gelişmede</w:t>
      </w:r>
      <w:r w:rsidR="00603DF1" w:rsidRPr="003D56BE">
        <w:rPr>
          <w:rFonts w:asciiTheme="majorHAnsi" w:hAnsiTheme="majorHAnsi" w:cstheme="minorHAnsi"/>
        </w:rPr>
        <w:t xml:space="preserve"> evde engelli bakan kadınların istihdamda say</w:t>
      </w:r>
      <w:r w:rsidR="002C08B4" w:rsidRPr="003D56BE">
        <w:rPr>
          <w:rFonts w:asciiTheme="majorHAnsi" w:hAnsiTheme="majorHAnsi" w:cstheme="minorHAnsi"/>
        </w:rPr>
        <w:t>ı</w:t>
      </w:r>
      <w:r w:rsidR="00603DF1" w:rsidRPr="003D56BE">
        <w:rPr>
          <w:rFonts w:asciiTheme="majorHAnsi" w:hAnsiTheme="majorHAnsi" w:cstheme="minorHAnsi"/>
        </w:rPr>
        <w:t>lması</w:t>
      </w:r>
      <w:r w:rsidR="002C08B4" w:rsidRPr="003D56BE">
        <w:rPr>
          <w:rFonts w:asciiTheme="majorHAnsi" w:hAnsiTheme="majorHAnsi" w:cstheme="minorHAnsi"/>
        </w:rPr>
        <w:t xml:space="preserve"> ve</w:t>
      </w:r>
      <w:r w:rsidR="00603DF1" w:rsidRPr="003D56BE">
        <w:rPr>
          <w:rFonts w:asciiTheme="majorHAnsi" w:hAnsiTheme="majorHAnsi" w:cstheme="minorHAnsi"/>
        </w:rPr>
        <w:t xml:space="preserve"> güvenlik çalışanları sayısında </w:t>
      </w:r>
      <w:r w:rsidR="002C08B4" w:rsidRPr="003D56BE">
        <w:rPr>
          <w:rFonts w:asciiTheme="majorHAnsi" w:hAnsiTheme="majorHAnsi" w:cstheme="minorHAnsi"/>
        </w:rPr>
        <w:t xml:space="preserve">görülen </w:t>
      </w:r>
      <w:r w:rsidR="00603DF1" w:rsidRPr="003D56BE">
        <w:rPr>
          <w:rFonts w:asciiTheme="majorHAnsi" w:hAnsiTheme="majorHAnsi" w:cstheme="minorHAnsi"/>
        </w:rPr>
        <w:t xml:space="preserve">patlama gibi gelişmeler </w:t>
      </w:r>
      <w:r w:rsidR="002C08B4" w:rsidRPr="003D56BE">
        <w:rPr>
          <w:rFonts w:asciiTheme="majorHAnsi" w:hAnsiTheme="majorHAnsi" w:cstheme="minorHAnsi"/>
        </w:rPr>
        <w:t>muhtemelen önemli bir yer tutmaktadır</w:t>
      </w:r>
      <w:r w:rsidR="00603DF1" w:rsidRPr="003D56BE">
        <w:rPr>
          <w:rFonts w:asciiTheme="majorHAnsi" w:hAnsiTheme="majorHAnsi" w:cstheme="minorHAnsi"/>
        </w:rPr>
        <w:t>.</w:t>
      </w:r>
    </w:p>
    <w:p w:rsidR="001A17C8" w:rsidRDefault="001A17C8" w:rsidP="00B16C6F">
      <w:pPr>
        <w:spacing w:line="360" w:lineRule="auto"/>
        <w:jc w:val="both"/>
        <w:rPr>
          <w:rFonts w:asciiTheme="majorHAnsi" w:hAnsiTheme="majorHAnsi" w:cstheme="minorHAnsi"/>
          <w:b/>
        </w:rPr>
      </w:pPr>
    </w:p>
    <w:p w:rsidR="001A17C8" w:rsidRDefault="00454C3A" w:rsidP="00B16C6F">
      <w:pPr>
        <w:spacing w:line="360" w:lineRule="auto"/>
        <w:jc w:val="both"/>
        <w:rPr>
          <w:rFonts w:asciiTheme="majorHAnsi" w:hAnsiTheme="majorHAnsi" w:cstheme="minorHAnsi"/>
          <w:b/>
        </w:rPr>
      </w:pPr>
      <w:r w:rsidRPr="000E48AE">
        <w:rPr>
          <w:rFonts w:asciiTheme="majorHAnsi" w:hAnsiTheme="majorHAnsi" w:cstheme="minorHAnsi"/>
          <w:b/>
        </w:rPr>
        <w:t>Genel değerlendirme</w:t>
      </w:r>
    </w:p>
    <w:p w:rsidR="00CA0F35" w:rsidRDefault="00A327DD" w:rsidP="00CA0F35">
      <w:pPr>
        <w:spacing w:line="360" w:lineRule="auto"/>
        <w:jc w:val="both"/>
        <w:rPr>
          <w:rFonts w:asciiTheme="majorHAnsi" w:hAnsiTheme="majorHAnsi" w:cstheme="minorHAnsi"/>
        </w:rPr>
      </w:pPr>
      <w:r>
        <w:rPr>
          <w:rFonts w:asciiTheme="majorHAnsi" w:hAnsiTheme="majorHAnsi" w:cstheme="minorHAnsi"/>
        </w:rPr>
        <w:t xml:space="preserve">2005'te sektörlerin istihdam </w:t>
      </w:r>
      <w:r w:rsidR="00885274">
        <w:rPr>
          <w:rFonts w:asciiTheme="majorHAnsi" w:hAnsiTheme="majorHAnsi" w:cstheme="minorHAnsi"/>
        </w:rPr>
        <w:t>rakamlarına</w:t>
      </w:r>
      <w:r>
        <w:rPr>
          <w:rFonts w:asciiTheme="majorHAnsi" w:hAnsiTheme="majorHAnsi" w:cstheme="minorHAnsi"/>
        </w:rPr>
        <w:t xml:space="preserve"> baktığımızda tarımın 5,3 milyon, sanayinin 4 milyon,  inşaatın 1 milyon ve hizmetlerin 9 milyon olduğunu görüyoruz. </w:t>
      </w:r>
      <w:r w:rsidR="001A17C8">
        <w:rPr>
          <w:rFonts w:asciiTheme="majorHAnsi" w:hAnsiTheme="majorHAnsi" w:cstheme="minorHAnsi"/>
        </w:rPr>
        <w:t>İncelediğimiz 12 yıllık dönemde (2005-2017), istihdam artış oranı en yüksek sektör inşaat sektörü, (yüzde 94) ikinci sırada gelen hizmetler (yüzde 65), üçüncü sırada gelen ise sanayi sektörü (yüzde 30) olmuştur. Tarım sektörü ise yerinde saymıştır</w:t>
      </w:r>
      <w:r>
        <w:rPr>
          <w:rFonts w:asciiTheme="majorHAnsi" w:hAnsiTheme="majorHAnsi" w:cstheme="minorHAnsi"/>
        </w:rPr>
        <w:t xml:space="preserve">  (Ek Tablo 1)</w:t>
      </w:r>
      <w:r w:rsidR="001A17C8">
        <w:rPr>
          <w:rFonts w:asciiTheme="majorHAnsi" w:hAnsiTheme="majorHAnsi" w:cstheme="minorHAnsi"/>
        </w:rPr>
        <w:t xml:space="preserve">. Son 12 yıllık istihdam artışı </w:t>
      </w:r>
      <w:r w:rsidR="00B060EF">
        <w:rPr>
          <w:rFonts w:asciiTheme="majorHAnsi" w:hAnsiTheme="majorHAnsi" w:cstheme="minorHAnsi"/>
        </w:rPr>
        <w:t>tarımda</w:t>
      </w:r>
      <w:r w:rsidR="001A17C8">
        <w:rPr>
          <w:rFonts w:asciiTheme="majorHAnsi" w:hAnsiTheme="majorHAnsi" w:cstheme="minorHAnsi"/>
        </w:rPr>
        <w:t xml:space="preserve"> yüzde 3 ile sınırlı kalmıştır. </w:t>
      </w:r>
      <w:r>
        <w:rPr>
          <w:rFonts w:asciiTheme="majorHAnsi" w:hAnsiTheme="majorHAnsi" w:cstheme="minorHAnsi"/>
        </w:rPr>
        <w:t xml:space="preserve">2017 ilk çeyrek itibarı ile tarım ve sanayi neredeyse 5,5 milyonda eşitlenmiş, inşaat 2 milyonu geçmiş ve hizmetler ise 15 milyona yaklaşmıştır. </w:t>
      </w:r>
    </w:p>
    <w:p w:rsidR="00040459" w:rsidRDefault="00E74E13" w:rsidP="006D2EA1">
      <w:pPr>
        <w:spacing w:line="360" w:lineRule="auto"/>
        <w:jc w:val="both"/>
        <w:rPr>
          <w:rFonts w:asciiTheme="majorHAnsi" w:hAnsiTheme="majorHAnsi" w:cstheme="minorHAnsi"/>
        </w:rPr>
      </w:pPr>
      <w:r>
        <w:rPr>
          <w:rFonts w:asciiTheme="majorHAnsi" w:hAnsiTheme="majorHAnsi" w:cstheme="minorHAnsi"/>
        </w:rPr>
        <w:t xml:space="preserve">Görüldüğü gibi </w:t>
      </w:r>
      <w:r w:rsidR="00040459">
        <w:rPr>
          <w:rFonts w:asciiTheme="majorHAnsi" w:hAnsiTheme="majorHAnsi" w:cstheme="minorHAnsi"/>
        </w:rPr>
        <w:t xml:space="preserve">üç sektörde istihdam artışları olmakla birlikte </w:t>
      </w:r>
      <w:r>
        <w:rPr>
          <w:rFonts w:asciiTheme="majorHAnsi" w:hAnsiTheme="majorHAnsi" w:cstheme="minorHAnsi"/>
        </w:rPr>
        <w:t>asıl istihdam</w:t>
      </w:r>
      <w:r w:rsidR="00A327DD">
        <w:rPr>
          <w:rFonts w:asciiTheme="majorHAnsi" w:hAnsiTheme="majorHAnsi" w:cstheme="minorHAnsi"/>
        </w:rPr>
        <w:t xml:space="preserve"> yaratan sektörler hizmetler ve inşaat sektörleri</w:t>
      </w:r>
      <w:r>
        <w:rPr>
          <w:rFonts w:asciiTheme="majorHAnsi" w:hAnsiTheme="majorHAnsi" w:cstheme="minorHAnsi"/>
        </w:rPr>
        <w:t>dir</w:t>
      </w:r>
      <w:r w:rsidR="00A327DD">
        <w:rPr>
          <w:rFonts w:asciiTheme="majorHAnsi" w:hAnsiTheme="majorHAnsi" w:cstheme="minorHAnsi"/>
        </w:rPr>
        <w:t>.</w:t>
      </w:r>
      <w:r>
        <w:rPr>
          <w:rFonts w:asciiTheme="majorHAnsi" w:hAnsiTheme="majorHAnsi" w:cstheme="minorHAnsi"/>
        </w:rPr>
        <w:t xml:space="preserve"> </w:t>
      </w:r>
      <w:r w:rsidR="00040459">
        <w:rPr>
          <w:rFonts w:asciiTheme="majorHAnsi" w:hAnsiTheme="majorHAnsi" w:cstheme="minorHAnsi"/>
        </w:rPr>
        <w:t xml:space="preserve">Hizmetler sektörünün EV artışı her dönem çok düşük kalmıştır (Ek Tablo 3).  </w:t>
      </w:r>
      <w:r>
        <w:rPr>
          <w:rFonts w:asciiTheme="majorHAnsi" w:hAnsiTheme="majorHAnsi" w:cstheme="minorHAnsi"/>
        </w:rPr>
        <w:t xml:space="preserve">Tam da bu sebeple, orta gelir tuzağından </w:t>
      </w:r>
      <w:r w:rsidR="004F7D0B">
        <w:rPr>
          <w:rFonts w:asciiTheme="majorHAnsi" w:hAnsiTheme="majorHAnsi" w:cstheme="minorHAnsi"/>
        </w:rPr>
        <w:t>çıkmak</w:t>
      </w:r>
      <w:r>
        <w:rPr>
          <w:rFonts w:asciiTheme="majorHAnsi" w:hAnsiTheme="majorHAnsi" w:cstheme="minorHAnsi"/>
        </w:rPr>
        <w:t xml:space="preserve"> için en garanti yol özellikle hizmetler sektöründe yakalanacak verimlilik artışları olurdu</w:t>
      </w:r>
      <w:r w:rsidR="004F7D0B">
        <w:rPr>
          <w:rFonts w:asciiTheme="majorHAnsi" w:hAnsiTheme="majorHAnsi" w:cstheme="minorHAnsi"/>
        </w:rPr>
        <w:t>.</w:t>
      </w:r>
      <w:r>
        <w:rPr>
          <w:rFonts w:asciiTheme="majorHAnsi" w:hAnsiTheme="majorHAnsi" w:cstheme="minorHAnsi"/>
        </w:rPr>
        <w:t xml:space="preserve"> Ancak, geçmiş yılların verileri hizmetler sektöründe böylesi yüksek verimlilik artışlarının pek mümkün olmadığını gösteriyor. </w:t>
      </w:r>
    </w:p>
    <w:p w:rsidR="00F51E53" w:rsidRDefault="00040459" w:rsidP="006D2EA1">
      <w:pPr>
        <w:spacing w:line="360" w:lineRule="auto"/>
        <w:jc w:val="both"/>
        <w:rPr>
          <w:rFonts w:asciiTheme="majorHAnsi" w:hAnsiTheme="majorHAnsi" w:cstheme="minorHAnsi"/>
        </w:rPr>
      </w:pPr>
      <w:r>
        <w:rPr>
          <w:rFonts w:asciiTheme="majorHAnsi" w:hAnsiTheme="majorHAnsi" w:cstheme="minorHAnsi"/>
        </w:rPr>
        <w:t>Sanayi sektöründe EV artışları her üç dönemde yüksek seyretmesine rağmen istihdam yaratma kapasitesi, hem geçmiş veriler hem de gelişmiş ülke örnekleri göstermektedir ki</w:t>
      </w:r>
      <w:r w:rsidR="00F51E53">
        <w:rPr>
          <w:rFonts w:asciiTheme="majorHAnsi" w:hAnsiTheme="majorHAnsi" w:cstheme="minorHAnsi"/>
        </w:rPr>
        <w:t>,</w:t>
      </w:r>
      <w:r>
        <w:rPr>
          <w:rFonts w:asciiTheme="majorHAnsi" w:hAnsiTheme="majorHAnsi" w:cstheme="minorHAnsi"/>
        </w:rPr>
        <w:t xml:space="preserve">  görece sınırlıdır. </w:t>
      </w:r>
      <w:r w:rsidR="00A327DD">
        <w:rPr>
          <w:rFonts w:asciiTheme="majorHAnsi" w:hAnsiTheme="majorHAnsi" w:cstheme="minorHAnsi"/>
        </w:rPr>
        <w:t>Buna karşın, inşaatta</w:t>
      </w:r>
      <w:r w:rsidR="00F51E53">
        <w:rPr>
          <w:rFonts w:asciiTheme="majorHAnsi" w:hAnsiTheme="majorHAnsi" w:cstheme="minorHAnsi"/>
        </w:rPr>
        <w:t>ki verimlilik artışı</w:t>
      </w:r>
      <w:r w:rsidR="00A327DD">
        <w:rPr>
          <w:rFonts w:asciiTheme="majorHAnsi" w:hAnsiTheme="majorHAnsi" w:cstheme="minorHAnsi"/>
        </w:rPr>
        <w:t xml:space="preserve"> son üç yıllık dönem </w:t>
      </w:r>
      <w:r w:rsidR="00F51E53">
        <w:rPr>
          <w:rFonts w:asciiTheme="majorHAnsi" w:hAnsiTheme="majorHAnsi" w:cstheme="minorHAnsi"/>
        </w:rPr>
        <w:t xml:space="preserve">hariç </w:t>
      </w:r>
      <w:r w:rsidR="004F7D0B">
        <w:rPr>
          <w:rFonts w:asciiTheme="majorHAnsi" w:hAnsiTheme="majorHAnsi" w:cstheme="minorHAnsi"/>
        </w:rPr>
        <w:t>oldukça</w:t>
      </w:r>
      <w:bookmarkStart w:id="0" w:name="_GoBack"/>
      <w:bookmarkEnd w:id="0"/>
      <w:r w:rsidR="00A327DD">
        <w:rPr>
          <w:rFonts w:asciiTheme="majorHAnsi" w:hAnsiTheme="majorHAnsi" w:cstheme="minorHAnsi"/>
        </w:rPr>
        <w:t xml:space="preserve"> yüksek</w:t>
      </w:r>
      <w:r w:rsidR="00F51E53">
        <w:rPr>
          <w:rFonts w:asciiTheme="majorHAnsi" w:hAnsiTheme="majorHAnsi" w:cstheme="minorHAnsi"/>
        </w:rPr>
        <w:t>tir</w:t>
      </w:r>
      <w:r w:rsidR="00A327DD">
        <w:rPr>
          <w:rFonts w:asciiTheme="majorHAnsi" w:hAnsiTheme="majorHAnsi" w:cstheme="minorHAnsi"/>
        </w:rPr>
        <w:t xml:space="preserve"> (Ek Tablo 3). Bir önceki notumuzda inşaat sektörü istihdam yaratmasına rağmen GSYH büyümesi çok düşük olduğu için verimsizlik kaynağı olarak görülmüştü. </w:t>
      </w:r>
      <w:r w:rsidR="00E37C21">
        <w:rPr>
          <w:rFonts w:asciiTheme="majorHAnsi" w:hAnsiTheme="majorHAnsi" w:cstheme="minorHAnsi"/>
        </w:rPr>
        <w:t xml:space="preserve">Güncellenen </w:t>
      </w:r>
      <w:r w:rsidR="00047F76">
        <w:rPr>
          <w:rFonts w:asciiTheme="majorHAnsi" w:hAnsiTheme="majorHAnsi" w:cstheme="minorHAnsi"/>
        </w:rPr>
        <w:t>verilerle tekrarladığımız</w:t>
      </w:r>
      <w:r w:rsidR="00E37C21">
        <w:rPr>
          <w:rFonts w:asciiTheme="majorHAnsi" w:hAnsiTheme="majorHAnsi" w:cstheme="minorHAnsi"/>
        </w:rPr>
        <w:t xml:space="preserve"> bu sektörel verimlilik notumuzda bir önceki notumuzun aksine inşaat sektörü</w:t>
      </w:r>
      <w:r w:rsidR="00A327DD">
        <w:rPr>
          <w:rFonts w:asciiTheme="majorHAnsi" w:hAnsiTheme="majorHAnsi" w:cstheme="minorHAnsi"/>
        </w:rPr>
        <w:t xml:space="preserve">nün hem </w:t>
      </w:r>
      <w:r w:rsidR="00E37C21">
        <w:rPr>
          <w:rFonts w:asciiTheme="majorHAnsi" w:hAnsiTheme="majorHAnsi" w:cstheme="minorHAnsi"/>
        </w:rPr>
        <w:t xml:space="preserve">kriz </w:t>
      </w:r>
      <w:r w:rsidR="00A327DD">
        <w:rPr>
          <w:rFonts w:asciiTheme="majorHAnsi" w:hAnsiTheme="majorHAnsi" w:cstheme="minorHAnsi"/>
        </w:rPr>
        <w:t xml:space="preserve">öncesinde hem de krizin hemen ertesinde </w:t>
      </w:r>
      <w:r w:rsidR="00EB143E">
        <w:rPr>
          <w:rFonts w:asciiTheme="majorHAnsi" w:hAnsiTheme="majorHAnsi" w:cstheme="minorHAnsi"/>
        </w:rPr>
        <w:t>yüksek</w:t>
      </w:r>
      <w:r w:rsidR="00A327DD">
        <w:rPr>
          <w:rFonts w:asciiTheme="majorHAnsi" w:hAnsiTheme="majorHAnsi" w:cstheme="minorHAnsi"/>
        </w:rPr>
        <w:t xml:space="preserve"> bir performans sergilediğini tespit ediyoruz. </w:t>
      </w:r>
      <w:r w:rsidR="00F51E53">
        <w:rPr>
          <w:rFonts w:asciiTheme="majorHAnsi" w:hAnsiTheme="majorHAnsi" w:cstheme="minorHAnsi"/>
        </w:rPr>
        <w:t>Ne var ki</w:t>
      </w:r>
      <w:r w:rsidR="00A327DD">
        <w:rPr>
          <w:rFonts w:asciiTheme="majorHAnsi" w:hAnsiTheme="majorHAnsi" w:cstheme="minorHAnsi"/>
        </w:rPr>
        <w:t xml:space="preserve">, son </w:t>
      </w:r>
      <w:r w:rsidR="00E37C21">
        <w:rPr>
          <w:rFonts w:asciiTheme="majorHAnsi" w:hAnsiTheme="majorHAnsi" w:cstheme="minorHAnsi"/>
        </w:rPr>
        <w:t>üç yıl</w:t>
      </w:r>
      <w:r w:rsidR="00A327DD">
        <w:rPr>
          <w:rFonts w:asciiTheme="majorHAnsi" w:hAnsiTheme="majorHAnsi" w:cstheme="minorHAnsi"/>
        </w:rPr>
        <w:t xml:space="preserve">lık dönemde </w:t>
      </w:r>
      <w:r w:rsidR="00CA0F35">
        <w:rPr>
          <w:rFonts w:asciiTheme="majorHAnsi" w:hAnsiTheme="majorHAnsi" w:cstheme="minorHAnsi"/>
        </w:rPr>
        <w:t xml:space="preserve">tüm sektörlerde bir gerileme söz konusu olmakla birlikte </w:t>
      </w:r>
      <w:r w:rsidR="00A327DD">
        <w:rPr>
          <w:rFonts w:asciiTheme="majorHAnsi" w:hAnsiTheme="majorHAnsi" w:cstheme="minorHAnsi"/>
        </w:rPr>
        <w:t xml:space="preserve">inşaat sektörünün EV artışının </w:t>
      </w:r>
      <w:r w:rsidR="00CA0F35">
        <w:rPr>
          <w:rFonts w:asciiTheme="majorHAnsi" w:hAnsiTheme="majorHAnsi" w:cstheme="minorHAnsi"/>
        </w:rPr>
        <w:t xml:space="preserve">çok zayıf kaldığı aşikardır. </w:t>
      </w:r>
    </w:p>
    <w:p w:rsidR="00CA0F35" w:rsidRPr="000E48AE" w:rsidRDefault="00CA0F35" w:rsidP="006D2EA1">
      <w:pPr>
        <w:spacing w:line="360" w:lineRule="auto"/>
        <w:jc w:val="both"/>
        <w:rPr>
          <w:rFonts w:asciiTheme="majorHAnsi" w:hAnsiTheme="majorHAnsi" w:cstheme="minorHAnsi"/>
        </w:rPr>
      </w:pPr>
      <w:r>
        <w:rPr>
          <w:rFonts w:asciiTheme="majorHAnsi" w:hAnsiTheme="majorHAnsi" w:cstheme="minorHAnsi"/>
        </w:rPr>
        <w:t>Asıl soru</w:t>
      </w:r>
      <w:r w:rsidR="00E74E13">
        <w:rPr>
          <w:rFonts w:asciiTheme="majorHAnsi" w:hAnsiTheme="majorHAnsi" w:cstheme="minorHAnsi"/>
        </w:rPr>
        <w:t>,</w:t>
      </w:r>
      <w:r>
        <w:rPr>
          <w:rFonts w:asciiTheme="majorHAnsi" w:hAnsiTheme="majorHAnsi" w:cstheme="minorHAnsi"/>
        </w:rPr>
        <w:t xml:space="preserve"> son dönemde </w:t>
      </w:r>
      <w:r w:rsidR="006D2EA1">
        <w:rPr>
          <w:rFonts w:asciiTheme="majorHAnsi" w:hAnsiTheme="majorHAnsi" w:cstheme="minorHAnsi"/>
        </w:rPr>
        <w:t xml:space="preserve">tüm sektörlerde </w:t>
      </w:r>
      <w:r>
        <w:rPr>
          <w:rFonts w:asciiTheme="majorHAnsi" w:hAnsiTheme="majorHAnsi" w:cstheme="minorHAnsi"/>
        </w:rPr>
        <w:t xml:space="preserve">ve özellikle inşaatta görülen zayıf verimlilik artışlarının kalıcı olup olmayacağıdır. Bu </w:t>
      </w:r>
      <w:r w:rsidR="006D2EA1">
        <w:rPr>
          <w:rFonts w:asciiTheme="majorHAnsi" w:hAnsiTheme="majorHAnsi" w:cstheme="minorHAnsi"/>
        </w:rPr>
        <w:t xml:space="preserve">sorunun önemli olmasının sebebi inşaat </w:t>
      </w:r>
      <w:r w:rsidR="006D2EA1">
        <w:rPr>
          <w:rFonts w:asciiTheme="majorHAnsi" w:hAnsiTheme="majorHAnsi" w:cstheme="minorHAnsi"/>
        </w:rPr>
        <w:lastRenderedPageBreak/>
        <w:t>sektörünün yeni milli gelir serilerinde çok daha önemli bir yer tutması</w:t>
      </w:r>
      <w:r w:rsidR="00E74E13">
        <w:rPr>
          <w:rFonts w:asciiTheme="majorHAnsi" w:hAnsiTheme="majorHAnsi" w:cstheme="minorHAnsi"/>
        </w:rPr>
        <w:t>dır</w:t>
      </w:r>
      <w:r w:rsidR="006D2EA1">
        <w:rPr>
          <w:rFonts w:asciiTheme="majorHAnsi" w:hAnsiTheme="majorHAnsi" w:cstheme="minorHAnsi"/>
        </w:rPr>
        <w:t>. Hatırlatmak isteriz ki</w:t>
      </w:r>
      <w:r>
        <w:rPr>
          <w:rFonts w:asciiTheme="majorHAnsi" w:hAnsiTheme="majorHAnsi" w:cstheme="minorHAnsi"/>
        </w:rPr>
        <w:t xml:space="preserve"> </w:t>
      </w:r>
      <w:r w:rsidR="006D2EA1">
        <w:rPr>
          <w:rFonts w:asciiTheme="majorHAnsi" w:hAnsiTheme="majorHAnsi" w:cstheme="minorHAnsi"/>
        </w:rPr>
        <w:t xml:space="preserve">yeni milli gelir serileri ile eski milli gelir serileri arasındaki seviye farkının </w:t>
      </w:r>
      <w:r w:rsidR="00EB143E">
        <w:rPr>
          <w:rFonts w:asciiTheme="majorHAnsi" w:hAnsiTheme="majorHAnsi" w:cstheme="minorHAnsi"/>
        </w:rPr>
        <w:t>başlıca nedeni</w:t>
      </w:r>
      <w:r w:rsidR="006D2EA1">
        <w:rPr>
          <w:rFonts w:asciiTheme="majorHAnsi" w:hAnsiTheme="majorHAnsi" w:cstheme="minorHAnsi"/>
        </w:rPr>
        <w:t xml:space="preserve"> inşaat sektörü yatırımlarının eksik ölçülmesi idi </w:t>
      </w:r>
      <w:r w:rsidR="006D2EA1" w:rsidRPr="006D2EA1">
        <w:rPr>
          <w:rFonts w:asciiTheme="majorHAnsi" w:hAnsiTheme="majorHAnsi" w:cstheme="minorHAnsi"/>
        </w:rPr>
        <w:t>(</w:t>
      </w:r>
      <w:r w:rsidR="006D2EA1">
        <w:rPr>
          <w:rFonts w:asciiTheme="majorHAnsi" w:hAnsiTheme="majorHAnsi" w:cstheme="minorHAnsi"/>
        </w:rPr>
        <w:t>Detaylar için b</w:t>
      </w:r>
      <w:r w:rsidR="006D2EA1" w:rsidRPr="006D2EA1">
        <w:rPr>
          <w:rFonts w:asciiTheme="majorHAnsi" w:hAnsiTheme="majorHAnsi" w:cstheme="minorHAnsi"/>
        </w:rPr>
        <w:t>kz. Betam Araştırma Notu 16/203).</w:t>
      </w:r>
      <w:r w:rsidR="006D2EA1">
        <w:rPr>
          <w:rFonts w:asciiTheme="majorHAnsi" w:hAnsiTheme="majorHAnsi" w:cstheme="minorHAnsi"/>
        </w:rPr>
        <w:t xml:space="preserve"> Bu </w:t>
      </w:r>
      <w:r w:rsidR="00EB143E">
        <w:rPr>
          <w:rFonts w:asciiTheme="majorHAnsi" w:hAnsiTheme="majorHAnsi" w:cstheme="minorHAnsi"/>
        </w:rPr>
        <w:t>nedenle</w:t>
      </w:r>
      <w:r w:rsidR="006D2EA1">
        <w:rPr>
          <w:rFonts w:asciiTheme="majorHAnsi" w:hAnsiTheme="majorHAnsi" w:cstheme="minorHAnsi"/>
        </w:rPr>
        <w:t xml:space="preserve"> inşaat sektörünün verimlilik dinamiği ekonominin genel verimliliği açsısından önemli bir göstergedir. </w:t>
      </w:r>
    </w:p>
    <w:p w:rsidR="00F51E53" w:rsidRDefault="00F51E53" w:rsidP="00873ACA">
      <w:pPr>
        <w:spacing w:line="360" w:lineRule="auto"/>
        <w:jc w:val="both"/>
        <w:rPr>
          <w:rFonts w:asciiTheme="majorHAnsi" w:hAnsiTheme="majorHAnsi" w:cstheme="minorHAnsi"/>
        </w:rPr>
      </w:pPr>
    </w:p>
    <w:p w:rsidR="00F51E53" w:rsidRPr="000E48AE" w:rsidRDefault="00F51E53" w:rsidP="00873ACA">
      <w:pPr>
        <w:spacing w:line="360" w:lineRule="auto"/>
        <w:jc w:val="both"/>
        <w:rPr>
          <w:rFonts w:asciiTheme="majorHAnsi" w:hAnsiTheme="majorHAnsi" w:cstheme="minorHAnsi"/>
        </w:rPr>
        <w:sectPr w:rsidR="00F51E53" w:rsidRPr="000E48AE" w:rsidSect="004C427C">
          <w:footerReference w:type="default" r:id="rId10"/>
          <w:pgSz w:w="11905" w:h="16837"/>
          <w:pgMar w:top="1296" w:right="1296" w:bottom="1296" w:left="1296" w:header="709" w:footer="709" w:gutter="0"/>
          <w:cols w:space="708"/>
          <w:docGrid w:linePitch="360"/>
        </w:sectPr>
      </w:pPr>
    </w:p>
    <w:p w:rsidR="00F255FF" w:rsidRPr="000E48AE" w:rsidRDefault="00D046C9" w:rsidP="00D046C9">
      <w:pPr>
        <w:pStyle w:val="Caption"/>
        <w:rPr>
          <w:rFonts w:asciiTheme="majorHAnsi" w:hAnsiTheme="majorHAnsi" w:cstheme="minorHAnsi"/>
          <w:sz w:val="24"/>
          <w:szCs w:val="24"/>
        </w:rPr>
      </w:pPr>
      <w:bookmarkStart w:id="1" w:name="_Ref466629941"/>
      <w:r w:rsidRPr="000E48AE">
        <w:rPr>
          <w:rFonts w:asciiTheme="majorHAnsi" w:hAnsiTheme="majorHAnsi" w:cstheme="minorHAnsi"/>
          <w:sz w:val="24"/>
          <w:szCs w:val="24"/>
        </w:rPr>
        <w:lastRenderedPageBreak/>
        <w:t xml:space="preserve">Şekil </w:t>
      </w:r>
      <w:r w:rsidR="0086653A" w:rsidRPr="000E48AE">
        <w:rPr>
          <w:rFonts w:asciiTheme="majorHAnsi" w:hAnsiTheme="majorHAnsi" w:cstheme="minorHAnsi"/>
          <w:sz w:val="24"/>
          <w:szCs w:val="24"/>
        </w:rPr>
        <w:fldChar w:fldCharType="begin"/>
      </w:r>
      <w:r w:rsidRPr="000E48AE">
        <w:rPr>
          <w:rFonts w:asciiTheme="majorHAnsi" w:hAnsiTheme="majorHAnsi" w:cstheme="minorHAnsi"/>
          <w:sz w:val="24"/>
          <w:szCs w:val="24"/>
        </w:rPr>
        <w:instrText xml:space="preserve"> SEQ Şekil \* ARABIC </w:instrText>
      </w:r>
      <w:r w:rsidR="0086653A" w:rsidRPr="000E48AE">
        <w:rPr>
          <w:rFonts w:asciiTheme="majorHAnsi" w:hAnsiTheme="majorHAnsi" w:cstheme="minorHAnsi"/>
          <w:sz w:val="24"/>
          <w:szCs w:val="24"/>
        </w:rPr>
        <w:fldChar w:fldCharType="separate"/>
      </w:r>
      <w:r w:rsidR="009433FC" w:rsidRPr="000E48AE">
        <w:rPr>
          <w:rFonts w:asciiTheme="majorHAnsi" w:hAnsiTheme="majorHAnsi" w:cstheme="minorHAnsi"/>
          <w:noProof/>
          <w:sz w:val="24"/>
          <w:szCs w:val="24"/>
        </w:rPr>
        <w:t>1</w:t>
      </w:r>
      <w:r w:rsidR="0086653A" w:rsidRPr="000E48AE">
        <w:rPr>
          <w:rFonts w:asciiTheme="majorHAnsi" w:hAnsiTheme="majorHAnsi" w:cstheme="minorHAnsi"/>
          <w:sz w:val="24"/>
          <w:szCs w:val="24"/>
        </w:rPr>
        <w:fldChar w:fldCharType="end"/>
      </w:r>
      <w:bookmarkEnd w:id="1"/>
      <w:r w:rsidRPr="000E48AE">
        <w:rPr>
          <w:rFonts w:asciiTheme="majorHAnsi" w:hAnsiTheme="majorHAnsi" w:cstheme="minorHAnsi"/>
          <w:sz w:val="24"/>
          <w:szCs w:val="24"/>
        </w:rPr>
        <w:t>: Sektörlere göre büyüme ve istihdam endeksleri: 2005(1) – 2016(2) (Mevsim ve takvim etkilerin</w:t>
      </w:r>
      <w:r w:rsidR="00F255FF" w:rsidRPr="000E48AE">
        <w:rPr>
          <w:rFonts w:asciiTheme="majorHAnsi" w:hAnsiTheme="majorHAnsi" w:cstheme="minorHAnsi"/>
          <w:sz w:val="24"/>
          <w:szCs w:val="24"/>
        </w:rPr>
        <w:t>den arındırılmış ve 2005(1) = 100</w:t>
      </w:r>
    </w:p>
    <w:p w:rsidR="00F654EB" w:rsidRPr="000E48AE" w:rsidRDefault="00F654EB" w:rsidP="00F654EB">
      <w:pPr>
        <w:rPr>
          <w:rFonts w:asciiTheme="majorHAnsi" w:hAnsiTheme="majorHAnsi" w:cstheme="minorHAnsi"/>
        </w:rPr>
      </w:pPr>
    </w:p>
    <w:p w:rsidR="00F255FF" w:rsidRPr="000E48AE" w:rsidRDefault="00F654EB" w:rsidP="00F255FF">
      <w:pPr>
        <w:rPr>
          <w:rFonts w:asciiTheme="majorHAnsi" w:hAnsiTheme="majorHAnsi" w:cstheme="minorHAnsi"/>
        </w:rPr>
      </w:pPr>
      <w:r w:rsidRPr="000E48AE">
        <w:rPr>
          <w:rFonts w:asciiTheme="majorHAnsi" w:hAnsiTheme="majorHAnsi" w:cstheme="minorHAnsi"/>
          <w:noProof/>
          <w:lang w:eastAsia="tr-TR"/>
        </w:rPr>
        <w:drawing>
          <wp:inline distT="0" distB="0" distL="0" distR="0">
            <wp:extent cx="9624838" cy="4798276"/>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42116" cy="4806889"/>
                    </a:xfrm>
                    <a:prstGeom prst="rect">
                      <a:avLst/>
                    </a:prstGeom>
                  </pic:spPr>
                </pic:pic>
              </a:graphicData>
            </a:graphic>
          </wp:inline>
        </w:drawing>
      </w:r>
    </w:p>
    <w:p w:rsidR="00F255FF" w:rsidRPr="000E48AE" w:rsidRDefault="00F255FF" w:rsidP="00F255FF">
      <w:pPr>
        <w:rPr>
          <w:rFonts w:asciiTheme="majorHAnsi" w:hAnsiTheme="majorHAnsi" w:cstheme="minorHAnsi"/>
        </w:rPr>
      </w:pPr>
      <w:r w:rsidRPr="000E48AE">
        <w:rPr>
          <w:rFonts w:asciiTheme="majorHAnsi" w:hAnsiTheme="majorHAnsi" w:cstheme="minorHAnsi"/>
        </w:rPr>
        <w:t>Kaynak: TÜİK, Betam</w:t>
      </w:r>
    </w:p>
    <w:p w:rsidR="00D046C9" w:rsidRPr="000E48AE" w:rsidRDefault="00D046C9" w:rsidP="00F255FF">
      <w:pPr>
        <w:rPr>
          <w:rFonts w:asciiTheme="majorHAnsi" w:hAnsiTheme="majorHAnsi" w:cstheme="minorHAnsi"/>
        </w:rPr>
        <w:sectPr w:rsidR="00D046C9" w:rsidRPr="000E48AE" w:rsidSect="004C427C">
          <w:pgSz w:w="16837" w:h="11905" w:orient="landscape"/>
          <w:pgMar w:top="1296" w:right="1296" w:bottom="1296" w:left="1296" w:header="709" w:footer="709" w:gutter="0"/>
          <w:cols w:space="708"/>
          <w:docGrid w:linePitch="360"/>
        </w:sectPr>
      </w:pPr>
    </w:p>
    <w:p w:rsidR="00D046C9" w:rsidRPr="000E48AE" w:rsidRDefault="00D046C9" w:rsidP="00C979CA">
      <w:pPr>
        <w:pStyle w:val="Caption"/>
        <w:rPr>
          <w:rFonts w:asciiTheme="majorHAnsi" w:hAnsiTheme="majorHAnsi" w:cstheme="minorHAnsi"/>
          <w:sz w:val="24"/>
          <w:szCs w:val="24"/>
        </w:rPr>
      </w:pPr>
      <w:bookmarkStart w:id="2" w:name="_Ref465938283"/>
      <w:r w:rsidRPr="000E48AE">
        <w:rPr>
          <w:rFonts w:asciiTheme="majorHAnsi" w:hAnsiTheme="majorHAnsi" w:cstheme="minorHAnsi"/>
          <w:sz w:val="24"/>
          <w:szCs w:val="24"/>
        </w:rPr>
        <w:lastRenderedPageBreak/>
        <w:t xml:space="preserve">Şekil </w:t>
      </w:r>
      <w:r w:rsidR="0086653A" w:rsidRPr="000E48AE">
        <w:rPr>
          <w:rFonts w:asciiTheme="majorHAnsi" w:hAnsiTheme="majorHAnsi" w:cstheme="minorHAnsi"/>
          <w:sz w:val="24"/>
          <w:szCs w:val="24"/>
        </w:rPr>
        <w:fldChar w:fldCharType="begin"/>
      </w:r>
      <w:r w:rsidRPr="000E48AE">
        <w:rPr>
          <w:rFonts w:asciiTheme="majorHAnsi" w:hAnsiTheme="majorHAnsi" w:cstheme="minorHAnsi"/>
          <w:sz w:val="24"/>
          <w:szCs w:val="24"/>
        </w:rPr>
        <w:instrText xml:space="preserve"> SEQ Şekil \* ARABIC </w:instrText>
      </w:r>
      <w:r w:rsidR="0086653A" w:rsidRPr="000E48AE">
        <w:rPr>
          <w:rFonts w:asciiTheme="majorHAnsi" w:hAnsiTheme="majorHAnsi" w:cstheme="minorHAnsi"/>
          <w:sz w:val="24"/>
          <w:szCs w:val="24"/>
        </w:rPr>
        <w:fldChar w:fldCharType="separate"/>
      </w:r>
      <w:r w:rsidR="009433FC" w:rsidRPr="000E48AE">
        <w:rPr>
          <w:rFonts w:asciiTheme="majorHAnsi" w:hAnsiTheme="majorHAnsi" w:cstheme="minorHAnsi"/>
          <w:noProof/>
          <w:sz w:val="24"/>
          <w:szCs w:val="24"/>
        </w:rPr>
        <w:t>2</w:t>
      </w:r>
      <w:r w:rsidR="0086653A" w:rsidRPr="000E48AE">
        <w:rPr>
          <w:rFonts w:asciiTheme="majorHAnsi" w:hAnsiTheme="majorHAnsi" w:cstheme="minorHAnsi"/>
          <w:sz w:val="24"/>
          <w:szCs w:val="24"/>
        </w:rPr>
        <w:fldChar w:fldCharType="end"/>
      </w:r>
      <w:bookmarkEnd w:id="2"/>
      <w:r w:rsidRPr="000E48AE">
        <w:rPr>
          <w:rFonts w:asciiTheme="majorHAnsi" w:hAnsiTheme="majorHAnsi" w:cstheme="minorHAnsi"/>
          <w:sz w:val="24"/>
          <w:szCs w:val="24"/>
        </w:rPr>
        <w:t xml:space="preserve">: Sektörlere göre </w:t>
      </w:r>
      <w:r w:rsidR="00B458E4">
        <w:rPr>
          <w:rFonts w:asciiTheme="majorHAnsi" w:hAnsiTheme="majorHAnsi" w:cstheme="minorHAnsi"/>
          <w:sz w:val="24"/>
          <w:szCs w:val="24"/>
        </w:rPr>
        <w:t>hareketli o</w:t>
      </w:r>
      <w:r w:rsidR="00C979CA" w:rsidRPr="000E48AE">
        <w:rPr>
          <w:rFonts w:asciiTheme="majorHAnsi" w:hAnsiTheme="majorHAnsi" w:cstheme="minorHAnsi"/>
          <w:sz w:val="24"/>
          <w:szCs w:val="24"/>
        </w:rPr>
        <w:t xml:space="preserve">rtalama </w:t>
      </w:r>
      <w:r w:rsidR="00B458E4">
        <w:rPr>
          <w:rFonts w:asciiTheme="majorHAnsi" w:hAnsiTheme="majorHAnsi" w:cstheme="minorHAnsi"/>
          <w:sz w:val="24"/>
          <w:szCs w:val="24"/>
        </w:rPr>
        <w:t>e</w:t>
      </w:r>
      <w:r w:rsidR="00C979CA" w:rsidRPr="000E48AE">
        <w:rPr>
          <w:rFonts w:asciiTheme="majorHAnsi" w:hAnsiTheme="majorHAnsi" w:cstheme="minorHAnsi"/>
          <w:sz w:val="24"/>
          <w:szCs w:val="24"/>
        </w:rPr>
        <w:t xml:space="preserve">mek </w:t>
      </w:r>
      <w:r w:rsidR="00B458E4">
        <w:rPr>
          <w:rFonts w:asciiTheme="majorHAnsi" w:hAnsiTheme="majorHAnsi" w:cstheme="minorHAnsi"/>
          <w:sz w:val="24"/>
          <w:szCs w:val="24"/>
        </w:rPr>
        <w:t>v</w:t>
      </w:r>
      <w:r w:rsidR="00C979CA" w:rsidRPr="000E48AE">
        <w:rPr>
          <w:rFonts w:asciiTheme="majorHAnsi" w:hAnsiTheme="majorHAnsi" w:cstheme="minorHAnsi"/>
          <w:sz w:val="24"/>
          <w:szCs w:val="24"/>
        </w:rPr>
        <w:t>erimliliği: 2005(4) – 2017(1</w:t>
      </w:r>
      <w:r w:rsidRPr="000E48AE">
        <w:rPr>
          <w:rFonts w:asciiTheme="majorHAnsi" w:hAnsiTheme="majorHAnsi" w:cstheme="minorHAnsi"/>
          <w:sz w:val="24"/>
          <w:szCs w:val="24"/>
        </w:rPr>
        <w:t>) (Mevsim ve takvim etkilerinden arındırılmış ve 2005(4) =100)</w:t>
      </w:r>
    </w:p>
    <w:p w:rsidR="00C979CA" w:rsidRPr="000E48AE" w:rsidRDefault="00C979CA" w:rsidP="00C979CA">
      <w:pPr>
        <w:rPr>
          <w:rFonts w:asciiTheme="majorHAnsi" w:hAnsiTheme="majorHAnsi" w:cstheme="minorHAnsi"/>
        </w:rPr>
      </w:pPr>
    </w:p>
    <w:p w:rsidR="00663A58" w:rsidRPr="000E48AE" w:rsidRDefault="00C979CA">
      <w:pPr>
        <w:suppressAutoHyphens w:val="0"/>
        <w:rPr>
          <w:rFonts w:asciiTheme="majorHAnsi" w:hAnsiTheme="majorHAnsi" w:cstheme="minorHAnsi"/>
          <w:b/>
        </w:rPr>
      </w:pPr>
      <w:r w:rsidRPr="000E48AE">
        <w:rPr>
          <w:rFonts w:asciiTheme="majorHAnsi" w:hAnsiTheme="majorHAnsi" w:cstheme="minorHAnsi"/>
          <w:noProof/>
          <w:lang w:eastAsia="tr-TR"/>
        </w:rPr>
        <w:drawing>
          <wp:inline distT="0" distB="0" distL="0" distR="0">
            <wp:extent cx="8991600" cy="4972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55FF" w:rsidRPr="000E48AE" w:rsidRDefault="00F255FF" w:rsidP="00663A58">
      <w:pPr>
        <w:rPr>
          <w:rFonts w:asciiTheme="majorHAnsi" w:hAnsiTheme="majorHAnsi" w:cstheme="minorHAnsi"/>
        </w:rPr>
      </w:pPr>
    </w:p>
    <w:p w:rsidR="00663A58" w:rsidRPr="000E48AE" w:rsidRDefault="00C979CA" w:rsidP="00663A58">
      <w:pPr>
        <w:rPr>
          <w:rFonts w:asciiTheme="majorHAnsi" w:hAnsiTheme="majorHAnsi" w:cstheme="minorHAnsi"/>
        </w:rPr>
      </w:pPr>
      <w:r w:rsidRPr="000E48AE">
        <w:rPr>
          <w:rFonts w:asciiTheme="majorHAnsi" w:hAnsiTheme="majorHAnsi" w:cstheme="minorHAnsi"/>
        </w:rPr>
        <w:t>Kaynak: TÜİK, Betam</w:t>
      </w:r>
    </w:p>
    <w:p w:rsidR="00F255FF" w:rsidRPr="000E48AE" w:rsidRDefault="00F255FF">
      <w:pPr>
        <w:suppressAutoHyphens w:val="0"/>
        <w:rPr>
          <w:rFonts w:asciiTheme="majorHAnsi" w:hAnsiTheme="majorHAnsi" w:cstheme="minorHAnsi"/>
          <w:b/>
        </w:rPr>
        <w:sectPr w:rsidR="00F255FF" w:rsidRPr="000E48AE" w:rsidSect="004C427C">
          <w:pgSz w:w="16837" w:h="11905" w:orient="landscape"/>
          <w:pgMar w:top="1296" w:right="1296" w:bottom="1296" w:left="1296" w:header="709" w:footer="709" w:gutter="0"/>
          <w:cols w:space="708"/>
          <w:docGrid w:linePitch="360"/>
        </w:sectPr>
      </w:pPr>
    </w:p>
    <w:p w:rsidR="00857675" w:rsidRPr="00B655BE" w:rsidRDefault="00860C3F" w:rsidP="00B655BE">
      <w:pPr>
        <w:pStyle w:val="Caption"/>
        <w:rPr>
          <w:rFonts w:asciiTheme="majorHAnsi" w:hAnsiTheme="majorHAnsi" w:cstheme="minorHAnsi"/>
          <w:sz w:val="24"/>
          <w:szCs w:val="24"/>
        </w:rPr>
      </w:pPr>
      <w:bookmarkStart w:id="3" w:name="_Ref463531088"/>
      <w:r w:rsidRPr="000E48AE">
        <w:rPr>
          <w:rFonts w:asciiTheme="majorHAnsi" w:hAnsiTheme="majorHAnsi" w:cstheme="minorHAnsi"/>
          <w:bCs w:val="0"/>
          <w:sz w:val="24"/>
          <w:szCs w:val="24"/>
        </w:rPr>
        <w:lastRenderedPageBreak/>
        <w:t xml:space="preserve">Ek Tablo </w:t>
      </w:r>
      <w:r w:rsidR="0086653A" w:rsidRPr="000E48AE">
        <w:rPr>
          <w:rFonts w:asciiTheme="majorHAnsi" w:hAnsiTheme="majorHAnsi" w:cstheme="minorHAnsi"/>
          <w:bCs w:val="0"/>
          <w:sz w:val="24"/>
          <w:szCs w:val="24"/>
        </w:rPr>
        <w:fldChar w:fldCharType="begin"/>
      </w:r>
      <w:r w:rsidRPr="000E48AE">
        <w:rPr>
          <w:rFonts w:asciiTheme="majorHAnsi" w:hAnsiTheme="majorHAnsi" w:cstheme="minorHAnsi"/>
          <w:bCs w:val="0"/>
          <w:sz w:val="24"/>
          <w:szCs w:val="24"/>
        </w:rPr>
        <w:instrText xml:space="preserve"> SEQ Ek_Tablo \* ARABIC </w:instrText>
      </w:r>
      <w:r w:rsidR="0086653A" w:rsidRPr="000E48AE">
        <w:rPr>
          <w:rFonts w:asciiTheme="majorHAnsi" w:hAnsiTheme="majorHAnsi" w:cstheme="minorHAnsi"/>
          <w:bCs w:val="0"/>
          <w:sz w:val="24"/>
          <w:szCs w:val="24"/>
        </w:rPr>
        <w:fldChar w:fldCharType="separate"/>
      </w:r>
      <w:r w:rsidR="009433FC" w:rsidRPr="000E48AE">
        <w:rPr>
          <w:rFonts w:asciiTheme="majorHAnsi" w:hAnsiTheme="majorHAnsi" w:cstheme="minorHAnsi"/>
          <w:bCs w:val="0"/>
          <w:noProof/>
          <w:sz w:val="24"/>
          <w:szCs w:val="24"/>
        </w:rPr>
        <w:t>1</w:t>
      </w:r>
      <w:r w:rsidR="0086653A" w:rsidRPr="000E48AE">
        <w:rPr>
          <w:rFonts w:asciiTheme="majorHAnsi" w:hAnsiTheme="majorHAnsi" w:cstheme="minorHAnsi"/>
          <w:bCs w:val="0"/>
          <w:sz w:val="24"/>
          <w:szCs w:val="24"/>
        </w:rPr>
        <w:fldChar w:fldCharType="end"/>
      </w:r>
      <w:bookmarkEnd w:id="3"/>
      <w:r w:rsidRPr="000E48AE">
        <w:rPr>
          <w:rFonts w:asciiTheme="majorHAnsi" w:hAnsiTheme="majorHAnsi" w:cstheme="minorHAnsi"/>
          <w:bCs w:val="0"/>
          <w:sz w:val="24"/>
          <w:szCs w:val="24"/>
        </w:rPr>
        <w:t xml:space="preserve">. </w:t>
      </w:r>
      <w:r w:rsidR="00451BF4" w:rsidRPr="000E48AE">
        <w:rPr>
          <w:rFonts w:asciiTheme="majorHAnsi" w:hAnsiTheme="majorHAnsi" w:cstheme="minorHAnsi"/>
          <w:sz w:val="24"/>
          <w:szCs w:val="24"/>
        </w:rPr>
        <w:t>Sektörlere göre büyüme ve istihdam endeksleri (</w:t>
      </w:r>
      <w:r w:rsidR="007B43ED" w:rsidRPr="000E48AE">
        <w:rPr>
          <w:rFonts w:asciiTheme="majorHAnsi" w:hAnsiTheme="majorHAnsi" w:cstheme="minorHAnsi"/>
          <w:sz w:val="24"/>
          <w:szCs w:val="24"/>
        </w:rPr>
        <w:t>Mevsim ve takvim etkilerinden arındırılmış</w:t>
      </w:r>
      <w:r w:rsidR="007B43ED">
        <w:rPr>
          <w:rFonts w:asciiTheme="majorHAnsi" w:hAnsiTheme="majorHAnsi" w:cstheme="minorHAnsi"/>
          <w:sz w:val="24"/>
          <w:szCs w:val="24"/>
        </w:rPr>
        <w:t>,</w:t>
      </w:r>
      <w:r w:rsidR="00451BF4" w:rsidRPr="000E48AE">
        <w:rPr>
          <w:rFonts w:asciiTheme="majorHAnsi" w:hAnsiTheme="majorHAnsi" w:cstheme="minorHAnsi"/>
          <w:sz w:val="24"/>
          <w:szCs w:val="24"/>
        </w:rPr>
        <w:t>2005(1) = 100)</w:t>
      </w:r>
      <w:r w:rsidR="0086653A" w:rsidRPr="000E48AE">
        <w:rPr>
          <w:rFonts w:asciiTheme="majorHAnsi" w:hAnsiTheme="majorHAnsi" w:cstheme="minorHAnsi"/>
          <w:b w:val="0"/>
        </w:rPr>
        <w:fldChar w:fldCharType="begin"/>
      </w:r>
      <w:r w:rsidR="00857675" w:rsidRPr="000E48AE">
        <w:rPr>
          <w:rFonts w:asciiTheme="majorHAnsi" w:hAnsiTheme="majorHAnsi" w:cstheme="minorHAnsi"/>
          <w:b w:val="0"/>
        </w:rPr>
        <w:instrText xml:space="preserve"> LINK Excel.Sheet.8 "/Users/selinkoksal/Dropbox/Sektörel Emek Verimliliği/sektörler istihdam-gsyh-new.xlsx" "Index!R5C14:R51C18" \a \f 4 \h  \* MERGEFORMAT </w:instrText>
      </w:r>
      <w:r w:rsidR="0086653A" w:rsidRPr="000E48AE">
        <w:rPr>
          <w:rFonts w:asciiTheme="majorHAnsi" w:hAnsiTheme="majorHAnsi" w:cstheme="minorHAnsi"/>
          <w:b w:val="0"/>
        </w:rPr>
        <w:fldChar w:fldCharType="separate"/>
      </w:r>
    </w:p>
    <w:p w:rsidR="00873ACA" w:rsidRPr="000E48AE" w:rsidRDefault="0086653A" w:rsidP="00F269F7">
      <w:pPr>
        <w:rPr>
          <w:rFonts w:asciiTheme="majorHAnsi" w:hAnsiTheme="majorHAnsi" w:cstheme="minorHAnsi"/>
          <w:b/>
        </w:rPr>
      </w:pPr>
      <w:r w:rsidRPr="000E48AE">
        <w:rPr>
          <w:rFonts w:asciiTheme="majorHAnsi" w:hAnsiTheme="majorHAnsi" w:cstheme="minorHAnsi"/>
          <w:b/>
        </w:rPr>
        <w:fldChar w:fldCharType="end"/>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39"/>
        <w:gridCol w:w="1015"/>
        <w:gridCol w:w="890"/>
        <w:gridCol w:w="890"/>
        <w:gridCol w:w="950"/>
        <w:gridCol w:w="950"/>
        <w:gridCol w:w="950"/>
        <w:gridCol w:w="950"/>
      </w:tblGrid>
      <w:tr w:rsidR="00873ACA" w:rsidRPr="00B655BE" w:rsidTr="00873ACA">
        <w:trPr>
          <w:trHeight w:val="389"/>
        </w:trPr>
        <w:tc>
          <w:tcPr>
            <w:tcW w:w="1139" w:type="dxa"/>
            <w:shd w:val="clear" w:color="auto" w:fill="auto"/>
            <w:noWrap/>
            <w:vAlign w:val="bottom"/>
            <w:hideMark/>
          </w:tcPr>
          <w:p w:rsidR="00873ACA" w:rsidRPr="00B655BE" w:rsidRDefault="00873ACA" w:rsidP="00873ACA">
            <w:pPr>
              <w:suppressAutoHyphens w:val="0"/>
              <w:rPr>
                <w:rFonts w:asciiTheme="majorHAnsi" w:hAnsiTheme="majorHAnsi" w:cstheme="minorHAnsi"/>
                <w:sz w:val="18"/>
                <w:szCs w:val="18"/>
                <w:lang w:eastAsia="en-GB"/>
              </w:rPr>
            </w:pPr>
          </w:p>
        </w:tc>
        <w:tc>
          <w:tcPr>
            <w:tcW w:w="1139" w:type="dxa"/>
            <w:shd w:val="clear" w:color="auto" w:fill="auto"/>
            <w:vAlign w:val="bottom"/>
            <w:hideMark/>
          </w:tcPr>
          <w:p w:rsidR="00873ACA" w:rsidRPr="00B655BE" w:rsidRDefault="00873ACA" w:rsidP="00873ACA">
            <w:pPr>
              <w:suppressAutoHyphens w:val="0"/>
              <w:jc w:val="center"/>
              <w:rPr>
                <w:rFonts w:asciiTheme="majorHAnsi" w:hAnsiTheme="majorHAnsi" w:cstheme="minorHAnsi"/>
                <w:b/>
                <w:bCs/>
                <w:color w:val="000000"/>
                <w:sz w:val="18"/>
                <w:szCs w:val="18"/>
                <w:lang w:val="en-GB" w:eastAsia="en-GB"/>
              </w:rPr>
            </w:pPr>
            <w:proofErr w:type="spellStart"/>
            <w:r w:rsidRPr="00B655BE">
              <w:rPr>
                <w:rFonts w:asciiTheme="majorHAnsi" w:hAnsiTheme="majorHAnsi" w:cstheme="minorHAnsi"/>
                <w:b/>
                <w:bCs/>
                <w:color w:val="000000"/>
                <w:sz w:val="18"/>
                <w:szCs w:val="18"/>
                <w:lang w:val="en-GB" w:eastAsia="en-GB"/>
              </w:rPr>
              <w:t>Tarım</w:t>
            </w:r>
            <w:proofErr w:type="spellEnd"/>
            <w:r w:rsidRPr="00B655BE">
              <w:rPr>
                <w:rFonts w:asciiTheme="majorHAnsi" w:hAnsiTheme="majorHAnsi" w:cstheme="minorHAnsi"/>
                <w:b/>
                <w:bCs/>
                <w:color w:val="000000"/>
                <w:sz w:val="18"/>
                <w:szCs w:val="18"/>
                <w:lang w:val="en-GB" w:eastAsia="en-GB"/>
              </w:rPr>
              <w:t xml:space="preserve"> GSYH</w:t>
            </w:r>
          </w:p>
        </w:tc>
        <w:tc>
          <w:tcPr>
            <w:tcW w:w="1015" w:type="dxa"/>
            <w:shd w:val="clear" w:color="auto" w:fill="auto"/>
            <w:vAlign w:val="bottom"/>
            <w:hideMark/>
          </w:tcPr>
          <w:p w:rsidR="00873ACA" w:rsidRPr="00B655BE" w:rsidRDefault="00873ACA" w:rsidP="00873ACA">
            <w:pPr>
              <w:suppressAutoHyphens w:val="0"/>
              <w:rPr>
                <w:rFonts w:asciiTheme="majorHAnsi" w:hAnsiTheme="majorHAnsi" w:cstheme="minorHAnsi"/>
                <w:b/>
                <w:bCs/>
                <w:color w:val="000000"/>
                <w:sz w:val="18"/>
                <w:szCs w:val="18"/>
                <w:lang w:val="en-GB" w:eastAsia="en-GB"/>
              </w:rPr>
            </w:pPr>
            <w:r w:rsidRPr="00B655BE">
              <w:rPr>
                <w:rFonts w:asciiTheme="majorHAnsi" w:hAnsiTheme="majorHAnsi" w:cstheme="minorHAnsi"/>
                <w:b/>
                <w:bCs/>
                <w:color w:val="000000"/>
                <w:sz w:val="18"/>
                <w:szCs w:val="18"/>
                <w:lang w:val="en-GB" w:eastAsia="en-GB"/>
              </w:rPr>
              <w:t>Sanayi GSYH</w:t>
            </w:r>
          </w:p>
        </w:tc>
        <w:tc>
          <w:tcPr>
            <w:tcW w:w="890" w:type="dxa"/>
            <w:shd w:val="clear" w:color="auto" w:fill="auto"/>
            <w:vAlign w:val="bottom"/>
            <w:hideMark/>
          </w:tcPr>
          <w:p w:rsidR="00873ACA" w:rsidRPr="00B655BE" w:rsidRDefault="00873ACA" w:rsidP="00873ACA">
            <w:pPr>
              <w:suppressAutoHyphens w:val="0"/>
              <w:rPr>
                <w:rFonts w:asciiTheme="majorHAnsi" w:hAnsiTheme="majorHAnsi" w:cstheme="minorHAnsi"/>
                <w:b/>
                <w:bCs/>
                <w:color w:val="000000"/>
                <w:sz w:val="18"/>
                <w:szCs w:val="18"/>
                <w:lang w:val="en-GB" w:eastAsia="en-GB"/>
              </w:rPr>
            </w:pPr>
            <w:proofErr w:type="spellStart"/>
            <w:r w:rsidRPr="00B655BE">
              <w:rPr>
                <w:rFonts w:asciiTheme="majorHAnsi" w:hAnsiTheme="majorHAnsi" w:cstheme="minorHAnsi"/>
                <w:b/>
                <w:bCs/>
                <w:color w:val="000000"/>
                <w:sz w:val="18"/>
                <w:szCs w:val="18"/>
                <w:lang w:val="en-GB" w:eastAsia="en-GB"/>
              </w:rPr>
              <w:t>İnşaat</w:t>
            </w:r>
            <w:proofErr w:type="spellEnd"/>
            <w:r w:rsidRPr="00B655BE">
              <w:rPr>
                <w:rFonts w:asciiTheme="majorHAnsi" w:hAnsiTheme="majorHAnsi" w:cstheme="minorHAnsi"/>
                <w:b/>
                <w:bCs/>
                <w:color w:val="000000"/>
                <w:sz w:val="18"/>
                <w:szCs w:val="18"/>
                <w:lang w:val="en-GB" w:eastAsia="en-GB"/>
              </w:rPr>
              <w:t xml:space="preserve"> GSYH</w:t>
            </w:r>
          </w:p>
        </w:tc>
        <w:tc>
          <w:tcPr>
            <w:tcW w:w="890" w:type="dxa"/>
            <w:shd w:val="clear" w:color="auto" w:fill="auto"/>
            <w:vAlign w:val="bottom"/>
            <w:hideMark/>
          </w:tcPr>
          <w:p w:rsidR="00873ACA" w:rsidRPr="00B655BE" w:rsidRDefault="00873ACA" w:rsidP="00873ACA">
            <w:pPr>
              <w:suppressAutoHyphens w:val="0"/>
              <w:rPr>
                <w:rFonts w:asciiTheme="majorHAnsi" w:hAnsiTheme="majorHAnsi" w:cstheme="minorHAnsi"/>
                <w:b/>
                <w:bCs/>
                <w:color w:val="000000"/>
                <w:sz w:val="18"/>
                <w:szCs w:val="18"/>
                <w:lang w:val="en-GB" w:eastAsia="en-GB"/>
              </w:rPr>
            </w:pPr>
            <w:proofErr w:type="spellStart"/>
            <w:r w:rsidRPr="00B655BE">
              <w:rPr>
                <w:rFonts w:asciiTheme="majorHAnsi" w:hAnsiTheme="majorHAnsi" w:cstheme="minorHAnsi"/>
                <w:b/>
                <w:bCs/>
                <w:color w:val="000000"/>
                <w:sz w:val="18"/>
                <w:szCs w:val="18"/>
                <w:lang w:val="en-GB" w:eastAsia="en-GB"/>
              </w:rPr>
              <w:t>Hizmet</w:t>
            </w:r>
            <w:proofErr w:type="spellEnd"/>
            <w:r w:rsidRPr="00B655BE">
              <w:rPr>
                <w:rFonts w:asciiTheme="majorHAnsi" w:hAnsiTheme="majorHAnsi" w:cstheme="minorHAnsi"/>
                <w:b/>
                <w:bCs/>
                <w:color w:val="000000"/>
                <w:sz w:val="18"/>
                <w:szCs w:val="18"/>
                <w:lang w:val="en-GB" w:eastAsia="en-GB"/>
              </w:rPr>
              <w:t xml:space="preserve"> GSYH</w:t>
            </w:r>
          </w:p>
        </w:tc>
        <w:tc>
          <w:tcPr>
            <w:tcW w:w="898" w:type="dxa"/>
            <w:shd w:val="clear" w:color="auto" w:fill="auto"/>
            <w:vAlign w:val="bottom"/>
            <w:hideMark/>
          </w:tcPr>
          <w:p w:rsidR="00873ACA" w:rsidRPr="00B655BE" w:rsidRDefault="00873ACA" w:rsidP="00873ACA">
            <w:pPr>
              <w:suppressAutoHyphens w:val="0"/>
              <w:rPr>
                <w:rFonts w:asciiTheme="majorHAnsi" w:hAnsiTheme="majorHAnsi" w:cstheme="minorHAnsi"/>
                <w:b/>
                <w:bCs/>
                <w:color w:val="000000"/>
                <w:sz w:val="18"/>
                <w:szCs w:val="18"/>
                <w:lang w:val="en-GB" w:eastAsia="en-GB"/>
              </w:rPr>
            </w:pPr>
            <w:proofErr w:type="spellStart"/>
            <w:r w:rsidRPr="00B655BE">
              <w:rPr>
                <w:rFonts w:asciiTheme="majorHAnsi" w:hAnsiTheme="majorHAnsi" w:cstheme="minorHAnsi"/>
                <w:b/>
                <w:bCs/>
                <w:color w:val="000000"/>
                <w:sz w:val="18"/>
                <w:szCs w:val="18"/>
                <w:lang w:val="en-GB" w:eastAsia="en-GB"/>
              </w:rPr>
              <w:t>Tarım</w:t>
            </w:r>
            <w:proofErr w:type="spellEnd"/>
            <w:r w:rsidRPr="00B655BE">
              <w:rPr>
                <w:rFonts w:asciiTheme="majorHAnsi" w:hAnsiTheme="majorHAnsi" w:cstheme="minorHAnsi"/>
                <w:b/>
                <w:bCs/>
                <w:color w:val="000000"/>
                <w:sz w:val="18"/>
                <w:szCs w:val="18"/>
                <w:lang w:val="en-GB" w:eastAsia="en-GB"/>
              </w:rPr>
              <w:t xml:space="preserve"> </w:t>
            </w:r>
            <w:proofErr w:type="spellStart"/>
            <w:r w:rsidRPr="00B655BE">
              <w:rPr>
                <w:rFonts w:asciiTheme="majorHAnsi" w:hAnsiTheme="majorHAnsi" w:cstheme="minorHAnsi"/>
                <w:b/>
                <w:bCs/>
                <w:color w:val="000000"/>
                <w:sz w:val="18"/>
                <w:szCs w:val="18"/>
                <w:lang w:val="en-GB" w:eastAsia="en-GB"/>
              </w:rPr>
              <w:t>istihdam</w:t>
            </w:r>
            <w:proofErr w:type="spellEnd"/>
          </w:p>
        </w:tc>
        <w:tc>
          <w:tcPr>
            <w:tcW w:w="898" w:type="dxa"/>
            <w:shd w:val="clear" w:color="auto" w:fill="auto"/>
            <w:vAlign w:val="bottom"/>
            <w:hideMark/>
          </w:tcPr>
          <w:p w:rsidR="00873ACA" w:rsidRPr="00B655BE" w:rsidRDefault="00873ACA" w:rsidP="00873ACA">
            <w:pPr>
              <w:suppressAutoHyphens w:val="0"/>
              <w:rPr>
                <w:rFonts w:asciiTheme="majorHAnsi" w:hAnsiTheme="majorHAnsi" w:cstheme="minorHAnsi"/>
                <w:b/>
                <w:bCs/>
                <w:color w:val="000000"/>
                <w:sz w:val="18"/>
                <w:szCs w:val="18"/>
                <w:lang w:val="en-GB" w:eastAsia="en-GB"/>
              </w:rPr>
            </w:pPr>
            <w:r w:rsidRPr="00B655BE">
              <w:rPr>
                <w:rFonts w:asciiTheme="majorHAnsi" w:hAnsiTheme="majorHAnsi" w:cstheme="minorHAnsi"/>
                <w:b/>
                <w:bCs/>
                <w:color w:val="000000"/>
                <w:sz w:val="18"/>
                <w:szCs w:val="18"/>
                <w:lang w:val="en-GB" w:eastAsia="en-GB"/>
              </w:rPr>
              <w:t xml:space="preserve">Sanayi </w:t>
            </w:r>
            <w:proofErr w:type="spellStart"/>
            <w:r w:rsidRPr="00B655BE">
              <w:rPr>
                <w:rFonts w:asciiTheme="majorHAnsi" w:hAnsiTheme="majorHAnsi" w:cstheme="minorHAnsi"/>
                <w:b/>
                <w:bCs/>
                <w:color w:val="000000"/>
                <w:sz w:val="18"/>
                <w:szCs w:val="18"/>
                <w:lang w:val="en-GB" w:eastAsia="en-GB"/>
              </w:rPr>
              <w:t>istihdam</w:t>
            </w:r>
            <w:proofErr w:type="spellEnd"/>
          </w:p>
        </w:tc>
        <w:tc>
          <w:tcPr>
            <w:tcW w:w="898" w:type="dxa"/>
            <w:shd w:val="clear" w:color="auto" w:fill="auto"/>
            <w:vAlign w:val="bottom"/>
            <w:hideMark/>
          </w:tcPr>
          <w:p w:rsidR="00873ACA" w:rsidRPr="00B655BE" w:rsidRDefault="00873ACA" w:rsidP="00873ACA">
            <w:pPr>
              <w:suppressAutoHyphens w:val="0"/>
              <w:rPr>
                <w:rFonts w:asciiTheme="majorHAnsi" w:hAnsiTheme="majorHAnsi" w:cstheme="minorHAnsi"/>
                <w:b/>
                <w:bCs/>
                <w:color w:val="000000"/>
                <w:sz w:val="18"/>
                <w:szCs w:val="18"/>
                <w:lang w:val="en-GB" w:eastAsia="en-GB"/>
              </w:rPr>
            </w:pPr>
            <w:proofErr w:type="spellStart"/>
            <w:r w:rsidRPr="00B655BE">
              <w:rPr>
                <w:rFonts w:asciiTheme="majorHAnsi" w:hAnsiTheme="majorHAnsi" w:cstheme="minorHAnsi"/>
                <w:b/>
                <w:bCs/>
                <w:color w:val="000000"/>
                <w:sz w:val="18"/>
                <w:szCs w:val="18"/>
                <w:lang w:val="en-GB" w:eastAsia="en-GB"/>
              </w:rPr>
              <w:t>İnşaat</w:t>
            </w:r>
            <w:proofErr w:type="spellEnd"/>
            <w:r w:rsidRPr="00B655BE">
              <w:rPr>
                <w:rFonts w:asciiTheme="majorHAnsi" w:hAnsiTheme="majorHAnsi" w:cstheme="minorHAnsi"/>
                <w:b/>
                <w:bCs/>
                <w:color w:val="000000"/>
                <w:sz w:val="18"/>
                <w:szCs w:val="18"/>
                <w:lang w:val="en-GB" w:eastAsia="en-GB"/>
              </w:rPr>
              <w:t xml:space="preserve"> </w:t>
            </w:r>
            <w:proofErr w:type="spellStart"/>
            <w:r w:rsidRPr="00B655BE">
              <w:rPr>
                <w:rFonts w:asciiTheme="majorHAnsi" w:hAnsiTheme="majorHAnsi" w:cstheme="minorHAnsi"/>
                <w:b/>
                <w:bCs/>
                <w:color w:val="000000"/>
                <w:sz w:val="18"/>
                <w:szCs w:val="18"/>
                <w:lang w:val="en-GB" w:eastAsia="en-GB"/>
              </w:rPr>
              <w:t>istihdam</w:t>
            </w:r>
            <w:proofErr w:type="spellEnd"/>
          </w:p>
        </w:tc>
        <w:tc>
          <w:tcPr>
            <w:tcW w:w="898" w:type="dxa"/>
            <w:shd w:val="clear" w:color="auto" w:fill="auto"/>
            <w:vAlign w:val="bottom"/>
            <w:hideMark/>
          </w:tcPr>
          <w:p w:rsidR="00873ACA" w:rsidRPr="00B655BE" w:rsidRDefault="00873ACA" w:rsidP="00873ACA">
            <w:pPr>
              <w:suppressAutoHyphens w:val="0"/>
              <w:rPr>
                <w:rFonts w:asciiTheme="majorHAnsi" w:hAnsiTheme="majorHAnsi" w:cstheme="minorHAnsi"/>
                <w:b/>
                <w:bCs/>
                <w:color w:val="000000"/>
                <w:sz w:val="18"/>
                <w:szCs w:val="18"/>
                <w:lang w:val="en-GB" w:eastAsia="en-GB"/>
              </w:rPr>
            </w:pPr>
            <w:proofErr w:type="spellStart"/>
            <w:r w:rsidRPr="00B655BE">
              <w:rPr>
                <w:rFonts w:asciiTheme="majorHAnsi" w:hAnsiTheme="majorHAnsi" w:cstheme="minorHAnsi"/>
                <w:b/>
                <w:bCs/>
                <w:color w:val="000000"/>
                <w:sz w:val="18"/>
                <w:szCs w:val="18"/>
                <w:lang w:val="en-GB" w:eastAsia="en-GB"/>
              </w:rPr>
              <w:t>Hizmet</w:t>
            </w:r>
            <w:proofErr w:type="spellEnd"/>
            <w:r w:rsidRPr="00B655BE">
              <w:rPr>
                <w:rFonts w:asciiTheme="majorHAnsi" w:hAnsiTheme="majorHAnsi" w:cstheme="minorHAnsi"/>
                <w:b/>
                <w:bCs/>
                <w:color w:val="000000"/>
                <w:sz w:val="18"/>
                <w:szCs w:val="18"/>
                <w:lang w:val="en-GB" w:eastAsia="en-GB"/>
              </w:rPr>
              <w:t xml:space="preserve"> </w:t>
            </w:r>
            <w:proofErr w:type="spellStart"/>
            <w:r w:rsidRPr="00B655BE">
              <w:rPr>
                <w:rFonts w:asciiTheme="majorHAnsi" w:hAnsiTheme="majorHAnsi" w:cstheme="minorHAnsi"/>
                <w:b/>
                <w:bCs/>
                <w:color w:val="000000"/>
                <w:sz w:val="18"/>
                <w:szCs w:val="18"/>
                <w:lang w:val="en-GB" w:eastAsia="en-GB"/>
              </w:rPr>
              <w:t>istihdam</w:t>
            </w:r>
            <w:proofErr w:type="spellEnd"/>
          </w:p>
        </w:tc>
      </w:tr>
      <w:tr w:rsidR="00873ACA" w:rsidRPr="00B655BE" w:rsidTr="00873ACA">
        <w:trPr>
          <w:trHeight w:val="230"/>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2005(1)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2005(2)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100,7</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99,9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98,6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102,8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101,6</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2005(3)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101,6</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106,6</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102,9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90,7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108,1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104,2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103,5</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2005(4)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99,4</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107,6</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105,7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88,5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110,2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105,5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105,0</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2006(1)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100,3</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106,9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122,2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106,2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85,6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104,0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106,3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105,8</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2006(2)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103,0</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131,4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88,4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105,3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107,7</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2006(3)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136,0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107,8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88,3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110,8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108,1</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2006(4)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101,8</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140,7</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110,2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88,4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120,4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109,3</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2007(1)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95,3</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116,3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144,9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87,8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106,2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110,0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110,4</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2007(2)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95,9</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146,8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87,2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114,5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110,7</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2007(3)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94,0</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147,3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84,7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121,8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111,3</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2007(4)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94,3</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124,0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147,4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83,1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116,3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111,4</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2008(1)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101,3</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124,9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147,5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84,2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111,9</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2008(2)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97,0</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123,1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145,1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117,8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87,9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112,8</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2008(3)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98,2</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138,2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87,9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113,2</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2008(4)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111,6</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128,2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114,3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88,2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110,9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113,5</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2009(1)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98,9</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86,1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117,0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113,6</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2009(2)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104,3</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116,5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88,0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114,5</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2009(3)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103,6</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117,5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90,6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104,2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124,2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115,6</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2009(4)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105,1</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114,0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123,2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93,6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131,7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116,5</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2010(1)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109,6</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114,2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126,1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95,7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129,5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117,3</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2010(2)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109,6</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132,6</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94,2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114,0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133,7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118,7</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2010(3)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112,2</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122,1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143,4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95,2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133,9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119,0</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2010(4)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111,9</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148,8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121,6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98,2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143,8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119,8</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2011(1)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115,3</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137,1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161,6</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125,4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151,7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122,2</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2011(2)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113,1</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138,2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169,5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127,1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99,9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122,1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156,9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123,8</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2011(3)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111,3</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144,8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175,4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130,2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102,8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166,3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126,2</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2011(4)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119,0</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145,7</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180,8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121,0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157,3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128,6</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2012(1)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118,0</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144,4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178,9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99,9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145,7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129,9</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2012(2)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112,8</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146,0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183,1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136,2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99,5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121,9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163,6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132,2</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2012(3)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116,5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147,5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187,7</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138,0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98,8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121,5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167,1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133,8</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2012(4)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121,5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147,1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194,5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138,9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124,3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169,7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136,0</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2013(1)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116,6</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156,7</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201,7</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142,6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124,8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168,8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137,0</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2013(2)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125,1</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159,5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211,3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146,7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98,1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129,2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165,9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138,3</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2013(3)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121,5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162,2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216,5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149,2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97,8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127,1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165,8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139,1</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2013(4)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116,4</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165,1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219,1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149,8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96,1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125,8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169,2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140,8</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2014(1)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119,1</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169,3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225,0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153,4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133,1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189,9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142,7</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2014(2)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117,9</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168,4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219,3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154,4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105,0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133,2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176,3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145,9</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2014(3)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119,1</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170,2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222,5</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157,9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130,6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175,4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148,2</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2014(4)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126,4</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169,2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224,3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159,0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102,1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131,0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183,3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149,3</w:t>
            </w:r>
          </w:p>
        </w:tc>
      </w:tr>
      <w:tr w:rsidR="00873ACA" w:rsidRPr="00B655BE" w:rsidTr="00873ACA">
        <w:trPr>
          <w:trHeight w:val="194"/>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2015(1)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130,1</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171,0</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226,3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161,7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98,7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132,9</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177,1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153,4</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2015(2)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132,2</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177,3</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230,4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163,5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104,2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134,2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175,6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151,9</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2015(3)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137,7</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178,8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236,2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165,1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104,3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130,5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181,3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154,7</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2015(4)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126,5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181,2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241,9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168,0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101,8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133,0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188,0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157,2</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2016(1)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125,5</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183,2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245,4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167,8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100,2</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131,0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190,6</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161,3</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2016(2)</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126,2</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184,6</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251,4</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169,8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133,8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191,7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161,2</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2016(3)</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126,4</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184,9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251,2</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164,5</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99,3</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129,8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181,8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161,5</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2016(4)</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126,6</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189,9</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253,8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172,7</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100,0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132,0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188,8</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163,1</w:t>
            </w:r>
          </w:p>
        </w:tc>
      </w:tr>
      <w:tr w:rsidR="00873ACA" w:rsidRPr="00B655BE" w:rsidTr="00873ACA">
        <w:trPr>
          <w:trHeight w:val="242"/>
        </w:trPr>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b/>
                <w:bCs/>
                <w:sz w:val="18"/>
                <w:szCs w:val="18"/>
                <w:lang w:val="en-GB" w:eastAsia="en-GB"/>
              </w:rPr>
            </w:pPr>
            <w:r w:rsidRPr="00B655BE">
              <w:rPr>
                <w:rFonts w:asciiTheme="majorHAnsi" w:hAnsiTheme="majorHAnsi" w:cstheme="minorHAnsi"/>
                <w:b/>
                <w:bCs/>
                <w:sz w:val="18"/>
                <w:szCs w:val="18"/>
                <w:lang w:val="en-GB" w:eastAsia="en-GB"/>
              </w:rPr>
              <w:t>2017(1)</w:t>
            </w:r>
          </w:p>
        </w:tc>
        <w:tc>
          <w:tcPr>
            <w:tcW w:w="1139"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127,8</w:t>
            </w:r>
          </w:p>
        </w:tc>
        <w:tc>
          <w:tcPr>
            <w:tcW w:w="1015"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191,1</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256,8</w:t>
            </w:r>
          </w:p>
        </w:tc>
        <w:tc>
          <w:tcPr>
            <w:tcW w:w="890"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177,0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103,0</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130,4</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194,1</w:t>
            </w:r>
          </w:p>
        </w:tc>
        <w:tc>
          <w:tcPr>
            <w:tcW w:w="898" w:type="dxa"/>
            <w:shd w:val="clear" w:color="auto" w:fill="auto"/>
            <w:noWrap/>
            <w:vAlign w:val="bottom"/>
            <w:hideMark/>
          </w:tcPr>
          <w:p w:rsidR="00873ACA" w:rsidRPr="00B655BE" w:rsidRDefault="00873ACA" w:rsidP="00873ACA">
            <w:pPr>
              <w:suppressAutoHyphens w:val="0"/>
              <w:jc w:val="right"/>
              <w:rPr>
                <w:rFonts w:asciiTheme="majorHAnsi" w:hAnsiTheme="majorHAnsi" w:cstheme="minorHAnsi"/>
                <w:color w:val="000000"/>
                <w:sz w:val="18"/>
                <w:szCs w:val="18"/>
                <w:lang w:val="en-GB" w:eastAsia="en-GB"/>
              </w:rPr>
            </w:pPr>
            <w:r w:rsidRPr="00B655BE">
              <w:rPr>
                <w:rFonts w:asciiTheme="majorHAnsi" w:hAnsiTheme="majorHAnsi" w:cstheme="minorHAnsi"/>
                <w:color w:val="000000"/>
                <w:sz w:val="18"/>
                <w:szCs w:val="18"/>
                <w:lang w:val="en-GB" w:eastAsia="en-GB"/>
              </w:rPr>
              <w:t>165,0</w:t>
            </w:r>
          </w:p>
        </w:tc>
      </w:tr>
    </w:tbl>
    <w:p w:rsidR="00663A58" w:rsidRPr="000E48AE" w:rsidRDefault="007C4077" w:rsidP="0039548D">
      <w:pPr>
        <w:rPr>
          <w:rFonts w:asciiTheme="majorHAnsi" w:hAnsiTheme="majorHAnsi" w:cstheme="minorHAnsi"/>
        </w:rPr>
      </w:pPr>
      <w:r w:rsidRPr="000E48AE">
        <w:rPr>
          <w:rFonts w:asciiTheme="majorHAnsi" w:hAnsiTheme="majorHAnsi" w:cstheme="minorHAnsi"/>
        </w:rPr>
        <w:t>Kaynak: TÜİK, Betam.</w:t>
      </w:r>
    </w:p>
    <w:p w:rsidR="00252AFE" w:rsidRDefault="00663A58" w:rsidP="00252AFE">
      <w:pPr>
        <w:pStyle w:val="Caption"/>
        <w:rPr>
          <w:rFonts w:asciiTheme="majorHAnsi" w:hAnsiTheme="majorHAnsi" w:cstheme="minorHAnsi"/>
          <w:sz w:val="24"/>
          <w:szCs w:val="24"/>
        </w:rPr>
      </w:pPr>
      <w:bookmarkStart w:id="4" w:name="_Ref465937387"/>
      <w:bookmarkStart w:id="5" w:name="_Ref465938297"/>
      <w:r w:rsidRPr="000E48AE">
        <w:rPr>
          <w:rFonts w:asciiTheme="majorHAnsi" w:hAnsiTheme="majorHAnsi" w:cstheme="minorHAnsi"/>
          <w:sz w:val="24"/>
          <w:szCs w:val="24"/>
        </w:rPr>
        <w:lastRenderedPageBreak/>
        <w:t xml:space="preserve">Ek Tablo </w:t>
      </w:r>
      <w:r w:rsidR="0086653A" w:rsidRPr="000E48AE">
        <w:rPr>
          <w:rFonts w:asciiTheme="majorHAnsi" w:hAnsiTheme="majorHAnsi" w:cstheme="minorHAnsi"/>
          <w:sz w:val="24"/>
          <w:szCs w:val="24"/>
        </w:rPr>
        <w:fldChar w:fldCharType="begin"/>
      </w:r>
      <w:r w:rsidRPr="000E48AE">
        <w:rPr>
          <w:rFonts w:asciiTheme="majorHAnsi" w:hAnsiTheme="majorHAnsi" w:cstheme="minorHAnsi"/>
          <w:sz w:val="24"/>
          <w:szCs w:val="24"/>
        </w:rPr>
        <w:instrText xml:space="preserve"> SEQ Ek_Tablo \* ARABIC </w:instrText>
      </w:r>
      <w:r w:rsidR="0086653A" w:rsidRPr="000E48AE">
        <w:rPr>
          <w:rFonts w:asciiTheme="majorHAnsi" w:hAnsiTheme="majorHAnsi" w:cstheme="minorHAnsi"/>
          <w:sz w:val="24"/>
          <w:szCs w:val="24"/>
        </w:rPr>
        <w:fldChar w:fldCharType="separate"/>
      </w:r>
      <w:r w:rsidR="009433FC" w:rsidRPr="000E48AE">
        <w:rPr>
          <w:rFonts w:asciiTheme="majorHAnsi" w:hAnsiTheme="majorHAnsi" w:cstheme="minorHAnsi"/>
          <w:noProof/>
          <w:sz w:val="24"/>
          <w:szCs w:val="24"/>
        </w:rPr>
        <w:t>2</w:t>
      </w:r>
      <w:r w:rsidR="0086653A" w:rsidRPr="000E48AE">
        <w:rPr>
          <w:rFonts w:asciiTheme="majorHAnsi" w:hAnsiTheme="majorHAnsi" w:cstheme="minorHAnsi"/>
          <w:sz w:val="24"/>
          <w:szCs w:val="24"/>
        </w:rPr>
        <w:fldChar w:fldCharType="end"/>
      </w:r>
      <w:bookmarkEnd w:id="4"/>
      <w:r w:rsidR="003055B8">
        <w:rPr>
          <w:rFonts w:asciiTheme="majorHAnsi" w:hAnsiTheme="majorHAnsi" w:cstheme="minorHAnsi"/>
          <w:sz w:val="24"/>
          <w:szCs w:val="24"/>
        </w:rPr>
        <w:t xml:space="preserve">. </w:t>
      </w:r>
      <w:r w:rsidR="007B43ED" w:rsidRPr="000E48AE">
        <w:rPr>
          <w:rFonts w:asciiTheme="majorHAnsi" w:hAnsiTheme="majorHAnsi" w:cstheme="minorHAnsi"/>
          <w:sz w:val="24"/>
          <w:szCs w:val="24"/>
        </w:rPr>
        <w:t xml:space="preserve">Mevsim ve takvim etkilerinden arındırılmış </w:t>
      </w:r>
      <w:r w:rsidR="007B43ED">
        <w:rPr>
          <w:rFonts w:asciiTheme="majorHAnsi" w:hAnsiTheme="majorHAnsi" w:cstheme="minorHAnsi"/>
          <w:sz w:val="24"/>
          <w:szCs w:val="24"/>
        </w:rPr>
        <w:t>se</w:t>
      </w:r>
      <w:r w:rsidRPr="000E48AE">
        <w:rPr>
          <w:rFonts w:asciiTheme="majorHAnsi" w:hAnsiTheme="majorHAnsi" w:cstheme="minorHAnsi"/>
          <w:sz w:val="24"/>
          <w:szCs w:val="24"/>
        </w:rPr>
        <w:t xml:space="preserve">ktörlere göre </w:t>
      </w:r>
      <w:r w:rsidR="005A1202">
        <w:rPr>
          <w:rFonts w:asciiTheme="majorHAnsi" w:hAnsiTheme="majorHAnsi" w:cstheme="minorHAnsi"/>
          <w:sz w:val="24"/>
          <w:szCs w:val="24"/>
        </w:rPr>
        <w:t>emek verimliliği (</w:t>
      </w:r>
      <w:r w:rsidR="007B43ED">
        <w:rPr>
          <w:rFonts w:asciiTheme="majorHAnsi" w:hAnsiTheme="majorHAnsi" w:cstheme="minorHAnsi"/>
          <w:sz w:val="24"/>
          <w:szCs w:val="24"/>
        </w:rPr>
        <w:t>2005(1) = 100) v</w:t>
      </w:r>
      <w:r w:rsidR="005A1202">
        <w:rPr>
          <w:rFonts w:asciiTheme="majorHAnsi" w:hAnsiTheme="majorHAnsi" w:cstheme="minorHAnsi"/>
          <w:sz w:val="24"/>
          <w:szCs w:val="24"/>
        </w:rPr>
        <w:t xml:space="preserve">e </w:t>
      </w:r>
      <w:r w:rsidR="00B458E4">
        <w:rPr>
          <w:rFonts w:asciiTheme="majorHAnsi" w:hAnsiTheme="majorHAnsi" w:cstheme="minorHAnsi"/>
          <w:sz w:val="24"/>
          <w:szCs w:val="24"/>
        </w:rPr>
        <w:t xml:space="preserve">hareketli </w:t>
      </w:r>
      <w:r w:rsidR="00D212F8">
        <w:rPr>
          <w:rFonts w:asciiTheme="majorHAnsi" w:hAnsiTheme="majorHAnsi" w:cstheme="minorHAnsi"/>
          <w:sz w:val="24"/>
          <w:szCs w:val="24"/>
        </w:rPr>
        <w:t>ortalama emek verimliliği</w:t>
      </w:r>
      <w:r w:rsidRPr="000E48AE">
        <w:rPr>
          <w:rFonts w:asciiTheme="majorHAnsi" w:hAnsiTheme="majorHAnsi" w:cstheme="minorHAnsi"/>
          <w:sz w:val="24"/>
          <w:szCs w:val="24"/>
        </w:rPr>
        <w:t>(2005(4) = 100)</w:t>
      </w:r>
      <w:bookmarkEnd w:id="5"/>
    </w:p>
    <w:p w:rsidR="004C427C" w:rsidRDefault="004C427C" w:rsidP="004C427C"/>
    <w:tbl>
      <w:tblPr>
        <w:tblW w:w="6524" w:type="dxa"/>
        <w:tblInd w:w="108" w:type="dxa"/>
        <w:tblLook w:val="04A0" w:firstRow="1" w:lastRow="0" w:firstColumn="1" w:lastColumn="0" w:noHBand="0" w:noVBand="1"/>
      </w:tblPr>
      <w:tblGrid>
        <w:gridCol w:w="908"/>
        <w:gridCol w:w="677"/>
        <w:gridCol w:w="708"/>
        <w:gridCol w:w="689"/>
        <w:gridCol w:w="745"/>
        <w:gridCol w:w="679"/>
        <w:gridCol w:w="708"/>
        <w:gridCol w:w="689"/>
        <w:gridCol w:w="745"/>
      </w:tblGrid>
      <w:tr w:rsidR="004C427C" w:rsidRPr="004C427C" w:rsidTr="003D56BE">
        <w:trPr>
          <w:trHeight w:hRule="exact" w:val="255"/>
        </w:trPr>
        <w:tc>
          <w:tcPr>
            <w:tcW w:w="908" w:type="dxa"/>
            <w:tcBorders>
              <w:top w:val="nil"/>
              <w:left w:val="nil"/>
              <w:bottom w:val="nil"/>
              <w:right w:val="nil"/>
            </w:tcBorders>
            <w:shd w:val="clear" w:color="auto" w:fill="auto"/>
            <w:noWrap/>
            <w:vAlign w:val="bottom"/>
            <w:hideMark/>
          </w:tcPr>
          <w:p w:rsidR="004C427C" w:rsidRPr="003473E2" w:rsidRDefault="004C427C" w:rsidP="004C427C">
            <w:pPr>
              <w:suppressAutoHyphens w:val="0"/>
              <w:rPr>
                <w:sz w:val="20"/>
                <w:szCs w:val="20"/>
                <w:lang w:eastAsia="en-US"/>
              </w:rPr>
            </w:pPr>
          </w:p>
        </w:tc>
        <w:tc>
          <w:tcPr>
            <w:tcW w:w="2808" w:type="dxa"/>
            <w:gridSpan w:val="4"/>
            <w:tcBorders>
              <w:top w:val="single" w:sz="4" w:space="0" w:color="auto"/>
              <w:left w:val="nil"/>
              <w:bottom w:val="nil"/>
              <w:right w:val="single" w:sz="4" w:space="0" w:color="000000"/>
            </w:tcBorders>
            <w:shd w:val="clear" w:color="auto" w:fill="auto"/>
            <w:noWrap/>
            <w:vAlign w:val="bottom"/>
            <w:hideMark/>
          </w:tcPr>
          <w:p w:rsidR="004C427C" w:rsidRPr="004C427C" w:rsidRDefault="004C427C" w:rsidP="004C427C">
            <w:pPr>
              <w:suppressAutoHyphens w:val="0"/>
              <w:jc w:val="center"/>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Endeks</w:t>
            </w:r>
            <w:proofErr w:type="spellEnd"/>
            <w:r w:rsidRPr="004C427C">
              <w:rPr>
                <w:rFonts w:ascii="Calibri" w:hAnsi="Calibri" w:cs="Calibri"/>
                <w:b/>
                <w:bCs/>
                <w:color w:val="000000"/>
                <w:sz w:val="18"/>
                <w:szCs w:val="18"/>
                <w:lang w:val="en-US" w:eastAsia="en-US"/>
              </w:rPr>
              <w:t xml:space="preserve"> - </w:t>
            </w:r>
            <w:proofErr w:type="spellStart"/>
            <w:r w:rsidRPr="004C427C">
              <w:rPr>
                <w:rFonts w:ascii="Calibri" w:hAnsi="Calibri" w:cs="Calibri"/>
                <w:b/>
                <w:bCs/>
                <w:color w:val="000000"/>
                <w:sz w:val="18"/>
                <w:szCs w:val="18"/>
                <w:lang w:val="en-US" w:eastAsia="en-US"/>
              </w:rPr>
              <w:t>Hareketli</w:t>
            </w:r>
            <w:proofErr w:type="spellEnd"/>
            <w:r w:rsidRPr="004C427C">
              <w:rPr>
                <w:rFonts w:ascii="Calibri" w:hAnsi="Calibri" w:cs="Calibri"/>
                <w:b/>
                <w:bCs/>
                <w:color w:val="000000"/>
                <w:sz w:val="18"/>
                <w:szCs w:val="18"/>
                <w:lang w:val="en-US" w:eastAsia="en-US"/>
              </w:rPr>
              <w:t xml:space="preserve"> </w:t>
            </w:r>
            <w:proofErr w:type="spellStart"/>
            <w:r w:rsidRPr="004C427C">
              <w:rPr>
                <w:rFonts w:ascii="Calibri" w:hAnsi="Calibri" w:cs="Calibri"/>
                <w:b/>
                <w:bCs/>
                <w:color w:val="000000"/>
                <w:sz w:val="18"/>
                <w:szCs w:val="18"/>
                <w:lang w:val="en-US" w:eastAsia="en-US"/>
              </w:rPr>
              <w:t>Ortalama</w:t>
            </w:r>
            <w:proofErr w:type="spellEnd"/>
            <w:r w:rsidRPr="004C427C">
              <w:rPr>
                <w:rFonts w:ascii="Calibri" w:hAnsi="Calibri" w:cs="Calibri"/>
                <w:b/>
                <w:bCs/>
                <w:color w:val="000000"/>
                <w:sz w:val="18"/>
                <w:szCs w:val="18"/>
                <w:lang w:val="en-US" w:eastAsia="en-US"/>
              </w:rPr>
              <w:t xml:space="preserve"> </w:t>
            </w:r>
          </w:p>
        </w:tc>
        <w:tc>
          <w:tcPr>
            <w:tcW w:w="2808" w:type="dxa"/>
            <w:gridSpan w:val="4"/>
            <w:tcBorders>
              <w:top w:val="single" w:sz="4" w:space="0" w:color="auto"/>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Endeks</w:t>
            </w:r>
            <w:proofErr w:type="spellEnd"/>
          </w:p>
        </w:tc>
      </w:tr>
      <w:tr w:rsidR="004C427C" w:rsidRPr="004C427C" w:rsidTr="003D56BE">
        <w:trPr>
          <w:trHeight w:hRule="exact" w:val="255"/>
        </w:trPr>
        <w:tc>
          <w:tcPr>
            <w:tcW w:w="908" w:type="dxa"/>
            <w:tcBorders>
              <w:top w:val="single" w:sz="4" w:space="0" w:color="auto"/>
              <w:left w:val="nil"/>
              <w:bottom w:val="single" w:sz="4" w:space="0" w:color="auto"/>
              <w:right w:val="single" w:sz="4" w:space="0" w:color="auto"/>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r w:rsidRPr="004C427C">
              <w:rPr>
                <w:rFonts w:ascii="Calibri" w:hAnsi="Calibri" w:cs="Calibri"/>
                <w:b/>
                <w:bCs/>
                <w:color w:val="000000"/>
                <w:sz w:val="18"/>
                <w:szCs w:val="18"/>
                <w:lang w:val="en-US" w:eastAsia="en-US"/>
              </w:rPr>
              <w:t> </w:t>
            </w:r>
          </w:p>
        </w:tc>
        <w:tc>
          <w:tcPr>
            <w:tcW w:w="677" w:type="dxa"/>
            <w:tcBorders>
              <w:top w:val="single" w:sz="4" w:space="0" w:color="auto"/>
              <w:left w:val="nil"/>
              <w:bottom w:val="single" w:sz="4" w:space="0" w:color="auto"/>
              <w:right w:val="nil"/>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Tarım</w:t>
            </w:r>
            <w:proofErr w:type="spellEnd"/>
          </w:p>
        </w:tc>
        <w:tc>
          <w:tcPr>
            <w:tcW w:w="708" w:type="dxa"/>
            <w:tcBorders>
              <w:top w:val="single" w:sz="4" w:space="0" w:color="auto"/>
              <w:left w:val="nil"/>
              <w:bottom w:val="single" w:sz="4" w:space="0" w:color="auto"/>
              <w:right w:val="nil"/>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r w:rsidRPr="004C427C">
              <w:rPr>
                <w:rFonts w:ascii="Calibri" w:hAnsi="Calibri" w:cs="Calibri"/>
                <w:b/>
                <w:bCs/>
                <w:color w:val="000000"/>
                <w:sz w:val="18"/>
                <w:szCs w:val="18"/>
                <w:lang w:val="en-US" w:eastAsia="en-US"/>
              </w:rPr>
              <w:t>Sanayi</w:t>
            </w:r>
          </w:p>
        </w:tc>
        <w:tc>
          <w:tcPr>
            <w:tcW w:w="689" w:type="dxa"/>
            <w:tcBorders>
              <w:top w:val="single" w:sz="4" w:space="0" w:color="auto"/>
              <w:left w:val="nil"/>
              <w:bottom w:val="single" w:sz="4" w:space="0" w:color="auto"/>
              <w:right w:val="nil"/>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İnşaat</w:t>
            </w:r>
            <w:proofErr w:type="spellEnd"/>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Hizmet</w:t>
            </w:r>
            <w:proofErr w:type="spellEnd"/>
          </w:p>
        </w:tc>
        <w:tc>
          <w:tcPr>
            <w:tcW w:w="679" w:type="dxa"/>
            <w:tcBorders>
              <w:top w:val="single" w:sz="4" w:space="0" w:color="auto"/>
              <w:left w:val="nil"/>
              <w:bottom w:val="single" w:sz="4" w:space="0" w:color="auto"/>
              <w:right w:val="nil"/>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Tarım</w:t>
            </w:r>
            <w:proofErr w:type="spellEnd"/>
          </w:p>
        </w:tc>
        <w:tc>
          <w:tcPr>
            <w:tcW w:w="708" w:type="dxa"/>
            <w:tcBorders>
              <w:top w:val="single" w:sz="4" w:space="0" w:color="auto"/>
              <w:left w:val="nil"/>
              <w:bottom w:val="single" w:sz="4" w:space="0" w:color="auto"/>
              <w:right w:val="nil"/>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r w:rsidRPr="004C427C">
              <w:rPr>
                <w:rFonts w:ascii="Calibri" w:hAnsi="Calibri" w:cs="Calibri"/>
                <w:b/>
                <w:bCs/>
                <w:color w:val="000000"/>
                <w:sz w:val="18"/>
                <w:szCs w:val="18"/>
                <w:lang w:val="en-US" w:eastAsia="en-US"/>
              </w:rPr>
              <w:t>Sanayi</w:t>
            </w:r>
          </w:p>
        </w:tc>
        <w:tc>
          <w:tcPr>
            <w:tcW w:w="689" w:type="dxa"/>
            <w:tcBorders>
              <w:top w:val="single" w:sz="4" w:space="0" w:color="auto"/>
              <w:left w:val="nil"/>
              <w:bottom w:val="single" w:sz="4" w:space="0" w:color="auto"/>
              <w:right w:val="nil"/>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İnşaat</w:t>
            </w:r>
            <w:proofErr w:type="spellEnd"/>
          </w:p>
        </w:tc>
        <w:tc>
          <w:tcPr>
            <w:tcW w:w="732" w:type="dxa"/>
            <w:tcBorders>
              <w:top w:val="single" w:sz="4" w:space="0" w:color="auto"/>
              <w:left w:val="nil"/>
              <w:bottom w:val="single" w:sz="4" w:space="0" w:color="auto"/>
              <w:right w:val="nil"/>
            </w:tcBorders>
            <w:shd w:val="clear" w:color="auto" w:fill="auto"/>
            <w:vAlign w:val="bottom"/>
            <w:hideMark/>
          </w:tcPr>
          <w:p w:rsidR="004C427C" w:rsidRPr="004C427C" w:rsidRDefault="004C427C" w:rsidP="004C427C">
            <w:pPr>
              <w:suppressAutoHyphens w:val="0"/>
              <w:rPr>
                <w:rFonts w:ascii="Calibri" w:hAnsi="Calibri" w:cs="Calibri"/>
                <w:b/>
                <w:bCs/>
                <w:color w:val="000000"/>
                <w:sz w:val="18"/>
                <w:szCs w:val="18"/>
                <w:lang w:val="en-US" w:eastAsia="en-US"/>
              </w:rPr>
            </w:pPr>
            <w:proofErr w:type="spellStart"/>
            <w:r w:rsidRPr="004C427C">
              <w:rPr>
                <w:rFonts w:ascii="Calibri" w:hAnsi="Calibri" w:cs="Calibri"/>
                <w:b/>
                <w:bCs/>
                <w:color w:val="000000"/>
                <w:sz w:val="18"/>
                <w:szCs w:val="18"/>
                <w:lang w:val="en-US" w:eastAsia="en-US"/>
              </w:rPr>
              <w:t>Hizmet</w:t>
            </w:r>
            <w:proofErr w:type="spellEnd"/>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2005(1)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 </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 </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 </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Arial" w:hAnsi="Arial" w:cs="Arial"/>
                <w:color w:val="000000"/>
                <w:sz w:val="17"/>
                <w:szCs w:val="17"/>
                <w:lang w:val="en-US" w:eastAsia="en-US"/>
              </w:rPr>
            </w:pPr>
            <w:r w:rsidRPr="004C427C">
              <w:rPr>
                <w:rFonts w:ascii="Arial" w:hAnsi="Arial" w:cs="Arial"/>
                <w:color w:val="000000"/>
                <w:sz w:val="17"/>
                <w:szCs w:val="17"/>
                <w:lang w:val="en-US" w:eastAsia="en-US"/>
              </w:rPr>
              <w:t> </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2005(2)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sz w:val="20"/>
                <w:szCs w:val="20"/>
                <w:lang w:val="en-US" w:eastAsia="en-US"/>
              </w:rPr>
            </w:pP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Arial" w:hAnsi="Arial" w:cs="Arial"/>
                <w:color w:val="000000"/>
                <w:sz w:val="17"/>
                <w:szCs w:val="17"/>
                <w:lang w:val="en-US" w:eastAsia="en-US"/>
              </w:rPr>
            </w:pPr>
            <w:r w:rsidRPr="004C427C">
              <w:rPr>
                <w:rFonts w:ascii="Arial" w:hAnsi="Arial" w:cs="Arial"/>
                <w:color w:val="000000"/>
                <w:sz w:val="17"/>
                <w:szCs w:val="17"/>
                <w:lang w:val="en-US" w:eastAsia="en-US"/>
              </w:rPr>
              <w:t> </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96.9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100.6</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99.5</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2005(3)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sz w:val="20"/>
                <w:szCs w:val="20"/>
                <w:lang w:val="en-US" w:eastAsia="en-US"/>
              </w:rPr>
            </w:pP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Arial" w:hAnsi="Arial" w:cs="Arial"/>
                <w:color w:val="000000"/>
                <w:sz w:val="17"/>
                <w:szCs w:val="17"/>
                <w:lang w:val="en-US" w:eastAsia="en-US"/>
              </w:rPr>
            </w:pPr>
            <w:r w:rsidRPr="004C427C">
              <w:rPr>
                <w:rFonts w:ascii="Arial" w:hAnsi="Arial" w:cs="Arial"/>
                <w:color w:val="000000"/>
                <w:sz w:val="17"/>
                <w:szCs w:val="17"/>
                <w:lang w:val="en-US" w:eastAsia="en-US"/>
              </w:rPr>
              <w:t> </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111.9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94.0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102.2</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99.5</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2005(4)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97.7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100.7</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2006(1)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103.6</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100.1</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117.2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114.9</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100.4</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2006(2)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107.4</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108.4</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100.5</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116.5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119.9</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101.3</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2006(3)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113.0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100.6</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121.3</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99.8</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2006(4)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108.8</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115.6</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100.7</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115.2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116.9</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100.8</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2007(1)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119.7</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101.2</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109.5</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131.8</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102.4</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2007(2)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121.7</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101.4</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128.2</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102.3</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2007(3)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121.6</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101.6</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120.9</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100.5</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2007(4)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102.9</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113.5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126.7</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106.0</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2008(1)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122.3</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103.9</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120.4</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125.0</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106.2</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2008(2)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113.0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104.4</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108.5</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122.0</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104.4</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2008(3)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111.9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120.5</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104.2</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111.7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119.7</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99.5</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2008(4)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116.8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102.8</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111.3</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100.7</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2009(1)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109.9</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100.7</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114.8</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96.7</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97.8</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2009(2)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107.6</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98.9</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98.1</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97.3</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2009(3)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97.9</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98.5</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114.4</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94.6</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97.7</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2009(4)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93.6</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93.5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98.8</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2010(1)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107.8</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93.7</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98.2</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97.4</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98.7</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2010(2)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94.0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98.7</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116.4</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99.2</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99.4</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2010(3)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97.0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99.3</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117.9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107.1</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100.2</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2010(4)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99.5</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100.0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101.5</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2011(1)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101.7</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111.8</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115.8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102.6</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2011(2)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114.5</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101.8</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113.2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113.2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108.0</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102.7</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2011(3)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103.5</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102.6</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108.3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103.1</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2011(4)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106.2</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116.7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120.5</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114.9</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103.3</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2012(1)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122.4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110.2</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102.9</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122.8</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102.1</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2012(2)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111.2</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113.3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111.9</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103.0</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2012(3)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117.9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112.3</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103.1</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2012(4)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123.6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102.7</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119.8</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114.6</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102.1</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2013(1)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103.2</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116.1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125.6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104.0</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2013(2)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125.8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115.7</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103.9</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127.5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123.5</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127.3</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106.1</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2013(3)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114.4</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127.4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120.2</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127.6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130.6</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107.3</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2013(4)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130.7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123.8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106.0</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129.5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106.4</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2014(1)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123.6</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106.9</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114.6</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127.2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107.5</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2014(2)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122.9</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106.8</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112.3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124.4</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105.8</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2014(3)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109.3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132.6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121.9</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130.4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126.8</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106.5</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2014(4)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110.0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132.0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120.2</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123.8</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129.2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122.4</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106.6</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2015(1)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114.0</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132.4</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122.5</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106.2</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128.7</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127.8</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105.4</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2015(2)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117.5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133.9</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124.1</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106.6</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132.1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131.2</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107.6</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2015(3)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120.7</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135.6</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125.0</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132.1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137.1</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130.3</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106.7</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2015(4)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120.8</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137.5</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126.5</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106.8</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136.3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128.6</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106.9</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2016(1)</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140.3</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106.4</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125.2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139.8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128.8</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104.0</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2016(2)</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119.1</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141.8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126.8</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105.8</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126.2</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138.0</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131.1</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105.3</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2016(3)</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117.9</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143.2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128.7</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104.6</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127.3</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142.5</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138.2</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101.8</w:t>
            </w:r>
          </w:p>
        </w:tc>
      </w:tr>
      <w:tr w:rsidR="004C427C" w:rsidRPr="004C427C" w:rsidTr="003D56BE">
        <w:trPr>
          <w:trHeight w:hRule="exact" w:val="255"/>
        </w:trPr>
        <w:tc>
          <w:tcPr>
            <w:tcW w:w="908"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2016(4)</w:t>
            </w:r>
          </w:p>
        </w:tc>
        <w:tc>
          <w:tcPr>
            <w:tcW w:w="677"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145.2</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130.1</w:t>
            </w:r>
          </w:p>
        </w:tc>
        <w:tc>
          <w:tcPr>
            <w:tcW w:w="734" w:type="dxa"/>
            <w:tcBorders>
              <w:top w:val="nil"/>
              <w:left w:val="nil"/>
              <w:bottom w:val="nil"/>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104.4</w:t>
            </w:r>
          </w:p>
        </w:tc>
        <w:tc>
          <w:tcPr>
            <w:tcW w:w="67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126.5</w:t>
            </w:r>
          </w:p>
        </w:tc>
        <w:tc>
          <w:tcPr>
            <w:tcW w:w="708"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143.8</w:t>
            </w:r>
          </w:p>
        </w:tc>
        <w:tc>
          <w:tcPr>
            <w:tcW w:w="689"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134.5</w:t>
            </w:r>
          </w:p>
        </w:tc>
        <w:tc>
          <w:tcPr>
            <w:tcW w:w="732" w:type="dxa"/>
            <w:tcBorders>
              <w:top w:val="nil"/>
              <w:left w:val="nil"/>
              <w:bottom w:val="nil"/>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105.9</w:t>
            </w:r>
          </w:p>
        </w:tc>
      </w:tr>
      <w:tr w:rsidR="004C427C" w:rsidRPr="004C427C" w:rsidTr="003D56BE">
        <w:trPr>
          <w:trHeight w:hRule="exact" w:val="255"/>
        </w:trPr>
        <w:tc>
          <w:tcPr>
            <w:tcW w:w="908" w:type="dxa"/>
            <w:tcBorders>
              <w:top w:val="nil"/>
              <w:left w:val="nil"/>
              <w:bottom w:val="double" w:sz="6" w:space="0" w:color="auto"/>
              <w:right w:val="single" w:sz="4" w:space="0" w:color="auto"/>
            </w:tcBorders>
            <w:shd w:val="clear" w:color="auto" w:fill="auto"/>
            <w:noWrap/>
            <w:vAlign w:val="bottom"/>
            <w:hideMark/>
          </w:tcPr>
          <w:p w:rsidR="004C427C" w:rsidRPr="004C427C" w:rsidRDefault="004C427C" w:rsidP="004C427C">
            <w:pPr>
              <w:suppressAutoHyphens w:val="0"/>
              <w:jc w:val="right"/>
              <w:rPr>
                <w:rFonts w:ascii="Calibri" w:hAnsi="Calibri" w:cs="Calibri"/>
                <w:b/>
                <w:bCs/>
                <w:sz w:val="18"/>
                <w:szCs w:val="18"/>
                <w:lang w:val="en-US" w:eastAsia="en-US"/>
              </w:rPr>
            </w:pPr>
            <w:r w:rsidRPr="004C427C">
              <w:rPr>
                <w:rFonts w:ascii="Calibri" w:hAnsi="Calibri" w:cs="Calibri"/>
                <w:b/>
                <w:bCs/>
                <w:sz w:val="18"/>
                <w:szCs w:val="18"/>
                <w:lang w:val="en-US" w:eastAsia="en-US"/>
              </w:rPr>
              <w:t>2017(1)</w:t>
            </w:r>
          </w:p>
        </w:tc>
        <w:tc>
          <w:tcPr>
            <w:tcW w:w="677" w:type="dxa"/>
            <w:tcBorders>
              <w:top w:val="nil"/>
              <w:left w:val="nil"/>
              <w:bottom w:val="double" w:sz="6" w:space="0" w:color="auto"/>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118.2</w:t>
            </w:r>
          </w:p>
        </w:tc>
        <w:tc>
          <w:tcPr>
            <w:tcW w:w="708" w:type="dxa"/>
            <w:tcBorders>
              <w:top w:val="nil"/>
              <w:left w:val="nil"/>
              <w:bottom w:val="double" w:sz="6" w:space="0" w:color="auto"/>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146.9</w:t>
            </w:r>
          </w:p>
        </w:tc>
        <w:tc>
          <w:tcPr>
            <w:tcW w:w="689" w:type="dxa"/>
            <w:tcBorders>
              <w:top w:val="nil"/>
              <w:left w:val="nil"/>
              <w:bottom w:val="double" w:sz="6" w:space="0" w:color="auto"/>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131.0</w:t>
            </w:r>
          </w:p>
        </w:tc>
        <w:tc>
          <w:tcPr>
            <w:tcW w:w="734" w:type="dxa"/>
            <w:tcBorders>
              <w:top w:val="nil"/>
              <w:left w:val="nil"/>
              <w:bottom w:val="double" w:sz="6" w:space="0" w:color="auto"/>
              <w:right w:val="single" w:sz="4" w:space="0" w:color="auto"/>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105.2</w:t>
            </w:r>
          </w:p>
        </w:tc>
        <w:tc>
          <w:tcPr>
            <w:tcW w:w="679" w:type="dxa"/>
            <w:tcBorders>
              <w:top w:val="nil"/>
              <w:left w:val="nil"/>
              <w:bottom w:val="double" w:sz="6" w:space="0" w:color="auto"/>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124.1</w:t>
            </w:r>
          </w:p>
        </w:tc>
        <w:tc>
          <w:tcPr>
            <w:tcW w:w="708" w:type="dxa"/>
            <w:tcBorders>
              <w:top w:val="nil"/>
              <w:left w:val="nil"/>
              <w:bottom w:val="double" w:sz="6" w:space="0" w:color="auto"/>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146.6</w:t>
            </w:r>
          </w:p>
        </w:tc>
        <w:tc>
          <w:tcPr>
            <w:tcW w:w="689" w:type="dxa"/>
            <w:tcBorders>
              <w:top w:val="nil"/>
              <w:left w:val="nil"/>
              <w:bottom w:val="double" w:sz="6" w:space="0" w:color="auto"/>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132.3</w:t>
            </w:r>
          </w:p>
        </w:tc>
        <w:tc>
          <w:tcPr>
            <w:tcW w:w="732" w:type="dxa"/>
            <w:tcBorders>
              <w:top w:val="nil"/>
              <w:left w:val="nil"/>
              <w:bottom w:val="double" w:sz="6" w:space="0" w:color="auto"/>
              <w:right w:val="nil"/>
            </w:tcBorders>
            <w:shd w:val="clear" w:color="auto" w:fill="auto"/>
            <w:noWrap/>
            <w:vAlign w:val="bottom"/>
            <w:hideMark/>
          </w:tcPr>
          <w:p w:rsidR="004C427C" w:rsidRPr="004C427C" w:rsidRDefault="004C427C" w:rsidP="004C427C">
            <w:pPr>
              <w:suppressAutoHyphens w:val="0"/>
              <w:jc w:val="center"/>
              <w:rPr>
                <w:rFonts w:ascii="Calibri" w:hAnsi="Calibri" w:cs="Calibri"/>
                <w:color w:val="000000"/>
                <w:sz w:val="18"/>
                <w:szCs w:val="18"/>
                <w:lang w:val="en-US" w:eastAsia="en-US"/>
              </w:rPr>
            </w:pPr>
            <w:r w:rsidRPr="004C427C">
              <w:rPr>
                <w:rFonts w:ascii="Calibri" w:hAnsi="Calibri" w:cs="Calibri"/>
                <w:color w:val="000000"/>
                <w:sz w:val="18"/>
                <w:szCs w:val="18"/>
                <w:lang w:val="en-US" w:eastAsia="en-US"/>
              </w:rPr>
              <w:t>107.3</w:t>
            </w:r>
          </w:p>
        </w:tc>
      </w:tr>
    </w:tbl>
    <w:p w:rsidR="0039548D" w:rsidRDefault="00663A58" w:rsidP="00F269F7">
      <w:pPr>
        <w:rPr>
          <w:rFonts w:asciiTheme="majorHAnsi" w:hAnsiTheme="majorHAnsi" w:cstheme="minorHAnsi"/>
        </w:rPr>
      </w:pPr>
      <w:r w:rsidRPr="000E48AE">
        <w:rPr>
          <w:rFonts w:asciiTheme="majorHAnsi" w:hAnsiTheme="majorHAnsi" w:cstheme="minorHAnsi"/>
        </w:rPr>
        <w:t>Kaynak: TÜİK, Betam.</w:t>
      </w:r>
    </w:p>
    <w:p w:rsidR="00F80A34" w:rsidRDefault="00F80A34" w:rsidP="00F269F7">
      <w:pPr>
        <w:rPr>
          <w:rFonts w:asciiTheme="majorHAnsi" w:hAnsiTheme="majorHAnsi" w:cstheme="minorHAnsi"/>
        </w:rPr>
      </w:pPr>
    </w:p>
    <w:p w:rsidR="00AC6603" w:rsidRDefault="00AC6603" w:rsidP="00AC6603">
      <w:pPr>
        <w:pStyle w:val="Caption"/>
        <w:rPr>
          <w:rFonts w:asciiTheme="majorHAnsi" w:hAnsiTheme="majorHAnsi" w:cstheme="minorHAnsi"/>
          <w:sz w:val="24"/>
          <w:szCs w:val="24"/>
        </w:rPr>
      </w:pPr>
      <w:r w:rsidRPr="000E48AE">
        <w:rPr>
          <w:rFonts w:asciiTheme="majorHAnsi" w:hAnsiTheme="majorHAnsi" w:cstheme="minorHAnsi"/>
          <w:sz w:val="24"/>
          <w:szCs w:val="24"/>
        </w:rPr>
        <w:t xml:space="preserve">Ek Tablo </w:t>
      </w:r>
      <w:r w:rsidR="0086653A" w:rsidRPr="000E48AE">
        <w:rPr>
          <w:rFonts w:asciiTheme="majorHAnsi" w:hAnsiTheme="majorHAnsi" w:cstheme="minorHAnsi"/>
          <w:sz w:val="24"/>
          <w:szCs w:val="24"/>
        </w:rPr>
        <w:fldChar w:fldCharType="begin"/>
      </w:r>
      <w:r w:rsidRPr="000E48AE">
        <w:rPr>
          <w:rFonts w:asciiTheme="majorHAnsi" w:hAnsiTheme="majorHAnsi" w:cstheme="minorHAnsi"/>
          <w:sz w:val="24"/>
          <w:szCs w:val="24"/>
        </w:rPr>
        <w:instrText xml:space="preserve"> SEQ Ek_Tablo \* ARABIC </w:instrText>
      </w:r>
      <w:r w:rsidR="0086653A" w:rsidRPr="000E48AE">
        <w:rPr>
          <w:rFonts w:asciiTheme="majorHAnsi" w:hAnsiTheme="majorHAnsi" w:cstheme="minorHAnsi"/>
          <w:sz w:val="24"/>
          <w:szCs w:val="24"/>
        </w:rPr>
        <w:fldChar w:fldCharType="separate"/>
      </w:r>
      <w:r>
        <w:rPr>
          <w:rFonts w:asciiTheme="majorHAnsi" w:hAnsiTheme="majorHAnsi" w:cstheme="minorHAnsi"/>
          <w:noProof/>
          <w:sz w:val="24"/>
          <w:szCs w:val="24"/>
        </w:rPr>
        <w:t>3</w:t>
      </w:r>
      <w:r w:rsidR="0086653A" w:rsidRPr="000E48AE">
        <w:rPr>
          <w:rFonts w:asciiTheme="majorHAnsi" w:hAnsiTheme="majorHAnsi" w:cstheme="minorHAnsi"/>
          <w:sz w:val="24"/>
          <w:szCs w:val="24"/>
        </w:rPr>
        <w:fldChar w:fldCharType="end"/>
      </w:r>
      <w:r w:rsidR="003055B8">
        <w:rPr>
          <w:rFonts w:asciiTheme="majorHAnsi" w:hAnsiTheme="majorHAnsi" w:cstheme="minorHAnsi"/>
          <w:sz w:val="24"/>
          <w:szCs w:val="24"/>
        </w:rPr>
        <w:t xml:space="preserve">. </w:t>
      </w:r>
      <w:r>
        <w:rPr>
          <w:rFonts w:asciiTheme="majorHAnsi" w:hAnsiTheme="majorHAnsi" w:cstheme="minorHAnsi"/>
          <w:sz w:val="24"/>
          <w:szCs w:val="24"/>
        </w:rPr>
        <w:t>Dönemlere göre çeyreklik ortalama sektörel</w:t>
      </w:r>
      <w:r w:rsidR="00F80A34">
        <w:rPr>
          <w:rFonts w:asciiTheme="majorHAnsi" w:hAnsiTheme="majorHAnsi" w:cstheme="minorHAnsi"/>
          <w:sz w:val="24"/>
          <w:szCs w:val="24"/>
        </w:rPr>
        <w:t xml:space="preserve"> E</w:t>
      </w:r>
      <w:r>
        <w:rPr>
          <w:rFonts w:asciiTheme="majorHAnsi" w:hAnsiTheme="majorHAnsi" w:cstheme="minorHAnsi"/>
          <w:sz w:val="24"/>
          <w:szCs w:val="24"/>
        </w:rPr>
        <w:t xml:space="preserve">V artışı </w:t>
      </w:r>
    </w:p>
    <w:p w:rsidR="00603AEA" w:rsidRDefault="00603AEA" w:rsidP="00603AEA"/>
    <w:tbl>
      <w:tblPr>
        <w:tblW w:w="5312" w:type="dxa"/>
        <w:tblInd w:w="108" w:type="dxa"/>
        <w:tblLook w:val="04A0" w:firstRow="1" w:lastRow="0" w:firstColumn="1" w:lastColumn="0" w:noHBand="0" w:noVBand="1"/>
      </w:tblPr>
      <w:tblGrid>
        <w:gridCol w:w="1456"/>
        <w:gridCol w:w="883"/>
        <w:gridCol w:w="986"/>
        <w:gridCol w:w="921"/>
        <w:gridCol w:w="1066"/>
      </w:tblGrid>
      <w:tr w:rsidR="00603AEA" w:rsidRPr="00603AEA" w:rsidTr="00603AEA">
        <w:trPr>
          <w:trHeight w:val="480"/>
        </w:trPr>
        <w:tc>
          <w:tcPr>
            <w:tcW w:w="1456" w:type="dxa"/>
            <w:tcBorders>
              <w:top w:val="nil"/>
              <w:left w:val="nil"/>
              <w:bottom w:val="nil"/>
              <w:right w:val="single" w:sz="4" w:space="0" w:color="auto"/>
            </w:tcBorders>
            <w:shd w:val="clear" w:color="auto" w:fill="auto"/>
            <w:noWrap/>
            <w:vAlign w:val="bottom"/>
            <w:hideMark/>
          </w:tcPr>
          <w:p w:rsidR="00603AEA" w:rsidRPr="003473E2" w:rsidRDefault="00603AEA" w:rsidP="00603AEA">
            <w:pPr>
              <w:suppressAutoHyphens w:val="0"/>
              <w:rPr>
                <w:rFonts w:ascii="Calibri" w:hAnsi="Calibri" w:cs="Calibri"/>
                <w:color w:val="000000"/>
                <w:sz w:val="18"/>
                <w:szCs w:val="18"/>
                <w:lang w:eastAsia="en-US"/>
              </w:rPr>
            </w:pPr>
            <w:r w:rsidRPr="003473E2">
              <w:rPr>
                <w:rFonts w:ascii="Calibri" w:hAnsi="Calibri" w:cs="Calibri"/>
                <w:color w:val="000000"/>
                <w:sz w:val="18"/>
                <w:szCs w:val="18"/>
                <w:lang w:eastAsia="en-US"/>
              </w:rPr>
              <w:t> </w:t>
            </w:r>
          </w:p>
        </w:tc>
        <w:tc>
          <w:tcPr>
            <w:tcW w:w="3856" w:type="dxa"/>
            <w:gridSpan w:val="4"/>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b/>
                <w:bCs/>
                <w:color w:val="000000"/>
                <w:sz w:val="18"/>
                <w:szCs w:val="18"/>
                <w:lang w:val="en-US" w:eastAsia="en-US"/>
              </w:rPr>
            </w:pPr>
            <w:proofErr w:type="spellStart"/>
            <w:r w:rsidRPr="00603AEA">
              <w:rPr>
                <w:rFonts w:ascii="Calibri" w:hAnsi="Calibri" w:cs="Calibri"/>
                <w:b/>
                <w:bCs/>
                <w:color w:val="000000"/>
                <w:sz w:val="18"/>
                <w:szCs w:val="18"/>
                <w:lang w:val="en-US" w:eastAsia="en-US"/>
              </w:rPr>
              <w:t>Ortalama</w:t>
            </w:r>
            <w:proofErr w:type="spellEnd"/>
            <w:r w:rsidRPr="00603AEA">
              <w:rPr>
                <w:rFonts w:ascii="Calibri" w:hAnsi="Calibri" w:cs="Calibri"/>
                <w:b/>
                <w:bCs/>
                <w:color w:val="000000"/>
                <w:sz w:val="18"/>
                <w:szCs w:val="18"/>
                <w:lang w:val="en-US" w:eastAsia="en-US"/>
              </w:rPr>
              <w:t xml:space="preserve"> </w:t>
            </w:r>
            <w:proofErr w:type="spellStart"/>
            <w:r w:rsidRPr="00603AEA">
              <w:rPr>
                <w:rFonts w:ascii="Calibri" w:hAnsi="Calibri" w:cs="Calibri"/>
                <w:b/>
                <w:bCs/>
                <w:color w:val="000000"/>
                <w:sz w:val="18"/>
                <w:szCs w:val="18"/>
                <w:lang w:val="en-US" w:eastAsia="en-US"/>
              </w:rPr>
              <w:t>çeyreklik</w:t>
            </w:r>
            <w:proofErr w:type="spellEnd"/>
            <w:r w:rsidRPr="00603AEA">
              <w:rPr>
                <w:rFonts w:ascii="Calibri" w:hAnsi="Calibri" w:cs="Calibri"/>
                <w:b/>
                <w:bCs/>
                <w:color w:val="000000"/>
                <w:sz w:val="18"/>
                <w:szCs w:val="18"/>
                <w:lang w:val="en-US" w:eastAsia="en-US"/>
              </w:rPr>
              <w:t xml:space="preserve"> EV </w:t>
            </w:r>
            <w:proofErr w:type="spellStart"/>
            <w:r w:rsidRPr="00603AEA">
              <w:rPr>
                <w:rFonts w:ascii="Calibri" w:hAnsi="Calibri" w:cs="Calibri"/>
                <w:b/>
                <w:bCs/>
                <w:color w:val="000000"/>
                <w:sz w:val="18"/>
                <w:szCs w:val="18"/>
                <w:lang w:val="en-US" w:eastAsia="en-US"/>
              </w:rPr>
              <w:t>artışı</w:t>
            </w:r>
            <w:proofErr w:type="spellEnd"/>
          </w:p>
        </w:tc>
      </w:tr>
      <w:tr w:rsidR="00603AEA" w:rsidRPr="00603AEA" w:rsidTr="00603AEA">
        <w:trPr>
          <w:trHeight w:val="285"/>
        </w:trPr>
        <w:tc>
          <w:tcPr>
            <w:tcW w:w="1456" w:type="dxa"/>
            <w:tcBorders>
              <w:top w:val="single" w:sz="4" w:space="0" w:color="auto"/>
              <w:left w:val="nil"/>
              <w:bottom w:val="nil"/>
              <w:right w:val="single" w:sz="4" w:space="0" w:color="auto"/>
            </w:tcBorders>
            <w:shd w:val="clear" w:color="auto" w:fill="auto"/>
            <w:noWrap/>
            <w:vAlign w:val="bottom"/>
            <w:hideMark/>
          </w:tcPr>
          <w:p w:rsidR="00603AEA" w:rsidRPr="00603AEA" w:rsidRDefault="00603AEA" w:rsidP="00603AEA">
            <w:pPr>
              <w:suppressAutoHyphens w:val="0"/>
              <w:rPr>
                <w:rFonts w:ascii="Calibri" w:hAnsi="Calibri" w:cs="Calibri"/>
                <w:b/>
                <w:bCs/>
                <w:color w:val="000000"/>
                <w:sz w:val="18"/>
                <w:szCs w:val="18"/>
                <w:lang w:val="en-US" w:eastAsia="en-US"/>
              </w:rPr>
            </w:pPr>
            <w:proofErr w:type="spellStart"/>
            <w:r w:rsidRPr="00603AEA">
              <w:rPr>
                <w:rFonts w:ascii="Calibri" w:hAnsi="Calibri" w:cs="Calibri"/>
                <w:b/>
                <w:bCs/>
                <w:color w:val="000000"/>
                <w:sz w:val="18"/>
                <w:szCs w:val="18"/>
                <w:lang w:val="en-US" w:eastAsia="en-US"/>
              </w:rPr>
              <w:t>Dönem</w:t>
            </w:r>
            <w:proofErr w:type="spellEnd"/>
          </w:p>
        </w:tc>
        <w:tc>
          <w:tcPr>
            <w:tcW w:w="883"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b/>
                <w:bCs/>
                <w:color w:val="000000"/>
                <w:sz w:val="18"/>
                <w:szCs w:val="18"/>
                <w:lang w:val="en-US" w:eastAsia="en-US"/>
              </w:rPr>
            </w:pPr>
            <w:proofErr w:type="spellStart"/>
            <w:r w:rsidRPr="00603AEA">
              <w:rPr>
                <w:rFonts w:ascii="Calibri" w:hAnsi="Calibri" w:cs="Calibri"/>
                <w:b/>
                <w:bCs/>
                <w:color w:val="000000"/>
                <w:sz w:val="18"/>
                <w:szCs w:val="18"/>
                <w:lang w:val="en-US" w:eastAsia="en-US"/>
              </w:rPr>
              <w:t>Tarım</w:t>
            </w:r>
            <w:proofErr w:type="spellEnd"/>
          </w:p>
        </w:tc>
        <w:tc>
          <w:tcPr>
            <w:tcW w:w="986"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b/>
                <w:bCs/>
                <w:color w:val="000000"/>
                <w:sz w:val="18"/>
                <w:szCs w:val="18"/>
                <w:lang w:val="en-US" w:eastAsia="en-US"/>
              </w:rPr>
            </w:pPr>
            <w:r w:rsidRPr="00603AEA">
              <w:rPr>
                <w:rFonts w:ascii="Calibri" w:hAnsi="Calibri" w:cs="Calibri"/>
                <w:b/>
                <w:bCs/>
                <w:color w:val="000000"/>
                <w:sz w:val="18"/>
                <w:szCs w:val="18"/>
                <w:lang w:val="en-US" w:eastAsia="en-US"/>
              </w:rPr>
              <w:t>Sanayi</w:t>
            </w:r>
          </w:p>
        </w:tc>
        <w:tc>
          <w:tcPr>
            <w:tcW w:w="921"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b/>
                <w:bCs/>
                <w:color w:val="000000"/>
                <w:sz w:val="18"/>
                <w:szCs w:val="18"/>
                <w:lang w:val="en-US" w:eastAsia="en-US"/>
              </w:rPr>
            </w:pPr>
            <w:proofErr w:type="spellStart"/>
            <w:r w:rsidRPr="00603AEA">
              <w:rPr>
                <w:rFonts w:ascii="Calibri" w:hAnsi="Calibri" w:cs="Calibri"/>
                <w:b/>
                <w:bCs/>
                <w:color w:val="000000"/>
                <w:sz w:val="18"/>
                <w:szCs w:val="18"/>
                <w:lang w:val="en-US" w:eastAsia="en-US"/>
              </w:rPr>
              <w:t>İnşaat</w:t>
            </w:r>
            <w:proofErr w:type="spellEnd"/>
          </w:p>
        </w:tc>
        <w:tc>
          <w:tcPr>
            <w:tcW w:w="1066"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b/>
                <w:bCs/>
                <w:color w:val="000000"/>
                <w:sz w:val="18"/>
                <w:szCs w:val="18"/>
                <w:lang w:val="en-US" w:eastAsia="en-US"/>
              </w:rPr>
            </w:pPr>
            <w:proofErr w:type="spellStart"/>
            <w:r w:rsidRPr="00603AEA">
              <w:rPr>
                <w:rFonts w:ascii="Calibri" w:hAnsi="Calibri" w:cs="Calibri"/>
                <w:b/>
                <w:bCs/>
                <w:color w:val="000000"/>
                <w:sz w:val="18"/>
                <w:szCs w:val="18"/>
                <w:lang w:val="en-US" w:eastAsia="en-US"/>
              </w:rPr>
              <w:t>Hizmet</w:t>
            </w:r>
            <w:proofErr w:type="spellEnd"/>
          </w:p>
        </w:tc>
      </w:tr>
      <w:tr w:rsidR="00603AEA" w:rsidRPr="00603AEA" w:rsidTr="00603AEA">
        <w:trPr>
          <w:trHeight w:val="300"/>
        </w:trPr>
        <w:tc>
          <w:tcPr>
            <w:tcW w:w="1456" w:type="dxa"/>
            <w:tcBorders>
              <w:top w:val="single" w:sz="4" w:space="0" w:color="auto"/>
              <w:left w:val="nil"/>
              <w:bottom w:val="nil"/>
              <w:right w:val="single" w:sz="4" w:space="0" w:color="auto"/>
            </w:tcBorders>
            <w:shd w:val="clear" w:color="auto" w:fill="auto"/>
            <w:noWrap/>
            <w:vAlign w:val="bottom"/>
            <w:hideMark/>
          </w:tcPr>
          <w:p w:rsidR="00603AEA" w:rsidRPr="00603AEA" w:rsidRDefault="00603AEA" w:rsidP="00603AEA">
            <w:pPr>
              <w:suppressAutoHyphens w:val="0"/>
              <w:rPr>
                <w:rFonts w:ascii="Calibri" w:hAnsi="Calibri" w:cs="Calibri"/>
                <w:b/>
                <w:bCs/>
                <w:color w:val="000000"/>
                <w:sz w:val="18"/>
                <w:szCs w:val="18"/>
                <w:lang w:val="en-US" w:eastAsia="en-US"/>
              </w:rPr>
            </w:pPr>
            <w:r w:rsidRPr="00603AEA">
              <w:rPr>
                <w:rFonts w:ascii="Calibri" w:hAnsi="Calibri" w:cs="Calibri"/>
                <w:b/>
                <w:bCs/>
                <w:color w:val="000000"/>
                <w:sz w:val="18"/>
                <w:szCs w:val="18"/>
                <w:lang w:val="en-US" w:eastAsia="en-US"/>
              </w:rPr>
              <w:t>2005(1)-2008(2)</w:t>
            </w:r>
          </w:p>
        </w:tc>
        <w:tc>
          <w:tcPr>
            <w:tcW w:w="883"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0.79</w:t>
            </w:r>
          </w:p>
        </w:tc>
        <w:tc>
          <w:tcPr>
            <w:tcW w:w="986"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0.65</w:t>
            </w:r>
          </w:p>
        </w:tc>
        <w:tc>
          <w:tcPr>
            <w:tcW w:w="921"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1.69</w:t>
            </w:r>
          </w:p>
        </w:tc>
        <w:tc>
          <w:tcPr>
            <w:tcW w:w="1066" w:type="dxa"/>
            <w:tcBorders>
              <w:top w:val="single" w:sz="4" w:space="0" w:color="auto"/>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0.34</w:t>
            </w:r>
          </w:p>
        </w:tc>
      </w:tr>
      <w:tr w:rsidR="00603AEA" w:rsidRPr="00603AEA" w:rsidTr="00603AEA">
        <w:trPr>
          <w:trHeight w:val="300"/>
        </w:trPr>
        <w:tc>
          <w:tcPr>
            <w:tcW w:w="1456" w:type="dxa"/>
            <w:tcBorders>
              <w:top w:val="nil"/>
              <w:left w:val="nil"/>
              <w:bottom w:val="nil"/>
              <w:right w:val="single" w:sz="4" w:space="0" w:color="auto"/>
            </w:tcBorders>
            <w:shd w:val="clear" w:color="auto" w:fill="auto"/>
            <w:noWrap/>
            <w:vAlign w:val="bottom"/>
            <w:hideMark/>
          </w:tcPr>
          <w:p w:rsidR="00603AEA" w:rsidRPr="00603AEA" w:rsidRDefault="00603AEA" w:rsidP="00603AEA">
            <w:pPr>
              <w:suppressAutoHyphens w:val="0"/>
              <w:rPr>
                <w:rFonts w:ascii="Calibri" w:hAnsi="Calibri" w:cs="Calibri"/>
                <w:b/>
                <w:bCs/>
                <w:color w:val="000000"/>
                <w:sz w:val="18"/>
                <w:szCs w:val="18"/>
                <w:lang w:val="en-US" w:eastAsia="en-US"/>
              </w:rPr>
            </w:pPr>
            <w:r w:rsidRPr="00603AEA">
              <w:rPr>
                <w:rFonts w:ascii="Calibri" w:hAnsi="Calibri" w:cs="Calibri"/>
                <w:b/>
                <w:bCs/>
                <w:color w:val="000000"/>
                <w:sz w:val="18"/>
                <w:szCs w:val="18"/>
                <w:lang w:val="en-US" w:eastAsia="en-US"/>
              </w:rPr>
              <w:t>2009(2)-2013(4)</w:t>
            </w:r>
          </w:p>
        </w:tc>
        <w:tc>
          <w:tcPr>
            <w:tcW w:w="883" w:type="dxa"/>
            <w:tcBorders>
              <w:top w:val="nil"/>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0.29</w:t>
            </w:r>
          </w:p>
        </w:tc>
        <w:tc>
          <w:tcPr>
            <w:tcW w:w="986" w:type="dxa"/>
            <w:tcBorders>
              <w:top w:val="nil"/>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1.54</w:t>
            </w:r>
          </w:p>
        </w:tc>
        <w:tc>
          <w:tcPr>
            <w:tcW w:w="921" w:type="dxa"/>
            <w:tcBorders>
              <w:top w:val="nil"/>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1.78</w:t>
            </w:r>
          </w:p>
        </w:tc>
        <w:tc>
          <w:tcPr>
            <w:tcW w:w="1066" w:type="dxa"/>
            <w:tcBorders>
              <w:top w:val="nil"/>
              <w:left w:val="nil"/>
              <w:bottom w:val="nil"/>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0.46</w:t>
            </w:r>
          </w:p>
        </w:tc>
      </w:tr>
      <w:tr w:rsidR="00603AEA" w:rsidRPr="00603AEA" w:rsidTr="00603AEA">
        <w:trPr>
          <w:trHeight w:val="315"/>
        </w:trPr>
        <w:tc>
          <w:tcPr>
            <w:tcW w:w="1456" w:type="dxa"/>
            <w:tcBorders>
              <w:top w:val="nil"/>
              <w:left w:val="nil"/>
              <w:bottom w:val="double" w:sz="6" w:space="0" w:color="auto"/>
              <w:right w:val="single" w:sz="4" w:space="0" w:color="auto"/>
            </w:tcBorders>
            <w:shd w:val="clear" w:color="auto" w:fill="auto"/>
            <w:noWrap/>
            <w:vAlign w:val="bottom"/>
            <w:hideMark/>
          </w:tcPr>
          <w:p w:rsidR="00603AEA" w:rsidRPr="00603AEA" w:rsidRDefault="00603AEA" w:rsidP="00603AEA">
            <w:pPr>
              <w:suppressAutoHyphens w:val="0"/>
              <w:rPr>
                <w:rFonts w:ascii="Calibri" w:hAnsi="Calibri" w:cs="Calibri"/>
                <w:b/>
                <w:bCs/>
                <w:color w:val="000000"/>
                <w:sz w:val="18"/>
                <w:szCs w:val="18"/>
                <w:lang w:val="en-US" w:eastAsia="en-US"/>
              </w:rPr>
            </w:pPr>
            <w:r w:rsidRPr="00603AEA">
              <w:rPr>
                <w:rFonts w:ascii="Calibri" w:hAnsi="Calibri" w:cs="Calibri"/>
                <w:b/>
                <w:bCs/>
                <w:color w:val="000000"/>
                <w:sz w:val="18"/>
                <w:szCs w:val="18"/>
                <w:lang w:val="en-US" w:eastAsia="en-US"/>
              </w:rPr>
              <w:t>2014(1)-2017(1)</w:t>
            </w:r>
          </w:p>
        </w:tc>
        <w:tc>
          <w:tcPr>
            <w:tcW w:w="883" w:type="dxa"/>
            <w:tcBorders>
              <w:top w:val="nil"/>
              <w:left w:val="nil"/>
              <w:bottom w:val="double" w:sz="6" w:space="0" w:color="auto"/>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0.18</w:t>
            </w:r>
          </w:p>
        </w:tc>
        <w:tc>
          <w:tcPr>
            <w:tcW w:w="986" w:type="dxa"/>
            <w:tcBorders>
              <w:top w:val="nil"/>
              <w:left w:val="nil"/>
              <w:bottom w:val="double" w:sz="6" w:space="0" w:color="auto"/>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0.89</w:t>
            </w:r>
          </w:p>
        </w:tc>
        <w:tc>
          <w:tcPr>
            <w:tcW w:w="921" w:type="dxa"/>
            <w:tcBorders>
              <w:top w:val="nil"/>
              <w:left w:val="nil"/>
              <w:bottom w:val="double" w:sz="6" w:space="0" w:color="auto"/>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0.17</w:t>
            </w:r>
          </w:p>
        </w:tc>
        <w:tc>
          <w:tcPr>
            <w:tcW w:w="1066" w:type="dxa"/>
            <w:tcBorders>
              <w:top w:val="nil"/>
              <w:left w:val="nil"/>
              <w:bottom w:val="double" w:sz="6" w:space="0" w:color="auto"/>
              <w:right w:val="nil"/>
            </w:tcBorders>
            <w:shd w:val="clear" w:color="auto" w:fill="auto"/>
            <w:noWrap/>
            <w:vAlign w:val="bottom"/>
            <w:hideMark/>
          </w:tcPr>
          <w:p w:rsidR="00603AEA" w:rsidRPr="00603AEA" w:rsidRDefault="00603AEA" w:rsidP="00603AEA">
            <w:pPr>
              <w:suppressAutoHyphens w:val="0"/>
              <w:jc w:val="center"/>
              <w:rPr>
                <w:rFonts w:ascii="Calibri" w:hAnsi="Calibri" w:cs="Calibri"/>
                <w:color w:val="000000"/>
                <w:sz w:val="18"/>
                <w:szCs w:val="18"/>
                <w:lang w:val="en-US" w:eastAsia="en-US"/>
              </w:rPr>
            </w:pPr>
            <w:r w:rsidRPr="00603AEA">
              <w:rPr>
                <w:rFonts w:ascii="Calibri" w:hAnsi="Calibri" w:cs="Calibri"/>
                <w:color w:val="000000"/>
                <w:sz w:val="18"/>
                <w:szCs w:val="18"/>
                <w:lang w:val="en-US" w:eastAsia="en-US"/>
              </w:rPr>
              <w:t>0.07</w:t>
            </w:r>
          </w:p>
        </w:tc>
      </w:tr>
    </w:tbl>
    <w:p w:rsidR="004C427C" w:rsidRDefault="004C427C" w:rsidP="004C427C">
      <w:pPr>
        <w:rPr>
          <w:rFonts w:asciiTheme="majorHAnsi" w:hAnsiTheme="majorHAnsi" w:cstheme="minorHAnsi"/>
        </w:rPr>
      </w:pPr>
      <w:r w:rsidRPr="000E48AE">
        <w:rPr>
          <w:rFonts w:asciiTheme="majorHAnsi" w:hAnsiTheme="majorHAnsi" w:cstheme="minorHAnsi"/>
        </w:rPr>
        <w:t>Kaynak: TÜİK, Betam.</w:t>
      </w:r>
    </w:p>
    <w:p w:rsidR="00AC6603" w:rsidRPr="00B458E4" w:rsidRDefault="00AC6603" w:rsidP="00F269F7">
      <w:pPr>
        <w:rPr>
          <w:rFonts w:asciiTheme="majorHAnsi" w:hAnsiTheme="majorHAnsi" w:cstheme="minorHAnsi"/>
        </w:rPr>
      </w:pPr>
    </w:p>
    <w:sectPr w:rsidR="00AC6603" w:rsidRPr="00B458E4" w:rsidSect="004C427C">
      <w:pgSz w:w="11905" w:h="16837"/>
      <w:pgMar w:top="1296" w:right="1296" w:bottom="1296" w:left="12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A1" w:rsidRDefault="008D26A1" w:rsidP="00640379">
      <w:r>
        <w:separator/>
      </w:r>
    </w:p>
  </w:endnote>
  <w:endnote w:type="continuationSeparator" w:id="0">
    <w:p w:rsidR="008D26A1" w:rsidRDefault="008D26A1"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74" w:rsidRPr="00EA46E1" w:rsidRDefault="00885274" w:rsidP="00184833">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4F7D0B">
      <w:rPr>
        <w:rStyle w:val="PageNumber"/>
        <w:rFonts w:ascii="Calibri" w:hAnsi="Calibri" w:cs="Calibri"/>
        <w:noProof/>
        <w:sz w:val="22"/>
        <w:szCs w:val="22"/>
      </w:rPr>
      <w:t>5</w:t>
    </w:r>
    <w:r w:rsidRPr="00EA46E1">
      <w:rPr>
        <w:rStyle w:val="PageNumber"/>
        <w:rFonts w:ascii="Calibri" w:hAnsi="Calibri" w:cs="Calibri"/>
        <w:sz w:val="22"/>
        <w:szCs w:val="22"/>
      </w:rPr>
      <w:fldChar w:fldCharType="end"/>
    </w:r>
  </w:p>
  <w:p w:rsidR="00885274" w:rsidRDefault="00885274" w:rsidP="00184833">
    <w:pPr>
      <w:pStyle w:val="Footer"/>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A1" w:rsidRDefault="008D26A1" w:rsidP="00640379">
      <w:r>
        <w:separator/>
      </w:r>
    </w:p>
  </w:footnote>
  <w:footnote w:type="continuationSeparator" w:id="0">
    <w:p w:rsidR="008D26A1" w:rsidRDefault="008D26A1" w:rsidP="00640379">
      <w:r>
        <w:continuationSeparator/>
      </w:r>
    </w:p>
  </w:footnote>
  <w:footnote w:id="1">
    <w:p w:rsidR="00885274" w:rsidRPr="00710DDF" w:rsidRDefault="00885274">
      <w:pPr>
        <w:pStyle w:val="FootnoteText"/>
        <w:rPr>
          <w:rFonts w:asciiTheme="majorHAnsi" w:hAnsiTheme="majorHAnsi" w:cstheme="minorHAnsi"/>
          <w:sz w:val="18"/>
          <w:szCs w:val="18"/>
        </w:rPr>
      </w:pPr>
      <w:r w:rsidRPr="00710DDF">
        <w:rPr>
          <w:rStyle w:val="FootnoteReference"/>
          <w:rFonts w:asciiTheme="majorHAnsi" w:hAnsiTheme="majorHAnsi" w:cstheme="minorHAnsi"/>
          <w:sz w:val="18"/>
          <w:szCs w:val="18"/>
        </w:rPr>
        <w:sym w:font="Symbol" w:char="F02A"/>
      </w:r>
      <w:r w:rsidRPr="00710DDF">
        <w:rPr>
          <w:rFonts w:asciiTheme="majorHAnsi" w:hAnsiTheme="majorHAnsi" w:cstheme="minorHAnsi"/>
          <w:sz w:val="18"/>
          <w:szCs w:val="18"/>
        </w:rPr>
        <w:t xml:space="preserve">Prof. Dr. Seyfettin Gürsel, </w:t>
      </w:r>
      <w:r w:rsidRPr="00710DDF">
        <w:rPr>
          <w:rFonts w:asciiTheme="majorHAnsi" w:hAnsiTheme="majorHAnsi" w:cstheme="minorHAnsi"/>
          <w:b/>
          <w:sz w:val="18"/>
          <w:szCs w:val="18"/>
        </w:rPr>
        <w:t>Betam</w:t>
      </w:r>
      <w:r w:rsidRPr="00710DDF">
        <w:rPr>
          <w:rFonts w:asciiTheme="majorHAnsi" w:hAnsiTheme="majorHAnsi" w:cstheme="minorHAnsi"/>
          <w:sz w:val="18"/>
          <w:szCs w:val="18"/>
        </w:rPr>
        <w:t>, Direktör, seyfettin.gursel@eas.bau.edu.tr</w:t>
      </w:r>
    </w:p>
  </w:footnote>
  <w:footnote w:id="2">
    <w:p w:rsidR="00885274" w:rsidRPr="00710DDF" w:rsidRDefault="00885274">
      <w:pPr>
        <w:pStyle w:val="FootnoteText"/>
        <w:rPr>
          <w:rFonts w:asciiTheme="majorHAnsi" w:hAnsiTheme="majorHAnsi" w:cstheme="minorHAnsi"/>
          <w:sz w:val="18"/>
          <w:szCs w:val="18"/>
        </w:rPr>
      </w:pPr>
      <w:r w:rsidRPr="00710DDF">
        <w:rPr>
          <w:rStyle w:val="FootnoteReference"/>
          <w:rFonts w:asciiTheme="majorHAnsi" w:hAnsiTheme="majorHAnsi" w:cstheme="minorHAnsi"/>
          <w:sz w:val="18"/>
          <w:szCs w:val="18"/>
        </w:rPr>
        <w:t>**</w:t>
      </w:r>
      <w:r w:rsidRPr="00710DDF">
        <w:rPr>
          <w:rFonts w:asciiTheme="majorHAnsi" w:hAnsiTheme="majorHAnsi" w:cstheme="minorHAnsi"/>
          <w:sz w:val="18"/>
          <w:szCs w:val="18"/>
        </w:rPr>
        <w:t xml:space="preserve">Doç.Dr.Ozan </w:t>
      </w:r>
      <w:r w:rsidRPr="00710DDF">
        <w:rPr>
          <w:rFonts w:asciiTheme="majorHAnsi" w:hAnsiTheme="majorHAnsi" w:cstheme="minorHAnsi"/>
          <w:sz w:val="18"/>
          <w:szCs w:val="18"/>
        </w:rPr>
        <w:t xml:space="preserve">Bakış, </w:t>
      </w:r>
      <w:r w:rsidRPr="00710DDF">
        <w:rPr>
          <w:rFonts w:asciiTheme="majorHAnsi" w:hAnsiTheme="majorHAnsi" w:cstheme="minorHAnsi"/>
          <w:b/>
          <w:sz w:val="18"/>
          <w:szCs w:val="18"/>
        </w:rPr>
        <w:t>Betam</w:t>
      </w:r>
      <w:r w:rsidRPr="00710DDF">
        <w:rPr>
          <w:rFonts w:asciiTheme="majorHAnsi" w:hAnsiTheme="majorHAnsi" w:cstheme="minorHAnsi"/>
          <w:sz w:val="18"/>
          <w:szCs w:val="18"/>
        </w:rPr>
        <w:t>, Kıdemli Araştırmacı ozan.bakis@eas.bau.edu.tr</w:t>
      </w:r>
    </w:p>
  </w:footnote>
  <w:footnote w:id="3">
    <w:p w:rsidR="00885274" w:rsidRPr="00710DDF" w:rsidRDefault="00885274">
      <w:pPr>
        <w:pStyle w:val="FootnoteText"/>
        <w:rPr>
          <w:rFonts w:asciiTheme="majorHAnsi" w:hAnsiTheme="majorHAnsi" w:cstheme="minorHAnsi"/>
          <w:sz w:val="18"/>
          <w:szCs w:val="18"/>
        </w:rPr>
      </w:pPr>
      <w:r w:rsidRPr="00710DDF">
        <w:rPr>
          <w:rFonts w:asciiTheme="majorHAnsi" w:hAnsiTheme="majorHAnsi" w:cstheme="minorHAnsi"/>
          <w:sz w:val="18"/>
          <w:szCs w:val="18"/>
        </w:rPr>
        <w:t>*</w:t>
      </w:r>
      <w:r w:rsidRPr="00710DDF">
        <w:rPr>
          <w:rFonts w:asciiTheme="majorHAnsi" w:hAnsiTheme="majorHAnsi" w:cstheme="minorHAnsi"/>
          <w:sz w:val="18"/>
          <w:szCs w:val="18"/>
        </w:rPr>
        <w:t xml:space="preserve">** Selin Köksal, </w:t>
      </w:r>
      <w:r w:rsidRPr="00710DDF">
        <w:rPr>
          <w:rFonts w:asciiTheme="majorHAnsi" w:hAnsiTheme="majorHAnsi" w:cstheme="minorHAnsi"/>
          <w:b/>
          <w:sz w:val="18"/>
          <w:szCs w:val="18"/>
        </w:rPr>
        <w:t>Betam</w:t>
      </w:r>
      <w:r w:rsidRPr="00710DDF">
        <w:rPr>
          <w:rFonts w:asciiTheme="majorHAnsi" w:hAnsiTheme="majorHAnsi" w:cstheme="minorHAnsi"/>
          <w:sz w:val="18"/>
          <w:szCs w:val="18"/>
        </w:rPr>
        <w:t>, Araştırma Görevlisi, selin.koksal@eas.bau.edu.tr</w:t>
      </w:r>
    </w:p>
  </w:footnote>
  <w:footnote w:id="4">
    <w:p w:rsidR="00885274" w:rsidRDefault="00885274" w:rsidP="00384027">
      <w:pPr>
        <w:pStyle w:val="FootnoteText"/>
      </w:pPr>
      <w:r>
        <w:rPr>
          <w:rStyle w:val="FootnoteReference"/>
        </w:rPr>
        <w:footnoteRef/>
      </w:r>
      <w:r w:rsidRPr="00710DDF">
        <w:rPr>
          <w:rFonts w:asciiTheme="majorHAnsi" w:hAnsiTheme="majorHAnsi" w:cstheme="minorHAnsi"/>
          <w:sz w:val="18"/>
          <w:szCs w:val="18"/>
        </w:rPr>
        <w:t xml:space="preserve">Yuvarlamadan </w:t>
      </w:r>
      <w:r w:rsidRPr="00710DDF">
        <w:rPr>
          <w:rFonts w:asciiTheme="majorHAnsi" w:hAnsiTheme="majorHAnsi" w:cstheme="minorHAnsi"/>
          <w:sz w:val="18"/>
          <w:szCs w:val="18"/>
        </w:rPr>
        <w:t>ötürü işgücü verimlilik büyümesi GSYH ve istihdam büyümelerinin farkına tam olarak eşit çıkmamaktadır.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6E1668"/>
    <w:multiLevelType w:val="hybridMultilevel"/>
    <w:tmpl w:val="85C8F232"/>
    <w:lvl w:ilvl="0" w:tplc="44083DE2">
      <w:numFmt w:val="bullet"/>
      <w:lvlText w:val="-"/>
      <w:lvlJc w:val="left"/>
      <w:pPr>
        <w:ind w:left="1065" w:hanging="360"/>
      </w:pPr>
      <w:rPr>
        <w:rFonts w:ascii="Arial" w:eastAsia="Times New Roman" w:hAnsi="Arial" w:cs="Arial" w:hint="default"/>
        <w:b w:val="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9"/>
    <w:rsid w:val="00006AF6"/>
    <w:rsid w:val="00007666"/>
    <w:rsid w:val="00007E63"/>
    <w:rsid w:val="00013729"/>
    <w:rsid w:val="000148D1"/>
    <w:rsid w:val="00017E0F"/>
    <w:rsid w:val="00017EC6"/>
    <w:rsid w:val="00022C3C"/>
    <w:rsid w:val="00023AE1"/>
    <w:rsid w:val="00023DBB"/>
    <w:rsid w:val="00023EAD"/>
    <w:rsid w:val="000277AE"/>
    <w:rsid w:val="00040459"/>
    <w:rsid w:val="00047577"/>
    <w:rsid w:val="00047F76"/>
    <w:rsid w:val="0005778E"/>
    <w:rsid w:val="000640B4"/>
    <w:rsid w:val="00065B87"/>
    <w:rsid w:val="00070EEB"/>
    <w:rsid w:val="000738AA"/>
    <w:rsid w:val="00075CAC"/>
    <w:rsid w:val="00076DE2"/>
    <w:rsid w:val="00082852"/>
    <w:rsid w:val="00082DAD"/>
    <w:rsid w:val="00084B74"/>
    <w:rsid w:val="0008507E"/>
    <w:rsid w:val="00096B8E"/>
    <w:rsid w:val="000A0DF5"/>
    <w:rsid w:val="000A2836"/>
    <w:rsid w:val="000A48F8"/>
    <w:rsid w:val="000A59DC"/>
    <w:rsid w:val="000A5E39"/>
    <w:rsid w:val="000A7078"/>
    <w:rsid w:val="000A71A8"/>
    <w:rsid w:val="000B0261"/>
    <w:rsid w:val="000B57F7"/>
    <w:rsid w:val="000C07FB"/>
    <w:rsid w:val="000C1380"/>
    <w:rsid w:val="000C2EE8"/>
    <w:rsid w:val="000C39DE"/>
    <w:rsid w:val="000C51BE"/>
    <w:rsid w:val="000D03D9"/>
    <w:rsid w:val="000D1186"/>
    <w:rsid w:val="000D452D"/>
    <w:rsid w:val="000D7EB3"/>
    <w:rsid w:val="000E09BC"/>
    <w:rsid w:val="000E37EA"/>
    <w:rsid w:val="000E48AE"/>
    <w:rsid w:val="000E6298"/>
    <w:rsid w:val="000F3071"/>
    <w:rsid w:val="000F5450"/>
    <w:rsid w:val="0010006C"/>
    <w:rsid w:val="00104145"/>
    <w:rsid w:val="00107FCA"/>
    <w:rsid w:val="001107FC"/>
    <w:rsid w:val="00110924"/>
    <w:rsid w:val="001128D9"/>
    <w:rsid w:val="001163F4"/>
    <w:rsid w:val="00116DFB"/>
    <w:rsid w:val="0011718E"/>
    <w:rsid w:val="0011756F"/>
    <w:rsid w:val="0012130F"/>
    <w:rsid w:val="001263E3"/>
    <w:rsid w:val="00131895"/>
    <w:rsid w:val="00131F8A"/>
    <w:rsid w:val="0013293D"/>
    <w:rsid w:val="001411AE"/>
    <w:rsid w:val="001429E8"/>
    <w:rsid w:val="00151710"/>
    <w:rsid w:val="00152283"/>
    <w:rsid w:val="001547D9"/>
    <w:rsid w:val="00157906"/>
    <w:rsid w:val="00163268"/>
    <w:rsid w:val="0016555A"/>
    <w:rsid w:val="00166449"/>
    <w:rsid w:val="00175D54"/>
    <w:rsid w:val="0018447F"/>
    <w:rsid w:val="00184833"/>
    <w:rsid w:val="00185154"/>
    <w:rsid w:val="00185A19"/>
    <w:rsid w:val="00185CE6"/>
    <w:rsid w:val="00191DEE"/>
    <w:rsid w:val="00197D6B"/>
    <w:rsid w:val="001A17C8"/>
    <w:rsid w:val="001A355C"/>
    <w:rsid w:val="001A6364"/>
    <w:rsid w:val="001B107F"/>
    <w:rsid w:val="001C0D5F"/>
    <w:rsid w:val="001C12FD"/>
    <w:rsid w:val="001C38E5"/>
    <w:rsid w:val="001C68B9"/>
    <w:rsid w:val="001D15F6"/>
    <w:rsid w:val="001D25F7"/>
    <w:rsid w:val="001D39B3"/>
    <w:rsid w:val="001D790F"/>
    <w:rsid w:val="001E0C08"/>
    <w:rsid w:val="001E3834"/>
    <w:rsid w:val="001F5B6B"/>
    <w:rsid w:val="001F5CC0"/>
    <w:rsid w:val="001F7F8A"/>
    <w:rsid w:val="00204754"/>
    <w:rsid w:val="00204782"/>
    <w:rsid w:val="00206D18"/>
    <w:rsid w:val="002103D9"/>
    <w:rsid w:val="002112BA"/>
    <w:rsid w:val="002119E2"/>
    <w:rsid w:val="0021265A"/>
    <w:rsid w:val="00213E16"/>
    <w:rsid w:val="00215F11"/>
    <w:rsid w:val="00222F0B"/>
    <w:rsid w:val="00235788"/>
    <w:rsid w:val="002375AB"/>
    <w:rsid w:val="002408E1"/>
    <w:rsid w:val="00244B55"/>
    <w:rsid w:val="00247A1E"/>
    <w:rsid w:val="00252019"/>
    <w:rsid w:val="00252AFE"/>
    <w:rsid w:val="00252C7A"/>
    <w:rsid w:val="00262C8A"/>
    <w:rsid w:val="00262F48"/>
    <w:rsid w:val="0027168A"/>
    <w:rsid w:val="0027354C"/>
    <w:rsid w:val="00293F89"/>
    <w:rsid w:val="00294320"/>
    <w:rsid w:val="002959DA"/>
    <w:rsid w:val="002A0024"/>
    <w:rsid w:val="002A06D6"/>
    <w:rsid w:val="002A0B64"/>
    <w:rsid w:val="002A24B1"/>
    <w:rsid w:val="002A38BD"/>
    <w:rsid w:val="002A5334"/>
    <w:rsid w:val="002A6B38"/>
    <w:rsid w:val="002B0479"/>
    <w:rsid w:val="002B15C8"/>
    <w:rsid w:val="002B3437"/>
    <w:rsid w:val="002B770E"/>
    <w:rsid w:val="002C08B4"/>
    <w:rsid w:val="002C1120"/>
    <w:rsid w:val="002C151D"/>
    <w:rsid w:val="002C28AC"/>
    <w:rsid w:val="002D2127"/>
    <w:rsid w:val="002D652D"/>
    <w:rsid w:val="002D656B"/>
    <w:rsid w:val="002D739A"/>
    <w:rsid w:val="002E0A3C"/>
    <w:rsid w:val="002E2714"/>
    <w:rsid w:val="002E4210"/>
    <w:rsid w:val="002F07F2"/>
    <w:rsid w:val="002F25AD"/>
    <w:rsid w:val="002F401D"/>
    <w:rsid w:val="002F7855"/>
    <w:rsid w:val="003048B8"/>
    <w:rsid w:val="00304B22"/>
    <w:rsid w:val="003055B8"/>
    <w:rsid w:val="00307ACF"/>
    <w:rsid w:val="00311CA6"/>
    <w:rsid w:val="00313662"/>
    <w:rsid w:val="003208C7"/>
    <w:rsid w:val="003210EA"/>
    <w:rsid w:val="0032258D"/>
    <w:rsid w:val="00324DB1"/>
    <w:rsid w:val="00325473"/>
    <w:rsid w:val="00326807"/>
    <w:rsid w:val="00327112"/>
    <w:rsid w:val="00332DF7"/>
    <w:rsid w:val="0033592D"/>
    <w:rsid w:val="0034185B"/>
    <w:rsid w:val="003438E6"/>
    <w:rsid w:val="00343DB5"/>
    <w:rsid w:val="00344E64"/>
    <w:rsid w:val="003473E2"/>
    <w:rsid w:val="0035080F"/>
    <w:rsid w:val="00354A5A"/>
    <w:rsid w:val="00355C0D"/>
    <w:rsid w:val="0035747E"/>
    <w:rsid w:val="00357F18"/>
    <w:rsid w:val="00364EE4"/>
    <w:rsid w:val="003652F9"/>
    <w:rsid w:val="00366188"/>
    <w:rsid w:val="00371274"/>
    <w:rsid w:val="003712B6"/>
    <w:rsid w:val="00374F9E"/>
    <w:rsid w:val="00384027"/>
    <w:rsid w:val="00384FBA"/>
    <w:rsid w:val="003920C1"/>
    <w:rsid w:val="0039548D"/>
    <w:rsid w:val="003A0637"/>
    <w:rsid w:val="003A0D1A"/>
    <w:rsid w:val="003A17FD"/>
    <w:rsid w:val="003A2098"/>
    <w:rsid w:val="003A21E5"/>
    <w:rsid w:val="003A4725"/>
    <w:rsid w:val="003B0FF6"/>
    <w:rsid w:val="003B650D"/>
    <w:rsid w:val="003B6D4F"/>
    <w:rsid w:val="003C0860"/>
    <w:rsid w:val="003C5577"/>
    <w:rsid w:val="003D306A"/>
    <w:rsid w:val="003D56BE"/>
    <w:rsid w:val="003D5C80"/>
    <w:rsid w:val="003E03E1"/>
    <w:rsid w:val="003E0B22"/>
    <w:rsid w:val="003E27D9"/>
    <w:rsid w:val="003E32FF"/>
    <w:rsid w:val="003E4BA0"/>
    <w:rsid w:val="003F1F59"/>
    <w:rsid w:val="003F36C4"/>
    <w:rsid w:val="003F5C5F"/>
    <w:rsid w:val="004009D4"/>
    <w:rsid w:val="00402256"/>
    <w:rsid w:val="004037E0"/>
    <w:rsid w:val="0040699C"/>
    <w:rsid w:val="00416A24"/>
    <w:rsid w:val="00417DC3"/>
    <w:rsid w:val="004209A5"/>
    <w:rsid w:val="0042103B"/>
    <w:rsid w:val="004305D8"/>
    <w:rsid w:val="00431B6F"/>
    <w:rsid w:val="0043290B"/>
    <w:rsid w:val="00432D7C"/>
    <w:rsid w:val="00435889"/>
    <w:rsid w:val="004369BD"/>
    <w:rsid w:val="0043734C"/>
    <w:rsid w:val="00437EC6"/>
    <w:rsid w:val="004425C3"/>
    <w:rsid w:val="00446C25"/>
    <w:rsid w:val="004470D3"/>
    <w:rsid w:val="00450268"/>
    <w:rsid w:val="00451BF4"/>
    <w:rsid w:val="004549ED"/>
    <w:rsid w:val="00454C3A"/>
    <w:rsid w:val="00456FCA"/>
    <w:rsid w:val="00457534"/>
    <w:rsid w:val="004602E5"/>
    <w:rsid w:val="00460D2A"/>
    <w:rsid w:val="00462D3C"/>
    <w:rsid w:val="0046350B"/>
    <w:rsid w:val="0047105D"/>
    <w:rsid w:val="00471CE8"/>
    <w:rsid w:val="00477F87"/>
    <w:rsid w:val="004847BA"/>
    <w:rsid w:val="00495135"/>
    <w:rsid w:val="0049714E"/>
    <w:rsid w:val="004972D1"/>
    <w:rsid w:val="004A1AFF"/>
    <w:rsid w:val="004A27C3"/>
    <w:rsid w:val="004A6291"/>
    <w:rsid w:val="004A70CC"/>
    <w:rsid w:val="004A7DDD"/>
    <w:rsid w:val="004B0D3D"/>
    <w:rsid w:val="004B393D"/>
    <w:rsid w:val="004C427C"/>
    <w:rsid w:val="004C5EE8"/>
    <w:rsid w:val="004C6180"/>
    <w:rsid w:val="004D1E97"/>
    <w:rsid w:val="004D25EC"/>
    <w:rsid w:val="004E1192"/>
    <w:rsid w:val="004E1EFC"/>
    <w:rsid w:val="004E5EB5"/>
    <w:rsid w:val="004F4B73"/>
    <w:rsid w:val="004F63B2"/>
    <w:rsid w:val="004F7D0B"/>
    <w:rsid w:val="005011D8"/>
    <w:rsid w:val="005015B1"/>
    <w:rsid w:val="005038D5"/>
    <w:rsid w:val="0050523F"/>
    <w:rsid w:val="0051015D"/>
    <w:rsid w:val="00517B51"/>
    <w:rsid w:val="00521D1C"/>
    <w:rsid w:val="0052221D"/>
    <w:rsid w:val="00530066"/>
    <w:rsid w:val="00531630"/>
    <w:rsid w:val="00533ED4"/>
    <w:rsid w:val="005356EB"/>
    <w:rsid w:val="005363EC"/>
    <w:rsid w:val="00547550"/>
    <w:rsid w:val="00550DCC"/>
    <w:rsid w:val="00551FDA"/>
    <w:rsid w:val="0055508E"/>
    <w:rsid w:val="00555489"/>
    <w:rsid w:val="00555E86"/>
    <w:rsid w:val="0055733F"/>
    <w:rsid w:val="00561265"/>
    <w:rsid w:val="00562D23"/>
    <w:rsid w:val="0056516B"/>
    <w:rsid w:val="00566DA0"/>
    <w:rsid w:val="00577984"/>
    <w:rsid w:val="00577D0A"/>
    <w:rsid w:val="005826C4"/>
    <w:rsid w:val="0058630B"/>
    <w:rsid w:val="00587111"/>
    <w:rsid w:val="00593FF1"/>
    <w:rsid w:val="00596A7E"/>
    <w:rsid w:val="005A10A2"/>
    <w:rsid w:val="005A1202"/>
    <w:rsid w:val="005A2C0A"/>
    <w:rsid w:val="005A5329"/>
    <w:rsid w:val="005B02AD"/>
    <w:rsid w:val="005B1133"/>
    <w:rsid w:val="005B2AB5"/>
    <w:rsid w:val="005B3B24"/>
    <w:rsid w:val="005B7E2F"/>
    <w:rsid w:val="005C0367"/>
    <w:rsid w:val="005C0B69"/>
    <w:rsid w:val="005C45A5"/>
    <w:rsid w:val="005C5A85"/>
    <w:rsid w:val="005C5EB5"/>
    <w:rsid w:val="005C6598"/>
    <w:rsid w:val="005C669E"/>
    <w:rsid w:val="005C6833"/>
    <w:rsid w:val="005D27B9"/>
    <w:rsid w:val="005D3649"/>
    <w:rsid w:val="005D6CE9"/>
    <w:rsid w:val="005E2F59"/>
    <w:rsid w:val="005F1270"/>
    <w:rsid w:val="005F25E2"/>
    <w:rsid w:val="005F3058"/>
    <w:rsid w:val="005F3D42"/>
    <w:rsid w:val="005F51A3"/>
    <w:rsid w:val="006017D3"/>
    <w:rsid w:val="00603AEA"/>
    <w:rsid w:val="00603DF1"/>
    <w:rsid w:val="00604CF5"/>
    <w:rsid w:val="00605001"/>
    <w:rsid w:val="006123B8"/>
    <w:rsid w:val="006233C7"/>
    <w:rsid w:val="006316FB"/>
    <w:rsid w:val="00631C37"/>
    <w:rsid w:val="00631E3D"/>
    <w:rsid w:val="006373CC"/>
    <w:rsid w:val="00640379"/>
    <w:rsid w:val="006469FF"/>
    <w:rsid w:val="006516DE"/>
    <w:rsid w:val="00653DA1"/>
    <w:rsid w:val="00654351"/>
    <w:rsid w:val="00656793"/>
    <w:rsid w:val="00663A58"/>
    <w:rsid w:val="00663B4F"/>
    <w:rsid w:val="00667BAB"/>
    <w:rsid w:val="00667F4D"/>
    <w:rsid w:val="006704A5"/>
    <w:rsid w:val="00672654"/>
    <w:rsid w:val="006761D5"/>
    <w:rsid w:val="0067740A"/>
    <w:rsid w:val="00681DA7"/>
    <w:rsid w:val="006829C2"/>
    <w:rsid w:val="00684666"/>
    <w:rsid w:val="00686D8D"/>
    <w:rsid w:val="006876DD"/>
    <w:rsid w:val="00687E12"/>
    <w:rsid w:val="0069123C"/>
    <w:rsid w:val="006924FF"/>
    <w:rsid w:val="00695C7D"/>
    <w:rsid w:val="006A0167"/>
    <w:rsid w:val="006A3C0F"/>
    <w:rsid w:val="006A5C1A"/>
    <w:rsid w:val="006A6546"/>
    <w:rsid w:val="006A7467"/>
    <w:rsid w:val="006B2D7D"/>
    <w:rsid w:val="006B4B20"/>
    <w:rsid w:val="006B4C72"/>
    <w:rsid w:val="006B5980"/>
    <w:rsid w:val="006B72D1"/>
    <w:rsid w:val="006B79F3"/>
    <w:rsid w:val="006C3702"/>
    <w:rsid w:val="006D2241"/>
    <w:rsid w:val="006D2EA1"/>
    <w:rsid w:val="006D3550"/>
    <w:rsid w:val="006E11FB"/>
    <w:rsid w:val="006E1839"/>
    <w:rsid w:val="006E20A4"/>
    <w:rsid w:val="006E280C"/>
    <w:rsid w:val="006E35BD"/>
    <w:rsid w:val="006E4EBF"/>
    <w:rsid w:val="006F30D1"/>
    <w:rsid w:val="006F4CBD"/>
    <w:rsid w:val="006F50DE"/>
    <w:rsid w:val="006F5F83"/>
    <w:rsid w:val="00700570"/>
    <w:rsid w:val="00701438"/>
    <w:rsid w:val="00710DDF"/>
    <w:rsid w:val="00714C03"/>
    <w:rsid w:val="00715250"/>
    <w:rsid w:val="00716B8D"/>
    <w:rsid w:val="007205C5"/>
    <w:rsid w:val="007209EB"/>
    <w:rsid w:val="00721248"/>
    <w:rsid w:val="00724BD2"/>
    <w:rsid w:val="00733B85"/>
    <w:rsid w:val="0074028A"/>
    <w:rsid w:val="00744C9B"/>
    <w:rsid w:val="00745DCA"/>
    <w:rsid w:val="00753ED7"/>
    <w:rsid w:val="00763184"/>
    <w:rsid w:val="00764ED2"/>
    <w:rsid w:val="00766910"/>
    <w:rsid w:val="00770435"/>
    <w:rsid w:val="007706FB"/>
    <w:rsid w:val="0077381B"/>
    <w:rsid w:val="007762D0"/>
    <w:rsid w:val="00781136"/>
    <w:rsid w:val="007870FD"/>
    <w:rsid w:val="00790D32"/>
    <w:rsid w:val="007911BC"/>
    <w:rsid w:val="007A1252"/>
    <w:rsid w:val="007A4254"/>
    <w:rsid w:val="007A6D2B"/>
    <w:rsid w:val="007B3C87"/>
    <w:rsid w:val="007B43ED"/>
    <w:rsid w:val="007B4902"/>
    <w:rsid w:val="007C2FAB"/>
    <w:rsid w:val="007C4077"/>
    <w:rsid w:val="007C4BCE"/>
    <w:rsid w:val="007C6456"/>
    <w:rsid w:val="007D0C70"/>
    <w:rsid w:val="007D0DAD"/>
    <w:rsid w:val="007D398D"/>
    <w:rsid w:val="007D3C93"/>
    <w:rsid w:val="007D3E4D"/>
    <w:rsid w:val="007D42C0"/>
    <w:rsid w:val="007D5DBC"/>
    <w:rsid w:val="007D6E1D"/>
    <w:rsid w:val="007E1353"/>
    <w:rsid w:val="007E339D"/>
    <w:rsid w:val="007E642F"/>
    <w:rsid w:val="007F4D5A"/>
    <w:rsid w:val="008012DC"/>
    <w:rsid w:val="00805765"/>
    <w:rsid w:val="00806624"/>
    <w:rsid w:val="00807EC9"/>
    <w:rsid w:val="00817B20"/>
    <w:rsid w:val="00821820"/>
    <w:rsid w:val="00827D06"/>
    <w:rsid w:val="00827F2A"/>
    <w:rsid w:val="008306D5"/>
    <w:rsid w:val="00831303"/>
    <w:rsid w:val="0083155C"/>
    <w:rsid w:val="008317D7"/>
    <w:rsid w:val="00832D8F"/>
    <w:rsid w:val="00835413"/>
    <w:rsid w:val="00836991"/>
    <w:rsid w:val="00837730"/>
    <w:rsid w:val="0084126A"/>
    <w:rsid w:val="0084191B"/>
    <w:rsid w:val="00842618"/>
    <w:rsid w:val="00842ED0"/>
    <w:rsid w:val="00845501"/>
    <w:rsid w:val="008507FE"/>
    <w:rsid w:val="00853697"/>
    <w:rsid w:val="00856712"/>
    <w:rsid w:val="00857675"/>
    <w:rsid w:val="00860C3F"/>
    <w:rsid w:val="00860C7D"/>
    <w:rsid w:val="008610B3"/>
    <w:rsid w:val="00863038"/>
    <w:rsid w:val="0086653A"/>
    <w:rsid w:val="008702CA"/>
    <w:rsid w:val="00873ACA"/>
    <w:rsid w:val="00874250"/>
    <w:rsid w:val="008813B7"/>
    <w:rsid w:val="00885274"/>
    <w:rsid w:val="00886FDA"/>
    <w:rsid w:val="00893437"/>
    <w:rsid w:val="00894E5F"/>
    <w:rsid w:val="00894EEE"/>
    <w:rsid w:val="00895F09"/>
    <w:rsid w:val="008B0D71"/>
    <w:rsid w:val="008B1B11"/>
    <w:rsid w:val="008B26A6"/>
    <w:rsid w:val="008B3308"/>
    <w:rsid w:val="008B37DB"/>
    <w:rsid w:val="008B5C28"/>
    <w:rsid w:val="008B65B4"/>
    <w:rsid w:val="008B7180"/>
    <w:rsid w:val="008B7607"/>
    <w:rsid w:val="008C2E64"/>
    <w:rsid w:val="008C45A0"/>
    <w:rsid w:val="008C761C"/>
    <w:rsid w:val="008C7982"/>
    <w:rsid w:val="008D26A1"/>
    <w:rsid w:val="008D3D8C"/>
    <w:rsid w:val="008D6E40"/>
    <w:rsid w:val="008E45A9"/>
    <w:rsid w:val="008E5F40"/>
    <w:rsid w:val="008E7F5C"/>
    <w:rsid w:val="008F18E3"/>
    <w:rsid w:val="008F23D2"/>
    <w:rsid w:val="008F6064"/>
    <w:rsid w:val="008F6B9F"/>
    <w:rsid w:val="009053E8"/>
    <w:rsid w:val="009056D7"/>
    <w:rsid w:val="00910509"/>
    <w:rsid w:val="00914E49"/>
    <w:rsid w:val="00917AD0"/>
    <w:rsid w:val="009256A6"/>
    <w:rsid w:val="00927F0D"/>
    <w:rsid w:val="009310E4"/>
    <w:rsid w:val="009321DA"/>
    <w:rsid w:val="009337CF"/>
    <w:rsid w:val="00937DBC"/>
    <w:rsid w:val="009406CB"/>
    <w:rsid w:val="00941FE8"/>
    <w:rsid w:val="009433FC"/>
    <w:rsid w:val="00943F18"/>
    <w:rsid w:val="00947733"/>
    <w:rsid w:val="00953FCC"/>
    <w:rsid w:val="00970F1A"/>
    <w:rsid w:val="00971131"/>
    <w:rsid w:val="009726ED"/>
    <w:rsid w:val="0097367D"/>
    <w:rsid w:val="00976A93"/>
    <w:rsid w:val="0098301F"/>
    <w:rsid w:val="009939F4"/>
    <w:rsid w:val="009A067B"/>
    <w:rsid w:val="009A1B79"/>
    <w:rsid w:val="009A2202"/>
    <w:rsid w:val="009A50F8"/>
    <w:rsid w:val="009B5D84"/>
    <w:rsid w:val="009B70AD"/>
    <w:rsid w:val="009C0BDC"/>
    <w:rsid w:val="009C2ABF"/>
    <w:rsid w:val="009C31F2"/>
    <w:rsid w:val="009C6549"/>
    <w:rsid w:val="009C6A8E"/>
    <w:rsid w:val="009C71A8"/>
    <w:rsid w:val="009D1684"/>
    <w:rsid w:val="009D2A0C"/>
    <w:rsid w:val="009D47F5"/>
    <w:rsid w:val="009D70EB"/>
    <w:rsid w:val="009E0CFD"/>
    <w:rsid w:val="009E45E7"/>
    <w:rsid w:val="009E7EF1"/>
    <w:rsid w:val="009F0195"/>
    <w:rsid w:val="009F232F"/>
    <w:rsid w:val="009F31D5"/>
    <w:rsid w:val="009F3636"/>
    <w:rsid w:val="009F58D1"/>
    <w:rsid w:val="009F7D21"/>
    <w:rsid w:val="00A00F21"/>
    <w:rsid w:val="00A11F08"/>
    <w:rsid w:val="00A120F9"/>
    <w:rsid w:val="00A132BE"/>
    <w:rsid w:val="00A15C3D"/>
    <w:rsid w:val="00A161B2"/>
    <w:rsid w:val="00A16322"/>
    <w:rsid w:val="00A164B0"/>
    <w:rsid w:val="00A179F7"/>
    <w:rsid w:val="00A218E5"/>
    <w:rsid w:val="00A25E4D"/>
    <w:rsid w:val="00A327DD"/>
    <w:rsid w:val="00A35391"/>
    <w:rsid w:val="00A366B7"/>
    <w:rsid w:val="00A37AB4"/>
    <w:rsid w:val="00A40AE3"/>
    <w:rsid w:val="00A4360E"/>
    <w:rsid w:val="00A44230"/>
    <w:rsid w:val="00A46653"/>
    <w:rsid w:val="00A50641"/>
    <w:rsid w:val="00A57768"/>
    <w:rsid w:val="00A6357A"/>
    <w:rsid w:val="00A6448F"/>
    <w:rsid w:val="00A64EFD"/>
    <w:rsid w:val="00A6503A"/>
    <w:rsid w:val="00A6503E"/>
    <w:rsid w:val="00A66BBD"/>
    <w:rsid w:val="00A6775A"/>
    <w:rsid w:val="00A7119E"/>
    <w:rsid w:val="00A754A7"/>
    <w:rsid w:val="00A77272"/>
    <w:rsid w:val="00A77A95"/>
    <w:rsid w:val="00A8006A"/>
    <w:rsid w:val="00A80ACA"/>
    <w:rsid w:val="00A81C31"/>
    <w:rsid w:val="00A901B3"/>
    <w:rsid w:val="00A93F77"/>
    <w:rsid w:val="00AA1C82"/>
    <w:rsid w:val="00AA21DD"/>
    <w:rsid w:val="00AA2A84"/>
    <w:rsid w:val="00AA3A67"/>
    <w:rsid w:val="00AA59F3"/>
    <w:rsid w:val="00AB692C"/>
    <w:rsid w:val="00AB7668"/>
    <w:rsid w:val="00AC217D"/>
    <w:rsid w:val="00AC3BE1"/>
    <w:rsid w:val="00AC3E11"/>
    <w:rsid w:val="00AC4A92"/>
    <w:rsid w:val="00AC6603"/>
    <w:rsid w:val="00AD0877"/>
    <w:rsid w:val="00AD2833"/>
    <w:rsid w:val="00AD4FC8"/>
    <w:rsid w:val="00AD6A5B"/>
    <w:rsid w:val="00AE042B"/>
    <w:rsid w:val="00AE106A"/>
    <w:rsid w:val="00AE160D"/>
    <w:rsid w:val="00AE2FAA"/>
    <w:rsid w:val="00AE443E"/>
    <w:rsid w:val="00AE518A"/>
    <w:rsid w:val="00AF56C7"/>
    <w:rsid w:val="00AF5C87"/>
    <w:rsid w:val="00AF693A"/>
    <w:rsid w:val="00AF73FC"/>
    <w:rsid w:val="00B01099"/>
    <w:rsid w:val="00B02E38"/>
    <w:rsid w:val="00B03195"/>
    <w:rsid w:val="00B039A2"/>
    <w:rsid w:val="00B03D3C"/>
    <w:rsid w:val="00B060EF"/>
    <w:rsid w:val="00B10C09"/>
    <w:rsid w:val="00B1110A"/>
    <w:rsid w:val="00B16C6F"/>
    <w:rsid w:val="00B174D5"/>
    <w:rsid w:val="00B177AF"/>
    <w:rsid w:val="00B226B5"/>
    <w:rsid w:val="00B26434"/>
    <w:rsid w:val="00B305A5"/>
    <w:rsid w:val="00B31B42"/>
    <w:rsid w:val="00B31C94"/>
    <w:rsid w:val="00B324C3"/>
    <w:rsid w:val="00B3505B"/>
    <w:rsid w:val="00B36DB8"/>
    <w:rsid w:val="00B372F7"/>
    <w:rsid w:val="00B4254B"/>
    <w:rsid w:val="00B458E4"/>
    <w:rsid w:val="00B471CA"/>
    <w:rsid w:val="00B57853"/>
    <w:rsid w:val="00B641C3"/>
    <w:rsid w:val="00B64AF5"/>
    <w:rsid w:val="00B655BE"/>
    <w:rsid w:val="00B733A9"/>
    <w:rsid w:val="00B76F0A"/>
    <w:rsid w:val="00B82C44"/>
    <w:rsid w:val="00B85FCA"/>
    <w:rsid w:val="00B9099B"/>
    <w:rsid w:val="00B90F1C"/>
    <w:rsid w:val="00B92FAC"/>
    <w:rsid w:val="00B93CD3"/>
    <w:rsid w:val="00B95FB8"/>
    <w:rsid w:val="00BA12B4"/>
    <w:rsid w:val="00BA6A12"/>
    <w:rsid w:val="00BB1F2F"/>
    <w:rsid w:val="00BB6051"/>
    <w:rsid w:val="00BB7843"/>
    <w:rsid w:val="00BC5629"/>
    <w:rsid w:val="00BC7009"/>
    <w:rsid w:val="00BC79F0"/>
    <w:rsid w:val="00BD0CFB"/>
    <w:rsid w:val="00BD3F96"/>
    <w:rsid w:val="00BD641C"/>
    <w:rsid w:val="00BE08D2"/>
    <w:rsid w:val="00BE240A"/>
    <w:rsid w:val="00BE3BD0"/>
    <w:rsid w:val="00BE4DCA"/>
    <w:rsid w:val="00BE4EF4"/>
    <w:rsid w:val="00BE6B3B"/>
    <w:rsid w:val="00BF108C"/>
    <w:rsid w:val="00BF4262"/>
    <w:rsid w:val="00BF4E3A"/>
    <w:rsid w:val="00BF58AA"/>
    <w:rsid w:val="00C00AD7"/>
    <w:rsid w:val="00C036E8"/>
    <w:rsid w:val="00C049BE"/>
    <w:rsid w:val="00C04B1E"/>
    <w:rsid w:val="00C06B5F"/>
    <w:rsid w:val="00C06BE2"/>
    <w:rsid w:val="00C14CED"/>
    <w:rsid w:val="00C155C6"/>
    <w:rsid w:val="00C1636D"/>
    <w:rsid w:val="00C16992"/>
    <w:rsid w:val="00C226F1"/>
    <w:rsid w:val="00C277D8"/>
    <w:rsid w:val="00C32B59"/>
    <w:rsid w:val="00C3455D"/>
    <w:rsid w:val="00C34B4A"/>
    <w:rsid w:val="00C36654"/>
    <w:rsid w:val="00C36B17"/>
    <w:rsid w:val="00C36EAD"/>
    <w:rsid w:val="00C45975"/>
    <w:rsid w:val="00C5223E"/>
    <w:rsid w:val="00C563F6"/>
    <w:rsid w:val="00C56DBA"/>
    <w:rsid w:val="00C57D88"/>
    <w:rsid w:val="00C61B9F"/>
    <w:rsid w:val="00C67DEB"/>
    <w:rsid w:val="00C70D35"/>
    <w:rsid w:val="00C71279"/>
    <w:rsid w:val="00C71395"/>
    <w:rsid w:val="00C730A3"/>
    <w:rsid w:val="00C77849"/>
    <w:rsid w:val="00C77D52"/>
    <w:rsid w:val="00C80C6F"/>
    <w:rsid w:val="00C82C56"/>
    <w:rsid w:val="00C85586"/>
    <w:rsid w:val="00C86C5C"/>
    <w:rsid w:val="00C92372"/>
    <w:rsid w:val="00C93926"/>
    <w:rsid w:val="00C93C48"/>
    <w:rsid w:val="00C94FFC"/>
    <w:rsid w:val="00C966B6"/>
    <w:rsid w:val="00C979CA"/>
    <w:rsid w:val="00CA0865"/>
    <w:rsid w:val="00CA0A3A"/>
    <w:rsid w:val="00CA0F35"/>
    <w:rsid w:val="00CA1D33"/>
    <w:rsid w:val="00CA4007"/>
    <w:rsid w:val="00CB00B6"/>
    <w:rsid w:val="00CB2135"/>
    <w:rsid w:val="00CB2CD9"/>
    <w:rsid w:val="00CB52AD"/>
    <w:rsid w:val="00CC0F19"/>
    <w:rsid w:val="00CC0F85"/>
    <w:rsid w:val="00CC49C2"/>
    <w:rsid w:val="00CC50E3"/>
    <w:rsid w:val="00CD0632"/>
    <w:rsid w:val="00CD0803"/>
    <w:rsid w:val="00CD1808"/>
    <w:rsid w:val="00CD4B2A"/>
    <w:rsid w:val="00CD58F7"/>
    <w:rsid w:val="00CE2083"/>
    <w:rsid w:val="00CE54B1"/>
    <w:rsid w:val="00CE63AF"/>
    <w:rsid w:val="00CF66E7"/>
    <w:rsid w:val="00D046C9"/>
    <w:rsid w:val="00D11A8E"/>
    <w:rsid w:val="00D15846"/>
    <w:rsid w:val="00D212F8"/>
    <w:rsid w:val="00D24892"/>
    <w:rsid w:val="00D33367"/>
    <w:rsid w:val="00D351C9"/>
    <w:rsid w:val="00D36080"/>
    <w:rsid w:val="00D36759"/>
    <w:rsid w:val="00D468C4"/>
    <w:rsid w:val="00D47139"/>
    <w:rsid w:val="00D4794A"/>
    <w:rsid w:val="00D47B52"/>
    <w:rsid w:val="00D50FE3"/>
    <w:rsid w:val="00D53261"/>
    <w:rsid w:val="00D6253C"/>
    <w:rsid w:val="00D65493"/>
    <w:rsid w:val="00D663BE"/>
    <w:rsid w:val="00D664FF"/>
    <w:rsid w:val="00D70C80"/>
    <w:rsid w:val="00D71CC6"/>
    <w:rsid w:val="00D771A8"/>
    <w:rsid w:val="00D85A6E"/>
    <w:rsid w:val="00D9708B"/>
    <w:rsid w:val="00DA22C2"/>
    <w:rsid w:val="00DB1016"/>
    <w:rsid w:val="00DB494A"/>
    <w:rsid w:val="00DC13C4"/>
    <w:rsid w:val="00DC19D9"/>
    <w:rsid w:val="00DC2F6F"/>
    <w:rsid w:val="00DC37AE"/>
    <w:rsid w:val="00DD05AD"/>
    <w:rsid w:val="00DD15E1"/>
    <w:rsid w:val="00DD4270"/>
    <w:rsid w:val="00DD4347"/>
    <w:rsid w:val="00DE164A"/>
    <w:rsid w:val="00DE2B2C"/>
    <w:rsid w:val="00DE4105"/>
    <w:rsid w:val="00DF0115"/>
    <w:rsid w:val="00DF10E8"/>
    <w:rsid w:val="00DF22D2"/>
    <w:rsid w:val="00DF6744"/>
    <w:rsid w:val="00E0103E"/>
    <w:rsid w:val="00E01CD6"/>
    <w:rsid w:val="00E030E8"/>
    <w:rsid w:val="00E03967"/>
    <w:rsid w:val="00E052CE"/>
    <w:rsid w:val="00E06808"/>
    <w:rsid w:val="00E10B58"/>
    <w:rsid w:val="00E1418A"/>
    <w:rsid w:val="00E2104A"/>
    <w:rsid w:val="00E257F5"/>
    <w:rsid w:val="00E25D28"/>
    <w:rsid w:val="00E26636"/>
    <w:rsid w:val="00E3709C"/>
    <w:rsid w:val="00E37AEE"/>
    <w:rsid w:val="00E37C21"/>
    <w:rsid w:val="00E4151D"/>
    <w:rsid w:val="00E514CF"/>
    <w:rsid w:val="00E51638"/>
    <w:rsid w:val="00E5219A"/>
    <w:rsid w:val="00E53CFB"/>
    <w:rsid w:val="00E54A61"/>
    <w:rsid w:val="00E54BC9"/>
    <w:rsid w:val="00E55EC4"/>
    <w:rsid w:val="00E6002E"/>
    <w:rsid w:val="00E6215D"/>
    <w:rsid w:val="00E62374"/>
    <w:rsid w:val="00E64892"/>
    <w:rsid w:val="00E65C89"/>
    <w:rsid w:val="00E67100"/>
    <w:rsid w:val="00E71DEE"/>
    <w:rsid w:val="00E7248F"/>
    <w:rsid w:val="00E74E13"/>
    <w:rsid w:val="00E8031C"/>
    <w:rsid w:val="00E8169E"/>
    <w:rsid w:val="00E87152"/>
    <w:rsid w:val="00E9234C"/>
    <w:rsid w:val="00E92EA3"/>
    <w:rsid w:val="00E96501"/>
    <w:rsid w:val="00EA2578"/>
    <w:rsid w:val="00EA2F72"/>
    <w:rsid w:val="00EA67D8"/>
    <w:rsid w:val="00EA7278"/>
    <w:rsid w:val="00EA791D"/>
    <w:rsid w:val="00EA7C0F"/>
    <w:rsid w:val="00EB0999"/>
    <w:rsid w:val="00EB143E"/>
    <w:rsid w:val="00EB2230"/>
    <w:rsid w:val="00EB544A"/>
    <w:rsid w:val="00EB5CFD"/>
    <w:rsid w:val="00EB7D3C"/>
    <w:rsid w:val="00EC52E9"/>
    <w:rsid w:val="00ED1985"/>
    <w:rsid w:val="00ED3865"/>
    <w:rsid w:val="00ED63DF"/>
    <w:rsid w:val="00ED6ED4"/>
    <w:rsid w:val="00ED7FFA"/>
    <w:rsid w:val="00EE6BF3"/>
    <w:rsid w:val="00EF2941"/>
    <w:rsid w:val="00F01493"/>
    <w:rsid w:val="00F02D6A"/>
    <w:rsid w:val="00F04F68"/>
    <w:rsid w:val="00F060A2"/>
    <w:rsid w:val="00F20E86"/>
    <w:rsid w:val="00F217CC"/>
    <w:rsid w:val="00F229BA"/>
    <w:rsid w:val="00F23F10"/>
    <w:rsid w:val="00F255FF"/>
    <w:rsid w:val="00F269F7"/>
    <w:rsid w:val="00F46F09"/>
    <w:rsid w:val="00F51D8B"/>
    <w:rsid w:val="00F51E53"/>
    <w:rsid w:val="00F54F38"/>
    <w:rsid w:val="00F61853"/>
    <w:rsid w:val="00F61E44"/>
    <w:rsid w:val="00F654EB"/>
    <w:rsid w:val="00F70844"/>
    <w:rsid w:val="00F76E8B"/>
    <w:rsid w:val="00F80A34"/>
    <w:rsid w:val="00F822BF"/>
    <w:rsid w:val="00F853DA"/>
    <w:rsid w:val="00F90C5E"/>
    <w:rsid w:val="00F939DE"/>
    <w:rsid w:val="00F95A1D"/>
    <w:rsid w:val="00F9678B"/>
    <w:rsid w:val="00FA2D7B"/>
    <w:rsid w:val="00FA41DB"/>
    <w:rsid w:val="00FA46A0"/>
    <w:rsid w:val="00FB1DED"/>
    <w:rsid w:val="00FB2AEC"/>
    <w:rsid w:val="00FB2E12"/>
    <w:rsid w:val="00FB408A"/>
    <w:rsid w:val="00FB4A7C"/>
    <w:rsid w:val="00FB4FC4"/>
    <w:rsid w:val="00FB5E4E"/>
    <w:rsid w:val="00FC792C"/>
    <w:rsid w:val="00FD0BD2"/>
    <w:rsid w:val="00FD4EBE"/>
    <w:rsid w:val="00FE01D0"/>
    <w:rsid w:val="00FE1E1F"/>
    <w:rsid w:val="00FE249F"/>
    <w:rsid w:val="00FE3770"/>
    <w:rsid w:val="00FE497B"/>
    <w:rsid w:val="00FE5FD7"/>
    <w:rsid w:val="00FF119A"/>
    <w:rsid w:val="00FF200B"/>
    <w:rsid w:val="00FF56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789">
      <w:bodyDiv w:val="1"/>
      <w:marLeft w:val="0"/>
      <w:marRight w:val="0"/>
      <w:marTop w:val="0"/>
      <w:marBottom w:val="0"/>
      <w:divBdr>
        <w:top w:val="none" w:sz="0" w:space="0" w:color="auto"/>
        <w:left w:val="none" w:sz="0" w:space="0" w:color="auto"/>
        <w:bottom w:val="none" w:sz="0" w:space="0" w:color="auto"/>
        <w:right w:val="none" w:sz="0" w:space="0" w:color="auto"/>
      </w:divBdr>
    </w:div>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386682911">
      <w:bodyDiv w:val="1"/>
      <w:marLeft w:val="0"/>
      <w:marRight w:val="0"/>
      <w:marTop w:val="0"/>
      <w:marBottom w:val="0"/>
      <w:divBdr>
        <w:top w:val="none" w:sz="0" w:space="0" w:color="auto"/>
        <w:left w:val="none" w:sz="0" w:space="0" w:color="auto"/>
        <w:bottom w:val="none" w:sz="0" w:space="0" w:color="auto"/>
        <w:right w:val="none" w:sz="0" w:space="0" w:color="auto"/>
      </w:divBdr>
    </w:div>
    <w:div w:id="686249772">
      <w:bodyDiv w:val="1"/>
      <w:marLeft w:val="0"/>
      <w:marRight w:val="0"/>
      <w:marTop w:val="0"/>
      <w:marBottom w:val="0"/>
      <w:divBdr>
        <w:top w:val="none" w:sz="0" w:space="0" w:color="auto"/>
        <w:left w:val="none" w:sz="0" w:space="0" w:color="auto"/>
        <w:bottom w:val="none" w:sz="0" w:space="0" w:color="auto"/>
        <w:right w:val="none" w:sz="0" w:space="0" w:color="auto"/>
      </w:divBdr>
    </w:div>
    <w:div w:id="759057805">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02308741">
      <w:bodyDiv w:val="1"/>
      <w:marLeft w:val="0"/>
      <w:marRight w:val="0"/>
      <w:marTop w:val="0"/>
      <w:marBottom w:val="0"/>
      <w:divBdr>
        <w:top w:val="none" w:sz="0" w:space="0" w:color="auto"/>
        <w:left w:val="none" w:sz="0" w:space="0" w:color="auto"/>
        <w:bottom w:val="none" w:sz="0" w:space="0" w:color="auto"/>
        <w:right w:val="none" w:sz="0" w:space="0" w:color="auto"/>
      </w:divBdr>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21339265">
      <w:bodyDiv w:val="1"/>
      <w:marLeft w:val="0"/>
      <w:marRight w:val="0"/>
      <w:marTop w:val="0"/>
      <w:marBottom w:val="0"/>
      <w:divBdr>
        <w:top w:val="none" w:sz="0" w:space="0" w:color="auto"/>
        <w:left w:val="none" w:sz="0" w:space="0" w:color="auto"/>
        <w:bottom w:val="none" w:sz="0" w:space="0" w:color="auto"/>
        <w:right w:val="none" w:sz="0" w:space="0" w:color="auto"/>
      </w:divBdr>
    </w:div>
    <w:div w:id="112172768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287270228">
      <w:bodyDiv w:val="1"/>
      <w:marLeft w:val="0"/>
      <w:marRight w:val="0"/>
      <w:marTop w:val="0"/>
      <w:marBottom w:val="0"/>
      <w:divBdr>
        <w:top w:val="none" w:sz="0" w:space="0" w:color="auto"/>
        <w:left w:val="none" w:sz="0" w:space="0" w:color="auto"/>
        <w:bottom w:val="none" w:sz="0" w:space="0" w:color="auto"/>
        <w:right w:val="none" w:sz="0" w:space="0" w:color="auto"/>
      </w:divBdr>
    </w:div>
    <w:div w:id="1341078595">
      <w:bodyDiv w:val="1"/>
      <w:marLeft w:val="0"/>
      <w:marRight w:val="0"/>
      <w:marTop w:val="0"/>
      <w:marBottom w:val="0"/>
      <w:divBdr>
        <w:top w:val="none" w:sz="0" w:space="0" w:color="auto"/>
        <w:left w:val="none" w:sz="0" w:space="0" w:color="auto"/>
        <w:bottom w:val="none" w:sz="0" w:space="0" w:color="auto"/>
        <w:right w:val="none" w:sz="0" w:space="0" w:color="auto"/>
      </w:divBdr>
    </w:div>
    <w:div w:id="1357271098">
      <w:bodyDiv w:val="1"/>
      <w:marLeft w:val="0"/>
      <w:marRight w:val="0"/>
      <w:marTop w:val="0"/>
      <w:marBottom w:val="0"/>
      <w:divBdr>
        <w:top w:val="none" w:sz="0" w:space="0" w:color="auto"/>
        <w:left w:val="none" w:sz="0" w:space="0" w:color="auto"/>
        <w:bottom w:val="none" w:sz="0" w:space="0" w:color="auto"/>
        <w:right w:val="none" w:sz="0" w:space="0" w:color="auto"/>
      </w:divBdr>
    </w:div>
    <w:div w:id="1400060092">
      <w:bodyDiv w:val="1"/>
      <w:marLeft w:val="0"/>
      <w:marRight w:val="0"/>
      <w:marTop w:val="0"/>
      <w:marBottom w:val="0"/>
      <w:divBdr>
        <w:top w:val="none" w:sz="0" w:space="0" w:color="auto"/>
        <w:left w:val="none" w:sz="0" w:space="0" w:color="auto"/>
        <w:bottom w:val="none" w:sz="0" w:space="0" w:color="auto"/>
        <w:right w:val="none" w:sz="0" w:space="0" w:color="auto"/>
      </w:divBdr>
    </w:div>
    <w:div w:id="1408267986">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751535059">
      <w:bodyDiv w:val="1"/>
      <w:marLeft w:val="0"/>
      <w:marRight w:val="0"/>
      <w:marTop w:val="0"/>
      <w:marBottom w:val="0"/>
      <w:divBdr>
        <w:top w:val="none" w:sz="0" w:space="0" w:color="auto"/>
        <w:left w:val="none" w:sz="0" w:space="0" w:color="auto"/>
        <w:bottom w:val="none" w:sz="0" w:space="0" w:color="auto"/>
        <w:right w:val="none" w:sz="0" w:space="0" w:color="auto"/>
      </w:divBdr>
    </w:div>
    <w:div w:id="1812553889">
      <w:bodyDiv w:val="1"/>
      <w:marLeft w:val="0"/>
      <w:marRight w:val="0"/>
      <w:marTop w:val="0"/>
      <w:marBottom w:val="0"/>
      <w:divBdr>
        <w:top w:val="none" w:sz="0" w:space="0" w:color="auto"/>
        <w:left w:val="none" w:sz="0" w:space="0" w:color="auto"/>
        <w:bottom w:val="none" w:sz="0" w:space="0" w:color="auto"/>
        <w:right w:val="none" w:sz="0" w:space="0" w:color="auto"/>
      </w:divBdr>
    </w:div>
    <w:div w:id="1818954914">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 w:id="19147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Index!$O$2</c:f>
              <c:strCache>
                <c:ptCount val="1"/>
                <c:pt idx="0">
                  <c:v>Tarım </c:v>
                </c:pt>
              </c:strCache>
            </c:strRef>
          </c:tx>
          <c:spPr>
            <a:ln cap="sq">
              <a:prstDash val="sysDot"/>
            </a:ln>
          </c:spPr>
          <c:cat>
            <c:strRef>
              <c:f>Index!$A$6:$A$51</c:f>
              <c:strCache>
                <c:ptCount val="46"/>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pt idx="43">
                  <c:v>2016(3)</c:v>
                </c:pt>
                <c:pt idx="44">
                  <c:v>2016(4)</c:v>
                </c:pt>
                <c:pt idx="45">
                  <c:v>2017(1)</c:v>
                </c:pt>
              </c:strCache>
            </c:strRef>
          </c:cat>
          <c:val>
            <c:numRef>
              <c:f>Index!$O$6:$O$51</c:f>
              <c:numCache>
                <c:formatCode>0.0</c:formatCode>
                <c:ptCount val="46"/>
                <c:pt idx="0">
                  <c:v>100</c:v>
                </c:pt>
                <c:pt idx="1">
                  <c:v>104.0392938874094</c:v>
                </c:pt>
                <c:pt idx="2">
                  <c:v>107.64342351715177</c:v>
                </c:pt>
                <c:pt idx="3">
                  <c:v>108.36149632842165</c:v>
                </c:pt>
                <c:pt idx="4">
                  <c:v>109.03928298631243</c:v>
                </c:pt>
                <c:pt idx="5">
                  <c:v>107.01455116324203</c:v>
                </c:pt>
                <c:pt idx="6">
                  <c:v>105.49373687138278</c:v>
                </c:pt>
                <c:pt idx="7">
                  <c:v>104.55677117085504</c:v>
                </c:pt>
                <c:pt idx="8">
                  <c:v>104.11522282615211</c:v>
                </c:pt>
                <c:pt idx="9">
                  <c:v>106.91401762986536</c:v>
                </c:pt>
                <c:pt idx="10">
                  <c:v>106.9579120884912</c:v>
                </c:pt>
                <c:pt idx="11">
                  <c:v>107.12184875648381</c:v>
                </c:pt>
                <c:pt idx="12">
                  <c:v>107.23101369597916</c:v>
                </c:pt>
                <c:pt idx="13">
                  <c:v>105.97453536702868</c:v>
                </c:pt>
                <c:pt idx="14">
                  <c:v>107.9179971537524</c:v>
                </c:pt>
                <c:pt idx="15">
                  <c:v>108.55207788771386</c:v>
                </c:pt>
                <c:pt idx="16">
                  <c:v>108.1080132217983</c:v>
                </c:pt>
                <c:pt idx="17">
                  <c:v>108.02933939865405</c:v>
                </c:pt>
                <c:pt idx="18">
                  <c:v>107.60333523959115</c:v>
                </c:pt>
                <c:pt idx="19">
                  <c:v>108.42812631775156</c:v>
                </c:pt>
                <c:pt idx="20">
                  <c:v>108.81726348528218</c:v>
                </c:pt>
                <c:pt idx="21">
                  <c:v>108.13243876227857</c:v>
                </c:pt>
                <c:pt idx="22">
                  <c:v>107.38039168295637</c:v>
                </c:pt>
                <c:pt idx="23">
                  <c:v>105.1612472705978</c:v>
                </c:pt>
                <c:pt idx="24">
                  <c:v>105.8179345686688</c:v>
                </c:pt>
                <c:pt idx="25">
                  <c:v>107.29230204647666</c:v>
                </c:pt>
                <c:pt idx="26">
                  <c:v>107.32306810799116</c:v>
                </c:pt>
                <c:pt idx="27">
                  <c:v>109.5909314463504</c:v>
                </c:pt>
                <c:pt idx="28">
                  <c:v>110.31305930769618</c:v>
                </c:pt>
                <c:pt idx="29">
                  <c:v>109.83743473259335</c:v>
                </c:pt>
                <c:pt idx="30">
                  <c:v>113.14322487340428</c:v>
                </c:pt>
                <c:pt idx="31">
                  <c:v>114.61631632624918</c:v>
                </c:pt>
                <c:pt idx="32">
                  <c:v>114.9690035177707</c:v>
                </c:pt>
                <c:pt idx="33">
                  <c:v>114.538428974298</c:v>
                </c:pt>
                <c:pt idx="34">
                  <c:v>110.88062812815087</c:v>
                </c:pt>
                <c:pt idx="35">
                  <c:v>109.53550445599009</c:v>
                </c:pt>
                <c:pt idx="36">
                  <c:v>110.2199801631419</c:v>
                </c:pt>
                <c:pt idx="37">
                  <c:v>114.19452957010699</c:v>
                </c:pt>
                <c:pt idx="38">
                  <c:v>117.74839070208397</c:v>
                </c:pt>
                <c:pt idx="39">
                  <c:v>121.00106459704072</c:v>
                </c:pt>
                <c:pt idx="40">
                  <c:v>121.09393680768424</c:v>
                </c:pt>
                <c:pt idx="41">
                  <c:v>119.57453125935187</c:v>
                </c:pt>
                <c:pt idx="42">
                  <c:v>119.41911596648529</c:v>
                </c:pt>
                <c:pt idx="43">
                  <c:v>118.25371697142427</c:v>
                </c:pt>
                <c:pt idx="44">
                  <c:v>118.80732876647068</c:v>
                </c:pt>
                <c:pt idx="45">
                  <c:v>118.52957279945586</c:v>
                </c:pt>
              </c:numCache>
            </c:numRef>
          </c:val>
          <c:smooth val="0"/>
          <c:extLst xmlns:c16r2="http://schemas.microsoft.com/office/drawing/2015/06/chart">
            <c:ext xmlns:c16="http://schemas.microsoft.com/office/drawing/2014/chart" uri="{C3380CC4-5D6E-409C-BE32-E72D297353CC}">
              <c16:uniqueId val="{00000000-D2D5-4870-93F5-A6F5995FF18A}"/>
            </c:ext>
          </c:extLst>
        </c:ser>
        <c:ser>
          <c:idx val="1"/>
          <c:order val="1"/>
          <c:tx>
            <c:strRef>
              <c:f>Index!$P$2</c:f>
              <c:strCache>
                <c:ptCount val="1"/>
                <c:pt idx="0">
                  <c:v>Sanayi </c:v>
                </c:pt>
              </c:strCache>
            </c:strRef>
          </c:tx>
          <c:spPr>
            <a:ln cap="sq">
              <a:prstDash val="sysDot"/>
            </a:ln>
          </c:spPr>
          <c:cat>
            <c:strRef>
              <c:f>Index!$A$6:$A$51</c:f>
              <c:strCache>
                <c:ptCount val="46"/>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pt idx="43">
                  <c:v>2016(3)</c:v>
                </c:pt>
                <c:pt idx="44">
                  <c:v>2016(4)</c:v>
                </c:pt>
                <c:pt idx="45">
                  <c:v>2017(1)</c:v>
                </c:pt>
              </c:strCache>
            </c:strRef>
          </c:cat>
          <c:val>
            <c:numRef>
              <c:f>Index!$P$6:$P$51</c:f>
              <c:numCache>
                <c:formatCode>0.0</c:formatCode>
                <c:ptCount val="46"/>
                <c:pt idx="0">
                  <c:v>100</c:v>
                </c:pt>
                <c:pt idx="1">
                  <c:v>100.72661040459468</c:v>
                </c:pt>
                <c:pt idx="2">
                  <c:v>103.34267045816108</c:v>
                </c:pt>
                <c:pt idx="3">
                  <c:v>105.13937355459144</c:v>
                </c:pt>
                <c:pt idx="4">
                  <c:v>106.37910302065291</c:v>
                </c:pt>
                <c:pt idx="5">
                  <c:v>108.06083924472658</c:v>
                </c:pt>
                <c:pt idx="6">
                  <c:v>108.3242416605993</c:v>
                </c:pt>
                <c:pt idx="7">
                  <c:v>110.16912762158742</c:v>
                </c:pt>
                <c:pt idx="8">
                  <c:v>112.3408267358562</c:v>
                </c:pt>
                <c:pt idx="9">
                  <c:v>113.00653246990829</c:v>
                </c:pt>
                <c:pt idx="10">
                  <c:v>113.07254129421941</c:v>
                </c:pt>
                <c:pt idx="11">
                  <c:v>111.956155319329</c:v>
                </c:pt>
                <c:pt idx="12">
                  <c:v>109.4075165969206</c:v>
                </c:pt>
                <c:pt idx="13">
                  <c:v>106.79541176350681</c:v>
                </c:pt>
                <c:pt idx="14">
                  <c:v>106.73538059629247</c:v>
                </c:pt>
                <c:pt idx="15">
                  <c:v>107.6234831958778</c:v>
                </c:pt>
                <c:pt idx="16">
                  <c:v>108.7224546237334</c:v>
                </c:pt>
                <c:pt idx="17">
                  <c:v>109.37683386846174</c:v>
                </c:pt>
                <c:pt idx="18">
                  <c:v>108.04853067671158</c:v>
                </c:pt>
                <c:pt idx="19">
                  <c:v>107.71465612127683</c:v>
                </c:pt>
                <c:pt idx="20">
                  <c:v>109.2381636127662</c:v>
                </c:pt>
                <c:pt idx="21">
                  <c:v>112.1966397631117</c:v>
                </c:pt>
                <c:pt idx="22">
                  <c:v>114.63545115632394</c:v>
                </c:pt>
                <c:pt idx="23">
                  <c:v>118.48472419807339</c:v>
                </c:pt>
                <c:pt idx="24">
                  <c:v>121.1196749420365</c:v>
                </c:pt>
                <c:pt idx="25">
                  <c:v>122.43255833712166</c:v>
                </c:pt>
                <c:pt idx="26">
                  <c:v>124.13878551021007</c:v>
                </c:pt>
                <c:pt idx="27">
                  <c:v>124.24373772620558</c:v>
                </c:pt>
                <c:pt idx="28">
                  <c:v>123.68259320912648</c:v>
                </c:pt>
                <c:pt idx="29">
                  <c:v>124.9024250548881</c:v>
                </c:pt>
                <c:pt idx="30">
                  <c:v>125.88066523864552</c:v>
                </c:pt>
                <c:pt idx="31">
                  <c:v>127.47541903206741</c:v>
                </c:pt>
                <c:pt idx="32">
                  <c:v>130.76782488718356</c:v>
                </c:pt>
                <c:pt idx="33">
                  <c:v>131.17362912614186</c:v>
                </c:pt>
                <c:pt idx="34">
                  <c:v>131.90233494354305</c:v>
                </c:pt>
                <c:pt idx="35">
                  <c:v>132.6067805909945</c:v>
                </c:pt>
                <c:pt idx="36">
                  <c:v>132.0919935825774</c:v>
                </c:pt>
                <c:pt idx="37">
                  <c:v>132.4679636903345</c:v>
                </c:pt>
                <c:pt idx="38">
                  <c:v>133.96570843570899</c:v>
                </c:pt>
                <c:pt idx="39">
                  <c:v>135.67129847724169</c:v>
                </c:pt>
                <c:pt idx="40">
                  <c:v>137.49866014215144</c:v>
                </c:pt>
                <c:pt idx="41">
                  <c:v>140.36293680018571</c:v>
                </c:pt>
                <c:pt idx="42">
                  <c:v>141.89464478231039</c:v>
                </c:pt>
                <c:pt idx="43">
                  <c:v>143.26814890370557</c:v>
                </c:pt>
                <c:pt idx="44">
                  <c:v>145.21000068209258</c:v>
                </c:pt>
                <c:pt idx="45">
                  <c:v>146.93482731899581</c:v>
                </c:pt>
              </c:numCache>
            </c:numRef>
          </c:val>
          <c:smooth val="0"/>
          <c:extLst xmlns:c16r2="http://schemas.microsoft.com/office/drawing/2015/06/chart">
            <c:ext xmlns:c16="http://schemas.microsoft.com/office/drawing/2014/chart" uri="{C3380CC4-5D6E-409C-BE32-E72D297353CC}">
              <c16:uniqueId val="{00000001-D2D5-4870-93F5-A6F5995FF18A}"/>
            </c:ext>
          </c:extLst>
        </c:ser>
        <c:ser>
          <c:idx val="2"/>
          <c:order val="2"/>
          <c:tx>
            <c:strRef>
              <c:f>Index!$Q$2</c:f>
              <c:strCache>
                <c:ptCount val="1"/>
                <c:pt idx="0">
                  <c:v>İnşaat </c:v>
                </c:pt>
              </c:strCache>
            </c:strRef>
          </c:tx>
          <c:spPr>
            <a:ln cap="sq">
              <a:prstDash val="sysDot"/>
            </a:ln>
          </c:spPr>
          <c:cat>
            <c:strRef>
              <c:f>Index!$A$6:$A$51</c:f>
              <c:strCache>
                <c:ptCount val="46"/>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pt idx="43">
                  <c:v>2016(3)</c:v>
                </c:pt>
                <c:pt idx="44">
                  <c:v>2016(4)</c:v>
                </c:pt>
                <c:pt idx="45">
                  <c:v>2017(1)</c:v>
                </c:pt>
              </c:strCache>
            </c:strRef>
          </c:cat>
          <c:val>
            <c:numRef>
              <c:f>Index!$Q$6:$Q$51</c:f>
              <c:numCache>
                <c:formatCode>0.0</c:formatCode>
                <c:ptCount val="46"/>
                <c:pt idx="0">
                  <c:v>100</c:v>
                </c:pt>
                <c:pt idx="1">
                  <c:v>103.66765104163019</c:v>
                </c:pt>
                <c:pt idx="2">
                  <c:v>108.4310451635769</c:v>
                </c:pt>
                <c:pt idx="3">
                  <c:v>113.09263295019871</c:v>
                </c:pt>
                <c:pt idx="4">
                  <c:v>115.51092608674863</c:v>
                </c:pt>
                <c:pt idx="5">
                  <c:v>119.48346940378822</c:v>
                </c:pt>
                <c:pt idx="6">
                  <c:v>121.48767496201613</c:v>
                </c:pt>
                <c:pt idx="7">
                  <c:v>121.31535289573057</c:v>
                </c:pt>
                <c:pt idx="8">
                  <c:v>123.78721342388063</c:v>
                </c:pt>
                <c:pt idx="9">
                  <c:v>122.20493487699687</c:v>
                </c:pt>
                <c:pt idx="10">
                  <c:v>120.7233508910488</c:v>
                </c:pt>
                <c:pt idx="11">
                  <c:v>120.46898687384947</c:v>
                </c:pt>
                <c:pt idx="12">
                  <c:v>116.763753919759</c:v>
                </c:pt>
                <c:pt idx="13">
                  <c:v>109.8301310753158</c:v>
                </c:pt>
                <c:pt idx="14">
                  <c:v>103.87927573247634</c:v>
                </c:pt>
                <c:pt idx="15">
                  <c:v>97.725001999054896</c:v>
                </c:pt>
                <c:pt idx="16">
                  <c:v>93.446808432590885</c:v>
                </c:pt>
                <c:pt idx="17">
                  <c:v>93.654870062171767</c:v>
                </c:pt>
                <c:pt idx="18">
                  <c:v>93.996284248581176</c:v>
                </c:pt>
                <c:pt idx="19">
                  <c:v>97.048300891106351</c:v>
                </c:pt>
                <c:pt idx="20">
                  <c:v>99.50375565994986</c:v>
                </c:pt>
                <c:pt idx="21">
                  <c:v>101.71392683653627</c:v>
                </c:pt>
                <c:pt idx="22">
                  <c:v>103.83117271902807</c:v>
                </c:pt>
                <c:pt idx="23">
                  <c:v>103.4524516494984</c:v>
                </c:pt>
                <c:pt idx="24">
                  <c:v>106.17679505654084</c:v>
                </c:pt>
                <c:pt idx="25">
                  <c:v>109.9122101536715</c:v>
                </c:pt>
                <c:pt idx="26">
                  <c:v>110.83657986059347</c:v>
                </c:pt>
                <c:pt idx="27">
                  <c:v>112.58399162648095</c:v>
                </c:pt>
                <c:pt idx="28">
                  <c:v>112.49998529930284</c:v>
                </c:pt>
                <c:pt idx="29">
                  <c:v>111.93783401978961</c:v>
                </c:pt>
                <c:pt idx="30">
                  <c:v>115.66283381100465</c:v>
                </c:pt>
                <c:pt idx="31">
                  <c:v>120.0868159541691</c:v>
                </c:pt>
                <c:pt idx="32">
                  <c:v>123.76088548465178</c:v>
                </c:pt>
                <c:pt idx="33">
                  <c:v>123.27667616752674</c:v>
                </c:pt>
                <c:pt idx="34">
                  <c:v>122.57077211258189</c:v>
                </c:pt>
                <c:pt idx="35">
                  <c:v>121.72791964410276</c:v>
                </c:pt>
                <c:pt idx="36">
                  <c:v>120.0683847947751</c:v>
                </c:pt>
                <c:pt idx="37">
                  <c:v>122.41346331758137</c:v>
                </c:pt>
                <c:pt idx="38">
                  <c:v>124.04670463561803</c:v>
                </c:pt>
                <c:pt idx="39">
                  <c:v>124.90510500820352</c:v>
                </c:pt>
                <c:pt idx="40">
                  <c:v>126.46553670501542</c:v>
                </c:pt>
                <c:pt idx="41">
                  <c:v>126.67944739850692</c:v>
                </c:pt>
                <c:pt idx="42">
                  <c:v>126.6994390091573</c:v>
                </c:pt>
                <c:pt idx="43">
                  <c:v>128.57002415023985</c:v>
                </c:pt>
                <c:pt idx="44">
                  <c:v>129.99390020359371</c:v>
                </c:pt>
                <c:pt idx="45">
                  <c:v>130.84428005641965</c:v>
                </c:pt>
              </c:numCache>
            </c:numRef>
          </c:val>
          <c:smooth val="0"/>
          <c:extLst xmlns:c16r2="http://schemas.microsoft.com/office/drawing/2015/06/chart">
            <c:ext xmlns:c16="http://schemas.microsoft.com/office/drawing/2014/chart" uri="{C3380CC4-5D6E-409C-BE32-E72D297353CC}">
              <c16:uniqueId val="{00000002-D2D5-4870-93F5-A6F5995FF18A}"/>
            </c:ext>
          </c:extLst>
        </c:ser>
        <c:ser>
          <c:idx val="3"/>
          <c:order val="3"/>
          <c:tx>
            <c:strRef>
              <c:f>Index!$R$2</c:f>
              <c:strCache>
                <c:ptCount val="1"/>
                <c:pt idx="0">
                  <c:v>Hizmet</c:v>
                </c:pt>
              </c:strCache>
            </c:strRef>
          </c:tx>
          <c:spPr>
            <a:ln cap="sq">
              <a:prstDash val="sysDot"/>
            </a:ln>
          </c:spPr>
          <c:cat>
            <c:strRef>
              <c:f>Index!$A$6:$A$51</c:f>
              <c:strCache>
                <c:ptCount val="46"/>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pt idx="43">
                  <c:v>2016(3)</c:v>
                </c:pt>
                <c:pt idx="44">
                  <c:v>2016(4)</c:v>
                </c:pt>
                <c:pt idx="45">
                  <c:v>2017(1)</c:v>
                </c:pt>
              </c:strCache>
            </c:strRef>
          </c:cat>
          <c:val>
            <c:numRef>
              <c:f>Index!$R$6:$R$51</c:f>
              <c:numCache>
                <c:formatCode>0.0</c:formatCode>
                <c:ptCount val="46"/>
                <c:pt idx="0">
                  <c:v>100</c:v>
                </c:pt>
                <c:pt idx="1">
                  <c:v>100.09817305669768</c:v>
                </c:pt>
                <c:pt idx="2">
                  <c:v>100.5503144423589</c:v>
                </c:pt>
                <c:pt idx="3">
                  <c:v>100.6170746204639</c:v>
                </c:pt>
                <c:pt idx="4">
                  <c:v>100.65796555822928</c:v>
                </c:pt>
                <c:pt idx="5">
                  <c:v>101.1751959933473</c:v>
                </c:pt>
                <c:pt idx="6">
                  <c:v>101.42757930625568</c:v>
                </c:pt>
                <c:pt idx="7">
                  <c:v>101.6016039523619</c:v>
                </c:pt>
                <c:pt idx="8">
                  <c:v>102.91365876601205</c:v>
                </c:pt>
                <c:pt idx="9">
                  <c:v>103.86794156316471</c:v>
                </c:pt>
                <c:pt idx="10">
                  <c:v>104.39742119872101</c:v>
                </c:pt>
                <c:pt idx="11">
                  <c:v>104.13308395358297</c:v>
                </c:pt>
                <c:pt idx="12">
                  <c:v>102.80850472053487</c:v>
                </c:pt>
                <c:pt idx="13">
                  <c:v>100.71240752969941</c:v>
                </c:pt>
                <c:pt idx="14">
                  <c:v>98.942012067348628</c:v>
                </c:pt>
                <c:pt idx="15">
                  <c:v>98.48256109368748</c:v>
                </c:pt>
                <c:pt idx="16">
                  <c:v>97.995902575834108</c:v>
                </c:pt>
                <c:pt idx="17">
                  <c:v>98.205211975779932</c:v>
                </c:pt>
                <c:pt idx="18">
                  <c:v>98.716742179590739</c:v>
                </c:pt>
                <c:pt idx="19">
                  <c:v>99.338074426532373</c:v>
                </c:pt>
                <c:pt idx="20">
                  <c:v>100.0328065871325</c:v>
                </c:pt>
                <c:pt idx="21">
                  <c:v>101.02105977434699</c:v>
                </c:pt>
                <c:pt idx="22">
                  <c:v>101.84729699525883</c:v>
                </c:pt>
                <c:pt idx="23">
                  <c:v>102.57885500558044</c:v>
                </c:pt>
                <c:pt idx="24">
                  <c:v>103.02745180546887</c:v>
                </c:pt>
                <c:pt idx="25">
                  <c:v>102.89125070574143</c:v>
                </c:pt>
                <c:pt idx="26">
                  <c:v>102.97099863851588</c:v>
                </c:pt>
                <c:pt idx="27">
                  <c:v>102.9659508119301</c:v>
                </c:pt>
                <c:pt idx="28">
                  <c:v>102.667168728598</c:v>
                </c:pt>
                <c:pt idx="29">
                  <c:v>103.1632004573195</c:v>
                </c:pt>
                <c:pt idx="30">
                  <c:v>103.9381189604088</c:v>
                </c:pt>
                <c:pt idx="31">
                  <c:v>104.98673050676454</c:v>
                </c:pt>
                <c:pt idx="32">
                  <c:v>106.03312265089723</c:v>
                </c:pt>
                <c:pt idx="33">
                  <c:v>106.89422704767743</c:v>
                </c:pt>
                <c:pt idx="34">
                  <c:v>106.82407179395595</c:v>
                </c:pt>
                <c:pt idx="35">
                  <c:v>106.64284882651035</c:v>
                </c:pt>
                <c:pt idx="36">
                  <c:v>106.6896360643341</c:v>
                </c:pt>
                <c:pt idx="37">
                  <c:v>106.1696017682608</c:v>
                </c:pt>
                <c:pt idx="38">
                  <c:v>106.62433666768737</c:v>
                </c:pt>
                <c:pt idx="39">
                  <c:v>106.66261943521459</c:v>
                </c:pt>
                <c:pt idx="40">
                  <c:v>106.745405673091</c:v>
                </c:pt>
                <c:pt idx="41">
                  <c:v>106.37331200045244</c:v>
                </c:pt>
                <c:pt idx="42">
                  <c:v>105.80582959581233</c:v>
                </c:pt>
                <c:pt idx="43">
                  <c:v>104.59193208378851</c:v>
                </c:pt>
                <c:pt idx="44">
                  <c:v>104.36986481076048</c:v>
                </c:pt>
                <c:pt idx="45">
                  <c:v>105.19214218951608</c:v>
                </c:pt>
              </c:numCache>
            </c:numRef>
          </c:val>
          <c:smooth val="0"/>
          <c:extLst xmlns:c16r2="http://schemas.microsoft.com/office/drawing/2015/06/chart">
            <c:ext xmlns:c16="http://schemas.microsoft.com/office/drawing/2014/chart" uri="{C3380CC4-5D6E-409C-BE32-E72D297353CC}">
              <c16:uniqueId val="{00000003-D2D5-4870-93F5-A6F5995FF18A}"/>
            </c:ext>
          </c:extLst>
        </c:ser>
        <c:dLbls>
          <c:showLegendKey val="0"/>
          <c:showVal val="0"/>
          <c:showCatName val="0"/>
          <c:showSerName val="0"/>
          <c:showPercent val="0"/>
          <c:showBubbleSize val="0"/>
        </c:dLbls>
        <c:marker val="1"/>
        <c:smooth val="0"/>
        <c:axId val="132994944"/>
        <c:axId val="132996480"/>
      </c:lineChart>
      <c:catAx>
        <c:axId val="132994944"/>
        <c:scaling>
          <c:orientation val="minMax"/>
        </c:scaling>
        <c:delete val="0"/>
        <c:axPos val="b"/>
        <c:numFmt formatCode="General" sourceLinked="0"/>
        <c:majorTickMark val="out"/>
        <c:minorTickMark val="none"/>
        <c:tickLblPos val="nextTo"/>
        <c:txPr>
          <a:bodyPr rot="-2820000" vert="horz"/>
          <a:lstStyle/>
          <a:p>
            <a:pPr>
              <a:defRPr lang="en-US"/>
            </a:pPr>
            <a:endParaRPr lang="tr-TR"/>
          </a:p>
        </c:txPr>
        <c:crossAx val="132996480"/>
        <c:crosses val="autoZero"/>
        <c:auto val="1"/>
        <c:lblAlgn val="ctr"/>
        <c:lblOffset val="100"/>
        <c:noMultiLvlLbl val="0"/>
      </c:catAx>
      <c:valAx>
        <c:axId val="132996480"/>
        <c:scaling>
          <c:orientation val="minMax"/>
          <c:min val="70"/>
        </c:scaling>
        <c:delete val="0"/>
        <c:axPos val="l"/>
        <c:majorGridlines/>
        <c:numFmt formatCode="0.0" sourceLinked="1"/>
        <c:majorTickMark val="out"/>
        <c:minorTickMark val="none"/>
        <c:tickLblPos val="nextTo"/>
        <c:txPr>
          <a:bodyPr/>
          <a:lstStyle/>
          <a:p>
            <a:pPr>
              <a:defRPr lang="en-US"/>
            </a:pPr>
            <a:endParaRPr lang="tr-TR"/>
          </a:p>
        </c:txPr>
        <c:crossAx val="132994944"/>
        <c:crosses val="autoZero"/>
        <c:crossBetween val="between"/>
      </c:valAx>
    </c:plotArea>
    <c:legend>
      <c:legendPos val="r"/>
      <c:overlay val="0"/>
      <c:txPr>
        <a:bodyPr/>
        <a:lstStyle/>
        <a:p>
          <a:pPr>
            <a:defRPr lang="en-US"/>
          </a:pPr>
          <a:endParaRPr lang="tr-TR"/>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7B2C-41E4-4351-8D4B-CC0EF6F8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2978</Words>
  <Characters>16975</Characters>
  <Application>Microsoft Office Word</Application>
  <DocSecurity>0</DocSecurity>
  <Lines>141</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seyfettin gursel</cp:lastModifiedBy>
  <cp:revision>8</cp:revision>
  <cp:lastPrinted>2017-08-04T07:32:00Z</cp:lastPrinted>
  <dcterms:created xsi:type="dcterms:W3CDTF">2017-09-06T07:55:00Z</dcterms:created>
  <dcterms:modified xsi:type="dcterms:W3CDTF">2017-09-06T08:52:00Z</dcterms:modified>
</cp:coreProperties>
</file>