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79" w:rsidRPr="00705CC0" w:rsidRDefault="0039183A" w:rsidP="00640379">
      <w:pPr>
        <w:rPr>
          <w:rFonts w:asciiTheme="majorHAnsi" w:hAnsiTheme="majorHAnsi" w:cs="Arial"/>
          <w:sz w:val="22"/>
          <w:szCs w:val="22"/>
        </w:rPr>
      </w:pPr>
      <w:r>
        <w:rPr>
          <w:rFonts w:asciiTheme="majorHAnsi" w:hAnsiTheme="majorHAnsi" w:cs="Arial"/>
          <w:noProof/>
          <w:sz w:val="22"/>
          <w:szCs w:val="22"/>
          <w:lang w:eastAsia="tr-TR"/>
        </w:rPr>
        <mc:AlternateContent>
          <mc:Choice Requires="wps">
            <w:drawing>
              <wp:anchor distT="0" distB="0" distL="114935" distR="114935" simplePos="0" relativeHeight="251657216" behindDoc="0" locked="0" layoutInCell="1" allowOverlap="1">
                <wp:simplePos x="0" y="0"/>
                <wp:positionH relativeFrom="column">
                  <wp:posOffset>1813560</wp:posOffset>
                </wp:positionH>
                <wp:positionV relativeFrom="paragraph">
                  <wp:posOffset>-384810</wp:posOffset>
                </wp:positionV>
                <wp:extent cx="3963670" cy="5689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4E7" w:rsidRPr="008813B7" w:rsidRDefault="001F34E7" w:rsidP="00640379">
                            <w:pPr>
                              <w:pStyle w:val="Heading1"/>
                              <w:jc w:val="left"/>
                              <w:rPr>
                                <w:color w:val="FF0000"/>
                                <w:sz w:val="52"/>
                                <w:szCs w:val="52"/>
                              </w:rPr>
                            </w:pPr>
                            <w:r w:rsidRPr="00526178">
                              <w:rPr>
                                <w:sz w:val="52"/>
                                <w:szCs w:val="52"/>
                              </w:rPr>
                              <w:t>Ara</w:t>
                            </w:r>
                            <w:r>
                              <w:rPr>
                                <w:sz w:val="52"/>
                                <w:szCs w:val="52"/>
                              </w:rPr>
                              <w:t>ştırma</w:t>
                            </w:r>
                            <w:r w:rsidR="0083749C">
                              <w:rPr>
                                <w:sz w:val="52"/>
                                <w:szCs w:val="52"/>
                              </w:rPr>
                              <w:t xml:space="preserve"> </w:t>
                            </w:r>
                            <w:bookmarkStart w:id="0" w:name="_GoBack"/>
                            <w:bookmarkEnd w:id="0"/>
                            <w:r>
                              <w:rPr>
                                <w:sz w:val="52"/>
                                <w:szCs w:val="52"/>
                              </w:rPr>
                              <w:t>Notu 17/</w:t>
                            </w:r>
                            <w:r w:rsidR="00B3312B">
                              <w:rPr>
                                <w:sz w:val="52"/>
                                <w:szCs w:val="52"/>
                              </w:rPr>
                              <w:t>215</w:t>
                            </w:r>
                          </w:p>
                          <w:p w:rsidR="001F34E7" w:rsidRPr="00526178" w:rsidRDefault="001F34E7" w:rsidP="00640379">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30.3pt;width:312.1pt;height:44.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X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" stroked="f">
                <v:fill opacity="0"/>
                <v:textbox inset="0,0,0,0">
                  <w:txbxContent>
                    <w:p w:rsidR="001F34E7" w:rsidRPr="008813B7" w:rsidRDefault="001F34E7" w:rsidP="00640379">
                      <w:pPr>
                        <w:pStyle w:val="Heading1"/>
                        <w:jc w:val="left"/>
                        <w:rPr>
                          <w:color w:val="FF0000"/>
                          <w:sz w:val="52"/>
                          <w:szCs w:val="52"/>
                        </w:rPr>
                      </w:pPr>
                      <w:r w:rsidRPr="00526178">
                        <w:rPr>
                          <w:sz w:val="52"/>
                          <w:szCs w:val="52"/>
                        </w:rPr>
                        <w:t>Ara</w:t>
                      </w:r>
                      <w:r>
                        <w:rPr>
                          <w:sz w:val="52"/>
                          <w:szCs w:val="52"/>
                        </w:rPr>
                        <w:t>ştırma</w:t>
                      </w:r>
                      <w:r w:rsidR="0083749C">
                        <w:rPr>
                          <w:sz w:val="52"/>
                          <w:szCs w:val="52"/>
                        </w:rPr>
                        <w:t xml:space="preserve"> </w:t>
                      </w:r>
                      <w:bookmarkStart w:id="1" w:name="_GoBack"/>
                      <w:bookmarkEnd w:id="1"/>
                      <w:r>
                        <w:rPr>
                          <w:sz w:val="52"/>
                          <w:szCs w:val="52"/>
                        </w:rPr>
                        <w:t>Notu 17/</w:t>
                      </w:r>
                      <w:r w:rsidR="00B3312B">
                        <w:rPr>
                          <w:sz w:val="52"/>
                          <w:szCs w:val="52"/>
                        </w:rPr>
                        <w:t>215</w:t>
                      </w:r>
                    </w:p>
                    <w:p w:rsidR="001F34E7" w:rsidRPr="00526178" w:rsidRDefault="001F34E7" w:rsidP="00640379">
                      <w:pPr>
                        <w:pStyle w:val="Heading2"/>
                        <w:numPr>
                          <w:ilvl w:val="1"/>
                          <w:numId w:val="1"/>
                        </w:numPr>
                        <w:rPr>
                          <w:b w:val="0"/>
                          <w:bCs w:val="0"/>
                          <w:i w:val="0"/>
                          <w:iCs w:val="0"/>
                        </w:rPr>
                      </w:pPr>
                    </w:p>
                  </w:txbxContent>
                </v:textbox>
              </v:shape>
            </w:pict>
          </mc:Fallback>
        </mc:AlternateContent>
      </w:r>
      <w:r w:rsidR="00FF567A" w:rsidRPr="00705CC0">
        <w:rPr>
          <w:rFonts w:asciiTheme="majorHAnsi" w:hAnsiTheme="majorHAnsi" w:cs="Arial"/>
          <w:noProof/>
          <w:sz w:val="22"/>
          <w:szCs w:val="22"/>
          <w:lang w:eastAsia="tr-TR"/>
        </w:rPr>
        <w:drawing>
          <wp:anchor distT="0" distB="0" distL="114300" distR="114300" simplePos="0" relativeHeight="251659264" behindDoc="1" locked="0" layoutInCell="1" allowOverlap="1">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640379" w:rsidRPr="00705CC0" w:rsidRDefault="0039183A" w:rsidP="00640379">
      <w:pPr>
        <w:rPr>
          <w:rFonts w:asciiTheme="majorHAnsi" w:hAnsiTheme="majorHAnsi" w:cs="Arial"/>
          <w:sz w:val="22"/>
          <w:szCs w:val="22"/>
        </w:rPr>
      </w:pPr>
      <w:r>
        <w:rPr>
          <w:rFonts w:asciiTheme="majorHAnsi" w:hAnsiTheme="majorHAnsi" w:cs="Arial"/>
          <w:noProof/>
          <w:sz w:val="22"/>
          <w:szCs w:val="22"/>
          <w:lang w:eastAsia="tr-TR"/>
        </w:rPr>
        <mc:AlternateContent>
          <mc:Choice Requires="wps">
            <w:drawing>
              <wp:anchor distT="0" distB="0" distL="114935" distR="114935" simplePos="0" relativeHeight="251658240" behindDoc="0" locked="0" layoutInCell="1" allowOverlap="1">
                <wp:simplePos x="0" y="0"/>
                <wp:positionH relativeFrom="column">
                  <wp:posOffset>5160645</wp:posOffset>
                </wp:positionH>
                <wp:positionV relativeFrom="paragraph">
                  <wp:posOffset>84455</wp:posOffset>
                </wp:positionV>
                <wp:extent cx="1492250" cy="3657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4E7" w:rsidRDefault="001F34E7" w:rsidP="00640379">
                            <w:pPr>
                              <w:pStyle w:val="Heading3"/>
                              <w:rPr>
                                <w:color w:val="FFFFFF"/>
                                <w:sz w:val="22"/>
                                <w:szCs w:val="22"/>
                                <w:lang w:val="tr-TR"/>
                              </w:rPr>
                            </w:pPr>
                            <w:r>
                              <w:rPr>
                                <w:color w:val="FFFFFF"/>
                                <w:sz w:val="22"/>
                                <w:szCs w:val="22"/>
                              </w:rPr>
                              <w:t xml:space="preserve">3  Ağustos </w:t>
                            </w:r>
                            <w:r>
                              <w:rPr>
                                <w:color w:val="FFFFFF"/>
                                <w:sz w:val="22"/>
                                <w:szCs w:val="22"/>
                                <w:lang w:val="tr-TR"/>
                              </w:rPr>
                              <w:t>2017</w:t>
                            </w:r>
                          </w:p>
                          <w:p w:rsidR="001F34E7" w:rsidRDefault="001F34E7" w:rsidP="006403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6.35pt;margin-top:6.65pt;width:117.5pt;height:2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" stroked="f">
                <v:fill opacity="0"/>
                <v:textbox inset="0,0,0,0">
                  <w:txbxContent>
                    <w:p w:rsidR="001F34E7" w:rsidRDefault="001F34E7" w:rsidP="00640379">
                      <w:pPr>
                        <w:pStyle w:val="Heading3"/>
                        <w:rPr>
                          <w:color w:val="FFFFFF"/>
                          <w:sz w:val="22"/>
                          <w:szCs w:val="22"/>
                          <w:lang w:val="tr-TR"/>
                        </w:rPr>
                      </w:pPr>
                      <w:r>
                        <w:rPr>
                          <w:color w:val="FFFFFF"/>
                          <w:sz w:val="22"/>
                          <w:szCs w:val="22"/>
                        </w:rPr>
                        <w:t xml:space="preserve">3  Ağustos </w:t>
                      </w:r>
                      <w:r>
                        <w:rPr>
                          <w:color w:val="FFFFFF"/>
                          <w:sz w:val="22"/>
                          <w:szCs w:val="22"/>
                          <w:lang w:val="tr-TR"/>
                        </w:rPr>
                        <w:t>2017</w:t>
                      </w:r>
                    </w:p>
                    <w:p w:rsidR="001F34E7" w:rsidRDefault="001F34E7" w:rsidP="00640379"/>
                  </w:txbxContent>
                </v:textbox>
              </v:shape>
            </w:pict>
          </mc:Fallback>
        </mc:AlternateContent>
      </w:r>
    </w:p>
    <w:p w:rsidR="00640379" w:rsidRPr="00705CC0" w:rsidRDefault="00640379" w:rsidP="00640379">
      <w:pPr>
        <w:rPr>
          <w:rFonts w:asciiTheme="majorHAnsi" w:hAnsiTheme="majorHAnsi" w:cs="Arial"/>
          <w:sz w:val="22"/>
          <w:szCs w:val="22"/>
        </w:rPr>
      </w:pPr>
    </w:p>
    <w:p w:rsidR="00640379" w:rsidRPr="00705CC0" w:rsidRDefault="00640379" w:rsidP="00640379">
      <w:pPr>
        <w:rPr>
          <w:rFonts w:asciiTheme="majorHAnsi" w:hAnsiTheme="majorHAnsi" w:cs="Arial"/>
          <w:sz w:val="22"/>
          <w:szCs w:val="22"/>
        </w:rPr>
      </w:pPr>
    </w:p>
    <w:p w:rsidR="00640379" w:rsidRPr="00705CC0" w:rsidRDefault="00640379" w:rsidP="00640379">
      <w:pPr>
        <w:rPr>
          <w:rFonts w:asciiTheme="majorHAnsi" w:hAnsiTheme="majorHAnsi" w:cs="Arial"/>
          <w:b/>
          <w:bCs/>
          <w:sz w:val="22"/>
          <w:szCs w:val="22"/>
        </w:rPr>
      </w:pPr>
    </w:p>
    <w:p w:rsidR="00607DDE" w:rsidRPr="00705CC0" w:rsidRDefault="00376E14" w:rsidP="00607DDE">
      <w:pPr>
        <w:jc w:val="center"/>
        <w:rPr>
          <w:rFonts w:asciiTheme="majorHAnsi" w:hAnsiTheme="majorHAnsi" w:cs="Arial"/>
          <w:b/>
          <w:sz w:val="22"/>
          <w:szCs w:val="22"/>
        </w:rPr>
      </w:pPr>
      <w:r w:rsidRPr="00B25437">
        <w:rPr>
          <w:rFonts w:asciiTheme="majorHAnsi" w:hAnsiTheme="majorHAnsi" w:cs="Arial"/>
          <w:b/>
          <w:sz w:val="22"/>
          <w:szCs w:val="22"/>
        </w:rPr>
        <w:t xml:space="preserve">MİLLİ GELİR REVİZYONU BAĞLAMINDA </w:t>
      </w:r>
      <w:r w:rsidR="00607DDE" w:rsidRPr="00B25437">
        <w:rPr>
          <w:rFonts w:asciiTheme="majorHAnsi" w:hAnsiTheme="majorHAnsi" w:cs="Arial"/>
          <w:b/>
          <w:sz w:val="22"/>
          <w:szCs w:val="22"/>
        </w:rPr>
        <w:t>ORTA GELİR TUZAĞI</w:t>
      </w:r>
      <w:r w:rsidRPr="00B25437">
        <w:rPr>
          <w:rFonts w:asciiTheme="majorHAnsi" w:hAnsiTheme="majorHAnsi" w:cs="Arial"/>
          <w:b/>
          <w:sz w:val="22"/>
          <w:szCs w:val="22"/>
        </w:rPr>
        <w:t>NA YENİDEN BAKIŞ</w:t>
      </w:r>
    </w:p>
    <w:p w:rsidR="00AE2FAA" w:rsidRPr="00705CC0" w:rsidRDefault="00AE2FAA" w:rsidP="00AE2FAA">
      <w:pPr>
        <w:jc w:val="center"/>
        <w:rPr>
          <w:rFonts w:asciiTheme="majorHAnsi" w:hAnsiTheme="majorHAnsi" w:cs="Arial"/>
          <w:b/>
          <w:sz w:val="22"/>
          <w:szCs w:val="22"/>
        </w:rPr>
      </w:pPr>
    </w:p>
    <w:p w:rsidR="0040699C" w:rsidRPr="00705CC0" w:rsidRDefault="00AE2FAA" w:rsidP="004009D4">
      <w:pPr>
        <w:jc w:val="center"/>
        <w:rPr>
          <w:rFonts w:asciiTheme="majorHAnsi" w:hAnsiTheme="majorHAnsi" w:cs="Arial"/>
          <w:b/>
          <w:sz w:val="22"/>
          <w:szCs w:val="22"/>
        </w:rPr>
      </w:pPr>
      <w:r w:rsidRPr="00705CC0">
        <w:rPr>
          <w:rFonts w:asciiTheme="majorHAnsi" w:hAnsiTheme="majorHAnsi" w:cs="Arial"/>
          <w:b/>
          <w:sz w:val="22"/>
          <w:szCs w:val="22"/>
        </w:rPr>
        <w:t>Seyfettin Gürsel</w:t>
      </w:r>
      <w:r w:rsidR="002408E1" w:rsidRPr="00705CC0">
        <w:rPr>
          <w:rStyle w:val="FootnoteReference"/>
          <w:rFonts w:asciiTheme="majorHAnsi" w:hAnsiTheme="majorHAnsi" w:cs="Arial"/>
          <w:b/>
          <w:sz w:val="22"/>
          <w:szCs w:val="22"/>
        </w:rPr>
        <w:footnoteReference w:customMarkFollows="1" w:id="1"/>
        <w:sym w:font="Symbol" w:char="F02A"/>
      </w:r>
      <w:r w:rsidR="001A6364" w:rsidRPr="00705CC0">
        <w:rPr>
          <w:rFonts w:asciiTheme="majorHAnsi" w:hAnsiTheme="majorHAnsi" w:cs="Arial"/>
          <w:b/>
          <w:sz w:val="22"/>
          <w:szCs w:val="22"/>
        </w:rPr>
        <w:t>, Ozan Bakış</w:t>
      </w:r>
      <w:r w:rsidR="002408E1" w:rsidRPr="00705CC0">
        <w:rPr>
          <w:rStyle w:val="FootnoteReference"/>
          <w:rFonts w:asciiTheme="majorHAnsi" w:hAnsiTheme="majorHAnsi" w:cs="Arial"/>
          <w:b/>
          <w:sz w:val="22"/>
          <w:szCs w:val="22"/>
        </w:rPr>
        <w:footnoteReference w:customMarkFollows="1" w:id="2"/>
        <w:t>**</w:t>
      </w:r>
      <w:r w:rsidR="001A6364" w:rsidRPr="00705CC0">
        <w:rPr>
          <w:rFonts w:asciiTheme="majorHAnsi" w:hAnsiTheme="majorHAnsi" w:cs="Arial"/>
          <w:b/>
          <w:sz w:val="22"/>
          <w:szCs w:val="22"/>
        </w:rPr>
        <w:t xml:space="preserve"> ve Selin Köksal</w:t>
      </w:r>
      <w:r w:rsidR="001A6364" w:rsidRPr="00705CC0">
        <w:rPr>
          <w:rStyle w:val="FootnoteReference"/>
          <w:rFonts w:asciiTheme="majorHAnsi" w:hAnsiTheme="majorHAnsi" w:cs="Arial"/>
          <w:b/>
          <w:sz w:val="22"/>
          <w:szCs w:val="22"/>
        </w:rPr>
        <w:footnoteReference w:customMarkFollows="1" w:id="3"/>
        <w:t>***</w:t>
      </w:r>
    </w:p>
    <w:p w:rsidR="00AE2FAA" w:rsidRPr="00705CC0" w:rsidRDefault="00AE2FAA" w:rsidP="00AE2FAA">
      <w:pPr>
        <w:jc w:val="center"/>
        <w:rPr>
          <w:rFonts w:asciiTheme="majorHAnsi" w:hAnsiTheme="majorHAnsi" w:cs="Arial"/>
          <w:b/>
          <w:sz w:val="22"/>
          <w:szCs w:val="22"/>
        </w:rPr>
      </w:pPr>
    </w:p>
    <w:p w:rsidR="00AE2FAA" w:rsidRDefault="00AE2FAA" w:rsidP="00AE2FAA">
      <w:pPr>
        <w:jc w:val="center"/>
        <w:rPr>
          <w:rFonts w:asciiTheme="majorHAnsi" w:hAnsiTheme="majorHAnsi" w:cs="Arial"/>
          <w:b/>
          <w:sz w:val="22"/>
          <w:szCs w:val="22"/>
        </w:rPr>
      </w:pPr>
      <w:r w:rsidRPr="00705CC0">
        <w:rPr>
          <w:rFonts w:asciiTheme="majorHAnsi" w:hAnsiTheme="majorHAnsi" w:cs="Arial"/>
          <w:b/>
          <w:sz w:val="22"/>
          <w:szCs w:val="22"/>
        </w:rPr>
        <w:t>Yönetici Özeti</w:t>
      </w:r>
    </w:p>
    <w:p w:rsidR="00EA729E" w:rsidRDefault="00EA729E" w:rsidP="00AE2FAA">
      <w:pPr>
        <w:jc w:val="center"/>
        <w:rPr>
          <w:rFonts w:asciiTheme="majorHAnsi" w:hAnsiTheme="majorHAnsi" w:cs="Arial"/>
          <w:b/>
          <w:sz w:val="22"/>
          <w:szCs w:val="22"/>
        </w:rPr>
      </w:pPr>
    </w:p>
    <w:p w:rsidR="001F34E7" w:rsidRDefault="00700F51" w:rsidP="002E3962">
      <w:pPr>
        <w:spacing w:line="360" w:lineRule="auto"/>
        <w:jc w:val="both"/>
        <w:rPr>
          <w:rFonts w:asciiTheme="majorHAnsi" w:hAnsiTheme="majorHAnsi" w:cs="Arial"/>
          <w:sz w:val="22"/>
          <w:szCs w:val="22"/>
        </w:rPr>
      </w:pPr>
      <w:r w:rsidRPr="00B25437">
        <w:rPr>
          <w:rFonts w:asciiTheme="majorHAnsi" w:hAnsiTheme="majorHAnsi" w:cs="Arial"/>
          <w:sz w:val="22"/>
          <w:szCs w:val="22"/>
        </w:rPr>
        <w:t xml:space="preserve">Güncellenen milli gelir serileri </w:t>
      </w:r>
      <w:r w:rsidR="001F34E7" w:rsidRPr="00B25437">
        <w:rPr>
          <w:rFonts w:asciiTheme="majorHAnsi" w:hAnsiTheme="majorHAnsi" w:cs="Arial"/>
          <w:sz w:val="22"/>
          <w:szCs w:val="22"/>
        </w:rPr>
        <w:t xml:space="preserve">özellikle son beş yılın (2012-2016) ekonomik büyüme öyküsünü çok büyük ölçüde değiştirdi. Ortalama yıllık büyüme </w:t>
      </w:r>
      <w:r w:rsidR="00E32ABF" w:rsidRPr="00B25437">
        <w:rPr>
          <w:rFonts w:asciiTheme="majorHAnsi" w:hAnsiTheme="majorHAnsi" w:cs="Arial"/>
          <w:sz w:val="22"/>
          <w:szCs w:val="22"/>
        </w:rPr>
        <w:t>oranın</w:t>
      </w:r>
      <w:r w:rsidR="00E32ABF">
        <w:rPr>
          <w:rFonts w:asciiTheme="majorHAnsi" w:hAnsiTheme="majorHAnsi" w:cs="Arial"/>
          <w:sz w:val="22"/>
          <w:szCs w:val="22"/>
        </w:rPr>
        <w:t>ın</w:t>
      </w:r>
      <w:r w:rsidR="001F34E7" w:rsidRPr="00B25437">
        <w:rPr>
          <w:rFonts w:asciiTheme="majorHAnsi" w:hAnsiTheme="majorHAnsi" w:cs="Arial"/>
          <w:sz w:val="22"/>
          <w:szCs w:val="22"/>
        </w:rPr>
        <w:t xml:space="preserve"> </w:t>
      </w:r>
      <w:r w:rsidR="00B3312B" w:rsidRPr="00B25437">
        <w:rPr>
          <w:rFonts w:asciiTheme="majorHAnsi" w:hAnsiTheme="majorHAnsi" w:cs="Arial"/>
          <w:sz w:val="22"/>
          <w:szCs w:val="22"/>
        </w:rPr>
        <w:t>bilinenden</w:t>
      </w:r>
      <w:r w:rsidR="001F34E7" w:rsidRPr="00B25437">
        <w:rPr>
          <w:rFonts w:asciiTheme="majorHAnsi" w:hAnsiTheme="majorHAnsi" w:cs="Arial"/>
          <w:sz w:val="22"/>
          <w:szCs w:val="22"/>
        </w:rPr>
        <w:t xml:space="preserve"> neredeyse iki kat daha yüksek olduğu anlaşıldı. Bu çaplı revizyon haliyle emek </w:t>
      </w:r>
      <w:r w:rsidR="00B3312B" w:rsidRPr="00B25437">
        <w:rPr>
          <w:rFonts w:asciiTheme="majorHAnsi" w:hAnsiTheme="majorHAnsi" w:cs="Arial"/>
          <w:sz w:val="22"/>
          <w:szCs w:val="22"/>
        </w:rPr>
        <w:t>verimliliğinde</w:t>
      </w:r>
      <w:r w:rsidR="001F34E7" w:rsidRPr="00B25437">
        <w:rPr>
          <w:rFonts w:asciiTheme="majorHAnsi" w:hAnsiTheme="majorHAnsi" w:cs="Arial"/>
          <w:sz w:val="22"/>
          <w:szCs w:val="22"/>
        </w:rPr>
        <w:t xml:space="preserve"> gözlemlenen </w:t>
      </w:r>
      <w:r w:rsidR="00B3312B" w:rsidRPr="00B25437">
        <w:rPr>
          <w:rFonts w:asciiTheme="majorHAnsi" w:hAnsiTheme="majorHAnsi" w:cs="Arial"/>
          <w:sz w:val="22"/>
          <w:szCs w:val="22"/>
        </w:rPr>
        <w:t>durgunluğu</w:t>
      </w:r>
      <w:r w:rsidR="001F34E7" w:rsidRPr="00B25437">
        <w:rPr>
          <w:rFonts w:asciiTheme="majorHAnsi" w:hAnsiTheme="majorHAnsi" w:cs="Arial"/>
          <w:sz w:val="22"/>
          <w:szCs w:val="22"/>
        </w:rPr>
        <w:t xml:space="preserve"> da geçersiz kıldı. Yeni milli gelir serisi kişi başı gelir artışına emek verimliliğinin 2009 sonrası dönemde nispeten yüksek katkı yaptığını ancak son</w:t>
      </w:r>
      <w:r w:rsidR="00B25437" w:rsidRPr="00B25437">
        <w:rPr>
          <w:rFonts w:asciiTheme="majorHAnsi" w:hAnsiTheme="majorHAnsi" w:cs="Arial"/>
          <w:sz w:val="22"/>
          <w:szCs w:val="22"/>
        </w:rPr>
        <w:t xml:space="preserve"> </w:t>
      </w:r>
      <w:r w:rsidR="001F34E7" w:rsidRPr="00B25437">
        <w:rPr>
          <w:rFonts w:asciiTheme="majorHAnsi" w:hAnsiTheme="majorHAnsi" w:cs="Arial"/>
          <w:sz w:val="22"/>
          <w:szCs w:val="22"/>
        </w:rPr>
        <w:t>üç yılda bu katkının azaldığını gösteriyor.</w:t>
      </w:r>
      <w:r w:rsidR="001F34E7">
        <w:rPr>
          <w:rFonts w:asciiTheme="majorHAnsi" w:hAnsiTheme="majorHAnsi" w:cs="Arial"/>
          <w:sz w:val="22"/>
          <w:szCs w:val="22"/>
        </w:rPr>
        <w:t xml:space="preserve"> </w:t>
      </w:r>
    </w:p>
    <w:p w:rsidR="00EA729E" w:rsidRPr="00700F51" w:rsidRDefault="00700F51" w:rsidP="002E3962">
      <w:pPr>
        <w:spacing w:line="360" w:lineRule="auto"/>
        <w:jc w:val="both"/>
        <w:rPr>
          <w:rFonts w:asciiTheme="majorHAnsi" w:hAnsiTheme="majorHAnsi" w:cs="Arial"/>
          <w:sz w:val="22"/>
          <w:szCs w:val="22"/>
        </w:rPr>
      </w:pPr>
      <w:r w:rsidRPr="00700F51">
        <w:rPr>
          <w:rFonts w:asciiTheme="majorHAnsi" w:hAnsiTheme="majorHAnsi" w:cs="Arial"/>
          <w:sz w:val="22"/>
          <w:szCs w:val="22"/>
        </w:rPr>
        <w:t>2005(4)-2017(1) dönemi kişi başı gelir artışı</w:t>
      </w:r>
      <w:r w:rsidR="001F34E7">
        <w:rPr>
          <w:rFonts w:asciiTheme="majorHAnsi" w:hAnsiTheme="majorHAnsi" w:cs="Arial"/>
          <w:sz w:val="22"/>
          <w:szCs w:val="22"/>
        </w:rPr>
        <w:t xml:space="preserve"> </w:t>
      </w:r>
      <w:r w:rsidR="001F34E7" w:rsidRPr="00B25437">
        <w:rPr>
          <w:rFonts w:asciiTheme="majorHAnsi" w:hAnsiTheme="majorHAnsi" w:cs="Arial"/>
          <w:sz w:val="22"/>
          <w:szCs w:val="22"/>
        </w:rPr>
        <w:t xml:space="preserve">emek </w:t>
      </w:r>
      <w:r w:rsidR="00B3312B" w:rsidRPr="00B25437">
        <w:rPr>
          <w:rFonts w:asciiTheme="majorHAnsi" w:hAnsiTheme="majorHAnsi" w:cs="Arial"/>
          <w:sz w:val="22"/>
          <w:szCs w:val="22"/>
        </w:rPr>
        <w:t>verimliliği</w:t>
      </w:r>
      <w:r w:rsidR="001F34E7" w:rsidRPr="00B25437">
        <w:rPr>
          <w:rFonts w:asciiTheme="majorHAnsi" w:hAnsiTheme="majorHAnsi" w:cs="Arial"/>
          <w:sz w:val="22"/>
          <w:szCs w:val="22"/>
        </w:rPr>
        <w:t>, istihdam oranı ve çalışabilir nüfus oranından oluşan</w:t>
      </w:r>
      <w:r w:rsidR="001F34E7">
        <w:rPr>
          <w:rFonts w:asciiTheme="majorHAnsi" w:hAnsiTheme="majorHAnsi" w:cs="Arial"/>
          <w:sz w:val="22"/>
          <w:szCs w:val="22"/>
        </w:rPr>
        <w:t xml:space="preserve"> </w:t>
      </w:r>
      <w:r w:rsidRPr="00700F51">
        <w:rPr>
          <w:rFonts w:asciiTheme="majorHAnsi" w:hAnsiTheme="majorHAnsi" w:cs="Arial"/>
          <w:sz w:val="22"/>
          <w:szCs w:val="22"/>
        </w:rPr>
        <w:t xml:space="preserve">bileşenleri </w:t>
      </w:r>
      <w:r w:rsidR="008804CB" w:rsidRPr="00B25437">
        <w:rPr>
          <w:rFonts w:asciiTheme="majorHAnsi" w:hAnsiTheme="majorHAnsi" w:cs="Arial"/>
          <w:sz w:val="22"/>
          <w:szCs w:val="22"/>
        </w:rPr>
        <w:t>incelendiğinde</w:t>
      </w:r>
      <w:r w:rsidR="008804CB">
        <w:rPr>
          <w:rFonts w:asciiTheme="majorHAnsi" w:hAnsiTheme="majorHAnsi" w:cs="Arial"/>
          <w:sz w:val="22"/>
          <w:szCs w:val="22"/>
        </w:rPr>
        <w:t xml:space="preserve"> ü</w:t>
      </w:r>
      <w:r w:rsidRPr="00700F51">
        <w:rPr>
          <w:rFonts w:asciiTheme="majorHAnsi" w:hAnsiTheme="majorHAnsi" w:cs="Arial"/>
          <w:sz w:val="22"/>
          <w:szCs w:val="22"/>
        </w:rPr>
        <w:t xml:space="preserve">ç </w:t>
      </w:r>
      <w:r w:rsidR="008804CB" w:rsidRPr="00B25437">
        <w:rPr>
          <w:rFonts w:asciiTheme="majorHAnsi" w:hAnsiTheme="majorHAnsi" w:cs="Arial"/>
          <w:sz w:val="22"/>
          <w:szCs w:val="22"/>
        </w:rPr>
        <w:t>farklı</w:t>
      </w:r>
      <w:r w:rsidR="008804CB">
        <w:rPr>
          <w:rFonts w:asciiTheme="majorHAnsi" w:hAnsiTheme="majorHAnsi" w:cs="Arial"/>
          <w:sz w:val="22"/>
          <w:szCs w:val="22"/>
        </w:rPr>
        <w:t xml:space="preserve"> </w:t>
      </w:r>
      <w:r w:rsidRPr="00700F51">
        <w:rPr>
          <w:rFonts w:asciiTheme="majorHAnsi" w:hAnsiTheme="majorHAnsi" w:cs="Arial"/>
          <w:sz w:val="22"/>
          <w:szCs w:val="22"/>
        </w:rPr>
        <w:t xml:space="preserve">alt dönem </w:t>
      </w:r>
      <w:r w:rsidR="008804CB">
        <w:rPr>
          <w:rFonts w:asciiTheme="majorHAnsi" w:hAnsiTheme="majorHAnsi" w:cs="Arial"/>
          <w:sz w:val="22"/>
          <w:szCs w:val="22"/>
        </w:rPr>
        <w:t>temayüz etmektedir</w:t>
      </w:r>
      <w:r w:rsidRPr="00700F51">
        <w:rPr>
          <w:rFonts w:asciiTheme="majorHAnsi" w:hAnsiTheme="majorHAnsi" w:cs="Arial"/>
          <w:sz w:val="22"/>
          <w:szCs w:val="22"/>
        </w:rPr>
        <w:t xml:space="preserve">. Kriz öncesi 2005(1)-2008(2) döneminde gelir artışlarının neredeyse tamamı emek verimliliği artışından kaynaklanmaktadır. Emek verimliliği ve istihdam oranı artışlarının kişi başı gelir artışlarına pozitif katkı yaptığı kriz sonrası dönem </w:t>
      </w:r>
      <w:r w:rsidR="008804CB" w:rsidRPr="00B25437">
        <w:rPr>
          <w:rFonts w:asciiTheme="majorHAnsi" w:hAnsiTheme="majorHAnsi" w:cs="Arial"/>
          <w:sz w:val="22"/>
          <w:szCs w:val="22"/>
        </w:rPr>
        <w:t>ise</w:t>
      </w:r>
      <w:r w:rsidR="008804CB">
        <w:rPr>
          <w:rFonts w:asciiTheme="majorHAnsi" w:hAnsiTheme="majorHAnsi" w:cs="Arial"/>
          <w:sz w:val="22"/>
          <w:szCs w:val="22"/>
        </w:rPr>
        <w:t xml:space="preserve"> </w:t>
      </w:r>
      <w:r w:rsidRPr="00700F51">
        <w:rPr>
          <w:rFonts w:asciiTheme="majorHAnsi" w:hAnsiTheme="majorHAnsi" w:cs="Arial"/>
          <w:sz w:val="22"/>
          <w:szCs w:val="22"/>
        </w:rPr>
        <w:t>k</w:t>
      </w:r>
      <w:r w:rsidR="001D4926">
        <w:rPr>
          <w:rFonts w:asciiTheme="majorHAnsi" w:hAnsiTheme="majorHAnsi" w:cs="Arial"/>
          <w:sz w:val="22"/>
          <w:szCs w:val="22"/>
        </w:rPr>
        <w:t>endi içinde ikiye ayrılmaktadır:</w:t>
      </w:r>
      <w:r w:rsidRPr="00700F51">
        <w:rPr>
          <w:rFonts w:asciiTheme="majorHAnsi" w:hAnsiTheme="majorHAnsi" w:cs="Arial"/>
          <w:sz w:val="22"/>
          <w:szCs w:val="22"/>
        </w:rPr>
        <w:t xml:space="preserve"> Emek verimliliği artışlarının daha yüksek olduğu 2009(4)-2013(4) dönemi ile istihdam oranı artışlarının daha güçlü olduğu 2014</w:t>
      </w:r>
      <w:r w:rsidR="00C437C3">
        <w:rPr>
          <w:rFonts w:asciiTheme="majorHAnsi" w:hAnsiTheme="majorHAnsi" w:cs="Arial"/>
          <w:sz w:val="22"/>
          <w:szCs w:val="22"/>
        </w:rPr>
        <w:t>(1)</w:t>
      </w:r>
      <w:r w:rsidRPr="00700F51">
        <w:rPr>
          <w:rFonts w:asciiTheme="majorHAnsi" w:hAnsiTheme="majorHAnsi" w:cs="Arial"/>
          <w:sz w:val="22"/>
          <w:szCs w:val="22"/>
        </w:rPr>
        <w:t xml:space="preserve"> sonrası dönem. </w:t>
      </w:r>
    </w:p>
    <w:p w:rsidR="00B4545B" w:rsidRPr="00705CC0" w:rsidRDefault="00B4545B" w:rsidP="0027354C">
      <w:pPr>
        <w:spacing w:line="360" w:lineRule="auto"/>
        <w:jc w:val="both"/>
        <w:rPr>
          <w:rFonts w:asciiTheme="majorHAnsi" w:hAnsiTheme="majorHAnsi" w:cs="Arial"/>
          <w:sz w:val="22"/>
          <w:szCs w:val="22"/>
        </w:rPr>
      </w:pPr>
    </w:p>
    <w:p w:rsidR="00C36B17" w:rsidRDefault="00C36B17" w:rsidP="00502030">
      <w:pPr>
        <w:pStyle w:val="Heading3"/>
        <w:rPr>
          <w:lang w:val="tr-TR"/>
        </w:rPr>
      </w:pPr>
      <w:r w:rsidRPr="006B6CA7">
        <w:rPr>
          <w:lang w:val="tr-TR"/>
        </w:rPr>
        <w:t>Giriş</w:t>
      </w:r>
    </w:p>
    <w:p w:rsidR="00C934F6" w:rsidRPr="00C934F6" w:rsidRDefault="00C934F6" w:rsidP="00C934F6"/>
    <w:p w:rsidR="00513FF4" w:rsidRPr="00705CC0" w:rsidRDefault="00704F56" w:rsidP="00C36B17">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Eski milli gelir serileri ile yapılan hesaplamalar Türkiye’nin </w:t>
      </w:r>
      <w:r w:rsidR="00C36B17" w:rsidRPr="00705CC0">
        <w:rPr>
          <w:rFonts w:asciiTheme="majorHAnsi" w:hAnsiTheme="majorHAnsi" w:cs="Arial"/>
          <w:sz w:val="22"/>
          <w:szCs w:val="22"/>
        </w:rPr>
        <w:t>“Orta Gelir Tuzağı”</w:t>
      </w:r>
      <w:r w:rsidRPr="00705CC0">
        <w:rPr>
          <w:rFonts w:asciiTheme="majorHAnsi" w:hAnsiTheme="majorHAnsi" w:cs="Arial"/>
          <w:sz w:val="22"/>
          <w:szCs w:val="22"/>
        </w:rPr>
        <w:t xml:space="preserve"> tehlikesi ile karşı karşıya olduğunu gösteriyordu. Bu kaygının temel sebebi orta vadeli büyümenin yüzde 4’ün altında kalacağı endişesi ve </w:t>
      </w:r>
      <w:r w:rsidR="00DF6AA2" w:rsidRPr="00705CC0">
        <w:rPr>
          <w:rFonts w:asciiTheme="majorHAnsi" w:hAnsiTheme="majorHAnsi" w:cs="Arial"/>
          <w:sz w:val="22"/>
          <w:szCs w:val="22"/>
        </w:rPr>
        <w:t>v</w:t>
      </w:r>
      <w:r w:rsidRPr="00705CC0">
        <w:rPr>
          <w:rFonts w:asciiTheme="majorHAnsi" w:hAnsiTheme="majorHAnsi" w:cs="Arial"/>
          <w:sz w:val="22"/>
          <w:szCs w:val="22"/>
        </w:rPr>
        <w:t>erimlili</w:t>
      </w:r>
      <w:r w:rsidR="00DF6AA2" w:rsidRPr="00705CC0">
        <w:rPr>
          <w:rFonts w:asciiTheme="majorHAnsi" w:hAnsiTheme="majorHAnsi" w:cs="Arial"/>
          <w:sz w:val="22"/>
          <w:szCs w:val="22"/>
        </w:rPr>
        <w:t>k artışlarının son dönemde yavaşlaması idi</w:t>
      </w:r>
      <w:r w:rsidR="00C36B17" w:rsidRPr="00705CC0">
        <w:rPr>
          <w:rFonts w:asciiTheme="majorHAnsi" w:hAnsiTheme="majorHAnsi" w:cs="Arial"/>
          <w:sz w:val="22"/>
          <w:szCs w:val="22"/>
        </w:rPr>
        <w:t xml:space="preserve"> (OECD, Economic</w:t>
      </w:r>
      <w:r w:rsidR="00705CC0">
        <w:rPr>
          <w:rFonts w:asciiTheme="majorHAnsi" w:hAnsiTheme="majorHAnsi" w:cs="Arial"/>
          <w:sz w:val="22"/>
          <w:szCs w:val="22"/>
        </w:rPr>
        <w:t xml:space="preserve"> </w:t>
      </w:r>
      <w:r w:rsidR="00C36B17" w:rsidRPr="00705CC0">
        <w:rPr>
          <w:rFonts w:asciiTheme="majorHAnsi" w:hAnsiTheme="majorHAnsi" w:cs="Arial"/>
          <w:sz w:val="22"/>
          <w:szCs w:val="22"/>
        </w:rPr>
        <w:t xml:space="preserve">Surveys: Turkey, 2016). </w:t>
      </w:r>
      <w:r w:rsidR="00DF6AA2" w:rsidRPr="00705CC0">
        <w:rPr>
          <w:rFonts w:asciiTheme="majorHAnsi" w:hAnsiTheme="majorHAnsi" w:cs="Arial"/>
          <w:sz w:val="22"/>
          <w:szCs w:val="22"/>
        </w:rPr>
        <w:t>Türkiye İstatistik Kurumu</w:t>
      </w:r>
      <w:r w:rsidR="00607DDE" w:rsidRPr="00705CC0">
        <w:rPr>
          <w:rFonts w:asciiTheme="majorHAnsi" w:hAnsiTheme="majorHAnsi" w:cs="Arial"/>
          <w:sz w:val="22"/>
          <w:szCs w:val="22"/>
        </w:rPr>
        <w:t>'nun</w:t>
      </w:r>
      <w:r w:rsidR="00A20D28" w:rsidRPr="00705CC0">
        <w:rPr>
          <w:rFonts w:asciiTheme="majorHAnsi" w:hAnsiTheme="majorHAnsi" w:cs="Arial"/>
          <w:sz w:val="22"/>
          <w:szCs w:val="22"/>
        </w:rPr>
        <w:t xml:space="preserve"> (TÜİK)</w:t>
      </w:r>
      <w:r w:rsidR="00DF6AA2" w:rsidRPr="00705CC0">
        <w:rPr>
          <w:rFonts w:asciiTheme="majorHAnsi" w:hAnsiTheme="majorHAnsi" w:cs="Arial"/>
          <w:sz w:val="22"/>
          <w:szCs w:val="22"/>
        </w:rPr>
        <w:t xml:space="preserve"> açıkladığı yeni milli gelir serileri ile</w:t>
      </w:r>
      <w:r w:rsidR="00A20D28" w:rsidRPr="00705CC0">
        <w:rPr>
          <w:rFonts w:asciiTheme="majorHAnsi" w:hAnsiTheme="majorHAnsi" w:cs="Arial"/>
          <w:sz w:val="22"/>
          <w:szCs w:val="22"/>
        </w:rPr>
        <w:t xml:space="preserve"> özellikle 2009 sonrasının </w:t>
      </w:r>
      <w:r w:rsidR="006B6CA7" w:rsidRPr="00C2690D">
        <w:rPr>
          <w:rFonts w:asciiTheme="majorHAnsi" w:hAnsiTheme="majorHAnsi" w:cs="Arial"/>
          <w:sz w:val="22"/>
          <w:szCs w:val="22"/>
        </w:rPr>
        <w:t>ekonomik büyüme</w:t>
      </w:r>
      <w:r w:rsidR="00A20D28" w:rsidRPr="00705CC0">
        <w:rPr>
          <w:rFonts w:asciiTheme="majorHAnsi" w:hAnsiTheme="majorHAnsi" w:cs="Arial"/>
          <w:sz w:val="22"/>
          <w:szCs w:val="22"/>
        </w:rPr>
        <w:t xml:space="preserve"> “hikayesi” değişti. Eski seriler ile yeni seriler arasında çok önemli tanım, seviye ve oran farkları mevcut (Bkz. Betam </w:t>
      </w:r>
      <w:r w:rsidR="00B4545B">
        <w:rPr>
          <w:rFonts w:asciiTheme="majorHAnsi" w:hAnsiTheme="majorHAnsi" w:cs="Arial"/>
          <w:sz w:val="22"/>
          <w:szCs w:val="22"/>
        </w:rPr>
        <w:t xml:space="preserve">Araştırma Notu 16/203). Bu not açısından </w:t>
      </w:r>
      <w:r w:rsidR="00A20D28" w:rsidRPr="00705CC0">
        <w:rPr>
          <w:rFonts w:asciiTheme="majorHAnsi" w:hAnsiTheme="majorHAnsi" w:cs="Arial"/>
          <w:sz w:val="22"/>
          <w:szCs w:val="22"/>
        </w:rPr>
        <w:t xml:space="preserve">önemli olan en büyük fark büyüme oranları </w:t>
      </w:r>
      <w:r w:rsidR="00B4545B">
        <w:rPr>
          <w:rFonts w:asciiTheme="majorHAnsi" w:hAnsiTheme="majorHAnsi" w:cs="Arial"/>
          <w:sz w:val="22"/>
          <w:szCs w:val="22"/>
        </w:rPr>
        <w:t>(</w:t>
      </w:r>
      <w:r w:rsidR="00A20D28" w:rsidRPr="00705CC0">
        <w:rPr>
          <w:rFonts w:asciiTheme="majorHAnsi" w:hAnsiTheme="majorHAnsi" w:cs="Arial"/>
          <w:sz w:val="22"/>
          <w:szCs w:val="22"/>
        </w:rPr>
        <w:t>ve dolayısıyla verimlilik hesaplarında</w:t>
      </w:r>
      <w:r w:rsidR="00B4545B">
        <w:rPr>
          <w:rFonts w:asciiTheme="majorHAnsi" w:hAnsiTheme="majorHAnsi" w:cs="Arial"/>
          <w:sz w:val="22"/>
          <w:szCs w:val="22"/>
        </w:rPr>
        <w:t>)</w:t>
      </w:r>
      <w:r w:rsidR="00A20D28" w:rsidRPr="00705CC0">
        <w:rPr>
          <w:rFonts w:asciiTheme="majorHAnsi" w:hAnsiTheme="majorHAnsi" w:cs="Arial"/>
          <w:sz w:val="22"/>
          <w:szCs w:val="22"/>
        </w:rPr>
        <w:t xml:space="preserve"> yapılan revizyon oldu. Eski seride 2012-2015 ortalama GSYH büyümesi yüzde 3,3 iken yeni seride </w:t>
      </w:r>
      <w:r w:rsidR="00513FF4" w:rsidRPr="00705CC0">
        <w:rPr>
          <w:rFonts w:asciiTheme="majorHAnsi" w:hAnsiTheme="majorHAnsi" w:cs="Arial"/>
          <w:sz w:val="22"/>
          <w:szCs w:val="22"/>
        </w:rPr>
        <w:t>bu oran yüzde 6,1 oldu.</w:t>
      </w:r>
      <w:r w:rsidR="00B4545B">
        <w:rPr>
          <w:rFonts w:asciiTheme="majorHAnsi" w:hAnsiTheme="majorHAnsi" w:cs="Arial"/>
          <w:sz w:val="22"/>
          <w:szCs w:val="22"/>
        </w:rPr>
        <w:t xml:space="preserve"> Bu büyük farktan dolayı</w:t>
      </w:r>
      <w:r w:rsidR="00513FF4" w:rsidRPr="00705CC0">
        <w:rPr>
          <w:rFonts w:asciiTheme="majorHAnsi" w:hAnsiTheme="majorHAnsi" w:cs="Arial"/>
          <w:sz w:val="22"/>
          <w:szCs w:val="22"/>
        </w:rPr>
        <w:t xml:space="preserve"> daha önce yayınladığımız “</w:t>
      </w:r>
      <w:r w:rsidR="00513FF4" w:rsidRPr="00485081">
        <w:rPr>
          <w:rFonts w:asciiTheme="majorHAnsi" w:hAnsiTheme="majorHAnsi" w:cs="Arial"/>
          <w:b/>
          <w:sz w:val="22"/>
          <w:szCs w:val="22"/>
        </w:rPr>
        <w:t>Orta gelir tuzağı sorunu hassasiyetini koruyor</w:t>
      </w:r>
      <w:r w:rsidR="00513FF4" w:rsidRPr="00705CC0">
        <w:rPr>
          <w:rFonts w:asciiTheme="majorHAnsi" w:hAnsiTheme="majorHAnsi" w:cs="Arial"/>
          <w:sz w:val="22"/>
          <w:szCs w:val="22"/>
        </w:rPr>
        <w:t>” notunu (Betam Araştırma Notu 16/198)</w:t>
      </w:r>
      <w:r w:rsidR="00EA729E">
        <w:rPr>
          <w:rFonts w:asciiTheme="majorHAnsi" w:hAnsiTheme="majorHAnsi" w:cs="Arial"/>
          <w:sz w:val="22"/>
          <w:szCs w:val="22"/>
        </w:rPr>
        <w:t xml:space="preserve"> </w:t>
      </w:r>
      <w:r w:rsidR="00513FF4" w:rsidRPr="00705CC0">
        <w:rPr>
          <w:rFonts w:asciiTheme="majorHAnsi" w:hAnsiTheme="majorHAnsi" w:cs="Arial"/>
          <w:sz w:val="22"/>
          <w:szCs w:val="22"/>
        </w:rPr>
        <w:t>güncelleme ihtiyacı doğdu.</w:t>
      </w:r>
      <w:r w:rsidR="00EC0E81">
        <w:rPr>
          <w:rStyle w:val="FootnoteReference"/>
          <w:rFonts w:asciiTheme="majorHAnsi" w:hAnsiTheme="majorHAnsi" w:cs="Arial"/>
          <w:sz w:val="22"/>
          <w:szCs w:val="22"/>
        </w:rPr>
        <w:footnoteReference w:id="4"/>
      </w:r>
      <w:r w:rsidR="00513FF4" w:rsidRPr="00705CC0">
        <w:rPr>
          <w:rFonts w:asciiTheme="majorHAnsi" w:hAnsiTheme="majorHAnsi" w:cs="Arial"/>
          <w:sz w:val="22"/>
          <w:szCs w:val="22"/>
        </w:rPr>
        <w:t xml:space="preserve"> </w:t>
      </w:r>
      <w:r w:rsidR="006B6CA7" w:rsidRPr="00C2690D">
        <w:rPr>
          <w:rFonts w:asciiTheme="majorHAnsi" w:hAnsiTheme="majorHAnsi" w:cs="Arial"/>
          <w:sz w:val="22"/>
          <w:szCs w:val="22"/>
        </w:rPr>
        <w:t xml:space="preserve">Özetle belirtmek </w:t>
      </w:r>
      <w:r w:rsidR="006B6CA7" w:rsidRPr="00C2690D">
        <w:rPr>
          <w:rFonts w:asciiTheme="majorHAnsi" w:hAnsiTheme="majorHAnsi" w:cs="Arial"/>
          <w:sz w:val="22"/>
          <w:szCs w:val="22"/>
        </w:rPr>
        <w:lastRenderedPageBreak/>
        <w:t>gerekirse ekonomik büyüm</w:t>
      </w:r>
      <w:r w:rsidR="00C2690D" w:rsidRPr="00C2690D">
        <w:rPr>
          <w:rFonts w:asciiTheme="majorHAnsi" w:hAnsiTheme="majorHAnsi" w:cs="Arial"/>
          <w:sz w:val="22"/>
          <w:szCs w:val="22"/>
        </w:rPr>
        <w:t>e</w:t>
      </w:r>
      <w:r w:rsidR="006B6CA7" w:rsidRPr="00C2690D">
        <w:rPr>
          <w:rFonts w:asciiTheme="majorHAnsi" w:hAnsiTheme="majorHAnsi" w:cs="Arial"/>
          <w:sz w:val="22"/>
          <w:szCs w:val="22"/>
        </w:rPr>
        <w:t xml:space="preserve"> oranları büyük ölçüde yukarı revize edilirken istihdam artış oranlarının değişmemesi kişi başı gelire emek verimlilik katkısını yükseltti. Bu bağlamda Orta Gelir Tuzağı sorunu da yeniden değerlendirilmek </w:t>
      </w:r>
      <w:r w:rsidR="00F55128" w:rsidRPr="00C2690D">
        <w:rPr>
          <w:rFonts w:asciiTheme="majorHAnsi" w:hAnsiTheme="majorHAnsi" w:cs="Arial"/>
          <w:sz w:val="22"/>
          <w:szCs w:val="22"/>
        </w:rPr>
        <w:t>gereği ortaya çıkıyor.</w:t>
      </w:r>
    </w:p>
    <w:p w:rsidR="00D47B52" w:rsidRPr="00B4545B" w:rsidRDefault="00F55128" w:rsidP="0027354C">
      <w:pPr>
        <w:spacing w:line="360" w:lineRule="auto"/>
        <w:jc w:val="both"/>
        <w:rPr>
          <w:rFonts w:asciiTheme="majorHAnsi" w:hAnsiTheme="majorHAnsi" w:cs="Arial"/>
          <w:sz w:val="22"/>
          <w:szCs w:val="22"/>
        </w:rPr>
      </w:pPr>
      <w:r w:rsidRPr="00C2690D">
        <w:rPr>
          <w:rFonts w:asciiTheme="majorHAnsi" w:hAnsiTheme="majorHAnsi" w:cs="Arial"/>
          <w:sz w:val="22"/>
          <w:szCs w:val="22"/>
        </w:rPr>
        <w:t>Önceki notlarda kullandığımız ayrıştırma yöntemini koruyarak</w:t>
      </w:r>
      <w:r>
        <w:rPr>
          <w:rFonts w:asciiTheme="majorHAnsi" w:hAnsiTheme="majorHAnsi" w:cs="Arial"/>
          <w:sz w:val="22"/>
          <w:szCs w:val="22"/>
        </w:rPr>
        <w:t xml:space="preserve"> y</w:t>
      </w:r>
      <w:r w:rsidR="00513FF4" w:rsidRPr="00705CC0">
        <w:rPr>
          <w:rFonts w:asciiTheme="majorHAnsi" w:hAnsiTheme="majorHAnsi" w:cs="Arial"/>
          <w:sz w:val="22"/>
          <w:szCs w:val="22"/>
        </w:rPr>
        <w:t xml:space="preserve">eni milli gelir serileri ile hesapladığımız kişi başı gelir artışında emek verimliliğinin katkısını </w:t>
      </w:r>
      <w:r w:rsidR="00624EBE" w:rsidRPr="00705CC0">
        <w:rPr>
          <w:rFonts w:asciiTheme="majorHAnsi" w:hAnsiTheme="majorHAnsi" w:cs="Arial"/>
          <w:sz w:val="22"/>
          <w:szCs w:val="22"/>
        </w:rPr>
        <w:t xml:space="preserve">2005(4)-2017(1) döneminde </w:t>
      </w:r>
      <w:r w:rsidR="00513FF4" w:rsidRPr="00705CC0">
        <w:rPr>
          <w:rFonts w:asciiTheme="majorHAnsi" w:hAnsiTheme="majorHAnsi" w:cs="Arial"/>
          <w:sz w:val="22"/>
          <w:szCs w:val="22"/>
        </w:rPr>
        <w:t>kişi başı gelir artışını üç bileşene ayrıştır</w:t>
      </w:r>
      <w:r w:rsidR="00624EBE" w:rsidRPr="00705CC0">
        <w:rPr>
          <w:rFonts w:asciiTheme="majorHAnsi" w:hAnsiTheme="majorHAnsi" w:cs="Arial"/>
          <w:sz w:val="22"/>
          <w:szCs w:val="22"/>
        </w:rPr>
        <w:t>ıyoruz</w:t>
      </w:r>
      <w:r w:rsidR="00513FF4" w:rsidRPr="00705CC0">
        <w:rPr>
          <w:rFonts w:asciiTheme="majorHAnsi" w:hAnsiTheme="majorHAnsi" w:cs="Arial"/>
          <w:sz w:val="22"/>
          <w:szCs w:val="22"/>
        </w:rPr>
        <w:t xml:space="preserve">: 1) GSYH değişimi / İstihdam değişimi tarafından temsil edilen emek verimliliği değişimi, 2) İstihdam değişimi / Çalışabilir nüfus değişimi tarafından temsil edilen istihdam oranı değişimi, 3) Çalışabilir nüfus değişimi / toplam nüfus değişimi tarafından temsil edilen çalışabilir nüfus oranı değişimi. (Matematiksel </w:t>
      </w:r>
      <w:r w:rsidR="00624EBE" w:rsidRPr="00705CC0">
        <w:rPr>
          <w:rFonts w:asciiTheme="majorHAnsi" w:hAnsiTheme="majorHAnsi" w:cs="Arial"/>
          <w:sz w:val="22"/>
          <w:szCs w:val="22"/>
        </w:rPr>
        <w:t xml:space="preserve">açıklama </w:t>
      </w:r>
      <w:r w:rsidR="00513FF4" w:rsidRPr="00705CC0">
        <w:rPr>
          <w:rFonts w:asciiTheme="majorHAnsi" w:hAnsiTheme="majorHAnsi" w:cs="Arial"/>
          <w:sz w:val="22"/>
          <w:szCs w:val="22"/>
        </w:rPr>
        <w:t>için Bkz. Kutu 1)</w:t>
      </w:r>
    </w:p>
    <w:p w:rsidR="00AE2FAA" w:rsidRDefault="000E3FCA" w:rsidP="00502030">
      <w:pPr>
        <w:pStyle w:val="Heading3"/>
        <w:rPr>
          <w:lang w:val="tr-TR"/>
        </w:rPr>
      </w:pPr>
      <w:r w:rsidRPr="006B6CA7">
        <w:rPr>
          <w:lang w:val="tr-TR"/>
        </w:rPr>
        <w:t>E</w:t>
      </w:r>
      <w:r w:rsidR="007A4254" w:rsidRPr="006B6CA7">
        <w:rPr>
          <w:lang w:val="tr-TR"/>
        </w:rPr>
        <w:t>mek verimliliği-büyüme</w:t>
      </w:r>
      <w:r w:rsidR="007D6E1D" w:rsidRPr="006B6CA7">
        <w:rPr>
          <w:lang w:val="tr-TR"/>
        </w:rPr>
        <w:t xml:space="preserve"> performansında</w:t>
      </w:r>
      <w:r w:rsidR="00D62836" w:rsidRPr="006B6CA7">
        <w:rPr>
          <w:lang w:val="tr-TR"/>
        </w:rPr>
        <w:t xml:space="preserve"> </w:t>
      </w:r>
      <w:r w:rsidR="00F8255A" w:rsidRPr="006B6CA7">
        <w:rPr>
          <w:lang w:val="tr-TR"/>
        </w:rPr>
        <w:t>üç</w:t>
      </w:r>
      <w:r w:rsidR="00AE2FAA" w:rsidRPr="006B6CA7">
        <w:rPr>
          <w:lang w:val="tr-TR"/>
        </w:rPr>
        <w:t xml:space="preserve"> farklı dönem</w:t>
      </w:r>
    </w:p>
    <w:p w:rsidR="00EA6046" w:rsidRPr="00EA6046" w:rsidRDefault="00EA6046" w:rsidP="00EA6046"/>
    <w:p w:rsidR="0083749C" w:rsidRDefault="00631F29" w:rsidP="00705CC0">
      <w:pPr>
        <w:spacing w:line="360" w:lineRule="auto"/>
        <w:jc w:val="both"/>
        <w:rPr>
          <w:rFonts w:asciiTheme="majorHAnsi" w:hAnsiTheme="majorHAnsi" w:cs="Arial"/>
          <w:sz w:val="22"/>
          <w:szCs w:val="22"/>
        </w:rPr>
      </w:pPr>
      <w:r>
        <w:fldChar w:fldCharType="begin"/>
      </w:r>
      <w:r>
        <w:instrText xml:space="preserve"> REF _Ref463531039 \h  \* MERGEFORMAT </w:instrText>
      </w:r>
      <w:r>
        <w:fldChar w:fldCharType="separate"/>
      </w:r>
    </w:p>
    <w:p w:rsidR="0083749C" w:rsidRDefault="0083749C" w:rsidP="00705CC0">
      <w:pPr>
        <w:spacing w:line="360" w:lineRule="auto"/>
        <w:jc w:val="both"/>
        <w:rPr>
          <w:rFonts w:asciiTheme="majorHAnsi" w:hAnsiTheme="majorHAnsi" w:cs="Arial"/>
          <w:sz w:val="22"/>
          <w:szCs w:val="22"/>
        </w:rPr>
      </w:pPr>
      <w:r>
        <w:rPr>
          <w:rFonts w:asciiTheme="majorHAnsi" w:hAnsiTheme="majorHAnsi" w:cs="Arial"/>
          <w:sz w:val="22"/>
          <w:szCs w:val="22"/>
        </w:rPr>
        <w:tab/>
        <w:t>i</w:t>
      </w:r>
      <w:r w:rsidRPr="00705CC0">
        <w:rPr>
          <w:rFonts w:asciiTheme="majorHAnsi" w:hAnsiTheme="majorHAnsi" w:cs="Arial"/>
          <w:sz w:val="22"/>
          <w:szCs w:val="22"/>
        </w:rPr>
        <w:t xml:space="preserve">) 2005’in son çeyreğinden 2008’in ilk yarısını kapsayan sürede emek verimliliği artışlarının sürüklediği yüksek büyüme dönemi, </w:t>
      </w:r>
    </w:p>
    <w:p w:rsidR="0083749C" w:rsidRDefault="0083749C" w:rsidP="00705CC0">
      <w:pPr>
        <w:spacing w:line="360" w:lineRule="auto"/>
        <w:jc w:val="both"/>
        <w:rPr>
          <w:rFonts w:asciiTheme="majorHAnsi" w:hAnsiTheme="majorHAnsi" w:cs="Arial"/>
          <w:sz w:val="22"/>
          <w:szCs w:val="22"/>
        </w:rPr>
      </w:pPr>
      <w:r>
        <w:rPr>
          <w:rFonts w:asciiTheme="majorHAnsi" w:hAnsiTheme="majorHAnsi" w:cs="Arial"/>
          <w:sz w:val="22"/>
          <w:szCs w:val="22"/>
        </w:rPr>
        <w:tab/>
        <w:t>ii</w:t>
      </w:r>
      <w:r w:rsidRPr="00705CC0">
        <w:rPr>
          <w:rFonts w:asciiTheme="majorHAnsi" w:hAnsiTheme="majorHAnsi" w:cs="Arial"/>
          <w:sz w:val="22"/>
          <w:szCs w:val="22"/>
        </w:rPr>
        <w:t>) 2009</w:t>
      </w:r>
      <w:r>
        <w:rPr>
          <w:rFonts w:asciiTheme="majorHAnsi" w:hAnsiTheme="majorHAnsi" w:cs="Arial"/>
          <w:sz w:val="22"/>
          <w:szCs w:val="22"/>
        </w:rPr>
        <w:t xml:space="preserve"> </w:t>
      </w:r>
      <w:r w:rsidRPr="00705CC0">
        <w:rPr>
          <w:rFonts w:asciiTheme="majorHAnsi" w:hAnsiTheme="majorHAnsi" w:cs="Arial"/>
          <w:sz w:val="22"/>
          <w:szCs w:val="22"/>
        </w:rPr>
        <w:t>son çeyreğinden 2013’ün son çeyreğine kadar süren</w:t>
      </w:r>
      <w:r>
        <w:rPr>
          <w:rFonts w:asciiTheme="majorHAnsi" w:hAnsiTheme="majorHAnsi" w:cs="Arial"/>
          <w:sz w:val="22"/>
          <w:szCs w:val="22"/>
        </w:rPr>
        <w:t xml:space="preserve"> </w:t>
      </w:r>
      <w:r w:rsidRPr="00705CC0">
        <w:rPr>
          <w:rFonts w:asciiTheme="majorHAnsi" w:hAnsiTheme="majorHAnsi" w:cs="Arial"/>
          <w:sz w:val="22"/>
          <w:szCs w:val="22"/>
        </w:rPr>
        <w:t xml:space="preserve">kriz sonrası hızlı büyüme ve artan emek verimliliği dönemi, </w:t>
      </w:r>
    </w:p>
    <w:p w:rsidR="0083749C" w:rsidRPr="00621A2F" w:rsidRDefault="0083749C" w:rsidP="00621A2F">
      <w:pPr>
        <w:spacing w:line="360" w:lineRule="auto"/>
        <w:jc w:val="both"/>
        <w:rPr>
          <w:rFonts w:asciiTheme="majorHAnsi" w:hAnsiTheme="majorHAnsi" w:cs="Arial"/>
          <w:sz w:val="22"/>
          <w:szCs w:val="22"/>
        </w:rPr>
      </w:pPr>
      <w:r>
        <w:rPr>
          <w:rFonts w:asciiTheme="majorHAnsi" w:hAnsiTheme="majorHAnsi" w:cs="Arial"/>
          <w:sz w:val="22"/>
          <w:szCs w:val="22"/>
        </w:rPr>
        <w:tab/>
        <w:t>iii</w:t>
      </w:r>
      <w:r w:rsidRPr="00705CC0">
        <w:rPr>
          <w:rFonts w:asciiTheme="majorHAnsi" w:hAnsiTheme="majorHAnsi" w:cs="Arial"/>
          <w:sz w:val="22"/>
          <w:szCs w:val="22"/>
        </w:rPr>
        <w:t>) 2014</w:t>
      </w:r>
      <w:r>
        <w:rPr>
          <w:rFonts w:asciiTheme="majorHAnsi" w:hAnsiTheme="majorHAnsi" w:cs="Arial"/>
          <w:sz w:val="22"/>
          <w:szCs w:val="22"/>
        </w:rPr>
        <w:t xml:space="preserve"> </w:t>
      </w:r>
      <w:r w:rsidRPr="00705CC0">
        <w:rPr>
          <w:rFonts w:asciiTheme="majorHAnsi" w:hAnsiTheme="majorHAnsi" w:cs="Arial"/>
          <w:sz w:val="22"/>
          <w:szCs w:val="22"/>
        </w:rPr>
        <w:t>yılı itibariyle büyümenin devam ettiği fakat emek verimliliği artışının duraksadığı dönem.</w:t>
      </w:r>
    </w:p>
    <w:p w:rsidR="0083749C" w:rsidRPr="00705CC0" w:rsidRDefault="0083749C" w:rsidP="00705CC0">
      <w:pPr>
        <w:spacing w:line="360" w:lineRule="auto"/>
        <w:jc w:val="both"/>
        <w:rPr>
          <w:rFonts w:asciiTheme="majorHAnsi" w:hAnsiTheme="majorHAnsi" w:cs="Arial"/>
          <w:sz w:val="22"/>
          <w:szCs w:val="22"/>
        </w:rPr>
      </w:pPr>
    </w:p>
    <w:p w:rsidR="00E846DA" w:rsidRDefault="0083749C" w:rsidP="0027354C">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Şekil </w:t>
      </w:r>
      <w:r>
        <w:rPr>
          <w:rFonts w:asciiTheme="majorHAnsi" w:hAnsiTheme="majorHAnsi" w:cs="Arial"/>
          <w:bCs/>
          <w:noProof/>
          <w:sz w:val="22"/>
          <w:szCs w:val="22"/>
        </w:rPr>
        <w:t>1</w:t>
      </w:r>
      <w:r w:rsidR="00631F29">
        <w:fldChar w:fldCharType="end"/>
      </w:r>
      <w:r w:rsidR="00D62836" w:rsidRPr="00705CC0">
        <w:rPr>
          <w:rFonts w:asciiTheme="majorHAnsi" w:hAnsiTheme="majorHAnsi" w:cs="Arial"/>
          <w:sz w:val="22"/>
          <w:szCs w:val="22"/>
        </w:rPr>
        <w:t xml:space="preserve">, </w:t>
      </w:r>
      <w:r w:rsidR="00631F29">
        <w:fldChar w:fldCharType="begin"/>
      </w:r>
      <w:r w:rsidR="00631F29">
        <w:instrText xml:space="preserve"> REF _Ref463531047 \h  \* MERGEFORMAT </w:instrText>
      </w:r>
      <w:r w:rsidR="00631F29">
        <w:fldChar w:fldCharType="separate"/>
      </w:r>
      <w:r w:rsidRPr="0083749C">
        <w:rPr>
          <w:rFonts w:asciiTheme="majorHAnsi" w:hAnsiTheme="majorHAnsi" w:cs="Arial"/>
          <w:sz w:val="22"/>
          <w:szCs w:val="22"/>
        </w:rPr>
        <w:t>Şekil 2</w:t>
      </w:r>
      <w:r w:rsidR="00631F29">
        <w:fldChar w:fldCharType="end"/>
      </w:r>
      <w:r w:rsidR="00D62836" w:rsidRPr="00705CC0">
        <w:rPr>
          <w:rFonts w:asciiTheme="majorHAnsi" w:hAnsiTheme="majorHAnsi" w:cs="Arial"/>
          <w:sz w:val="22"/>
          <w:szCs w:val="22"/>
        </w:rPr>
        <w:t xml:space="preserve"> ve </w:t>
      </w:r>
      <w:r w:rsidR="00121492">
        <w:rPr>
          <w:rFonts w:asciiTheme="majorHAnsi" w:hAnsiTheme="majorHAnsi" w:cs="Arial"/>
          <w:sz w:val="22"/>
          <w:szCs w:val="22"/>
        </w:rPr>
        <w:t>Ek Tablo 1</w:t>
      </w:r>
      <w:r w:rsidR="00D62836" w:rsidRPr="00705CC0">
        <w:rPr>
          <w:rFonts w:asciiTheme="majorHAnsi" w:hAnsiTheme="majorHAnsi" w:cs="Arial"/>
          <w:sz w:val="22"/>
          <w:szCs w:val="22"/>
        </w:rPr>
        <w:t xml:space="preserve">'de bu üç bileşenin seyri verilmektedir. </w:t>
      </w:r>
      <w:r w:rsidR="00AE2FAA" w:rsidRPr="00705CC0">
        <w:rPr>
          <w:rFonts w:asciiTheme="majorHAnsi" w:hAnsiTheme="majorHAnsi" w:cs="Arial"/>
          <w:sz w:val="22"/>
          <w:szCs w:val="22"/>
        </w:rPr>
        <w:t xml:space="preserve">Çalışabilir nüfusun </w:t>
      </w:r>
      <w:r w:rsidR="00A11F08" w:rsidRPr="00705CC0">
        <w:rPr>
          <w:rFonts w:asciiTheme="majorHAnsi" w:hAnsiTheme="majorHAnsi" w:cs="Arial"/>
          <w:sz w:val="22"/>
          <w:szCs w:val="22"/>
        </w:rPr>
        <w:t>oranının kişi başına gelir artışına katkısı istikrarlı bir şekilde pozitif ama aynı zamanda oldukça sınırlı</w:t>
      </w:r>
      <w:r w:rsidR="00607DDE" w:rsidRPr="00705CC0">
        <w:rPr>
          <w:rFonts w:asciiTheme="majorHAnsi" w:hAnsiTheme="majorHAnsi" w:cs="Arial"/>
          <w:sz w:val="22"/>
          <w:szCs w:val="22"/>
        </w:rPr>
        <w:t xml:space="preserve"> olduğunu görüyoruz</w:t>
      </w:r>
      <w:r w:rsidR="00D62836" w:rsidRPr="00705CC0">
        <w:rPr>
          <w:rFonts w:asciiTheme="majorHAnsi" w:hAnsiTheme="majorHAnsi" w:cs="Arial"/>
          <w:sz w:val="22"/>
          <w:szCs w:val="22"/>
        </w:rPr>
        <w:t xml:space="preserve">. </w:t>
      </w:r>
      <w:r w:rsidR="00A11F08" w:rsidRPr="00705CC0">
        <w:rPr>
          <w:rFonts w:asciiTheme="majorHAnsi" w:hAnsiTheme="majorHAnsi" w:cs="Arial"/>
          <w:sz w:val="22"/>
          <w:szCs w:val="22"/>
        </w:rPr>
        <w:t>Mevcut nüfus dinamikleri itibariyle Türkiye</w:t>
      </w:r>
      <w:r w:rsidR="00C36EAD" w:rsidRPr="00705CC0">
        <w:rPr>
          <w:rFonts w:asciiTheme="majorHAnsi" w:hAnsiTheme="majorHAnsi" w:cs="Arial"/>
          <w:sz w:val="22"/>
          <w:szCs w:val="22"/>
        </w:rPr>
        <w:t xml:space="preserve"> ekonomisinde bu yapısal özelliğin</w:t>
      </w:r>
      <w:r w:rsidR="00A11F08" w:rsidRPr="00705CC0">
        <w:rPr>
          <w:rFonts w:asciiTheme="majorHAnsi" w:hAnsiTheme="majorHAnsi" w:cs="Arial"/>
          <w:sz w:val="22"/>
          <w:szCs w:val="22"/>
        </w:rPr>
        <w:t xml:space="preserve"> yaklaşık 20 yıl kadar daha azalarak devam </w:t>
      </w:r>
      <w:r w:rsidR="00C36EAD" w:rsidRPr="00705CC0">
        <w:rPr>
          <w:rFonts w:asciiTheme="majorHAnsi" w:hAnsiTheme="majorHAnsi" w:cs="Arial"/>
          <w:sz w:val="22"/>
          <w:szCs w:val="22"/>
        </w:rPr>
        <w:t>etmesi beklenmektedir</w:t>
      </w:r>
      <w:r w:rsidR="00A11F08" w:rsidRPr="00705CC0">
        <w:rPr>
          <w:rFonts w:asciiTheme="majorHAnsi" w:hAnsiTheme="majorHAnsi" w:cs="Arial"/>
          <w:sz w:val="22"/>
          <w:szCs w:val="22"/>
        </w:rPr>
        <w:t xml:space="preserve">. </w:t>
      </w:r>
      <w:r w:rsidR="00B87116" w:rsidRPr="00705CC0">
        <w:rPr>
          <w:rFonts w:asciiTheme="majorHAnsi" w:hAnsiTheme="majorHAnsi" w:cs="Arial"/>
          <w:sz w:val="22"/>
          <w:szCs w:val="22"/>
        </w:rPr>
        <w:t xml:space="preserve">İstihdam oranının artışı hanelerde ortalama çalışan sayısının artması olarak düşünülebilir. </w:t>
      </w:r>
      <w:r w:rsidR="00AE2FAA" w:rsidRPr="00705CC0">
        <w:rPr>
          <w:rFonts w:asciiTheme="majorHAnsi" w:hAnsiTheme="majorHAnsi" w:cs="Arial"/>
          <w:sz w:val="22"/>
          <w:szCs w:val="22"/>
        </w:rPr>
        <w:t>İstihdam oranının</w:t>
      </w:r>
      <w:r w:rsidR="00607DDE" w:rsidRPr="00705CC0">
        <w:rPr>
          <w:rFonts w:asciiTheme="majorHAnsi" w:hAnsiTheme="majorHAnsi" w:cs="Arial"/>
          <w:sz w:val="22"/>
          <w:szCs w:val="22"/>
        </w:rPr>
        <w:t xml:space="preserve"> kişi başına gelir artışına katkısı çalışabilir nüfusun katkısına kıyasla daha yüksek olmakla birlikte </w:t>
      </w:r>
      <w:r w:rsidR="00B87116" w:rsidRPr="00705CC0">
        <w:rPr>
          <w:rFonts w:asciiTheme="majorHAnsi" w:hAnsiTheme="majorHAnsi" w:cs="Arial"/>
          <w:sz w:val="22"/>
          <w:szCs w:val="22"/>
        </w:rPr>
        <w:t xml:space="preserve">hem </w:t>
      </w:r>
      <w:r w:rsidR="00607DDE" w:rsidRPr="00705CC0">
        <w:rPr>
          <w:rFonts w:asciiTheme="majorHAnsi" w:hAnsiTheme="majorHAnsi" w:cs="Arial"/>
          <w:sz w:val="22"/>
          <w:szCs w:val="22"/>
        </w:rPr>
        <w:t>yeterince yüksek değildir</w:t>
      </w:r>
      <w:r w:rsidR="00B87116" w:rsidRPr="00705CC0">
        <w:rPr>
          <w:rFonts w:asciiTheme="majorHAnsi" w:hAnsiTheme="majorHAnsi" w:cs="Arial"/>
          <w:sz w:val="22"/>
          <w:szCs w:val="22"/>
        </w:rPr>
        <w:t xml:space="preserve"> hem de </w:t>
      </w:r>
      <w:r w:rsidR="00D62836" w:rsidRPr="00705CC0">
        <w:rPr>
          <w:rFonts w:asciiTheme="majorHAnsi" w:hAnsiTheme="majorHAnsi" w:cs="Arial"/>
          <w:sz w:val="22"/>
          <w:szCs w:val="22"/>
        </w:rPr>
        <w:t>tanımı gereği kentleşme ve yapısal dönüşüm ile u</w:t>
      </w:r>
      <w:r w:rsidR="00B87116" w:rsidRPr="00705CC0">
        <w:rPr>
          <w:rFonts w:asciiTheme="majorHAnsi" w:hAnsiTheme="majorHAnsi" w:cs="Arial"/>
          <w:sz w:val="22"/>
          <w:szCs w:val="22"/>
        </w:rPr>
        <w:t>zun vade</w:t>
      </w:r>
      <w:r w:rsidR="00D62836" w:rsidRPr="00705CC0">
        <w:rPr>
          <w:rFonts w:asciiTheme="majorHAnsi" w:hAnsiTheme="majorHAnsi" w:cs="Arial"/>
          <w:sz w:val="22"/>
          <w:szCs w:val="22"/>
        </w:rPr>
        <w:t xml:space="preserve">de katkısının azalması beklenmelidir. </w:t>
      </w:r>
    </w:p>
    <w:p w:rsidR="00AE2FAA" w:rsidRPr="00705CC0" w:rsidRDefault="00D62836" w:rsidP="0027354C">
      <w:pPr>
        <w:spacing w:line="360" w:lineRule="auto"/>
        <w:jc w:val="both"/>
        <w:rPr>
          <w:rFonts w:asciiTheme="majorHAnsi" w:hAnsiTheme="majorHAnsi" w:cs="Arial"/>
          <w:sz w:val="22"/>
          <w:szCs w:val="22"/>
        </w:rPr>
      </w:pPr>
      <w:r w:rsidRPr="00705CC0">
        <w:rPr>
          <w:rFonts w:asciiTheme="majorHAnsi" w:hAnsiTheme="majorHAnsi" w:cs="Arial"/>
          <w:sz w:val="22"/>
          <w:szCs w:val="22"/>
        </w:rPr>
        <w:t>Emek verimliliğinin katkısı diğer</w:t>
      </w:r>
      <w:r w:rsidR="00705CC0" w:rsidRPr="00705CC0">
        <w:rPr>
          <w:rFonts w:asciiTheme="majorHAnsi" w:hAnsiTheme="majorHAnsi" w:cs="Arial"/>
          <w:sz w:val="22"/>
          <w:szCs w:val="22"/>
        </w:rPr>
        <w:t xml:space="preserve"> iki bileşene göre daha yüksektir. </w:t>
      </w:r>
      <w:r w:rsidRPr="00705CC0">
        <w:rPr>
          <w:rFonts w:asciiTheme="majorHAnsi" w:hAnsiTheme="majorHAnsi" w:cs="Arial"/>
          <w:sz w:val="22"/>
          <w:szCs w:val="22"/>
        </w:rPr>
        <w:t>K</w:t>
      </w:r>
      <w:r w:rsidR="00A11F08" w:rsidRPr="00705CC0">
        <w:rPr>
          <w:rFonts w:asciiTheme="majorHAnsi" w:hAnsiTheme="majorHAnsi" w:cs="Arial"/>
          <w:sz w:val="22"/>
          <w:szCs w:val="22"/>
        </w:rPr>
        <w:t xml:space="preserve">işi başına gelir artışlarının güçlü bir şekilde devam ederek Türkiye’nin yüksek gelir grubuna dahil olabilmesi için, diğer ifadeyle </w:t>
      </w:r>
      <w:r w:rsidR="00AE2FAA" w:rsidRPr="00705CC0">
        <w:rPr>
          <w:rFonts w:asciiTheme="majorHAnsi" w:hAnsiTheme="majorHAnsi" w:cs="Arial"/>
          <w:sz w:val="22"/>
          <w:szCs w:val="22"/>
        </w:rPr>
        <w:t>Orta Gelir Tuzağın</w:t>
      </w:r>
      <w:r w:rsidR="00A11F08" w:rsidRPr="00705CC0">
        <w:rPr>
          <w:rFonts w:asciiTheme="majorHAnsi" w:hAnsiTheme="majorHAnsi" w:cs="Arial"/>
          <w:sz w:val="22"/>
          <w:szCs w:val="22"/>
        </w:rPr>
        <w:t xml:space="preserve">dan </w:t>
      </w:r>
      <w:r w:rsidR="00BF4E3A" w:rsidRPr="00705CC0">
        <w:rPr>
          <w:rFonts w:asciiTheme="majorHAnsi" w:hAnsiTheme="majorHAnsi" w:cs="Arial"/>
          <w:sz w:val="22"/>
          <w:szCs w:val="22"/>
        </w:rPr>
        <w:t>kurtulmak</w:t>
      </w:r>
      <w:r w:rsidR="00A11F08" w:rsidRPr="00705CC0">
        <w:rPr>
          <w:rFonts w:asciiTheme="majorHAnsi" w:hAnsiTheme="majorHAnsi" w:cs="Arial"/>
          <w:sz w:val="22"/>
          <w:szCs w:val="22"/>
        </w:rPr>
        <w:t xml:space="preserve"> için</w:t>
      </w:r>
      <w:r w:rsidR="00AE2FAA" w:rsidRPr="00705CC0">
        <w:rPr>
          <w:rFonts w:asciiTheme="majorHAnsi" w:hAnsiTheme="majorHAnsi" w:cs="Arial"/>
          <w:sz w:val="22"/>
          <w:szCs w:val="22"/>
        </w:rPr>
        <w:t xml:space="preserve"> esas etken emek verimliliğidir. Bu verimli</w:t>
      </w:r>
      <w:r w:rsidR="008610B3" w:rsidRPr="00705CC0">
        <w:rPr>
          <w:rFonts w:asciiTheme="majorHAnsi" w:hAnsiTheme="majorHAnsi" w:cs="Arial"/>
          <w:sz w:val="22"/>
          <w:szCs w:val="22"/>
        </w:rPr>
        <w:t>li</w:t>
      </w:r>
      <w:r w:rsidR="00AE2FAA" w:rsidRPr="00705CC0">
        <w:rPr>
          <w:rFonts w:asciiTheme="majorHAnsi" w:hAnsiTheme="majorHAnsi" w:cs="Arial"/>
          <w:sz w:val="22"/>
          <w:szCs w:val="22"/>
        </w:rPr>
        <w:t xml:space="preserve">ğin ardında, </w:t>
      </w:r>
      <w:r w:rsidRPr="00705CC0">
        <w:rPr>
          <w:rFonts w:asciiTheme="majorHAnsi" w:hAnsiTheme="majorHAnsi" w:cs="Arial"/>
          <w:sz w:val="22"/>
          <w:szCs w:val="22"/>
        </w:rPr>
        <w:t xml:space="preserve">bir yandan </w:t>
      </w:r>
      <w:r w:rsidR="00AE2FAA" w:rsidRPr="00705CC0">
        <w:rPr>
          <w:rFonts w:asciiTheme="majorHAnsi" w:hAnsiTheme="majorHAnsi" w:cs="Arial"/>
          <w:sz w:val="22"/>
          <w:szCs w:val="22"/>
        </w:rPr>
        <w:t xml:space="preserve">yatırımların teknolojik ilerleme içermesi, çalışanların eğitim ve beceri düzeylerinin </w:t>
      </w:r>
      <w:r w:rsidR="00A11F08" w:rsidRPr="00705CC0">
        <w:rPr>
          <w:rFonts w:asciiTheme="majorHAnsi" w:hAnsiTheme="majorHAnsi" w:cs="Arial"/>
          <w:sz w:val="22"/>
          <w:szCs w:val="22"/>
        </w:rPr>
        <w:t>iyileşmesi</w:t>
      </w:r>
      <w:r w:rsidR="00AE2FAA" w:rsidRPr="00705CC0">
        <w:rPr>
          <w:rFonts w:asciiTheme="majorHAnsi" w:hAnsiTheme="majorHAnsi" w:cs="Arial"/>
          <w:sz w:val="22"/>
          <w:szCs w:val="22"/>
        </w:rPr>
        <w:t xml:space="preserve">, </w:t>
      </w:r>
      <w:r w:rsidRPr="00705CC0">
        <w:rPr>
          <w:rFonts w:asciiTheme="majorHAnsi" w:hAnsiTheme="majorHAnsi" w:cs="Arial"/>
          <w:sz w:val="22"/>
          <w:szCs w:val="22"/>
        </w:rPr>
        <w:t>diğer yandan genel olarak</w:t>
      </w:r>
      <w:r w:rsidR="00AE2FAA" w:rsidRPr="00705CC0">
        <w:rPr>
          <w:rFonts w:asciiTheme="majorHAnsi" w:hAnsiTheme="majorHAnsi" w:cs="Arial"/>
          <w:sz w:val="22"/>
          <w:szCs w:val="22"/>
        </w:rPr>
        <w:t xml:space="preserve"> ekonominin çarklarının daha etkin şekilde dönmesi (ekonomik yönetimin ve kurumların etkinliğinin artması) bulunmaktadır.</w:t>
      </w:r>
    </w:p>
    <w:p w:rsidR="0083749C" w:rsidRDefault="00006AF6" w:rsidP="00705CC0">
      <w:pPr>
        <w:spacing w:line="360" w:lineRule="auto"/>
        <w:jc w:val="both"/>
        <w:rPr>
          <w:rFonts w:asciiTheme="majorHAnsi" w:hAnsiTheme="majorHAnsi" w:cs="Arial"/>
          <w:sz w:val="22"/>
          <w:szCs w:val="22"/>
        </w:rPr>
      </w:pPr>
      <w:r w:rsidRPr="00705CC0">
        <w:rPr>
          <w:rFonts w:asciiTheme="majorHAnsi" w:hAnsiTheme="majorHAnsi" w:cs="Arial"/>
          <w:sz w:val="22"/>
          <w:szCs w:val="22"/>
        </w:rPr>
        <w:t>2005(</w:t>
      </w:r>
      <w:r w:rsidR="003E0B22" w:rsidRPr="00705CC0">
        <w:rPr>
          <w:rFonts w:asciiTheme="majorHAnsi" w:hAnsiTheme="majorHAnsi" w:cs="Arial"/>
          <w:sz w:val="22"/>
          <w:szCs w:val="22"/>
        </w:rPr>
        <w:t>4</w:t>
      </w:r>
      <w:r w:rsidR="004671BA" w:rsidRPr="00705CC0">
        <w:rPr>
          <w:rFonts w:asciiTheme="majorHAnsi" w:hAnsiTheme="majorHAnsi" w:cs="Arial"/>
          <w:sz w:val="22"/>
          <w:szCs w:val="22"/>
        </w:rPr>
        <w:t>)-2017</w:t>
      </w:r>
      <w:r w:rsidRPr="00705CC0">
        <w:rPr>
          <w:rFonts w:asciiTheme="majorHAnsi" w:hAnsiTheme="majorHAnsi" w:cs="Arial"/>
          <w:sz w:val="22"/>
          <w:szCs w:val="22"/>
        </w:rPr>
        <w:t>(1) dönemi</w:t>
      </w:r>
      <w:r w:rsidR="00705CC0" w:rsidRPr="00705CC0">
        <w:rPr>
          <w:rFonts w:asciiTheme="majorHAnsi" w:hAnsiTheme="majorHAnsi" w:cs="Arial"/>
          <w:sz w:val="22"/>
          <w:szCs w:val="22"/>
        </w:rPr>
        <w:t xml:space="preserve"> k</w:t>
      </w:r>
      <w:r w:rsidRPr="00705CC0">
        <w:rPr>
          <w:rFonts w:asciiTheme="majorHAnsi" w:hAnsiTheme="majorHAnsi" w:cs="Arial"/>
          <w:sz w:val="22"/>
          <w:szCs w:val="22"/>
        </w:rPr>
        <w:t>işi başı gelir değişimleri</w:t>
      </w:r>
      <w:r w:rsidR="00705CC0" w:rsidRPr="00705CC0">
        <w:rPr>
          <w:rFonts w:asciiTheme="majorHAnsi" w:hAnsiTheme="majorHAnsi" w:cs="Arial"/>
          <w:sz w:val="22"/>
          <w:szCs w:val="22"/>
        </w:rPr>
        <w:t>ni</w:t>
      </w:r>
      <w:r w:rsidR="00593FF1" w:rsidRPr="00705CC0">
        <w:rPr>
          <w:rFonts w:asciiTheme="majorHAnsi" w:hAnsiTheme="majorHAnsi" w:cs="Arial"/>
          <w:sz w:val="22"/>
          <w:szCs w:val="22"/>
        </w:rPr>
        <w:t xml:space="preserve"> ve bu değişimlerin</w:t>
      </w:r>
      <w:r w:rsidRPr="00705CC0">
        <w:rPr>
          <w:rFonts w:asciiTheme="majorHAnsi" w:hAnsiTheme="majorHAnsi" w:cs="Arial"/>
          <w:sz w:val="22"/>
          <w:szCs w:val="22"/>
        </w:rPr>
        <w:t xml:space="preserve"> yukarıda tanımlanan üç bileşene ayrılması</w:t>
      </w:r>
      <w:r w:rsidR="00705CC0" w:rsidRPr="00705CC0">
        <w:rPr>
          <w:rFonts w:asciiTheme="majorHAnsi" w:hAnsiTheme="majorHAnsi" w:cs="Arial"/>
          <w:sz w:val="22"/>
          <w:szCs w:val="22"/>
        </w:rPr>
        <w:t xml:space="preserve"> bakımından üç alt dönem olarak ele alınabilir (Bkz. </w:t>
      </w:r>
      <w:r w:rsidRPr="00705CC0">
        <w:rPr>
          <w:rFonts w:asciiTheme="majorHAnsi" w:hAnsiTheme="majorHAnsi" w:cs="Arial"/>
          <w:sz w:val="22"/>
          <w:szCs w:val="22"/>
        </w:rPr>
        <w:t>Şekil 1</w:t>
      </w:r>
      <w:r w:rsidR="00E9234C" w:rsidRPr="00705CC0">
        <w:rPr>
          <w:rFonts w:asciiTheme="majorHAnsi" w:hAnsiTheme="majorHAnsi" w:cs="Arial"/>
          <w:sz w:val="22"/>
          <w:szCs w:val="22"/>
        </w:rPr>
        <w:t xml:space="preserve"> ve 2</w:t>
      </w:r>
      <w:r w:rsidR="00705CC0" w:rsidRPr="00705CC0">
        <w:rPr>
          <w:rFonts w:asciiTheme="majorHAnsi" w:hAnsiTheme="majorHAnsi" w:cs="Arial"/>
          <w:sz w:val="22"/>
          <w:szCs w:val="22"/>
        </w:rPr>
        <w:t xml:space="preserve">). </w:t>
      </w:r>
      <w:r w:rsidR="00593FF1" w:rsidRPr="00705CC0">
        <w:rPr>
          <w:rFonts w:asciiTheme="majorHAnsi" w:hAnsiTheme="majorHAnsi" w:cs="Arial"/>
          <w:sz w:val="22"/>
          <w:szCs w:val="22"/>
        </w:rPr>
        <w:t xml:space="preserve">Alt dönemleri </w:t>
      </w:r>
      <w:r w:rsidR="00593FF1" w:rsidRPr="00705CC0">
        <w:rPr>
          <w:rFonts w:asciiTheme="majorHAnsi" w:hAnsiTheme="majorHAnsi" w:cs="Arial"/>
          <w:sz w:val="22"/>
          <w:szCs w:val="22"/>
        </w:rPr>
        <w:lastRenderedPageBreak/>
        <w:t>belirginleştirmek amacıyla dikkate alınan dört değişken</w:t>
      </w:r>
      <w:r w:rsidR="00E846DA" w:rsidRPr="00621A2F">
        <w:rPr>
          <w:rFonts w:asciiTheme="majorHAnsi" w:hAnsiTheme="majorHAnsi" w:cs="Arial"/>
          <w:sz w:val="22"/>
          <w:szCs w:val="22"/>
        </w:rPr>
        <w:t>in</w:t>
      </w:r>
      <w:r w:rsidR="00593FF1" w:rsidRPr="00705CC0">
        <w:rPr>
          <w:rFonts w:asciiTheme="majorHAnsi" w:hAnsiTheme="majorHAnsi" w:cs="Arial"/>
          <w:sz w:val="22"/>
          <w:szCs w:val="22"/>
        </w:rPr>
        <w:t xml:space="preserve"> (kişi başı GSYH, emek verimliliği, istihdam oranı ve çalışabilir nüfus oranı) </w:t>
      </w:r>
      <w:r w:rsidR="00BF4E3A" w:rsidRPr="00705CC0">
        <w:rPr>
          <w:rFonts w:asciiTheme="majorHAnsi" w:hAnsiTheme="majorHAnsi" w:cs="Arial"/>
          <w:sz w:val="22"/>
          <w:szCs w:val="22"/>
        </w:rPr>
        <w:t xml:space="preserve">önce </w:t>
      </w:r>
      <w:r w:rsidR="00845835" w:rsidRPr="00705CC0">
        <w:rPr>
          <w:rFonts w:asciiTheme="majorHAnsi" w:hAnsiTheme="majorHAnsi" w:cs="Arial"/>
          <w:sz w:val="22"/>
          <w:szCs w:val="22"/>
        </w:rPr>
        <w:t xml:space="preserve">hareketli </w:t>
      </w:r>
      <w:r w:rsidR="00593FF1" w:rsidRPr="00705CC0">
        <w:rPr>
          <w:rFonts w:asciiTheme="majorHAnsi" w:hAnsiTheme="majorHAnsi" w:cs="Arial"/>
          <w:sz w:val="22"/>
          <w:szCs w:val="22"/>
        </w:rPr>
        <w:t>ortalamaları hesaplan</w:t>
      </w:r>
      <w:r w:rsidR="00845835" w:rsidRPr="00705CC0">
        <w:rPr>
          <w:rFonts w:asciiTheme="majorHAnsi" w:hAnsiTheme="majorHAnsi" w:cs="Arial"/>
          <w:sz w:val="22"/>
          <w:szCs w:val="22"/>
        </w:rPr>
        <w:t>mış</w:t>
      </w:r>
      <w:r w:rsidR="00593FF1" w:rsidRPr="00705CC0">
        <w:rPr>
          <w:rStyle w:val="FootnoteReference"/>
          <w:rFonts w:asciiTheme="majorHAnsi" w:hAnsiTheme="majorHAnsi" w:cs="Arial"/>
          <w:sz w:val="22"/>
          <w:szCs w:val="22"/>
        </w:rPr>
        <w:footnoteReference w:id="5"/>
      </w:r>
      <w:r w:rsidR="00845835" w:rsidRPr="00705CC0">
        <w:rPr>
          <w:rFonts w:asciiTheme="majorHAnsi" w:hAnsiTheme="majorHAnsi" w:cs="Arial"/>
          <w:sz w:val="22"/>
          <w:szCs w:val="22"/>
        </w:rPr>
        <w:t xml:space="preserve"> ardından endekslenerek</w:t>
      </w:r>
      <w:r w:rsidR="00D62836" w:rsidRPr="00705CC0">
        <w:rPr>
          <w:rFonts w:asciiTheme="majorHAnsi" w:hAnsiTheme="majorHAnsi" w:cs="Arial"/>
          <w:sz w:val="22"/>
          <w:szCs w:val="22"/>
        </w:rPr>
        <w:t xml:space="preserve"> </w:t>
      </w:r>
      <w:r w:rsidR="00631F29">
        <w:fldChar w:fldCharType="begin"/>
      </w:r>
      <w:r w:rsidR="00631F29">
        <w:instrText xml:space="preserve"> REF _Ref463531039 \h  \* MERGEFORMAT </w:instrText>
      </w:r>
      <w:r w:rsidR="00631F29">
        <w:fldChar w:fldCharType="separate"/>
      </w:r>
    </w:p>
    <w:p w:rsidR="0083749C" w:rsidRDefault="0083749C" w:rsidP="00705CC0">
      <w:pPr>
        <w:spacing w:line="360" w:lineRule="auto"/>
        <w:jc w:val="both"/>
        <w:rPr>
          <w:rFonts w:asciiTheme="majorHAnsi" w:hAnsiTheme="majorHAnsi" w:cs="Arial"/>
          <w:sz w:val="22"/>
          <w:szCs w:val="22"/>
        </w:rPr>
      </w:pPr>
      <w:r>
        <w:rPr>
          <w:rFonts w:asciiTheme="majorHAnsi" w:hAnsiTheme="majorHAnsi" w:cs="Arial"/>
          <w:sz w:val="22"/>
          <w:szCs w:val="22"/>
        </w:rPr>
        <w:tab/>
        <w:t>i</w:t>
      </w:r>
      <w:r w:rsidRPr="00705CC0">
        <w:rPr>
          <w:rFonts w:asciiTheme="majorHAnsi" w:hAnsiTheme="majorHAnsi" w:cs="Arial"/>
          <w:sz w:val="22"/>
          <w:szCs w:val="22"/>
        </w:rPr>
        <w:t xml:space="preserve">) 2005’in son çeyreğinden 2008’in ilk yarısını kapsayan sürede emek verimliliği artışlarının sürüklediği yüksek büyüme dönemi, </w:t>
      </w:r>
    </w:p>
    <w:p w:rsidR="0083749C" w:rsidRDefault="0083749C" w:rsidP="00705CC0">
      <w:pPr>
        <w:spacing w:line="360" w:lineRule="auto"/>
        <w:jc w:val="both"/>
        <w:rPr>
          <w:rFonts w:asciiTheme="majorHAnsi" w:hAnsiTheme="majorHAnsi" w:cs="Arial"/>
          <w:sz w:val="22"/>
          <w:szCs w:val="22"/>
        </w:rPr>
      </w:pPr>
      <w:r>
        <w:rPr>
          <w:rFonts w:asciiTheme="majorHAnsi" w:hAnsiTheme="majorHAnsi" w:cs="Arial"/>
          <w:sz w:val="22"/>
          <w:szCs w:val="22"/>
        </w:rPr>
        <w:tab/>
        <w:t>ii</w:t>
      </w:r>
      <w:r w:rsidRPr="00705CC0">
        <w:rPr>
          <w:rFonts w:asciiTheme="majorHAnsi" w:hAnsiTheme="majorHAnsi" w:cs="Arial"/>
          <w:sz w:val="22"/>
          <w:szCs w:val="22"/>
        </w:rPr>
        <w:t>) 2009</w:t>
      </w:r>
      <w:r>
        <w:rPr>
          <w:rFonts w:asciiTheme="majorHAnsi" w:hAnsiTheme="majorHAnsi" w:cs="Arial"/>
          <w:sz w:val="22"/>
          <w:szCs w:val="22"/>
        </w:rPr>
        <w:t xml:space="preserve"> </w:t>
      </w:r>
      <w:r w:rsidRPr="00705CC0">
        <w:rPr>
          <w:rFonts w:asciiTheme="majorHAnsi" w:hAnsiTheme="majorHAnsi" w:cs="Arial"/>
          <w:sz w:val="22"/>
          <w:szCs w:val="22"/>
        </w:rPr>
        <w:t>son çeyreğinden 2013’ün son çeyreğine kadar süren</w:t>
      </w:r>
      <w:r>
        <w:rPr>
          <w:rFonts w:asciiTheme="majorHAnsi" w:hAnsiTheme="majorHAnsi" w:cs="Arial"/>
          <w:sz w:val="22"/>
          <w:szCs w:val="22"/>
        </w:rPr>
        <w:t xml:space="preserve"> </w:t>
      </w:r>
      <w:r w:rsidRPr="00705CC0">
        <w:rPr>
          <w:rFonts w:asciiTheme="majorHAnsi" w:hAnsiTheme="majorHAnsi" w:cs="Arial"/>
          <w:sz w:val="22"/>
          <w:szCs w:val="22"/>
        </w:rPr>
        <w:t xml:space="preserve">kriz sonrası hızlı büyüme ve artan emek verimliliği dönemi, </w:t>
      </w:r>
    </w:p>
    <w:p w:rsidR="0083749C" w:rsidRPr="00621A2F" w:rsidRDefault="0083749C" w:rsidP="00621A2F">
      <w:pPr>
        <w:spacing w:line="360" w:lineRule="auto"/>
        <w:jc w:val="both"/>
        <w:rPr>
          <w:rFonts w:asciiTheme="majorHAnsi" w:hAnsiTheme="majorHAnsi" w:cs="Arial"/>
          <w:sz w:val="22"/>
          <w:szCs w:val="22"/>
        </w:rPr>
      </w:pPr>
      <w:r>
        <w:rPr>
          <w:rFonts w:asciiTheme="majorHAnsi" w:hAnsiTheme="majorHAnsi" w:cs="Arial"/>
          <w:sz w:val="22"/>
          <w:szCs w:val="22"/>
        </w:rPr>
        <w:tab/>
        <w:t>iii</w:t>
      </w:r>
      <w:r w:rsidRPr="00705CC0">
        <w:rPr>
          <w:rFonts w:asciiTheme="majorHAnsi" w:hAnsiTheme="majorHAnsi" w:cs="Arial"/>
          <w:sz w:val="22"/>
          <w:szCs w:val="22"/>
        </w:rPr>
        <w:t>) 2014</w:t>
      </w:r>
      <w:r>
        <w:rPr>
          <w:rFonts w:asciiTheme="majorHAnsi" w:hAnsiTheme="majorHAnsi" w:cs="Arial"/>
          <w:sz w:val="22"/>
          <w:szCs w:val="22"/>
        </w:rPr>
        <w:t xml:space="preserve"> </w:t>
      </w:r>
      <w:r w:rsidRPr="00705CC0">
        <w:rPr>
          <w:rFonts w:asciiTheme="majorHAnsi" w:hAnsiTheme="majorHAnsi" w:cs="Arial"/>
          <w:sz w:val="22"/>
          <w:szCs w:val="22"/>
        </w:rPr>
        <w:t>yılı itibariyle büyümenin devam ettiği fakat emek verimliliği artışının duraksadığı dönem.</w:t>
      </w:r>
    </w:p>
    <w:p w:rsidR="0083749C" w:rsidRPr="00705CC0" w:rsidRDefault="0083749C" w:rsidP="00705CC0">
      <w:pPr>
        <w:spacing w:line="360" w:lineRule="auto"/>
        <w:jc w:val="both"/>
        <w:rPr>
          <w:rFonts w:asciiTheme="majorHAnsi" w:hAnsiTheme="majorHAnsi" w:cs="Arial"/>
          <w:sz w:val="22"/>
          <w:szCs w:val="22"/>
        </w:rPr>
      </w:pPr>
    </w:p>
    <w:p w:rsidR="00754026" w:rsidRDefault="0083749C" w:rsidP="00705CC0">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Şekil </w:t>
      </w:r>
      <w:r>
        <w:rPr>
          <w:rFonts w:asciiTheme="majorHAnsi" w:hAnsiTheme="majorHAnsi" w:cs="Arial"/>
          <w:bCs/>
          <w:noProof/>
          <w:sz w:val="22"/>
          <w:szCs w:val="22"/>
        </w:rPr>
        <w:t>1</w:t>
      </w:r>
      <w:r w:rsidR="00631F29">
        <w:fldChar w:fldCharType="end"/>
      </w:r>
      <w:r w:rsidR="00D62836" w:rsidRPr="00705CC0">
        <w:rPr>
          <w:rFonts w:asciiTheme="majorHAnsi" w:hAnsiTheme="majorHAnsi" w:cs="Arial"/>
          <w:sz w:val="22"/>
          <w:szCs w:val="22"/>
        </w:rPr>
        <w:t xml:space="preserve"> </w:t>
      </w:r>
      <w:r w:rsidR="00593FF1" w:rsidRPr="00705CC0">
        <w:rPr>
          <w:rFonts w:asciiTheme="majorHAnsi" w:hAnsiTheme="majorHAnsi" w:cs="Arial"/>
          <w:sz w:val="22"/>
          <w:szCs w:val="22"/>
        </w:rPr>
        <w:t xml:space="preserve">ve </w:t>
      </w:r>
      <w:r w:rsidR="00631F29">
        <w:fldChar w:fldCharType="begin"/>
      </w:r>
      <w:r w:rsidR="00631F29">
        <w:instrText xml:space="preserve"> REF _Ref463531047 \h  \* MERGEFORMAT </w:instrText>
      </w:r>
      <w:r w:rsidR="00631F29">
        <w:fldChar w:fldCharType="separate"/>
      </w:r>
      <w:r w:rsidRPr="0083749C">
        <w:rPr>
          <w:rFonts w:asciiTheme="majorHAnsi" w:hAnsiTheme="majorHAnsi" w:cs="Arial"/>
          <w:sz w:val="22"/>
          <w:szCs w:val="22"/>
        </w:rPr>
        <w:t>Şekil 2</w:t>
      </w:r>
      <w:r w:rsidR="00631F29">
        <w:fldChar w:fldCharType="end"/>
      </w:r>
      <w:r w:rsidR="00D62836" w:rsidRPr="00705CC0">
        <w:rPr>
          <w:rFonts w:asciiTheme="majorHAnsi" w:hAnsiTheme="majorHAnsi" w:cs="Arial"/>
          <w:sz w:val="22"/>
          <w:szCs w:val="22"/>
        </w:rPr>
        <w:t xml:space="preserve"> </w:t>
      </w:r>
      <w:r w:rsidR="00593FF1" w:rsidRPr="00705CC0">
        <w:rPr>
          <w:rFonts w:asciiTheme="majorHAnsi" w:hAnsiTheme="majorHAnsi" w:cs="Arial"/>
          <w:sz w:val="22"/>
          <w:szCs w:val="22"/>
        </w:rPr>
        <w:t>oluşturulmuştur.</w:t>
      </w:r>
      <w:r w:rsidR="00705CC0">
        <w:rPr>
          <w:rFonts w:asciiTheme="majorHAnsi" w:hAnsiTheme="majorHAnsi" w:cs="Arial"/>
          <w:sz w:val="22"/>
          <w:szCs w:val="22"/>
        </w:rPr>
        <w:t xml:space="preserve"> </w:t>
      </w:r>
    </w:p>
    <w:p w:rsidR="000E3FCA" w:rsidRDefault="00006AF6" w:rsidP="00705CC0">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Görüldüğü gibi kişi başı gelir değişimleri çok yüksek dalgalanmalar sergilemekte </w:t>
      </w:r>
      <w:r w:rsidR="00593FF1" w:rsidRPr="00705CC0">
        <w:rPr>
          <w:rFonts w:asciiTheme="majorHAnsi" w:hAnsiTheme="majorHAnsi" w:cs="Arial"/>
          <w:sz w:val="22"/>
          <w:szCs w:val="22"/>
        </w:rPr>
        <w:t>aynı zamanda da</w:t>
      </w:r>
      <w:r w:rsidRPr="00705CC0">
        <w:rPr>
          <w:rFonts w:asciiTheme="majorHAnsi" w:hAnsiTheme="majorHAnsi" w:cs="Arial"/>
          <w:sz w:val="22"/>
          <w:szCs w:val="22"/>
        </w:rPr>
        <w:t xml:space="preserve"> bu değişimlerin üç bileşen açısından oluşumları büyük farklılıklar göstermektedir. GSYH’nın </w:t>
      </w:r>
      <w:r w:rsidR="003E0B22" w:rsidRPr="00705CC0">
        <w:rPr>
          <w:rFonts w:asciiTheme="majorHAnsi" w:hAnsiTheme="majorHAnsi" w:cs="Arial"/>
          <w:sz w:val="22"/>
          <w:szCs w:val="22"/>
        </w:rPr>
        <w:t>dikkate değer ölçüde</w:t>
      </w:r>
      <w:r w:rsidR="00845835" w:rsidRPr="00705CC0">
        <w:rPr>
          <w:rFonts w:asciiTheme="majorHAnsi" w:hAnsiTheme="majorHAnsi" w:cs="Arial"/>
          <w:sz w:val="22"/>
          <w:szCs w:val="22"/>
        </w:rPr>
        <w:t>,</w:t>
      </w:r>
      <w:r w:rsidR="00754026">
        <w:rPr>
          <w:rFonts w:asciiTheme="majorHAnsi" w:hAnsiTheme="majorHAnsi" w:cs="Arial"/>
          <w:sz w:val="22"/>
          <w:szCs w:val="22"/>
        </w:rPr>
        <w:t xml:space="preserve"> </w:t>
      </w:r>
      <w:r w:rsidRPr="00705CC0">
        <w:rPr>
          <w:rFonts w:asciiTheme="majorHAnsi" w:hAnsiTheme="majorHAnsi" w:cs="Arial"/>
          <w:sz w:val="22"/>
          <w:szCs w:val="22"/>
        </w:rPr>
        <w:t xml:space="preserve">buna karşılık </w:t>
      </w:r>
      <w:r w:rsidR="003E0B22" w:rsidRPr="00705CC0">
        <w:rPr>
          <w:rFonts w:asciiTheme="majorHAnsi" w:hAnsiTheme="majorHAnsi" w:cs="Arial"/>
          <w:sz w:val="22"/>
          <w:szCs w:val="22"/>
        </w:rPr>
        <w:t xml:space="preserve">toplam </w:t>
      </w:r>
      <w:r w:rsidRPr="00705CC0">
        <w:rPr>
          <w:rFonts w:asciiTheme="majorHAnsi" w:hAnsiTheme="majorHAnsi" w:cs="Arial"/>
          <w:sz w:val="22"/>
          <w:szCs w:val="22"/>
        </w:rPr>
        <w:t>istihdamın</w:t>
      </w:r>
      <w:r w:rsidR="003E0B22" w:rsidRPr="00705CC0">
        <w:rPr>
          <w:rFonts w:asciiTheme="majorHAnsi" w:hAnsiTheme="majorHAnsi" w:cs="Arial"/>
          <w:sz w:val="22"/>
          <w:szCs w:val="22"/>
        </w:rPr>
        <w:t xml:space="preserve"> çok sınırlı ölçüde azaldığı (kadın istihdamındaki artış nedeniyle) kriz</w:t>
      </w:r>
      <w:r w:rsidR="00754026">
        <w:rPr>
          <w:rFonts w:asciiTheme="majorHAnsi" w:hAnsiTheme="majorHAnsi" w:cs="Arial"/>
          <w:sz w:val="22"/>
          <w:szCs w:val="22"/>
        </w:rPr>
        <w:t xml:space="preserve"> </w:t>
      </w:r>
      <w:r w:rsidR="003E0B22" w:rsidRPr="00705CC0">
        <w:rPr>
          <w:rFonts w:asciiTheme="majorHAnsi" w:hAnsiTheme="majorHAnsi" w:cs="Arial"/>
          <w:sz w:val="22"/>
          <w:szCs w:val="22"/>
        </w:rPr>
        <w:t>dönemini bir yana bırakırsak</w:t>
      </w:r>
      <w:r w:rsidR="00402256" w:rsidRPr="00705CC0">
        <w:rPr>
          <w:rFonts w:asciiTheme="majorHAnsi" w:hAnsiTheme="majorHAnsi" w:cs="Arial"/>
          <w:sz w:val="22"/>
          <w:szCs w:val="22"/>
        </w:rPr>
        <w:t xml:space="preserve">, farklı nitelikte </w:t>
      </w:r>
      <w:r w:rsidR="00845835" w:rsidRPr="00705CC0">
        <w:rPr>
          <w:rFonts w:asciiTheme="majorHAnsi" w:hAnsiTheme="majorHAnsi" w:cs="Arial"/>
          <w:sz w:val="22"/>
          <w:szCs w:val="22"/>
        </w:rPr>
        <w:t>üç</w:t>
      </w:r>
      <w:r w:rsidR="003E0B22" w:rsidRPr="00705CC0">
        <w:rPr>
          <w:rFonts w:asciiTheme="majorHAnsi" w:hAnsiTheme="majorHAnsi" w:cs="Arial"/>
          <w:sz w:val="22"/>
          <w:szCs w:val="22"/>
        </w:rPr>
        <w:t xml:space="preserve"> alt dönem </w:t>
      </w:r>
      <w:r w:rsidR="00754026">
        <w:rPr>
          <w:rFonts w:asciiTheme="majorHAnsi" w:hAnsiTheme="majorHAnsi" w:cs="Arial"/>
          <w:sz w:val="22"/>
          <w:szCs w:val="22"/>
        </w:rPr>
        <w:t>belirginleşiyor</w:t>
      </w:r>
      <w:r w:rsidR="00766910" w:rsidRPr="00705CC0">
        <w:rPr>
          <w:rFonts w:asciiTheme="majorHAnsi" w:hAnsiTheme="majorHAnsi" w:cs="Arial"/>
          <w:sz w:val="22"/>
          <w:szCs w:val="22"/>
        </w:rPr>
        <w:t>:</w:t>
      </w:r>
      <w:bookmarkStart w:id="2" w:name="_Ref463531039"/>
      <w:bookmarkStart w:id="3" w:name="_Ref463531385"/>
    </w:p>
    <w:p w:rsidR="00705CC0" w:rsidRDefault="00705CC0" w:rsidP="00705CC0">
      <w:pPr>
        <w:spacing w:line="360" w:lineRule="auto"/>
        <w:jc w:val="both"/>
        <w:rPr>
          <w:rFonts w:asciiTheme="majorHAnsi" w:hAnsiTheme="majorHAnsi" w:cs="Arial"/>
          <w:sz w:val="22"/>
          <w:szCs w:val="22"/>
        </w:rPr>
      </w:pPr>
      <w:r>
        <w:rPr>
          <w:rFonts w:asciiTheme="majorHAnsi" w:hAnsiTheme="majorHAnsi" w:cs="Arial"/>
          <w:sz w:val="22"/>
          <w:szCs w:val="22"/>
        </w:rPr>
        <w:tab/>
        <w:t>i</w:t>
      </w:r>
      <w:r w:rsidRPr="00705CC0">
        <w:rPr>
          <w:rFonts w:asciiTheme="majorHAnsi" w:hAnsiTheme="majorHAnsi" w:cs="Arial"/>
          <w:sz w:val="22"/>
          <w:szCs w:val="22"/>
        </w:rPr>
        <w:t xml:space="preserve">) 2005’in son çeyreğinden 2008’in ilk yarısını kapsayan sürede emek verimliliği artışlarının sürüklediği yüksek büyüme dönemi, </w:t>
      </w:r>
    </w:p>
    <w:p w:rsidR="00705CC0" w:rsidRDefault="00705CC0" w:rsidP="00705CC0">
      <w:pPr>
        <w:spacing w:line="360" w:lineRule="auto"/>
        <w:jc w:val="both"/>
        <w:rPr>
          <w:rFonts w:asciiTheme="majorHAnsi" w:hAnsiTheme="majorHAnsi" w:cs="Arial"/>
          <w:sz w:val="22"/>
          <w:szCs w:val="22"/>
        </w:rPr>
      </w:pPr>
      <w:r>
        <w:rPr>
          <w:rFonts w:asciiTheme="majorHAnsi" w:hAnsiTheme="majorHAnsi" w:cs="Arial"/>
          <w:sz w:val="22"/>
          <w:szCs w:val="22"/>
        </w:rPr>
        <w:tab/>
        <w:t>ii</w:t>
      </w:r>
      <w:r w:rsidRPr="00705CC0">
        <w:rPr>
          <w:rFonts w:asciiTheme="majorHAnsi" w:hAnsiTheme="majorHAnsi" w:cs="Arial"/>
          <w:sz w:val="22"/>
          <w:szCs w:val="22"/>
        </w:rPr>
        <w:t>) 2009</w:t>
      </w:r>
      <w:r w:rsidR="00700F51">
        <w:rPr>
          <w:rFonts w:asciiTheme="majorHAnsi" w:hAnsiTheme="majorHAnsi" w:cs="Arial"/>
          <w:sz w:val="22"/>
          <w:szCs w:val="22"/>
        </w:rPr>
        <w:t xml:space="preserve"> </w:t>
      </w:r>
      <w:r w:rsidRPr="00705CC0">
        <w:rPr>
          <w:rFonts w:asciiTheme="majorHAnsi" w:hAnsiTheme="majorHAnsi" w:cs="Arial"/>
          <w:sz w:val="22"/>
          <w:szCs w:val="22"/>
        </w:rPr>
        <w:t>son çeyreğinden 2013’ün son çeyreğine kadar süren</w:t>
      </w:r>
      <w:r w:rsidR="00700F51">
        <w:rPr>
          <w:rFonts w:asciiTheme="majorHAnsi" w:hAnsiTheme="majorHAnsi" w:cs="Arial"/>
          <w:sz w:val="22"/>
          <w:szCs w:val="22"/>
        </w:rPr>
        <w:t xml:space="preserve"> </w:t>
      </w:r>
      <w:r w:rsidRPr="00705CC0">
        <w:rPr>
          <w:rFonts w:asciiTheme="majorHAnsi" w:hAnsiTheme="majorHAnsi" w:cs="Arial"/>
          <w:sz w:val="22"/>
          <w:szCs w:val="22"/>
        </w:rPr>
        <w:t xml:space="preserve">kriz sonrası hızlı büyüme ve artan emek verimliliği dönemi, </w:t>
      </w:r>
    </w:p>
    <w:p w:rsidR="00705CC0" w:rsidRPr="00621A2F" w:rsidRDefault="00705CC0" w:rsidP="00621A2F">
      <w:pPr>
        <w:spacing w:line="360" w:lineRule="auto"/>
        <w:jc w:val="both"/>
        <w:rPr>
          <w:rFonts w:asciiTheme="majorHAnsi" w:hAnsiTheme="majorHAnsi" w:cs="Arial"/>
          <w:sz w:val="22"/>
          <w:szCs w:val="22"/>
        </w:rPr>
      </w:pPr>
      <w:r>
        <w:rPr>
          <w:rFonts w:asciiTheme="majorHAnsi" w:hAnsiTheme="majorHAnsi" w:cs="Arial"/>
          <w:sz w:val="22"/>
          <w:szCs w:val="22"/>
        </w:rPr>
        <w:tab/>
        <w:t>iii</w:t>
      </w:r>
      <w:r w:rsidRPr="00705CC0">
        <w:rPr>
          <w:rFonts w:asciiTheme="majorHAnsi" w:hAnsiTheme="majorHAnsi" w:cs="Arial"/>
          <w:sz w:val="22"/>
          <w:szCs w:val="22"/>
        </w:rPr>
        <w:t>) 2014</w:t>
      </w:r>
      <w:r w:rsidR="00700F51">
        <w:rPr>
          <w:rFonts w:asciiTheme="majorHAnsi" w:hAnsiTheme="majorHAnsi" w:cs="Arial"/>
          <w:sz w:val="22"/>
          <w:szCs w:val="22"/>
        </w:rPr>
        <w:t xml:space="preserve"> </w:t>
      </w:r>
      <w:r w:rsidRPr="00705CC0">
        <w:rPr>
          <w:rFonts w:asciiTheme="majorHAnsi" w:hAnsiTheme="majorHAnsi" w:cs="Arial"/>
          <w:sz w:val="22"/>
          <w:szCs w:val="22"/>
        </w:rPr>
        <w:t>yılı itibariyle büyümenin devam ettiği fakat emek verimliliği artışının duraksadığı dönem.</w:t>
      </w:r>
    </w:p>
    <w:p w:rsidR="00705CC0" w:rsidRPr="00705CC0" w:rsidRDefault="00705CC0" w:rsidP="00705CC0">
      <w:pPr>
        <w:spacing w:line="360" w:lineRule="auto"/>
        <w:jc w:val="both"/>
        <w:rPr>
          <w:rFonts w:asciiTheme="majorHAnsi" w:hAnsiTheme="majorHAnsi" w:cs="Arial"/>
          <w:sz w:val="22"/>
          <w:szCs w:val="22"/>
        </w:rPr>
      </w:pPr>
    </w:p>
    <w:p w:rsidR="0027354C" w:rsidRPr="00705CC0" w:rsidRDefault="0027354C" w:rsidP="00705CC0">
      <w:pPr>
        <w:pStyle w:val="Caption"/>
        <w:keepNext/>
        <w:rPr>
          <w:rFonts w:asciiTheme="majorHAnsi" w:hAnsiTheme="majorHAnsi" w:cs="Arial"/>
          <w:bCs w:val="0"/>
          <w:sz w:val="22"/>
          <w:szCs w:val="22"/>
        </w:rPr>
      </w:pPr>
      <w:r w:rsidRPr="00705CC0">
        <w:rPr>
          <w:rFonts w:asciiTheme="majorHAnsi" w:hAnsiTheme="majorHAnsi" w:cs="Arial"/>
          <w:bCs w:val="0"/>
          <w:sz w:val="22"/>
          <w:szCs w:val="22"/>
        </w:rPr>
        <w:lastRenderedPageBreak/>
        <w:t xml:space="preserve">Şekil </w:t>
      </w:r>
      <w:r w:rsidR="00326161" w:rsidRPr="00705CC0">
        <w:rPr>
          <w:rFonts w:asciiTheme="majorHAnsi" w:hAnsiTheme="majorHAnsi" w:cs="Arial"/>
          <w:bCs w:val="0"/>
          <w:sz w:val="22"/>
          <w:szCs w:val="22"/>
        </w:rPr>
        <w:fldChar w:fldCharType="begin"/>
      </w:r>
      <w:r w:rsidRPr="00705CC0">
        <w:rPr>
          <w:rFonts w:asciiTheme="majorHAnsi" w:hAnsiTheme="majorHAnsi" w:cs="Arial"/>
          <w:bCs w:val="0"/>
          <w:sz w:val="22"/>
          <w:szCs w:val="22"/>
        </w:rPr>
        <w:instrText xml:space="preserve"> SEQ Şekil \* ARABIC </w:instrText>
      </w:r>
      <w:r w:rsidR="00326161" w:rsidRPr="00705CC0">
        <w:rPr>
          <w:rFonts w:asciiTheme="majorHAnsi" w:hAnsiTheme="majorHAnsi" w:cs="Arial"/>
          <w:bCs w:val="0"/>
          <w:sz w:val="22"/>
          <w:szCs w:val="22"/>
        </w:rPr>
        <w:fldChar w:fldCharType="separate"/>
      </w:r>
      <w:r w:rsidR="0083749C">
        <w:rPr>
          <w:rFonts w:asciiTheme="majorHAnsi" w:hAnsiTheme="majorHAnsi" w:cs="Arial"/>
          <w:bCs w:val="0"/>
          <w:noProof/>
          <w:sz w:val="22"/>
          <w:szCs w:val="22"/>
        </w:rPr>
        <w:t>1</w:t>
      </w:r>
      <w:r w:rsidR="00326161" w:rsidRPr="00705CC0">
        <w:rPr>
          <w:rFonts w:asciiTheme="majorHAnsi" w:hAnsiTheme="majorHAnsi" w:cs="Arial"/>
          <w:bCs w:val="0"/>
          <w:sz w:val="22"/>
          <w:szCs w:val="22"/>
        </w:rPr>
        <w:fldChar w:fldCharType="end"/>
      </w:r>
      <w:bookmarkEnd w:id="2"/>
      <w:bookmarkEnd w:id="3"/>
      <w:r w:rsidR="00860C3F" w:rsidRPr="00705CC0">
        <w:rPr>
          <w:rFonts w:asciiTheme="majorHAnsi" w:hAnsiTheme="majorHAnsi" w:cs="Arial"/>
          <w:bCs w:val="0"/>
          <w:sz w:val="22"/>
          <w:szCs w:val="22"/>
        </w:rPr>
        <w:t xml:space="preserve">. </w:t>
      </w:r>
      <w:r w:rsidRPr="00705CC0">
        <w:rPr>
          <w:rFonts w:asciiTheme="majorHAnsi" w:hAnsiTheme="majorHAnsi" w:cs="Arial"/>
          <w:bCs w:val="0"/>
          <w:sz w:val="22"/>
          <w:szCs w:val="22"/>
        </w:rPr>
        <w:t>Kişi başına GSYH endeksi ve bileşenleri (Mevsim ve takvim etkilerinden arındırılmış, 2005(4) = 100)</w:t>
      </w:r>
      <w:r w:rsidR="003454A0" w:rsidRPr="00705CC0">
        <w:rPr>
          <w:rStyle w:val="FootnoteReference"/>
          <w:rFonts w:asciiTheme="majorHAnsi" w:hAnsiTheme="majorHAnsi" w:cs="Arial"/>
          <w:bCs w:val="0"/>
          <w:sz w:val="22"/>
          <w:szCs w:val="22"/>
        </w:rPr>
        <w:footnoteReference w:id="6"/>
      </w:r>
    </w:p>
    <w:p w:rsidR="00AE2FAA" w:rsidRPr="00705CC0" w:rsidRDefault="003454A0" w:rsidP="003454A0">
      <w:pPr>
        <w:spacing w:line="360" w:lineRule="auto"/>
        <w:jc w:val="center"/>
        <w:rPr>
          <w:rFonts w:asciiTheme="majorHAnsi" w:hAnsiTheme="majorHAnsi" w:cs="Arial"/>
          <w:sz w:val="22"/>
          <w:szCs w:val="22"/>
        </w:rPr>
      </w:pPr>
      <w:r w:rsidRPr="00705CC0">
        <w:rPr>
          <w:rFonts w:asciiTheme="majorHAnsi" w:hAnsiTheme="majorHAnsi"/>
          <w:noProof/>
          <w:sz w:val="22"/>
          <w:szCs w:val="22"/>
          <w:lang w:eastAsia="tr-TR"/>
        </w:rPr>
        <w:drawing>
          <wp:inline distT="0" distB="0" distL="0" distR="0" wp14:anchorId="67FC7003" wp14:editId="5A6211D6">
            <wp:extent cx="6230015" cy="332110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322" cy="3330327"/>
                    </a:xfrm>
                    <a:prstGeom prst="rect">
                      <a:avLst/>
                    </a:prstGeom>
                    <a:noFill/>
                    <a:ln>
                      <a:noFill/>
                    </a:ln>
                  </pic:spPr>
                </pic:pic>
              </a:graphicData>
            </a:graphic>
          </wp:inline>
        </w:drawing>
      </w:r>
    </w:p>
    <w:p w:rsidR="00D47139" w:rsidRPr="00EA729E" w:rsidRDefault="00976A93" w:rsidP="00EA729E">
      <w:pPr>
        <w:spacing w:line="360" w:lineRule="auto"/>
        <w:rPr>
          <w:rFonts w:asciiTheme="majorHAnsi" w:hAnsiTheme="majorHAnsi" w:cs="Arial"/>
          <w:sz w:val="22"/>
          <w:szCs w:val="22"/>
        </w:rPr>
      </w:pPr>
      <w:r w:rsidRPr="00705CC0">
        <w:rPr>
          <w:rFonts w:asciiTheme="majorHAnsi" w:hAnsiTheme="majorHAnsi" w:cs="Arial"/>
          <w:sz w:val="22"/>
          <w:szCs w:val="22"/>
        </w:rPr>
        <w:t>Kaynak: TÜİK, Betam.</w:t>
      </w:r>
    </w:p>
    <w:p w:rsidR="00AE2FAA" w:rsidRPr="00705CC0" w:rsidRDefault="00AF73FC" w:rsidP="00502030">
      <w:pPr>
        <w:pStyle w:val="Heading4"/>
      </w:pPr>
      <w:r w:rsidRPr="00705CC0">
        <w:t>Yüksek</w:t>
      </w:r>
      <w:r w:rsidR="00AE2FAA" w:rsidRPr="00705CC0">
        <w:t xml:space="preserve"> büyüme</w:t>
      </w:r>
      <w:r w:rsidR="00D239C1">
        <w:t xml:space="preserve"> </w:t>
      </w:r>
      <w:r w:rsidR="00FF200B" w:rsidRPr="00705CC0">
        <w:t xml:space="preserve">- </w:t>
      </w:r>
      <w:r w:rsidR="00D239C1">
        <w:t>y</w:t>
      </w:r>
      <w:r w:rsidRPr="00705CC0">
        <w:t>üksek verimlilik artışı</w:t>
      </w:r>
      <w:r w:rsidR="00B52A74">
        <w:t xml:space="preserve"> </w:t>
      </w:r>
      <w:r w:rsidR="006E4EBF" w:rsidRPr="00705CC0">
        <w:t>(2005(</w:t>
      </w:r>
      <w:r w:rsidR="00845835" w:rsidRPr="00705CC0">
        <w:t>4</w:t>
      </w:r>
      <w:r w:rsidR="006E4EBF" w:rsidRPr="00705CC0">
        <w:t>)-2008(</w:t>
      </w:r>
      <w:r w:rsidR="00845835" w:rsidRPr="00705CC0">
        <w:t>2</w:t>
      </w:r>
      <w:r w:rsidR="006E4EBF" w:rsidRPr="00705CC0">
        <w:t>)</w:t>
      </w:r>
      <w:r w:rsidR="00344E64" w:rsidRPr="00705CC0">
        <w:t>)</w:t>
      </w:r>
    </w:p>
    <w:p w:rsidR="00AE2FAA" w:rsidRPr="00705CC0" w:rsidRDefault="00AE2FAA" w:rsidP="0027354C">
      <w:pPr>
        <w:spacing w:line="360" w:lineRule="auto"/>
        <w:jc w:val="both"/>
        <w:rPr>
          <w:rFonts w:asciiTheme="majorHAnsi" w:hAnsiTheme="majorHAnsi" w:cs="Arial"/>
          <w:b/>
          <w:sz w:val="22"/>
          <w:szCs w:val="22"/>
        </w:rPr>
      </w:pPr>
    </w:p>
    <w:p w:rsidR="009D70EB" w:rsidRPr="00705CC0" w:rsidRDefault="00BE08D2" w:rsidP="0027354C">
      <w:pPr>
        <w:spacing w:line="360" w:lineRule="auto"/>
        <w:jc w:val="both"/>
        <w:rPr>
          <w:rFonts w:asciiTheme="majorHAnsi" w:hAnsiTheme="majorHAnsi" w:cs="Arial"/>
          <w:sz w:val="22"/>
          <w:szCs w:val="22"/>
        </w:rPr>
      </w:pPr>
      <w:r w:rsidRPr="00705CC0">
        <w:rPr>
          <w:rFonts w:asciiTheme="majorHAnsi" w:hAnsiTheme="majorHAnsi" w:cs="Arial"/>
          <w:sz w:val="22"/>
          <w:szCs w:val="22"/>
        </w:rPr>
        <w:t>Birinci dönemde (2005(</w:t>
      </w:r>
      <w:r w:rsidR="00845835" w:rsidRPr="00705CC0">
        <w:rPr>
          <w:rFonts w:asciiTheme="majorHAnsi" w:hAnsiTheme="majorHAnsi" w:cs="Arial"/>
          <w:sz w:val="22"/>
          <w:szCs w:val="22"/>
        </w:rPr>
        <w:t>4</w:t>
      </w:r>
      <w:r w:rsidRPr="00705CC0">
        <w:rPr>
          <w:rFonts w:asciiTheme="majorHAnsi" w:hAnsiTheme="majorHAnsi" w:cs="Arial"/>
          <w:sz w:val="22"/>
          <w:szCs w:val="22"/>
        </w:rPr>
        <w:t>) – 2008(</w:t>
      </w:r>
      <w:r w:rsidR="00845835" w:rsidRPr="00705CC0">
        <w:rPr>
          <w:rFonts w:asciiTheme="majorHAnsi" w:hAnsiTheme="majorHAnsi" w:cs="Arial"/>
          <w:sz w:val="22"/>
          <w:szCs w:val="22"/>
        </w:rPr>
        <w:t>2</w:t>
      </w:r>
      <w:r w:rsidRPr="00705CC0">
        <w:rPr>
          <w:rFonts w:asciiTheme="majorHAnsi" w:hAnsiTheme="majorHAnsi" w:cs="Arial"/>
          <w:sz w:val="22"/>
          <w:szCs w:val="22"/>
        </w:rPr>
        <w:t>)</w:t>
      </w:r>
      <w:r w:rsidR="00AF73FC" w:rsidRPr="00705CC0">
        <w:rPr>
          <w:rFonts w:asciiTheme="majorHAnsi" w:hAnsiTheme="majorHAnsi" w:cs="Arial"/>
          <w:sz w:val="22"/>
          <w:szCs w:val="22"/>
        </w:rPr>
        <w:t xml:space="preserve">) Şekil </w:t>
      </w:r>
      <w:r w:rsidR="00FF200B" w:rsidRPr="00705CC0">
        <w:rPr>
          <w:rFonts w:asciiTheme="majorHAnsi" w:hAnsiTheme="majorHAnsi" w:cs="Arial"/>
          <w:sz w:val="22"/>
          <w:szCs w:val="22"/>
        </w:rPr>
        <w:t xml:space="preserve">1 ve </w:t>
      </w:r>
      <w:r w:rsidR="00AF73FC" w:rsidRPr="00705CC0">
        <w:rPr>
          <w:rFonts w:asciiTheme="majorHAnsi" w:hAnsiTheme="majorHAnsi" w:cs="Arial"/>
          <w:sz w:val="22"/>
          <w:szCs w:val="22"/>
        </w:rPr>
        <w:t>2’de görüldüğü gibi kişi başına yıllık gelir artışlarının büyük bölümünü emek veri</w:t>
      </w:r>
      <w:r w:rsidR="00416A24" w:rsidRPr="00705CC0">
        <w:rPr>
          <w:rFonts w:asciiTheme="majorHAnsi" w:hAnsiTheme="majorHAnsi" w:cs="Arial"/>
          <w:sz w:val="22"/>
          <w:szCs w:val="22"/>
        </w:rPr>
        <w:t>mlilik artışları</w:t>
      </w:r>
      <w:r w:rsidR="00AF73FC" w:rsidRPr="00705CC0">
        <w:rPr>
          <w:rFonts w:asciiTheme="majorHAnsi" w:hAnsiTheme="majorHAnsi" w:cs="Arial"/>
          <w:sz w:val="22"/>
          <w:szCs w:val="22"/>
        </w:rPr>
        <w:t xml:space="preserve"> oluşturuyor. Bu dönemde i</w:t>
      </w:r>
      <w:r w:rsidR="00AE2FAA" w:rsidRPr="00705CC0">
        <w:rPr>
          <w:rFonts w:asciiTheme="majorHAnsi" w:hAnsiTheme="majorHAnsi" w:cs="Arial"/>
          <w:sz w:val="22"/>
          <w:szCs w:val="22"/>
        </w:rPr>
        <w:t>stihdam oranı</w:t>
      </w:r>
      <w:r w:rsidR="00FF200B" w:rsidRPr="00705CC0">
        <w:rPr>
          <w:rFonts w:asciiTheme="majorHAnsi" w:hAnsiTheme="majorHAnsi" w:cs="Arial"/>
          <w:sz w:val="22"/>
          <w:szCs w:val="22"/>
        </w:rPr>
        <w:t>nın</w:t>
      </w:r>
      <w:r w:rsidR="00754026">
        <w:rPr>
          <w:rFonts w:asciiTheme="majorHAnsi" w:hAnsiTheme="majorHAnsi" w:cs="Arial"/>
          <w:sz w:val="22"/>
          <w:szCs w:val="22"/>
        </w:rPr>
        <w:t xml:space="preserve"> </w:t>
      </w:r>
      <w:r w:rsidR="00AF73FC" w:rsidRPr="00705CC0">
        <w:rPr>
          <w:rFonts w:asciiTheme="majorHAnsi" w:hAnsiTheme="majorHAnsi" w:cs="Arial"/>
          <w:sz w:val="22"/>
          <w:szCs w:val="22"/>
        </w:rPr>
        <w:t>kişi başına gelir artışına katkısı ya çok düşük ya da dönemin ilk ve son çeyrek</w:t>
      </w:r>
      <w:r w:rsidR="00EB2230" w:rsidRPr="00705CC0">
        <w:rPr>
          <w:rFonts w:asciiTheme="majorHAnsi" w:hAnsiTheme="majorHAnsi" w:cs="Arial"/>
          <w:sz w:val="22"/>
          <w:szCs w:val="22"/>
        </w:rPr>
        <w:t>lerinde negatif kalıyor (</w:t>
      </w:r>
      <w:r w:rsidR="00631F29">
        <w:fldChar w:fldCharType="begin"/>
      </w:r>
      <w:r w:rsidR="00631F29">
        <w:instrText xml:space="preserve"> REF _Ref463531047 \h  \* MERGEFORMAT </w:instrText>
      </w:r>
      <w:r w:rsidR="00631F29">
        <w:fldChar w:fldCharType="separate"/>
      </w:r>
      <w:r w:rsidR="0083749C" w:rsidRPr="0083749C">
        <w:rPr>
          <w:rFonts w:asciiTheme="majorHAnsi" w:hAnsiTheme="majorHAnsi" w:cs="Arial"/>
          <w:sz w:val="22"/>
          <w:szCs w:val="22"/>
        </w:rPr>
        <w:t>Şekil 2</w:t>
      </w:r>
      <w:r w:rsidR="00631F29">
        <w:fldChar w:fldCharType="end"/>
      </w:r>
      <w:r w:rsidR="00AF73FC" w:rsidRPr="00705CC0">
        <w:rPr>
          <w:rFonts w:asciiTheme="majorHAnsi" w:hAnsiTheme="majorHAnsi" w:cs="Arial"/>
          <w:sz w:val="22"/>
          <w:szCs w:val="22"/>
        </w:rPr>
        <w:t>). Şekil 1’de kişi başına gelir artışı eğrisi ile emek verimliliği eğrisinin hemen hemen örtüşük olması da bu olgunun bir başka tezahürü</w:t>
      </w:r>
      <w:r w:rsidRPr="00705CC0">
        <w:rPr>
          <w:rFonts w:asciiTheme="majorHAnsi" w:hAnsiTheme="majorHAnsi" w:cs="Arial"/>
          <w:sz w:val="22"/>
          <w:szCs w:val="22"/>
        </w:rPr>
        <w:t>dür</w:t>
      </w:r>
      <w:r w:rsidR="00AF73FC" w:rsidRPr="00705CC0">
        <w:rPr>
          <w:rFonts w:asciiTheme="majorHAnsi" w:hAnsiTheme="majorHAnsi" w:cs="Arial"/>
          <w:sz w:val="22"/>
          <w:szCs w:val="22"/>
        </w:rPr>
        <w:t>.</w:t>
      </w:r>
      <w:r w:rsidR="00D7248B">
        <w:rPr>
          <w:rFonts w:asciiTheme="majorHAnsi" w:hAnsiTheme="majorHAnsi" w:cs="Arial"/>
          <w:sz w:val="22"/>
          <w:szCs w:val="22"/>
        </w:rPr>
        <w:t xml:space="preserve"> </w:t>
      </w:r>
      <w:r w:rsidR="00AE2FAA" w:rsidRPr="00D7248B">
        <w:rPr>
          <w:rFonts w:asciiTheme="majorHAnsi" w:hAnsiTheme="majorHAnsi" w:cs="Arial"/>
          <w:sz w:val="22"/>
          <w:szCs w:val="22"/>
        </w:rPr>
        <w:t>Bu gelişmenin ardında iki etken söz konusu</w:t>
      </w:r>
      <w:r w:rsidR="005C0367" w:rsidRPr="00D7248B">
        <w:rPr>
          <w:rFonts w:asciiTheme="majorHAnsi" w:hAnsiTheme="majorHAnsi" w:cs="Arial"/>
          <w:sz w:val="22"/>
          <w:szCs w:val="22"/>
        </w:rPr>
        <w:t>dur</w:t>
      </w:r>
      <w:r w:rsidR="00AE2FAA" w:rsidRPr="00D7248B">
        <w:rPr>
          <w:rFonts w:asciiTheme="majorHAnsi" w:hAnsiTheme="majorHAnsi" w:cs="Arial"/>
          <w:sz w:val="22"/>
          <w:szCs w:val="22"/>
        </w:rPr>
        <w:t>: Bu dönemde tarım istihdamı</w:t>
      </w:r>
      <w:r w:rsidR="00DE39B3">
        <w:rPr>
          <w:rFonts w:asciiTheme="majorHAnsi" w:hAnsiTheme="majorHAnsi" w:cs="Arial"/>
          <w:sz w:val="22"/>
          <w:szCs w:val="22"/>
        </w:rPr>
        <w:t>nda meydana gelen hızlı azalma (Ek Tablo 1)</w:t>
      </w:r>
      <w:r w:rsidR="00AE2FAA" w:rsidRPr="00D7248B">
        <w:rPr>
          <w:rFonts w:asciiTheme="majorHAnsi" w:hAnsiTheme="majorHAnsi" w:cs="Arial"/>
          <w:sz w:val="22"/>
          <w:szCs w:val="22"/>
        </w:rPr>
        <w:t xml:space="preserve"> ve emek verimliliğindeki artış. O yıllarda ekonomi gündeminin gözde konularından olan “istihdamsız büyüme” iddiasının ardında tarım istihdamındaki bu hızlı düşüş yatmaktadır.</w:t>
      </w:r>
      <w:r w:rsidR="00D7248B" w:rsidRPr="00D7248B">
        <w:rPr>
          <w:rFonts w:asciiTheme="majorHAnsi" w:hAnsiTheme="majorHAnsi" w:cs="Arial"/>
          <w:sz w:val="22"/>
          <w:szCs w:val="22"/>
        </w:rPr>
        <w:t xml:space="preserve"> </w:t>
      </w:r>
      <w:r w:rsidR="00AE2FAA" w:rsidRPr="00D7248B">
        <w:rPr>
          <w:rFonts w:asciiTheme="majorHAnsi" w:hAnsiTheme="majorHAnsi" w:cs="Arial"/>
          <w:sz w:val="22"/>
          <w:szCs w:val="22"/>
        </w:rPr>
        <w:t xml:space="preserve">Tarım dışında istihdam artışı </w:t>
      </w:r>
      <w:r w:rsidR="00AF73FC" w:rsidRPr="00D7248B">
        <w:rPr>
          <w:rFonts w:asciiTheme="majorHAnsi" w:hAnsiTheme="majorHAnsi" w:cs="Arial"/>
          <w:sz w:val="22"/>
          <w:szCs w:val="22"/>
        </w:rPr>
        <w:t xml:space="preserve">emek </w:t>
      </w:r>
      <w:r w:rsidR="00AE2FAA" w:rsidRPr="00D7248B">
        <w:rPr>
          <w:rFonts w:asciiTheme="majorHAnsi" w:hAnsiTheme="majorHAnsi" w:cs="Arial"/>
          <w:sz w:val="22"/>
          <w:szCs w:val="22"/>
        </w:rPr>
        <w:t>verimli</w:t>
      </w:r>
      <w:r w:rsidR="00AF73FC" w:rsidRPr="00D7248B">
        <w:rPr>
          <w:rFonts w:asciiTheme="majorHAnsi" w:hAnsiTheme="majorHAnsi" w:cs="Arial"/>
          <w:sz w:val="22"/>
          <w:szCs w:val="22"/>
        </w:rPr>
        <w:t xml:space="preserve">ğindeki </w:t>
      </w:r>
      <w:r w:rsidR="00AE2FAA" w:rsidRPr="00D7248B">
        <w:rPr>
          <w:rFonts w:asciiTheme="majorHAnsi" w:hAnsiTheme="majorHAnsi" w:cs="Arial"/>
          <w:sz w:val="22"/>
          <w:szCs w:val="22"/>
        </w:rPr>
        <w:t>artışlar</w:t>
      </w:r>
      <w:r w:rsidR="00AF73FC" w:rsidRPr="00D7248B">
        <w:rPr>
          <w:rFonts w:asciiTheme="majorHAnsi" w:hAnsiTheme="majorHAnsi" w:cs="Arial"/>
          <w:sz w:val="22"/>
          <w:szCs w:val="22"/>
        </w:rPr>
        <w:t xml:space="preserve"> ile desteklenirken</w:t>
      </w:r>
      <w:r w:rsidR="00AE2FAA" w:rsidRPr="00D7248B">
        <w:rPr>
          <w:rFonts w:asciiTheme="majorHAnsi" w:hAnsiTheme="majorHAnsi" w:cs="Arial"/>
          <w:sz w:val="22"/>
          <w:szCs w:val="22"/>
        </w:rPr>
        <w:t xml:space="preserve"> (kabaca yüzde 1’lik büyüme yüzde 0,5 istihdam artışı yaratıyordu), tarım istihdamındaki gerileme toplam istihdamın yavaş artmasına neden oldu.</w:t>
      </w:r>
    </w:p>
    <w:p w:rsidR="0083749C" w:rsidRDefault="00AE2FAA" w:rsidP="00705CC0">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Çoğunlukla olumsuz olarak yorumlanan bu gelişme aslında hızlı artan emek verimliliği sayesinde kişi başı gelir artışlarını ivmelendirmiştir. Gerek başta sanayi olmak üzere tarım dışı sektörlerde emek verimliliği artışı gerek tarım istihdamındaki hızlı azalma sayesinde istihdam bileşiminin tarıma kıyasla daha yüksek verimli sektörler lehine değişmesi (bileşim etkisi) ortalama emek verimliliğini önemli ölçüde artırmıştır. Şekil 2’de kriz öncesi kişi başına gelir artışına belirleyici </w:t>
      </w:r>
      <w:r w:rsidRPr="00705CC0">
        <w:rPr>
          <w:rFonts w:asciiTheme="majorHAnsi" w:hAnsiTheme="majorHAnsi" w:cs="Arial"/>
          <w:sz w:val="22"/>
          <w:szCs w:val="22"/>
        </w:rPr>
        <w:lastRenderedPageBreak/>
        <w:t>katkının emek verimliliğinden geldiği çok net biçimde görülmektedir. 2005(</w:t>
      </w:r>
      <w:r w:rsidR="00FA3ADA" w:rsidRPr="00705CC0">
        <w:rPr>
          <w:rFonts w:asciiTheme="majorHAnsi" w:hAnsiTheme="majorHAnsi" w:cs="Arial"/>
          <w:sz w:val="22"/>
          <w:szCs w:val="22"/>
        </w:rPr>
        <w:t>4</w:t>
      </w:r>
      <w:r w:rsidRPr="00705CC0">
        <w:rPr>
          <w:rFonts w:asciiTheme="majorHAnsi" w:hAnsiTheme="majorHAnsi" w:cs="Arial"/>
          <w:sz w:val="22"/>
          <w:szCs w:val="22"/>
        </w:rPr>
        <w:t>) – 2008(</w:t>
      </w:r>
      <w:r w:rsidR="00FA3ADA" w:rsidRPr="00705CC0">
        <w:rPr>
          <w:rFonts w:asciiTheme="majorHAnsi" w:hAnsiTheme="majorHAnsi" w:cs="Arial"/>
          <w:sz w:val="22"/>
          <w:szCs w:val="22"/>
        </w:rPr>
        <w:t>2</w:t>
      </w:r>
      <w:r w:rsidRPr="00705CC0">
        <w:rPr>
          <w:rFonts w:asciiTheme="majorHAnsi" w:hAnsiTheme="majorHAnsi" w:cs="Arial"/>
          <w:sz w:val="22"/>
          <w:szCs w:val="22"/>
        </w:rPr>
        <w:t>) döneminde emek verimliliği endeksi 100’den 1</w:t>
      </w:r>
      <w:r w:rsidR="005C0B69" w:rsidRPr="00705CC0">
        <w:rPr>
          <w:rFonts w:asciiTheme="majorHAnsi" w:hAnsiTheme="majorHAnsi" w:cs="Arial"/>
          <w:sz w:val="22"/>
          <w:szCs w:val="22"/>
        </w:rPr>
        <w:t>1</w:t>
      </w:r>
      <w:r w:rsidRPr="00705CC0">
        <w:rPr>
          <w:rFonts w:asciiTheme="majorHAnsi" w:hAnsiTheme="majorHAnsi" w:cs="Arial"/>
          <w:sz w:val="22"/>
          <w:szCs w:val="22"/>
        </w:rPr>
        <w:t>0</w:t>
      </w:r>
      <w:r w:rsidR="00FA3ADA" w:rsidRPr="00705CC0">
        <w:rPr>
          <w:rFonts w:asciiTheme="majorHAnsi" w:hAnsiTheme="majorHAnsi" w:cs="Arial"/>
          <w:sz w:val="22"/>
          <w:szCs w:val="22"/>
        </w:rPr>
        <w:t>,7</w:t>
      </w:r>
      <w:r w:rsidR="005C0B69" w:rsidRPr="00705CC0">
        <w:rPr>
          <w:rFonts w:asciiTheme="majorHAnsi" w:hAnsiTheme="majorHAnsi" w:cs="Arial"/>
          <w:sz w:val="22"/>
          <w:szCs w:val="22"/>
        </w:rPr>
        <w:t>’</w:t>
      </w:r>
      <w:r w:rsidR="00FA3ADA" w:rsidRPr="00705CC0">
        <w:rPr>
          <w:rFonts w:asciiTheme="majorHAnsi" w:hAnsiTheme="majorHAnsi" w:cs="Arial"/>
          <w:sz w:val="22"/>
          <w:szCs w:val="22"/>
        </w:rPr>
        <w:t>ye</w:t>
      </w:r>
      <w:r w:rsidRPr="00705CC0">
        <w:rPr>
          <w:rFonts w:asciiTheme="majorHAnsi" w:hAnsiTheme="majorHAnsi" w:cs="Arial"/>
          <w:sz w:val="22"/>
          <w:szCs w:val="22"/>
        </w:rPr>
        <w:t xml:space="preserve"> yükselmiş, kişi başına gelir endeksi de 11</w:t>
      </w:r>
      <w:r w:rsidR="005C0B69" w:rsidRPr="00705CC0">
        <w:rPr>
          <w:rFonts w:asciiTheme="majorHAnsi" w:hAnsiTheme="majorHAnsi" w:cs="Arial"/>
          <w:sz w:val="22"/>
          <w:szCs w:val="22"/>
        </w:rPr>
        <w:t>1</w:t>
      </w:r>
      <w:r w:rsidR="00FA3ADA" w:rsidRPr="00705CC0">
        <w:rPr>
          <w:rFonts w:asciiTheme="majorHAnsi" w:hAnsiTheme="majorHAnsi" w:cs="Arial"/>
          <w:sz w:val="22"/>
          <w:szCs w:val="22"/>
        </w:rPr>
        <w:t>,6 olmuştur.</w:t>
      </w:r>
      <w:r w:rsidR="00EB2230" w:rsidRPr="00705CC0">
        <w:rPr>
          <w:rFonts w:asciiTheme="majorHAnsi" w:hAnsiTheme="majorHAnsi" w:cs="Arial"/>
          <w:sz w:val="22"/>
          <w:szCs w:val="22"/>
        </w:rPr>
        <w:t xml:space="preserve"> (</w:t>
      </w:r>
      <w:r w:rsidR="00631F29">
        <w:fldChar w:fldCharType="begin"/>
      </w:r>
      <w:r w:rsidR="00631F29">
        <w:instrText xml:space="preserve"> REF _Ref463531385 \h  \* MERGEFORMAT </w:instrText>
      </w:r>
      <w:r w:rsidR="00631F29">
        <w:fldChar w:fldCharType="separate"/>
      </w:r>
    </w:p>
    <w:p w:rsidR="0083749C" w:rsidRDefault="0083749C" w:rsidP="00705CC0">
      <w:pPr>
        <w:spacing w:line="360" w:lineRule="auto"/>
        <w:jc w:val="both"/>
        <w:rPr>
          <w:rFonts w:asciiTheme="majorHAnsi" w:hAnsiTheme="majorHAnsi" w:cs="Arial"/>
          <w:sz w:val="22"/>
          <w:szCs w:val="22"/>
        </w:rPr>
      </w:pPr>
      <w:r>
        <w:rPr>
          <w:rFonts w:asciiTheme="majorHAnsi" w:hAnsiTheme="majorHAnsi" w:cs="Arial"/>
          <w:sz w:val="22"/>
          <w:szCs w:val="22"/>
        </w:rPr>
        <w:tab/>
        <w:t>i</w:t>
      </w:r>
      <w:r w:rsidRPr="00705CC0">
        <w:rPr>
          <w:rFonts w:asciiTheme="majorHAnsi" w:hAnsiTheme="majorHAnsi" w:cs="Arial"/>
          <w:sz w:val="22"/>
          <w:szCs w:val="22"/>
        </w:rPr>
        <w:t xml:space="preserve">) 2005’in son çeyreğinden 2008’in ilk yarısını kapsayan sürede emek verimliliği artışlarının sürüklediği yüksek büyüme dönemi, </w:t>
      </w:r>
    </w:p>
    <w:p w:rsidR="0083749C" w:rsidRDefault="0083749C" w:rsidP="00705CC0">
      <w:pPr>
        <w:spacing w:line="360" w:lineRule="auto"/>
        <w:jc w:val="both"/>
        <w:rPr>
          <w:rFonts w:asciiTheme="majorHAnsi" w:hAnsiTheme="majorHAnsi" w:cs="Arial"/>
          <w:sz w:val="22"/>
          <w:szCs w:val="22"/>
        </w:rPr>
      </w:pPr>
      <w:r>
        <w:rPr>
          <w:rFonts w:asciiTheme="majorHAnsi" w:hAnsiTheme="majorHAnsi" w:cs="Arial"/>
          <w:sz w:val="22"/>
          <w:szCs w:val="22"/>
        </w:rPr>
        <w:tab/>
        <w:t>ii</w:t>
      </w:r>
      <w:r w:rsidRPr="00705CC0">
        <w:rPr>
          <w:rFonts w:asciiTheme="majorHAnsi" w:hAnsiTheme="majorHAnsi" w:cs="Arial"/>
          <w:sz w:val="22"/>
          <w:szCs w:val="22"/>
        </w:rPr>
        <w:t>) 2009</w:t>
      </w:r>
      <w:r>
        <w:rPr>
          <w:rFonts w:asciiTheme="majorHAnsi" w:hAnsiTheme="majorHAnsi" w:cs="Arial"/>
          <w:sz w:val="22"/>
          <w:szCs w:val="22"/>
        </w:rPr>
        <w:t xml:space="preserve"> </w:t>
      </w:r>
      <w:r w:rsidRPr="00705CC0">
        <w:rPr>
          <w:rFonts w:asciiTheme="majorHAnsi" w:hAnsiTheme="majorHAnsi" w:cs="Arial"/>
          <w:sz w:val="22"/>
          <w:szCs w:val="22"/>
        </w:rPr>
        <w:t>son çeyreğinden 2013’ün son çeyreğine kadar süren</w:t>
      </w:r>
      <w:r>
        <w:rPr>
          <w:rFonts w:asciiTheme="majorHAnsi" w:hAnsiTheme="majorHAnsi" w:cs="Arial"/>
          <w:sz w:val="22"/>
          <w:szCs w:val="22"/>
        </w:rPr>
        <w:t xml:space="preserve"> </w:t>
      </w:r>
      <w:r w:rsidRPr="00705CC0">
        <w:rPr>
          <w:rFonts w:asciiTheme="majorHAnsi" w:hAnsiTheme="majorHAnsi" w:cs="Arial"/>
          <w:sz w:val="22"/>
          <w:szCs w:val="22"/>
        </w:rPr>
        <w:t xml:space="preserve">kriz sonrası hızlı büyüme ve artan emek verimliliği dönemi, </w:t>
      </w:r>
    </w:p>
    <w:p w:rsidR="0083749C" w:rsidRPr="00621A2F" w:rsidRDefault="0083749C" w:rsidP="00621A2F">
      <w:pPr>
        <w:spacing w:line="360" w:lineRule="auto"/>
        <w:jc w:val="both"/>
        <w:rPr>
          <w:rFonts w:asciiTheme="majorHAnsi" w:hAnsiTheme="majorHAnsi" w:cs="Arial"/>
          <w:sz w:val="22"/>
          <w:szCs w:val="22"/>
        </w:rPr>
      </w:pPr>
      <w:r>
        <w:rPr>
          <w:rFonts w:asciiTheme="majorHAnsi" w:hAnsiTheme="majorHAnsi" w:cs="Arial"/>
          <w:sz w:val="22"/>
          <w:szCs w:val="22"/>
        </w:rPr>
        <w:tab/>
        <w:t>iii</w:t>
      </w:r>
      <w:r w:rsidRPr="00705CC0">
        <w:rPr>
          <w:rFonts w:asciiTheme="majorHAnsi" w:hAnsiTheme="majorHAnsi" w:cs="Arial"/>
          <w:sz w:val="22"/>
          <w:szCs w:val="22"/>
        </w:rPr>
        <w:t>) 2014</w:t>
      </w:r>
      <w:r>
        <w:rPr>
          <w:rFonts w:asciiTheme="majorHAnsi" w:hAnsiTheme="majorHAnsi" w:cs="Arial"/>
          <w:sz w:val="22"/>
          <w:szCs w:val="22"/>
        </w:rPr>
        <w:t xml:space="preserve"> </w:t>
      </w:r>
      <w:r w:rsidRPr="00705CC0">
        <w:rPr>
          <w:rFonts w:asciiTheme="majorHAnsi" w:hAnsiTheme="majorHAnsi" w:cs="Arial"/>
          <w:sz w:val="22"/>
          <w:szCs w:val="22"/>
        </w:rPr>
        <w:t>yılı itibariyle büyümenin devam ettiği fakat emek verimliliği artışının duraksadığı dönem.</w:t>
      </w:r>
    </w:p>
    <w:p w:rsidR="0083749C" w:rsidRPr="00705CC0" w:rsidRDefault="0083749C" w:rsidP="00705CC0">
      <w:pPr>
        <w:spacing w:line="360" w:lineRule="auto"/>
        <w:jc w:val="both"/>
        <w:rPr>
          <w:rFonts w:asciiTheme="majorHAnsi" w:hAnsiTheme="majorHAnsi" w:cs="Arial"/>
          <w:sz w:val="22"/>
          <w:szCs w:val="22"/>
        </w:rPr>
      </w:pPr>
    </w:p>
    <w:p w:rsidR="0027354C" w:rsidRPr="00705CC0" w:rsidRDefault="0083749C" w:rsidP="0027354C">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Şekil </w:t>
      </w:r>
      <w:r>
        <w:rPr>
          <w:rFonts w:asciiTheme="majorHAnsi" w:hAnsiTheme="majorHAnsi" w:cs="Arial"/>
          <w:bCs/>
          <w:noProof/>
          <w:sz w:val="22"/>
          <w:szCs w:val="22"/>
        </w:rPr>
        <w:t>1</w:t>
      </w:r>
      <w:r w:rsidR="00631F29">
        <w:fldChar w:fldCharType="end"/>
      </w:r>
      <w:r w:rsidR="00FA3ADA" w:rsidRPr="00705CC0">
        <w:rPr>
          <w:rFonts w:asciiTheme="majorHAnsi" w:hAnsiTheme="majorHAnsi" w:cs="Arial"/>
          <w:sz w:val="22"/>
          <w:szCs w:val="22"/>
        </w:rPr>
        <w:t>,</w:t>
      </w:r>
      <w:r w:rsidR="00502030">
        <w:rPr>
          <w:rFonts w:asciiTheme="majorHAnsi" w:hAnsiTheme="majorHAnsi" w:cs="Arial"/>
          <w:sz w:val="22"/>
          <w:szCs w:val="22"/>
        </w:rPr>
        <w:t xml:space="preserve"> </w:t>
      </w:r>
      <w:r w:rsidR="00631F29">
        <w:fldChar w:fldCharType="begin"/>
      </w:r>
      <w:r w:rsidR="00631F29">
        <w:instrText xml:space="preserve"> REF _Ref488327569 \h  \* MERGEFORMAT </w:instrText>
      </w:r>
      <w:r w:rsidR="00631F29">
        <w:fldChar w:fldCharType="separate"/>
      </w:r>
      <w:r w:rsidRPr="00705CC0">
        <w:rPr>
          <w:rFonts w:asciiTheme="majorHAnsi" w:hAnsiTheme="majorHAnsi" w:cs="Arial"/>
          <w:sz w:val="22"/>
          <w:szCs w:val="22"/>
        </w:rPr>
        <w:t xml:space="preserve">Ek Tablo </w:t>
      </w:r>
      <w:r w:rsidRPr="0083749C">
        <w:rPr>
          <w:rFonts w:asciiTheme="majorHAnsi" w:hAnsiTheme="majorHAnsi" w:cs="Arial"/>
          <w:sz w:val="22"/>
          <w:szCs w:val="22"/>
        </w:rPr>
        <w:t>1</w:t>
      </w:r>
      <w:r w:rsidR="00631F29">
        <w:fldChar w:fldCharType="end"/>
      </w:r>
      <w:r w:rsidR="00AE2FAA" w:rsidRPr="00705CC0">
        <w:rPr>
          <w:rFonts w:asciiTheme="majorHAnsi" w:hAnsiTheme="majorHAnsi" w:cs="Arial"/>
          <w:sz w:val="22"/>
          <w:szCs w:val="22"/>
        </w:rPr>
        <w:t>).</w:t>
      </w:r>
    </w:p>
    <w:p w:rsidR="00AE2FAA" w:rsidRPr="00705CC0" w:rsidRDefault="0027354C" w:rsidP="0027354C">
      <w:pPr>
        <w:spacing w:line="360" w:lineRule="auto"/>
        <w:jc w:val="both"/>
        <w:rPr>
          <w:rFonts w:asciiTheme="majorHAnsi" w:hAnsiTheme="majorHAnsi" w:cs="Arial"/>
          <w:sz w:val="22"/>
          <w:szCs w:val="22"/>
        </w:rPr>
      </w:pPr>
      <w:r w:rsidRPr="00705CC0">
        <w:rPr>
          <w:rFonts w:asciiTheme="majorHAnsi" w:hAnsiTheme="majorHAnsi" w:cs="Arial"/>
          <w:b/>
          <w:sz w:val="22"/>
          <w:szCs w:val="22"/>
        </w:rPr>
        <w:br/>
      </w:r>
      <w:bookmarkStart w:id="4" w:name="_Ref463531047"/>
      <w:r w:rsidRPr="00705CC0">
        <w:rPr>
          <w:rFonts w:asciiTheme="majorHAnsi" w:hAnsiTheme="majorHAnsi" w:cs="Arial"/>
          <w:b/>
          <w:sz w:val="22"/>
          <w:szCs w:val="22"/>
        </w:rPr>
        <w:t xml:space="preserve">Şekil </w:t>
      </w:r>
      <w:r w:rsidR="00326161" w:rsidRPr="00705CC0">
        <w:rPr>
          <w:rFonts w:asciiTheme="majorHAnsi" w:hAnsiTheme="majorHAnsi" w:cs="Arial"/>
          <w:b/>
          <w:sz w:val="22"/>
          <w:szCs w:val="22"/>
        </w:rPr>
        <w:fldChar w:fldCharType="begin"/>
      </w:r>
      <w:r w:rsidRPr="00705CC0">
        <w:rPr>
          <w:rFonts w:asciiTheme="majorHAnsi" w:hAnsiTheme="majorHAnsi" w:cs="Arial"/>
          <w:b/>
          <w:sz w:val="22"/>
          <w:szCs w:val="22"/>
        </w:rPr>
        <w:instrText xml:space="preserve"> SEQ Şekil \* ARABIC </w:instrText>
      </w:r>
      <w:r w:rsidR="00326161" w:rsidRPr="00705CC0">
        <w:rPr>
          <w:rFonts w:asciiTheme="majorHAnsi" w:hAnsiTheme="majorHAnsi" w:cs="Arial"/>
          <w:b/>
          <w:sz w:val="22"/>
          <w:szCs w:val="22"/>
        </w:rPr>
        <w:fldChar w:fldCharType="separate"/>
      </w:r>
      <w:r w:rsidR="0083749C">
        <w:rPr>
          <w:rFonts w:asciiTheme="majorHAnsi" w:hAnsiTheme="majorHAnsi" w:cs="Arial"/>
          <w:b/>
          <w:noProof/>
          <w:sz w:val="22"/>
          <w:szCs w:val="22"/>
        </w:rPr>
        <w:t>2</w:t>
      </w:r>
      <w:r w:rsidR="00326161" w:rsidRPr="00705CC0">
        <w:rPr>
          <w:rFonts w:asciiTheme="majorHAnsi" w:hAnsiTheme="majorHAnsi" w:cs="Arial"/>
          <w:b/>
          <w:sz w:val="22"/>
          <w:szCs w:val="22"/>
        </w:rPr>
        <w:fldChar w:fldCharType="end"/>
      </w:r>
      <w:bookmarkEnd w:id="4"/>
      <w:r w:rsidRPr="00705CC0">
        <w:rPr>
          <w:rFonts w:asciiTheme="majorHAnsi" w:hAnsiTheme="majorHAnsi" w:cs="Arial"/>
          <w:sz w:val="22"/>
          <w:szCs w:val="22"/>
        </w:rPr>
        <w:t xml:space="preserve">. </w:t>
      </w:r>
      <w:r w:rsidRPr="00705CC0">
        <w:rPr>
          <w:rFonts w:asciiTheme="majorHAnsi" w:hAnsiTheme="majorHAnsi" w:cs="Arial"/>
          <w:b/>
          <w:sz w:val="22"/>
          <w:szCs w:val="22"/>
        </w:rPr>
        <w:t>Çeyrekten çeyreğe yıllık kişi başına düşen GSYH artışına büyüme bileşenlerinin katkıları: 2006(1)-201</w:t>
      </w:r>
      <w:r w:rsidR="003454A0" w:rsidRPr="00705CC0">
        <w:rPr>
          <w:rFonts w:asciiTheme="majorHAnsi" w:hAnsiTheme="majorHAnsi" w:cs="Arial"/>
          <w:b/>
          <w:sz w:val="22"/>
          <w:szCs w:val="22"/>
        </w:rPr>
        <w:t>7</w:t>
      </w:r>
      <w:r w:rsidRPr="00705CC0">
        <w:rPr>
          <w:rFonts w:asciiTheme="majorHAnsi" w:hAnsiTheme="majorHAnsi" w:cs="Arial"/>
          <w:b/>
          <w:sz w:val="22"/>
          <w:szCs w:val="22"/>
        </w:rPr>
        <w:t>(</w:t>
      </w:r>
      <w:r w:rsidR="003454A0" w:rsidRPr="00705CC0">
        <w:rPr>
          <w:rFonts w:asciiTheme="majorHAnsi" w:hAnsiTheme="majorHAnsi" w:cs="Arial"/>
          <w:b/>
          <w:sz w:val="22"/>
          <w:szCs w:val="22"/>
        </w:rPr>
        <w:t>1</w:t>
      </w:r>
      <w:r w:rsidRPr="00705CC0">
        <w:rPr>
          <w:rFonts w:asciiTheme="majorHAnsi" w:hAnsiTheme="majorHAnsi" w:cs="Arial"/>
          <w:b/>
          <w:sz w:val="22"/>
          <w:szCs w:val="22"/>
        </w:rPr>
        <w:t>) (Mevsim ve takvim etkilerinden arındırılmış)</w:t>
      </w:r>
    </w:p>
    <w:p w:rsidR="00BB7843" w:rsidRPr="00705CC0" w:rsidRDefault="00BB7843" w:rsidP="0027354C">
      <w:pPr>
        <w:spacing w:line="360" w:lineRule="auto"/>
        <w:rPr>
          <w:rFonts w:asciiTheme="majorHAnsi" w:hAnsiTheme="majorHAnsi" w:cs="Arial"/>
          <w:b/>
          <w:sz w:val="22"/>
          <w:szCs w:val="22"/>
        </w:rPr>
      </w:pPr>
    </w:p>
    <w:p w:rsidR="00AE2FAA" w:rsidRPr="00705CC0" w:rsidRDefault="003454A0" w:rsidP="003454A0">
      <w:pPr>
        <w:spacing w:line="360" w:lineRule="auto"/>
        <w:jc w:val="center"/>
        <w:rPr>
          <w:rFonts w:asciiTheme="majorHAnsi" w:hAnsiTheme="majorHAnsi" w:cs="Arial"/>
          <w:b/>
          <w:sz w:val="22"/>
          <w:szCs w:val="22"/>
        </w:rPr>
      </w:pPr>
      <w:r w:rsidRPr="00705CC0">
        <w:rPr>
          <w:rFonts w:asciiTheme="majorHAnsi" w:hAnsiTheme="majorHAnsi"/>
          <w:noProof/>
          <w:sz w:val="22"/>
          <w:szCs w:val="22"/>
          <w:lang w:eastAsia="tr-TR"/>
        </w:rPr>
        <w:drawing>
          <wp:inline distT="0" distB="0" distL="0" distR="0" wp14:anchorId="7D2965B3" wp14:editId="382F6E47">
            <wp:extent cx="5913755" cy="3129723"/>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3129723"/>
                    </a:xfrm>
                    <a:prstGeom prst="rect">
                      <a:avLst/>
                    </a:prstGeom>
                    <a:noFill/>
                    <a:ln>
                      <a:noFill/>
                    </a:ln>
                  </pic:spPr>
                </pic:pic>
              </a:graphicData>
            </a:graphic>
          </wp:inline>
        </w:drawing>
      </w:r>
    </w:p>
    <w:p w:rsidR="003208C7" w:rsidRPr="00EA729E" w:rsidRDefault="00976A93" w:rsidP="0027354C">
      <w:pPr>
        <w:spacing w:line="360" w:lineRule="auto"/>
        <w:rPr>
          <w:rFonts w:asciiTheme="majorHAnsi" w:hAnsiTheme="majorHAnsi" w:cs="Arial"/>
          <w:sz w:val="22"/>
          <w:szCs w:val="22"/>
        </w:rPr>
      </w:pPr>
      <w:r w:rsidRPr="00705CC0">
        <w:rPr>
          <w:rFonts w:asciiTheme="majorHAnsi" w:hAnsiTheme="majorHAnsi" w:cs="Arial"/>
          <w:sz w:val="22"/>
          <w:szCs w:val="22"/>
        </w:rPr>
        <w:t>Kaynak: TÜİK, Betam.</w:t>
      </w:r>
    </w:p>
    <w:p w:rsidR="00AE2FAA" w:rsidRPr="00705CC0" w:rsidRDefault="00344E64" w:rsidP="00502030">
      <w:pPr>
        <w:pStyle w:val="Heading4"/>
      </w:pPr>
      <w:r w:rsidRPr="00705CC0">
        <w:t>Krizden güçlü çıkış</w:t>
      </w:r>
      <w:r w:rsidR="00D239C1">
        <w:t xml:space="preserve"> </w:t>
      </w:r>
      <w:r w:rsidRPr="00705CC0">
        <w:t>-</w:t>
      </w:r>
      <w:r w:rsidR="00917AD0" w:rsidRPr="00705CC0">
        <w:t xml:space="preserve"> </w:t>
      </w:r>
      <w:r w:rsidR="00D239C1">
        <w:t>e</w:t>
      </w:r>
      <w:r w:rsidRPr="00705CC0">
        <w:t xml:space="preserve">mek verimliliğinde </w:t>
      </w:r>
      <w:r w:rsidR="00FA3ADA" w:rsidRPr="00705CC0">
        <w:t>artış</w:t>
      </w:r>
      <w:r w:rsidRPr="00705CC0">
        <w:t xml:space="preserve"> (</w:t>
      </w:r>
      <w:r w:rsidR="006E4EBF" w:rsidRPr="00705CC0">
        <w:t>2009(</w:t>
      </w:r>
      <w:r w:rsidR="00FA3ADA" w:rsidRPr="00705CC0">
        <w:t>4</w:t>
      </w:r>
      <w:r w:rsidR="006E4EBF" w:rsidRPr="00705CC0">
        <w:t>)-201</w:t>
      </w:r>
      <w:r w:rsidR="00FA3ADA" w:rsidRPr="00705CC0">
        <w:t>3</w:t>
      </w:r>
      <w:r w:rsidR="006E4EBF" w:rsidRPr="00705CC0">
        <w:t>(</w:t>
      </w:r>
      <w:r w:rsidR="00FA3ADA" w:rsidRPr="00705CC0">
        <w:t>4</w:t>
      </w:r>
      <w:r w:rsidR="006E4EBF" w:rsidRPr="00705CC0">
        <w:t>)</w:t>
      </w:r>
      <w:r w:rsidRPr="00705CC0">
        <w:t>)</w:t>
      </w:r>
    </w:p>
    <w:p w:rsidR="00AE2FAA" w:rsidRPr="00705CC0" w:rsidRDefault="00AE2FAA" w:rsidP="0027354C">
      <w:pPr>
        <w:spacing w:line="360" w:lineRule="auto"/>
        <w:rPr>
          <w:rFonts w:asciiTheme="majorHAnsi" w:hAnsiTheme="majorHAnsi" w:cs="Arial"/>
          <w:b/>
          <w:sz w:val="22"/>
          <w:szCs w:val="22"/>
        </w:rPr>
      </w:pPr>
    </w:p>
    <w:p w:rsidR="00AE2FAA" w:rsidRPr="00EA729E" w:rsidRDefault="00AE2FAA" w:rsidP="0027354C">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Kriz döneminin analizi konumuz açısından anlamlı değil. Tahmin edilebileceği gibi, GSYH istihdamdan çok daha hızlı azaldığından, kriz sırasında emek verimliliği büyük ölçüde gerilemiş, istihdam oranı da daha sınırlı olmak üzere azalmıştır. 2009’un </w:t>
      </w:r>
      <w:r w:rsidR="00A401BD" w:rsidRPr="00705CC0">
        <w:rPr>
          <w:rFonts w:asciiTheme="majorHAnsi" w:hAnsiTheme="majorHAnsi" w:cs="Arial"/>
          <w:sz w:val="22"/>
          <w:szCs w:val="22"/>
        </w:rPr>
        <w:t>son çeyreğinden</w:t>
      </w:r>
      <w:r w:rsidRPr="00705CC0">
        <w:rPr>
          <w:rFonts w:asciiTheme="majorHAnsi" w:hAnsiTheme="majorHAnsi" w:cs="Arial"/>
          <w:sz w:val="22"/>
          <w:szCs w:val="22"/>
        </w:rPr>
        <w:t xml:space="preserve"> itibaren Türkiye ekonomisi krizden hızla çıkmış ve </w:t>
      </w:r>
      <w:r w:rsidR="00A401BD" w:rsidRPr="00705CC0">
        <w:rPr>
          <w:rFonts w:asciiTheme="majorHAnsi" w:hAnsiTheme="majorHAnsi" w:cs="Arial"/>
          <w:sz w:val="22"/>
          <w:szCs w:val="22"/>
        </w:rPr>
        <w:t>bu dönem boyunca</w:t>
      </w:r>
      <w:r w:rsidRPr="00705CC0">
        <w:rPr>
          <w:rFonts w:asciiTheme="majorHAnsi" w:hAnsiTheme="majorHAnsi" w:cs="Arial"/>
          <w:sz w:val="22"/>
          <w:szCs w:val="22"/>
        </w:rPr>
        <w:t xml:space="preserve"> yüksek büyüme hızları gerçekleşmiştir. Ancak bu büyümenin dinamiği kriz önce</w:t>
      </w:r>
      <w:r w:rsidR="00C26646" w:rsidRPr="00705CC0">
        <w:rPr>
          <w:rFonts w:asciiTheme="majorHAnsi" w:hAnsiTheme="majorHAnsi" w:cs="Arial"/>
          <w:sz w:val="22"/>
          <w:szCs w:val="22"/>
        </w:rPr>
        <w:t>si döneme kıyasla farklılık göstermektedir.</w:t>
      </w:r>
    </w:p>
    <w:p w:rsidR="0083749C" w:rsidRDefault="00971131" w:rsidP="00705CC0">
      <w:pPr>
        <w:spacing w:line="360" w:lineRule="auto"/>
        <w:jc w:val="both"/>
        <w:rPr>
          <w:rFonts w:asciiTheme="majorHAnsi" w:hAnsiTheme="majorHAnsi" w:cs="Arial"/>
          <w:sz w:val="22"/>
          <w:szCs w:val="22"/>
        </w:rPr>
      </w:pPr>
      <w:r w:rsidRPr="00705CC0">
        <w:rPr>
          <w:rFonts w:asciiTheme="majorHAnsi" w:hAnsiTheme="majorHAnsi" w:cs="Arial"/>
          <w:sz w:val="22"/>
          <w:szCs w:val="22"/>
        </w:rPr>
        <w:lastRenderedPageBreak/>
        <w:t xml:space="preserve">Bu dönemde </w:t>
      </w:r>
      <w:r w:rsidR="00AE2FAA" w:rsidRPr="00705CC0">
        <w:rPr>
          <w:rFonts w:asciiTheme="majorHAnsi" w:hAnsiTheme="majorHAnsi" w:cs="Arial"/>
          <w:sz w:val="22"/>
          <w:szCs w:val="22"/>
        </w:rPr>
        <w:t>emek verimliliğindeki artışlar kişi başına gelir artışına pozitif katkı yapmaya devam et</w:t>
      </w:r>
      <w:r w:rsidR="00C26646" w:rsidRPr="00705CC0">
        <w:rPr>
          <w:rFonts w:asciiTheme="majorHAnsi" w:hAnsiTheme="majorHAnsi" w:cs="Arial"/>
          <w:sz w:val="22"/>
          <w:szCs w:val="22"/>
        </w:rPr>
        <w:t>miş ancak bu katkı kriz öncesi döneme</w:t>
      </w:r>
      <w:r w:rsidR="00AE2FAA" w:rsidRPr="00705CC0">
        <w:rPr>
          <w:rFonts w:asciiTheme="majorHAnsi" w:hAnsiTheme="majorHAnsi" w:cs="Arial"/>
          <w:sz w:val="22"/>
          <w:szCs w:val="22"/>
        </w:rPr>
        <w:t xml:space="preserve"> kıyasla</w:t>
      </w:r>
      <w:r w:rsidR="00C26646" w:rsidRPr="00705CC0">
        <w:rPr>
          <w:rFonts w:asciiTheme="majorHAnsi" w:hAnsiTheme="majorHAnsi" w:cs="Arial"/>
          <w:sz w:val="22"/>
          <w:szCs w:val="22"/>
        </w:rPr>
        <w:t xml:space="preserve"> nispeten</w:t>
      </w:r>
      <w:r w:rsidR="00460D2A" w:rsidRPr="00705CC0">
        <w:rPr>
          <w:rFonts w:asciiTheme="majorHAnsi" w:hAnsiTheme="majorHAnsi" w:cs="Arial"/>
          <w:sz w:val="22"/>
          <w:szCs w:val="22"/>
        </w:rPr>
        <w:t xml:space="preserve"> zayıflamıştır. 2009(</w:t>
      </w:r>
      <w:r w:rsidR="00A401BD" w:rsidRPr="00705CC0">
        <w:rPr>
          <w:rFonts w:asciiTheme="majorHAnsi" w:hAnsiTheme="majorHAnsi" w:cs="Arial"/>
          <w:sz w:val="22"/>
          <w:szCs w:val="22"/>
        </w:rPr>
        <w:t>4) – 2013</w:t>
      </w:r>
      <w:r w:rsidR="00460D2A" w:rsidRPr="00705CC0">
        <w:rPr>
          <w:rFonts w:asciiTheme="majorHAnsi" w:hAnsiTheme="majorHAnsi" w:cs="Arial"/>
          <w:sz w:val="22"/>
          <w:szCs w:val="22"/>
        </w:rPr>
        <w:t>(</w:t>
      </w:r>
      <w:r w:rsidR="00A401BD" w:rsidRPr="00705CC0">
        <w:rPr>
          <w:rFonts w:asciiTheme="majorHAnsi" w:hAnsiTheme="majorHAnsi" w:cs="Arial"/>
          <w:sz w:val="22"/>
          <w:szCs w:val="22"/>
        </w:rPr>
        <w:t>4</w:t>
      </w:r>
      <w:r w:rsidR="00AE2FAA" w:rsidRPr="00705CC0">
        <w:rPr>
          <w:rFonts w:asciiTheme="majorHAnsi" w:hAnsiTheme="majorHAnsi" w:cs="Arial"/>
          <w:sz w:val="22"/>
          <w:szCs w:val="22"/>
        </w:rPr>
        <w:t>) döneminde emek verimliliği endeksi 10</w:t>
      </w:r>
      <w:r w:rsidR="00C26646" w:rsidRPr="00705CC0">
        <w:rPr>
          <w:rFonts w:asciiTheme="majorHAnsi" w:hAnsiTheme="majorHAnsi" w:cs="Arial"/>
          <w:sz w:val="22"/>
          <w:szCs w:val="22"/>
        </w:rPr>
        <w:t>2,9</w:t>
      </w:r>
      <w:r w:rsidR="00AE2FAA" w:rsidRPr="00705CC0">
        <w:rPr>
          <w:rFonts w:asciiTheme="majorHAnsi" w:hAnsiTheme="majorHAnsi" w:cs="Arial"/>
          <w:sz w:val="22"/>
          <w:szCs w:val="22"/>
        </w:rPr>
        <w:t>’</w:t>
      </w:r>
      <w:r w:rsidR="00C26646" w:rsidRPr="00705CC0">
        <w:rPr>
          <w:rFonts w:asciiTheme="majorHAnsi" w:hAnsiTheme="majorHAnsi" w:cs="Arial"/>
          <w:sz w:val="22"/>
          <w:szCs w:val="22"/>
        </w:rPr>
        <w:t>da</w:t>
      </w:r>
      <w:r w:rsidR="00AE2FAA" w:rsidRPr="00705CC0">
        <w:rPr>
          <w:rFonts w:asciiTheme="majorHAnsi" w:hAnsiTheme="majorHAnsi" w:cs="Arial"/>
          <w:sz w:val="22"/>
          <w:szCs w:val="22"/>
        </w:rPr>
        <w:t>n 1</w:t>
      </w:r>
      <w:r w:rsidR="00C26646" w:rsidRPr="00705CC0">
        <w:rPr>
          <w:rFonts w:asciiTheme="majorHAnsi" w:hAnsiTheme="majorHAnsi" w:cs="Arial"/>
          <w:sz w:val="22"/>
          <w:szCs w:val="22"/>
        </w:rPr>
        <w:t>18,5</w:t>
      </w:r>
      <w:r w:rsidRPr="00705CC0">
        <w:rPr>
          <w:rFonts w:asciiTheme="majorHAnsi" w:hAnsiTheme="majorHAnsi" w:cs="Arial"/>
          <w:sz w:val="22"/>
          <w:szCs w:val="22"/>
        </w:rPr>
        <w:t>’</w:t>
      </w:r>
      <w:r w:rsidR="00C26646" w:rsidRPr="00705CC0">
        <w:rPr>
          <w:rFonts w:asciiTheme="majorHAnsi" w:hAnsiTheme="majorHAnsi" w:cs="Arial"/>
          <w:sz w:val="22"/>
          <w:szCs w:val="22"/>
        </w:rPr>
        <w:t>e</w:t>
      </w:r>
      <w:r w:rsidR="00AE2FAA" w:rsidRPr="00705CC0">
        <w:rPr>
          <w:rFonts w:asciiTheme="majorHAnsi" w:hAnsiTheme="majorHAnsi" w:cs="Arial"/>
          <w:sz w:val="22"/>
          <w:szCs w:val="22"/>
        </w:rPr>
        <w:t xml:space="preserve"> yükselmiştir (</w:t>
      </w:r>
      <w:r w:rsidR="00631F29">
        <w:fldChar w:fldCharType="begin"/>
      </w:r>
      <w:r w:rsidR="00631F29">
        <w:instrText xml:space="preserve"> REF _Ref463531385 \h  \* MERGEFORMAT </w:instrText>
      </w:r>
      <w:r w:rsidR="00631F29">
        <w:fldChar w:fldCharType="separate"/>
      </w:r>
    </w:p>
    <w:p w:rsidR="0083749C" w:rsidRDefault="0083749C" w:rsidP="00705CC0">
      <w:pPr>
        <w:spacing w:line="360" w:lineRule="auto"/>
        <w:jc w:val="both"/>
        <w:rPr>
          <w:rFonts w:asciiTheme="majorHAnsi" w:hAnsiTheme="majorHAnsi" w:cs="Arial"/>
          <w:sz w:val="22"/>
          <w:szCs w:val="22"/>
        </w:rPr>
      </w:pPr>
      <w:r>
        <w:rPr>
          <w:rFonts w:asciiTheme="majorHAnsi" w:hAnsiTheme="majorHAnsi" w:cs="Arial"/>
          <w:sz w:val="22"/>
          <w:szCs w:val="22"/>
        </w:rPr>
        <w:tab/>
        <w:t>i</w:t>
      </w:r>
      <w:r w:rsidRPr="00705CC0">
        <w:rPr>
          <w:rFonts w:asciiTheme="majorHAnsi" w:hAnsiTheme="majorHAnsi" w:cs="Arial"/>
          <w:sz w:val="22"/>
          <w:szCs w:val="22"/>
        </w:rPr>
        <w:t xml:space="preserve">) 2005’in son çeyreğinden 2008’in ilk yarısını kapsayan sürede emek verimliliği artışlarının sürüklediği yüksek büyüme dönemi, </w:t>
      </w:r>
    </w:p>
    <w:p w:rsidR="0083749C" w:rsidRDefault="0083749C" w:rsidP="00705CC0">
      <w:pPr>
        <w:spacing w:line="360" w:lineRule="auto"/>
        <w:jc w:val="both"/>
        <w:rPr>
          <w:rFonts w:asciiTheme="majorHAnsi" w:hAnsiTheme="majorHAnsi" w:cs="Arial"/>
          <w:sz w:val="22"/>
          <w:szCs w:val="22"/>
        </w:rPr>
      </w:pPr>
      <w:r>
        <w:rPr>
          <w:rFonts w:asciiTheme="majorHAnsi" w:hAnsiTheme="majorHAnsi" w:cs="Arial"/>
          <w:sz w:val="22"/>
          <w:szCs w:val="22"/>
        </w:rPr>
        <w:tab/>
        <w:t>ii</w:t>
      </w:r>
      <w:r w:rsidRPr="00705CC0">
        <w:rPr>
          <w:rFonts w:asciiTheme="majorHAnsi" w:hAnsiTheme="majorHAnsi" w:cs="Arial"/>
          <w:sz w:val="22"/>
          <w:szCs w:val="22"/>
        </w:rPr>
        <w:t>) 2009</w:t>
      </w:r>
      <w:r>
        <w:rPr>
          <w:rFonts w:asciiTheme="majorHAnsi" w:hAnsiTheme="majorHAnsi" w:cs="Arial"/>
          <w:sz w:val="22"/>
          <w:szCs w:val="22"/>
        </w:rPr>
        <w:t xml:space="preserve"> </w:t>
      </w:r>
      <w:r w:rsidRPr="00705CC0">
        <w:rPr>
          <w:rFonts w:asciiTheme="majorHAnsi" w:hAnsiTheme="majorHAnsi" w:cs="Arial"/>
          <w:sz w:val="22"/>
          <w:szCs w:val="22"/>
        </w:rPr>
        <w:t>son çeyreğinden 2013’ün son çeyreğine kadar süren</w:t>
      </w:r>
      <w:r>
        <w:rPr>
          <w:rFonts w:asciiTheme="majorHAnsi" w:hAnsiTheme="majorHAnsi" w:cs="Arial"/>
          <w:sz w:val="22"/>
          <w:szCs w:val="22"/>
        </w:rPr>
        <w:t xml:space="preserve"> </w:t>
      </w:r>
      <w:r w:rsidRPr="00705CC0">
        <w:rPr>
          <w:rFonts w:asciiTheme="majorHAnsi" w:hAnsiTheme="majorHAnsi" w:cs="Arial"/>
          <w:sz w:val="22"/>
          <w:szCs w:val="22"/>
        </w:rPr>
        <w:t xml:space="preserve">kriz sonrası hızlı büyüme ve artan emek verimliliği dönemi, </w:t>
      </w:r>
    </w:p>
    <w:p w:rsidR="0083749C" w:rsidRPr="00621A2F" w:rsidRDefault="0083749C" w:rsidP="00621A2F">
      <w:pPr>
        <w:spacing w:line="360" w:lineRule="auto"/>
        <w:jc w:val="both"/>
        <w:rPr>
          <w:rFonts w:asciiTheme="majorHAnsi" w:hAnsiTheme="majorHAnsi" w:cs="Arial"/>
          <w:sz w:val="22"/>
          <w:szCs w:val="22"/>
        </w:rPr>
      </w:pPr>
      <w:r>
        <w:rPr>
          <w:rFonts w:asciiTheme="majorHAnsi" w:hAnsiTheme="majorHAnsi" w:cs="Arial"/>
          <w:sz w:val="22"/>
          <w:szCs w:val="22"/>
        </w:rPr>
        <w:tab/>
        <w:t>iii</w:t>
      </w:r>
      <w:r w:rsidRPr="00705CC0">
        <w:rPr>
          <w:rFonts w:asciiTheme="majorHAnsi" w:hAnsiTheme="majorHAnsi" w:cs="Arial"/>
          <w:sz w:val="22"/>
          <w:szCs w:val="22"/>
        </w:rPr>
        <w:t>) 2014</w:t>
      </w:r>
      <w:r>
        <w:rPr>
          <w:rFonts w:asciiTheme="majorHAnsi" w:hAnsiTheme="majorHAnsi" w:cs="Arial"/>
          <w:sz w:val="22"/>
          <w:szCs w:val="22"/>
        </w:rPr>
        <w:t xml:space="preserve"> </w:t>
      </w:r>
      <w:r w:rsidRPr="00705CC0">
        <w:rPr>
          <w:rFonts w:asciiTheme="majorHAnsi" w:hAnsiTheme="majorHAnsi" w:cs="Arial"/>
          <w:sz w:val="22"/>
          <w:szCs w:val="22"/>
        </w:rPr>
        <w:t>yılı itibariyle büyümenin devam ettiği fakat emek verimliliği artışının duraksadığı dönem.</w:t>
      </w:r>
    </w:p>
    <w:p w:rsidR="0083749C" w:rsidRPr="00705CC0" w:rsidRDefault="0083749C" w:rsidP="00705CC0">
      <w:pPr>
        <w:spacing w:line="360" w:lineRule="auto"/>
        <w:jc w:val="both"/>
        <w:rPr>
          <w:rFonts w:asciiTheme="majorHAnsi" w:hAnsiTheme="majorHAnsi" w:cs="Arial"/>
          <w:sz w:val="22"/>
          <w:szCs w:val="22"/>
        </w:rPr>
      </w:pPr>
    </w:p>
    <w:p w:rsidR="0027354C" w:rsidRPr="00705CC0" w:rsidRDefault="0083749C" w:rsidP="0027354C">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Şekil </w:t>
      </w:r>
      <w:r>
        <w:rPr>
          <w:rFonts w:asciiTheme="majorHAnsi" w:hAnsiTheme="majorHAnsi" w:cs="Arial"/>
          <w:bCs/>
          <w:noProof/>
          <w:sz w:val="22"/>
          <w:szCs w:val="22"/>
        </w:rPr>
        <w:t>1</w:t>
      </w:r>
      <w:r w:rsidR="00631F29">
        <w:fldChar w:fldCharType="end"/>
      </w:r>
      <w:r w:rsidR="00C26646" w:rsidRPr="00705CC0">
        <w:rPr>
          <w:rFonts w:asciiTheme="majorHAnsi" w:hAnsiTheme="majorHAnsi" w:cs="Arial"/>
          <w:sz w:val="22"/>
          <w:szCs w:val="22"/>
        </w:rPr>
        <w:t xml:space="preserve">, </w:t>
      </w:r>
      <w:r w:rsidR="00631F29">
        <w:fldChar w:fldCharType="begin"/>
      </w:r>
      <w:r w:rsidR="00631F29">
        <w:instrText xml:space="preserve"> REF _Ref488327569 \h  \* MERGEFORMAT </w:instrText>
      </w:r>
      <w:r w:rsidR="00631F29">
        <w:fldChar w:fldCharType="separate"/>
      </w:r>
      <w:r w:rsidRPr="00705CC0">
        <w:rPr>
          <w:rFonts w:asciiTheme="majorHAnsi" w:hAnsiTheme="majorHAnsi" w:cs="Arial"/>
          <w:sz w:val="22"/>
          <w:szCs w:val="22"/>
        </w:rPr>
        <w:t xml:space="preserve">Ek Tablo </w:t>
      </w:r>
      <w:r w:rsidRPr="0083749C">
        <w:rPr>
          <w:rFonts w:asciiTheme="majorHAnsi" w:hAnsiTheme="majorHAnsi" w:cs="Arial"/>
          <w:sz w:val="22"/>
          <w:szCs w:val="22"/>
        </w:rPr>
        <w:t>1</w:t>
      </w:r>
      <w:r w:rsidR="00631F29">
        <w:fldChar w:fldCharType="end"/>
      </w:r>
      <w:r w:rsidR="00FF567A" w:rsidRPr="00705CC0">
        <w:rPr>
          <w:rFonts w:asciiTheme="majorHAnsi" w:hAnsiTheme="majorHAnsi" w:cs="Arial"/>
          <w:sz w:val="22"/>
          <w:szCs w:val="22"/>
        </w:rPr>
        <w:t>)</w:t>
      </w:r>
      <w:r w:rsidR="0006702A" w:rsidRPr="00705CC0">
        <w:rPr>
          <w:rFonts w:asciiTheme="majorHAnsi" w:hAnsiTheme="majorHAnsi" w:cs="Arial"/>
          <w:sz w:val="22"/>
          <w:szCs w:val="22"/>
        </w:rPr>
        <w:t>. Bununla birlikte, i</w:t>
      </w:r>
      <w:r w:rsidR="00BE08D2" w:rsidRPr="00705CC0">
        <w:rPr>
          <w:rFonts w:asciiTheme="majorHAnsi" w:hAnsiTheme="majorHAnsi" w:cs="Arial"/>
          <w:sz w:val="22"/>
          <w:szCs w:val="22"/>
        </w:rPr>
        <w:t xml:space="preserve">stihdam oranında da </w:t>
      </w:r>
      <w:r w:rsidR="00E62925">
        <w:rPr>
          <w:rFonts w:asciiTheme="majorHAnsi" w:hAnsiTheme="majorHAnsi" w:cs="Arial"/>
          <w:sz w:val="22"/>
          <w:szCs w:val="22"/>
        </w:rPr>
        <w:t xml:space="preserve">görece yüksek </w:t>
      </w:r>
      <w:r w:rsidR="00AE2FAA" w:rsidRPr="00705CC0">
        <w:rPr>
          <w:rFonts w:asciiTheme="majorHAnsi" w:hAnsiTheme="majorHAnsi" w:cs="Arial"/>
          <w:sz w:val="22"/>
          <w:szCs w:val="22"/>
        </w:rPr>
        <w:t xml:space="preserve">bir artış söz konusudur. Bu değişkenin endeksi aynı dönemde </w:t>
      </w:r>
      <w:r w:rsidR="0006702A" w:rsidRPr="00705CC0">
        <w:rPr>
          <w:rFonts w:asciiTheme="majorHAnsi" w:hAnsiTheme="majorHAnsi" w:cs="Arial"/>
          <w:sz w:val="22"/>
          <w:szCs w:val="22"/>
        </w:rPr>
        <w:t>98,2’d</w:t>
      </w:r>
      <w:r w:rsidR="00971131" w:rsidRPr="00705CC0">
        <w:rPr>
          <w:rFonts w:asciiTheme="majorHAnsi" w:hAnsiTheme="majorHAnsi" w:cs="Arial"/>
          <w:sz w:val="22"/>
          <w:szCs w:val="22"/>
        </w:rPr>
        <w:t>en</w:t>
      </w:r>
      <w:r w:rsidR="00AE2FAA" w:rsidRPr="00705CC0">
        <w:rPr>
          <w:rFonts w:asciiTheme="majorHAnsi" w:hAnsiTheme="majorHAnsi" w:cs="Arial"/>
          <w:sz w:val="22"/>
          <w:szCs w:val="22"/>
        </w:rPr>
        <w:t xml:space="preserve"> 10</w:t>
      </w:r>
      <w:r w:rsidR="0006702A" w:rsidRPr="00705CC0">
        <w:rPr>
          <w:rFonts w:asciiTheme="majorHAnsi" w:hAnsiTheme="majorHAnsi" w:cs="Arial"/>
          <w:sz w:val="22"/>
          <w:szCs w:val="22"/>
        </w:rPr>
        <w:t>8,5</w:t>
      </w:r>
      <w:r w:rsidR="00971131" w:rsidRPr="00705CC0">
        <w:rPr>
          <w:rFonts w:asciiTheme="majorHAnsi" w:hAnsiTheme="majorHAnsi" w:cs="Arial"/>
          <w:sz w:val="22"/>
          <w:szCs w:val="22"/>
        </w:rPr>
        <w:t>’e çıkmıştır</w:t>
      </w:r>
      <w:r w:rsidR="00AE2FAA" w:rsidRPr="00705CC0">
        <w:rPr>
          <w:rFonts w:asciiTheme="majorHAnsi" w:hAnsiTheme="majorHAnsi" w:cs="Arial"/>
          <w:sz w:val="22"/>
          <w:szCs w:val="22"/>
        </w:rPr>
        <w:t>.</w:t>
      </w:r>
      <w:r w:rsidR="0006702A" w:rsidRPr="00705CC0">
        <w:rPr>
          <w:rFonts w:asciiTheme="majorHAnsi" w:hAnsiTheme="majorHAnsi" w:cs="Arial"/>
          <w:sz w:val="22"/>
          <w:szCs w:val="22"/>
        </w:rPr>
        <w:t xml:space="preserve"> Büyümenin kaynakları açısından kriz önceki dönemle kıyasladığımızda, bu dönemde hem ortalama emek verimliliği hem de istihdam oranı büyümeye pozitif katkı yapmıştır. Kriz öncesi dönem de ise ortalama emek verimliliğinin katkısı büyümeyi büyük ölçüde sırtlamıştır. Bu sebeple, 2009(4)-2013(4) dönemi büyümenin kaynakları açısından </w:t>
      </w:r>
      <w:r w:rsidR="00971131" w:rsidRPr="00705CC0">
        <w:rPr>
          <w:rFonts w:asciiTheme="majorHAnsi" w:hAnsiTheme="majorHAnsi" w:cs="Arial"/>
          <w:sz w:val="22"/>
          <w:szCs w:val="22"/>
        </w:rPr>
        <w:t xml:space="preserve">nispeten </w:t>
      </w:r>
      <w:r w:rsidR="00AE2FAA" w:rsidRPr="00705CC0">
        <w:rPr>
          <w:rFonts w:asciiTheme="majorHAnsi" w:hAnsiTheme="majorHAnsi" w:cs="Arial"/>
          <w:sz w:val="22"/>
          <w:szCs w:val="22"/>
        </w:rPr>
        <w:t xml:space="preserve">dengelidir. </w:t>
      </w:r>
      <w:r w:rsidR="00971131" w:rsidRPr="00705CC0">
        <w:rPr>
          <w:rFonts w:asciiTheme="majorHAnsi" w:hAnsiTheme="majorHAnsi" w:cs="Arial"/>
          <w:sz w:val="22"/>
          <w:szCs w:val="22"/>
        </w:rPr>
        <w:t xml:space="preserve">Diğer </w:t>
      </w:r>
      <w:r w:rsidR="0006702A" w:rsidRPr="00705CC0">
        <w:rPr>
          <w:rFonts w:asciiTheme="majorHAnsi" w:hAnsiTheme="majorHAnsi" w:cs="Arial"/>
          <w:sz w:val="22"/>
          <w:szCs w:val="22"/>
        </w:rPr>
        <w:t xml:space="preserve">bir </w:t>
      </w:r>
      <w:r w:rsidR="00971131" w:rsidRPr="00705CC0">
        <w:rPr>
          <w:rFonts w:asciiTheme="majorHAnsi" w:hAnsiTheme="majorHAnsi" w:cs="Arial"/>
          <w:sz w:val="22"/>
          <w:szCs w:val="22"/>
        </w:rPr>
        <w:t>ifadeyle, is</w:t>
      </w:r>
      <w:r w:rsidR="00325473" w:rsidRPr="00705CC0">
        <w:rPr>
          <w:rFonts w:asciiTheme="majorHAnsi" w:hAnsiTheme="majorHAnsi" w:cs="Arial"/>
          <w:sz w:val="22"/>
          <w:szCs w:val="22"/>
        </w:rPr>
        <w:t xml:space="preserve">tihdam oranındaki artışlar ile </w:t>
      </w:r>
      <w:r w:rsidR="00971131" w:rsidRPr="00705CC0">
        <w:rPr>
          <w:rFonts w:asciiTheme="majorHAnsi" w:hAnsiTheme="majorHAnsi" w:cs="Arial"/>
          <w:sz w:val="22"/>
          <w:szCs w:val="22"/>
        </w:rPr>
        <w:t>emek verimliliği</w:t>
      </w:r>
      <w:r w:rsidR="00325473" w:rsidRPr="00705CC0">
        <w:rPr>
          <w:rFonts w:asciiTheme="majorHAnsi" w:hAnsiTheme="majorHAnsi" w:cs="Arial"/>
          <w:sz w:val="22"/>
          <w:szCs w:val="22"/>
        </w:rPr>
        <w:t>n</w:t>
      </w:r>
      <w:r w:rsidR="00971131" w:rsidRPr="00705CC0">
        <w:rPr>
          <w:rFonts w:asciiTheme="majorHAnsi" w:hAnsiTheme="majorHAnsi" w:cs="Arial"/>
          <w:sz w:val="22"/>
          <w:szCs w:val="22"/>
        </w:rPr>
        <w:t>deki artışların büyüm</w:t>
      </w:r>
      <w:r w:rsidR="0006702A" w:rsidRPr="00705CC0">
        <w:rPr>
          <w:rFonts w:asciiTheme="majorHAnsi" w:hAnsiTheme="majorHAnsi" w:cs="Arial"/>
          <w:sz w:val="22"/>
          <w:szCs w:val="22"/>
        </w:rPr>
        <w:t>eye katkısı çoğunlukla birbirine yakındır</w:t>
      </w:r>
      <w:r w:rsidR="00EB2230" w:rsidRPr="00705CC0">
        <w:rPr>
          <w:rFonts w:asciiTheme="majorHAnsi" w:hAnsiTheme="majorHAnsi" w:cs="Arial"/>
          <w:sz w:val="22"/>
          <w:szCs w:val="22"/>
        </w:rPr>
        <w:t xml:space="preserve"> (</w:t>
      </w:r>
      <w:r w:rsidR="00631F29">
        <w:fldChar w:fldCharType="begin"/>
      </w:r>
      <w:r w:rsidR="00631F29">
        <w:instrText xml:space="preserve"> REF _Ref463531047 \h  \* MERGEFORMAT </w:instrText>
      </w:r>
      <w:r w:rsidR="00631F29">
        <w:fldChar w:fldCharType="separate"/>
      </w:r>
      <w:r w:rsidRPr="0083749C">
        <w:rPr>
          <w:rFonts w:asciiTheme="majorHAnsi" w:hAnsiTheme="majorHAnsi" w:cs="Arial"/>
          <w:sz w:val="22"/>
          <w:szCs w:val="22"/>
        </w:rPr>
        <w:t>Şekil 2</w:t>
      </w:r>
      <w:r w:rsidR="00631F29">
        <w:fldChar w:fldCharType="end"/>
      </w:r>
      <w:r w:rsidR="00971131" w:rsidRPr="00705CC0">
        <w:rPr>
          <w:rFonts w:asciiTheme="majorHAnsi" w:hAnsiTheme="majorHAnsi" w:cs="Arial"/>
          <w:sz w:val="22"/>
          <w:szCs w:val="22"/>
        </w:rPr>
        <w:t xml:space="preserve">). </w:t>
      </w:r>
      <w:r w:rsidR="00AE2FAA" w:rsidRPr="008A4073">
        <w:rPr>
          <w:rFonts w:asciiTheme="majorHAnsi" w:hAnsiTheme="majorHAnsi" w:cs="Arial"/>
          <w:sz w:val="22"/>
          <w:szCs w:val="22"/>
        </w:rPr>
        <w:t>Ancak, bilindiği gibi talep tarafında yüksek büyüme tamamen iç talebe dayandığından cari açık hızla büyümüş, buna rağmen aşırı sermaye girişleri ve yüksek enflasyon sonucu Türk Lirası belirgin ölçüde değerlenmiştir.</w:t>
      </w:r>
    </w:p>
    <w:p w:rsidR="0043135B" w:rsidRPr="00705CC0" w:rsidRDefault="0043135B" w:rsidP="0027354C">
      <w:pPr>
        <w:spacing w:line="360" w:lineRule="auto"/>
        <w:jc w:val="both"/>
        <w:rPr>
          <w:rFonts w:asciiTheme="majorHAnsi" w:hAnsiTheme="majorHAnsi" w:cs="Arial"/>
          <w:b/>
          <w:sz w:val="22"/>
          <w:szCs w:val="22"/>
        </w:rPr>
      </w:pPr>
    </w:p>
    <w:p w:rsidR="008E7F5C" w:rsidRPr="00705CC0" w:rsidRDefault="00D239C1" w:rsidP="00502030">
      <w:pPr>
        <w:pStyle w:val="Heading4"/>
      </w:pPr>
      <w:r>
        <w:t>Devam eden büyüme - e</w:t>
      </w:r>
      <w:r w:rsidR="00E62925">
        <w:t>mek verimliliği artışında zayıflama</w:t>
      </w:r>
      <w:r w:rsidR="006E4EBF" w:rsidRPr="00705CC0">
        <w:t xml:space="preserve"> (201</w:t>
      </w:r>
      <w:r w:rsidR="0043135B" w:rsidRPr="00705CC0">
        <w:t>4</w:t>
      </w:r>
      <w:r w:rsidR="006E4EBF" w:rsidRPr="00705CC0">
        <w:t>(</w:t>
      </w:r>
      <w:r w:rsidR="0043135B" w:rsidRPr="00705CC0">
        <w:t>1</w:t>
      </w:r>
      <w:r w:rsidR="00B95FB8" w:rsidRPr="00705CC0">
        <w:t>)</w:t>
      </w:r>
      <w:r w:rsidR="0027354C" w:rsidRPr="00705CC0">
        <w:t xml:space="preserve"> - </w:t>
      </w:r>
      <w:r w:rsidR="00B95FB8" w:rsidRPr="00705CC0">
        <w:t>201</w:t>
      </w:r>
      <w:r w:rsidR="0043135B" w:rsidRPr="00705CC0">
        <w:t>7</w:t>
      </w:r>
      <w:r w:rsidR="00B95FB8" w:rsidRPr="00705CC0">
        <w:t>(</w:t>
      </w:r>
      <w:r w:rsidR="0043135B" w:rsidRPr="00705CC0">
        <w:t>1</w:t>
      </w:r>
      <w:r w:rsidR="00C226F1" w:rsidRPr="00705CC0">
        <w:t>)</w:t>
      </w:r>
      <w:r w:rsidR="006E4EBF" w:rsidRPr="00705CC0">
        <w:t>)</w:t>
      </w:r>
    </w:p>
    <w:p w:rsidR="000E3FCA" w:rsidRPr="00705CC0" w:rsidRDefault="000E3FCA" w:rsidP="0027354C">
      <w:pPr>
        <w:spacing w:line="360" w:lineRule="auto"/>
        <w:jc w:val="both"/>
        <w:rPr>
          <w:rFonts w:asciiTheme="majorHAnsi" w:hAnsiTheme="majorHAnsi" w:cs="Arial"/>
          <w:sz w:val="22"/>
          <w:szCs w:val="22"/>
        </w:rPr>
      </w:pPr>
    </w:p>
    <w:p w:rsidR="0027354C" w:rsidRPr="00705CC0" w:rsidRDefault="00AE2FAA" w:rsidP="00066CC5">
      <w:pPr>
        <w:spacing w:line="360" w:lineRule="auto"/>
        <w:jc w:val="both"/>
        <w:rPr>
          <w:rFonts w:asciiTheme="majorHAnsi" w:hAnsiTheme="majorHAnsi" w:cs="Arial"/>
          <w:sz w:val="22"/>
          <w:szCs w:val="22"/>
        </w:rPr>
      </w:pPr>
      <w:r w:rsidRPr="00705CC0">
        <w:rPr>
          <w:rFonts w:asciiTheme="majorHAnsi" w:hAnsiTheme="majorHAnsi" w:cs="Arial"/>
          <w:sz w:val="22"/>
          <w:szCs w:val="22"/>
        </w:rPr>
        <w:t xml:space="preserve">Bu </w:t>
      </w:r>
      <w:r w:rsidR="00D74C32" w:rsidRPr="00705CC0">
        <w:rPr>
          <w:rFonts w:asciiTheme="majorHAnsi" w:hAnsiTheme="majorHAnsi" w:cs="Arial"/>
          <w:sz w:val="22"/>
          <w:szCs w:val="22"/>
        </w:rPr>
        <w:t>dönemde kişi başına düşen GSYH düzenli olarak artış göster</w:t>
      </w:r>
      <w:r w:rsidR="00D239C1">
        <w:rPr>
          <w:rFonts w:asciiTheme="majorHAnsi" w:hAnsiTheme="majorHAnsi" w:cs="Arial"/>
          <w:sz w:val="22"/>
          <w:szCs w:val="22"/>
        </w:rPr>
        <w:t>mekle beraber büyüme oranı 2014 öncesine göre bir miktar düşük seyretti (2010-2013 arası yıllık büyüme oranı ortalama yüzde 8,2 iken 2014-2016 yılları için bu oran yüzde 4,7 oldu). Benzer şekilde</w:t>
      </w:r>
      <w:r w:rsidR="00D74C32" w:rsidRPr="00705CC0">
        <w:rPr>
          <w:rFonts w:asciiTheme="majorHAnsi" w:hAnsiTheme="majorHAnsi" w:cs="Arial"/>
          <w:sz w:val="22"/>
          <w:szCs w:val="22"/>
        </w:rPr>
        <w:t xml:space="preserve">, emek verimliliğinde artış </w:t>
      </w:r>
      <w:r w:rsidR="00D239C1">
        <w:rPr>
          <w:rFonts w:asciiTheme="majorHAnsi" w:hAnsiTheme="majorHAnsi" w:cs="Arial"/>
          <w:sz w:val="22"/>
          <w:szCs w:val="22"/>
        </w:rPr>
        <w:t xml:space="preserve">da </w:t>
      </w:r>
      <w:r w:rsidR="00D74C32" w:rsidRPr="00705CC0">
        <w:rPr>
          <w:rFonts w:asciiTheme="majorHAnsi" w:hAnsiTheme="majorHAnsi" w:cs="Arial"/>
          <w:sz w:val="22"/>
          <w:szCs w:val="22"/>
        </w:rPr>
        <w:t>önceki dönemlere kıyasla zayıflamıştır. 2014(1)’den 2017(1)’e k</w:t>
      </w:r>
      <w:r w:rsidR="00E62925">
        <w:rPr>
          <w:rFonts w:asciiTheme="majorHAnsi" w:hAnsiTheme="majorHAnsi" w:cs="Arial"/>
          <w:sz w:val="22"/>
          <w:szCs w:val="22"/>
        </w:rPr>
        <w:t>adar kişi başı GSYH endeksi 136,4’ten 150,</w:t>
      </w:r>
      <w:r w:rsidR="00D74C32" w:rsidRPr="00705CC0">
        <w:rPr>
          <w:rFonts w:asciiTheme="majorHAnsi" w:hAnsiTheme="majorHAnsi" w:cs="Arial"/>
          <w:sz w:val="22"/>
          <w:szCs w:val="22"/>
        </w:rPr>
        <w:t xml:space="preserve">2’ye yükselirken, ortalama emek verimliliğindeki artış yaklaşık 5 puanda sınırlı kalmıştır. Bu dönem içerisinde ortalama emek verimliliği endeksi 118,5’ten 123,4’e çıkmıştır. </w:t>
      </w:r>
      <w:r w:rsidR="0056509A" w:rsidRPr="00705CC0">
        <w:rPr>
          <w:rFonts w:asciiTheme="majorHAnsi" w:hAnsiTheme="majorHAnsi" w:cs="Arial"/>
          <w:sz w:val="22"/>
          <w:szCs w:val="22"/>
        </w:rPr>
        <w:t>Aynı şekilde istihdam oranı da sınırlı ölçüde artmış, bu kalemin endeksi dönem içerisinde 109,3’ten 114,2’ye yükselmiştir. Bu dönemde istihdam oranındaki artış, ortalama emek verimliliğindeki artıştan nispeten daha yüksek</w:t>
      </w:r>
      <w:r w:rsidR="00874564">
        <w:rPr>
          <w:rFonts w:asciiTheme="majorHAnsi" w:hAnsiTheme="majorHAnsi" w:cs="Arial"/>
          <w:sz w:val="22"/>
          <w:szCs w:val="22"/>
        </w:rPr>
        <w:t xml:space="preserve">tir. </w:t>
      </w:r>
      <w:r w:rsidR="0056509A" w:rsidRPr="00705CC0">
        <w:rPr>
          <w:rFonts w:asciiTheme="majorHAnsi" w:hAnsiTheme="majorHAnsi" w:cs="Arial"/>
          <w:sz w:val="22"/>
          <w:szCs w:val="22"/>
        </w:rPr>
        <w:t xml:space="preserve">Büyümeye olan katkılar incelendiğinde, ortalama emek verimliliğinin GSYH artışına olan katkısının </w:t>
      </w:r>
      <w:r w:rsidR="00874564">
        <w:rPr>
          <w:rFonts w:asciiTheme="majorHAnsi" w:hAnsiTheme="majorHAnsi" w:cs="Arial"/>
          <w:sz w:val="22"/>
          <w:szCs w:val="22"/>
        </w:rPr>
        <w:t>bazı dönemler</w:t>
      </w:r>
      <w:r w:rsidR="0056509A" w:rsidRPr="00705CC0">
        <w:rPr>
          <w:rFonts w:asciiTheme="majorHAnsi" w:hAnsiTheme="majorHAnsi" w:cs="Arial"/>
          <w:sz w:val="22"/>
          <w:szCs w:val="22"/>
        </w:rPr>
        <w:t xml:space="preserve"> pozitif</w:t>
      </w:r>
      <w:r w:rsidR="005A4989">
        <w:rPr>
          <w:rFonts w:asciiTheme="majorHAnsi" w:hAnsiTheme="majorHAnsi" w:cs="Arial"/>
          <w:sz w:val="22"/>
          <w:szCs w:val="22"/>
        </w:rPr>
        <w:t xml:space="preserve"> bazı döne</w:t>
      </w:r>
      <w:r w:rsidR="00874564">
        <w:rPr>
          <w:rFonts w:asciiTheme="majorHAnsi" w:hAnsiTheme="majorHAnsi" w:cs="Arial"/>
          <w:sz w:val="22"/>
          <w:szCs w:val="22"/>
        </w:rPr>
        <w:t xml:space="preserve">mler negatif olduğu görülürken </w:t>
      </w:r>
      <w:r w:rsidR="005A4989">
        <w:rPr>
          <w:rFonts w:asciiTheme="majorHAnsi" w:hAnsiTheme="majorHAnsi" w:cs="Arial"/>
          <w:sz w:val="22"/>
          <w:szCs w:val="22"/>
        </w:rPr>
        <w:t xml:space="preserve">istihdam oranının katkısı çoğunlukla pozitiftir. GSYH büyümesinin düşük veya negatif olduğu çeyreklerde emek verimliliğinin katkısı da negatif olmaktadır. </w:t>
      </w:r>
    </w:p>
    <w:p w:rsidR="0006702A" w:rsidRPr="00705CC0" w:rsidRDefault="0006702A" w:rsidP="0027354C">
      <w:pPr>
        <w:spacing w:line="360" w:lineRule="auto"/>
        <w:rPr>
          <w:rFonts w:asciiTheme="majorHAnsi" w:hAnsiTheme="majorHAnsi" w:cs="Arial"/>
          <w:b/>
          <w:sz w:val="22"/>
          <w:szCs w:val="22"/>
        </w:rPr>
      </w:pPr>
    </w:p>
    <w:p w:rsidR="00AE2FAA" w:rsidRPr="006B6CA7" w:rsidRDefault="00345F45" w:rsidP="00502030">
      <w:pPr>
        <w:pStyle w:val="Heading3"/>
        <w:rPr>
          <w:lang w:val="tr-TR"/>
        </w:rPr>
      </w:pPr>
      <w:r w:rsidRPr="006B6CA7">
        <w:rPr>
          <w:lang w:val="tr-TR"/>
        </w:rPr>
        <w:lastRenderedPageBreak/>
        <w:t>Genel Değerlendirme</w:t>
      </w:r>
    </w:p>
    <w:p w:rsidR="0027354C" w:rsidRPr="00705CC0" w:rsidRDefault="0027354C" w:rsidP="0027354C">
      <w:pPr>
        <w:spacing w:line="360" w:lineRule="auto"/>
        <w:rPr>
          <w:rFonts w:asciiTheme="majorHAnsi" w:hAnsiTheme="majorHAnsi" w:cs="Arial"/>
          <w:b/>
          <w:sz w:val="22"/>
          <w:szCs w:val="22"/>
        </w:rPr>
      </w:pPr>
    </w:p>
    <w:p w:rsidR="00965557" w:rsidRDefault="00345F45" w:rsidP="0027354C">
      <w:pPr>
        <w:spacing w:line="360" w:lineRule="auto"/>
        <w:jc w:val="both"/>
        <w:rPr>
          <w:rFonts w:asciiTheme="majorHAnsi" w:hAnsiTheme="majorHAnsi" w:cs="Arial"/>
          <w:sz w:val="22"/>
          <w:szCs w:val="22"/>
        </w:rPr>
      </w:pPr>
      <w:r w:rsidRPr="00485081">
        <w:rPr>
          <w:rFonts w:asciiTheme="majorHAnsi" w:hAnsiTheme="majorHAnsi" w:cs="Arial"/>
          <w:sz w:val="22"/>
          <w:szCs w:val="22"/>
        </w:rPr>
        <w:t>Eski milli gelir serilerini kullandığımız notta "Büyümede ikilem: istihdam mı, verimlilik mi?" diye</w:t>
      </w:r>
      <w:r>
        <w:rPr>
          <w:rFonts w:asciiTheme="majorHAnsi" w:hAnsiTheme="majorHAnsi" w:cs="Arial"/>
          <w:sz w:val="22"/>
          <w:szCs w:val="22"/>
        </w:rPr>
        <w:t xml:space="preserve"> sormuş </w:t>
      </w:r>
      <w:r w:rsidR="0020159F">
        <w:rPr>
          <w:rFonts w:asciiTheme="majorHAnsi" w:hAnsiTheme="majorHAnsi" w:cs="Arial"/>
          <w:sz w:val="22"/>
          <w:szCs w:val="22"/>
        </w:rPr>
        <w:t xml:space="preserve">ve son yıllarda gördüğümüz büyümenin "kalitesiz" olduğunu belirtmiştik. Bunun temel sebebi hem büyüme oranının düşük hem de emek verimliliğinin yerinde sayması idi. </w:t>
      </w:r>
      <w:r w:rsidR="00743BB2" w:rsidRPr="00621A2F">
        <w:rPr>
          <w:rFonts w:asciiTheme="majorHAnsi" w:hAnsiTheme="majorHAnsi" w:cs="Arial"/>
          <w:sz w:val="22"/>
          <w:szCs w:val="22"/>
        </w:rPr>
        <w:t xml:space="preserve">Bir bakıma emek verimliliği yerinde saydığından ekonomik büyüme de düşüktü. </w:t>
      </w:r>
      <w:r w:rsidR="0020159F" w:rsidRPr="00621A2F">
        <w:rPr>
          <w:rFonts w:asciiTheme="majorHAnsi" w:hAnsiTheme="majorHAnsi" w:cs="Arial"/>
          <w:sz w:val="22"/>
          <w:szCs w:val="22"/>
        </w:rPr>
        <w:t xml:space="preserve">Yeni </w:t>
      </w:r>
      <w:r w:rsidR="00743BB2" w:rsidRPr="00621A2F">
        <w:rPr>
          <w:rFonts w:asciiTheme="majorHAnsi" w:hAnsiTheme="majorHAnsi" w:cs="Arial"/>
          <w:sz w:val="22"/>
          <w:szCs w:val="22"/>
        </w:rPr>
        <w:t>milli gelir rakamları</w:t>
      </w:r>
      <w:r w:rsidR="00743BB2">
        <w:rPr>
          <w:rFonts w:asciiTheme="majorHAnsi" w:hAnsiTheme="majorHAnsi" w:cs="Arial"/>
          <w:sz w:val="22"/>
          <w:szCs w:val="22"/>
        </w:rPr>
        <w:t xml:space="preserve"> </w:t>
      </w:r>
      <w:r w:rsidR="0020159F">
        <w:rPr>
          <w:rFonts w:asciiTheme="majorHAnsi" w:hAnsiTheme="majorHAnsi" w:cs="Arial"/>
          <w:sz w:val="22"/>
          <w:szCs w:val="22"/>
        </w:rPr>
        <w:t xml:space="preserve">bu bulguyu büyük oranda </w:t>
      </w:r>
      <w:r w:rsidR="00743BB2" w:rsidRPr="00E32ABF">
        <w:rPr>
          <w:rFonts w:asciiTheme="majorHAnsi" w:hAnsiTheme="majorHAnsi" w:cs="Arial"/>
          <w:sz w:val="22"/>
          <w:szCs w:val="22"/>
        </w:rPr>
        <w:t>değiştirdi</w:t>
      </w:r>
      <w:r w:rsidR="0020159F" w:rsidRPr="00E32ABF">
        <w:rPr>
          <w:rFonts w:asciiTheme="majorHAnsi" w:hAnsiTheme="majorHAnsi" w:cs="Arial"/>
          <w:sz w:val="22"/>
          <w:szCs w:val="22"/>
        </w:rPr>
        <w:t>.</w:t>
      </w:r>
      <w:r w:rsidR="0020159F">
        <w:rPr>
          <w:rFonts w:asciiTheme="majorHAnsi" w:hAnsiTheme="majorHAnsi" w:cs="Arial"/>
          <w:sz w:val="22"/>
          <w:szCs w:val="22"/>
        </w:rPr>
        <w:t xml:space="preserve"> 2014 sonrası dönemde GSYH büyümesi bir miktar yavaşlamakla birlikte görece yüksek seyretmiştir. Emek verimlilik artışları </w:t>
      </w:r>
      <w:r w:rsidR="00743BB2" w:rsidRPr="00621A2F">
        <w:rPr>
          <w:rFonts w:asciiTheme="majorHAnsi" w:hAnsiTheme="majorHAnsi" w:cs="Arial"/>
          <w:sz w:val="22"/>
          <w:szCs w:val="22"/>
        </w:rPr>
        <w:t>da bu dönemde</w:t>
      </w:r>
      <w:r w:rsidR="00743BB2">
        <w:rPr>
          <w:rFonts w:asciiTheme="majorHAnsi" w:hAnsiTheme="majorHAnsi" w:cs="Arial"/>
          <w:sz w:val="22"/>
          <w:szCs w:val="22"/>
        </w:rPr>
        <w:t xml:space="preserve"> </w:t>
      </w:r>
      <w:r w:rsidR="0020159F">
        <w:rPr>
          <w:rFonts w:asciiTheme="majorHAnsi" w:hAnsiTheme="majorHAnsi" w:cs="Arial"/>
          <w:sz w:val="22"/>
          <w:szCs w:val="22"/>
        </w:rPr>
        <w:t>yavaşlamakla birlikte kişi başı gelir artışlarına pozitif katkı yapmaya devam etmektedir.</w:t>
      </w:r>
      <w:r w:rsidR="00965557">
        <w:rPr>
          <w:rFonts w:asciiTheme="majorHAnsi" w:hAnsiTheme="majorHAnsi" w:cs="Arial"/>
          <w:sz w:val="22"/>
          <w:szCs w:val="22"/>
        </w:rPr>
        <w:t xml:space="preserve"> </w:t>
      </w:r>
    </w:p>
    <w:p w:rsidR="00743BB2" w:rsidRDefault="00965557" w:rsidP="00965557">
      <w:pPr>
        <w:spacing w:line="360" w:lineRule="auto"/>
        <w:jc w:val="both"/>
        <w:rPr>
          <w:rFonts w:asciiTheme="majorHAnsi" w:hAnsiTheme="majorHAnsi" w:cs="Arial"/>
          <w:sz w:val="22"/>
          <w:szCs w:val="22"/>
        </w:rPr>
      </w:pPr>
      <w:r>
        <w:rPr>
          <w:rFonts w:asciiTheme="majorHAnsi" w:hAnsiTheme="majorHAnsi" w:cs="Arial"/>
          <w:sz w:val="22"/>
          <w:szCs w:val="22"/>
        </w:rPr>
        <w:t xml:space="preserve">Durum, verimlilik açısından, </w:t>
      </w:r>
      <w:r w:rsidR="00743BB2" w:rsidRPr="00621A2F">
        <w:rPr>
          <w:rFonts w:asciiTheme="majorHAnsi" w:hAnsiTheme="majorHAnsi" w:cs="Arial"/>
          <w:sz w:val="22"/>
          <w:szCs w:val="22"/>
        </w:rPr>
        <w:t>eski büyüme rakamlarının işaret ettiği kadar endişe verici</w:t>
      </w:r>
      <w:r>
        <w:rPr>
          <w:rFonts w:asciiTheme="majorHAnsi" w:hAnsiTheme="majorHAnsi" w:cs="Arial"/>
          <w:sz w:val="22"/>
          <w:szCs w:val="22"/>
        </w:rPr>
        <w:t xml:space="preserve"> olmamakla birlikte sorunsuz da değildir. </w:t>
      </w:r>
      <w:r w:rsidR="0020159F">
        <w:rPr>
          <w:rFonts w:asciiTheme="majorHAnsi" w:hAnsiTheme="majorHAnsi" w:cs="Arial"/>
          <w:sz w:val="22"/>
          <w:szCs w:val="22"/>
        </w:rPr>
        <w:t>Türkiye</w:t>
      </w:r>
      <w:r>
        <w:rPr>
          <w:rFonts w:asciiTheme="majorHAnsi" w:hAnsiTheme="majorHAnsi" w:cs="Arial"/>
          <w:sz w:val="22"/>
          <w:szCs w:val="22"/>
        </w:rPr>
        <w:t xml:space="preserve"> ekonomisinin</w:t>
      </w:r>
      <w:r w:rsidR="0020159F">
        <w:rPr>
          <w:rFonts w:asciiTheme="majorHAnsi" w:hAnsiTheme="majorHAnsi" w:cs="Arial"/>
          <w:sz w:val="22"/>
          <w:szCs w:val="22"/>
        </w:rPr>
        <w:t xml:space="preserve"> Orta Gelir Tuzağına düşme</w:t>
      </w:r>
      <w:r>
        <w:rPr>
          <w:rFonts w:asciiTheme="majorHAnsi" w:hAnsiTheme="majorHAnsi" w:cs="Arial"/>
          <w:sz w:val="22"/>
          <w:szCs w:val="22"/>
        </w:rPr>
        <w:t>den</w:t>
      </w:r>
      <w:r w:rsidR="0020159F">
        <w:rPr>
          <w:rFonts w:asciiTheme="majorHAnsi" w:hAnsiTheme="majorHAnsi" w:cs="Arial"/>
          <w:sz w:val="22"/>
          <w:szCs w:val="22"/>
        </w:rPr>
        <w:t xml:space="preserve"> </w:t>
      </w:r>
      <w:r w:rsidR="0020159F" w:rsidRPr="0020159F">
        <w:rPr>
          <w:rFonts w:asciiTheme="majorHAnsi" w:hAnsiTheme="majorHAnsi" w:cs="Arial"/>
          <w:sz w:val="22"/>
          <w:szCs w:val="22"/>
        </w:rPr>
        <w:t>daha yüksek büyüme hızlarına ulaş</w:t>
      </w:r>
      <w:r>
        <w:rPr>
          <w:rFonts w:asciiTheme="majorHAnsi" w:hAnsiTheme="majorHAnsi" w:cs="Arial"/>
          <w:sz w:val="22"/>
          <w:szCs w:val="22"/>
        </w:rPr>
        <w:t xml:space="preserve">mak suretiyle </w:t>
      </w:r>
      <w:r w:rsidR="0020159F">
        <w:rPr>
          <w:rFonts w:asciiTheme="majorHAnsi" w:hAnsiTheme="majorHAnsi" w:cs="Arial"/>
          <w:sz w:val="22"/>
          <w:szCs w:val="22"/>
        </w:rPr>
        <w:t>k</w:t>
      </w:r>
      <w:r w:rsidR="0020159F" w:rsidRPr="0020159F">
        <w:rPr>
          <w:rFonts w:asciiTheme="majorHAnsi" w:hAnsiTheme="majorHAnsi" w:cs="Arial"/>
          <w:sz w:val="22"/>
          <w:szCs w:val="22"/>
        </w:rPr>
        <w:t>işi başına geliri</w:t>
      </w:r>
      <w:r>
        <w:rPr>
          <w:rFonts w:asciiTheme="majorHAnsi" w:hAnsiTheme="majorHAnsi" w:cs="Arial"/>
          <w:sz w:val="22"/>
          <w:szCs w:val="22"/>
        </w:rPr>
        <w:t>ni</w:t>
      </w:r>
      <w:r w:rsidR="0020159F" w:rsidRPr="0020159F">
        <w:rPr>
          <w:rFonts w:asciiTheme="majorHAnsi" w:hAnsiTheme="majorHAnsi" w:cs="Arial"/>
          <w:sz w:val="22"/>
          <w:szCs w:val="22"/>
        </w:rPr>
        <w:t xml:space="preserve"> daha hızlı arttırarak gelişmiş ülkelerle olan açığı azaltabilmesi için verimlilik artışların</w:t>
      </w:r>
      <w:r w:rsidR="00743BB2">
        <w:rPr>
          <w:rFonts w:asciiTheme="majorHAnsi" w:hAnsiTheme="majorHAnsi" w:cs="Arial"/>
          <w:sz w:val="22"/>
          <w:szCs w:val="22"/>
        </w:rPr>
        <w:t xml:space="preserve">ın </w:t>
      </w:r>
      <w:r w:rsidR="00743BB2" w:rsidRPr="00621A2F">
        <w:rPr>
          <w:rFonts w:asciiTheme="majorHAnsi" w:hAnsiTheme="majorHAnsi" w:cs="Arial"/>
          <w:sz w:val="22"/>
          <w:szCs w:val="22"/>
        </w:rPr>
        <w:t>son üç yıla kıyasla hızlanması</w:t>
      </w:r>
      <w:r w:rsidR="00743BB2">
        <w:rPr>
          <w:rFonts w:asciiTheme="majorHAnsi" w:hAnsiTheme="majorHAnsi" w:cs="Arial"/>
          <w:sz w:val="22"/>
          <w:szCs w:val="22"/>
        </w:rPr>
        <w:t xml:space="preserve"> </w:t>
      </w:r>
      <w:r>
        <w:rPr>
          <w:rFonts w:asciiTheme="majorHAnsi" w:hAnsiTheme="majorHAnsi" w:cs="Arial"/>
          <w:sz w:val="22"/>
          <w:szCs w:val="22"/>
        </w:rPr>
        <w:t xml:space="preserve">gerekmektedir. </w:t>
      </w:r>
    </w:p>
    <w:p w:rsidR="00AE2FAA" w:rsidRPr="009377CE" w:rsidRDefault="00965557" w:rsidP="00965557">
      <w:pPr>
        <w:spacing w:line="360" w:lineRule="auto"/>
        <w:jc w:val="both"/>
        <w:rPr>
          <w:rFonts w:asciiTheme="majorHAnsi" w:hAnsiTheme="majorHAnsi" w:cs="Arial"/>
          <w:strike/>
          <w:sz w:val="22"/>
          <w:szCs w:val="22"/>
        </w:rPr>
      </w:pPr>
      <w:r>
        <w:rPr>
          <w:rFonts w:asciiTheme="majorHAnsi" w:hAnsiTheme="majorHAnsi" w:cs="Arial"/>
          <w:sz w:val="22"/>
          <w:szCs w:val="22"/>
        </w:rPr>
        <w:t xml:space="preserve">Daha önceki notumuzda </w:t>
      </w:r>
      <w:r w:rsidRPr="00485081">
        <w:rPr>
          <w:rFonts w:asciiTheme="majorHAnsi" w:hAnsiTheme="majorHAnsi" w:cs="Arial"/>
          <w:sz w:val="22"/>
          <w:szCs w:val="22"/>
        </w:rPr>
        <w:t>yaptığımız uyarıyı tekrarlamayı uygun görüyoruz: V</w:t>
      </w:r>
      <w:r w:rsidR="00AE2FAA" w:rsidRPr="00485081">
        <w:rPr>
          <w:rFonts w:asciiTheme="majorHAnsi" w:hAnsiTheme="majorHAnsi" w:cs="Arial"/>
          <w:sz w:val="22"/>
          <w:szCs w:val="22"/>
        </w:rPr>
        <w:t xml:space="preserve">erimlilik artışlarının yolu başta eğitim sistemi olmak üzere, işgücü piyasası, </w:t>
      </w:r>
      <w:r w:rsidR="00BF4262" w:rsidRPr="00485081">
        <w:rPr>
          <w:rFonts w:asciiTheme="majorHAnsi" w:hAnsiTheme="majorHAnsi" w:cs="Arial"/>
          <w:sz w:val="22"/>
          <w:szCs w:val="22"/>
        </w:rPr>
        <w:t xml:space="preserve">altyapı, </w:t>
      </w:r>
      <w:r w:rsidR="00AE2FAA" w:rsidRPr="00485081">
        <w:rPr>
          <w:rFonts w:asciiTheme="majorHAnsi" w:hAnsiTheme="majorHAnsi" w:cs="Arial"/>
          <w:sz w:val="22"/>
          <w:szCs w:val="22"/>
        </w:rPr>
        <w:t xml:space="preserve">vergi sistemi, enerji </w:t>
      </w:r>
      <w:r w:rsidR="00A15C3D" w:rsidRPr="00485081">
        <w:rPr>
          <w:rFonts w:asciiTheme="majorHAnsi" w:hAnsiTheme="majorHAnsi" w:cs="Arial"/>
          <w:sz w:val="22"/>
          <w:szCs w:val="22"/>
        </w:rPr>
        <w:t xml:space="preserve">ve </w:t>
      </w:r>
      <w:r w:rsidR="00364EE4" w:rsidRPr="00485081">
        <w:rPr>
          <w:rFonts w:asciiTheme="majorHAnsi" w:hAnsiTheme="majorHAnsi" w:cs="Arial"/>
          <w:sz w:val="22"/>
          <w:szCs w:val="22"/>
        </w:rPr>
        <w:t xml:space="preserve">ürün </w:t>
      </w:r>
      <w:r w:rsidR="00AE2FAA" w:rsidRPr="00485081">
        <w:rPr>
          <w:rFonts w:asciiTheme="majorHAnsi" w:hAnsiTheme="majorHAnsi" w:cs="Arial"/>
          <w:sz w:val="22"/>
          <w:szCs w:val="22"/>
        </w:rPr>
        <w:t>piyasa</w:t>
      </w:r>
      <w:r w:rsidR="00364EE4" w:rsidRPr="00485081">
        <w:rPr>
          <w:rFonts w:asciiTheme="majorHAnsi" w:hAnsiTheme="majorHAnsi" w:cs="Arial"/>
          <w:sz w:val="22"/>
          <w:szCs w:val="22"/>
        </w:rPr>
        <w:t>larında</w:t>
      </w:r>
      <w:r w:rsidR="00AE2FAA" w:rsidRPr="00485081">
        <w:rPr>
          <w:rFonts w:asciiTheme="majorHAnsi" w:hAnsiTheme="majorHAnsi" w:cs="Arial"/>
          <w:sz w:val="22"/>
          <w:szCs w:val="22"/>
        </w:rPr>
        <w:t xml:space="preserve">, daha genel söyleyecek olursak her alanda ekonomi çarklarını çok daha etkin bir şekilde </w:t>
      </w:r>
      <w:r w:rsidR="00364EE4" w:rsidRPr="00485081">
        <w:rPr>
          <w:rFonts w:asciiTheme="majorHAnsi" w:hAnsiTheme="majorHAnsi" w:cs="Arial"/>
          <w:sz w:val="22"/>
          <w:szCs w:val="22"/>
        </w:rPr>
        <w:t>döndürecek</w:t>
      </w:r>
      <w:r w:rsidR="00345F45" w:rsidRPr="00485081">
        <w:rPr>
          <w:rFonts w:asciiTheme="majorHAnsi" w:hAnsiTheme="majorHAnsi" w:cs="Arial"/>
          <w:sz w:val="22"/>
          <w:szCs w:val="22"/>
        </w:rPr>
        <w:t xml:space="preserve"> </w:t>
      </w:r>
      <w:r w:rsidR="00AE2FAA" w:rsidRPr="00485081">
        <w:rPr>
          <w:rFonts w:asciiTheme="majorHAnsi" w:hAnsiTheme="majorHAnsi" w:cs="Arial"/>
          <w:sz w:val="22"/>
          <w:szCs w:val="22"/>
        </w:rPr>
        <w:t>yapısal reformlardan geç</w:t>
      </w:r>
      <w:r w:rsidR="00364EE4" w:rsidRPr="00485081">
        <w:rPr>
          <w:rFonts w:asciiTheme="majorHAnsi" w:hAnsiTheme="majorHAnsi" w:cs="Arial"/>
          <w:sz w:val="22"/>
          <w:szCs w:val="22"/>
        </w:rPr>
        <w:t>mektedir</w:t>
      </w:r>
      <w:r w:rsidR="00AE2FAA" w:rsidRPr="00485081">
        <w:rPr>
          <w:rFonts w:asciiTheme="majorHAnsi" w:hAnsiTheme="majorHAnsi" w:cs="Arial"/>
          <w:sz w:val="22"/>
          <w:szCs w:val="22"/>
        </w:rPr>
        <w:t>. Aksi takdirde</w:t>
      </w:r>
      <w:r w:rsidRPr="00485081">
        <w:rPr>
          <w:rFonts w:asciiTheme="majorHAnsi" w:hAnsiTheme="majorHAnsi" w:cs="Arial"/>
          <w:sz w:val="22"/>
          <w:szCs w:val="22"/>
        </w:rPr>
        <w:t xml:space="preserve">, Orta Gelir Tuzağı </w:t>
      </w:r>
      <w:r w:rsidR="009377CE" w:rsidRPr="00621A2F">
        <w:rPr>
          <w:rFonts w:asciiTheme="majorHAnsi" w:hAnsiTheme="majorHAnsi" w:cs="Arial"/>
          <w:sz w:val="22"/>
          <w:szCs w:val="22"/>
        </w:rPr>
        <w:t>tehdidinin soluğunu hissetmeye devam ederiz.</w:t>
      </w:r>
      <w:r w:rsidR="009377CE">
        <w:rPr>
          <w:rFonts w:asciiTheme="majorHAnsi" w:hAnsiTheme="majorHAnsi" w:cs="Arial"/>
          <w:sz w:val="22"/>
          <w:szCs w:val="22"/>
        </w:rPr>
        <w:t xml:space="preserve"> </w:t>
      </w:r>
      <w:r w:rsidR="00485081" w:rsidRPr="009377CE">
        <w:rPr>
          <w:rFonts w:asciiTheme="majorHAnsi" w:hAnsiTheme="majorHAnsi" w:cs="Arial"/>
          <w:strike/>
          <w:sz w:val="22"/>
          <w:szCs w:val="22"/>
        </w:rPr>
        <w:t xml:space="preserve"> </w:t>
      </w:r>
    </w:p>
    <w:p w:rsidR="00AE2FAA" w:rsidRPr="00705CC0" w:rsidRDefault="00AE2FAA" w:rsidP="0027354C">
      <w:pPr>
        <w:spacing w:line="360" w:lineRule="auto"/>
        <w:rPr>
          <w:rFonts w:asciiTheme="majorHAnsi" w:hAnsiTheme="majorHAnsi" w:cs="Arial"/>
          <w:sz w:val="22"/>
          <w:szCs w:val="22"/>
        </w:rPr>
      </w:pPr>
    </w:p>
    <w:p w:rsidR="000E3FCA" w:rsidRPr="00705CC0" w:rsidRDefault="000E3FCA" w:rsidP="00860C3F">
      <w:pPr>
        <w:pStyle w:val="Caption"/>
        <w:rPr>
          <w:rFonts w:asciiTheme="majorHAnsi" w:hAnsiTheme="majorHAnsi" w:cs="Arial"/>
          <w:bCs w:val="0"/>
          <w:sz w:val="22"/>
          <w:szCs w:val="22"/>
        </w:rPr>
      </w:pPr>
      <w:bookmarkStart w:id="5" w:name="_Ref463531014"/>
      <w:bookmarkStart w:id="6" w:name="_Ref463530905"/>
    </w:p>
    <w:p w:rsidR="00860C3F" w:rsidRPr="00705CC0" w:rsidRDefault="00860C3F" w:rsidP="00860C3F">
      <w:pPr>
        <w:pStyle w:val="Caption"/>
        <w:rPr>
          <w:rFonts w:asciiTheme="majorHAnsi" w:hAnsiTheme="majorHAnsi" w:cs="Arial"/>
          <w:bCs w:val="0"/>
          <w:sz w:val="22"/>
          <w:szCs w:val="22"/>
        </w:rPr>
      </w:pPr>
      <w:r w:rsidRPr="00705CC0">
        <w:rPr>
          <w:rFonts w:asciiTheme="majorHAnsi" w:hAnsiTheme="majorHAnsi" w:cs="Arial"/>
          <w:bCs w:val="0"/>
          <w:sz w:val="22"/>
          <w:szCs w:val="22"/>
        </w:rPr>
        <w:t xml:space="preserve">Kutu </w:t>
      </w:r>
      <w:r w:rsidR="00326161" w:rsidRPr="00705CC0">
        <w:rPr>
          <w:rFonts w:asciiTheme="majorHAnsi" w:hAnsiTheme="majorHAnsi" w:cs="Arial"/>
          <w:bCs w:val="0"/>
          <w:sz w:val="22"/>
          <w:szCs w:val="22"/>
        </w:rPr>
        <w:fldChar w:fldCharType="begin"/>
      </w:r>
      <w:r w:rsidRPr="00705CC0">
        <w:rPr>
          <w:rFonts w:asciiTheme="majorHAnsi" w:hAnsiTheme="majorHAnsi" w:cs="Arial"/>
          <w:bCs w:val="0"/>
          <w:sz w:val="22"/>
          <w:szCs w:val="22"/>
        </w:rPr>
        <w:instrText xml:space="preserve"> SEQ Kutu \* ARABIC </w:instrText>
      </w:r>
      <w:r w:rsidR="00326161" w:rsidRPr="00705CC0">
        <w:rPr>
          <w:rFonts w:asciiTheme="majorHAnsi" w:hAnsiTheme="majorHAnsi" w:cs="Arial"/>
          <w:bCs w:val="0"/>
          <w:sz w:val="22"/>
          <w:szCs w:val="22"/>
        </w:rPr>
        <w:fldChar w:fldCharType="separate"/>
      </w:r>
      <w:r w:rsidR="0083749C">
        <w:rPr>
          <w:rFonts w:asciiTheme="majorHAnsi" w:hAnsiTheme="majorHAnsi" w:cs="Arial"/>
          <w:bCs w:val="0"/>
          <w:noProof/>
          <w:sz w:val="22"/>
          <w:szCs w:val="22"/>
        </w:rPr>
        <w:t>1</w:t>
      </w:r>
      <w:r w:rsidR="00326161" w:rsidRPr="00705CC0">
        <w:rPr>
          <w:rFonts w:asciiTheme="majorHAnsi" w:hAnsiTheme="majorHAnsi" w:cs="Arial"/>
          <w:bCs w:val="0"/>
          <w:sz w:val="22"/>
          <w:szCs w:val="22"/>
        </w:rPr>
        <w:fldChar w:fldCharType="end"/>
      </w:r>
      <w:bookmarkEnd w:id="5"/>
      <w:r w:rsidRPr="00705CC0">
        <w:rPr>
          <w:rFonts w:asciiTheme="majorHAnsi" w:hAnsiTheme="majorHAnsi" w:cs="Arial"/>
          <w:bCs w:val="0"/>
          <w:sz w:val="22"/>
          <w:szCs w:val="22"/>
        </w:rPr>
        <w:t>.  Kişi başına gelir artışının bileşenlerine ayrıştırılması</w:t>
      </w:r>
      <w:bookmarkEnd w:id="6"/>
    </w:p>
    <w:p w:rsidR="008B1B11" w:rsidRPr="00705CC0" w:rsidRDefault="0039183A" w:rsidP="008B1B11">
      <w:pPr>
        <w:rPr>
          <w:rFonts w:asciiTheme="majorHAnsi" w:hAnsiTheme="majorHAnsi" w:cs="Arial"/>
          <w:b/>
          <w:sz w:val="22"/>
          <w:szCs w:val="22"/>
        </w:rPr>
      </w:pPr>
      <w:r>
        <w:rPr>
          <w:rFonts w:asciiTheme="majorHAnsi" w:hAnsiTheme="majorHAnsi" w:cs="Arial"/>
          <w:b/>
          <w:noProof/>
          <w:sz w:val="22"/>
          <w:szCs w:val="22"/>
          <w:lang w:eastAsia="tr-TR"/>
        </w:rPr>
        <mc:AlternateContent>
          <mc:Choice Requires="wps">
            <w:drawing>
              <wp:anchor distT="0" distB="0" distL="114300" distR="114300" simplePos="0" relativeHeight="251656192" behindDoc="0" locked="0" layoutInCell="1" allowOverlap="1" wp14:anchorId="0EA66327" wp14:editId="20367BFA">
                <wp:simplePos x="0" y="0"/>
                <wp:positionH relativeFrom="column">
                  <wp:posOffset>-179070</wp:posOffset>
                </wp:positionH>
                <wp:positionV relativeFrom="paragraph">
                  <wp:posOffset>26035</wp:posOffset>
                </wp:positionV>
                <wp:extent cx="6080760" cy="3735070"/>
                <wp:effectExtent l="0" t="0" r="15240" b="177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7350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C0FB3" id="Rectangle 6" o:spid="_x0000_s1026" style="position:absolute;margin-left:-14.1pt;margin-top:2.05pt;width:478.8pt;height:29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">
                <v:fill opacity="0"/>
              </v:rect>
            </w:pict>
          </mc:Fallback>
        </mc:AlternateContent>
      </w:r>
    </w:p>
    <w:p w:rsidR="008B1B11" w:rsidRPr="00705CC0" w:rsidRDefault="008B1B11" w:rsidP="008B1B11">
      <w:pPr>
        <w:rPr>
          <w:rFonts w:asciiTheme="majorHAnsi" w:hAnsiTheme="majorHAnsi" w:cs="Arial"/>
          <w:b/>
          <w:sz w:val="22"/>
          <w:szCs w:val="22"/>
        </w:rPr>
      </w:pPr>
      <w:r w:rsidRPr="00705CC0">
        <w:rPr>
          <w:rFonts w:asciiTheme="majorHAnsi" w:hAnsiTheme="majorHAnsi" w:cs="Arial"/>
          <w:b/>
          <w:sz w:val="22"/>
          <w:szCs w:val="22"/>
        </w:rPr>
        <w:t>1) Çalışan sayısı itibariyle</w:t>
      </w:r>
    </w:p>
    <w:p w:rsidR="008B1B11" w:rsidRPr="00705CC0" w:rsidRDefault="008B1B11" w:rsidP="008B1B11">
      <w:pPr>
        <w:ind w:left="360"/>
        <w:rPr>
          <w:rFonts w:asciiTheme="majorHAnsi" w:hAnsiTheme="majorHAnsi" w:cs="Arial"/>
          <w:sz w:val="22"/>
          <w:szCs w:val="22"/>
        </w:rPr>
      </w:pPr>
    </w:p>
    <w:p w:rsidR="008B1B11" w:rsidRPr="00705CC0" w:rsidRDefault="00362897" w:rsidP="008B1B11">
      <w:pPr>
        <w:rPr>
          <w:rFonts w:asciiTheme="majorHAnsi" w:hAnsiTheme="majorHAnsi" w:cs="Arial"/>
          <w:b/>
          <w:sz w:val="22"/>
          <w:szCs w:val="22"/>
        </w:rPr>
      </w:pPr>
      <m:oMathPara>
        <m:oMath>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GSYH</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N</m:t>
                  </m:r>
                </m:e>
                <m:sub>
                  <m:r>
                    <m:rPr>
                      <m:nor/>
                    </m:rPr>
                    <w:rPr>
                      <w:rFonts w:asciiTheme="majorHAnsi" w:hAnsiTheme="majorHAnsi" w:cs="Arial"/>
                      <w:b/>
                      <w:sz w:val="22"/>
                      <w:szCs w:val="22"/>
                    </w:rPr>
                    <m:t>t</m:t>
                  </m:r>
                </m:sub>
              </m:sSub>
            </m:den>
          </m:f>
          <m:r>
            <m:rPr>
              <m:nor/>
            </m:rPr>
            <w:rPr>
              <w:rFonts w:asciiTheme="majorHAnsi" w:hAnsiTheme="majorHAnsi" w:cs="Arial"/>
              <w:b/>
              <w:sz w:val="22"/>
              <w:szCs w:val="22"/>
            </w:rPr>
            <m:t>=</m:t>
          </m:r>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GSYH</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E</m:t>
                  </m:r>
                </m:e>
                <m:sub>
                  <m:r>
                    <m:rPr>
                      <m:nor/>
                    </m:rPr>
                    <w:rPr>
                      <w:rFonts w:asciiTheme="majorHAnsi" w:hAnsiTheme="majorHAnsi" w:cs="Arial"/>
                      <w:b/>
                      <w:sz w:val="22"/>
                      <w:szCs w:val="22"/>
                    </w:rPr>
                    <m:t>t</m:t>
                  </m:r>
                </m:sub>
              </m:sSub>
            </m:den>
          </m:f>
          <m:r>
            <m:rPr>
              <m:sty m:val="bi"/>
            </m:rPr>
            <w:rPr>
              <w:rFonts w:ascii="Cambria Math" w:hAnsiTheme="majorHAnsi" w:cs="Arial"/>
              <w:sz w:val="22"/>
              <w:szCs w:val="22"/>
            </w:rPr>
            <m:t>*</m:t>
          </m:r>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E</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ÇN</m:t>
                  </m:r>
                </m:e>
                <m:sub>
                  <m:r>
                    <m:rPr>
                      <m:nor/>
                    </m:rPr>
                    <w:rPr>
                      <w:rFonts w:asciiTheme="majorHAnsi" w:hAnsiTheme="majorHAnsi" w:cs="Arial"/>
                      <w:b/>
                      <w:sz w:val="22"/>
                      <w:szCs w:val="22"/>
                    </w:rPr>
                    <m:t>t</m:t>
                  </m:r>
                </m:sub>
              </m:sSub>
            </m:den>
          </m:f>
          <m:r>
            <m:rPr>
              <m:sty m:val="bi"/>
            </m:rPr>
            <w:rPr>
              <w:rFonts w:ascii="Cambria Math" w:hAnsiTheme="majorHAnsi" w:cs="Arial"/>
              <w:sz w:val="22"/>
              <w:szCs w:val="22"/>
            </w:rPr>
            <m:t>*</m:t>
          </m:r>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ÇN</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N</m:t>
                  </m:r>
                </m:e>
                <m:sub>
                  <m:r>
                    <m:rPr>
                      <m:nor/>
                    </m:rPr>
                    <w:rPr>
                      <w:rFonts w:asciiTheme="majorHAnsi" w:hAnsiTheme="majorHAnsi" w:cs="Arial"/>
                      <w:b/>
                      <w:sz w:val="22"/>
                      <w:szCs w:val="22"/>
                    </w:rPr>
                    <m:t>t</m:t>
                  </m:r>
                </m:sub>
              </m:sSub>
            </m:den>
          </m:f>
        </m:oMath>
      </m:oMathPara>
    </w:p>
    <w:p w:rsidR="008B1B11" w:rsidRPr="00705CC0" w:rsidRDefault="008B1B11" w:rsidP="008B1B11">
      <w:pPr>
        <w:rPr>
          <w:rFonts w:asciiTheme="majorHAnsi" w:hAnsiTheme="majorHAnsi" w:cs="Arial"/>
          <w:b/>
          <w:sz w:val="22"/>
          <w:szCs w:val="22"/>
        </w:rPr>
      </w:pPr>
    </w:p>
    <w:p w:rsidR="008B1B11" w:rsidRPr="00705CC0" w:rsidRDefault="00362897" w:rsidP="008B1B11">
      <w:pPr>
        <w:rPr>
          <w:rFonts w:asciiTheme="majorHAnsi" w:hAnsiTheme="majorHAnsi" w:cs="Arial"/>
          <w:b/>
          <w:sz w:val="22"/>
          <w:szCs w:val="22"/>
        </w:rPr>
      </w:pPr>
      <m:oMath>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GSYH</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N</m:t>
                </m:r>
              </m:e>
              <m:sub>
                <m:r>
                  <m:rPr>
                    <m:nor/>
                  </m:rPr>
                  <w:rPr>
                    <w:rFonts w:asciiTheme="majorHAnsi" w:hAnsiTheme="majorHAnsi" w:cs="Arial"/>
                    <w:b/>
                    <w:sz w:val="22"/>
                    <w:szCs w:val="22"/>
                  </w:rPr>
                  <m:t>t</m:t>
                </m:r>
              </m:sub>
            </m:sSub>
          </m:den>
        </m:f>
      </m:oMath>
      <w:r w:rsidR="008B1B11" w:rsidRPr="00705CC0">
        <w:rPr>
          <w:rFonts w:asciiTheme="majorHAnsi" w:hAnsiTheme="majorHAnsi" w:cs="Arial"/>
          <w:b/>
          <w:sz w:val="22"/>
          <w:szCs w:val="22"/>
        </w:rPr>
        <w:t xml:space="preserve"> = </w:t>
      </w:r>
      <m:oMath>
        <m:sSub>
          <m:sSubPr>
            <m:ctrlPr>
              <w:rPr>
                <w:rFonts w:ascii="Cambria Math" w:hAnsiTheme="majorHAnsi" w:cs="Arial"/>
                <w:b/>
                <w:i/>
                <w:sz w:val="22"/>
                <w:szCs w:val="22"/>
              </w:rPr>
            </m:ctrlPr>
          </m:sSubPr>
          <m:e>
            <m:r>
              <m:rPr>
                <m:nor/>
              </m:rPr>
              <w:rPr>
                <w:rFonts w:asciiTheme="majorHAnsi" w:hAnsiTheme="majorHAnsi" w:cs="Arial"/>
                <w:b/>
                <w:sz w:val="22"/>
                <w:szCs w:val="22"/>
              </w:rPr>
              <m:t>gsyh</m:t>
            </m:r>
          </m:e>
          <m:sub>
            <m:r>
              <m:rPr>
                <m:nor/>
              </m:rPr>
              <w:rPr>
                <w:rFonts w:asciiTheme="majorHAnsi" w:hAnsiTheme="majorHAnsi" w:cs="Arial"/>
                <w:b/>
                <w:sz w:val="22"/>
                <w:szCs w:val="22"/>
              </w:rPr>
              <m:t>t</m:t>
            </m:r>
          </m:sub>
        </m:sSub>
      </m:oMath>
      <w:r w:rsidR="00842618" w:rsidRPr="00705CC0">
        <w:rPr>
          <w:rFonts w:asciiTheme="majorHAnsi" w:hAnsiTheme="majorHAnsi" w:cs="Arial"/>
          <w:sz w:val="22"/>
          <w:szCs w:val="22"/>
        </w:rPr>
        <w:t>:Kişi başına düşen GSYH</w:t>
      </w:r>
    </w:p>
    <w:p w:rsidR="008B1B11" w:rsidRPr="00705CC0" w:rsidRDefault="008B1B11" w:rsidP="008B1B11">
      <w:pPr>
        <w:rPr>
          <w:rFonts w:asciiTheme="majorHAnsi" w:hAnsiTheme="majorHAnsi" w:cs="Arial"/>
          <w:b/>
          <w:sz w:val="22"/>
          <w:szCs w:val="22"/>
        </w:rPr>
      </w:pPr>
    </w:p>
    <w:p w:rsidR="008B1B11" w:rsidRPr="00705CC0" w:rsidRDefault="00362897" w:rsidP="008B1B11">
      <w:pPr>
        <w:rPr>
          <w:rFonts w:asciiTheme="majorHAnsi" w:hAnsiTheme="majorHAnsi" w:cs="Arial"/>
          <w:b/>
          <w:sz w:val="22"/>
          <w:szCs w:val="22"/>
        </w:rPr>
      </w:pPr>
      <m:oMath>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GSYH</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E</m:t>
                </m:r>
              </m:e>
              <m:sub>
                <m:r>
                  <m:rPr>
                    <m:nor/>
                  </m:rPr>
                  <w:rPr>
                    <w:rFonts w:asciiTheme="majorHAnsi" w:hAnsiTheme="majorHAnsi" w:cs="Arial"/>
                    <w:b/>
                    <w:sz w:val="22"/>
                    <w:szCs w:val="22"/>
                  </w:rPr>
                  <m:t>t</m:t>
                </m:r>
              </m:sub>
            </m:sSub>
          </m:den>
        </m:f>
      </m:oMath>
      <w:r w:rsidR="008B1B11" w:rsidRPr="00705CC0">
        <w:rPr>
          <w:rFonts w:asciiTheme="majorHAnsi" w:hAnsiTheme="majorHAnsi" w:cs="Arial"/>
          <w:b/>
          <w:sz w:val="22"/>
          <w:szCs w:val="22"/>
        </w:rPr>
        <w:t xml:space="preserve"> = </w:t>
      </w:r>
      <m:oMath>
        <m:sSub>
          <m:sSubPr>
            <m:ctrlPr>
              <w:rPr>
                <w:rFonts w:ascii="Cambria Math" w:hAnsiTheme="majorHAnsi" w:cs="Arial"/>
                <w:b/>
                <w:i/>
                <w:sz w:val="22"/>
                <w:szCs w:val="22"/>
              </w:rPr>
            </m:ctrlPr>
          </m:sSubPr>
          <m:e>
            <m:r>
              <m:rPr>
                <m:nor/>
              </m:rPr>
              <w:rPr>
                <w:rFonts w:asciiTheme="majorHAnsi" w:hAnsiTheme="majorHAnsi" w:cs="Arial"/>
                <w:b/>
                <w:sz w:val="22"/>
                <w:szCs w:val="22"/>
              </w:rPr>
              <m:t>ortev</m:t>
            </m:r>
          </m:e>
          <m:sub>
            <m:r>
              <m:rPr>
                <m:nor/>
              </m:rPr>
              <w:rPr>
                <w:rFonts w:asciiTheme="majorHAnsi" w:hAnsiTheme="majorHAnsi" w:cs="Arial"/>
                <w:b/>
                <w:sz w:val="22"/>
                <w:szCs w:val="22"/>
              </w:rPr>
              <m:t>t</m:t>
            </m:r>
          </m:sub>
        </m:sSub>
      </m:oMath>
      <w:r w:rsidR="00842618" w:rsidRPr="00705CC0">
        <w:rPr>
          <w:rFonts w:asciiTheme="majorHAnsi" w:hAnsiTheme="majorHAnsi" w:cs="Arial"/>
          <w:sz w:val="22"/>
          <w:szCs w:val="22"/>
        </w:rPr>
        <w:t>:Ç</w:t>
      </w:r>
      <w:r w:rsidR="008B1B11" w:rsidRPr="00705CC0">
        <w:rPr>
          <w:rFonts w:asciiTheme="majorHAnsi" w:hAnsiTheme="majorHAnsi" w:cs="Arial"/>
          <w:sz w:val="22"/>
          <w:szCs w:val="22"/>
        </w:rPr>
        <w:t>alışan sayısı / İstihdam (</w:t>
      </w:r>
      <m:oMath>
        <m:sSub>
          <m:sSubPr>
            <m:ctrlPr>
              <w:rPr>
                <w:rFonts w:ascii="Cambria Math" w:hAnsiTheme="majorHAnsi" w:cs="Arial"/>
                <w:i/>
                <w:sz w:val="22"/>
                <w:szCs w:val="22"/>
              </w:rPr>
            </m:ctrlPr>
          </m:sSubPr>
          <m:e>
            <m:r>
              <m:rPr>
                <m:nor/>
              </m:rPr>
              <w:rPr>
                <w:rFonts w:asciiTheme="majorHAnsi" w:hAnsiTheme="majorHAnsi" w:cs="Arial"/>
                <w:sz w:val="22"/>
                <w:szCs w:val="22"/>
              </w:rPr>
              <m:t>E</m:t>
            </m:r>
          </m:e>
          <m:sub>
            <m:r>
              <m:rPr>
                <m:nor/>
              </m:rPr>
              <w:rPr>
                <w:rFonts w:asciiTheme="majorHAnsi" w:hAnsiTheme="majorHAnsi" w:cs="Arial"/>
                <w:sz w:val="22"/>
                <w:szCs w:val="22"/>
              </w:rPr>
              <m:t>t</m:t>
            </m:r>
          </m:sub>
        </m:sSub>
      </m:oMath>
      <w:r w:rsidR="008B1B11" w:rsidRPr="00705CC0">
        <w:rPr>
          <w:rFonts w:asciiTheme="majorHAnsi" w:hAnsiTheme="majorHAnsi" w:cs="Arial"/>
          <w:sz w:val="22"/>
          <w:szCs w:val="22"/>
        </w:rPr>
        <w:t>) itiba</w:t>
      </w:r>
      <w:r w:rsidR="00842618" w:rsidRPr="00705CC0">
        <w:rPr>
          <w:rFonts w:asciiTheme="majorHAnsi" w:hAnsiTheme="majorHAnsi" w:cs="Arial"/>
          <w:sz w:val="22"/>
          <w:szCs w:val="22"/>
        </w:rPr>
        <w:t>riyle ortalama emek verimliliği</w:t>
      </w:r>
    </w:p>
    <w:p w:rsidR="008B1B11" w:rsidRPr="00705CC0" w:rsidRDefault="008B1B11" w:rsidP="008B1B11">
      <w:pPr>
        <w:rPr>
          <w:rFonts w:asciiTheme="majorHAnsi" w:hAnsiTheme="majorHAnsi" w:cs="Arial"/>
          <w:b/>
          <w:sz w:val="22"/>
          <w:szCs w:val="22"/>
        </w:rPr>
      </w:pPr>
    </w:p>
    <w:p w:rsidR="008B1B11" w:rsidRPr="00705CC0" w:rsidRDefault="00362897" w:rsidP="008B1B11">
      <w:pPr>
        <w:rPr>
          <w:rFonts w:asciiTheme="majorHAnsi" w:hAnsiTheme="majorHAnsi" w:cs="Arial"/>
          <w:b/>
          <w:sz w:val="22"/>
          <w:szCs w:val="22"/>
        </w:rPr>
      </w:pPr>
      <m:oMath>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E</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ÇN</m:t>
                </m:r>
              </m:e>
              <m:sub>
                <m:r>
                  <m:rPr>
                    <m:nor/>
                  </m:rPr>
                  <w:rPr>
                    <w:rFonts w:asciiTheme="majorHAnsi" w:hAnsiTheme="majorHAnsi" w:cs="Arial"/>
                    <w:b/>
                    <w:sz w:val="22"/>
                    <w:szCs w:val="22"/>
                  </w:rPr>
                  <m:t>t</m:t>
                </m:r>
              </m:sub>
            </m:sSub>
          </m:den>
        </m:f>
      </m:oMath>
      <w:r w:rsidR="008B1B11" w:rsidRPr="00705CC0">
        <w:rPr>
          <w:rFonts w:asciiTheme="majorHAnsi" w:hAnsiTheme="majorHAnsi" w:cs="Arial"/>
          <w:b/>
          <w:sz w:val="22"/>
          <w:szCs w:val="22"/>
        </w:rPr>
        <w:t xml:space="preserve"> = </w:t>
      </w:r>
      <m:oMath>
        <m:sSub>
          <m:sSubPr>
            <m:ctrlPr>
              <w:rPr>
                <w:rFonts w:ascii="Cambria Math" w:hAnsiTheme="majorHAnsi" w:cs="Arial"/>
                <w:b/>
                <w:i/>
                <w:sz w:val="22"/>
                <w:szCs w:val="22"/>
              </w:rPr>
            </m:ctrlPr>
          </m:sSubPr>
          <m:e>
            <m:r>
              <m:rPr>
                <m:nor/>
              </m:rPr>
              <w:rPr>
                <w:rFonts w:asciiTheme="majorHAnsi" w:hAnsiTheme="majorHAnsi" w:cs="Arial"/>
                <w:b/>
                <w:sz w:val="22"/>
                <w:szCs w:val="22"/>
              </w:rPr>
              <m:t>eo</m:t>
            </m:r>
          </m:e>
          <m:sub>
            <m:r>
              <m:rPr>
                <m:nor/>
              </m:rPr>
              <w:rPr>
                <w:rFonts w:asciiTheme="majorHAnsi" w:hAnsiTheme="majorHAnsi" w:cs="Arial"/>
                <w:b/>
                <w:sz w:val="22"/>
                <w:szCs w:val="22"/>
              </w:rPr>
              <m:t>t</m:t>
            </m:r>
          </m:sub>
        </m:sSub>
      </m:oMath>
      <w:r w:rsidR="00842618" w:rsidRPr="00705CC0">
        <w:rPr>
          <w:rFonts w:asciiTheme="majorHAnsi" w:hAnsiTheme="majorHAnsi" w:cs="Arial"/>
          <w:b/>
          <w:sz w:val="22"/>
          <w:szCs w:val="22"/>
        </w:rPr>
        <w:t xml:space="preserve"> :</w:t>
      </w:r>
      <w:r w:rsidR="00842618" w:rsidRPr="00705CC0">
        <w:rPr>
          <w:rFonts w:asciiTheme="majorHAnsi" w:hAnsiTheme="majorHAnsi" w:cs="Arial"/>
          <w:sz w:val="22"/>
          <w:szCs w:val="22"/>
        </w:rPr>
        <w:t>Ç</w:t>
      </w:r>
      <w:r w:rsidR="008B1B11" w:rsidRPr="00705CC0">
        <w:rPr>
          <w:rFonts w:asciiTheme="majorHAnsi" w:hAnsiTheme="majorHAnsi" w:cs="Arial"/>
          <w:sz w:val="22"/>
          <w:szCs w:val="22"/>
        </w:rPr>
        <w:t>alışan sayısının çalışabilir nüfusa (</w:t>
      </w:r>
      <m:oMath>
        <m:sSub>
          <m:sSubPr>
            <m:ctrlPr>
              <w:rPr>
                <w:rFonts w:ascii="Cambria Math" w:hAnsiTheme="majorHAnsi" w:cs="Arial"/>
                <w:sz w:val="22"/>
                <w:szCs w:val="22"/>
                <w:lang w:eastAsia="en-US"/>
              </w:rPr>
            </m:ctrlPr>
          </m:sSubPr>
          <m:e>
            <m:r>
              <m:rPr>
                <m:nor/>
              </m:rPr>
              <w:rPr>
                <w:rFonts w:asciiTheme="majorHAnsi" w:hAnsiTheme="majorHAnsi" w:cs="Arial"/>
                <w:sz w:val="22"/>
                <w:szCs w:val="22"/>
              </w:rPr>
              <m:t>ÇN</m:t>
            </m:r>
          </m:e>
          <m:sub>
            <m:r>
              <m:rPr>
                <m:nor/>
              </m:rPr>
              <w:rPr>
                <w:rFonts w:asciiTheme="majorHAnsi" w:hAnsiTheme="majorHAnsi" w:cs="Arial"/>
                <w:sz w:val="22"/>
                <w:szCs w:val="22"/>
              </w:rPr>
              <m:t>t</m:t>
            </m:r>
          </m:sub>
        </m:sSub>
      </m:oMath>
      <w:r w:rsidR="00842618" w:rsidRPr="00705CC0">
        <w:rPr>
          <w:rFonts w:asciiTheme="majorHAnsi" w:hAnsiTheme="majorHAnsi" w:cs="Arial"/>
          <w:sz w:val="22"/>
          <w:szCs w:val="22"/>
        </w:rPr>
        <w:t>) oranı (istihdam oranı)</w:t>
      </w:r>
    </w:p>
    <w:p w:rsidR="008B1B11" w:rsidRPr="00705CC0" w:rsidRDefault="008B1B11" w:rsidP="008B1B11">
      <w:pPr>
        <w:rPr>
          <w:rFonts w:asciiTheme="majorHAnsi" w:hAnsiTheme="majorHAnsi" w:cs="Arial"/>
          <w:b/>
          <w:sz w:val="22"/>
          <w:szCs w:val="22"/>
        </w:rPr>
      </w:pPr>
    </w:p>
    <w:p w:rsidR="008B1B11" w:rsidRPr="00705CC0" w:rsidRDefault="00362897" w:rsidP="008B1B11">
      <w:pPr>
        <w:rPr>
          <w:rFonts w:asciiTheme="majorHAnsi" w:hAnsiTheme="majorHAnsi" w:cs="Arial"/>
          <w:sz w:val="22"/>
          <w:szCs w:val="22"/>
        </w:rPr>
      </w:pPr>
      <m:oMath>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ÇN</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N</m:t>
                </m:r>
              </m:e>
              <m:sub>
                <m:r>
                  <m:rPr>
                    <m:nor/>
                  </m:rPr>
                  <w:rPr>
                    <w:rFonts w:asciiTheme="majorHAnsi" w:hAnsiTheme="majorHAnsi" w:cs="Arial"/>
                    <w:b/>
                    <w:sz w:val="22"/>
                    <w:szCs w:val="22"/>
                  </w:rPr>
                  <m:t>t</m:t>
                </m:r>
              </m:sub>
            </m:sSub>
          </m:den>
        </m:f>
      </m:oMath>
      <w:r w:rsidR="008B1B11" w:rsidRPr="00705CC0">
        <w:rPr>
          <w:rFonts w:asciiTheme="majorHAnsi" w:hAnsiTheme="majorHAnsi" w:cs="Arial"/>
          <w:b/>
          <w:sz w:val="22"/>
          <w:szCs w:val="22"/>
        </w:rPr>
        <w:t xml:space="preserve"> = </w:t>
      </w:r>
      <m:oMath>
        <m:sSub>
          <m:sSubPr>
            <m:ctrlPr>
              <w:rPr>
                <w:rFonts w:ascii="Cambria Math" w:hAnsiTheme="majorHAnsi" w:cs="Arial"/>
                <w:b/>
                <w:i/>
                <w:sz w:val="22"/>
                <w:szCs w:val="22"/>
              </w:rPr>
            </m:ctrlPr>
          </m:sSubPr>
          <m:e>
            <m:r>
              <m:rPr>
                <m:nor/>
              </m:rPr>
              <w:rPr>
                <w:rFonts w:asciiTheme="majorHAnsi" w:hAnsiTheme="majorHAnsi" w:cs="Arial"/>
                <w:b/>
                <w:sz w:val="22"/>
                <w:szCs w:val="22"/>
              </w:rPr>
              <m:t>çno</m:t>
            </m:r>
          </m:e>
          <m:sub>
            <m:r>
              <m:rPr>
                <m:nor/>
              </m:rPr>
              <w:rPr>
                <w:rFonts w:asciiTheme="majorHAnsi" w:hAnsiTheme="majorHAnsi" w:cs="Arial"/>
                <w:b/>
                <w:sz w:val="22"/>
                <w:szCs w:val="22"/>
              </w:rPr>
              <m:t>t</m:t>
            </m:r>
          </m:sub>
        </m:sSub>
      </m:oMath>
      <w:r w:rsidR="00842618" w:rsidRPr="00705CC0">
        <w:rPr>
          <w:rFonts w:asciiTheme="majorHAnsi" w:hAnsiTheme="majorHAnsi" w:cs="Arial"/>
          <w:b/>
          <w:sz w:val="22"/>
          <w:szCs w:val="22"/>
        </w:rPr>
        <w:t>:</w:t>
      </w:r>
      <w:r w:rsidR="00842618" w:rsidRPr="00705CC0">
        <w:rPr>
          <w:rFonts w:asciiTheme="majorHAnsi" w:hAnsiTheme="majorHAnsi" w:cs="Arial"/>
          <w:sz w:val="22"/>
          <w:szCs w:val="22"/>
        </w:rPr>
        <w:t>Ç</w:t>
      </w:r>
      <w:r w:rsidR="008B1B11" w:rsidRPr="00705CC0">
        <w:rPr>
          <w:rFonts w:asciiTheme="majorHAnsi" w:hAnsiTheme="majorHAnsi" w:cs="Arial"/>
          <w:sz w:val="22"/>
          <w:szCs w:val="22"/>
        </w:rPr>
        <w:t>alışabi</w:t>
      </w:r>
      <w:r w:rsidR="00842618" w:rsidRPr="00705CC0">
        <w:rPr>
          <w:rFonts w:asciiTheme="majorHAnsi" w:hAnsiTheme="majorHAnsi" w:cs="Arial"/>
          <w:sz w:val="22"/>
          <w:szCs w:val="22"/>
        </w:rPr>
        <w:t>lir nüfusun toplam nüfusa oranı</w:t>
      </w:r>
    </w:p>
    <w:p w:rsidR="008B1B11" w:rsidRPr="00705CC0" w:rsidRDefault="008B1B11" w:rsidP="008B1B11">
      <w:pPr>
        <w:rPr>
          <w:rFonts w:asciiTheme="majorHAnsi" w:hAnsiTheme="majorHAnsi" w:cs="Arial"/>
          <w:sz w:val="22"/>
          <w:szCs w:val="22"/>
        </w:rPr>
      </w:pPr>
    </w:p>
    <w:p w:rsidR="008B1B11" w:rsidRPr="00705CC0" w:rsidRDefault="00362897" w:rsidP="00842618">
      <w:pPr>
        <w:jc w:val="both"/>
        <w:rPr>
          <w:rFonts w:asciiTheme="majorHAnsi" w:hAnsiTheme="majorHAnsi" w:cs="Arial"/>
          <w:b/>
          <w:sz w:val="22"/>
          <w:szCs w:val="22"/>
        </w:rPr>
      </w:pPr>
      <m:oMath>
        <m:f>
          <m:fPr>
            <m:ctrlPr>
              <w:rPr>
                <w:rFonts w:ascii="Cambria Math" w:hAnsiTheme="majorHAnsi" w:cs="Arial"/>
                <w:b/>
                <w:i/>
                <w:sz w:val="22"/>
                <w:szCs w:val="22"/>
              </w:rPr>
            </m:ctrlPr>
          </m:fPr>
          <m:num>
            <m:sSub>
              <m:sSubPr>
                <m:ctrlPr>
                  <w:rPr>
                    <w:rFonts w:ascii="Cambria Math" w:hAnsiTheme="majorHAnsi" w:cs="Arial"/>
                    <w:b/>
                    <w:sz w:val="22"/>
                    <w:szCs w:val="22"/>
                  </w:rPr>
                </m:ctrlPr>
              </m:sSubPr>
              <m:e>
                <m:r>
                  <m:rPr>
                    <m:nor/>
                  </m:rPr>
                  <w:rPr>
                    <w:rFonts w:asciiTheme="majorHAnsi" w:hAnsiTheme="majorHAnsi" w:cs="Arial"/>
                    <w:b/>
                    <w:sz w:val="22"/>
                    <w:szCs w:val="22"/>
                  </w:rPr>
                  <m:t>gsyh</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gsyh</m:t>
                </m:r>
              </m:e>
              <m:sub>
                <m:r>
                  <m:rPr>
                    <m:nor/>
                  </m:rPr>
                  <w:rPr>
                    <w:rFonts w:asciiTheme="majorHAnsi" w:hAnsiTheme="majorHAnsi" w:cs="Arial"/>
                    <w:b/>
                    <w:sz w:val="22"/>
                    <w:szCs w:val="22"/>
                  </w:rPr>
                  <m:t>t-1</m:t>
                </m:r>
              </m:sub>
            </m:sSub>
          </m:den>
        </m:f>
        <m:r>
          <m:rPr>
            <m:nor/>
          </m:rPr>
          <w:rPr>
            <w:rFonts w:asciiTheme="majorHAnsi" w:hAnsiTheme="majorHAnsi" w:cs="Arial"/>
            <w:b/>
            <w:sz w:val="22"/>
            <w:szCs w:val="22"/>
          </w:rPr>
          <m:t>=</m:t>
        </m:r>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ortev</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ortev</m:t>
                </m:r>
              </m:e>
              <m:sub>
                <m:r>
                  <m:rPr>
                    <m:nor/>
                  </m:rPr>
                  <w:rPr>
                    <w:rFonts w:asciiTheme="majorHAnsi" w:hAnsiTheme="majorHAnsi" w:cs="Arial"/>
                    <w:b/>
                    <w:sz w:val="22"/>
                    <w:szCs w:val="22"/>
                  </w:rPr>
                  <m:t>t-1</m:t>
                </m:r>
              </m:sub>
            </m:sSub>
          </m:den>
        </m:f>
        <m:r>
          <m:rPr>
            <m:nor/>
          </m:rPr>
          <w:rPr>
            <w:rFonts w:asciiTheme="majorHAnsi" w:hAnsiTheme="majorHAnsi" w:cs="Arial"/>
            <w:b/>
            <w:sz w:val="22"/>
            <w:szCs w:val="22"/>
          </w:rPr>
          <m:t>*</m:t>
        </m:r>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eo</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eo</m:t>
                </m:r>
              </m:e>
              <m:sub>
                <m:r>
                  <m:rPr>
                    <m:nor/>
                  </m:rPr>
                  <w:rPr>
                    <w:rFonts w:asciiTheme="majorHAnsi" w:hAnsiTheme="majorHAnsi" w:cs="Arial"/>
                    <w:b/>
                    <w:sz w:val="22"/>
                    <w:szCs w:val="22"/>
                  </w:rPr>
                  <m:t>t-1</m:t>
                </m:r>
              </m:sub>
            </m:sSub>
          </m:den>
        </m:f>
        <m:r>
          <m:rPr>
            <m:nor/>
          </m:rPr>
          <w:rPr>
            <w:rFonts w:asciiTheme="majorHAnsi" w:hAnsiTheme="majorHAnsi" w:cs="Arial"/>
            <w:b/>
            <w:sz w:val="22"/>
            <w:szCs w:val="22"/>
          </w:rPr>
          <m:t>*</m:t>
        </m:r>
        <m:f>
          <m:fPr>
            <m:ctrlPr>
              <w:rPr>
                <w:rFonts w:ascii="Cambria Math" w:hAnsiTheme="majorHAnsi" w:cs="Arial"/>
                <w:b/>
                <w:i/>
                <w:sz w:val="22"/>
                <w:szCs w:val="22"/>
              </w:rPr>
            </m:ctrlPr>
          </m:fPr>
          <m:num>
            <m:sSub>
              <m:sSubPr>
                <m:ctrlPr>
                  <w:rPr>
                    <w:rFonts w:ascii="Cambria Math" w:hAnsiTheme="majorHAnsi" w:cs="Arial"/>
                    <w:b/>
                    <w:i/>
                    <w:sz w:val="22"/>
                    <w:szCs w:val="22"/>
                  </w:rPr>
                </m:ctrlPr>
              </m:sSubPr>
              <m:e>
                <m:r>
                  <m:rPr>
                    <m:nor/>
                  </m:rPr>
                  <w:rPr>
                    <w:rFonts w:asciiTheme="majorHAnsi" w:hAnsiTheme="majorHAnsi" w:cs="Arial"/>
                    <w:b/>
                    <w:sz w:val="22"/>
                    <w:szCs w:val="22"/>
                  </w:rPr>
                  <m:t>çno</m:t>
                </m:r>
              </m:e>
              <m:sub>
                <m:r>
                  <m:rPr>
                    <m:nor/>
                  </m:rPr>
                  <w:rPr>
                    <w:rFonts w:asciiTheme="majorHAnsi" w:hAnsiTheme="majorHAnsi" w:cs="Arial"/>
                    <w:b/>
                    <w:sz w:val="22"/>
                    <w:szCs w:val="22"/>
                  </w:rPr>
                  <m:t>t</m:t>
                </m:r>
              </m:sub>
            </m:sSub>
          </m:num>
          <m:den>
            <m:sSub>
              <m:sSubPr>
                <m:ctrlPr>
                  <w:rPr>
                    <w:rFonts w:ascii="Cambria Math" w:hAnsiTheme="majorHAnsi" w:cs="Arial"/>
                    <w:b/>
                    <w:i/>
                    <w:sz w:val="22"/>
                    <w:szCs w:val="22"/>
                  </w:rPr>
                </m:ctrlPr>
              </m:sSubPr>
              <m:e>
                <m:r>
                  <m:rPr>
                    <m:nor/>
                  </m:rPr>
                  <w:rPr>
                    <w:rFonts w:asciiTheme="majorHAnsi" w:hAnsiTheme="majorHAnsi" w:cs="Arial"/>
                    <w:b/>
                    <w:sz w:val="22"/>
                    <w:szCs w:val="22"/>
                  </w:rPr>
                  <m:t>çno</m:t>
                </m:r>
              </m:e>
              <m:sub>
                <m:r>
                  <m:rPr>
                    <m:nor/>
                  </m:rPr>
                  <w:rPr>
                    <w:rFonts w:asciiTheme="majorHAnsi" w:hAnsiTheme="majorHAnsi" w:cs="Arial"/>
                    <w:b/>
                    <w:sz w:val="22"/>
                    <w:szCs w:val="22"/>
                  </w:rPr>
                  <m:t>t-1</m:t>
                </m:r>
              </m:sub>
            </m:sSub>
          </m:den>
        </m:f>
      </m:oMath>
      <w:r w:rsidR="00842618" w:rsidRPr="00705CC0">
        <w:rPr>
          <w:rFonts w:asciiTheme="majorHAnsi" w:hAnsiTheme="majorHAnsi" w:cs="Arial"/>
          <w:sz w:val="22"/>
          <w:szCs w:val="22"/>
        </w:rPr>
        <w:t>: Her bir faktörün katkısını görebilmek için kişi başına düşen gelirin çeyreklik değişimini, ortalama emek verimliliğinin çeyreklik değişimi, istihdam oranın çeyrek değişimi ve çalışabilir nüfüsun oranının çeyreklik değişimi olacak şekilde üç kaleme ayrıştırıyoruz.</w:t>
      </w:r>
    </w:p>
    <w:p w:rsidR="008B1B11" w:rsidRPr="00705CC0" w:rsidRDefault="008B1B11" w:rsidP="008B1B11">
      <w:pPr>
        <w:rPr>
          <w:rFonts w:asciiTheme="majorHAnsi" w:hAnsiTheme="majorHAnsi" w:cs="Arial"/>
          <w:sz w:val="22"/>
          <w:szCs w:val="22"/>
        </w:rPr>
      </w:pPr>
    </w:p>
    <w:p w:rsidR="003454A0" w:rsidRPr="00705CC0" w:rsidRDefault="003454A0" w:rsidP="00562D23">
      <w:pPr>
        <w:suppressAutoHyphens w:val="0"/>
        <w:rPr>
          <w:rFonts w:asciiTheme="majorHAnsi" w:hAnsiTheme="majorHAnsi" w:cs="Arial"/>
          <w:b/>
          <w:sz w:val="22"/>
          <w:szCs w:val="22"/>
        </w:rPr>
        <w:sectPr w:rsidR="003454A0" w:rsidRPr="00705CC0" w:rsidSect="005A2C0A">
          <w:footerReference w:type="default" r:id="rId11"/>
          <w:pgSz w:w="11905" w:h="16837"/>
          <w:pgMar w:top="1296" w:right="1296" w:bottom="1296" w:left="1296" w:header="709" w:footer="709" w:gutter="0"/>
          <w:cols w:space="708"/>
          <w:docGrid w:linePitch="360"/>
        </w:sectPr>
      </w:pPr>
    </w:p>
    <w:p w:rsidR="00FA3ADA" w:rsidRPr="00705CC0" w:rsidRDefault="008010F6" w:rsidP="008010F6">
      <w:pPr>
        <w:pStyle w:val="Caption"/>
        <w:rPr>
          <w:rFonts w:asciiTheme="majorHAnsi" w:hAnsiTheme="majorHAnsi" w:cs="Arial"/>
          <w:sz w:val="22"/>
          <w:szCs w:val="22"/>
        </w:rPr>
      </w:pPr>
      <w:bookmarkStart w:id="7" w:name="_Ref488327569"/>
      <w:r w:rsidRPr="00705CC0">
        <w:rPr>
          <w:rFonts w:asciiTheme="majorHAnsi" w:hAnsiTheme="majorHAnsi" w:cs="Arial"/>
          <w:bCs w:val="0"/>
          <w:sz w:val="22"/>
          <w:szCs w:val="22"/>
        </w:rPr>
        <w:lastRenderedPageBreak/>
        <w:t xml:space="preserve">Ek Tablo </w:t>
      </w:r>
      <w:r w:rsidR="00326161" w:rsidRPr="00705CC0">
        <w:rPr>
          <w:rFonts w:asciiTheme="majorHAnsi" w:hAnsiTheme="majorHAnsi" w:cs="Arial"/>
          <w:bCs w:val="0"/>
          <w:sz w:val="22"/>
          <w:szCs w:val="22"/>
        </w:rPr>
        <w:fldChar w:fldCharType="begin"/>
      </w:r>
      <w:r w:rsidRPr="00705CC0">
        <w:rPr>
          <w:rFonts w:asciiTheme="majorHAnsi" w:hAnsiTheme="majorHAnsi" w:cs="Arial"/>
          <w:bCs w:val="0"/>
          <w:sz w:val="22"/>
          <w:szCs w:val="22"/>
        </w:rPr>
        <w:instrText xml:space="preserve"> SEQ Ek_Tablo \* ARABIC </w:instrText>
      </w:r>
      <w:r w:rsidR="00326161" w:rsidRPr="00705CC0">
        <w:rPr>
          <w:rFonts w:asciiTheme="majorHAnsi" w:hAnsiTheme="majorHAnsi" w:cs="Arial"/>
          <w:bCs w:val="0"/>
          <w:sz w:val="22"/>
          <w:szCs w:val="22"/>
        </w:rPr>
        <w:fldChar w:fldCharType="separate"/>
      </w:r>
      <w:r w:rsidR="0083749C">
        <w:rPr>
          <w:rFonts w:asciiTheme="majorHAnsi" w:hAnsiTheme="majorHAnsi" w:cs="Arial"/>
          <w:bCs w:val="0"/>
          <w:noProof/>
          <w:sz w:val="22"/>
          <w:szCs w:val="22"/>
        </w:rPr>
        <w:t>1</w:t>
      </w:r>
      <w:r w:rsidR="00326161" w:rsidRPr="00705CC0">
        <w:rPr>
          <w:rFonts w:asciiTheme="majorHAnsi" w:hAnsiTheme="majorHAnsi" w:cs="Arial"/>
          <w:bCs w:val="0"/>
          <w:sz w:val="22"/>
          <w:szCs w:val="22"/>
        </w:rPr>
        <w:fldChar w:fldCharType="end"/>
      </w:r>
      <w:bookmarkEnd w:id="7"/>
      <w:r w:rsidRPr="00705CC0">
        <w:rPr>
          <w:rFonts w:asciiTheme="majorHAnsi" w:hAnsiTheme="majorHAnsi" w:cs="Arial"/>
          <w:bCs w:val="0"/>
          <w:sz w:val="22"/>
          <w:szCs w:val="22"/>
        </w:rPr>
        <w:t>:</w:t>
      </w:r>
      <w:r w:rsidR="00860C3F" w:rsidRPr="00705CC0">
        <w:rPr>
          <w:rFonts w:asciiTheme="majorHAnsi" w:hAnsiTheme="majorHAnsi" w:cs="Arial"/>
          <w:bCs w:val="0"/>
          <w:sz w:val="22"/>
          <w:szCs w:val="22"/>
        </w:rPr>
        <w:t>Kişi başına GSYH endeksi ve bileşenleri (2005(4) = 100)</w:t>
      </w:r>
      <w:r w:rsidR="003454A0" w:rsidRPr="00705CC0">
        <w:rPr>
          <w:rFonts w:asciiTheme="majorHAnsi" w:hAnsiTheme="majorHAnsi" w:cs="Arial"/>
          <w:bCs w:val="0"/>
          <w:sz w:val="22"/>
          <w:szCs w:val="22"/>
        </w:rPr>
        <w:br/>
      </w:r>
    </w:p>
    <w:tbl>
      <w:tblPr>
        <w:tblW w:w="8775" w:type="dxa"/>
        <w:tblInd w:w="75" w:type="dxa"/>
        <w:tblCellMar>
          <w:top w:w="15" w:type="dxa"/>
          <w:left w:w="70" w:type="dxa"/>
          <w:bottom w:w="15" w:type="dxa"/>
          <w:right w:w="70" w:type="dxa"/>
        </w:tblCellMar>
        <w:tblLook w:val="04A0" w:firstRow="1" w:lastRow="0" w:firstColumn="1" w:lastColumn="0" w:noHBand="0" w:noVBand="1"/>
      </w:tblPr>
      <w:tblGrid>
        <w:gridCol w:w="1025"/>
        <w:gridCol w:w="1896"/>
        <w:gridCol w:w="1551"/>
        <w:gridCol w:w="2557"/>
        <w:gridCol w:w="1746"/>
      </w:tblGrid>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rPr>
                <w:rFonts w:asciiTheme="majorHAnsi" w:hAnsiTheme="majorHAnsi"/>
                <w:sz w:val="18"/>
                <w:szCs w:val="18"/>
                <w:lang w:eastAsia="tr-TR"/>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Ortalama Emek Verimliliği</w:t>
            </w:r>
          </w:p>
        </w:tc>
        <w:tc>
          <w:tcPr>
            <w:tcW w:w="1551" w:type="dxa"/>
            <w:tcBorders>
              <w:top w:val="single" w:sz="4" w:space="0" w:color="auto"/>
              <w:left w:val="single" w:sz="4" w:space="0" w:color="auto"/>
              <w:bottom w:val="single" w:sz="4" w:space="0" w:color="auto"/>
              <w:right w:val="single" w:sz="4" w:space="0" w:color="auto"/>
            </w:tcBorders>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İstihdam Oranı</w:t>
            </w:r>
          </w:p>
        </w:tc>
        <w:tc>
          <w:tcPr>
            <w:tcW w:w="2557" w:type="dxa"/>
            <w:tcBorders>
              <w:top w:val="single" w:sz="4" w:space="0" w:color="auto"/>
              <w:left w:val="single" w:sz="4" w:space="0" w:color="auto"/>
              <w:bottom w:val="single" w:sz="4" w:space="0" w:color="auto"/>
              <w:right w:val="single" w:sz="4" w:space="0" w:color="auto"/>
            </w:tcBorders>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Çalışabilir Nüfusun Toplam Nüfusa Oranı</w:t>
            </w:r>
          </w:p>
        </w:tc>
        <w:tc>
          <w:tcPr>
            <w:tcW w:w="1746" w:type="dxa"/>
            <w:tcBorders>
              <w:top w:val="single" w:sz="4" w:space="0" w:color="auto"/>
              <w:left w:val="single" w:sz="4" w:space="0" w:color="auto"/>
              <w:bottom w:val="single" w:sz="4" w:space="0" w:color="auto"/>
              <w:right w:val="single" w:sz="4" w:space="0" w:color="auto"/>
            </w:tcBorders>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Kişi Başına GSYH</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2005(4)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100,0</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100,0</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100,0</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2006(1)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101,6</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99,5</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100,2</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101,2</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2006(2)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103,6</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99,3</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103,2</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2006(3)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104,7</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99,4</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100,5</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104,6</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2006(4)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99,8</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106,0</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2007(1)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106,4</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100,1</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107,4</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2007(2)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106,7</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107,9</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2007(3)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107,5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99,9</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101,1</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108,6</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2007(4)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109,4</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99,3</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101,2</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109,9</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2008(1)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110,6</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99,1</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111,2</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2008(2)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110,7</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99,3</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101,5</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111,6</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2008(3)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110,3</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99,5</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111,5</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2008(4)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108,3</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99,6</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109,7</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2009(1)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104,8</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99,1</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105,7</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2009(2)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98,2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103,5</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2009(3)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103,1</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97,8</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102,0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102,9</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2009(4)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102,9</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98,1</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102,2</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103,1</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2010(1)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102,8</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99,2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102,4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104,4</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2010(2)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103,0</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100,4</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102,6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106,0</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2010(3)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104,2</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102,8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108,4</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2010(4)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105,7</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101,9</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103,1</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111,0</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2011(1)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103,0</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113,3</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2011(2)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107,6</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104,0</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103,5</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115,8</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2011(3)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108,9</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105,3</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118,8</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2011(4)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110,1</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106,1</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121,1</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2012(1)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110,9</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122,1</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2012(2)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111,3</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106,7</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123,2</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2012(3)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111,8</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106,8</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123,9</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2012(4)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111,9</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107,4</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124,7</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2013(1)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112,8</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108,2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126,9</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2013(2)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114,5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108,6</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104,1</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129,4</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2013(3)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116,3</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108,8</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132,0</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2013(4)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118,5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108,5</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104,5</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134,3</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2014(1)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119,1</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109,3</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136,4</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2014(2)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118,5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110,3</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104,9</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137,1</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2014(3)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118,2</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111,1</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138,0</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2014(4)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118,1</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112,2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105,2</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139,4</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2015(1)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118,4</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112,4</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140,2</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2015(2)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119,8</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112,5</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105,5</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142,2</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2015(3)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120,9</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113,0</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144,3</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2015(4)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121,8</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113,4</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105,8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146,1</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2016(1)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121,8</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113,9</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147,1</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2016(2)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122,3</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114,3</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106,1</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148,3</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2016(3)</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122,0</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114,2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148,1</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2016(4)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122,7</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114,3</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149,2</w:t>
            </w:r>
          </w:p>
        </w:tc>
      </w:tr>
      <w:tr w:rsidR="00FA3ADA" w:rsidRPr="00502030" w:rsidTr="00502030">
        <w:trPr>
          <w:trHeight w:hRule="exact" w:val="227"/>
        </w:trPr>
        <w:tc>
          <w:tcPr>
            <w:tcW w:w="1025"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2017(1)</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123,4</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114,2</w:t>
            </w:r>
          </w:p>
        </w:tc>
        <w:tc>
          <w:tcPr>
            <w:tcW w:w="2557"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106,6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FA3ADA" w:rsidRPr="00502030" w:rsidRDefault="00FA3ADA" w:rsidP="00FA3ADA">
            <w:pPr>
              <w:suppressAutoHyphens w:val="0"/>
              <w:jc w:val="center"/>
              <w:rPr>
                <w:rFonts w:asciiTheme="majorHAnsi" w:hAnsiTheme="majorHAnsi"/>
                <w:color w:val="000000"/>
                <w:sz w:val="18"/>
                <w:szCs w:val="18"/>
                <w:lang w:eastAsia="tr-TR"/>
              </w:rPr>
            </w:pPr>
            <w:r w:rsidRPr="00502030">
              <w:rPr>
                <w:rFonts w:asciiTheme="majorHAnsi" w:hAnsiTheme="majorHAnsi"/>
                <w:color w:val="000000"/>
                <w:sz w:val="18"/>
                <w:szCs w:val="18"/>
                <w:lang w:eastAsia="tr-TR"/>
              </w:rPr>
              <w:t>150,2</w:t>
            </w:r>
          </w:p>
        </w:tc>
      </w:tr>
    </w:tbl>
    <w:p w:rsidR="00FA3ADA" w:rsidRPr="00705CC0" w:rsidRDefault="00FA3ADA" w:rsidP="00FA3ADA">
      <w:pPr>
        <w:pStyle w:val="Caption"/>
        <w:rPr>
          <w:rFonts w:asciiTheme="majorHAnsi" w:hAnsiTheme="majorHAnsi" w:cs="Arial"/>
          <w:sz w:val="22"/>
          <w:szCs w:val="22"/>
        </w:rPr>
      </w:pPr>
    </w:p>
    <w:p w:rsidR="002D652D" w:rsidRPr="00705CC0" w:rsidRDefault="007C4077" w:rsidP="00FA3ADA">
      <w:pPr>
        <w:pStyle w:val="Caption"/>
        <w:rPr>
          <w:rFonts w:asciiTheme="majorHAnsi" w:hAnsiTheme="majorHAnsi" w:cs="Arial"/>
          <w:sz w:val="22"/>
          <w:szCs w:val="22"/>
        </w:rPr>
      </w:pPr>
      <w:r w:rsidRPr="00705CC0">
        <w:rPr>
          <w:rFonts w:asciiTheme="majorHAnsi" w:hAnsiTheme="majorHAnsi" w:cs="Arial"/>
          <w:sz w:val="22"/>
          <w:szCs w:val="22"/>
        </w:rPr>
        <w:t>Kaynak: TÜİK, Betam.</w:t>
      </w:r>
    </w:p>
    <w:sectPr w:rsidR="002D652D" w:rsidRPr="00705CC0" w:rsidSect="005A2C0A">
      <w:pgSz w:w="11905" w:h="16837"/>
      <w:pgMar w:top="1296" w:right="1296" w:bottom="1296" w:left="129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97" w:rsidRDefault="00362897" w:rsidP="00640379">
      <w:r>
        <w:separator/>
      </w:r>
    </w:p>
  </w:endnote>
  <w:endnote w:type="continuationSeparator" w:id="0">
    <w:p w:rsidR="00362897" w:rsidRDefault="00362897" w:rsidP="006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E7" w:rsidRPr="00EA46E1" w:rsidRDefault="001F34E7" w:rsidP="00184833">
    <w:pPr>
      <w:pStyle w:val="Footer"/>
      <w:framePr w:wrap="auto" w:vAnchor="text" w:hAnchor="margin" w:xAlign="right" w:y="1"/>
      <w:rPr>
        <w:rStyle w:val="PageNumber"/>
        <w:rFonts w:ascii="Calibri" w:hAnsi="Calibri" w:cs="Calibri"/>
        <w:sz w:val="22"/>
        <w:szCs w:val="22"/>
      </w:rPr>
    </w:pPr>
    <w:r w:rsidRPr="00EA46E1">
      <w:rPr>
        <w:rStyle w:val="PageNumber"/>
        <w:rFonts w:ascii="Calibri" w:hAnsi="Calibri" w:cs="Calibri"/>
        <w:sz w:val="22"/>
        <w:szCs w:val="22"/>
      </w:rPr>
      <w:fldChar w:fldCharType="begin"/>
    </w:r>
    <w:r w:rsidRPr="00EA46E1">
      <w:rPr>
        <w:rStyle w:val="PageNumber"/>
        <w:rFonts w:ascii="Calibri" w:hAnsi="Calibri" w:cs="Calibri"/>
        <w:sz w:val="22"/>
        <w:szCs w:val="22"/>
      </w:rPr>
      <w:instrText xml:space="preserve">PAGE  </w:instrText>
    </w:r>
    <w:r w:rsidRPr="00EA46E1">
      <w:rPr>
        <w:rStyle w:val="PageNumber"/>
        <w:rFonts w:ascii="Calibri" w:hAnsi="Calibri" w:cs="Calibri"/>
        <w:sz w:val="22"/>
        <w:szCs w:val="22"/>
      </w:rPr>
      <w:fldChar w:fldCharType="separate"/>
    </w:r>
    <w:r w:rsidR="0083749C">
      <w:rPr>
        <w:rStyle w:val="PageNumber"/>
        <w:rFonts w:ascii="Calibri" w:hAnsi="Calibri" w:cs="Calibri"/>
        <w:noProof/>
        <w:sz w:val="22"/>
        <w:szCs w:val="22"/>
      </w:rPr>
      <w:t>1</w:t>
    </w:r>
    <w:r w:rsidRPr="00EA46E1">
      <w:rPr>
        <w:rStyle w:val="PageNumber"/>
        <w:rFonts w:ascii="Calibri" w:hAnsi="Calibri" w:cs="Calibri"/>
        <w:sz w:val="22"/>
        <w:szCs w:val="22"/>
      </w:rPr>
      <w:fldChar w:fldCharType="end"/>
    </w:r>
  </w:p>
  <w:p w:rsidR="001F34E7" w:rsidRDefault="001F34E7" w:rsidP="00184833">
    <w:pPr>
      <w:pStyle w:val="Footer"/>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97" w:rsidRDefault="00362897" w:rsidP="00640379">
      <w:r>
        <w:separator/>
      </w:r>
    </w:p>
  </w:footnote>
  <w:footnote w:type="continuationSeparator" w:id="0">
    <w:p w:rsidR="00362897" w:rsidRDefault="00362897" w:rsidP="00640379">
      <w:r>
        <w:continuationSeparator/>
      </w:r>
    </w:p>
  </w:footnote>
  <w:footnote w:id="1">
    <w:p w:rsidR="001F34E7" w:rsidRPr="00C07FCE" w:rsidRDefault="001F34E7">
      <w:pPr>
        <w:pStyle w:val="FootnoteText"/>
        <w:rPr>
          <w:rFonts w:asciiTheme="majorHAnsi" w:hAnsiTheme="majorHAnsi"/>
          <w:sz w:val="18"/>
          <w:szCs w:val="18"/>
        </w:rPr>
      </w:pPr>
      <w:r w:rsidRPr="00C07FCE">
        <w:rPr>
          <w:rStyle w:val="FootnoteReference"/>
          <w:rFonts w:asciiTheme="majorHAnsi" w:hAnsiTheme="majorHAnsi"/>
          <w:sz w:val="18"/>
          <w:szCs w:val="18"/>
        </w:rPr>
        <w:sym w:font="Symbol" w:char="F02A"/>
      </w:r>
      <w:r w:rsidRPr="00C07FCE">
        <w:rPr>
          <w:rFonts w:asciiTheme="majorHAnsi" w:hAnsiTheme="majorHAnsi" w:cs="Arial"/>
          <w:sz w:val="18"/>
          <w:szCs w:val="18"/>
        </w:rPr>
        <w:t xml:space="preserve">Prof. Dr. Seyfettin Gürsel, </w:t>
      </w:r>
      <w:r w:rsidRPr="00C07FCE">
        <w:rPr>
          <w:rFonts w:asciiTheme="majorHAnsi" w:hAnsiTheme="majorHAnsi" w:cs="Arial"/>
          <w:b/>
          <w:sz w:val="18"/>
          <w:szCs w:val="18"/>
        </w:rPr>
        <w:t>Betam</w:t>
      </w:r>
      <w:r w:rsidRPr="00C07FCE">
        <w:rPr>
          <w:rFonts w:asciiTheme="majorHAnsi" w:hAnsiTheme="majorHAnsi" w:cs="Arial"/>
          <w:sz w:val="18"/>
          <w:szCs w:val="18"/>
        </w:rPr>
        <w:t>, Direktör, seyfettin.gursel@eas.bau.edu.tr</w:t>
      </w:r>
    </w:p>
  </w:footnote>
  <w:footnote w:id="2">
    <w:p w:rsidR="001F34E7" w:rsidRPr="00C07FCE" w:rsidRDefault="001F34E7">
      <w:pPr>
        <w:pStyle w:val="FootnoteText"/>
        <w:rPr>
          <w:rFonts w:asciiTheme="majorHAnsi" w:hAnsiTheme="majorHAnsi" w:cs="Arial"/>
          <w:sz w:val="18"/>
          <w:szCs w:val="18"/>
        </w:rPr>
      </w:pPr>
      <w:r w:rsidRPr="00C07FCE">
        <w:rPr>
          <w:rStyle w:val="FootnoteReference"/>
          <w:rFonts w:asciiTheme="majorHAnsi" w:hAnsiTheme="majorHAnsi"/>
          <w:sz w:val="18"/>
          <w:szCs w:val="18"/>
        </w:rPr>
        <w:t>**</w:t>
      </w:r>
      <w:r w:rsidRPr="00C07FCE">
        <w:rPr>
          <w:rFonts w:asciiTheme="majorHAnsi" w:hAnsiTheme="majorHAnsi" w:cs="Arial"/>
          <w:sz w:val="18"/>
          <w:szCs w:val="18"/>
        </w:rPr>
        <w:t xml:space="preserve">Doç.Dr.Ozan Bakış, </w:t>
      </w:r>
      <w:r w:rsidRPr="00C07FCE">
        <w:rPr>
          <w:rFonts w:asciiTheme="majorHAnsi" w:hAnsiTheme="majorHAnsi" w:cs="Arial"/>
          <w:b/>
          <w:sz w:val="18"/>
          <w:szCs w:val="18"/>
        </w:rPr>
        <w:t>Betam</w:t>
      </w:r>
      <w:r w:rsidRPr="00C07FCE">
        <w:rPr>
          <w:rFonts w:asciiTheme="majorHAnsi" w:hAnsiTheme="majorHAnsi" w:cs="Arial"/>
          <w:sz w:val="18"/>
          <w:szCs w:val="18"/>
        </w:rPr>
        <w:t>, Kıdemli Araştırmacı ozan.bakis@eas.bau.edu.tr</w:t>
      </w:r>
    </w:p>
  </w:footnote>
  <w:footnote w:id="3">
    <w:p w:rsidR="001F34E7" w:rsidRPr="00C07FCE" w:rsidRDefault="001F34E7">
      <w:pPr>
        <w:pStyle w:val="FootnoteText"/>
        <w:rPr>
          <w:rFonts w:asciiTheme="majorHAnsi" w:hAnsiTheme="majorHAnsi"/>
          <w:sz w:val="18"/>
          <w:szCs w:val="18"/>
        </w:rPr>
      </w:pPr>
      <w:r w:rsidRPr="00C07FCE">
        <w:rPr>
          <w:rFonts w:asciiTheme="majorHAnsi" w:hAnsiTheme="majorHAnsi" w:cs="Arial"/>
          <w:sz w:val="18"/>
          <w:szCs w:val="18"/>
        </w:rPr>
        <w:t xml:space="preserve">*** Selin Köksal, </w:t>
      </w:r>
      <w:r w:rsidRPr="00C07FCE">
        <w:rPr>
          <w:rFonts w:asciiTheme="majorHAnsi" w:hAnsiTheme="majorHAnsi" w:cs="Arial"/>
          <w:b/>
          <w:sz w:val="18"/>
          <w:szCs w:val="18"/>
        </w:rPr>
        <w:t>Betam</w:t>
      </w:r>
      <w:r w:rsidRPr="00C07FCE">
        <w:rPr>
          <w:rFonts w:asciiTheme="majorHAnsi" w:hAnsiTheme="majorHAnsi" w:cs="Arial"/>
          <w:sz w:val="18"/>
          <w:szCs w:val="18"/>
        </w:rPr>
        <w:t>, Araştırma Görevlisi, selin.koksal@eas.bau.edu.tr</w:t>
      </w:r>
    </w:p>
  </w:footnote>
  <w:footnote w:id="4">
    <w:p w:rsidR="001F34E7" w:rsidRDefault="001F34E7">
      <w:pPr>
        <w:pStyle w:val="FootnoteText"/>
      </w:pPr>
      <w:r>
        <w:rPr>
          <w:rStyle w:val="FootnoteReference"/>
        </w:rPr>
        <w:footnoteRef/>
      </w:r>
      <w:r>
        <w:t xml:space="preserve"> </w:t>
      </w:r>
      <w:r w:rsidRPr="00EC0E81">
        <w:t>Seyfettin Gürsel</w:t>
      </w:r>
      <w:r>
        <w:t>, Ozan Bakış ve Selin Köksal</w:t>
      </w:r>
      <w:r w:rsidRPr="00EC0E81">
        <w:t>, 201</w:t>
      </w:r>
      <w:r>
        <w:t>6</w:t>
      </w:r>
      <w:r w:rsidRPr="00EC0E81">
        <w:t xml:space="preserve">. “Orta gelir tuzağı sorunu hassasiyetini koruyor </w:t>
      </w:r>
      <w:r>
        <w:t>” Betam Araştırma Notu 16</w:t>
      </w:r>
      <w:r w:rsidRPr="00EC0E81">
        <w:t>/</w:t>
      </w:r>
      <w:r>
        <w:t>198.</w:t>
      </w:r>
    </w:p>
  </w:footnote>
  <w:footnote w:id="5">
    <w:p w:rsidR="001F34E7" w:rsidRPr="00C07FCE" w:rsidRDefault="001F34E7" w:rsidP="00E3709C">
      <w:pPr>
        <w:pStyle w:val="FootnoteText"/>
        <w:jc w:val="both"/>
        <w:rPr>
          <w:rFonts w:asciiTheme="majorHAnsi" w:hAnsiTheme="majorHAnsi" w:cs="Arial"/>
          <w:sz w:val="18"/>
          <w:szCs w:val="18"/>
        </w:rPr>
      </w:pPr>
      <w:r w:rsidRPr="00C07FCE">
        <w:rPr>
          <w:rStyle w:val="FootnoteReference"/>
          <w:rFonts w:asciiTheme="majorHAnsi" w:hAnsiTheme="majorHAnsi"/>
          <w:sz w:val="18"/>
          <w:szCs w:val="18"/>
        </w:rPr>
        <w:footnoteRef/>
      </w:r>
      <w:r w:rsidRPr="00C07FCE">
        <w:rPr>
          <w:rFonts w:asciiTheme="majorHAnsi" w:hAnsiTheme="majorHAnsi" w:cs="Arial"/>
          <w:sz w:val="18"/>
          <w:szCs w:val="18"/>
        </w:rPr>
        <w:t>Kişi başına düşen gelir, nüfus, çalışabilir nüfus ve istihdam değişkenleri mevsim etkisinden arındırıldıktan sonra hareketli yıllık ortalamalar dikkate alınarak çeyrekten çeyreğe büyüme hesaplanmıştır. Örneğin 2005(4)’den 2006(1)’e değişim 2005 1., 2., 3. ve 4. çeyreklerin toplamı ile 2005 2., 3., 4. ve 2006 1. çeyreklerin toplamı arasındaki büyüme oranıdır. Büyüme oranları 2005(4) = 100 alınarak endekslenmiştir.</w:t>
      </w:r>
    </w:p>
  </w:footnote>
  <w:footnote w:id="6">
    <w:p w:rsidR="001F34E7" w:rsidRPr="00C07FCE" w:rsidRDefault="001F34E7">
      <w:pPr>
        <w:pStyle w:val="FootnoteText"/>
        <w:rPr>
          <w:rFonts w:asciiTheme="majorHAnsi" w:hAnsiTheme="majorHAnsi"/>
          <w:sz w:val="18"/>
          <w:szCs w:val="18"/>
        </w:rPr>
      </w:pPr>
      <w:r w:rsidRPr="00C07FCE">
        <w:rPr>
          <w:rStyle w:val="FootnoteReference"/>
          <w:rFonts w:asciiTheme="majorHAnsi" w:hAnsiTheme="majorHAnsi"/>
          <w:sz w:val="18"/>
          <w:szCs w:val="18"/>
        </w:rPr>
        <w:footnoteRef/>
      </w:r>
      <w:r w:rsidRPr="00C07FCE">
        <w:rPr>
          <w:rFonts w:asciiTheme="majorHAnsi" w:hAnsiTheme="majorHAnsi" w:cs="Arial"/>
          <w:sz w:val="18"/>
          <w:szCs w:val="18"/>
        </w:rPr>
        <w:t>2014 itibariyle Kurumsal Olmayan Nüfus sorusu Hanehalkı İşgücü Anketi'nde sorulmuyor. Bu nedenle, geçmiş senelerdeki Kurumsal Olmayan Nüfus/ 15+ Kurumsal Olmayan Nüfus oranındaki değişimin grafiğini çizdik ve eğimi -0.0019 bulduk.  2014 sonrası için bu sayıyı kullanarak Kurumsal Olmayan Nüfus’u hesapladık.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9"/>
    <w:rsid w:val="00006AF6"/>
    <w:rsid w:val="00007E63"/>
    <w:rsid w:val="00013729"/>
    <w:rsid w:val="00015FBB"/>
    <w:rsid w:val="00017EC6"/>
    <w:rsid w:val="00022C3C"/>
    <w:rsid w:val="00023AE1"/>
    <w:rsid w:val="000277AE"/>
    <w:rsid w:val="00047577"/>
    <w:rsid w:val="0005778E"/>
    <w:rsid w:val="000640B4"/>
    <w:rsid w:val="00065B87"/>
    <w:rsid w:val="00066CC5"/>
    <w:rsid w:val="0006702A"/>
    <w:rsid w:val="00070EEB"/>
    <w:rsid w:val="000738AA"/>
    <w:rsid w:val="00075CAC"/>
    <w:rsid w:val="00076DE2"/>
    <w:rsid w:val="00082852"/>
    <w:rsid w:val="00082DAD"/>
    <w:rsid w:val="00084B74"/>
    <w:rsid w:val="0008507E"/>
    <w:rsid w:val="00096B8E"/>
    <w:rsid w:val="000A48F8"/>
    <w:rsid w:val="000A59DC"/>
    <w:rsid w:val="000A5E39"/>
    <w:rsid w:val="000A7078"/>
    <w:rsid w:val="000B0261"/>
    <w:rsid w:val="000C07FB"/>
    <w:rsid w:val="000C1380"/>
    <w:rsid w:val="000C2EE8"/>
    <w:rsid w:val="000D06D7"/>
    <w:rsid w:val="000D1186"/>
    <w:rsid w:val="000D46CA"/>
    <w:rsid w:val="000D7EB3"/>
    <w:rsid w:val="000E09BC"/>
    <w:rsid w:val="000E3FCA"/>
    <w:rsid w:val="000E6298"/>
    <w:rsid w:val="000F3071"/>
    <w:rsid w:val="00104145"/>
    <w:rsid w:val="00107FCA"/>
    <w:rsid w:val="001107FC"/>
    <w:rsid w:val="001128D9"/>
    <w:rsid w:val="001163F4"/>
    <w:rsid w:val="00116DFB"/>
    <w:rsid w:val="0011718E"/>
    <w:rsid w:val="0011756F"/>
    <w:rsid w:val="00121492"/>
    <w:rsid w:val="001411AE"/>
    <w:rsid w:val="001429E8"/>
    <w:rsid w:val="001547D9"/>
    <w:rsid w:val="00157906"/>
    <w:rsid w:val="00163268"/>
    <w:rsid w:val="0016555A"/>
    <w:rsid w:val="00166449"/>
    <w:rsid w:val="0018447F"/>
    <w:rsid w:val="00184833"/>
    <w:rsid w:val="00185154"/>
    <w:rsid w:val="00185A19"/>
    <w:rsid w:val="00185CE6"/>
    <w:rsid w:val="00197D6B"/>
    <w:rsid w:val="001A355C"/>
    <w:rsid w:val="001A6364"/>
    <w:rsid w:val="001A6E16"/>
    <w:rsid w:val="001B107F"/>
    <w:rsid w:val="001C0D5F"/>
    <w:rsid w:val="001C12FD"/>
    <w:rsid w:val="001C38E5"/>
    <w:rsid w:val="001C68B9"/>
    <w:rsid w:val="001D15F6"/>
    <w:rsid w:val="001D39B3"/>
    <w:rsid w:val="001D4926"/>
    <w:rsid w:val="001E0C08"/>
    <w:rsid w:val="001F34E7"/>
    <w:rsid w:val="001F5B6B"/>
    <w:rsid w:val="001F7F8A"/>
    <w:rsid w:val="0020159F"/>
    <w:rsid w:val="00204754"/>
    <w:rsid w:val="00206D18"/>
    <w:rsid w:val="002103D9"/>
    <w:rsid w:val="0021265A"/>
    <w:rsid w:val="00215F11"/>
    <w:rsid w:val="00216862"/>
    <w:rsid w:val="00222F0B"/>
    <w:rsid w:val="002408E1"/>
    <w:rsid w:val="00247A1E"/>
    <w:rsid w:val="00252C7A"/>
    <w:rsid w:val="00262F48"/>
    <w:rsid w:val="0027168A"/>
    <w:rsid w:val="0027354C"/>
    <w:rsid w:val="00290F37"/>
    <w:rsid w:val="002959DA"/>
    <w:rsid w:val="002A0024"/>
    <w:rsid w:val="002A06D6"/>
    <w:rsid w:val="002A0B64"/>
    <w:rsid w:val="002A24B1"/>
    <w:rsid w:val="002A38BD"/>
    <w:rsid w:val="002A4176"/>
    <w:rsid w:val="002A5334"/>
    <w:rsid w:val="002B0479"/>
    <w:rsid w:val="002B770E"/>
    <w:rsid w:val="002C104E"/>
    <w:rsid w:val="002C28AC"/>
    <w:rsid w:val="002D2127"/>
    <w:rsid w:val="002D652D"/>
    <w:rsid w:val="002D739A"/>
    <w:rsid w:val="002E0A3C"/>
    <w:rsid w:val="002E3962"/>
    <w:rsid w:val="002E4210"/>
    <w:rsid w:val="002F07F2"/>
    <w:rsid w:val="002F25AD"/>
    <w:rsid w:val="002F401D"/>
    <w:rsid w:val="002F7727"/>
    <w:rsid w:val="002F7855"/>
    <w:rsid w:val="00304B22"/>
    <w:rsid w:val="00307ACF"/>
    <w:rsid w:val="00311552"/>
    <w:rsid w:val="00311CA6"/>
    <w:rsid w:val="00313662"/>
    <w:rsid w:val="003208C7"/>
    <w:rsid w:val="0032258D"/>
    <w:rsid w:val="00324DB1"/>
    <w:rsid w:val="00325473"/>
    <w:rsid w:val="00326161"/>
    <w:rsid w:val="00326807"/>
    <w:rsid w:val="00327112"/>
    <w:rsid w:val="0033592D"/>
    <w:rsid w:val="0034185B"/>
    <w:rsid w:val="003438E6"/>
    <w:rsid w:val="00344E64"/>
    <w:rsid w:val="003454A0"/>
    <w:rsid w:val="00345F45"/>
    <w:rsid w:val="0035080F"/>
    <w:rsid w:val="00355C0D"/>
    <w:rsid w:val="0035747E"/>
    <w:rsid w:val="00357F18"/>
    <w:rsid w:val="00362897"/>
    <w:rsid w:val="00364EE4"/>
    <w:rsid w:val="00371274"/>
    <w:rsid w:val="003712B6"/>
    <w:rsid w:val="00374F9E"/>
    <w:rsid w:val="00376E14"/>
    <w:rsid w:val="00384FBA"/>
    <w:rsid w:val="0039183A"/>
    <w:rsid w:val="003920C1"/>
    <w:rsid w:val="003A0637"/>
    <w:rsid w:val="003A17FD"/>
    <w:rsid w:val="003A2098"/>
    <w:rsid w:val="003B0FF6"/>
    <w:rsid w:val="003B650D"/>
    <w:rsid w:val="003C5577"/>
    <w:rsid w:val="003E03E1"/>
    <w:rsid w:val="003E0B22"/>
    <w:rsid w:val="003E27D9"/>
    <w:rsid w:val="003E32FF"/>
    <w:rsid w:val="003E4BA0"/>
    <w:rsid w:val="003F5C5F"/>
    <w:rsid w:val="004009D4"/>
    <w:rsid w:val="00402256"/>
    <w:rsid w:val="0040699C"/>
    <w:rsid w:val="00416A24"/>
    <w:rsid w:val="00417DC3"/>
    <w:rsid w:val="004209A5"/>
    <w:rsid w:val="0042103B"/>
    <w:rsid w:val="004305D8"/>
    <w:rsid w:val="0043135B"/>
    <w:rsid w:val="00434816"/>
    <w:rsid w:val="004369BD"/>
    <w:rsid w:val="0043734C"/>
    <w:rsid w:val="00437EC6"/>
    <w:rsid w:val="00450268"/>
    <w:rsid w:val="004549ED"/>
    <w:rsid w:val="00456FCA"/>
    <w:rsid w:val="00457534"/>
    <w:rsid w:val="004602E5"/>
    <w:rsid w:val="00460D2A"/>
    <w:rsid w:val="00462D3C"/>
    <w:rsid w:val="004671BA"/>
    <w:rsid w:val="00477F87"/>
    <w:rsid w:val="00485081"/>
    <w:rsid w:val="00495135"/>
    <w:rsid w:val="0049714E"/>
    <w:rsid w:val="004972D1"/>
    <w:rsid w:val="004A1AFF"/>
    <w:rsid w:val="004A27C3"/>
    <w:rsid w:val="004A6291"/>
    <w:rsid w:val="004A70CC"/>
    <w:rsid w:val="004A7DDD"/>
    <w:rsid w:val="004C4DEE"/>
    <w:rsid w:val="004C5EE8"/>
    <w:rsid w:val="004C6180"/>
    <w:rsid w:val="004D1E97"/>
    <w:rsid w:val="004E119B"/>
    <w:rsid w:val="004E5EB5"/>
    <w:rsid w:val="004F4B73"/>
    <w:rsid w:val="004F63B2"/>
    <w:rsid w:val="005011D8"/>
    <w:rsid w:val="00502030"/>
    <w:rsid w:val="0050523F"/>
    <w:rsid w:val="00513FF4"/>
    <w:rsid w:val="00517B51"/>
    <w:rsid w:val="00521D1C"/>
    <w:rsid w:val="00530066"/>
    <w:rsid w:val="00533ED4"/>
    <w:rsid w:val="005356EB"/>
    <w:rsid w:val="00547550"/>
    <w:rsid w:val="00550DCC"/>
    <w:rsid w:val="00551FDA"/>
    <w:rsid w:val="00555489"/>
    <w:rsid w:val="00555E86"/>
    <w:rsid w:val="00562D23"/>
    <w:rsid w:val="0056509A"/>
    <w:rsid w:val="0056516B"/>
    <w:rsid w:val="00566DA0"/>
    <w:rsid w:val="00577984"/>
    <w:rsid w:val="0058630B"/>
    <w:rsid w:val="00593FF1"/>
    <w:rsid w:val="00596A7E"/>
    <w:rsid w:val="005A10A2"/>
    <w:rsid w:val="005A2C0A"/>
    <w:rsid w:val="005A4989"/>
    <w:rsid w:val="005B02AD"/>
    <w:rsid w:val="005B2AB5"/>
    <w:rsid w:val="005B3B24"/>
    <w:rsid w:val="005B7E2F"/>
    <w:rsid w:val="005C0367"/>
    <w:rsid w:val="005C0B69"/>
    <w:rsid w:val="005C5A85"/>
    <w:rsid w:val="005C5EB5"/>
    <w:rsid w:val="005D27B9"/>
    <w:rsid w:val="005D3649"/>
    <w:rsid w:val="005D6CE9"/>
    <w:rsid w:val="005F1270"/>
    <w:rsid w:val="005F25E2"/>
    <w:rsid w:val="005F3D42"/>
    <w:rsid w:val="005F51A3"/>
    <w:rsid w:val="006017D3"/>
    <w:rsid w:val="00605001"/>
    <w:rsid w:val="00607DDE"/>
    <w:rsid w:val="006123B8"/>
    <w:rsid w:val="00621A2F"/>
    <w:rsid w:val="00624EBE"/>
    <w:rsid w:val="00631E3D"/>
    <w:rsid w:val="00631F29"/>
    <w:rsid w:val="00640379"/>
    <w:rsid w:val="006469FF"/>
    <w:rsid w:val="006516DE"/>
    <w:rsid w:val="00653DA1"/>
    <w:rsid w:val="0065412D"/>
    <w:rsid w:val="00654351"/>
    <w:rsid w:val="00656793"/>
    <w:rsid w:val="00663B4F"/>
    <w:rsid w:val="0067740A"/>
    <w:rsid w:val="00681DA7"/>
    <w:rsid w:val="006829C2"/>
    <w:rsid w:val="00684666"/>
    <w:rsid w:val="00686CAC"/>
    <w:rsid w:val="00687E12"/>
    <w:rsid w:val="006924FF"/>
    <w:rsid w:val="00695C7D"/>
    <w:rsid w:val="006A3C0F"/>
    <w:rsid w:val="006A5C1A"/>
    <w:rsid w:val="006B2D7D"/>
    <w:rsid w:val="006B4B20"/>
    <w:rsid w:val="006B6CA7"/>
    <w:rsid w:val="006B72D1"/>
    <w:rsid w:val="006B79F3"/>
    <w:rsid w:val="006D2241"/>
    <w:rsid w:val="006E20A4"/>
    <w:rsid w:val="006E4EBF"/>
    <w:rsid w:val="006E783D"/>
    <w:rsid w:val="006F30D1"/>
    <w:rsid w:val="006F4CBD"/>
    <w:rsid w:val="006F50DE"/>
    <w:rsid w:val="006F5F83"/>
    <w:rsid w:val="00700F51"/>
    <w:rsid w:val="00701438"/>
    <w:rsid w:val="00704F56"/>
    <w:rsid w:val="00705CC0"/>
    <w:rsid w:val="00714C03"/>
    <w:rsid w:val="00716B8D"/>
    <w:rsid w:val="007205C5"/>
    <w:rsid w:val="00743BB2"/>
    <w:rsid w:val="00754026"/>
    <w:rsid w:val="00763184"/>
    <w:rsid w:val="00766910"/>
    <w:rsid w:val="007706FB"/>
    <w:rsid w:val="007762D0"/>
    <w:rsid w:val="007870FD"/>
    <w:rsid w:val="007911BC"/>
    <w:rsid w:val="007A4254"/>
    <w:rsid w:val="007A6D2B"/>
    <w:rsid w:val="007B48C1"/>
    <w:rsid w:val="007B4902"/>
    <w:rsid w:val="007C4077"/>
    <w:rsid w:val="007C6456"/>
    <w:rsid w:val="007D0C70"/>
    <w:rsid w:val="007D0DAD"/>
    <w:rsid w:val="007D3C93"/>
    <w:rsid w:val="007D42C0"/>
    <w:rsid w:val="007D6E1D"/>
    <w:rsid w:val="007E642F"/>
    <w:rsid w:val="007F4D5A"/>
    <w:rsid w:val="008010F6"/>
    <w:rsid w:val="008012DC"/>
    <w:rsid w:val="008061C3"/>
    <w:rsid w:val="00806624"/>
    <w:rsid w:val="00821820"/>
    <w:rsid w:val="008306D5"/>
    <w:rsid w:val="00831303"/>
    <w:rsid w:val="0083155C"/>
    <w:rsid w:val="008317D7"/>
    <w:rsid w:val="00836991"/>
    <w:rsid w:val="0083749C"/>
    <w:rsid w:val="00837730"/>
    <w:rsid w:val="0084126A"/>
    <w:rsid w:val="0084191B"/>
    <w:rsid w:val="00842618"/>
    <w:rsid w:val="00842ED0"/>
    <w:rsid w:val="00845501"/>
    <w:rsid w:val="00845835"/>
    <w:rsid w:val="0085047B"/>
    <w:rsid w:val="008507FE"/>
    <w:rsid w:val="00856712"/>
    <w:rsid w:val="00857C5C"/>
    <w:rsid w:val="00860C3F"/>
    <w:rsid w:val="008610B3"/>
    <w:rsid w:val="00863038"/>
    <w:rsid w:val="008702CA"/>
    <w:rsid w:val="00874250"/>
    <w:rsid w:val="00874564"/>
    <w:rsid w:val="008804CB"/>
    <w:rsid w:val="008813B7"/>
    <w:rsid w:val="00886FDA"/>
    <w:rsid w:val="00893437"/>
    <w:rsid w:val="00895F09"/>
    <w:rsid w:val="008A4073"/>
    <w:rsid w:val="008B0D71"/>
    <w:rsid w:val="008B1B11"/>
    <w:rsid w:val="008B37DB"/>
    <w:rsid w:val="008B5C28"/>
    <w:rsid w:val="008B7180"/>
    <w:rsid w:val="008B7607"/>
    <w:rsid w:val="008C2E64"/>
    <w:rsid w:val="008C761C"/>
    <w:rsid w:val="008C7982"/>
    <w:rsid w:val="008E45A9"/>
    <w:rsid w:val="008E7F5C"/>
    <w:rsid w:val="008F18E3"/>
    <w:rsid w:val="008F23D2"/>
    <w:rsid w:val="008F6064"/>
    <w:rsid w:val="008F6B9F"/>
    <w:rsid w:val="00914E49"/>
    <w:rsid w:val="00917AD0"/>
    <w:rsid w:val="009310E4"/>
    <w:rsid w:val="009321DA"/>
    <w:rsid w:val="009337CF"/>
    <w:rsid w:val="009377CE"/>
    <w:rsid w:val="00937DBC"/>
    <w:rsid w:val="009406CB"/>
    <w:rsid w:val="00941FE8"/>
    <w:rsid w:val="00943121"/>
    <w:rsid w:val="00947733"/>
    <w:rsid w:val="00953FCC"/>
    <w:rsid w:val="00965557"/>
    <w:rsid w:val="00970F1A"/>
    <w:rsid w:val="00971131"/>
    <w:rsid w:val="00976A93"/>
    <w:rsid w:val="009924C7"/>
    <w:rsid w:val="009939F4"/>
    <w:rsid w:val="009A2202"/>
    <w:rsid w:val="009A50F8"/>
    <w:rsid w:val="009B5D84"/>
    <w:rsid w:val="009C31F2"/>
    <w:rsid w:val="009C6549"/>
    <w:rsid w:val="009C6A8E"/>
    <w:rsid w:val="009D1684"/>
    <w:rsid w:val="009D6DBA"/>
    <w:rsid w:val="009D70EB"/>
    <w:rsid w:val="009E45E7"/>
    <w:rsid w:val="009F232F"/>
    <w:rsid w:val="009F58D1"/>
    <w:rsid w:val="009F7D21"/>
    <w:rsid w:val="00A11F08"/>
    <w:rsid w:val="00A120F9"/>
    <w:rsid w:val="00A132BE"/>
    <w:rsid w:val="00A15C3D"/>
    <w:rsid w:val="00A20D28"/>
    <w:rsid w:val="00A218E5"/>
    <w:rsid w:val="00A35391"/>
    <w:rsid w:val="00A366B7"/>
    <w:rsid w:val="00A401BD"/>
    <w:rsid w:val="00A40AE3"/>
    <w:rsid w:val="00A4360E"/>
    <w:rsid w:val="00A44230"/>
    <w:rsid w:val="00A46653"/>
    <w:rsid w:val="00A50641"/>
    <w:rsid w:val="00A6357A"/>
    <w:rsid w:val="00A64EFD"/>
    <w:rsid w:val="00A6503E"/>
    <w:rsid w:val="00A66BBD"/>
    <w:rsid w:val="00A7119E"/>
    <w:rsid w:val="00A754A7"/>
    <w:rsid w:val="00A77272"/>
    <w:rsid w:val="00A77A95"/>
    <w:rsid w:val="00A80ACA"/>
    <w:rsid w:val="00A81C31"/>
    <w:rsid w:val="00A901B3"/>
    <w:rsid w:val="00A93F77"/>
    <w:rsid w:val="00AA21DD"/>
    <w:rsid w:val="00AA2A84"/>
    <w:rsid w:val="00AA3A67"/>
    <w:rsid w:val="00AA59F3"/>
    <w:rsid w:val="00AB7668"/>
    <w:rsid w:val="00AC217D"/>
    <w:rsid w:val="00AC3BE1"/>
    <w:rsid w:val="00AC3E11"/>
    <w:rsid w:val="00AD0877"/>
    <w:rsid w:val="00AE042B"/>
    <w:rsid w:val="00AE106A"/>
    <w:rsid w:val="00AE160D"/>
    <w:rsid w:val="00AE2FAA"/>
    <w:rsid w:val="00AE518A"/>
    <w:rsid w:val="00AF56C7"/>
    <w:rsid w:val="00AF693A"/>
    <w:rsid w:val="00AF73FC"/>
    <w:rsid w:val="00B02E38"/>
    <w:rsid w:val="00B03195"/>
    <w:rsid w:val="00B039A2"/>
    <w:rsid w:val="00B1110A"/>
    <w:rsid w:val="00B174D5"/>
    <w:rsid w:val="00B20554"/>
    <w:rsid w:val="00B25437"/>
    <w:rsid w:val="00B31B42"/>
    <w:rsid w:val="00B31C94"/>
    <w:rsid w:val="00B3312B"/>
    <w:rsid w:val="00B4545B"/>
    <w:rsid w:val="00B471CA"/>
    <w:rsid w:val="00B52A74"/>
    <w:rsid w:val="00B641C3"/>
    <w:rsid w:val="00B76F0A"/>
    <w:rsid w:val="00B82C44"/>
    <w:rsid w:val="00B87116"/>
    <w:rsid w:val="00B90F1C"/>
    <w:rsid w:val="00B92FAC"/>
    <w:rsid w:val="00B93CD3"/>
    <w:rsid w:val="00B95FB8"/>
    <w:rsid w:val="00BA12B4"/>
    <w:rsid w:val="00BA6A12"/>
    <w:rsid w:val="00BB1F2F"/>
    <w:rsid w:val="00BB6051"/>
    <w:rsid w:val="00BB7843"/>
    <w:rsid w:val="00BC7009"/>
    <w:rsid w:val="00BC79F0"/>
    <w:rsid w:val="00BD3F96"/>
    <w:rsid w:val="00BD641C"/>
    <w:rsid w:val="00BE08D2"/>
    <w:rsid w:val="00BE240A"/>
    <w:rsid w:val="00BE6B3B"/>
    <w:rsid w:val="00BF4262"/>
    <w:rsid w:val="00BF4E3A"/>
    <w:rsid w:val="00C036E8"/>
    <w:rsid w:val="00C06BE2"/>
    <w:rsid w:val="00C07FCE"/>
    <w:rsid w:val="00C14CED"/>
    <w:rsid w:val="00C155C6"/>
    <w:rsid w:val="00C226F1"/>
    <w:rsid w:val="00C26646"/>
    <w:rsid w:val="00C2690D"/>
    <w:rsid w:val="00C277D8"/>
    <w:rsid w:val="00C32B59"/>
    <w:rsid w:val="00C3455D"/>
    <w:rsid w:val="00C36654"/>
    <w:rsid w:val="00C36B17"/>
    <w:rsid w:val="00C36EAD"/>
    <w:rsid w:val="00C437C3"/>
    <w:rsid w:val="00C45975"/>
    <w:rsid w:val="00C563F6"/>
    <w:rsid w:val="00C56DBA"/>
    <w:rsid w:val="00C57D88"/>
    <w:rsid w:val="00C61B9F"/>
    <w:rsid w:val="00C71279"/>
    <w:rsid w:val="00C71395"/>
    <w:rsid w:val="00C80C6F"/>
    <w:rsid w:val="00C85586"/>
    <w:rsid w:val="00C934F6"/>
    <w:rsid w:val="00C93926"/>
    <w:rsid w:val="00C94FFC"/>
    <w:rsid w:val="00CA0865"/>
    <w:rsid w:val="00CA0A3A"/>
    <w:rsid w:val="00CA1D33"/>
    <w:rsid w:val="00CA4007"/>
    <w:rsid w:val="00CB2135"/>
    <w:rsid w:val="00CB2CD9"/>
    <w:rsid w:val="00CB52AD"/>
    <w:rsid w:val="00CC0F19"/>
    <w:rsid w:val="00CC49C2"/>
    <w:rsid w:val="00CC50E3"/>
    <w:rsid w:val="00CD0632"/>
    <w:rsid w:val="00CD0803"/>
    <w:rsid w:val="00CD4B2A"/>
    <w:rsid w:val="00CD58F7"/>
    <w:rsid w:val="00CE2083"/>
    <w:rsid w:val="00CE63AF"/>
    <w:rsid w:val="00D15846"/>
    <w:rsid w:val="00D239C1"/>
    <w:rsid w:val="00D351C9"/>
    <w:rsid w:val="00D36080"/>
    <w:rsid w:val="00D36759"/>
    <w:rsid w:val="00D468C4"/>
    <w:rsid w:val="00D47139"/>
    <w:rsid w:val="00D4794A"/>
    <w:rsid w:val="00D47B52"/>
    <w:rsid w:val="00D6253C"/>
    <w:rsid w:val="00D62836"/>
    <w:rsid w:val="00D65493"/>
    <w:rsid w:val="00D663BE"/>
    <w:rsid w:val="00D664FF"/>
    <w:rsid w:val="00D70C80"/>
    <w:rsid w:val="00D71CC6"/>
    <w:rsid w:val="00D7248B"/>
    <w:rsid w:val="00D74C32"/>
    <w:rsid w:val="00D771A8"/>
    <w:rsid w:val="00D86A4D"/>
    <w:rsid w:val="00DA22C2"/>
    <w:rsid w:val="00DB1016"/>
    <w:rsid w:val="00DC2F6F"/>
    <w:rsid w:val="00DC37AE"/>
    <w:rsid w:val="00DD15E1"/>
    <w:rsid w:val="00DD4270"/>
    <w:rsid w:val="00DD4347"/>
    <w:rsid w:val="00DE2B2C"/>
    <w:rsid w:val="00DE39B3"/>
    <w:rsid w:val="00DF0115"/>
    <w:rsid w:val="00DF10E8"/>
    <w:rsid w:val="00DF6AA2"/>
    <w:rsid w:val="00E03967"/>
    <w:rsid w:val="00E052CE"/>
    <w:rsid w:val="00E06808"/>
    <w:rsid w:val="00E1418A"/>
    <w:rsid w:val="00E2104A"/>
    <w:rsid w:val="00E257F5"/>
    <w:rsid w:val="00E32ABF"/>
    <w:rsid w:val="00E3709C"/>
    <w:rsid w:val="00E37AEE"/>
    <w:rsid w:val="00E4151D"/>
    <w:rsid w:val="00E51638"/>
    <w:rsid w:val="00E5219A"/>
    <w:rsid w:val="00E53CFB"/>
    <w:rsid w:val="00E54A61"/>
    <w:rsid w:val="00E54BC9"/>
    <w:rsid w:val="00E55EC4"/>
    <w:rsid w:val="00E6002E"/>
    <w:rsid w:val="00E6215D"/>
    <w:rsid w:val="00E62374"/>
    <w:rsid w:val="00E62925"/>
    <w:rsid w:val="00E64892"/>
    <w:rsid w:val="00E65C89"/>
    <w:rsid w:val="00E71DEE"/>
    <w:rsid w:val="00E8169E"/>
    <w:rsid w:val="00E83389"/>
    <w:rsid w:val="00E846DA"/>
    <w:rsid w:val="00E87152"/>
    <w:rsid w:val="00E9234C"/>
    <w:rsid w:val="00E92E7B"/>
    <w:rsid w:val="00EA2F72"/>
    <w:rsid w:val="00EA6046"/>
    <w:rsid w:val="00EA67D8"/>
    <w:rsid w:val="00EA7278"/>
    <w:rsid w:val="00EA729E"/>
    <w:rsid w:val="00EB0999"/>
    <w:rsid w:val="00EB2230"/>
    <w:rsid w:val="00EB544A"/>
    <w:rsid w:val="00EB5CFD"/>
    <w:rsid w:val="00EC0E81"/>
    <w:rsid w:val="00EC51B3"/>
    <w:rsid w:val="00EC52E9"/>
    <w:rsid w:val="00ED6ED4"/>
    <w:rsid w:val="00ED7FFA"/>
    <w:rsid w:val="00EE6BF3"/>
    <w:rsid w:val="00F01493"/>
    <w:rsid w:val="00F02D6A"/>
    <w:rsid w:val="00F04F68"/>
    <w:rsid w:val="00F15C12"/>
    <w:rsid w:val="00F20E86"/>
    <w:rsid w:val="00F217CC"/>
    <w:rsid w:val="00F229BA"/>
    <w:rsid w:val="00F269F7"/>
    <w:rsid w:val="00F46F09"/>
    <w:rsid w:val="00F54F38"/>
    <w:rsid w:val="00F55128"/>
    <w:rsid w:val="00F61853"/>
    <w:rsid w:val="00F61E44"/>
    <w:rsid w:val="00F70844"/>
    <w:rsid w:val="00F8255A"/>
    <w:rsid w:val="00F939DE"/>
    <w:rsid w:val="00F95A1D"/>
    <w:rsid w:val="00FA2D7B"/>
    <w:rsid w:val="00FA3ADA"/>
    <w:rsid w:val="00FA41C8"/>
    <w:rsid w:val="00FA41DB"/>
    <w:rsid w:val="00FB1DED"/>
    <w:rsid w:val="00FB2AEC"/>
    <w:rsid w:val="00FB4A7C"/>
    <w:rsid w:val="00FB4FC4"/>
    <w:rsid w:val="00FD4EBE"/>
    <w:rsid w:val="00FE3770"/>
    <w:rsid w:val="00FE5FD7"/>
    <w:rsid w:val="00FF200B"/>
    <w:rsid w:val="00FF56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A2FD"/>
  <w15:docId w15:val="{C1293F8B-0114-485D-ADB8-96423D1A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paragraph" w:styleId="Heading4">
    <w:name w:val="heading 4"/>
    <w:basedOn w:val="Normal"/>
    <w:next w:val="Normal"/>
    <w:link w:val="Heading4Char"/>
    <w:unhideWhenUsed/>
    <w:qFormat/>
    <w:rsid w:val="005020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 w:type="character" w:customStyle="1" w:styleId="Heading4Char">
    <w:name w:val="Heading 4 Char"/>
    <w:basedOn w:val="DefaultParagraphFont"/>
    <w:link w:val="Heading4"/>
    <w:rsid w:val="00502030"/>
    <w:rPr>
      <w:rFonts w:asciiTheme="majorHAnsi" w:eastAsiaTheme="majorEastAsia" w:hAnsiTheme="majorHAnsi" w:cstheme="majorBidi"/>
      <w:b/>
      <w:bCs/>
      <w:i/>
      <w:iCs/>
      <w:color w:val="4F81BD" w:themeColor="accent1"/>
      <w:sz w:val="24"/>
      <w:szCs w:val="24"/>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4416">
      <w:bodyDiv w:val="1"/>
      <w:marLeft w:val="0"/>
      <w:marRight w:val="0"/>
      <w:marTop w:val="0"/>
      <w:marBottom w:val="0"/>
      <w:divBdr>
        <w:top w:val="none" w:sz="0" w:space="0" w:color="auto"/>
        <w:left w:val="none" w:sz="0" w:space="0" w:color="auto"/>
        <w:bottom w:val="none" w:sz="0" w:space="0" w:color="auto"/>
        <w:right w:val="none" w:sz="0" w:space="0" w:color="auto"/>
      </w:divBdr>
    </w:div>
    <w:div w:id="229732565">
      <w:bodyDiv w:val="1"/>
      <w:marLeft w:val="0"/>
      <w:marRight w:val="0"/>
      <w:marTop w:val="0"/>
      <w:marBottom w:val="0"/>
      <w:divBdr>
        <w:top w:val="none" w:sz="0" w:space="0" w:color="auto"/>
        <w:left w:val="none" w:sz="0" w:space="0" w:color="auto"/>
        <w:bottom w:val="none" w:sz="0" w:space="0" w:color="auto"/>
        <w:right w:val="none" w:sz="0" w:space="0" w:color="auto"/>
      </w:divBdr>
    </w:div>
    <w:div w:id="287202934">
      <w:bodyDiv w:val="1"/>
      <w:marLeft w:val="0"/>
      <w:marRight w:val="0"/>
      <w:marTop w:val="0"/>
      <w:marBottom w:val="0"/>
      <w:divBdr>
        <w:top w:val="none" w:sz="0" w:space="0" w:color="auto"/>
        <w:left w:val="none" w:sz="0" w:space="0" w:color="auto"/>
        <w:bottom w:val="none" w:sz="0" w:space="0" w:color="auto"/>
        <w:right w:val="none" w:sz="0" w:space="0" w:color="auto"/>
      </w:divBdr>
    </w:div>
    <w:div w:id="386682911">
      <w:bodyDiv w:val="1"/>
      <w:marLeft w:val="0"/>
      <w:marRight w:val="0"/>
      <w:marTop w:val="0"/>
      <w:marBottom w:val="0"/>
      <w:divBdr>
        <w:top w:val="none" w:sz="0" w:space="0" w:color="auto"/>
        <w:left w:val="none" w:sz="0" w:space="0" w:color="auto"/>
        <w:bottom w:val="none" w:sz="0" w:space="0" w:color="auto"/>
        <w:right w:val="none" w:sz="0" w:space="0" w:color="auto"/>
      </w:divBdr>
    </w:div>
    <w:div w:id="686249772">
      <w:bodyDiv w:val="1"/>
      <w:marLeft w:val="0"/>
      <w:marRight w:val="0"/>
      <w:marTop w:val="0"/>
      <w:marBottom w:val="0"/>
      <w:divBdr>
        <w:top w:val="none" w:sz="0" w:space="0" w:color="auto"/>
        <w:left w:val="none" w:sz="0" w:space="0" w:color="auto"/>
        <w:bottom w:val="none" w:sz="0" w:space="0" w:color="auto"/>
        <w:right w:val="none" w:sz="0" w:space="0" w:color="auto"/>
      </w:divBdr>
    </w:div>
    <w:div w:id="782459435">
      <w:bodyDiv w:val="1"/>
      <w:marLeft w:val="0"/>
      <w:marRight w:val="0"/>
      <w:marTop w:val="0"/>
      <w:marBottom w:val="0"/>
      <w:divBdr>
        <w:top w:val="none" w:sz="0" w:space="0" w:color="auto"/>
        <w:left w:val="none" w:sz="0" w:space="0" w:color="auto"/>
        <w:bottom w:val="none" w:sz="0" w:space="0" w:color="auto"/>
        <w:right w:val="none" w:sz="0" w:space="0" w:color="auto"/>
      </w:divBdr>
    </w:div>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929236498">
      <w:bodyDiv w:val="1"/>
      <w:marLeft w:val="0"/>
      <w:marRight w:val="0"/>
      <w:marTop w:val="0"/>
      <w:marBottom w:val="0"/>
      <w:divBdr>
        <w:top w:val="none" w:sz="0" w:space="0" w:color="auto"/>
        <w:left w:val="none" w:sz="0" w:space="0" w:color="auto"/>
        <w:bottom w:val="none" w:sz="0" w:space="0" w:color="auto"/>
        <w:right w:val="none" w:sz="0" w:space="0" w:color="auto"/>
      </w:divBdr>
    </w:div>
    <w:div w:id="1115366550">
      <w:bodyDiv w:val="1"/>
      <w:marLeft w:val="0"/>
      <w:marRight w:val="0"/>
      <w:marTop w:val="0"/>
      <w:marBottom w:val="0"/>
      <w:divBdr>
        <w:top w:val="none" w:sz="0" w:space="0" w:color="auto"/>
        <w:left w:val="none" w:sz="0" w:space="0" w:color="auto"/>
        <w:bottom w:val="none" w:sz="0" w:space="0" w:color="auto"/>
        <w:right w:val="none" w:sz="0" w:space="0" w:color="auto"/>
      </w:divBdr>
    </w:div>
    <w:div w:id="1121339265">
      <w:bodyDiv w:val="1"/>
      <w:marLeft w:val="0"/>
      <w:marRight w:val="0"/>
      <w:marTop w:val="0"/>
      <w:marBottom w:val="0"/>
      <w:divBdr>
        <w:top w:val="none" w:sz="0" w:space="0" w:color="auto"/>
        <w:left w:val="none" w:sz="0" w:space="0" w:color="auto"/>
        <w:bottom w:val="none" w:sz="0" w:space="0" w:color="auto"/>
        <w:right w:val="none" w:sz="0" w:space="0" w:color="auto"/>
      </w:divBdr>
    </w:div>
    <w:div w:id="1121727680">
      <w:bodyDiv w:val="1"/>
      <w:marLeft w:val="0"/>
      <w:marRight w:val="0"/>
      <w:marTop w:val="0"/>
      <w:marBottom w:val="0"/>
      <w:divBdr>
        <w:top w:val="none" w:sz="0" w:space="0" w:color="auto"/>
        <w:left w:val="none" w:sz="0" w:space="0" w:color="auto"/>
        <w:bottom w:val="none" w:sz="0" w:space="0" w:color="auto"/>
        <w:right w:val="none" w:sz="0" w:space="0" w:color="auto"/>
      </w:divBdr>
    </w:div>
    <w:div w:id="1156727256">
      <w:bodyDiv w:val="1"/>
      <w:marLeft w:val="0"/>
      <w:marRight w:val="0"/>
      <w:marTop w:val="0"/>
      <w:marBottom w:val="0"/>
      <w:divBdr>
        <w:top w:val="none" w:sz="0" w:space="0" w:color="auto"/>
        <w:left w:val="none" w:sz="0" w:space="0" w:color="auto"/>
        <w:bottom w:val="none" w:sz="0" w:space="0" w:color="auto"/>
        <w:right w:val="none" w:sz="0" w:space="0" w:color="auto"/>
      </w:divBdr>
    </w:div>
    <w:div w:id="1282616707">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 w:id="1723629337">
      <w:bodyDiv w:val="1"/>
      <w:marLeft w:val="0"/>
      <w:marRight w:val="0"/>
      <w:marTop w:val="0"/>
      <w:marBottom w:val="0"/>
      <w:divBdr>
        <w:top w:val="none" w:sz="0" w:space="0" w:color="auto"/>
        <w:left w:val="none" w:sz="0" w:space="0" w:color="auto"/>
        <w:bottom w:val="none" w:sz="0" w:space="0" w:color="auto"/>
        <w:right w:val="none" w:sz="0" w:space="0" w:color="auto"/>
      </w:divBdr>
    </w:div>
    <w:div w:id="18361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2BBD-A38C-462B-9009-F4FD1BBA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2438</Words>
  <Characters>13900</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7</cp:revision>
  <cp:lastPrinted>2017-08-11T07:46:00Z</cp:lastPrinted>
  <dcterms:created xsi:type="dcterms:W3CDTF">2017-08-11T07:39:00Z</dcterms:created>
  <dcterms:modified xsi:type="dcterms:W3CDTF">2017-08-11T07:46:00Z</dcterms:modified>
</cp:coreProperties>
</file>