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A9" w:rsidRDefault="001416D0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5080</wp:posOffset>
                </wp:positionV>
                <wp:extent cx="1511935" cy="454660"/>
                <wp:effectExtent l="0" t="0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774" w:rsidRPr="00DF0B5B" w:rsidRDefault="00B5560C" w:rsidP="001416D0">
                            <w:pPr>
                              <w:pStyle w:val="Balk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720"/>
                              </w:tabs>
                              <w:suppressAutoHyphens/>
                              <w:ind w:left="720" w:hanging="720"/>
                              <w:jc w:val="right"/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B5560C"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:lang w:val="tr-TR"/>
                              </w:rPr>
                              <w:t>2</w:t>
                            </w:r>
                            <w:r w:rsidR="001C5E58"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:lang w:val="tr-TR"/>
                              </w:rPr>
                              <w:t>0</w:t>
                            </w:r>
                            <w:r w:rsidR="001F6C83"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8D3774" w:rsidRPr="00B5560C"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:lang w:val="tr-TR"/>
                              </w:rPr>
                              <w:t>Temmuz 2017</w:t>
                            </w:r>
                          </w:p>
                          <w:p w:rsidR="008D3774" w:rsidRPr="00DF0B5B" w:rsidRDefault="008D3774" w:rsidP="001416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390.4pt;margin-top:.4pt;width:119.05pt;height:35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" stroked="f">
                <v:fill opacity="0"/>
                <v:textbox inset="0,0,0,0">
                  <w:txbxContent>
                    <w:p w:rsidR="008D3774" w:rsidRPr="00DF0B5B" w:rsidRDefault="00B5560C" w:rsidP="001416D0">
                      <w:pPr>
                        <w:pStyle w:val="Balk3"/>
                        <w:numPr>
                          <w:ilvl w:val="2"/>
                          <w:numId w:val="0"/>
                        </w:numPr>
                        <w:tabs>
                          <w:tab w:val="num" w:pos="720"/>
                        </w:tabs>
                        <w:suppressAutoHyphens/>
                        <w:ind w:left="720" w:hanging="720"/>
                        <w:jc w:val="right"/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:lang w:val="tr-TR"/>
                        </w:rPr>
                      </w:pPr>
                      <w:r w:rsidRPr="00B5560C"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:lang w:val="tr-TR"/>
                        </w:rPr>
                        <w:t>2</w:t>
                      </w:r>
                      <w:r w:rsidR="001C5E58"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:lang w:val="tr-TR"/>
                        </w:rPr>
                        <w:t>0</w:t>
                      </w:r>
                      <w:r w:rsidR="001F6C83"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8D3774" w:rsidRPr="00B5560C"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:lang w:val="tr-TR"/>
                        </w:rPr>
                        <w:t>Temmuz 2017</w:t>
                      </w:r>
                    </w:p>
                    <w:p w:rsidR="008D3774" w:rsidRPr="00DF0B5B" w:rsidRDefault="008D3774" w:rsidP="001416D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-565150</wp:posOffset>
                </wp:positionV>
                <wp:extent cx="3524250" cy="558800"/>
                <wp:effectExtent l="0" t="0" r="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774" w:rsidRPr="00196536" w:rsidRDefault="008D3774" w:rsidP="001416D0">
                            <w:pP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Araştırma Notu 17</w:t>
                            </w:r>
                            <w:r w:rsidRPr="004C6D7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B5560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27" type="#_x0000_t202" style="position:absolute;margin-left:148.4pt;margin-top:-44.5pt;width:277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" filled="f" stroked="f">
                <v:textbox inset=",7.2pt,,7.2pt">
                  <w:txbxContent>
                    <w:p w:rsidR="008D3774" w:rsidRPr="00196536" w:rsidRDefault="008D3774" w:rsidP="001416D0">
                      <w:pP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Araştırma Notu 17</w:t>
                      </w:r>
                      <w:r w:rsidRPr="004C6D72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/</w:t>
                      </w:r>
                      <w:r w:rsidR="00B5560C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214</w:t>
                      </w:r>
                    </w:p>
                  </w:txbxContent>
                </v:textbox>
              </v:shape>
            </w:pict>
          </mc:Fallback>
        </mc:AlternateContent>
      </w:r>
      <w:r w:rsidRPr="000171C1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AA4F671" wp14:editId="558F3C9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3800" cy="1370716"/>
            <wp:effectExtent l="0" t="0" r="0" b="1270"/>
            <wp:wrapNone/>
            <wp:docPr id="2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74" cy="137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BB" w:rsidRDefault="00CA56BB"/>
    <w:p w:rsidR="001F6C83" w:rsidRDefault="001F6C83" w:rsidP="009F59B8">
      <w:pPr>
        <w:spacing w:after="0"/>
        <w:contextualSpacing/>
        <w:mirrorIndents/>
        <w:jc w:val="center"/>
        <w:rPr>
          <w:rFonts w:eastAsia="Times New Roman" w:cs="Arial"/>
          <w:b/>
          <w:sz w:val="28"/>
          <w:szCs w:val="28"/>
          <w:highlight w:val="yellow"/>
        </w:rPr>
      </w:pPr>
    </w:p>
    <w:p w:rsidR="006B133A" w:rsidRDefault="0094298B" w:rsidP="009F59B8">
      <w:pPr>
        <w:spacing w:after="0"/>
        <w:contextualSpacing/>
        <w:mirrorIndents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KURULAN-KAPANAN </w:t>
      </w:r>
      <w:r w:rsidR="001C5E58">
        <w:rPr>
          <w:rFonts w:eastAsia="Times New Roman" w:cs="Arial"/>
          <w:b/>
          <w:sz w:val="28"/>
          <w:szCs w:val="28"/>
        </w:rPr>
        <w:t>FİRMALAR</w:t>
      </w:r>
      <w:r>
        <w:rPr>
          <w:rFonts w:eastAsia="Times New Roman" w:cs="Arial"/>
          <w:b/>
          <w:sz w:val="28"/>
          <w:szCs w:val="28"/>
        </w:rPr>
        <w:t>: ANA EĞİLİMLER, İSTİHDAM VE KATMA DEĞERE ETKİLERİ</w:t>
      </w:r>
    </w:p>
    <w:p w:rsidR="001F6C83" w:rsidRPr="009F59B8" w:rsidRDefault="001F6C83" w:rsidP="009F59B8">
      <w:pPr>
        <w:spacing w:after="0"/>
        <w:contextualSpacing/>
        <w:mirrorIndents/>
        <w:jc w:val="center"/>
        <w:rPr>
          <w:rFonts w:eastAsia="Times New Roman" w:cs="Arial"/>
          <w:b/>
          <w:sz w:val="28"/>
          <w:szCs w:val="28"/>
        </w:rPr>
      </w:pPr>
    </w:p>
    <w:p w:rsidR="001568F7" w:rsidRPr="009F59B8" w:rsidRDefault="006B133A" w:rsidP="009F59B8">
      <w:pPr>
        <w:spacing w:after="0"/>
        <w:contextualSpacing/>
        <w:mirrorIndents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Ozan Bakış</w:t>
      </w:r>
      <w:r w:rsidRPr="000171C1">
        <w:rPr>
          <w:rFonts w:eastAsia="Times New Roman" w:cs="Arial"/>
          <w:b/>
          <w:vertAlign w:val="superscript"/>
        </w:rPr>
        <w:footnoteReference w:customMarkFollows="1" w:id="1"/>
        <w:t>*</w:t>
      </w:r>
      <w:r w:rsidRPr="000171C1">
        <w:rPr>
          <w:rFonts w:eastAsia="Times New Roman" w:cs="Arial"/>
          <w:b/>
        </w:rPr>
        <w:t xml:space="preserve">, </w:t>
      </w:r>
      <w:r>
        <w:rPr>
          <w:rFonts w:eastAsia="Times New Roman" w:cs="Arial"/>
          <w:b/>
        </w:rPr>
        <w:t>Melike Kökkızıl</w:t>
      </w:r>
      <w:r w:rsidRPr="000171C1">
        <w:rPr>
          <w:rFonts w:eastAsia="Times New Roman" w:cs="Arial"/>
          <w:b/>
          <w:vertAlign w:val="superscript"/>
        </w:rPr>
        <w:footnoteReference w:customMarkFollows="1" w:id="2"/>
        <w:t>**</w:t>
      </w:r>
      <w:r w:rsidRPr="000171C1">
        <w:rPr>
          <w:rFonts w:eastAsia="Times New Roman" w:cs="Arial"/>
          <w:b/>
        </w:rPr>
        <w:t xml:space="preserve"> </w:t>
      </w:r>
    </w:p>
    <w:p w:rsidR="006B133A" w:rsidRDefault="006B133A" w:rsidP="006B133A">
      <w:pPr>
        <w:spacing w:after="0"/>
        <w:contextualSpacing/>
        <w:mirrorIndents/>
        <w:jc w:val="center"/>
        <w:rPr>
          <w:rFonts w:eastAsia="Times New Roman" w:cs="Arial"/>
          <w:b/>
          <w:sz w:val="24"/>
          <w:szCs w:val="24"/>
        </w:rPr>
      </w:pPr>
      <w:r w:rsidRPr="00E477F0">
        <w:rPr>
          <w:rFonts w:eastAsia="Times New Roman" w:cs="Arial"/>
          <w:b/>
          <w:sz w:val="24"/>
          <w:szCs w:val="24"/>
        </w:rPr>
        <w:t>Yönetici özeti</w:t>
      </w:r>
    </w:p>
    <w:p w:rsidR="00523AAD" w:rsidRPr="00E477F0" w:rsidRDefault="00523AAD" w:rsidP="006B133A">
      <w:pPr>
        <w:spacing w:after="0"/>
        <w:contextualSpacing/>
        <w:mirrorIndents/>
        <w:jc w:val="center"/>
        <w:rPr>
          <w:rFonts w:eastAsia="Times New Roman" w:cs="Arial"/>
          <w:b/>
          <w:sz w:val="24"/>
          <w:szCs w:val="24"/>
        </w:rPr>
      </w:pPr>
    </w:p>
    <w:p w:rsidR="004437CF" w:rsidRPr="004A2BF3" w:rsidRDefault="009A4DDD" w:rsidP="007F44D3">
      <w:pPr>
        <w:jc w:val="both"/>
        <w:rPr>
          <w:highlight w:val="yellow"/>
        </w:rPr>
      </w:pPr>
      <w:r w:rsidRPr="005A502B">
        <w:t>Bu çalışmada</w:t>
      </w:r>
      <w:r w:rsidR="00F11E5C" w:rsidRPr="005A502B">
        <w:t xml:space="preserve"> Türkiye Odalar ve Borsalar Birliği (TOBB) tarafından yayımlanan Kurulan/Kapanan Şirket İstatistikleri kullanıl</w:t>
      </w:r>
      <w:r w:rsidR="002D77AA" w:rsidRPr="005A502B">
        <w:t>arak</w:t>
      </w:r>
      <w:r w:rsidR="00523AAD">
        <w:t>,</w:t>
      </w:r>
      <w:r w:rsidR="002D77AA" w:rsidRPr="005A502B">
        <w:t xml:space="preserve"> 2010-2016 döneminde </w:t>
      </w:r>
      <w:r w:rsidR="00701BF1" w:rsidRPr="005A502B">
        <w:t>kurulan ve kapanan firmaların</w:t>
      </w:r>
      <w:r w:rsidR="00523AAD">
        <w:t>,</w:t>
      </w:r>
      <w:r w:rsidR="00701BF1" w:rsidRPr="005A502B">
        <w:t xml:space="preserve"> makroekonomik göstergeler </w:t>
      </w:r>
      <w:r w:rsidR="00701BF1" w:rsidRPr="00E7052A">
        <w:t>olan istihdam ve milli gelirle olan ilişkisi incelenmiştir.</w:t>
      </w:r>
      <w:r w:rsidR="00F11E5C" w:rsidRPr="00E7052A">
        <w:t xml:space="preserve"> </w:t>
      </w:r>
      <w:r w:rsidR="00AD781D" w:rsidRPr="00E7052A">
        <w:t>Bu</w:t>
      </w:r>
      <w:r w:rsidR="00F11E5C" w:rsidRPr="00E7052A">
        <w:t xml:space="preserve"> dönemde Türkiye genelinde kurulan firma sayı</w:t>
      </w:r>
      <w:r w:rsidR="00BB5FB8" w:rsidRPr="00E7052A">
        <w:t>sında yaklaşık yüzde 25’lik</w:t>
      </w:r>
      <w:r w:rsidR="005808EA" w:rsidRPr="00E7052A">
        <w:t xml:space="preserve"> bir artış olduğu görülmektedir </w:t>
      </w:r>
      <w:r w:rsidR="00BB5FB8" w:rsidRPr="00E7052A">
        <w:t xml:space="preserve">(52 binden 65 bine). </w:t>
      </w:r>
      <w:r w:rsidR="00F11E5C" w:rsidRPr="00E7052A">
        <w:t xml:space="preserve">Ekonomik büyümenin </w:t>
      </w:r>
      <w:r w:rsidR="0092682F" w:rsidRPr="00E7052A">
        <w:t xml:space="preserve">önceki iki yıla kıyasla </w:t>
      </w:r>
      <w:r w:rsidR="00A07FDA" w:rsidRPr="00E7052A">
        <w:t xml:space="preserve">göreli olarak </w:t>
      </w:r>
      <w:r w:rsidR="00F11E5C" w:rsidRPr="00E7052A">
        <w:t xml:space="preserve">düşük </w:t>
      </w:r>
      <w:r w:rsidR="00A07FDA" w:rsidRPr="00E7052A">
        <w:t>kaldığı (yüzde</w:t>
      </w:r>
      <w:r w:rsidR="0092682F" w:rsidRPr="00E7052A">
        <w:t xml:space="preserve"> 4,7)</w:t>
      </w:r>
      <w:r w:rsidR="00A07FDA" w:rsidRPr="00E7052A">
        <w:t xml:space="preserve"> </w:t>
      </w:r>
      <w:r w:rsidR="00F11E5C" w:rsidRPr="00E7052A">
        <w:t>2012’de kurulan firma sayısında dip nokta görülerek</w:t>
      </w:r>
      <w:r w:rsidR="004A2BF3" w:rsidRPr="00E7052A">
        <w:t>,</w:t>
      </w:r>
      <w:r w:rsidR="00F11E5C" w:rsidRPr="00E7052A">
        <w:t xml:space="preserve"> yıllık kurulan firma sayısı yaklaşık olarak 40 bine düşmüştür. </w:t>
      </w:r>
      <w:r w:rsidR="00FE3BC5" w:rsidRPr="00E7052A">
        <w:t>Sonraki yıllarda yükselerek 70 bin sınırına dayanmış</w:t>
      </w:r>
      <w:r w:rsidR="00BB5FB8" w:rsidRPr="00E7052A">
        <w:t>tır. Aynı dönemde k</w:t>
      </w:r>
      <w:r w:rsidR="00F11E5C" w:rsidRPr="00E7052A">
        <w:t>apanan firma sayısı</w:t>
      </w:r>
      <w:r w:rsidR="00BB5FB8" w:rsidRPr="00E7052A">
        <w:t xml:space="preserve">nda ise yaklaşık yüzde 8’lik bir azalış olduğu görülmektedir (13 binden 12 bine). </w:t>
      </w:r>
      <w:r w:rsidR="00917789" w:rsidRPr="00E7052A">
        <w:t>F</w:t>
      </w:r>
      <w:r w:rsidR="00BB5FB8" w:rsidRPr="00E7052A">
        <w:t xml:space="preserve">irma kapanışının </w:t>
      </w:r>
      <w:r w:rsidR="00523AAD" w:rsidRPr="00E7052A">
        <w:t>en çok olduğu yıl 2013’dü</w:t>
      </w:r>
      <w:r w:rsidR="00917789" w:rsidRPr="00E7052A">
        <w:t xml:space="preserve">r </w:t>
      </w:r>
      <w:r w:rsidR="00BB5FB8" w:rsidRPr="00E7052A">
        <w:t xml:space="preserve">(17 bin). </w:t>
      </w:r>
      <w:r w:rsidR="00E4205F" w:rsidRPr="007C7FA9">
        <w:t xml:space="preserve">Ayrıca bu dönemde kurulan firma sayıları her sene kapanan firma sayılarından daha yüksektir ve mevcut </w:t>
      </w:r>
      <w:r w:rsidR="007C7FA9">
        <w:t xml:space="preserve">olana </w:t>
      </w:r>
      <w:r w:rsidR="00E4205F" w:rsidRPr="007C7FA9">
        <w:t xml:space="preserve">bu dönemde </w:t>
      </w:r>
      <w:r w:rsidR="00765444" w:rsidRPr="00765444">
        <w:t>283 bin</w:t>
      </w:r>
      <w:r w:rsidR="00E4205F" w:rsidRPr="00765444">
        <w:t xml:space="preserve"> </w:t>
      </w:r>
      <w:r w:rsidR="00E4205F" w:rsidRPr="007C7FA9">
        <w:t xml:space="preserve">kadar firmanın eklendiği </w:t>
      </w:r>
      <w:r w:rsidR="00AA2B5A" w:rsidRPr="007C7FA9">
        <w:t>gözlemlenmektedir</w:t>
      </w:r>
      <w:r w:rsidR="00E4205F" w:rsidRPr="007C7FA9">
        <w:t xml:space="preserve">. </w:t>
      </w:r>
      <w:r w:rsidR="00917789" w:rsidRPr="00E7052A">
        <w:t xml:space="preserve">Firmaların kurulduğu ve kapandığı ayların dağılımı </w:t>
      </w:r>
      <w:r w:rsidR="0079306F" w:rsidRPr="00E7052A">
        <w:t xml:space="preserve">incelendiğinde </w:t>
      </w:r>
      <w:r w:rsidR="001F33C0" w:rsidRPr="00E7052A">
        <w:t>f</w:t>
      </w:r>
      <w:r w:rsidR="0079306F" w:rsidRPr="00E7052A">
        <w:t>irmalar daha çok yılın ilk aylarında ku</w:t>
      </w:r>
      <w:r w:rsidR="00B877A7" w:rsidRPr="00E7052A">
        <w:t>rulmakta</w:t>
      </w:r>
      <w:r w:rsidR="0079306F" w:rsidRPr="00E7052A">
        <w:t xml:space="preserve">, </w:t>
      </w:r>
      <w:r w:rsidR="00917789" w:rsidRPr="00E7052A">
        <w:t xml:space="preserve">kurulan firmalar </w:t>
      </w:r>
      <w:r w:rsidR="00B877A7" w:rsidRPr="00E7052A">
        <w:t>sene ortasına doğru azalmakta,</w:t>
      </w:r>
      <w:r w:rsidR="0079306F" w:rsidRPr="00E7052A">
        <w:t xml:space="preserve"> sonra tekrar hafif bir artış gö</w:t>
      </w:r>
      <w:r w:rsidR="001F33C0" w:rsidRPr="00E7052A">
        <w:t>rül</w:t>
      </w:r>
      <w:r w:rsidR="0079306F" w:rsidRPr="00E7052A">
        <w:t xml:space="preserve">mektedir. </w:t>
      </w:r>
      <w:r w:rsidR="00917789" w:rsidRPr="00E7052A">
        <w:t>F</w:t>
      </w:r>
      <w:r w:rsidR="00B877A7" w:rsidRPr="00E7052A">
        <w:t xml:space="preserve">irmalar </w:t>
      </w:r>
      <w:r w:rsidR="00917789" w:rsidRPr="00E7052A">
        <w:t xml:space="preserve">en çok </w:t>
      </w:r>
      <w:r w:rsidR="009A292D" w:rsidRPr="00E7052A">
        <w:t>o</w:t>
      </w:r>
      <w:r w:rsidR="00B877A7" w:rsidRPr="00E7052A">
        <w:t xml:space="preserve">cak ve </w:t>
      </w:r>
      <w:r w:rsidR="009A292D" w:rsidRPr="00E7052A">
        <w:t>a</w:t>
      </w:r>
      <w:r w:rsidR="00B877A7" w:rsidRPr="00E7052A">
        <w:t>ralık aylarında</w:t>
      </w:r>
      <w:r w:rsidR="004A2BF3" w:rsidRPr="00E7052A">
        <w:t xml:space="preserve"> kapanmakta, diğer</w:t>
      </w:r>
      <w:r w:rsidR="0079306F" w:rsidRPr="00E7052A">
        <w:t xml:space="preserve"> aylarda</w:t>
      </w:r>
      <w:r w:rsidR="004A2BF3" w:rsidRPr="00E7052A">
        <w:t xml:space="preserve"> ise</w:t>
      </w:r>
      <w:r w:rsidR="0079306F" w:rsidRPr="00E7052A">
        <w:t xml:space="preserve"> görece </w:t>
      </w:r>
      <w:r w:rsidR="001F33C0" w:rsidRPr="00E7052A">
        <w:t>düşük ve benzer</w:t>
      </w:r>
      <w:r w:rsidR="00917789" w:rsidRPr="00E7052A">
        <w:t xml:space="preserve"> miktarda </w:t>
      </w:r>
      <w:r w:rsidR="004A2BF3" w:rsidRPr="00E7052A">
        <w:t>işletme kapanışları gözlemlenmektedir.</w:t>
      </w:r>
      <w:r w:rsidR="00C95E33" w:rsidRPr="00E7052A">
        <w:t xml:space="preserve"> Kurulan firma sayısı</w:t>
      </w:r>
      <w:r w:rsidR="00ED576A" w:rsidRPr="00E7052A">
        <w:t xml:space="preserve"> </w:t>
      </w:r>
      <w:r w:rsidR="000612C3" w:rsidRPr="00E7052A">
        <w:t xml:space="preserve">ile </w:t>
      </w:r>
      <w:r w:rsidR="00B63AE6" w:rsidRPr="00E7052A">
        <w:t xml:space="preserve">ileriki dönem </w:t>
      </w:r>
      <w:r w:rsidR="00C95E33" w:rsidRPr="00E7052A">
        <w:t>istihdam artış</w:t>
      </w:r>
      <w:r w:rsidR="000612C3" w:rsidRPr="00E7052A">
        <w:t xml:space="preserve">ları arasında istatistiki olarak anlamlı bir ilişki bulunmazken </w:t>
      </w:r>
      <w:r w:rsidR="00ED576A" w:rsidRPr="00E7052A">
        <w:t>k</w:t>
      </w:r>
      <w:r w:rsidR="00C95E33" w:rsidRPr="00E7052A">
        <w:t>apanan firma</w:t>
      </w:r>
      <w:r w:rsidR="00ED576A" w:rsidRPr="00E7052A">
        <w:t xml:space="preserve"> </w:t>
      </w:r>
      <w:r w:rsidR="00C95E33" w:rsidRPr="00E7052A">
        <w:t>sayı</w:t>
      </w:r>
      <w:r w:rsidR="000612C3" w:rsidRPr="00E7052A">
        <w:t xml:space="preserve">sının </w:t>
      </w:r>
      <w:r w:rsidR="00523AAD" w:rsidRPr="00E7052A">
        <w:t>ilerleyen</w:t>
      </w:r>
      <w:r w:rsidR="004B79A9" w:rsidRPr="00E7052A">
        <w:t xml:space="preserve"> dönemdeki </w:t>
      </w:r>
      <w:r w:rsidR="000612C3" w:rsidRPr="00E7052A">
        <w:t>istihdam artışlarını olums</w:t>
      </w:r>
      <w:r w:rsidR="001D5E2F" w:rsidRPr="00E7052A">
        <w:t>u</w:t>
      </w:r>
      <w:r w:rsidR="003B19E8" w:rsidRPr="00E7052A">
        <w:t xml:space="preserve">z etkilediği tespit edilmiştir. </w:t>
      </w:r>
      <w:r w:rsidR="00FB17F4" w:rsidRPr="00E7052A">
        <w:t>Ekonomik büyüme</w:t>
      </w:r>
      <w:r w:rsidR="00523AAD" w:rsidRPr="00E7052A">
        <w:t>nin</w:t>
      </w:r>
      <w:r w:rsidR="00FB17F4" w:rsidRPr="00E7052A">
        <w:t xml:space="preserve"> etkilerine baktığımızda ise kapanan şirket sayısının sonraki çeyreklerde</w:t>
      </w:r>
      <w:r w:rsidR="004A2BF3" w:rsidRPr="00E7052A">
        <w:t xml:space="preserve"> büyümeye</w:t>
      </w:r>
      <w:r w:rsidR="00FB17F4" w:rsidRPr="00E7052A">
        <w:t xml:space="preserve"> olumsuz etkisi gö</w:t>
      </w:r>
      <w:r w:rsidR="004A2BF3" w:rsidRPr="00E7052A">
        <w:t>zlemlenirken,</w:t>
      </w:r>
      <w:r w:rsidR="00FB17F4" w:rsidRPr="00E7052A">
        <w:t xml:space="preserve"> kurulan şirketlerin</w:t>
      </w:r>
      <w:r w:rsidR="004A2BF3" w:rsidRPr="00E7052A">
        <w:t xml:space="preserve"> büyümeye</w:t>
      </w:r>
      <w:r w:rsidR="00FB17F4" w:rsidRPr="001E3905">
        <w:t xml:space="preserve"> etkisinin </w:t>
      </w:r>
      <w:r w:rsidR="004A2BF3" w:rsidRPr="001E3905">
        <w:t xml:space="preserve">ise </w:t>
      </w:r>
      <w:r w:rsidR="00FB17F4" w:rsidRPr="001E3905">
        <w:t>olumlu olmakla birlikte daha zay</w:t>
      </w:r>
      <w:r w:rsidR="004B79A9" w:rsidRPr="001E3905">
        <w:t>ıf olduğu sonucuna varılmıştır.</w:t>
      </w:r>
    </w:p>
    <w:p w:rsidR="00387244" w:rsidRPr="00387244" w:rsidRDefault="00387244" w:rsidP="00970708">
      <w:pPr>
        <w:rPr>
          <w:b/>
          <w:sz w:val="24"/>
        </w:rPr>
      </w:pPr>
      <w:r w:rsidRPr="00387244">
        <w:rPr>
          <w:b/>
          <w:sz w:val="24"/>
        </w:rPr>
        <w:t>Giriş</w:t>
      </w:r>
    </w:p>
    <w:p w:rsidR="009E22EB" w:rsidRDefault="002A347F" w:rsidP="00970708">
      <w:r>
        <w:t>Kurulan</w:t>
      </w:r>
      <w:r w:rsidR="00E82796">
        <w:t xml:space="preserve"> ve kapanan şirket sayıları</w:t>
      </w:r>
      <w:r w:rsidR="00523AAD">
        <w:t>,</w:t>
      </w:r>
      <w:r w:rsidR="00E82796">
        <w:t xml:space="preserve"> ekonomide rekabet</w:t>
      </w:r>
      <w:r w:rsidR="009E22EB">
        <w:t xml:space="preserve"> durumu</w:t>
      </w:r>
      <w:r w:rsidR="00E82796">
        <w:t>, firmaların hayatta kalma dinam</w:t>
      </w:r>
      <w:r w:rsidR="009E22EB">
        <w:t xml:space="preserve">ikleri ve piyasa işleyişi ile ilgili kıymetli bilgiler sunmaktadır. Piyasaya giriş ve piyasadan çıkışın serbest olduğu bir ekonomide </w:t>
      </w:r>
      <w:r w:rsidR="00B63AE6">
        <w:t>daha verimli ve yenilikçi şirketler piyasaya girerken rekabet gücü düşük</w:t>
      </w:r>
      <w:r w:rsidR="00523AAD">
        <w:t>,</w:t>
      </w:r>
      <w:r w:rsidR="00B63AE6">
        <w:t xml:space="preserve"> verimsiz şirketlerin piyasadan çıkması beklenir. </w:t>
      </w:r>
      <w:r w:rsidR="009E22EB">
        <w:t xml:space="preserve">Reel sektörün </w:t>
      </w:r>
      <w:r w:rsidR="009E22EB" w:rsidRPr="001E3905">
        <w:t>kâr olanakların</w:t>
      </w:r>
      <w:r w:rsidR="00523AAD" w:rsidRPr="001E3905">
        <w:t>ın</w:t>
      </w:r>
      <w:r w:rsidR="009E22EB" w:rsidRPr="001E3905">
        <w:t xml:space="preserve"> arttığı dönem</w:t>
      </w:r>
      <w:r w:rsidR="00523AAD" w:rsidRPr="001E3905">
        <w:t>lerde</w:t>
      </w:r>
      <w:r w:rsidR="009E22EB">
        <w:t xml:space="preserve"> veya yüksek getiri vaat eden sektörlerde girişimciler yeni şirketler kurarak bundan istifade etmeye çalışır. </w:t>
      </w:r>
      <w:r w:rsidR="00523AAD" w:rsidRPr="001E3905">
        <w:t>Piyasaya</w:t>
      </w:r>
      <w:r w:rsidR="00523AAD">
        <w:t xml:space="preserve"> </w:t>
      </w:r>
      <w:r w:rsidR="001E3905">
        <w:t>y</w:t>
      </w:r>
      <w:r w:rsidR="009E22EB">
        <w:t xml:space="preserve">eni giren firmaların mevcut firmalar üzerindeki rekabeti artırması ve artan rekabet sonucu verimliliğin </w:t>
      </w:r>
      <w:r w:rsidR="00AA53C5">
        <w:t>yükselmesi,</w:t>
      </w:r>
      <w:r w:rsidR="009E22EB">
        <w:t xml:space="preserve"> dolayısıyla maliyetlerin düşmesi beklenir. Bu durum toplam ekonomik refahın artması</w:t>
      </w:r>
      <w:r w:rsidR="00523AAD">
        <w:t xml:space="preserve"> </w:t>
      </w:r>
      <w:r w:rsidR="009E22EB">
        <w:t xml:space="preserve">sonucunu verecektir. </w:t>
      </w:r>
    </w:p>
    <w:p w:rsidR="00600EC1" w:rsidRDefault="00B63AE6" w:rsidP="00970708">
      <w:r>
        <w:lastRenderedPageBreak/>
        <w:t>Yapılan ilk kıyaslamalı çalışmalar bu beklentiyi doğrular niteliktedir. Hsieh ve Klenow (2011), ABD, Meksika ve Hindistan’ı karşılaştırdıkları çalışmada</w:t>
      </w:r>
      <w:r w:rsidR="004D6F7A">
        <w:t>,</w:t>
      </w:r>
      <w:r>
        <w:t xml:space="preserve"> faaliyete devam eden firmaların ortalama çalışan sayılarını karşılaştırmaktadır. </w:t>
      </w:r>
      <w:r w:rsidR="00E82796">
        <w:t>B</w:t>
      </w:r>
      <w:r>
        <w:t xml:space="preserve">eş </w:t>
      </w:r>
      <w:r w:rsidRPr="00631C54">
        <w:t>yaşından küçük firmalar</w:t>
      </w:r>
      <w:r w:rsidR="009B6D5D" w:rsidRPr="00631C54">
        <w:t>a kıyasla kırk</w:t>
      </w:r>
      <w:r w:rsidRPr="00631C54">
        <w:t xml:space="preserve"> yaşın üstünde olan firmaların ortalama büyüklükleri</w:t>
      </w:r>
      <w:r w:rsidR="00E82796" w:rsidRPr="00631C54">
        <w:t xml:space="preserve"> Hindistan’da neredeyse aynı kalırken</w:t>
      </w:r>
      <w:r w:rsidR="00F15F31" w:rsidRPr="00631C54">
        <w:t>;</w:t>
      </w:r>
      <w:r w:rsidR="00E82796" w:rsidRPr="00631C54">
        <w:t xml:space="preserve"> ABD’de</w:t>
      </w:r>
      <w:r w:rsidR="00E82796">
        <w:t xml:space="preserve"> yaklaşık 8 katına, Meksika’da ise 2 katına varmaktadır</w:t>
      </w:r>
      <w:r>
        <w:t>.</w:t>
      </w:r>
      <w:r w:rsidR="00E82796">
        <w:t xml:space="preserve"> Yazarlar bu bulguyu şöyle yorumlamaktadır: </w:t>
      </w:r>
      <w:r w:rsidR="00F15F31">
        <w:t>R</w:t>
      </w:r>
      <w:r w:rsidR="00E82796">
        <w:t>ekabetçi olmayan ve dolayısıyla büyüklük olarak yerinde sayan firmalar Hindistan’da uzun süre faaliyete devam ederken ABD’de bu tarz verimsiz firma</w:t>
      </w:r>
      <w:r w:rsidR="004D6F7A">
        <w:t>lar kapanmakta; dolayısıyla</w:t>
      </w:r>
      <w:r w:rsidR="00E82796">
        <w:t xml:space="preserve"> ancak rekabet gücüne sahip</w:t>
      </w:r>
      <w:r w:rsidR="00523AAD">
        <w:t>,</w:t>
      </w:r>
      <w:r w:rsidR="00E82796">
        <w:t xml:space="preserve"> verimli firmalar hayatta kalabilmektedir. </w:t>
      </w:r>
    </w:p>
    <w:p w:rsidR="00375B47" w:rsidRPr="00742990" w:rsidRDefault="00DA254F" w:rsidP="00387244">
      <w:r>
        <w:t>İstihdamı teşvik eden politikaların hemen hepsi firma büyüklüğünü esas almakta ve küçük ve orta büyüklükte işletmeleri (KOBİ) hedeflemektedir. Bun</w:t>
      </w:r>
      <w:r w:rsidRPr="00484C09">
        <w:t xml:space="preserve">un </w:t>
      </w:r>
      <w:r w:rsidR="00523AAD" w:rsidRPr="00484C09">
        <w:t>temel</w:t>
      </w:r>
      <w:r>
        <w:t xml:space="preserve"> nedeni KOBİ’lerin esas iş yaratan aktörler olduğu</w:t>
      </w:r>
      <w:r w:rsidR="004D6F7A">
        <w:t>;</w:t>
      </w:r>
      <w:r>
        <w:t xml:space="preserve"> fakat finansal </w:t>
      </w:r>
      <w:r w:rsidRPr="00742990">
        <w:t xml:space="preserve">zorluklar sebebiyle </w:t>
      </w:r>
      <w:r w:rsidR="004D6F7A" w:rsidRPr="00742990">
        <w:t>büyüme ve iş yaratmada potansiyellerinin altında kaldıkları inancıdır.</w:t>
      </w:r>
      <w:r w:rsidRPr="00742990">
        <w:t xml:space="preserve"> Ne var ki son yıl</w:t>
      </w:r>
      <w:r>
        <w:t>larda yapılan akademik çalışmalar (</w:t>
      </w:r>
      <w:r w:rsidRPr="00DA254F">
        <w:t xml:space="preserve">Haltiwanger </w:t>
      </w:r>
      <w:r>
        <w:t>ve</w:t>
      </w:r>
      <w:r w:rsidRPr="00DA254F">
        <w:t xml:space="preserve"> </w:t>
      </w:r>
      <w:r>
        <w:t>ark</w:t>
      </w:r>
      <w:r w:rsidRPr="00DA254F">
        <w:t>., 2013;</w:t>
      </w:r>
      <w:r>
        <w:t xml:space="preserve"> </w:t>
      </w:r>
      <w:r w:rsidRPr="00DA254F">
        <w:t xml:space="preserve">Rijkers </w:t>
      </w:r>
      <w:r>
        <w:t>ve ark.,</w:t>
      </w:r>
      <w:r w:rsidRPr="00DA254F">
        <w:t xml:space="preserve"> 2014</w:t>
      </w:r>
      <w:r>
        <w:t xml:space="preserve">; Atiyas ve </w:t>
      </w:r>
      <w:r w:rsidR="00FE3BC5">
        <w:t>ark.</w:t>
      </w:r>
      <w:r>
        <w:t>, 201</w:t>
      </w:r>
      <w:r w:rsidR="00FE3BC5">
        <w:t>7</w:t>
      </w:r>
      <w:r w:rsidRPr="00DA254F">
        <w:t>)</w:t>
      </w:r>
      <w:r w:rsidR="00FE3BC5">
        <w:t xml:space="preserve"> istihdam </w:t>
      </w:r>
      <w:r w:rsidR="004D6F7A">
        <w:t>yaratmada</w:t>
      </w:r>
      <w:r w:rsidR="00FE3BC5">
        <w:t xml:space="preserve"> firma yaşının firma </w:t>
      </w:r>
      <w:r w:rsidR="00FE3BC5" w:rsidRPr="00742990">
        <w:t>büyüklüğün</w:t>
      </w:r>
      <w:r w:rsidR="004D6F7A" w:rsidRPr="00742990">
        <w:t>den</w:t>
      </w:r>
      <w:r w:rsidR="00FE3BC5" w:rsidRPr="00742990">
        <w:t xml:space="preserve"> daha önemli olduğunu ortaya koymaktadır. </w:t>
      </w:r>
    </w:p>
    <w:p w:rsidR="00E6199F" w:rsidRDefault="00387244" w:rsidP="00970708">
      <w:pPr>
        <w:rPr>
          <w:b/>
          <w:sz w:val="24"/>
        </w:rPr>
      </w:pPr>
      <w:r w:rsidRPr="00387244">
        <w:rPr>
          <w:b/>
          <w:sz w:val="24"/>
        </w:rPr>
        <w:t>Veri hakkında</w:t>
      </w:r>
    </w:p>
    <w:p w:rsidR="00B700A0" w:rsidRDefault="00B82D69" w:rsidP="00B700A0">
      <w:r>
        <w:t>Bu araştırma notunda Türkiye Odalar ve Borsalar Birliği (TOBB)</w:t>
      </w:r>
      <w:r w:rsidRPr="008F14DE">
        <w:t xml:space="preserve"> </w:t>
      </w:r>
      <w:r>
        <w:t xml:space="preserve">tarafından yayımlanan </w:t>
      </w:r>
      <w:r w:rsidRPr="008F14DE">
        <w:t>Kurulan/Kapanan Şirket İstatistikleri</w:t>
      </w:r>
      <w:r>
        <w:t xml:space="preserve"> kullanılmaktadır. Bu istatistikler </w:t>
      </w:r>
      <w:r w:rsidRPr="008F14DE">
        <w:t>Türkiye Ticaret Sicili Gazetesine kaydı yapılan, 6762 Sayılı Türk Ticaret ve 1163 Sayılı Kooperatifler Ka</w:t>
      </w:r>
      <w:r>
        <w:t xml:space="preserve">nunu’na göre kurulan, statüleri ile sermayeleri değişen, </w:t>
      </w:r>
      <w:r w:rsidRPr="008F14DE">
        <w:t>kapanan şirket ve kooperatifler</w:t>
      </w:r>
      <w:r>
        <w:t>i</w:t>
      </w:r>
      <w:r w:rsidRPr="008F14DE">
        <w:t xml:space="preserve"> kapsa</w:t>
      </w:r>
      <w:r>
        <w:t>maktadır</w:t>
      </w:r>
      <w:r w:rsidRPr="008F14DE">
        <w:t>.</w:t>
      </w:r>
      <w:r w:rsidR="004B69DD">
        <w:t xml:space="preserve"> </w:t>
      </w:r>
      <w:r w:rsidR="00C970B1">
        <w:t>TOBB</w:t>
      </w:r>
      <w:r w:rsidR="00AE4ED1">
        <w:t>,</w:t>
      </w:r>
      <w:r w:rsidR="00C970B1">
        <w:t xml:space="preserve"> 2010 yılından itibaren aylık olarak iktisadi faaliyet (NACE rev.2, 21 sektör), il, sermaye büyüklüğü,</w:t>
      </w:r>
      <w:r w:rsidR="00AE4ED1">
        <w:t xml:space="preserve"> ortak sayısına göre kurulan ve kapanan şirket sayılarını </w:t>
      </w:r>
      <w:hyperlink r:id="rId9" w:history="1">
        <w:r w:rsidR="00E6199F">
          <w:rPr>
            <w:rStyle w:val="Kpr"/>
          </w:rPr>
          <w:t>www.tobb.org.tr</w:t>
        </w:r>
      </w:hyperlink>
      <w:r w:rsidR="00D55D6E">
        <w:t xml:space="preserve"> </w:t>
      </w:r>
      <w:r w:rsidR="00AE4ED1">
        <w:t xml:space="preserve">web </w:t>
      </w:r>
      <w:r w:rsidR="00AE4ED1" w:rsidRPr="004E1C2C">
        <w:t xml:space="preserve">adresinden yayınlamaktadır. </w:t>
      </w:r>
      <w:r w:rsidR="00AD63A2" w:rsidRPr="004E1C2C">
        <w:t xml:space="preserve">Şirket türüne </w:t>
      </w:r>
      <w:r w:rsidR="00AD63A2" w:rsidRPr="00264AB5">
        <w:t xml:space="preserve">göre </w:t>
      </w:r>
      <w:r w:rsidR="00BC69BD" w:rsidRPr="00264AB5">
        <w:t xml:space="preserve">gerçek kişi ve adi ortaklık statüsündeki </w:t>
      </w:r>
      <w:r w:rsidR="00AD63A2" w:rsidRPr="00264AB5">
        <w:t>işletmelerin açılma</w:t>
      </w:r>
      <w:r w:rsidR="00BC69BD" w:rsidRPr="00264AB5">
        <w:t>sı</w:t>
      </w:r>
      <w:r w:rsidR="00AD63A2" w:rsidRPr="00264AB5">
        <w:t xml:space="preserve"> </w:t>
      </w:r>
      <w:r w:rsidR="0022549A" w:rsidRPr="00264AB5">
        <w:t>Türkiye Ticaret Sicili Gazetesi’nde yayımlanan kuruluş ilan</w:t>
      </w:r>
      <w:r w:rsidR="00AE4ED1" w:rsidRPr="00264AB5">
        <w:t>ı ile</w:t>
      </w:r>
      <w:r w:rsidR="00BC69BD" w:rsidRPr="00264AB5">
        <w:t xml:space="preserve"> yapılmaktadır. Bu işletmelerin k</w:t>
      </w:r>
      <w:r w:rsidR="00AE4ED1" w:rsidRPr="00264AB5">
        <w:t>apanış</w:t>
      </w:r>
      <w:r w:rsidR="00BC69BD" w:rsidRPr="00264AB5">
        <w:t>ı</w:t>
      </w:r>
      <w:r w:rsidR="00AE4ED1" w:rsidRPr="00264AB5">
        <w:t xml:space="preserve"> ise iki şekilde olmaktadır. </w:t>
      </w:r>
      <w:r w:rsidRPr="00264AB5">
        <w:t xml:space="preserve">Normal kapanış </w:t>
      </w:r>
      <w:r w:rsidR="0022549A" w:rsidRPr="00264AB5">
        <w:t>işletmelerin faaliyetlerine son verdiği ve kaydının ticaret sicilinden silindiğini belirten ilan</w:t>
      </w:r>
      <w:r w:rsidR="00AE4ED1" w:rsidRPr="00264AB5">
        <w:t xml:space="preserve"> ile</w:t>
      </w:r>
      <w:r w:rsidRPr="00264AB5">
        <w:t xml:space="preserve"> olurken</w:t>
      </w:r>
      <w:r w:rsidR="00B700A0" w:rsidRPr="00264AB5">
        <w:t>;</w:t>
      </w:r>
      <w:r w:rsidRPr="00264AB5">
        <w:t xml:space="preserve"> re’sen kapanış </w:t>
      </w:r>
      <w:r w:rsidR="0022549A" w:rsidRPr="00264AB5">
        <w:t>işletmelerin son iki yıl içinde üyesi bulunduğu odaya müracaat</w:t>
      </w:r>
      <w:r w:rsidR="00523AAD" w:rsidRPr="00264AB5">
        <w:t>ıy</w:t>
      </w:r>
      <w:r w:rsidR="0022549A" w:rsidRPr="00264AB5">
        <w:t>la adres ve durumunu bildirmemesi halinde oda</w:t>
      </w:r>
      <w:r w:rsidR="00FB5A56" w:rsidRPr="00264AB5">
        <w:t xml:space="preserve"> </w:t>
      </w:r>
      <w:r w:rsidR="0022549A" w:rsidRPr="00264AB5">
        <w:t>yönetim kurulunun teklifi ve meclis kararıyla ticaret sicil kaydı</w:t>
      </w:r>
      <w:r w:rsidR="00523AAD" w:rsidRPr="00264AB5">
        <w:t>nın</w:t>
      </w:r>
      <w:r w:rsidR="0022549A" w:rsidRPr="00264AB5">
        <w:t xml:space="preserve"> re’sen silindiğini belirten ilan</w:t>
      </w:r>
      <w:r w:rsidRPr="00264AB5">
        <w:t xml:space="preserve"> ile olmaktadır. </w:t>
      </w:r>
      <w:r w:rsidR="0022549A" w:rsidRPr="00264AB5">
        <w:t>Tüzel kişiliğe sahip ticari işletmeler için</w:t>
      </w:r>
      <w:r w:rsidRPr="00264AB5">
        <w:t xml:space="preserve"> kuruluş</w:t>
      </w:r>
      <w:r w:rsidR="00523AAD" w:rsidRPr="00264AB5">
        <w:t>,</w:t>
      </w:r>
      <w:r w:rsidRPr="00264AB5">
        <w:t xml:space="preserve"> yine </w:t>
      </w:r>
      <w:r w:rsidR="0022549A" w:rsidRPr="00264AB5">
        <w:t>işletmelerin T</w:t>
      </w:r>
      <w:r w:rsidR="00DC2C13" w:rsidRPr="00264AB5">
        <w:t>ürkiye Ticaret Sicili Gazetesi’</w:t>
      </w:r>
      <w:r w:rsidR="0022549A" w:rsidRPr="00264AB5">
        <w:t>nde yayımlanan kuruluş ilan</w:t>
      </w:r>
      <w:r w:rsidRPr="00264AB5">
        <w:t>ı ile olurken</w:t>
      </w:r>
      <w:r w:rsidR="00B81190" w:rsidRPr="00264AB5">
        <w:t>,</w:t>
      </w:r>
      <w:r w:rsidRPr="00264AB5">
        <w:t xml:space="preserve"> kapanış</w:t>
      </w:r>
      <w:r w:rsidR="00BC69BD" w:rsidRPr="00264AB5">
        <w:t>ları</w:t>
      </w:r>
      <w:r w:rsidRPr="00264AB5">
        <w:t xml:space="preserve"> üç farklı şekilde olabilmektedir.</w:t>
      </w:r>
      <w:r>
        <w:t xml:space="preserve"> </w:t>
      </w:r>
    </w:p>
    <w:p w:rsidR="00B700A0" w:rsidRDefault="0022549A" w:rsidP="00B700A0">
      <w:pPr>
        <w:spacing w:after="120" w:line="240" w:lineRule="auto"/>
        <w:ind w:left="709"/>
      </w:pPr>
      <w:r>
        <w:t>• Fesih: Ticari sebepler veya hukuki zorunluluklar nedeniyle faaliyetin sona erdiğini gösteren ilanlardır.</w:t>
      </w:r>
    </w:p>
    <w:p w:rsidR="0022549A" w:rsidRDefault="0022549A" w:rsidP="00B700A0">
      <w:pPr>
        <w:spacing w:after="120" w:line="240" w:lineRule="auto"/>
        <w:ind w:left="709"/>
      </w:pPr>
      <w:r>
        <w:t>• Tasfiyesiz İnfisah: Şirketlerin birleşmesi neticesinde aktif ve pasifi ile devir olan şirketin tasfiye</w:t>
      </w:r>
      <w:r w:rsidR="00B82D69">
        <w:t xml:space="preserve">ye girmeksizin sona </w:t>
      </w:r>
      <w:r>
        <w:t>erdiğini gösteren ilanlardır.</w:t>
      </w:r>
    </w:p>
    <w:p w:rsidR="0022549A" w:rsidRPr="00CC0C30" w:rsidRDefault="0022549A" w:rsidP="00B700A0">
      <w:pPr>
        <w:spacing w:after="120" w:line="240" w:lineRule="auto"/>
        <w:ind w:left="709"/>
      </w:pPr>
      <w:r>
        <w:t>• Re’sen Fesih: Mahkeme kararıyla faaliyetlerinin sona erdirildiği şirketlere ait ilanlardır.</w:t>
      </w:r>
    </w:p>
    <w:p w:rsidR="00387244" w:rsidRPr="00387244" w:rsidRDefault="00387244" w:rsidP="00970708">
      <w:pPr>
        <w:rPr>
          <w:b/>
          <w:sz w:val="24"/>
        </w:rPr>
      </w:pPr>
      <w:r w:rsidRPr="00387244">
        <w:rPr>
          <w:b/>
          <w:sz w:val="24"/>
        </w:rPr>
        <w:t xml:space="preserve">Kurulan ve kapanan </w:t>
      </w:r>
      <w:r w:rsidRPr="00484C09">
        <w:rPr>
          <w:b/>
          <w:sz w:val="24"/>
        </w:rPr>
        <w:t xml:space="preserve">şirketler: </w:t>
      </w:r>
      <w:r w:rsidR="000F3C69" w:rsidRPr="00484C09">
        <w:rPr>
          <w:b/>
          <w:sz w:val="24"/>
        </w:rPr>
        <w:t>T</w:t>
      </w:r>
      <w:r w:rsidRPr="00484C09">
        <w:rPr>
          <w:b/>
          <w:sz w:val="24"/>
        </w:rPr>
        <w:t>üm</w:t>
      </w:r>
      <w:r w:rsidRPr="00387244">
        <w:rPr>
          <w:b/>
          <w:sz w:val="24"/>
        </w:rPr>
        <w:t xml:space="preserve"> ekonomi</w:t>
      </w:r>
    </w:p>
    <w:p w:rsidR="004437CF" w:rsidRDefault="00454E56" w:rsidP="00970708">
      <w:r>
        <w:fldChar w:fldCharType="begin"/>
      </w:r>
      <w:r>
        <w:instrText xml:space="preserve"> REF _Ref487727079 \h  \* MERGEFORMAT </w:instrText>
      </w:r>
      <w:r>
        <w:fldChar w:fldCharType="separate"/>
      </w:r>
      <w:r w:rsidR="005A4B8B" w:rsidRPr="005A4B8B">
        <w:t>Şekil 1</w:t>
      </w:r>
      <w:r>
        <w:fldChar w:fldCharType="end"/>
      </w:r>
      <w:r w:rsidR="00F57940">
        <w:t>’</w:t>
      </w:r>
      <w:r>
        <w:t>d</w:t>
      </w:r>
      <w:r w:rsidR="00F57940">
        <w:t xml:space="preserve">e </w:t>
      </w:r>
      <w:r w:rsidR="00610C9A">
        <w:t xml:space="preserve">2010-2017 döneminde Türkiye genelinde kurulan firma sayıları </w:t>
      </w:r>
      <w:r w:rsidR="00610C9A" w:rsidRPr="00264AB5">
        <w:t>yıllık</w:t>
      </w:r>
      <w:r w:rsidR="007B6337">
        <w:t xml:space="preserve"> olarak verilmektedir. </w:t>
      </w:r>
      <w:r w:rsidR="009844DF">
        <w:t xml:space="preserve">Bu döneme </w:t>
      </w:r>
      <w:r w:rsidR="009844DF" w:rsidRPr="00484C09">
        <w:t xml:space="preserve">genel </w:t>
      </w:r>
      <w:r w:rsidR="000F3C69" w:rsidRPr="00484C09">
        <w:t xml:space="preserve">olarak </w:t>
      </w:r>
      <w:r w:rsidR="009844DF" w:rsidRPr="00484C09">
        <w:t>bakıldığında</w:t>
      </w:r>
      <w:r w:rsidR="00610C9A" w:rsidRPr="00484C09">
        <w:t xml:space="preserve"> kurulan</w:t>
      </w:r>
      <w:r w:rsidR="00610C9A">
        <w:t xml:space="preserve"> firma sayılarında cid</w:t>
      </w:r>
      <w:r w:rsidR="00D739E1">
        <w:t xml:space="preserve">di bir sıçrama görülmemektedir. 2010 ile </w:t>
      </w:r>
      <w:r w:rsidR="00610C9A">
        <w:t>201</w:t>
      </w:r>
      <w:r w:rsidR="00F43574">
        <w:t>2</w:t>
      </w:r>
      <w:r w:rsidR="00610C9A">
        <w:t xml:space="preserve"> </w:t>
      </w:r>
      <w:r w:rsidR="00D739E1">
        <w:t>yılları arasında</w:t>
      </w:r>
      <w:r w:rsidR="00610C9A">
        <w:t xml:space="preserve"> kurulan firma sayılarında hafif oynaklıklar </w:t>
      </w:r>
      <w:r w:rsidR="00484C09">
        <w:t>izlenmektedir</w:t>
      </w:r>
      <w:r w:rsidR="00E1421B">
        <w:t>. Ekonomik b</w:t>
      </w:r>
      <w:r w:rsidR="001A711D">
        <w:t xml:space="preserve">üyümenin </w:t>
      </w:r>
      <w:r w:rsidR="00BC69BD" w:rsidRPr="00264AB5">
        <w:t>göreli olarak</w:t>
      </w:r>
      <w:r w:rsidR="00BC69BD">
        <w:t xml:space="preserve"> </w:t>
      </w:r>
      <w:r w:rsidR="001A711D" w:rsidRPr="00B82D69">
        <w:t>düşük</w:t>
      </w:r>
      <w:r w:rsidR="001A711D" w:rsidRPr="00264AB5">
        <w:t xml:space="preserve"> </w:t>
      </w:r>
      <w:r w:rsidR="001A711D">
        <w:t>olduğu</w:t>
      </w:r>
      <w:r w:rsidR="00BC69BD">
        <w:t xml:space="preserve"> </w:t>
      </w:r>
      <w:r w:rsidR="00BC69BD" w:rsidRPr="00264AB5">
        <w:t>(yüzde 4,7)</w:t>
      </w:r>
      <w:r w:rsidR="001A711D">
        <w:t xml:space="preserve"> 2012’de </w:t>
      </w:r>
      <w:r w:rsidR="00610C9A">
        <w:t xml:space="preserve">kurulan firma sayısında dip </w:t>
      </w:r>
      <w:r w:rsidR="00610C9A" w:rsidRPr="00484C09">
        <w:t xml:space="preserve">nokta </w:t>
      </w:r>
      <w:r w:rsidR="000F3C69" w:rsidRPr="00484C09">
        <w:t xml:space="preserve">görülmüş </w:t>
      </w:r>
      <w:r w:rsidR="00484C09">
        <w:t>ve</w:t>
      </w:r>
      <w:r w:rsidR="00610C9A" w:rsidRPr="00484C09">
        <w:t xml:space="preserve"> yıllık</w:t>
      </w:r>
      <w:r w:rsidR="00610C9A">
        <w:t xml:space="preserve"> kurulan firma sayısı yaklaşık olarak 40 bine düşmüştür. 201</w:t>
      </w:r>
      <w:r w:rsidR="00F43574">
        <w:t>3-201</w:t>
      </w:r>
      <w:r w:rsidR="00D669B0">
        <w:t>5</w:t>
      </w:r>
      <w:r w:rsidR="00610C9A">
        <w:t xml:space="preserve"> döneminde ise </w:t>
      </w:r>
      <w:r w:rsidR="00610C9A">
        <w:lastRenderedPageBreak/>
        <w:t xml:space="preserve">kurulan firma sayılarında yükselen bir </w:t>
      </w:r>
      <w:r w:rsidR="00660B89">
        <w:t>eğilim</w:t>
      </w:r>
      <w:r w:rsidR="00610C9A">
        <w:t xml:space="preserve"> görülmektedir</w:t>
      </w:r>
      <w:r w:rsidR="000148D3">
        <w:t>.</w:t>
      </w:r>
      <w:r w:rsidR="002D2DA0">
        <w:t xml:space="preserve"> 2015 yı</w:t>
      </w:r>
      <w:r w:rsidR="007B6337">
        <w:t>lında 67 bin, 2016 yılında ise 6</w:t>
      </w:r>
      <w:r w:rsidR="002D2DA0">
        <w:t>4 bin yeni firma kurulmuştur</w:t>
      </w:r>
      <w:r w:rsidR="00610C9A">
        <w:t>.</w:t>
      </w:r>
      <w:r w:rsidR="00E1421B">
        <w:t xml:space="preserve"> </w:t>
      </w:r>
    </w:p>
    <w:p w:rsidR="00C124A4" w:rsidRDefault="00C23755" w:rsidP="00C80764">
      <w:pPr>
        <w:pStyle w:val="ResimYazs"/>
        <w:keepNext/>
        <w:rPr>
          <w:b/>
          <w:i w:val="0"/>
          <w:color w:val="auto"/>
          <w:sz w:val="22"/>
        </w:rPr>
      </w:pPr>
      <w:bookmarkStart w:id="0" w:name="_Ref487727079"/>
      <w:r w:rsidRPr="00DB6798">
        <w:rPr>
          <w:b/>
          <w:i w:val="0"/>
          <w:color w:val="auto"/>
          <w:sz w:val="22"/>
        </w:rPr>
        <w:t xml:space="preserve">Şekil </w:t>
      </w:r>
      <w:r w:rsidRPr="00DB6798">
        <w:rPr>
          <w:b/>
          <w:i w:val="0"/>
          <w:color w:val="auto"/>
          <w:sz w:val="22"/>
        </w:rPr>
        <w:fldChar w:fldCharType="begin"/>
      </w:r>
      <w:r w:rsidRPr="00DB6798">
        <w:rPr>
          <w:b/>
          <w:i w:val="0"/>
          <w:color w:val="auto"/>
          <w:sz w:val="22"/>
        </w:rPr>
        <w:instrText xml:space="preserve"> SEQ Şekil \* ARABIC </w:instrText>
      </w:r>
      <w:r w:rsidRPr="00DB6798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1</w:t>
      </w:r>
      <w:r w:rsidRPr="00DB6798">
        <w:rPr>
          <w:b/>
          <w:i w:val="0"/>
          <w:color w:val="auto"/>
          <w:sz w:val="22"/>
        </w:rPr>
        <w:fldChar w:fldCharType="end"/>
      </w:r>
      <w:bookmarkEnd w:id="0"/>
      <w:r w:rsidR="00010BEC" w:rsidRPr="00DB6798">
        <w:rPr>
          <w:b/>
          <w:i w:val="0"/>
          <w:color w:val="auto"/>
          <w:sz w:val="22"/>
        </w:rPr>
        <w:t xml:space="preserve"> Kurulan firma sayıları, 2010-20</w:t>
      </w:r>
      <w:r w:rsidR="007319C8">
        <w:rPr>
          <w:b/>
          <w:i w:val="0"/>
          <w:color w:val="auto"/>
          <w:sz w:val="22"/>
        </w:rPr>
        <w:t>16</w:t>
      </w:r>
    </w:p>
    <w:p w:rsidR="00C124A4" w:rsidRPr="00C124A4" w:rsidRDefault="007319C8" w:rsidP="00C124A4">
      <w:r>
        <w:rPr>
          <w:noProof/>
          <w:lang w:eastAsia="tr-TR"/>
        </w:rPr>
        <w:drawing>
          <wp:inline distT="0" distB="0" distL="0" distR="0" wp14:anchorId="2DD3FAE5" wp14:editId="28E647BF">
            <wp:extent cx="5760720" cy="2156604"/>
            <wp:effectExtent l="0" t="0" r="0" b="0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1A309F79-CE9D-4E30-A3CC-97BAB119B1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7940" w:rsidRPr="00F57940" w:rsidRDefault="00F57940" w:rsidP="00C80764">
      <w:pPr>
        <w:pStyle w:val="ResimYazs"/>
        <w:keepNext/>
      </w:pPr>
      <w:r w:rsidRPr="00C80764">
        <w:rPr>
          <w:i w:val="0"/>
          <w:color w:val="auto"/>
        </w:rPr>
        <w:t>Kaynak: TOBB Kurulan/Kapanan Şirket İstatistikleri, 2010-201</w:t>
      </w:r>
      <w:r w:rsidR="00115CDE">
        <w:rPr>
          <w:i w:val="0"/>
          <w:color w:val="auto"/>
        </w:rPr>
        <w:t>6</w:t>
      </w:r>
    </w:p>
    <w:p w:rsidR="00E1421B" w:rsidRDefault="00863AE2" w:rsidP="00970708">
      <w:r>
        <w:t xml:space="preserve">2010-2017 döneminde kapanan </w:t>
      </w:r>
      <w:r w:rsidR="006D0EA2">
        <w:t xml:space="preserve">yıllık </w:t>
      </w:r>
      <w:r>
        <w:t xml:space="preserve">firma sayıları </w:t>
      </w:r>
      <w:r w:rsidR="009963ED">
        <w:fldChar w:fldCharType="begin"/>
      </w:r>
      <w:r w:rsidR="009963ED">
        <w:instrText xml:space="preserve"> REF _Ref487727117 \h  \* MERGEFORMAT </w:instrText>
      </w:r>
      <w:r w:rsidR="009963ED">
        <w:fldChar w:fldCharType="separate"/>
      </w:r>
      <w:r w:rsidR="005A4B8B" w:rsidRPr="005A4B8B">
        <w:t>Şekil 2</w:t>
      </w:r>
      <w:r w:rsidR="009963ED">
        <w:fldChar w:fldCharType="end"/>
      </w:r>
      <w:r w:rsidR="009963ED">
        <w:t>’de</w:t>
      </w:r>
      <w:r>
        <w:t xml:space="preserve"> gösterilmektedir. </w:t>
      </w:r>
      <w:r w:rsidR="004A2BF3" w:rsidRPr="00484C09">
        <w:t>Bu dönem</w:t>
      </w:r>
      <w:r w:rsidR="00A20FC5" w:rsidRPr="00484C09">
        <w:t xml:space="preserve"> </w:t>
      </w:r>
      <w:r w:rsidR="00777E55" w:rsidRPr="00484C09">
        <w:t>içerisinde</w:t>
      </w:r>
      <w:r w:rsidR="00A20FC5">
        <w:t xml:space="preserve"> </w:t>
      </w:r>
      <w:r w:rsidR="00777E55">
        <w:t xml:space="preserve">her </w:t>
      </w:r>
      <w:r w:rsidR="005B1120" w:rsidRPr="00786DAA">
        <w:t>yıl</w:t>
      </w:r>
      <w:r w:rsidR="005B1120">
        <w:t xml:space="preserve"> </w:t>
      </w:r>
      <w:r w:rsidR="00A20FC5">
        <w:t>k</w:t>
      </w:r>
      <w:r>
        <w:t xml:space="preserve">apanan firma sayısı kurulan firma sayısının altındadır. 2010-2013 döneminde kapanan firma sayısında artışlar, 2014-2016 döneminde azalışlar görülmektedir. 2015 </w:t>
      </w:r>
      <w:r w:rsidRPr="00484C09">
        <w:t xml:space="preserve">yılında </w:t>
      </w:r>
      <w:r w:rsidR="004A2BF3" w:rsidRPr="00484C09">
        <w:t xml:space="preserve">yaklaşık olarak </w:t>
      </w:r>
      <w:r w:rsidRPr="00484C09">
        <w:t xml:space="preserve">14 bin firma, 2016 yılında </w:t>
      </w:r>
      <w:r w:rsidR="004A2BF3" w:rsidRPr="00484C09">
        <w:t xml:space="preserve">ise </w:t>
      </w:r>
      <w:r w:rsidRPr="00484C09">
        <w:t>12 bin firma kapanmıştır.</w:t>
      </w:r>
      <w:r>
        <w:t xml:space="preserve"> </w:t>
      </w:r>
    </w:p>
    <w:p w:rsidR="00863AE2" w:rsidRPr="00C80764" w:rsidRDefault="00C23755" w:rsidP="00C80764">
      <w:pPr>
        <w:pStyle w:val="ResimYazs"/>
        <w:keepNext/>
        <w:rPr>
          <w:i w:val="0"/>
          <w:color w:val="auto"/>
        </w:rPr>
      </w:pPr>
      <w:bookmarkStart w:id="1" w:name="_Ref487727117"/>
      <w:r w:rsidRPr="00DB6798">
        <w:rPr>
          <w:b/>
          <w:i w:val="0"/>
          <w:color w:val="auto"/>
          <w:sz w:val="22"/>
        </w:rPr>
        <w:t xml:space="preserve">Şekil </w:t>
      </w:r>
      <w:r w:rsidRPr="00DB6798">
        <w:rPr>
          <w:b/>
          <w:i w:val="0"/>
          <w:color w:val="auto"/>
          <w:sz w:val="22"/>
        </w:rPr>
        <w:fldChar w:fldCharType="begin"/>
      </w:r>
      <w:r w:rsidRPr="00DB6798">
        <w:rPr>
          <w:b/>
          <w:i w:val="0"/>
          <w:color w:val="auto"/>
          <w:sz w:val="22"/>
        </w:rPr>
        <w:instrText xml:space="preserve"> SEQ Şekil \* ARABIC </w:instrText>
      </w:r>
      <w:r w:rsidRPr="00DB6798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2</w:t>
      </w:r>
      <w:r w:rsidRPr="00DB6798">
        <w:rPr>
          <w:b/>
          <w:i w:val="0"/>
          <w:color w:val="auto"/>
          <w:sz w:val="22"/>
        </w:rPr>
        <w:fldChar w:fldCharType="end"/>
      </w:r>
      <w:bookmarkEnd w:id="1"/>
      <w:r w:rsidR="00010BEC" w:rsidRPr="00DB6798">
        <w:rPr>
          <w:b/>
          <w:i w:val="0"/>
          <w:color w:val="auto"/>
          <w:sz w:val="22"/>
        </w:rPr>
        <w:t xml:space="preserve"> Kapanan firma sayıları, 2010-201</w:t>
      </w:r>
      <w:r w:rsidR="007319C8">
        <w:rPr>
          <w:b/>
          <w:i w:val="0"/>
          <w:color w:val="auto"/>
          <w:sz w:val="22"/>
        </w:rPr>
        <w:t>6</w:t>
      </w:r>
      <w:r w:rsidR="007319C8">
        <w:rPr>
          <w:noProof/>
          <w:lang w:eastAsia="tr-TR"/>
        </w:rPr>
        <w:drawing>
          <wp:inline distT="0" distB="0" distL="0" distR="0" wp14:anchorId="7127072E" wp14:editId="41DB462D">
            <wp:extent cx="5760720" cy="2967487"/>
            <wp:effectExtent l="0" t="0" r="0" b="4445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E25CF3BD-1636-4E28-8078-3EAFB2C92F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63AE2" w:rsidRPr="00863AE2">
        <w:rPr>
          <w:sz w:val="20"/>
        </w:rPr>
        <w:t xml:space="preserve"> </w:t>
      </w:r>
      <w:r w:rsidR="00863AE2" w:rsidRPr="00C80764">
        <w:rPr>
          <w:i w:val="0"/>
          <w:color w:val="auto"/>
        </w:rPr>
        <w:t>Kaynak: TOBB Kurulan/Kapanan Şirket İstatistikleri, 2010-201</w:t>
      </w:r>
      <w:r w:rsidR="00115CDE">
        <w:rPr>
          <w:i w:val="0"/>
          <w:color w:val="auto"/>
        </w:rPr>
        <w:t>6</w:t>
      </w:r>
      <w:r w:rsidR="00B4543F" w:rsidRPr="00C80764">
        <w:rPr>
          <w:i w:val="0"/>
          <w:color w:val="auto"/>
        </w:rPr>
        <w:t>; Betam</w:t>
      </w:r>
    </w:p>
    <w:p w:rsidR="00CB3EAB" w:rsidRDefault="00CC0C30" w:rsidP="00D726E0">
      <w:r>
        <w:fldChar w:fldCharType="begin"/>
      </w:r>
      <w:r>
        <w:instrText xml:space="preserve"> REF _Ref487813706 \h </w:instrText>
      </w:r>
      <w:r w:rsidR="00970708">
        <w:instrText xml:space="preserve"> \* MERGEFORMAT </w:instrText>
      </w:r>
      <w:r>
        <w:fldChar w:fldCharType="separate"/>
      </w:r>
      <w:r w:rsidR="005A4B8B" w:rsidRPr="005A4B8B">
        <w:t>Şekil 3</w:t>
      </w:r>
      <w:r>
        <w:fldChar w:fldCharType="end"/>
      </w:r>
      <w:r>
        <w:t xml:space="preserve">’te kapanan firma sayıları kurulan firma sayıları </w:t>
      </w:r>
      <w:r w:rsidR="002179C4">
        <w:t xml:space="preserve">ile </w:t>
      </w:r>
      <w:r w:rsidR="00704D6A">
        <w:t>beraber</w:t>
      </w:r>
      <w:r>
        <w:t xml:space="preserve"> çeyreklik olarak verilmektedir</w:t>
      </w:r>
      <w:r w:rsidR="00704D6A">
        <w:t>ler</w:t>
      </w:r>
      <w:r>
        <w:t>. Algıyı kolaylaştırmak için 2010 yılı</w:t>
      </w:r>
      <w:r w:rsidR="00704D6A">
        <w:t>nın</w:t>
      </w:r>
      <w:r>
        <w:t xml:space="preserve"> ilk çeyreği 100 olacak şekilde sayılar endekse dönüştürülmüştür. İki seri arasında önemli farklar olduğu göze çarpmaktadır. Kurulan firma endeksi </w:t>
      </w:r>
      <w:r w:rsidR="002C4BC2">
        <w:t>2012 yılına kadar azaldıktan sonra artış eğilimi gösterirken, kapanan firmalar ters U eğrisine benzer şekilde önce artış sonra azalış eğilimi göstermektedir.</w:t>
      </w:r>
    </w:p>
    <w:p w:rsidR="005C4578" w:rsidRPr="005C4578" w:rsidRDefault="005C4578" w:rsidP="00D726E0">
      <w:r w:rsidRPr="005C4578">
        <w:lastRenderedPageBreak/>
        <w:t>2010-2016 döneminde toplamda 387 bin firma kurulmuş, 103 bin firma ise kapanmıştır (</w:t>
      </w:r>
      <w:r w:rsidRPr="005C4578">
        <w:fldChar w:fldCharType="begin"/>
      </w:r>
      <w:r w:rsidRPr="005C4578">
        <w:instrText xml:space="preserve"> REF _Ref488310194 \h </w:instrText>
      </w:r>
      <w:r>
        <w:instrText xml:space="preserve"> \* MERGEFORMAT </w:instrText>
      </w:r>
      <w:r w:rsidRPr="005C4578">
        <w:fldChar w:fldCharType="separate"/>
      </w:r>
      <w:r w:rsidR="005A4B8B" w:rsidRPr="005A4B8B">
        <w:t>Ek Tablo 1</w:t>
      </w:r>
      <w:r w:rsidRPr="005C4578">
        <w:fldChar w:fldCharType="end"/>
      </w:r>
      <w:r w:rsidRPr="005C4578">
        <w:t xml:space="preserve">). Ekonomik büyümenin görece düşük kaldığı senelerde bile kurulan firma sayıları kapanan firma sayılarından daha yüksektir. İstatistikler mevcut şirket sayısı vermemektedir; ancak 2010-2016 döneminde ekonomideki firmalara 283 bin firmanın daha eklendiği gözlemlenmektedir. </w:t>
      </w:r>
    </w:p>
    <w:p w:rsidR="005A4B8B" w:rsidRPr="005A4B8B" w:rsidRDefault="00CC0C30" w:rsidP="005A4B8B">
      <w:bookmarkStart w:id="2" w:name="_Ref487813706"/>
      <w:r w:rsidRPr="00FF03C1">
        <w:rPr>
          <w:b/>
        </w:rPr>
        <w:t xml:space="preserve">Şekil </w:t>
      </w:r>
      <w:r w:rsidRPr="00FF03C1">
        <w:rPr>
          <w:b/>
          <w:i/>
        </w:rPr>
        <w:fldChar w:fldCharType="begin"/>
      </w:r>
      <w:r w:rsidRPr="00FF03C1">
        <w:rPr>
          <w:b/>
        </w:rPr>
        <w:instrText xml:space="preserve"> SEQ Şekil \* ARABIC </w:instrText>
      </w:r>
      <w:r w:rsidRPr="00FF03C1">
        <w:rPr>
          <w:b/>
          <w:i/>
        </w:rPr>
        <w:fldChar w:fldCharType="separate"/>
      </w:r>
      <w:r w:rsidR="005A4B8B">
        <w:rPr>
          <w:b/>
          <w:noProof/>
        </w:rPr>
        <w:t>3</w:t>
      </w:r>
      <w:r w:rsidRPr="00FF03C1">
        <w:rPr>
          <w:b/>
          <w:i/>
        </w:rPr>
        <w:fldChar w:fldCharType="end"/>
      </w:r>
      <w:bookmarkEnd w:id="2"/>
      <w:r w:rsidRPr="00FF03C1">
        <w:rPr>
          <w:b/>
        </w:rPr>
        <w:t xml:space="preserve"> Kapanan firma sayıları ile kurulan şirket sayıları arasındaki ilişki</w:t>
      </w:r>
      <w:r w:rsidR="009651E7">
        <w:rPr>
          <w:b/>
        </w:rPr>
        <w:t xml:space="preserve"> (2010Q1-2017Q1)</w:t>
      </w:r>
      <w:r w:rsidR="00822E09" w:rsidRPr="00822E09">
        <w:rPr>
          <w:noProof/>
          <w:lang w:eastAsia="tr-TR"/>
        </w:rPr>
        <w:drawing>
          <wp:inline distT="0" distB="0" distL="0" distR="0">
            <wp:extent cx="5795645" cy="32607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33" cy="32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E0">
        <w:rPr>
          <w:sz w:val="18"/>
        </w:rPr>
        <w:t xml:space="preserve">Kaynak: TOBB Kurulan/Kapanan Şirket İstatistikleri, 2010-2017; </w:t>
      </w:r>
      <w:r w:rsidR="00B4543F" w:rsidRPr="00D726E0">
        <w:rPr>
          <w:sz w:val="18"/>
        </w:rPr>
        <w:t>Betam</w:t>
      </w:r>
      <w:r w:rsidRPr="00D726E0">
        <w:rPr>
          <w:sz w:val="18"/>
        </w:rPr>
        <w:t>.</w:t>
      </w:r>
      <w:r w:rsidR="00B4543F">
        <w:fldChar w:fldCharType="begin"/>
      </w:r>
      <w:r w:rsidR="00B4543F">
        <w:instrText xml:space="preserve"> REF _Ref487814261 \h  \* MERGEFORMAT </w:instrText>
      </w:r>
      <w:r w:rsidR="00B4543F">
        <w:fldChar w:fldCharType="separate"/>
      </w:r>
    </w:p>
    <w:p w:rsidR="005A4B8B" w:rsidRDefault="005A4B8B" w:rsidP="00D726E0"/>
    <w:p w:rsidR="005A4B8B" w:rsidRPr="00D726E0" w:rsidRDefault="005A4B8B" w:rsidP="00D726E0"/>
    <w:p w:rsidR="00B4543F" w:rsidRDefault="005A4B8B" w:rsidP="00970708">
      <w:r w:rsidRPr="005A4B8B">
        <w:t>Şekil 4</w:t>
      </w:r>
      <w:r w:rsidR="00B4543F">
        <w:fldChar w:fldCharType="end"/>
      </w:r>
      <w:r w:rsidR="00B4543F">
        <w:t xml:space="preserve">’te </w:t>
      </w:r>
      <w:r w:rsidR="00FF1352">
        <w:t>her ay</w:t>
      </w:r>
      <w:r w:rsidR="00A8047A">
        <w:t>da</w:t>
      </w:r>
      <w:r w:rsidR="00FF1352">
        <w:t xml:space="preserve"> kurulan ve kapanan ortalama firma sayıları verilmektedir.</w:t>
      </w:r>
      <w:r w:rsidR="00B4543F">
        <w:t xml:space="preserve"> </w:t>
      </w:r>
      <w:r w:rsidR="00870F21">
        <w:t>Aşağıdaki şekillerde</w:t>
      </w:r>
      <w:r w:rsidR="00B4543F">
        <w:t xml:space="preserve"> yer alan 1-12 değerleri Ocak-Aralık aylarını belirtmektedir. </w:t>
      </w:r>
      <w:r w:rsidR="003B7AA3">
        <w:t>Aşağıdaki ş</w:t>
      </w:r>
      <w:r w:rsidR="001F5BF1">
        <w:t xml:space="preserve">ekil </w:t>
      </w:r>
      <w:r w:rsidR="00870F21">
        <w:t>f</w:t>
      </w:r>
      <w:r w:rsidR="00B4543F">
        <w:t>irmalar</w:t>
      </w:r>
      <w:r w:rsidR="00870F21">
        <w:t>ın</w:t>
      </w:r>
      <w:r w:rsidR="00B4543F">
        <w:t xml:space="preserve"> en çok </w:t>
      </w:r>
      <w:r w:rsidR="009A292D">
        <w:t>o</w:t>
      </w:r>
      <w:r w:rsidR="00B4543F">
        <w:t xml:space="preserve">cak ayında kurulmakta </w:t>
      </w:r>
      <w:r w:rsidR="00870F21">
        <w:t>olduğunu,</w:t>
      </w:r>
      <w:r w:rsidR="00B4543F">
        <w:t xml:space="preserve"> </w:t>
      </w:r>
      <w:r w:rsidR="009A292D" w:rsidRPr="009A292D">
        <w:t xml:space="preserve">firma kuruluşlarının </w:t>
      </w:r>
      <w:r w:rsidR="00B4543F" w:rsidRPr="009A292D">
        <w:t>sene ortasına</w:t>
      </w:r>
      <w:r w:rsidR="00B4543F">
        <w:t xml:space="preserve"> doğru azal</w:t>
      </w:r>
      <w:r w:rsidR="009A292D">
        <w:t>ıp</w:t>
      </w:r>
      <w:r w:rsidR="00870F21">
        <w:t xml:space="preserve"> ve</w:t>
      </w:r>
      <w:r w:rsidR="00B4543F">
        <w:t xml:space="preserve"> ilk yarıdan sonra giderek art</w:t>
      </w:r>
      <w:r w:rsidR="00870F21">
        <w:t xml:space="preserve">tığını göstermektedir. </w:t>
      </w:r>
      <w:r w:rsidR="00BA5FC5">
        <w:t>Kapanan firma sayısı</w:t>
      </w:r>
      <w:r w:rsidR="00875A5B">
        <w:t xml:space="preserve"> </w:t>
      </w:r>
      <w:r w:rsidR="00BA5FC5">
        <w:t xml:space="preserve">ise </w:t>
      </w:r>
      <w:r w:rsidR="00484C09">
        <w:t>o</w:t>
      </w:r>
      <w:r w:rsidR="00875A5B">
        <w:t xml:space="preserve">cak ve </w:t>
      </w:r>
      <w:r w:rsidR="00484C09">
        <w:t>a</w:t>
      </w:r>
      <w:r w:rsidR="00875A5B">
        <w:t>ralık aylarında en yüksektir. Diğer aylarda -</w:t>
      </w:r>
      <w:r w:rsidR="009A292D">
        <w:t>h</w:t>
      </w:r>
      <w:r w:rsidR="00875A5B">
        <w:t xml:space="preserve">aziran ve </w:t>
      </w:r>
      <w:r w:rsidR="009A292D">
        <w:t>t</w:t>
      </w:r>
      <w:r w:rsidR="00875A5B">
        <w:t xml:space="preserve">emmuz ayları hariç- kapanan firma sayısı </w:t>
      </w:r>
      <w:r w:rsidR="00870F21">
        <w:t xml:space="preserve">neredeyse </w:t>
      </w:r>
      <w:r w:rsidR="007E483A">
        <w:t xml:space="preserve">sabittir. </w:t>
      </w:r>
      <w:r w:rsidR="00BA5FC5">
        <w:t>Ayrıca, k</w:t>
      </w:r>
      <w:r w:rsidR="009C276D">
        <w:t xml:space="preserve">apanan ve kurulan firmaların </w:t>
      </w:r>
      <w:r w:rsidR="00BA5FC5">
        <w:t xml:space="preserve">aylara göre </w:t>
      </w:r>
      <w:r w:rsidR="009C276D">
        <w:t xml:space="preserve">dağılımları her sektörde benzer </w:t>
      </w:r>
      <w:r w:rsidR="009A292D">
        <w:t xml:space="preserve">bir </w:t>
      </w:r>
      <w:r w:rsidR="009A292D" w:rsidRPr="009A292D">
        <w:t>seyir izle</w:t>
      </w:r>
      <w:bookmarkStart w:id="3" w:name="_GoBack"/>
      <w:bookmarkEnd w:id="3"/>
      <w:r w:rsidR="009A292D" w:rsidRPr="009A292D">
        <w:t>mektedir</w:t>
      </w:r>
      <w:r w:rsidR="009C276D" w:rsidRPr="009A292D">
        <w:t xml:space="preserve">. </w:t>
      </w:r>
      <w:r w:rsidR="00644D06" w:rsidRPr="009A292D">
        <w:t>Kapanan</w:t>
      </w:r>
      <w:r w:rsidR="00644D06">
        <w:t xml:space="preserve"> firmalardaki s</w:t>
      </w:r>
      <w:r w:rsidR="007E483A">
        <w:t xml:space="preserve">enenin ilk </w:t>
      </w:r>
      <w:r w:rsidR="00875A5B">
        <w:t xml:space="preserve">ve </w:t>
      </w:r>
      <w:r w:rsidR="007E483A">
        <w:t>son aylarında</w:t>
      </w:r>
      <w:r w:rsidR="00644D06">
        <w:t>ki yüksek artış</w:t>
      </w:r>
      <w:r w:rsidR="004A2BF3">
        <w:t>,</w:t>
      </w:r>
      <w:r w:rsidR="00875A5B">
        <w:t xml:space="preserve"> mali dönemin so</w:t>
      </w:r>
      <w:r w:rsidR="007A0438">
        <w:t xml:space="preserve">nlanması ile ilişkili olabilir. </w:t>
      </w:r>
      <w:r w:rsidR="00875A5B">
        <w:t xml:space="preserve">Bununla birlikte </w:t>
      </w:r>
      <w:r w:rsidR="009A292D">
        <w:t>o</w:t>
      </w:r>
      <w:r w:rsidR="00644D06">
        <w:t xml:space="preserve">cak aylarında </w:t>
      </w:r>
      <w:r w:rsidR="00875A5B">
        <w:t xml:space="preserve">kurulan firma sayılarında </w:t>
      </w:r>
      <w:r w:rsidR="00644D06">
        <w:t xml:space="preserve">görülen </w:t>
      </w:r>
      <w:r w:rsidR="00875A5B">
        <w:t>artış hem kapanan firmaların yerine yeni firmaların açılması ile hem de yatırım kararlarının dönem başında alınıyor olması</w:t>
      </w:r>
      <w:r w:rsidR="00875A5B" w:rsidRPr="005C02A8">
        <w:t xml:space="preserve"> </w:t>
      </w:r>
      <w:r w:rsidR="00875A5B">
        <w:t>ile ilişkili olabilir.</w:t>
      </w:r>
    </w:p>
    <w:p w:rsidR="00D726E0" w:rsidRDefault="00D726E0" w:rsidP="001F3DE8">
      <w:pPr>
        <w:pStyle w:val="ResimYazs"/>
        <w:keepNext/>
        <w:rPr>
          <w:b/>
          <w:i w:val="0"/>
          <w:color w:val="auto"/>
          <w:sz w:val="22"/>
        </w:rPr>
      </w:pPr>
      <w:bookmarkStart w:id="4" w:name="_Ref487814261"/>
    </w:p>
    <w:p w:rsidR="00D726E0" w:rsidRDefault="00D726E0" w:rsidP="00D726E0"/>
    <w:p w:rsidR="00D726E0" w:rsidRPr="00D726E0" w:rsidRDefault="00D726E0" w:rsidP="00D726E0"/>
    <w:p w:rsidR="00375B47" w:rsidRDefault="003D6808" w:rsidP="001F3DE8">
      <w:pPr>
        <w:pStyle w:val="ResimYazs"/>
        <w:keepNext/>
        <w:rPr>
          <w:sz w:val="20"/>
        </w:rPr>
      </w:pPr>
      <w:r w:rsidRPr="00FF03C1">
        <w:rPr>
          <w:b/>
          <w:i w:val="0"/>
          <w:color w:val="auto"/>
          <w:sz w:val="22"/>
        </w:rPr>
        <w:lastRenderedPageBreak/>
        <w:t xml:space="preserve">Şekil </w:t>
      </w:r>
      <w:r w:rsidRPr="00FF03C1">
        <w:rPr>
          <w:b/>
          <w:i w:val="0"/>
          <w:color w:val="auto"/>
          <w:sz w:val="22"/>
        </w:rPr>
        <w:fldChar w:fldCharType="begin"/>
      </w:r>
      <w:r w:rsidRPr="00FF03C1">
        <w:rPr>
          <w:b/>
          <w:i w:val="0"/>
          <w:color w:val="auto"/>
          <w:sz w:val="22"/>
        </w:rPr>
        <w:instrText xml:space="preserve"> SEQ Şekil \* ARABIC </w:instrText>
      </w:r>
      <w:r w:rsidRPr="00FF03C1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4</w:t>
      </w:r>
      <w:r w:rsidRPr="00FF03C1">
        <w:rPr>
          <w:b/>
          <w:i w:val="0"/>
          <w:color w:val="auto"/>
          <w:sz w:val="22"/>
        </w:rPr>
        <w:fldChar w:fldCharType="end"/>
      </w:r>
      <w:bookmarkEnd w:id="4"/>
      <w:r w:rsidRPr="00FF03C1">
        <w:rPr>
          <w:b/>
          <w:i w:val="0"/>
          <w:color w:val="auto"/>
          <w:sz w:val="22"/>
        </w:rPr>
        <w:t xml:space="preserve"> Aylara göre ortalama kurulan ve kapanan firma sayıları</w:t>
      </w:r>
      <w:r w:rsidR="00736B06">
        <w:rPr>
          <w:noProof/>
          <w:lang w:eastAsia="tr-TR"/>
        </w:rPr>
        <w:drawing>
          <wp:inline distT="0" distB="0" distL="0" distR="0" wp14:anchorId="14335543" wp14:editId="105AA4AA">
            <wp:extent cx="5795645" cy="2320206"/>
            <wp:effectExtent l="0" t="0" r="0" b="4445"/>
            <wp:docPr id="23" name="Resim 23" descr="C:\Users\melike.kokkizil\AppData\Local\Microsoft\Windows\Temporary Internet Files\Content.Word\aylara göre ortalama kurulan firma sayısı - sezon etk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ike.kokkizil\AppData\Local\Microsoft\Windows\Temporary Internet Files\Content.Word\aylara göre ortalama kurulan firma sayısı - sezon etkis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83" cy="23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B06">
        <w:rPr>
          <w:noProof/>
          <w:lang w:eastAsia="tr-TR"/>
        </w:rPr>
        <w:drawing>
          <wp:inline distT="0" distB="0" distL="0" distR="0">
            <wp:extent cx="5795645" cy="2285365"/>
            <wp:effectExtent l="0" t="0" r="0" b="635"/>
            <wp:docPr id="22" name="Resim 22" descr="C:\Users\melike.kokkizil\AppData\Local\Microsoft\Windows\Temporary Internet Files\Content.Word\aylara göre ortalama kapanan firma sayısı - sezon etk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ke.kokkizil\AppData\Local\Microsoft\Windows\Temporary Internet Files\Content.Word\aylara göre ortalama kapanan firma sayısı - sezon etki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0" cy="23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764">
        <w:rPr>
          <w:i w:val="0"/>
          <w:color w:val="auto"/>
        </w:rPr>
        <w:t>Kaynak: TOBB Kurulan/Kapanan Şirket İstatistikleri, 2010-2017</w:t>
      </w:r>
      <w:r w:rsidR="004B58CE" w:rsidRPr="00C80764">
        <w:rPr>
          <w:i w:val="0"/>
          <w:color w:val="auto"/>
        </w:rPr>
        <w:t>; Betam</w:t>
      </w:r>
    </w:p>
    <w:p w:rsidR="001235CA" w:rsidRPr="001235CA" w:rsidRDefault="001235CA" w:rsidP="001235CA">
      <w:pPr>
        <w:rPr>
          <w:b/>
        </w:rPr>
      </w:pPr>
      <w:r w:rsidRPr="001235CA">
        <w:rPr>
          <w:b/>
        </w:rPr>
        <w:t>Kurulan ve kapanan şirketlerin ekonomik büyümeye etkisi</w:t>
      </w:r>
    </w:p>
    <w:p w:rsidR="00A14765" w:rsidRPr="00D64DAD" w:rsidRDefault="00D64DAD" w:rsidP="00970708">
      <w:r w:rsidRPr="00D64DAD">
        <w:t xml:space="preserve">Kurulan ve kapanan </w:t>
      </w:r>
      <w:r>
        <w:t xml:space="preserve">şirket sayılarının ekonomik büyümeye olan etkisini anlamak için </w:t>
      </w:r>
      <w:r w:rsidR="00D14FC9">
        <w:t>GSYH, kapanan şirket sayısı ve kurulan şirket sayısını</w:t>
      </w:r>
      <w:r>
        <w:t xml:space="preserve"> </w:t>
      </w:r>
      <w:r w:rsidR="00D14FC9">
        <w:t>2010 yılının ilk çeyreği 100 olacak şekilde</w:t>
      </w:r>
      <w:r>
        <w:t xml:space="preserve"> endekse</w:t>
      </w:r>
      <w:r w:rsidR="00D14FC9">
        <w:t xml:space="preserve"> çeviriyoruz. </w:t>
      </w:r>
      <w:r>
        <w:t xml:space="preserve"> </w:t>
      </w:r>
      <w:r w:rsidR="00D14FC9">
        <w:fldChar w:fldCharType="begin"/>
      </w:r>
      <w:r w:rsidR="00D14FC9">
        <w:instrText xml:space="preserve"> REF _Ref487817724 \h </w:instrText>
      </w:r>
      <w:r w:rsidR="00970708">
        <w:instrText xml:space="preserve"> \* MERGEFORMAT </w:instrText>
      </w:r>
      <w:r w:rsidR="00D14FC9">
        <w:fldChar w:fldCharType="separate"/>
      </w:r>
      <w:r w:rsidR="005A4B8B" w:rsidRPr="005A4B8B">
        <w:t>Şekil 5</w:t>
      </w:r>
      <w:r w:rsidR="00D14FC9">
        <w:fldChar w:fldCharType="end"/>
      </w:r>
      <w:r w:rsidR="00875A5B">
        <w:t>’</w:t>
      </w:r>
      <w:r w:rsidR="00BF1DA1">
        <w:t>te</w:t>
      </w:r>
      <w:r w:rsidR="00875A5B">
        <w:t xml:space="preserve"> en</w:t>
      </w:r>
      <w:r w:rsidR="00D14FC9">
        <w:t xml:space="preserve"> </w:t>
      </w:r>
      <w:r w:rsidR="00593CDC">
        <w:t>az üç noktanın altı çizilebilir:</w:t>
      </w:r>
      <w:r w:rsidR="00D14FC9">
        <w:t xml:space="preserve"> İlk olarak mevsimsel etkileri saymazsak GSYH neredeyse düzenli olarak artarken kurulan ve kapanan şirket sayıları daha dalgalı bir seyir izlemektedir. İkinci saptamamız GSYH ile kapanan şirket endekslerinde görülen zıt </w:t>
      </w:r>
      <w:r w:rsidR="00915E00">
        <w:t>yönlü hareketler</w:t>
      </w:r>
      <w:r w:rsidR="00752546">
        <w:t xml:space="preserve"> gözlemlenirken; k</w:t>
      </w:r>
      <w:r w:rsidR="00915E00">
        <w:t>urulan şirketler ve GSYH endeksleri arasında böyle bir ilişki bulunmamakt</w:t>
      </w:r>
      <w:r w:rsidR="00B81190">
        <w:t xml:space="preserve">adır. </w:t>
      </w:r>
      <w:r w:rsidR="00915E00">
        <w:t>Bunun b</w:t>
      </w:r>
      <w:r w:rsidR="00B81190">
        <w:t xml:space="preserve">ir sebebi mevsimsel etkilerdir. Diğer ifadeyle, </w:t>
      </w:r>
      <w:r w:rsidR="00915E00">
        <w:t>GSYH</w:t>
      </w:r>
      <w:r w:rsidR="00B81190">
        <w:t>’nın ilk çeyrek</w:t>
      </w:r>
      <w:r w:rsidR="00915E00">
        <w:t xml:space="preserve"> değerleri diğer üç çeyreğe göre daha düşüktür, </w:t>
      </w:r>
      <w:r w:rsidR="00B81190">
        <w:t>ancak</w:t>
      </w:r>
      <w:r w:rsidR="00915E00">
        <w:t xml:space="preserve"> kapanan şirket sayıları </w:t>
      </w:r>
      <w:r w:rsidR="009A292D">
        <w:t>a</w:t>
      </w:r>
      <w:r w:rsidR="00915E00">
        <w:t xml:space="preserve">ralık ve </w:t>
      </w:r>
      <w:r w:rsidR="009A292D">
        <w:t>o</w:t>
      </w:r>
      <w:r w:rsidR="00915E00">
        <w:t xml:space="preserve">cak aylarında en yüksek değerlerine ulaşmaktadır. Son saptamamız </w:t>
      </w:r>
      <w:r w:rsidR="00A2489B">
        <w:t xml:space="preserve">da </w:t>
      </w:r>
      <w:r w:rsidR="00353987">
        <w:t xml:space="preserve">serilerin </w:t>
      </w:r>
      <w:r w:rsidR="00915E00">
        <w:t>mevsimsellikle</w:t>
      </w:r>
      <w:r w:rsidR="00353987">
        <w:t>riyle</w:t>
      </w:r>
      <w:r w:rsidR="00915E00">
        <w:t xml:space="preserve"> ilgili. GSYH ve kapanan şirketler endeksleri görece düzenli mevsimsel etkiler göstermesine karşın kurulan şirketler endeksi daha rassal denebilecek bir patika izlemektedir</w:t>
      </w:r>
      <w:r w:rsidR="00CD016E">
        <w:t>.</w:t>
      </w:r>
    </w:p>
    <w:p w:rsidR="0000599E" w:rsidRDefault="00D14FC9" w:rsidP="00970708">
      <w:bookmarkStart w:id="5" w:name="_Ref487817724"/>
      <w:r w:rsidRPr="00FF03C1">
        <w:rPr>
          <w:b/>
        </w:rPr>
        <w:lastRenderedPageBreak/>
        <w:t xml:space="preserve">Şekil </w:t>
      </w:r>
      <w:r w:rsidRPr="00FF03C1">
        <w:rPr>
          <w:b/>
        </w:rPr>
        <w:fldChar w:fldCharType="begin"/>
      </w:r>
      <w:r w:rsidRPr="00FF03C1">
        <w:rPr>
          <w:b/>
        </w:rPr>
        <w:instrText xml:space="preserve"> SEQ Şekil \* ARABIC </w:instrText>
      </w:r>
      <w:r w:rsidRPr="00FF03C1">
        <w:rPr>
          <w:b/>
        </w:rPr>
        <w:fldChar w:fldCharType="separate"/>
      </w:r>
      <w:r w:rsidR="005A4B8B">
        <w:rPr>
          <w:b/>
          <w:noProof/>
        </w:rPr>
        <w:t>5</w:t>
      </w:r>
      <w:r w:rsidRPr="00FF03C1">
        <w:rPr>
          <w:b/>
        </w:rPr>
        <w:fldChar w:fldCharType="end"/>
      </w:r>
      <w:bookmarkEnd w:id="5"/>
      <w:r w:rsidRPr="00FF03C1">
        <w:rPr>
          <w:b/>
        </w:rPr>
        <w:t xml:space="preserve"> Kurulan/kapanan şirket sayısı ve GSYH ilişkisi</w:t>
      </w:r>
      <w:r w:rsidR="009651E7">
        <w:rPr>
          <w:b/>
        </w:rPr>
        <w:t xml:space="preserve"> (2010Q1-2017Q1)</w:t>
      </w:r>
      <w:r w:rsidR="00D0085F" w:rsidRPr="00D0085F">
        <w:rPr>
          <w:noProof/>
          <w:lang w:eastAsia="tr-TR"/>
        </w:rPr>
        <w:drawing>
          <wp:inline distT="0" distB="0" distL="0" distR="0">
            <wp:extent cx="5769610" cy="3485071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68" cy="3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64">
        <w:t xml:space="preserve">   </w:t>
      </w:r>
      <w:r w:rsidR="0000599E" w:rsidRPr="00C80764">
        <w:rPr>
          <w:sz w:val="18"/>
        </w:rPr>
        <w:t>Kaynak: TOBB Kurulan/Kapanan Şirket İstatistikleri, 2010-2017</w:t>
      </w:r>
      <w:r w:rsidR="004B58CE" w:rsidRPr="00C80764">
        <w:rPr>
          <w:sz w:val="18"/>
        </w:rPr>
        <w:t>; Betam</w:t>
      </w:r>
    </w:p>
    <w:p w:rsidR="00427F3C" w:rsidRDefault="009D0C76" w:rsidP="00970708">
      <w:r w:rsidRPr="009D0C76">
        <w:fldChar w:fldCharType="begin"/>
      </w:r>
      <w:r w:rsidRPr="009D0C76">
        <w:instrText xml:space="preserve"> REF _Ref488081939 \h </w:instrText>
      </w:r>
      <w:r>
        <w:instrText xml:space="preserve"> \* MERGEFORMAT </w:instrText>
      </w:r>
      <w:r w:rsidRPr="009D0C76">
        <w:fldChar w:fldCharType="separate"/>
      </w:r>
      <w:r w:rsidR="005A4B8B" w:rsidRPr="005A4B8B">
        <w:t>Ek Regresyon 1</w:t>
      </w:r>
      <w:r w:rsidRPr="009D0C76">
        <w:fldChar w:fldCharType="end"/>
      </w:r>
      <w:r w:rsidR="00915E00" w:rsidRPr="009D0C76">
        <w:t xml:space="preserve"> ve</w:t>
      </w:r>
      <w:r w:rsidRPr="009D0C76">
        <w:t xml:space="preserve"> </w:t>
      </w:r>
      <w:r w:rsidRPr="009D0C76">
        <w:fldChar w:fldCharType="begin"/>
      </w:r>
      <w:r w:rsidRPr="009D0C76">
        <w:instrText xml:space="preserve"> REF _Ref488081960 \h </w:instrText>
      </w:r>
      <w:r>
        <w:instrText xml:space="preserve"> \* MERGEFORMAT </w:instrText>
      </w:r>
      <w:r w:rsidRPr="009D0C76">
        <w:fldChar w:fldCharType="separate"/>
      </w:r>
      <w:r w:rsidR="005A4B8B" w:rsidRPr="005A4B8B">
        <w:t>Ek Regresyon 2</w:t>
      </w:r>
      <w:r w:rsidRPr="009D0C76">
        <w:fldChar w:fldCharType="end"/>
      </w:r>
      <w:r w:rsidR="00915E00" w:rsidRPr="009D0C76">
        <w:t>’de</w:t>
      </w:r>
      <w:r w:rsidR="00915E00">
        <w:t xml:space="preserve"> elde ettiğimiz sonuçlar yukarıdaki grafikte çıplak gözle gördüğümüz saptamaları desteklemektedir. </w:t>
      </w:r>
      <w:r w:rsidR="009851B7">
        <w:t>Bu r</w:t>
      </w:r>
      <w:r w:rsidR="00915E00">
        <w:t>egresyon sonuçları</w:t>
      </w:r>
      <w:r w:rsidR="0000599E">
        <w:t xml:space="preserve"> </w:t>
      </w:r>
      <w:r w:rsidR="00915E00">
        <w:t xml:space="preserve">kurulan ve kapanan şirket sayılarındaki değişimin GSYH büyümesine bir etki edip etmediğini anlamaya yöneliktir. Mevsimsel etkilerden kurtulmak için her üç seride de </w:t>
      </w:r>
      <w:r w:rsidR="0000599E">
        <w:t xml:space="preserve">mevcut çeyrekten bir önceki yılın aynı çeyreğine kıyasla hesaplanan büyüme rakamları kullanılmıştır. </w:t>
      </w:r>
      <w:r w:rsidR="009851B7">
        <w:fldChar w:fldCharType="begin"/>
      </w:r>
      <w:r w:rsidR="009851B7">
        <w:instrText xml:space="preserve"> REF _Ref488081939 \h  \* MERGEFORMAT </w:instrText>
      </w:r>
      <w:r w:rsidR="009851B7">
        <w:fldChar w:fldCharType="separate"/>
      </w:r>
      <w:r w:rsidR="005A4B8B" w:rsidRPr="005A4B8B">
        <w:t>Ek Regresyon 1</w:t>
      </w:r>
      <w:r w:rsidR="009851B7">
        <w:fldChar w:fldCharType="end"/>
      </w:r>
      <w:r w:rsidR="0000599E">
        <w:t>’de kurulan şirket sayılarının GSYH bü</w:t>
      </w:r>
      <w:r w:rsidR="009851B7">
        <w:t xml:space="preserve">yümesine etkisi incelenmiştir. </w:t>
      </w:r>
      <w:r w:rsidR="0000599E">
        <w:t>Yıl etkilerini kontrol ettikten sonra kurulan şirket sayısı ile GSYH büyümesi arasında istatistiki olarak anlamlı bir sonuç elde edilememiştir. Bun</w:t>
      </w:r>
      <w:r w:rsidR="00CD05B7">
        <w:t>a</w:t>
      </w:r>
      <w:r w:rsidR="0000599E">
        <w:t xml:space="preserve"> karşın kapanan şirket sayısındaki artışın anlamlı olarak GSYH büyü</w:t>
      </w:r>
      <w:r w:rsidR="009851B7">
        <w:t>mesini azalttığı görülmektedir (</w:t>
      </w:r>
      <w:r w:rsidR="009851B7">
        <w:fldChar w:fldCharType="begin"/>
      </w:r>
      <w:r w:rsidR="009851B7">
        <w:instrText xml:space="preserve"> REF _Ref488081960 \h  \* MERGEFORMAT </w:instrText>
      </w:r>
      <w:r w:rsidR="009851B7">
        <w:fldChar w:fldCharType="separate"/>
      </w:r>
      <w:r w:rsidR="005A4B8B" w:rsidRPr="005A4B8B">
        <w:t>Ek Regresyon 2</w:t>
      </w:r>
      <w:r w:rsidR="009851B7">
        <w:fldChar w:fldCharType="end"/>
      </w:r>
      <w:r w:rsidR="009851B7">
        <w:t>).</w:t>
      </w:r>
    </w:p>
    <w:p w:rsidR="001235CA" w:rsidRDefault="001235CA" w:rsidP="00970708">
      <w:pPr>
        <w:rPr>
          <w:b/>
          <w:sz w:val="24"/>
        </w:rPr>
      </w:pPr>
      <w:r w:rsidRPr="001235CA">
        <w:rPr>
          <w:b/>
          <w:sz w:val="24"/>
        </w:rPr>
        <w:t>Kurulan ve kapanan şirketlerin istihdama etkisi</w:t>
      </w:r>
    </w:p>
    <w:p w:rsidR="0029647C" w:rsidRDefault="008160DF" w:rsidP="00970708">
      <w:r w:rsidRPr="00D64DAD">
        <w:t xml:space="preserve">Kurulan ve kapanan </w:t>
      </w:r>
      <w:r>
        <w:t xml:space="preserve">şirket sayılarının istihdama olan etkisini anlamak için </w:t>
      </w:r>
      <w:r w:rsidR="003018A6">
        <w:t xml:space="preserve">önce </w:t>
      </w:r>
      <w:r>
        <w:t>toplam istihdam, kapanan şirket sayısı ve kurulan şirket sayısını 2010 yılının ilk çeyreği 100 olaca</w:t>
      </w:r>
      <w:r w:rsidR="001566B9">
        <w:t xml:space="preserve">k şekilde endekse çeviriyoruz. </w:t>
      </w:r>
      <w:r w:rsidR="00392D29">
        <w:t>İstihdam, kurulan ve kapanan firma e</w:t>
      </w:r>
      <w:r w:rsidR="001566B9">
        <w:t>ndekslerin zaman içindeki seyri</w:t>
      </w:r>
      <w:r>
        <w:t xml:space="preserve"> </w:t>
      </w:r>
      <w:r>
        <w:fldChar w:fldCharType="begin"/>
      </w:r>
      <w:r>
        <w:instrText xml:space="preserve"> REF _Ref487820049 \h </w:instrText>
      </w:r>
      <w:r w:rsidR="00970708">
        <w:instrText xml:space="preserve"> \* MERGEFORMAT </w:instrText>
      </w:r>
      <w:r>
        <w:fldChar w:fldCharType="separate"/>
      </w:r>
      <w:r w:rsidR="005A4B8B" w:rsidRPr="005A4B8B">
        <w:t>Şekil 6</w:t>
      </w:r>
      <w:r>
        <w:fldChar w:fldCharType="end"/>
      </w:r>
      <w:r>
        <w:t>’d</w:t>
      </w:r>
      <w:r w:rsidR="00882705">
        <w:t>a</w:t>
      </w:r>
      <w:r>
        <w:t xml:space="preserve"> </w:t>
      </w:r>
      <w:r w:rsidR="00CD05B7">
        <w:t>sunulmuştur.</w:t>
      </w:r>
      <w:r>
        <w:t xml:space="preserve"> GSYH gibi istihdam serisi de istikrarlı şekilde bir artış </w:t>
      </w:r>
      <w:r w:rsidR="00CD05B7">
        <w:t>g</w:t>
      </w:r>
      <w:r>
        <w:t>östermektedir.</w:t>
      </w:r>
      <w:r w:rsidR="00CD05B7">
        <w:t xml:space="preserve"> Mevsimsel etkilerden dolayı yine kapanan şirket ile istihdam arasında zıt yönlü bir ilişki olmakla birlikte bekleneceği üzere </w:t>
      </w:r>
      <w:r w:rsidR="001566B9">
        <w:t xml:space="preserve">mevsimsellik </w:t>
      </w:r>
      <w:r w:rsidR="00CD05B7">
        <w:t xml:space="preserve">istihdam serisinde </w:t>
      </w:r>
      <w:r w:rsidR="001566B9">
        <w:t xml:space="preserve">GSYH’ya kıyasla </w:t>
      </w:r>
      <w:r w:rsidR="00CD05B7">
        <w:t>daha düşüktür.</w:t>
      </w:r>
    </w:p>
    <w:p w:rsidR="0087024E" w:rsidRPr="001F3DE8" w:rsidRDefault="0087024E" w:rsidP="001F3DE8">
      <w:pPr>
        <w:spacing w:line="240" w:lineRule="auto"/>
        <w:rPr>
          <w:b/>
        </w:rPr>
      </w:pPr>
      <w:bookmarkStart w:id="6" w:name="_Ref487820049"/>
      <w:r w:rsidRPr="00FF03C1">
        <w:rPr>
          <w:b/>
        </w:rPr>
        <w:lastRenderedPageBreak/>
        <w:t xml:space="preserve">Şekil </w:t>
      </w:r>
      <w:r w:rsidRPr="00FF03C1">
        <w:rPr>
          <w:b/>
        </w:rPr>
        <w:fldChar w:fldCharType="begin"/>
      </w:r>
      <w:r w:rsidRPr="00FF03C1">
        <w:rPr>
          <w:b/>
        </w:rPr>
        <w:instrText xml:space="preserve"> SEQ Şekil \* ARABIC </w:instrText>
      </w:r>
      <w:r w:rsidRPr="00FF03C1">
        <w:rPr>
          <w:b/>
        </w:rPr>
        <w:fldChar w:fldCharType="separate"/>
      </w:r>
      <w:r w:rsidR="005A4B8B">
        <w:rPr>
          <w:b/>
          <w:noProof/>
        </w:rPr>
        <w:t>6</w:t>
      </w:r>
      <w:r w:rsidRPr="00FF03C1">
        <w:rPr>
          <w:b/>
        </w:rPr>
        <w:fldChar w:fldCharType="end"/>
      </w:r>
      <w:bookmarkEnd w:id="6"/>
      <w:r w:rsidRPr="00FF03C1">
        <w:rPr>
          <w:b/>
        </w:rPr>
        <w:t xml:space="preserve"> Kurulan/kapanan şirket sayısı ve </w:t>
      </w:r>
      <w:r w:rsidR="008160DF" w:rsidRPr="00FF03C1">
        <w:rPr>
          <w:b/>
        </w:rPr>
        <w:t>istihdam</w:t>
      </w:r>
      <w:r w:rsidRPr="00FF03C1">
        <w:rPr>
          <w:b/>
        </w:rPr>
        <w:t xml:space="preserve"> ilişkisi</w:t>
      </w:r>
      <w:r w:rsidR="009651E7">
        <w:rPr>
          <w:b/>
        </w:rPr>
        <w:t xml:space="preserve"> (2010Q1-2017Q1)</w:t>
      </w:r>
      <w:r w:rsidRPr="0087024E">
        <w:rPr>
          <w:noProof/>
          <w:lang w:eastAsia="tr-TR"/>
        </w:rPr>
        <w:drawing>
          <wp:inline distT="0" distB="0" distL="0" distR="0">
            <wp:extent cx="5900420" cy="3536831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19" cy="35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E3">
        <w:rPr>
          <w:sz w:val="18"/>
        </w:rPr>
        <w:t>Kaynak: TOBB Kurulan/Kapanan Şirket İstatistikleri, 2010-2017</w:t>
      </w:r>
      <w:r w:rsidR="004B58CE" w:rsidRPr="00DA4AE3">
        <w:rPr>
          <w:sz w:val="18"/>
        </w:rPr>
        <w:t>; Betam</w:t>
      </w:r>
    </w:p>
    <w:p w:rsidR="00CD05B7" w:rsidRDefault="001D668F" w:rsidP="00970708">
      <w:r>
        <w:fldChar w:fldCharType="begin"/>
      </w:r>
      <w:r>
        <w:instrText xml:space="preserve"> REF _Ref488082269 \h  \* MERGEFORMAT </w:instrText>
      </w:r>
      <w:r>
        <w:fldChar w:fldCharType="separate"/>
      </w:r>
      <w:r w:rsidR="005A4B8B" w:rsidRPr="005A4B8B">
        <w:t>Ek Regresyon 3</w:t>
      </w:r>
      <w:r>
        <w:fldChar w:fldCharType="end"/>
      </w:r>
      <w:r>
        <w:t xml:space="preserve"> </w:t>
      </w:r>
      <w:r w:rsidR="00CD05B7">
        <w:t xml:space="preserve">ve </w:t>
      </w:r>
      <w:r>
        <w:fldChar w:fldCharType="begin"/>
      </w:r>
      <w:r>
        <w:instrText xml:space="preserve"> REF _Ref488082274 \h  \* MERGEFORMAT </w:instrText>
      </w:r>
      <w:r>
        <w:fldChar w:fldCharType="separate"/>
      </w:r>
      <w:r w:rsidR="005A4B8B" w:rsidRPr="005A4B8B">
        <w:t>Ek Regresyon 4</w:t>
      </w:r>
      <w:r>
        <w:fldChar w:fldCharType="end"/>
      </w:r>
      <w:r w:rsidR="00CD05B7">
        <w:t xml:space="preserve"> kurulan ve kapana</w:t>
      </w:r>
      <w:r>
        <w:t>n şirket sayılarındaki değişim oranlarının</w:t>
      </w:r>
      <w:r w:rsidR="00CD05B7">
        <w:t xml:space="preserve"> </w:t>
      </w:r>
      <w:r w:rsidR="00CD05B7" w:rsidRPr="009A292D">
        <w:t>istihdam büyümesi</w:t>
      </w:r>
      <w:r w:rsidR="00CD05B7">
        <w:t xml:space="preserve"> üzerinde etkili olup olmadığını araştırmaktadır. </w:t>
      </w:r>
      <w:r w:rsidR="00016F23">
        <w:t xml:space="preserve">Mevsimsel etkilerden kurtulmak </w:t>
      </w:r>
      <w:r w:rsidR="00CD05B7">
        <w:t xml:space="preserve">için her üç seride </w:t>
      </w:r>
      <w:r w:rsidR="00CF00D9" w:rsidRPr="009A292D">
        <w:t xml:space="preserve">yine </w:t>
      </w:r>
      <w:r w:rsidR="00CD05B7" w:rsidRPr="009A292D">
        <w:t>mevcut çeyrekten bir önceki yılın aynı çeyreğine kıyasla hesaplanan büyüme rakamları kullanılmıştır</w:t>
      </w:r>
      <w:r w:rsidR="00CD05B7">
        <w:t xml:space="preserve">. </w:t>
      </w:r>
      <w:r w:rsidR="00CF00D9">
        <w:fldChar w:fldCharType="begin"/>
      </w:r>
      <w:r w:rsidR="00CF00D9">
        <w:instrText xml:space="preserve"> REF _Ref488082269 \h  \* MERGEFORMAT </w:instrText>
      </w:r>
      <w:r w:rsidR="00CF00D9">
        <w:fldChar w:fldCharType="separate"/>
      </w:r>
      <w:r w:rsidR="005A4B8B" w:rsidRPr="005A4B8B">
        <w:t>Ek Regresyon 3</w:t>
      </w:r>
      <w:r w:rsidR="00CF00D9">
        <w:fldChar w:fldCharType="end"/>
      </w:r>
      <w:r w:rsidR="00CD05B7">
        <w:t>’te kurulan şirket sayıların</w:t>
      </w:r>
      <w:r w:rsidR="00CF00D9">
        <w:t>daki değişim oranının</w:t>
      </w:r>
      <w:r w:rsidR="00CD05B7">
        <w:t xml:space="preserve"> istihdam büyümesine etkisi incelenmiştir. GSYH’da olduğu gibi yıl etkilerini kontrol ettikten sonra kurulan şirket sayısının istihdama </w:t>
      </w:r>
      <w:r w:rsidR="00CD05B7" w:rsidRPr="009A292D">
        <w:t>etkisi</w:t>
      </w:r>
      <w:r w:rsidR="00E42ADC" w:rsidRPr="009A292D">
        <w:t xml:space="preserve"> de</w:t>
      </w:r>
      <w:r w:rsidR="00CD05B7" w:rsidRPr="009A292D">
        <w:t xml:space="preserve"> istati</w:t>
      </w:r>
      <w:r w:rsidR="006C2FA2" w:rsidRPr="009A292D">
        <w:t>stiki</w:t>
      </w:r>
      <w:r w:rsidR="006C2FA2">
        <w:t xml:space="preserve"> olarak anlamlı değildir. </w:t>
      </w:r>
      <w:r w:rsidR="00CD05B7">
        <w:t xml:space="preserve">Fakat, GSYH analizinde olduğu gibi kapanan şirket sayısının istihdam üzerindeki etkisi negatif ve istatistiki açıdan anlamlı bulunmuştur. </w:t>
      </w:r>
      <w:r w:rsidR="00524178">
        <w:t xml:space="preserve">Aynı analizi tarım-dışı istihdam için yaptığımızda </w:t>
      </w:r>
      <w:r w:rsidR="00624CD6">
        <w:t>sonuçlar</w:t>
      </w:r>
      <w:r w:rsidR="000D164F">
        <w:t xml:space="preserve"> niteliksel olarak benzerdir.</w:t>
      </w:r>
    </w:p>
    <w:p w:rsidR="008A256D" w:rsidRPr="009D6CDD" w:rsidRDefault="009D6CDD" w:rsidP="00970708">
      <w:pPr>
        <w:rPr>
          <w:b/>
          <w:sz w:val="24"/>
        </w:rPr>
      </w:pPr>
      <w:r w:rsidRPr="009D6CDD">
        <w:rPr>
          <w:b/>
          <w:sz w:val="24"/>
        </w:rPr>
        <w:t>Sonuç</w:t>
      </w:r>
    </w:p>
    <w:p w:rsidR="003C4C86" w:rsidRDefault="00B4101D" w:rsidP="003C4C86">
      <w:r w:rsidRPr="00A02AA7">
        <w:t xml:space="preserve">Bu çalışmada Türkiye’de 2010-2016 döneminde kurulan ve kapanan firmaların dönem içindeki genel seyri ve makroekonomik göstergelerle olan ilişkisi incelenmiştir. </w:t>
      </w:r>
      <w:r w:rsidR="00CD016E">
        <w:t>Her ne kadar dönem içerisinde kurulan firma sayısında artış</w:t>
      </w:r>
      <w:r w:rsidR="008F10B4">
        <w:t xml:space="preserve"> </w:t>
      </w:r>
      <w:r w:rsidR="00CD016E">
        <w:t>(</w:t>
      </w:r>
      <w:r w:rsidR="00CD016E" w:rsidRPr="00A02AA7">
        <w:t>yüzde 25’lik artış</w:t>
      </w:r>
      <w:r w:rsidR="00CD016E">
        <w:t>), kapanan firma sayısında azalış (</w:t>
      </w:r>
      <w:r w:rsidR="00CD016E" w:rsidRPr="00A02AA7">
        <w:t>yüzde 8’lik azalış</w:t>
      </w:r>
      <w:r w:rsidR="009A292D">
        <w:t xml:space="preserve">) görülmektedir. </w:t>
      </w:r>
      <w:r w:rsidR="00466B9A" w:rsidRPr="00CE2542">
        <w:t xml:space="preserve">Verinin </w:t>
      </w:r>
      <w:r w:rsidR="00466B9A" w:rsidRPr="000917B8">
        <w:t xml:space="preserve">analizinden dönemsel etkileri arındırmak için regresyon analizi tüm </w:t>
      </w:r>
      <w:r w:rsidR="00466B9A" w:rsidRPr="009A292D">
        <w:t xml:space="preserve">makroekonomik göstergelerin ve kurulan kapanan firma sayılarının yıllık değişimleri dikkate alınarak yapılmıştır. </w:t>
      </w:r>
      <w:r w:rsidR="00CE2542" w:rsidRPr="009A292D">
        <w:t>Yıl etkilerini</w:t>
      </w:r>
      <w:r w:rsidR="00DD4B20" w:rsidRPr="009A292D">
        <w:t xml:space="preserve">n </w:t>
      </w:r>
      <w:r w:rsidR="000917B8" w:rsidRPr="009A292D">
        <w:t xml:space="preserve">de </w:t>
      </w:r>
      <w:r w:rsidR="00DD4B20" w:rsidRPr="009A292D">
        <w:t>kontrol edilerek yapıldığı ekonometrik analizlerde</w:t>
      </w:r>
      <w:r w:rsidR="00A46D48" w:rsidRPr="009A292D">
        <w:t xml:space="preserve"> kurulan firma sayısındaki artışın istihdam ve gayrisafi yurtiçi hasılaya etkisinin istatistiki olarak anlamsız; ancak kapanan firma sayısındaki artışın istihdam ve milli gelire etkisinin negatif ve istatistiki olarak anlamlı olduğu </w:t>
      </w:r>
      <w:r w:rsidR="00A46D48" w:rsidRPr="00A927C0">
        <w:t>bulunmuştur.</w:t>
      </w:r>
      <w:r w:rsidR="009A23B7" w:rsidRPr="00A927C0">
        <w:t xml:space="preserve"> Kurulan firma sayısının etkilerinin anlamlı olarak bulamamızın bir nedeni firma verimlilikleri ile ilgili olabilir. Bu durumda e</w:t>
      </w:r>
      <w:r w:rsidR="00CE2542" w:rsidRPr="00A927C0">
        <w:t xml:space="preserve">konominin </w:t>
      </w:r>
      <w:r w:rsidR="00CE2542" w:rsidRPr="009A292D">
        <w:t>geneli için yapılan bu analizi sektör ve il düzeylerinde genişletmek bilgilendirici olacaktır.</w:t>
      </w:r>
    </w:p>
    <w:p w:rsidR="003C4C86" w:rsidRDefault="003C4C86" w:rsidP="003C4C86">
      <w:pPr>
        <w:rPr>
          <w:b/>
          <w:sz w:val="24"/>
        </w:rPr>
      </w:pPr>
    </w:p>
    <w:p w:rsidR="00F67760" w:rsidRDefault="00F67760">
      <w:pPr>
        <w:rPr>
          <w:b/>
          <w:sz w:val="24"/>
        </w:rPr>
      </w:pPr>
      <w:r>
        <w:rPr>
          <w:b/>
          <w:sz w:val="24"/>
        </w:rPr>
        <w:br w:type="page"/>
      </w:r>
    </w:p>
    <w:p w:rsidR="00A14F60" w:rsidRPr="005E6F1F" w:rsidRDefault="003C4C86" w:rsidP="008D3774">
      <w:pPr>
        <w:rPr>
          <w:b/>
          <w:sz w:val="24"/>
        </w:rPr>
      </w:pPr>
      <w:r w:rsidRPr="003C4C86">
        <w:rPr>
          <w:b/>
          <w:sz w:val="24"/>
        </w:rPr>
        <w:lastRenderedPageBreak/>
        <w:t>Kaynaklar</w:t>
      </w:r>
    </w:p>
    <w:p w:rsidR="008D3774" w:rsidRPr="00A14F60" w:rsidRDefault="008D3774" w:rsidP="008D3774">
      <w:pPr>
        <w:rPr>
          <w:b/>
          <w:sz w:val="32"/>
        </w:rPr>
      </w:pPr>
      <w:r>
        <w:t xml:space="preserve">Atiyas, İ., O. Bakış ve Y.K. Orhan (2017). </w:t>
      </w:r>
      <w:r w:rsidRPr="00DA254F">
        <w:t>Firm Dynamics an</w:t>
      </w:r>
      <w:r>
        <w:t xml:space="preserve">d Job Creation in Turkey - Some </w:t>
      </w:r>
      <w:r w:rsidRPr="00DA254F">
        <w:t>Preliminary Results</w:t>
      </w:r>
      <w:r>
        <w:t xml:space="preserve">, </w:t>
      </w:r>
      <w:r w:rsidRPr="00DA254F">
        <w:t>TUSIAD-Sabanci University Competitiveness Forum</w:t>
      </w:r>
      <w:r>
        <w:t xml:space="preserve"> Working paper No. 2017-1.</w:t>
      </w:r>
    </w:p>
    <w:p w:rsidR="008D3774" w:rsidRDefault="008D3774" w:rsidP="008D3774">
      <w:r>
        <w:t>Haltiwanger, J.C., Jarmin, R.S., ve J. Miranda (2013). “Who Creates Jobs?”, Review of Economics and Statistics 95 (2): 347-361.</w:t>
      </w:r>
    </w:p>
    <w:p w:rsidR="008D3774" w:rsidRDefault="008D3774" w:rsidP="008D3774">
      <w:r>
        <w:t>Hsieh, C. T. ve P. J. Klenow (2012). “The Life Cycle of Plants in India and Mexico”, Quarterly Journal of Economics 129(3):1035-1084.</w:t>
      </w:r>
    </w:p>
    <w:p w:rsidR="008D3774" w:rsidRDefault="008D3774" w:rsidP="008D3774">
      <w:r>
        <w:t>Rijkers, B., A. Arouri, C. Freund ve A. Nucifora (2014). Which Firms Create Most Jobs in Developing Countries? Evidence from Tunisia, World Bank Policy Research Working Paper No. 7068.</w:t>
      </w:r>
    </w:p>
    <w:p w:rsidR="008D3774" w:rsidRDefault="008D3774">
      <w:pPr>
        <w:rPr>
          <w:b/>
          <w:sz w:val="24"/>
        </w:rPr>
      </w:pPr>
    </w:p>
    <w:p w:rsidR="00FD4A66" w:rsidRDefault="00FD4A66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1E027F" w:rsidRDefault="001E027F" w:rsidP="001E027F">
      <w:pPr>
        <w:pStyle w:val="ResimYazs"/>
        <w:keepNext/>
      </w:pPr>
      <w:bookmarkStart w:id="7" w:name="_Ref488310194"/>
      <w:r w:rsidRPr="001E027F">
        <w:rPr>
          <w:b/>
          <w:i w:val="0"/>
          <w:color w:val="auto"/>
          <w:sz w:val="22"/>
        </w:rPr>
        <w:lastRenderedPageBreak/>
        <w:t xml:space="preserve">Ek Tablo </w:t>
      </w:r>
      <w:r w:rsidRPr="001E027F">
        <w:rPr>
          <w:b/>
          <w:i w:val="0"/>
          <w:color w:val="auto"/>
          <w:sz w:val="22"/>
        </w:rPr>
        <w:fldChar w:fldCharType="begin"/>
      </w:r>
      <w:r w:rsidRPr="001E027F">
        <w:rPr>
          <w:b/>
          <w:i w:val="0"/>
          <w:color w:val="auto"/>
          <w:sz w:val="22"/>
        </w:rPr>
        <w:instrText xml:space="preserve"> SEQ Ek_Tablo \* ARABIC </w:instrText>
      </w:r>
      <w:r w:rsidRPr="001E027F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1</w:t>
      </w:r>
      <w:r w:rsidRPr="001E027F">
        <w:rPr>
          <w:b/>
          <w:i w:val="0"/>
          <w:color w:val="auto"/>
          <w:sz w:val="22"/>
        </w:rPr>
        <w:fldChar w:fldCharType="end"/>
      </w:r>
      <w:bookmarkEnd w:id="7"/>
      <w:r>
        <w:rPr>
          <w:b/>
          <w:i w:val="0"/>
          <w:color w:val="auto"/>
          <w:sz w:val="22"/>
        </w:rPr>
        <w:t>:</w:t>
      </w:r>
      <w:r w:rsidRPr="001E027F">
        <w:rPr>
          <w:b/>
          <w:i w:val="0"/>
          <w:color w:val="auto"/>
          <w:sz w:val="22"/>
        </w:rPr>
        <w:t xml:space="preserve"> </w:t>
      </w:r>
      <w:r w:rsidRPr="00FF03C1">
        <w:rPr>
          <w:b/>
          <w:i w:val="0"/>
          <w:color w:val="auto"/>
          <w:sz w:val="22"/>
        </w:rPr>
        <w:t>Kurulan, kapanan, sermaye miktarı artan ve azalan firma sayıları, 2010-2017</w:t>
      </w:r>
    </w:p>
    <w:tbl>
      <w:tblPr>
        <w:tblW w:w="90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727"/>
        <w:gridCol w:w="1727"/>
        <w:gridCol w:w="1787"/>
        <w:gridCol w:w="1787"/>
      </w:tblGrid>
      <w:tr w:rsidR="005E2BCB" w:rsidRPr="005E2BCB" w:rsidTr="005E2BCB">
        <w:trPr>
          <w:trHeight w:val="292"/>
        </w:trPr>
        <w:tc>
          <w:tcPr>
            <w:tcW w:w="20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Yıl</w:t>
            </w:r>
          </w:p>
        </w:tc>
        <w:tc>
          <w:tcPr>
            <w:tcW w:w="17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Kurulan firma sayısı</w:t>
            </w:r>
          </w:p>
        </w:tc>
        <w:tc>
          <w:tcPr>
            <w:tcW w:w="17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Kapanan firma sayısı</w:t>
            </w:r>
          </w:p>
        </w:tc>
        <w:tc>
          <w:tcPr>
            <w:tcW w:w="178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Sermayesi artan firma sayısı</w:t>
            </w:r>
          </w:p>
        </w:tc>
        <w:tc>
          <w:tcPr>
            <w:tcW w:w="178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Sermayesi azalan firma sayısı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51971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13442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48892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184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54442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14991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26509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190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39755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16063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32647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201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49943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17400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20384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372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58716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15822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46311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425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67622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13701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24306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414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64481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12328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23581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232</w:t>
            </w:r>
          </w:p>
        </w:tc>
      </w:tr>
      <w:tr w:rsidR="005E2BCB" w:rsidRPr="005E2BCB" w:rsidTr="005E2BCB">
        <w:trPr>
          <w:trHeight w:val="292"/>
        </w:trPr>
        <w:tc>
          <w:tcPr>
            <w:tcW w:w="201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2017*Ocak-</w:t>
            </w:r>
            <w:r w:rsidR="00B33D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tr-TR"/>
              </w:rPr>
              <w:t>Mart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B33D16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B33D1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18038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B33D16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B33D1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3677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B33D16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B33D1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6911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E2BCB" w:rsidRPr="005E2BCB" w:rsidRDefault="005E2BCB" w:rsidP="005E2B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</w:pPr>
            <w:r w:rsidRPr="005E2BCB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tr-TR"/>
              </w:rPr>
              <w:t>0</w:t>
            </w:r>
          </w:p>
        </w:tc>
      </w:tr>
    </w:tbl>
    <w:p w:rsidR="00012002" w:rsidRPr="00DA4AE3" w:rsidRDefault="004801DD">
      <w:pPr>
        <w:rPr>
          <w:sz w:val="18"/>
        </w:rPr>
      </w:pPr>
      <w:r w:rsidRPr="00DA4AE3">
        <w:rPr>
          <w:sz w:val="18"/>
        </w:rPr>
        <w:t>Kaynak: TOBB Kurulan/Kapanan Şirket İstatistikleri, 2010-2017</w:t>
      </w:r>
    </w:p>
    <w:p w:rsidR="003C4C86" w:rsidRPr="003C4C86" w:rsidRDefault="003C4C86" w:rsidP="003C4C86">
      <w:pPr>
        <w:pStyle w:val="ResimYazs"/>
        <w:keepNext/>
        <w:rPr>
          <w:b/>
          <w:i w:val="0"/>
          <w:color w:val="auto"/>
          <w:sz w:val="22"/>
        </w:rPr>
      </w:pPr>
      <w:bookmarkStart w:id="8" w:name="_Ref488081939"/>
      <w:r w:rsidRPr="003C4C86">
        <w:rPr>
          <w:b/>
          <w:i w:val="0"/>
          <w:color w:val="auto"/>
          <w:sz w:val="22"/>
        </w:rPr>
        <w:t xml:space="preserve">Ek Regresyon </w:t>
      </w:r>
      <w:r w:rsidRPr="003C4C86">
        <w:rPr>
          <w:b/>
          <w:i w:val="0"/>
          <w:color w:val="auto"/>
          <w:sz w:val="22"/>
        </w:rPr>
        <w:fldChar w:fldCharType="begin"/>
      </w:r>
      <w:r w:rsidRPr="003C4C86">
        <w:rPr>
          <w:b/>
          <w:i w:val="0"/>
          <w:color w:val="auto"/>
          <w:sz w:val="22"/>
        </w:rPr>
        <w:instrText xml:space="preserve"> SEQ Ek_Regresyon \* ARABIC </w:instrText>
      </w:r>
      <w:r w:rsidRPr="003C4C86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1</w:t>
      </w:r>
      <w:r w:rsidRPr="003C4C86">
        <w:rPr>
          <w:b/>
          <w:i w:val="0"/>
          <w:color w:val="auto"/>
          <w:sz w:val="22"/>
        </w:rPr>
        <w:fldChar w:fldCharType="end"/>
      </w:r>
      <w:bookmarkEnd w:id="8"/>
      <w:r>
        <w:rPr>
          <w:b/>
          <w:i w:val="0"/>
          <w:color w:val="auto"/>
          <w:sz w:val="22"/>
        </w:rPr>
        <w:t>:</w:t>
      </w:r>
      <w:r w:rsidRPr="003C4C86">
        <w:rPr>
          <w:b/>
          <w:i w:val="0"/>
          <w:color w:val="auto"/>
          <w:sz w:val="22"/>
        </w:rPr>
        <w:t xml:space="preserve"> </w:t>
      </w:r>
      <w:r w:rsidRPr="00FF03C1">
        <w:rPr>
          <w:b/>
          <w:i w:val="0"/>
          <w:color w:val="auto"/>
          <w:sz w:val="22"/>
        </w:rPr>
        <w:t>GYSH ile kurulan şirket sayısı ilişkisi</w:t>
      </w:r>
    </w:p>
    <w:p w:rsidR="005A08E4" w:rsidRDefault="00822E09">
      <w:r>
        <w:rPr>
          <w:noProof/>
          <w:lang w:eastAsia="tr-TR"/>
        </w:rPr>
        <w:drawing>
          <wp:inline distT="0" distB="0" distL="0" distR="0">
            <wp:extent cx="5303520" cy="57607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09" w:rsidRDefault="00822E09"/>
    <w:p w:rsidR="003C4C86" w:rsidRPr="003C4C86" w:rsidRDefault="003C4C86" w:rsidP="003C4C86">
      <w:pPr>
        <w:pStyle w:val="ResimYazs"/>
        <w:keepNext/>
        <w:rPr>
          <w:b/>
          <w:i w:val="0"/>
          <w:color w:val="auto"/>
          <w:sz w:val="22"/>
        </w:rPr>
      </w:pPr>
      <w:bookmarkStart w:id="9" w:name="_Ref488081960"/>
      <w:r w:rsidRPr="003C4C86">
        <w:rPr>
          <w:b/>
          <w:i w:val="0"/>
          <w:color w:val="auto"/>
          <w:sz w:val="22"/>
        </w:rPr>
        <w:lastRenderedPageBreak/>
        <w:t xml:space="preserve">Ek Regresyon </w:t>
      </w:r>
      <w:r w:rsidRPr="003C4C86">
        <w:rPr>
          <w:b/>
          <w:i w:val="0"/>
          <w:color w:val="auto"/>
          <w:sz w:val="22"/>
        </w:rPr>
        <w:fldChar w:fldCharType="begin"/>
      </w:r>
      <w:r w:rsidRPr="003C4C86">
        <w:rPr>
          <w:b/>
          <w:i w:val="0"/>
          <w:color w:val="auto"/>
          <w:sz w:val="22"/>
        </w:rPr>
        <w:instrText xml:space="preserve"> SEQ Ek_Regresyon \* ARABIC </w:instrText>
      </w:r>
      <w:r w:rsidRPr="003C4C86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2</w:t>
      </w:r>
      <w:r w:rsidRPr="003C4C86">
        <w:rPr>
          <w:b/>
          <w:i w:val="0"/>
          <w:color w:val="auto"/>
          <w:sz w:val="22"/>
        </w:rPr>
        <w:fldChar w:fldCharType="end"/>
      </w:r>
      <w:bookmarkEnd w:id="9"/>
      <w:r>
        <w:rPr>
          <w:b/>
          <w:i w:val="0"/>
          <w:color w:val="auto"/>
          <w:sz w:val="22"/>
        </w:rPr>
        <w:t>:</w:t>
      </w:r>
      <w:r w:rsidRPr="003C4C86">
        <w:rPr>
          <w:b/>
          <w:i w:val="0"/>
          <w:color w:val="auto"/>
          <w:sz w:val="22"/>
        </w:rPr>
        <w:t xml:space="preserve"> </w:t>
      </w:r>
      <w:r w:rsidRPr="00FF03C1">
        <w:rPr>
          <w:b/>
          <w:i w:val="0"/>
          <w:color w:val="auto"/>
          <w:sz w:val="22"/>
        </w:rPr>
        <w:t>GYSH ile kapanan şirket sayısı ilişkisi</w:t>
      </w:r>
    </w:p>
    <w:p w:rsidR="0029647C" w:rsidRDefault="00822E09">
      <w:r>
        <w:rPr>
          <w:noProof/>
          <w:lang w:eastAsia="tr-TR"/>
        </w:rPr>
        <w:drawing>
          <wp:inline distT="0" distB="0" distL="0" distR="0">
            <wp:extent cx="5486040" cy="5460520"/>
            <wp:effectExtent l="0" t="0" r="635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28" cy="54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F3" w:rsidRDefault="006E6CF3"/>
    <w:p w:rsidR="00915E00" w:rsidRDefault="00915E00"/>
    <w:p w:rsidR="00915E00" w:rsidRDefault="00915E00"/>
    <w:p w:rsidR="00915E00" w:rsidRDefault="00915E00"/>
    <w:p w:rsidR="00915E00" w:rsidRDefault="00915E00"/>
    <w:p w:rsidR="00915E00" w:rsidRDefault="00915E00"/>
    <w:p w:rsidR="00915E00" w:rsidRDefault="00915E00"/>
    <w:p w:rsidR="003C4C86" w:rsidRPr="003C4C86" w:rsidRDefault="003C4C86" w:rsidP="003C4C86">
      <w:pPr>
        <w:pStyle w:val="ResimYazs"/>
        <w:keepNext/>
        <w:rPr>
          <w:b/>
          <w:i w:val="0"/>
          <w:color w:val="auto"/>
          <w:sz w:val="22"/>
        </w:rPr>
      </w:pPr>
      <w:bookmarkStart w:id="10" w:name="_Ref488082269"/>
      <w:r w:rsidRPr="003C4C86">
        <w:rPr>
          <w:b/>
          <w:i w:val="0"/>
          <w:color w:val="auto"/>
          <w:sz w:val="22"/>
        </w:rPr>
        <w:lastRenderedPageBreak/>
        <w:t xml:space="preserve">Ek Regresyon </w:t>
      </w:r>
      <w:r w:rsidRPr="003C4C86">
        <w:rPr>
          <w:b/>
          <w:i w:val="0"/>
          <w:color w:val="auto"/>
          <w:sz w:val="22"/>
        </w:rPr>
        <w:fldChar w:fldCharType="begin"/>
      </w:r>
      <w:r w:rsidRPr="003C4C86">
        <w:rPr>
          <w:b/>
          <w:i w:val="0"/>
          <w:color w:val="auto"/>
          <w:sz w:val="22"/>
        </w:rPr>
        <w:instrText xml:space="preserve"> SEQ Ek_Regresyon \* ARABIC </w:instrText>
      </w:r>
      <w:r w:rsidRPr="003C4C86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3</w:t>
      </w:r>
      <w:r w:rsidRPr="003C4C86">
        <w:rPr>
          <w:b/>
          <w:i w:val="0"/>
          <w:color w:val="auto"/>
          <w:sz w:val="22"/>
        </w:rPr>
        <w:fldChar w:fldCharType="end"/>
      </w:r>
      <w:bookmarkEnd w:id="10"/>
      <w:r>
        <w:rPr>
          <w:b/>
          <w:i w:val="0"/>
          <w:color w:val="auto"/>
          <w:sz w:val="22"/>
        </w:rPr>
        <w:t>:</w:t>
      </w:r>
      <w:r w:rsidRPr="00FF03C1">
        <w:rPr>
          <w:b/>
          <w:i w:val="0"/>
          <w:color w:val="auto"/>
          <w:sz w:val="22"/>
        </w:rPr>
        <w:t xml:space="preserve"> İstihdam ile kurulan firma ilişkisi</w:t>
      </w:r>
    </w:p>
    <w:p w:rsidR="00915E00" w:rsidRPr="000612C3" w:rsidRDefault="00915E00" w:rsidP="00915E00">
      <w:r>
        <w:rPr>
          <w:noProof/>
          <w:lang w:eastAsia="tr-TR"/>
        </w:rPr>
        <w:drawing>
          <wp:inline distT="0" distB="0" distL="0" distR="0" wp14:anchorId="37B79831" wp14:editId="195669F1">
            <wp:extent cx="5495925" cy="57531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00" w:rsidRDefault="00915E00" w:rsidP="00915E00"/>
    <w:p w:rsidR="00915E00" w:rsidRDefault="00915E00" w:rsidP="00915E00"/>
    <w:p w:rsidR="003C4C86" w:rsidRPr="003C4C86" w:rsidRDefault="003C4C86" w:rsidP="003C4C86">
      <w:pPr>
        <w:pStyle w:val="ResimYazs"/>
        <w:keepNext/>
        <w:rPr>
          <w:b/>
          <w:i w:val="0"/>
          <w:color w:val="auto"/>
          <w:sz w:val="22"/>
        </w:rPr>
      </w:pPr>
      <w:bookmarkStart w:id="11" w:name="_Ref488082274"/>
      <w:r w:rsidRPr="003C4C86">
        <w:rPr>
          <w:b/>
          <w:i w:val="0"/>
          <w:color w:val="auto"/>
          <w:sz w:val="22"/>
        </w:rPr>
        <w:lastRenderedPageBreak/>
        <w:t xml:space="preserve">Ek Regresyon </w:t>
      </w:r>
      <w:r w:rsidRPr="003C4C86">
        <w:rPr>
          <w:b/>
          <w:i w:val="0"/>
          <w:color w:val="auto"/>
          <w:sz w:val="22"/>
        </w:rPr>
        <w:fldChar w:fldCharType="begin"/>
      </w:r>
      <w:r w:rsidRPr="003C4C86">
        <w:rPr>
          <w:b/>
          <w:i w:val="0"/>
          <w:color w:val="auto"/>
          <w:sz w:val="22"/>
        </w:rPr>
        <w:instrText xml:space="preserve"> SEQ Ek_Regresyon \* ARABIC </w:instrText>
      </w:r>
      <w:r w:rsidRPr="003C4C86">
        <w:rPr>
          <w:b/>
          <w:i w:val="0"/>
          <w:color w:val="auto"/>
          <w:sz w:val="22"/>
        </w:rPr>
        <w:fldChar w:fldCharType="separate"/>
      </w:r>
      <w:r w:rsidR="005A4B8B">
        <w:rPr>
          <w:b/>
          <w:i w:val="0"/>
          <w:noProof/>
          <w:color w:val="auto"/>
          <w:sz w:val="22"/>
        </w:rPr>
        <w:t>4</w:t>
      </w:r>
      <w:r w:rsidRPr="003C4C86">
        <w:rPr>
          <w:b/>
          <w:i w:val="0"/>
          <w:color w:val="auto"/>
          <w:sz w:val="22"/>
        </w:rPr>
        <w:fldChar w:fldCharType="end"/>
      </w:r>
      <w:bookmarkEnd w:id="11"/>
      <w:r w:rsidRPr="00FF03C1">
        <w:rPr>
          <w:b/>
          <w:i w:val="0"/>
          <w:color w:val="auto"/>
          <w:sz w:val="22"/>
        </w:rPr>
        <w:t>: İstihdam ile kapanan firma ilişkisi</w:t>
      </w:r>
    </w:p>
    <w:p w:rsidR="00915E00" w:rsidRPr="004604A7" w:rsidRDefault="00915E00" w:rsidP="00915E00">
      <w:r>
        <w:rPr>
          <w:noProof/>
          <w:lang w:eastAsia="tr-TR"/>
        </w:rPr>
        <w:drawing>
          <wp:inline distT="0" distB="0" distL="0" distR="0" wp14:anchorId="232B09BC" wp14:editId="45213A34">
            <wp:extent cx="5438775" cy="57912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00" w:rsidRDefault="00915E00"/>
    <w:p w:rsidR="00915E00" w:rsidRDefault="00915E00"/>
    <w:sectPr w:rsidR="00915E00" w:rsidSect="001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B5" w:rsidRDefault="000662B5" w:rsidP="006B133A">
      <w:pPr>
        <w:spacing w:after="0" w:line="240" w:lineRule="auto"/>
      </w:pPr>
      <w:r>
        <w:separator/>
      </w:r>
    </w:p>
  </w:endnote>
  <w:endnote w:type="continuationSeparator" w:id="0">
    <w:p w:rsidR="000662B5" w:rsidRDefault="000662B5" w:rsidP="006B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B5" w:rsidRDefault="000662B5" w:rsidP="006B133A">
      <w:pPr>
        <w:spacing w:after="0" w:line="240" w:lineRule="auto"/>
      </w:pPr>
      <w:r>
        <w:separator/>
      </w:r>
    </w:p>
  </w:footnote>
  <w:footnote w:type="continuationSeparator" w:id="0">
    <w:p w:rsidR="000662B5" w:rsidRDefault="000662B5" w:rsidP="006B133A">
      <w:pPr>
        <w:spacing w:after="0" w:line="240" w:lineRule="auto"/>
      </w:pPr>
      <w:r>
        <w:continuationSeparator/>
      </w:r>
    </w:p>
  </w:footnote>
  <w:footnote w:id="1">
    <w:p w:rsidR="008D3774" w:rsidRPr="009B7D12" w:rsidRDefault="008D3774" w:rsidP="006B133A">
      <w:pPr>
        <w:pStyle w:val="DipnotMetni"/>
        <w:rPr>
          <w:rStyle w:val="Kpr"/>
          <w:rFonts w:asciiTheme="minorHAnsi" w:hAnsiTheme="minorHAnsi" w:cs="Arial"/>
          <w:sz w:val="18"/>
          <w:szCs w:val="18"/>
        </w:rPr>
      </w:pPr>
      <w:r w:rsidRPr="009B7D12">
        <w:rPr>
          <w:rStyle w:val="DipnotBavurusu"/>
          <w:rFonts w:asciiTheme="minorHAnsi" w:hAnsiTheme="minorHAnsi" w:cs="Arial"/>
          <w:b/>
          <w:sz w:val="18"/>
          <w:szCs w:val="18"/>
        </w:rPr>
        <w:t>*</w:t>
      </w:r>
      <w:r w:rsidRPr="009B7D12">
        <w:rPr>
          <w:rFonts w:asciiTheme="minorHAnsi" w:hAnsiTheme="minorHAnsi" w:cs="Arial"/>
          <w:sz w:val="18"/>
          <w:szCs w:val="18"/>
        </w:rPr>
        <w:t xml:space="preserve">Doç. Dr. Ozan Bakış, </w:t>
      </w:r>
      <w:r w:rsidRPr="009B7D12">
        <w:rPr>
          <w:rFonts w:asciiTheme="minorHAnsi" w:hAnsiTheme="minorHAnsi" w:cs="Arial"/>
          <w:b/>
          <w:sz w:val="18"/>
          <w:szCs w:val="18"/>
        </w:rPr>
        <w:t>Betam</w:t>
      </w:r>
      <w:r w:rsidRPr="009B7D12">
        <w:rPr>
          <w:rFonts w:asciiTheme="minorHAnsi" w:hAnsiTheme="minorHAnsi" w:cs="Arial"/>
          <w:sz w:val="18"/>
          <w:szCs w:val="18"/>
        </w:rPr>
        <w:t xml:space="preserve">, Kıdemli Araştırmacı, </w:t>
      </w:r>
      <w:hyperlink r:id="rId1" w:history="1">
        <w:r w:rsidRPr="009B7D12">
          <w:rPr>
            <w:rStyle w:val="Kpr"/>
            <w:rFonts w:asciiTheme="minorHAnsi" w:hAnsiTheme="minorHAnsi" w:cs="Arial"/>
            <w:sz w:val="18"/>
            <w:szCs w:val="18"/>
          </w:rPr>
          <w:t>ozan.bakis@eas.bau.edu.tr</w:t>
        </w:r>
      </w:hyperlink>
    </w:p>
  </w:footnote>
  <w:footnote w:id="2">
    <w:p w:rsidR="008D3774" w:rsidRDefault="008D3774" w:rsidP="006B133A">
      <w:pPr>
        <w:pStyle w:val="DipnotMetni"/>
        <w:rPr>
          <w:rFonts w:asciiTheme="minorHAnsi" w:hAnsiTheme="minorHAnsi" w:cs="Arial"/>
          <w:color w:val="C00000"/>
          <w:sz w:val="18"/>
          <w:szCs w:val="18"/>
        </w:rPr>
      </w:pPr>
      <w:r w:rsidRPr="009B7D12">
        <w:rPr>
          <w:rStyle w:val="DipnotBavurusu"/>
          <w:sz w:val="18"/>
        </w:rPr>
        <w:t>**</w:t>
      </w:r>
      <w:r w:rsidRPr="009B7D12">
        <w:rPr>
          <w:sz w:val="18"/>
        </w:rPr>
        <w:t xml:space="preserve"> </w:t>
      </w:r>
      <w:r w:rsidRPr="009B7D12">
        <w:rPr>
          <w:rFonts w:asciiTheme="minorHAnsi" w:hAnsiTheme="minorHAnsi" w:cs="Arial"/>
          <w:sz w:val="18"/>
          <w:szCs w:val="18"/>
        </w:rPr>
        <w:t xml:space="preserve">Melike Kökkızıl, </w:t>
      </w:r>
      <w:r w:rsidRPr="009B7D12">
        <w:rPr>
          <w:rFonts w:asciiTheme="minorHAnsi" w:hAnsiTheme="minorHAnsi" w:cs="Arial"/>
          <w:b/>
          <w:sz w:val="18"/>
          <w:szCs w:val="18"/>
        </w:rPr>
        <w:t>Betam</w:t>
      </w:r>
      <w:r w:rsidRPr="009B7D12">
        <w:rPr>
          <w:rFonts w:asciiTheme="minorHAnsi" w:hAnsiTheme="minorHAnsi" w:cs="Arial"/>
          <w:sz w:val="18"/>
          <w:szCs w:val="18"/>
        </w:rPr>
        <w:t xml:space="preserve">, Araştırma Görevlisi, </w:t>
      </w:r>
      <w:hyperlink r:id="rId2" w:history="1">
        <w:r w:rsidRPr="009B7D12">
          <w:rPr>
            <w:rStyle w:val="Kpr"/>
            <w:rFonts w:asciiTheme="minorHAnsi" w:hAnsiTheme="minorHAnsi" w:cs="Arial"/>
            <w:sz w:val="18"/>
            <w:szCs w:val="18"/>
          </w:rPr>
          <w:t>melike.kokkizil@eas.bau.edu.tr</w:t>
        </w:r>
      </w:hyperlink>
    </w:p>
    <w:p w:rsidR="008D3774" w:rsidRPr="00613511" w:rsidRDefault="008D3774" w:rsidP="006B133A">
      <w:pPr>
        <w:pStyle w:val="DipnotMetni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CC4"/>
    <w:multiLevelType w:val="hybridMultilevel"/>
    <w:tmpl w:val="EB76B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3"/>
    <w:rsid w:val="00001B4E"/>
    <w:rsid w:val="00003CC9"/>
    <w:rsid w:val="000057B7"/>
    <w:rsid w:val="0000599E"/>
    <w:rsid w:val="00007D2F"/>
    <w:rsid w:val="00010BEC"/>
    <w:rsid w:val="0001178B"/>
    <w:rsid w:val="00012002"/>
    <w:rsid w:val="0001349D"/>
    <w:rsid w:val="000148D3"/>
    <w:rsid w:val="00016F23"/>
    <w:rsid w:val="000212C8"/>
    <w:rsid w:val="00021E83"/>
    <w:rsid w:val="00021F0E"/>
    <w:rsid w:val="000231F4"/>
    <w:rsid w:val="00023B52"/>
    <w:rsid w:val="00030E86"/>
    <w:rsid w:val="000367A9"/>
    <w:rsid w:val="00042A30"/>
    <w:rsid w:val="00045805"/>
    <w:rsid w:val="0004624D"/>
    <w:rsid w:val="000516AC"/>
    <w:rsid w:val="00051FAC"/>
    <w:rsid w:val="00060278"/>
    <w:rsid w:val="000612C3"/>
    <w:rsid w:val="000662B5"/>
    <w:rsid w:val="00073ACB"/>
    <w:rsid w:val="00076343"/>
    <w:rsid w:val="00080911"/>
    <w:rsid w:val="0008204E"/>
    <w:rsid w:val="00082388"/>
    <w:rsid w:val="00083363"/>
    <w:rsid w:val="00083891"/>
    <w:rsid w:val="00087CD1"/>
    <w:rsid w:val="000917B8"/>
    <w:rsid w:val="00094429"/>
    <w:rsid w:val="000948F3"/>
    <w:rsid w:val="00095363"/>
    <w:rsid w:val="000A2C6D"/>
    <w:rsid w:val="000A4492"/>
    <w:rsid w:val="000A5B79"/>
    <w:rsid w:val="000B0068"/>
    <w:rsid w:val="000B0EDA"/>
    <w:rsid w:val="000B0EDE"/>
    <w:rsid w:val="000B30BA"/>
    <w:rsid w:val="000B3775"/>
    <w:rsid w:val="000B3EE8"/>
    <w:rsid w:val="000B45CD"/>
    <w:rsid w:val="000B52D7"/>
    <w:rsid w:val="000C2463"/>
    <w:rsid w:val="000C3E0D"/>
    <w:rsid w:val="000D1534"/>
    <w:rsid w:val="000D164F"/>
    <w:rsid w:val="000D211B"/>
    <w:rsid w:val="000D2AE7"/>
    <w:rsid w:val="000D2E30"/>
    <w:rsid w:val="000E24E4"/>
    <w:rsid w:val="000E589C"/>
    <w:rsid w:val="000F3C69"/>
    <w:rsid w:val="000F4F95"/>
    <w:rsid w:val="000F575A"/>
    <w:rsid w:val="001005D5"/>
    <w:rsid w:val="001019A3"/>
    <w:rsid w:val="00107BDD"/>
    <w:rsid w:val="00110820"/>
    <w:rsid w:val="00113B51"/>
    <w:rsid w:val="00113E48"/>
    <w:rsid w:val="00114D5A"/>
    <w:rsid w:val="00115CDE"/>
    <w:rsid w:val="00117484"/>
    <w:rsid w:val="00117953"/>
    <w:rsid w:val="00123024"/>
    <w:rsid w:val="0012329A"/>
    <w:rsid w:val="001235CA"/>
    <w:rsid w:val="001237C5"/>
    <w:rsid w:val="00131A0C"/>
    <w:rsid w:val="00131AB2"/>
    <w:rsid w:val="0013254E"/>
    <w:rsid w:val="00133D9F"/>
    <w:rsid w:val="001416D0"/>
    <w:rsid w:val="001440E2"/>
    <w:rsid w:val="001452CD"/>
    <w:rsid w:val="00150251"/>
    <w:rsid w:val="00155936"/>
    <w:rsid w:val="0015615A"/>
    <w:rsid w:val="001566B9"/>
    <w:rsid w:val="001568F7"/>
    <w:rsid w:val="00161AD8"/>
    <w:rsid w:val="00162B03"/>
    <w:rsid w:val="001652A3"/>
    <w:rsid w:val="001656E5"/>
    <w:rsid w:val="001659CF"/>
    <w:rsid w:val="001733E6"/>
    <w:rsid w:val="001734F2"/>
    <w:rsid w:val="00181D62"/>
    <w:rsid w:val="00183462"/>
    <w:rsid w:val="00191126"/>
    <w:rsid w:val="00192C37"/>
    <w:rsid w:val="00193083"/>
    <w:rsid w:val="001945A1"/>
    <w:rsid w:val="001A11EC"/>
    <w:rsid w:val="001A1679"/>
    <w:rsid w:val="001A2A55"/>
    <w:rsid w:val="001A6CF2"/>
    <w:rsid w:val="001A711D"/>
    <w:rsid w:val="001B206C"/>
    <w:rsid w:val="001B2CB0"/>
    <w:rsid w:val="001B4DE1"/>
    <w:rsid w:val="001B6530"/>
    <w:rsid w:val="001B7005"/>
    <w:rsid w:val="001C1E08"/>
    <w:rsid w:val="001C5E58"/>
    <w:rsid w:val="001C77DC"/>
    <w:rsid w:val="001D5D7B"/>
    <w:rsid w:val="001D5E2F"/>
    <w:rsid w:val="001D668F"/>
    <w:rsid w:val="001D704C"/>
    <w:rsid w:val="001E027F"/>
    <w:rsid w:val="001E16FC"/>
    <w:rsid w:val="001E1D90"/>
    <w:rsid w:val="001E3905"/>
    <w:rsid w:val="001E4E1A"/>
    <w:rsid w:val="001E5772"/>
    <w:rsid w:val="001F1A27"/>
    <w:rsid w:val="001F33C0"/>
    <w:rsid w:val="001F3DE8"/>
    <w:rsid w:val="001F5BF1"/>
    <w:rsid w:val="001F6C83"/>
    <w:rsid w:val="001F7FE5"/>
    <w:rsid w:val="00203580"/>
    <w:rsid w:val="00207799"/>
    <w:rsid w:val="0021197C"/>
    <w:rsid w:val="00212DDD"/>
    <w:rsid w:val="00216231"/>
    <w:rsid w:val="002167D1"/>
    <w:rsid w:val="002179C4"/>
    <w:rsid w:val="00220CBC"/>
    <w:rsid w:val="00224965"/>
    <w:rsid w:val="0022549A"/>
    <w:rsid w:val="00227EF0"/>
    <w:rsid w:val="00232735"/>
    <w:rsid w:val="0023417C"/>
    <w:rsid w:val="0023559D"/>
    <w:rsid w:val="00236A7C"/>
    <w:rsid w:val="00236C26"/>
    <w:rsid w:val="00236FCE"/>
    <w:rsid w:val="00242A8F"/>
    <w:rsid w:val="00243695"/>
    <w:rsid w:val="00244BD7"/>
    <w:rsid w:val="00245DA5"/>
    <w:rsid w:val="00250326"/>
    <w:rsid w:val="0025457C"/>
    <w:rsid w:val="00255B96"/>
    <w:rsid w:val="002570A4"/>
    <w:rsid w:val="00264AB5"/>
    <w:rsid w:val="00266462"/>
    <w:rsid w:val="00267F74"/>
    <w:rsid w:val="00271440"/>
    <w:rsid w:val="00271ADC"/>
    <w:rsid w:val="002734CE"/>
    <w:rsid w:val="002753E4"/>
    <w:rsid w:val="002757B3"/>
    <w:rsid w:val="00277FEF"/>
    <w:rsid w:val="00284A36"/>
    <w:rsid w:val="00290F3D"/>
    <w:rsid w:val="00291DB3"/>
    <w:rsid w:val="002923AA"/>
    <w:rsid w:val="002941B0"/>
    <w:rsid w:val="0029647C"/>
    <w:rsid w:val="002A151F"/>
    <w:rsid w:val="002A185D"/>
    <w:rsid w:val="002A347F"/>
    <w:rsid w:val="002A51A1"/>
    <w:rsid w:val="002A6198"/>
    <w:rsid w:val="002B1103"/>
    <w:rsid w:val="002B11F8"/>
    <w:rsid w:val="002B7667"/>
    <w:rsid w:val="002C12B1"/>
    <w:rsid w:val="002C2437"/>
    <w:rsid w:val="002C4BC2"/>
    <w:rsid w:val="002D0E08"/>
    <w:rsid w:val="002D11B1"/>
    <w:rsid w:val="002D17D6"/>
    <w:rsid w:val="002D2DA0"/>
    <w:rsid w:val="002D6BEF"/>
    <w:rsid w:val="002D77AA"/>
    <w:rsid w:val="002E0F67"/>
    <w:rsid w:val="002E157C"/>
    <w:rsid w:val="002E1FDD"/>
    <w:rsid w:val="002E5C14"/>
    <w:rsid w:val="002E5DD9"/>
    <w:rsid w:val="002E64DB"/>
    <w:rsid w:val="002E764C"/>
    <w:rsid w:val="002E7A71"/>
    <w:rsid w:val="00301551"/>
    <w:rsid w:val="003018A6"/>
    <w:rsid w:val="00301F40"/>
    <w:rsid w:val="00303B6D"/>
    <w:rsid w:val="00307A13"/>
    <w:rsid w:val="003137CA"/>
    <w:rsid w:val="00317E13"/>
    <w:rsid w:val="00320904"/>
    <w:rsid w:val="0032650E"/>
    <w:rsid w:val="00331277"/>
    <w:rsid w:val="00331607"/>
    <w:rsid w:val="00335D1C"/>
    <w:rsid w:val="0034153D"/>
    <w:rsid w:val="00341A64"/>
    <w:rsid w:val="003425BE"/>
    <w:rsid w:val="00342E72"/>
    <w:rsid w:val="00344306"/>
    <w:rsid w:val="00345301"/>
    <w:rsid w:val="00345E48"/>
    <w:rsid w:val="00353987"/>
    <w:rsid w:val="00354D2D"/>
    <w:rsid w:val="00356769"/>
    <w:rsid w:val="00375760"/>
    <w:rsid w:val="00375B47"/>
    <w:rsid w:val="00386F9E"/>
    <w:rsid w:val="00387244"/>
    <w:rsid w:val="00387575"/>
    <w:rsid w:val="00392D29"/>
    <w:rsid w:val="00395125"/>
    <w:rsid w:val="0039683E"/>
    <w:rsid w:val="003A213B"/>
    <w:rsid w:val="003A371F"/>
    <w:rsid w:val="003B19E8"/>
    <w:rsid w:val="003B4577"/>
    <w:rsid w:val="003B7AA3"/>
    <w:rsid w:val="003C168D"/>
    <w:rsid w:val="003C1C40"/>
    <w:rsid w:val="003C2D32"/>
    <w:rsid w:val="003C4C86"/>
    <w:rsid w:val="003C72AD"/>
    <w:rsid w:val="003D1672"/>
    <w:rsid w:val="003D1BA8"/>
    <w:rsid w:val="003D28B0"/>
    <w:rsid w:val="003D457A"/>
    <w:rsid w:val="003D6808"/>
    <w:rsid w:val="003D7DA2"/>
    <w:rsid w:val="003E0608"/>
    <w:rsid w:val="003E0D0A"/>
    <w:rsid w:val="003E4164"/>
    <w:rsid w:val="003F345A"/>
    <w:rsid w:val="0040149C"/>
    <w:rsid w:val="004044F4"/>
    <w:rsid w:val="00411F63"/>
    <w:rsid w:val="00415EA6"/>
    <w:rsid w:val="00416743"/>
    <w:rsid w:val="00416C85"/>
    <w:rsid w:val="004178AF"/>
    <w:rsid w:val="004203CD"/>
    <w:rsid w:val="00420D12"/>
    <w:rsid w:val="00422C22"/>
    <w:rsid w:val="00422C83"/>
    <w:rsid w:val="0042318C"/>
    <w:rsid w:val="00427F3C"/>
    <w:rsid w:val="00431520"/>
    <w:rsid w:val="004335D8"/>
    <w:rsid w:val="00437376"/>
    <w:rsid w:val="0044014C"/>
    <w:rsid w:val="0044328D"/>
    <w:rsid w:val="004437CF"/>
    <w:rsid w:val="00445DF5"/>
    <w:rsid w:val="00446505"/>
    <w:rsid w:val="00447668"/>
    <w:rsid w:val="0045185F"/>
    <w:rsid w:val="00452581"/>
    <w:rsid w:val="00454E56"/>
    <w:rsid w:val="00456758"/>
    <w:rsid w:val="00456D74"/>
    <w:rsid w:val="00457719"/>
    <w:rsid w:val="004577BC"/>
    <w:rsid w:val="004604A7"/>
    <w:rsid w:val="00461572"/>
    <w:rsid w:val="00466B9A"/>
    <w:rsid w:val="004671B5"/>
    <w:rsid w:val="00470A43"/>
    <w:rsid w:val="004719D6"/>
    <w:rsid w:val="004743A8"/>
    <w:rsid w:val="004748D4"/>
    <w:rsid w:val="004801DD"/>
    <w:rsid w:val="00483E92"/>
    <w:rsid w:val="00483EDF"/>
    <w:rsid w:val="00484C09"/>
    <w:rsid w:val="0049168A"/>
    <w:rsid w:val="00494FA1"/>
    <w:rsid w:val="004972AC"/>
    <w:rsid w:val="004973C6"/>
    <w:rsid w:val="004A0BE9"/>
    <w:rsid w:val="004A19AD"/>
    <w:rsid w:val="004A2967"/>
    <w:rsid w:val="004A2BF3"/>
    <w:rsid w:val="004A4F59"/>
    <w:rsid w:val="004A59C1"/>
    <w:rsid w:val="004B0971"/>
    <w:rsid w:val="004B1459"/>
    <w:rsid w:val="004B2F04"/>
    <w:rsid w:val="004B3FBF"/>
    <w:rsid w:val="004B58CE"/>
    <w:rsid w:val="004B69DD"/>
    <w:rsid w:val="004B79A9"/>
    <w:rsid w:val="004C345D"/>
    <w:rsid w:val="004C5114"/>
    <w:rsid w:val="004C51AA"/>
    <w:rsid w:val="004D1DBB"/>
    <w:rsid w:val="004D6F7A"/>
    <w:rsid w:val="004E1C2C"/>
    <w:rsid w:val="004F01BC"/>
    <w:rsid w:val="004F173C"/>
    <w:rsid w:val="004F2666"/>
    <w:rsid w:val="004F5E4C"/>
    <w:rsid w:val="00502FC0"/>
    <w:rsid w:val="005033B0"/>
    <w:rsid w:val="00503B3F"/>
    <w:rsid w:val="00503D43"/>
    <w:rsid w:val="00503EE4"/>
    <w:rsid w:val="00503FF5"/>
    <w:rsid w:val="00507FD5"/>
    <w:rsid w:val="00514DE6"/>
    <w:rsid w:val="005151E1"/>
    <w:rsid w:val="00516498"/>
    <w:rsid w:val="00517C66"/>
    <w:rsid w:val="00520542"/>
    <w:rsid w:val="00522F28"/>
    <w:rsid w:val="0052314A"/>
    <w:rsid w:val="00523AAD"/>
    <w:rsid w:val="00524178"/>
    <w:rsid w:val="00524564"/>
    <w:rsid w:val="0052501F"/>
    <w:rsid w:val="0052593B"/>
    <w:rsid w:val="00525EC4"/>
    <w:rsid w:val="00526603"/>
    <w:rsid w:val="00526C24"/>
    <w:rsid w:val="00526CF3"/>
    <w:rsid w:val="00526DEE"/>
    <w:rsid w:val="00527BED"/>
    <w:rsid w:val="00527CE8"/>
    <w:rsid w:val="00531AC3"/>
    <w:rsid w:val="00532688"/>
    <w:rsid w:val="00535932"/>
    <w:rsid w:val="00537CB2"/>
    <w:rsid w:val="00540F6E"/>
    <w:rsid w:val="00541B9F"/>
    <w:rsid w:val="00545B32"/>
    <w:rsid w:val="005507B9"/>
    <w:rsid w:val="005528D0"/>
    <w:rsid w:val="005563C2"/>
    <w:rsid w:val="00557349"/>
    <w:rsid w:val="0057581B"/>
    <w:rsid w:val="005766AD"/>
    <w:rsid w:val="005808EA"/>
    <w:rsid w:val="00582B8E"/>
    <w:rsid w:val="00587244"/>
    <w:rsid w:val="00593CDC"/>
    <w:rsid w:val="00594A70"/>
    <w:rsid w:val="005976DD"/>
    <w:rsid w:val="00597CD2"/>
    <w:rsid w:val="005A08E4"/>
    <w:rsid w:val="005A0F9B"/>
    <w:rsid w:val="005A1922"/>
    <w:rsid w:val="005A2332"/>
    <w:rsid w:val="005A259E"/>
    <w:rsid w:val="005A31FE"/>
    <w:rsid w:val="005A4B8B"/>
    <w:rsid w:val="005A502B"/>
    <w:rsid w:val="005B1120"/>
    <w:rsid w:val="005B2032"/>
    <w:rsid w:val="005B467F"/>
    <w:rsid w:val="005B7B2C"/>
    <w:rsid w:val="005C00B1"/>
    <w:rsid w:val="005C02A8"/>
    <w:rsid w:val="005C32B4"/>
    <w:rsid w:val="005C4578"/>
    <w:rsid w:val="005D2088"/>
    <w:rsid w:val="005D3B4E"/>
    <w:rsid w:val="005E2BCB"/>
    <w:rsid w:val="005E6F1F"/>
    <w:rsid w:val="005F22A6"/>
    <w:rsid w:val="00600EC1"/>
    <w:rsid w:val="0060188B"/>
    <w:rsid w:val="0060685E"/>
    <w:rsid w:val="00606A0E"/>
    <w:rsid w:val="00607BE3"/>
    <w:rsid w:val="00610C9A"/>
    <w:rsid w:val="00612BC5"/>
    <w:rsid w:val="00616AC3"/>
    <w:rsid w:val="00624CD6"/>
    <w:rsid w:val="00627991"/>
    <w:rsid w:val="00631450"/>
    <w:rsid w:val="00631C54"/>
    <w:rsid w:val="0063341F"/>
    <w:rsid w:val="00637C30"/>
    <w:rsid w:val="00644CF9"/>
    <w:rsid w:val="00644D06"/>
    <w:rsid w:val="0064645C"/>
    <w:rsid w:val="006504B5"/>
    <w:rsid w:val="00654907"/>
    <w:rsid w:val="0065510F"/>
    <w:rsid w:val="00655343"/>
    <w:rsid w:val="00660B89"/>
    <w:rsid w:val="0066200A"/>
    <w:rsid w:val="006634C4"/>
    <w:rsid w:val="00665223"/>
    <w:rsid w:val="0066641A"/>
    <w:rsid w:val="0067523D"/>
    <w:rsid w:val="00675D0F"/>
    <w:rsid w:val="0068205B"/>
    <w:rsid w:val="00690E79"/>
    <w:rsid w:val="006915A3"/>
    <w:rsid w:val="00691CAB"/>
    <w:rsid w:val="00692038"/>
    <w:rsid w:val="00695891"/>
    <w:rsid w:val="006960E6"/>
    <w:rsid w:val="006966A9"/>
    <w:rsid w:val="006A7C16"/>
    <w:rsid w:val="006B116C"/>
    <w:rsid w:val="006B133A"/>
    <w:rsid w:val="006B2773"/>
    <w:rsid w:val="006B2818"/>
    <w:rsid w:val="006B3A76"/>
    <w:rsid w:val="006C01D6"/>
    <w:rsid w:val="006C2FA2"/>
    <w:rsid w:val="006C533A"/>
    <w:rsid w:val="006C648A"/>
    <w:rsid w:val="006D0EA2"/>
    <w:rsid w:val="006D4188"/>
    <w:rsid w:val="006D51AE"/>
    <w:rsid w:val="006D7E5F"/>
    <w:rsid w:val="006E1C94"/>
    <w:rsid w:val="006E6CF3"/>
    <w:rsid w:val="006E706A"/>
    <w:rsid w:val="006F4D5D"/>
    <w:rsid w:val="006F4E18"/>
    <w:rsid w:val="006F7E1F"/>
    <w:rsid w:val="00700019"/>
    <w:rsid w:val="00700399"/>
    <w:rsid w:val="00701BF1"/>
    <w:rsid w:val="0070302C"/>
    <w:rsid w:val="007032C1"/>
    <w:rsid w:val="007045EA"/>
    <w:rsid w:val="00704D6A"/>
    <w:rsid w:val="007070C8"/>
    <w:rsid w:val="007102DC"/>
    <w:rsid w:val="00711F6E"/>
    <w:rsid w:val="00724137"/>
    <w:rsid w:val="007272F1"/>
    <w:rsid w:val="0072731C"/>
    <w:rsid w:val="00730CEC"/>
    <w:rsid w:val="007319C8"/>
    <w:rsid w:val="007355A5"/>
    <w:rsid w:val="00736B06"/>
    <w:rsid w:val="00742990"/>
    <w:rsid w:val="007446C4"/>
    <w:rsid w:val="007518EC"/>
    <w:rsid w:val="00752546"/>
    <w:rsid w:val="0075424A"/>
    <w:rsid w:val="00756288"/>
    <w:rsid w:val="007615AD"/>
    <w:rsid w:val="007647C4"/>
    <w:rsid w:val="00765444"/>
    <w:rsid w:val="00775561"/>
    <w:rsid w:val="00777E55"/>
    <w:rsid w:val="00780FA3"/>
    <w:rsid w:val="007845C0"/>
    <w:rsid w:val="00786682"/>
    <w:rsid w:val="00786DAA"/>
    <w:rsid w:val="007922D7"/>
    <w:rsid w:val="0079306F"/>
    <w:rsid w:val="0079605C"/>
    <w:rsid w:val="007A0438"/>
    <w:rsid w:val="007A0A78"/>
    <w:rsid w:val="007A3690"/>
    <w:rsid w:val="007B2117"/>
    <w:rsid w:val="007B506F"/>
    <w:rsid w:val="007B5BA8"/>
    <w:rsid w:val="007B6337"/>
    <w:rsid w:val="007B76D0"/>
    <w:rsid w:val="007C5BEA"/>
    <w:rsid w:val="007C6B54"/>
    <w:rsid w:val="007C7FA9"/>
    <w:rsid w:val="007D7B40"/>
    <w:rsid w:val="007E4189"/>
    <w:rsid w:val="007E483A"/>
    <w:rsid w:val="007F07B1"/>
    <w:rsid w:val="007F1353"/>
    <w:rsid w:val="007F44D3"/>
    <w:rsid w:val="007F5EA6"/>
    <w:rsid w:val="007F7C3A"/>
    <w:rsid w:val="008035E2"/>
    <w:rsid w:val="00807B46"/>
    <w:rsid w:val="008160DF"/>
    <w:rsid w:val="00822E09"/>
    <w:rsid w:val="00836511"/>
    <w:rsid w:val="0084346D"/>
    <w:rsid w:val="00854582"/>
    <w:rsid w:val="00855948"/>
    <w:rsid w:val="0086068D"/>
    <w:rsid w:val="008608FB"/>
    <w:rsid w:val="00863AE2"/>
    <w:rsid w:val="00866D94"/>
    <w:rsid w:val="0086704F"/>
    <w:rsid w:val="0087024E"/>
    <w:rsid w:val="00870F21"/>
    <w:rsid w:val="00874AAC"/>
    <w:rsid w:val="00875A5B"/>
    <w:rsid w:val="00880B55"/>
    <w:rsid w:val="00880FE5"/>
    <w:rsid w:val="00882705"/>
    <w:rsid w:val="0088337A"/>
    <w:rsid w:val="00891895"/>
    <w:rsid w:val="00892039"/>
    <w:rsid w:val="0089318F"/>
    <w:rsid w:val="0089441F"/>
    <w:rsid w:val="008962CB"/>
    <w:rsid w:val="008A256D"/>
    <w:rsid w:val="008A2C7E"/>
    <w:rsid w:val="008A518B"/>
    <w:rsid w:val="008A5AC1"/>
    <w:rsid w:val="008B4BE6"/>
    <w:rsid w:val="008B5DE9"/>
    <w:rsid w:val="008B6C66"/>
    <w:rsid w:val="008C0D08"/>
    <w:rsid w:val="008C17E8"/>
    <w:rsid w:val="008C28E2"/>
    <w:rsid w:val="008C5640"/>
    <w:rsid w:val="008C79CD"/>
    <w:rsid w:val="008D3774"/>
    <w:rsid w:val="008D4522"/>
    <w:rsid w:val="008D5C48"/>
    <w:rsid w:val="008E11F4"/>
    <w:rsid w:val="008E733C"/>
    <w:rsid w:val="008F10B4"/>
    <w:rsid w:val="008F14DE"/>
    <w:rsid w:val="008F3D47"/>
    <w:rsid w:val="008F4276"/>
    <w:rsid w:val="00905434"/>
    <w:rsid w:val="009112B9"/>
    <w:rsid w:val="00915E00"/>
    <w:rsid w:val="00917789"/>
    <w:rsid w:val="0092132C"/>
    <w:rsid w:val="00925BE4"/>
    <w:rsid w:val="0092682F"/>
    <w:rsid w:val="009268F9"/>
    <w:rsid w:val="00927067"/>
    <w:rsid w:val="00931255"/>
    <w:rsid w:val="0093146B"/>
    <w:rsid w:val="009333C7"/>
    <w:rsid w:val="00933C15"/>
    <w:rsid w:val="00934373"/>
    <w:rsid w:val="00934A6D"/>
    <w:rsid w:val="009377B0"/>
    <w:rsid w:val="0094298B"/>
    <w:rsid w:val="00946168"/>
    <w:rsid w:val="00946555"/>
    <w:rsid w:val="0094764A"/>
    <w:rsid w:val="009479D3"/>
    <w:rsid w:val="00950222"/>
    <w:rsid w:val="0095074D"/>
    <w:rsid w:val="009508E2"/>
    <w:rsid w:val="00953338"/>
    <w:rsid w:val="0095741F"/>
    <w:rsid w:val="009649D6"/>
    <w:rsid w:val="009651E7"/>
    <w:rsid w:val="00970708"/>
    <w:rsid w:val="0097079F"/>
    <w:rsid w:val="00980188"/>
    <w:rsid w:val="00981A57"/>
    <w:rsid w:val="009829BB"/>
    <w:rsid w:val="00983373"/>
    <w:rsid w:val="009844DF"/>
    <w:rsid w:val="009851B7"/>
    <w:rsid w:val="00987050"/>
    <w:rsid w:val="0099013F"/>
    <w:rsid w:val="009939A7"/>
    <w:rsid w:val="009963ED"/>
    <w:rsid w:val="009A1CC6"/>
    <w:rsid w:val="009A23B7"/>
    <w:rsid w:val="009A2682"/>
    <w:rsid w:val="009A292D"/>
    <w:rsid w:val="009A42DC"/>
    <w:rsid w:val="009A4CD1"/>
    <w:rsid w:val="009A4DDD"/>
    <w:rsid w:val="009A70EB"/>
    <w:rsid w:val="009B2468"/>
    <w:rsid w:val="009B294E"/>
    <w:rsid w:val="009B6D5D"/>
    <w:rsid w:val="009B7D0B"/>
    <w:rsid w:val="009B7D12"/>
    <w:rsid w:val="009C276D"/>
    <w:rsid w:val="009C543E"/>
    <w:rsid w:val="009D0C76"/>
    <w:rsid w:val="009D3B6E"/>
    <w:rsid w:val="009D6CDD"/>
    <w:rsid w:val="009D763E"/>
    <w:rsid w:val="009E0136"/>
    <w:rsid w:val="009E22EB"/>
    <w:rsid w:val="009F59B8"/>
    <w:rsid w:val="009F61F6"/>
    <w:rsid w:val="009F6BE5"/>
    <w:rsid w:val="009F7065"/>
    <w:rsid w:val="00A02AA7"/>
    <w:rsid w:val="00A04872"/>
    <w:rsid w:val="00A07FDA"/>
    <w:rsid w:val="00A1079A"/>
    <w:rsid w:val="00A11528"/>
    <w:rsid w:val="00A123E1"/>
    <w:rsid w:val="00A14765"/>
    <w:rsid w:val="00A14AAC"/>
    <w:rsid w:val="00A14F60"/>
    <w:rsid w:val="00A16594"/>
    <w:rsid w:val="00A20FC5"/>
    <w:rsid w:val="00A21FD7"/>
    <w:rsid w:val="00A2489B"/>
    <w:rsid w:val="00A24DA6"/>
    <w:rsid w:val="00A257F2"/>
    <w:rsid w:val="00A26525"/>
    <w:rsid w:val="00A305DE"/>
    <w:rsid w:val="00A31C58"/>
    <w:rsid w:val="00A320DA"/>
    <w:rsid w:val="00A36762"/>
    <w:rsid w:val="00A37CB4"/>
    <w:rsid w:val="00A40170"/>
    <w:rsid w:val="00A46D48"/>
    <w:rsid w:val="00A55EB8"/>
    <w:rsid w:val="00A567C6"/>
    <w:rsid w:val="00A606D2"/>
    <w:rsid w:val="00A62A68"/>
    <w:rsid w:val="00A62C3F"/>
    <w:rsid w:val="00A631DE"/>
    <w:rsid w:val="00A644B4"/>
    <w:rsid w:val="00A65928"/>
    <w:rsid w:val="00A761F4"/>
    <w:rsid w:val="00A765BF"/>
    <w:rsid w:val="00A8047A"/>
    <w:rsid w:val="00A864D1"/>
    <w:rsid w:val="00A92741"/>
    <w:rsid w:val="00A927C0"/>
    <w:rsid w:val="00A92E26"/>
    <w:rsid w:val="00A95120"/>
    <w:rsid w:val="00AA2B5A"/>
    <w:rsid w:val="00AA3CB4"/>
    <w:rsid w:val="00AA53C5"/>
    <w:rsid w:val="00AC23C1"/>
    <w:rsid w:val="00AC49FC"/>
    <w:rsid w:val="00AD126E"/>
    <w:rsid w:val="00AD63A2"/>
    <w:rsid w:val="00AD781D"/>
    <w:rsid w:val="00AE2F52"/>
    <w:rsid w:val="00AE3049"/>
    <w:rsid w:val="00AE4ED1"/>
    <w:rsid w:val="00AE54A2"/>
    <w:rsid w:val="00AE5939"/>
    <w:rsid w:val="00AE661A"/>
    <w:rsid w:val="00AE6D17"/>
    <w:rsid w:val="00AE7AAF"/>
    <w:rsid w:val="00AF203A"/>
    <w:rsid w:val="00AF3A03"/>
    <w:rsid w:val="00AF59BE"/>
    <w:rsid w:val="00B04DAF"/>
    <w:rsid w:val="00B10095"/>
    <w:rsid w:val="00B1153D"/>
    <w:rsid w:val="00B123A1"/>
    <w:rsid w:val="00B134CC"/>
    <w:rsid w:val="00B138B9"/>
    <w:rsid w:val="00B154EF"/>
    <w:rsid w:val="00B15B5C"/>
    <w:rsid w:val="00B266A2"/>
    <w:rsid w:val="00B336DB"/>
    <w:rsid w:val="00B33D16"/>
    <w:rsid w:val="00B3439F"/>
    <w:rsid w:val="00B36406"/>
    <w:rsid w:val="00B37C9E"/>
    <w:rsid w:val="00B4101D"/>
    <w:rsid w:val="00B4543F"/>
    <w:rsid w:val="00B460D7"/>
    <w:rsid w:val="00B50F42"/>
    <w:rsid w:val="00B5560C"/>
    <w:rsid w:val="00B56917"/>
    <w:rsid w:val="00B57312"/>
    <w:rsid w:val="00B63AE6"/>
    <w:rsid w:val="00B6425B"/>
    <w:rsid w:val="00B700A0"/>
    <w:rsid w:val="00B76ECE"/>
    <w:rsid w:val="00B77BF7"/>
    <w:rsid w:val="00B80554"/>
    <w:rsid w:val="00B8071C"/>
    <w:rsid w:val="00B81190"/>
    <w:rsid w:val="00B82B20"/>
    <w:rsid w:val="00B82D69"/>
    <w:rsid w:val="00B877A7"/>
    <w:rsid w:val="00B919A8"/>
    <w:rsid w:val="00B93935"/>
    <w:rsid w:val="00B954A6"/>
    <w:rsid w:val="00B96CC7"/>
    <w:rsid w:val="00BA2C98"/>
    <w:rsid w:val="00BA4527"/>
    <w:rsid w:val="00BA50AD"/>
    <w:rsid w:val="00BA5FC5"/>
    <w:rsid w:val="00BA6274"/>
    <w:rsid w:val="00BB346F"/>
    <w:rsid w:val="00BB5FB8"/>
    <w:rsid w:val="00BC07C4"/>
    <w:rsid w:val="00BC2E61"/>
    <w:rsid w:val="00BC318C"/>
    <w:rsid w:val="00BC4709"/>
    <w:rsid w:val="00BC4A32"/>
    <w:rsid w:val="00BC69BD"/>
    <w:rsid w:val="00BC7C3D"/>
    <w:rsid w:val="00BE2FA6"/>
    <w:rsid w:val="00BE5287"/>
    <w:rsid w:val="00BF1DA1"/>
    <w:rsid w:val="00BF2458"/>
    <w:rsid w:val="00BF25F3"/>
    <w:rsid w:val="00BF47DA"/>
    <w:rsid w:val="00BF540B"/>
    <w:rsid w:val="00BF6C09"/>
    <w:rsid w:val="00C01CB4"/>
    <w:rsid w:val="00C04E5F"/>
    <w:rsid w:val="00C07229"/>
    <w:rsid w:val="00C110E2"/>
    <w:rsid w:val="00C1206A"/>
    <w:rsid w:val="00C124A4"/>
    <w:rsid w:val="00C164D1"/>
    <w:rsid w:val="00C17BBD"/>
    <w:rsid w:val="00C20255"/>
    <w:rsid w:val="00C2034B"/>
    <w:rsid w:val="00C2146C"/>
    <w:rsid w:val="00C23755"/>
    <w:rsid w:val="00C27B1C"/>
    <w:rsid w:val="00C30C21"/>
    <w:rsid w:val="00C36067"/>
    <w:rsid w:val="00C3751D"/>
    <w:rsid w:val="00C40CE9"/>
    <w:rsid w:val="00C45AA5"/>
    <w:rsid w:val="00C509A6"/>
    <w:rsid w:val="00C50B30"/>
    <w:rsid w:val="00C50FBA"/>
    <w:rsid w:val="00C52FE5"/>
    <w:rsid w:val="00C60F23"/>
    <w:rsid w:val="00C61A06"/>
    <w:rsid w:val="00C63B7A"/>
    <w:rsid w:val="00C67205"/>
    <w:rsid w:val="00C70DC4"/>
    <w:rsid w:val="00C71ED5"/>
    <w:rsid w:val="00C7368C"/>
    <w:rsid w:val="00C749B2"/>
    <w:rsid w:val="00C80764"/>
    <w:rsid w:val="00C811D1"/>
    <w:rsid w:val="00C82BB6"/>
    <w:rsid w:val="00C84D03"/>
    <w:rsid w:val="00C907D7"/>
    <w:rsid w:val="00C95E33"/>
    <w:rsid w:val="00C970B1"/>
    <w:rsid w:val="00CA44F4"/>
    <w:rsid w:val="00CA56BB"/>
    <w:rsid w:val="00CB0FCB"/>
    <w:rsid w:val="00CB3EAB"/>
    <w:rsid w:val="00CB71B8"/>
    <w:rsid w:val="00CC0C30"/>
    <w:rsid w:val="00CC3384"/>
    <w:rsid w:val="00CD016E"/>
    <w:rsid w:val="00CD05B7"/>
    <w:rsid w:val="00CD6109"/>
    <w:rsid w:val="00CD74E2"/>
    <w:rsid w:val="00CE23B5"/>
    <w:rsid w:val="00CE2542"/>
    <w:rsid w:val="00CE4DF7"/>
    <w:rsid w:val="00CE6A53"/>
    <w:rsid w:val="00CF00D9"/>
    <w:rsid w:val="00CF0EE9"/>
    <w:rsid w:val="00CF18FA"/>
    <w:rsid w:val="00CF1A0C"/>
    <w:rsid w:val="00CF3E4E"/>
    <w:rsid w:val="00CF51CA"/>
    <w:rsid w:val="00D0085F"/>
    <w:rsid w:val="00D01C4D"/>
    <w:rsid w:val="00D0202B"/>
    <w:rsid w:val="00D0337A"/>
    <w:rsid w:val="00D03F14"/>
    <w:rsid w:val="00D06A28"/>
    <w:rsid w:val="00D10B30"/>
    <w:rsid w:val="00D10BD8"/>
    <w:rsid w:val="00D13377"/>
    <w:rsid w:val="00D14FC9"/>
    <w:rsid w:val="00D26C2C"/>
    <w:rsid w:val="00D30494"/>
    <w:rsid w:val="00D42FD4"/>
    <w:rsid w:val="00D53C36"/>
    <w:rsid w:val="00D55D6E"/>
    <w:rsid w:val="00D57F08"/>
    <w:rsid w:val="00D60157"/>
    <w:rsid w:val="00D6473C"/>
    <w:rsid w:val="00D64DAD"/>
    <w:rsid w:val="00D669B0"/>
    <w:rsid w:val="00D71D0C"/>
    <w:rsid w:val="00D726E0"/>
    <w:rsid w:val="00D7341C"/>
    <w:rsid w:val="00D739E1"/>
    <w:rsid w:val="00D73E12"/>
    <w:rsid w:val="00D7463F"/>
    <w:rsid w:val="00D74B19"/>
    <w:rsid w:val="00D760C2"/>
    <w:rsid w:val="00D775C0"/>
    <w:rsid w:val="00D82964"/>
    <w:rsid w:val="00D82DD8"/>
    <w:rsid w:val="00D85EF3"/>
    <w:rsid w:val="00D979D2"/>
    <w:rsid w:val="00DA057D"/>
    <w:rsid w:val="00DA0847"/>
    <w:rsid w:val="00DA254F"/>
    <w:rsid w:val="00DA4AE3"/>
    <w:rsid w:val="00DA5B92"/>
    <w:rsid w:val="00DA6AE9"/>
    <w:rsid w:val="00DA6F7E"/>
    <w:rsid w:val="00DB6798"/>
    <w:rsid w:val="00DC2C13"/>
    <w:rsid w:val="00DC3794"/>
    <w:rsid w:val="00DC4171"/>
    <w:rsid w:val="00DC6015"/>
    <w:rsid w:val="00DD3E84"/>
    <w:rsid w:val="00DD4B20"/>
    <w:rsid w:val="00DD607F"/>
    <w:rsid w:val="00DD77D9"/>
    <w:rsid w:val="00DD7CEB"/>
    <w:rsid w:val="00DE4659"/>
    <w:rsid w:val="00DE56D7"/>
    <w:rsid w:val="00DE7004"/>
    <w:rsid w:val="00DF0D28"/>
    <w:rsid w:val="00DF2881"/>
    <w:rsid w:val="00DF3508"/>
    <w:rsid w:val="00E07466"/>
    <w:rsid w:val="00E13927"/>
    <w:rsid w:val="00E1421B"/>
    <w:rsid w:val="00E16582"/>
    <w:rsid w:val="00E22D2A"/>
    <w:rsid w:val="00E26957"/>
    <w:rsid w:val="00E4205F"/>
    <w:rsid w:val="00E42ADC"/>
    <w:rsid w:val="00E454DE"/>
    <w:rsid w:val="00E456DE"/>
    <w:rsid w:val="00E53D3C"/>
    <w:rsid w:val="00E54761"/>
    <w:rsid w:val="00E56743"/>
    <w:rsid w:val="00E56FD1"/>
    <w:rsid w:val="00E607DC"/>
    <w:rsid w:val="00E6199F"/>
    <w:rsid w:val="00E629DB"/>
    <w:rsid w:val="00E648EA"/>
    <w:rsid w:val="00E670B6"/>
    <w:rsid w:val="00E67232"/>
    <w:rsid w:val="00E6796E"/>
    <w:rsid w:val="00E7052A"/>
    <w:rsid w:val="00E71C05"/>
    <w:rsid w:val="00E73AE2"/>
    <w:rsid w:val="00E76D1B"/>
    <w:rsid w:val="00E82796"/>
    <w:rsid w:val="00E96807"/>
    <w:rsid w:val="00EA0749"/>
    <w:rsid w:val="00EA254C"/>
    <w:rsid w:val="00EA2F3E"/>
    <w:rsid w:val="00EA37F8"/>
    <w:rsid w:val="00EA5A5A"/>
    <w:rsid w:val="00EA7754"/>
    <w:rsid w:val="00EB45F8"/>
    <w:rsid w:val="00EB70C4"/>
    <w:rsid w:val="00EC09F9"/>
    <w:rsid w:val="00EC128A"/>
    <w:rsid w:val="00EC1DE4"/>
    <w:rsid w:val="00EC2C6F"/>
    <w:rsid w:val="00EC740B"/>
    <w:rsid w:val="00EC7FE6"/>
    <w:rsid w:val="00ED2D87"/>
    <w:rsid w:val="00ED576A"/>
    <w:rsid w:val="00EE3976"/>
    <w:rsid w:val="00EE577F"/>
    <w:rsid w:val="00EE64C5"/>
    <w:rsid w:val="00EE6E34"/>
    <w:rsid w:val="00EF2820"/>
    <w:rsid w:val="00EF3794"/>
    <w:rsid w:val="00EF6100"/>
    <w:rsid w:val="00EF6627"/>
    <w:rsid w:val="00EF7CCA"/>
    <w:rsid w:val="00F03CEE"/>
    <w:rsid w:val="00F048FF"/>
    <w:rsid w:val="00F05EE6"/>
    <w:rsid w:val="00F071AF"/>
    <w:rsid w:val="00F11E5C"/>
    <w:rsid w:val="00F150A7"/>
    <w:rsid w:val="00F1522D"/>
    <w:rsid w:val="00F15F31"/>
    <w:rsid w:val="00F16960"/>
    <w:rsid w:val="00F24A9E"/>
    <w:rsid w:val="00F3182C"/>
    <w:rsid w:val="00F33444"/>
    <w:rsid w:val="00F369E8"/>
    <w:rsid w:val="00F3778E"/>
    <w:rsid w:val="00F4093D"/>
    <w:rsid w:val="00F41530"/>
    <w:rsid w:val="00F43574"/>
    <w:rsid w:val="00F50B20"/>
    <w:rsid w:val="00F536A5"/>
    <w:rsid w:val="00F55846"/>
    <w:rsid w:val="00F56765"/>
    <w:rsid w:val="00F57940"/>
    <w:rsid w:val="00F621AD"/>
    <w:rsid w:val="00F63B66"/>
    <w:rsid w:val="00F64883"/>
    <w:rsid w:val="00F667AF"/>
    <w:rsid w:val="00F67760"/>
    <w:rsid w:val="00F67BD0"/>
    <w:rsid w:val="00F70EEE"/>
    <w:rsid w:val="00F721A8"/>
    <w:rsid w:val="00F72727"/>
    <w:rsid w:val="00F76160"/>
    <w:rsid w:val="00F80666"/>
    <w:rsid w:val="00F83CE1"/>
    <w:rsid w:val="00F92133"/>
    <w:rsid w:val="00FA35BE"/>
    <w:rsid w:val="00FB0236"/>
    <w:rsid w:val="00FB17F4"/>
    <w:rsid w:val="00FB25A5"/>
    <w:rsid w:val="00FB5A56"/>
    <w:rsid w:val="00FC3982"/>
    <w:rsid w:val="00FD03CE"/>
    <w:rsid w:val="00FD2C79"/>
    <w:rsid w:val="00FD499D"/>
    <w:rsid w:val="00FD4A66"/>
    <w:rsid w:val="00FE3BC5"/>
    <w:rsid w:val="00FF03C1"/>
    <w:rsid w:val="00FF07F3"/>
    <w:rsid w:val="00FF135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B49"/>
  <w15:docId w15:val="{982F3AC1-DF89-4A78-BE98-7347FFD7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D9F"/>
  </w:style>
  <w:style w:type="paragraph" w:styleId="Balk1">
    <w:name w:val="heading 1"/>
    <w:basedOn w:val="Normal"/>
    <w:next w:val="Normal"/>
    <w:link w:val="Balk1Char"/>
    <w:uiPriority w:val="9"/>
    <w:qFormat/>
    <w:rsid w:val="005A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1416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2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1416D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DipnotMetni">
    <w:name w:val="footnote text"/>
    <w:basedOn w:val="Normal"/>
    <w:link w:val="DipnotMetniChar"/>
    <w:semiHidden/>
    <w:rsid w:val="006B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B133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B133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B13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D90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43737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ahset1">
    <w:name w:val="Bahset1"/>
    <w:basedOn w:val="VarsaylanParagrafYazTipi"/>
    <w:uiPriority w:val="99"/>
    <w:semiHidden/>
    <w:unhideWhenUsed/>
    <w:rsid w:val="00BA4527"/>
    <w:rPr>
      <w:color w:val="2B579A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rsid w:val="00375B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255B96"/>
    <w:pPr>
      <w:ind w:left="720"/>
      <w:contextualSpacing/>
    </w:pPr>
  </w:style>
  <w:style w:type="character" w:customStyle="1" w:styleId="Bahset2">
    <w:name w:val="Bahset2"/>
    <w:basedOn w:val="VarsaylanParagrafYazTipi"/>
    <w:uiPriority w:val="99"/>
    <w:semiHidden/>
    <w:unhideWhenUsed/>
    <w:rsid w:val="00D55D6E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E61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hart" Target="charts/chart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tobb.org.tr/BilgiErisimMudurlugu/Sayfalar/KurulanKapananSirketistatistikleri.php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like.kokkizil@eas.bau.edu.tr" TargetMode="External"/><Relationship Id="rId1" Type="http://schemas.openxmlformats.org/officeDocument/2006/relationships/hyperlink" Target="mailto:ozan.bakis@eas.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like.kokkizil\Dropbox\Firm%20Dynamics\TOBB\AN\AN_Firma%20ek%20seyler\assaddsfd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like.kokkizil\Dropbox\Firm%20Dynamics\TOBB\AN\AN_Firma%20ek%20seyler\assaddsfd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Sayfa1!$C$2</c:f>
              <c:strCache>
                <c:ptCount val="1"/>
                <c:pt idx="0">
                  <c:v>Kurulan firma sayısı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Sayfa1!$B$3:$B$9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Sayfa1!$C$3:$C$9</c:f>
              <c:numCache>
                <c:formatCode>General</c:formatCode>
                <c:ptCount val="7"/>
                <c:pt idx="0">
                  <c:v>51971</c:v>
                </c:pt>
                <c:pt idx="1">
                  <c:v>54442</c:v>
                </c:pt>
                <c:pt idx="2">
                  <c:v>39755</c:v>
                </c:pt>
                <c:pt idx="3">
                  <c:v>49943</c:v>
                </c:pt>
                <c:pt idx="4">
                  <c:v>58716</c:v>
                </c:pt>
                <c:pt idx="5">
                  <c:v>67622</c:v>
                </c:pt>
                <c:pt idx="6">
                  <c:v>64481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3-4467-B6F2-3E0D0F293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-80"/>
        <c:axId val="416665496"/>
        <c:axId val="416665824"/>
      </c:barChart>
      <c:dateAx>
        <c:axId val="41666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6665824"/>
        <c:crosses val="autoZero"/>
        <c:auto val="0"/>
        <c:lblOffset val="100"/>
        <c:baseTimeUnit val="days"/>
      </c:dateAx>
      <c:valAx>
        <c:axId val="4166658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 Toplam kurulan firma sayısı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6665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Sayfa1!$D$2</c:f>
              <c:strCache>
                <c:ptCount val="1"/>
                <c:pt idx="0">
                  <c:v>Kapanan firma sayısı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Sayfa1!$B$3:$B$9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Sayfa1!$D$3:$D$9</c:f>
              <c:numCache>
                <c:formatCode>General</c:formatCode>
                <c:ptCount val="7"/>
                <c:pt idx="0">
                  <c:v>13442</c:v>
                </c:pt>
                <c:pt idx="1">
                  <c:v>14991</c:v>
                </c:pt>
                <c:pt idx="2">
                  <c:v>16063</c:v>
                </c:pt>
                <c:pt idx="3">
                  <c:v>17400</c:v>
                </c:pt>
                <c:pt idx="4">
                  <c:v>15822</c:v>
                </c:pt>
                <c:pt idx="5">
                  <c:v>13701</c:v>
                </c:pt>
                <c:pt idx="6">
                  <c:v>12328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2-4CCF-AAB9-BF0243652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-80"/>
        <c:axId val="416665496"/>
        <c:axId val="416665824"/>
      </c:barChart>
      <c:dateAx>
        <c:axId val="41666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6665824"/>
        <c:crosses val="autoZero"/>
        <c:auto val="0"/>
        <c:lblOffset val="100"/>
        <c:baseTimeUnit val="days"/>
      </c:dateAx>
      <c:valAx>
        <c:axId val="4166658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 Toplam kapanan firma sayısı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16665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0D70-5CEC-4E50-8AFC-42482B1D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melike.kokkizil</dc:creator>
  <cp:keywords/>
  <dc:description/>
  <cp:lastModifiedBy>melike.kokkizil</cp:lastModifiedBy>
  <cp:revision>44</cp:revision>
  <cp:lastPrinted>2017-07-20T07:46:00Z</cp:lastPrinted>
  <dcterms:created xsi:type="dcterms:W3CDTF">2017-07-19T12:27:00Z</dcterms:created>
  <dcterms:modified xsi:type="dcterms:W3CDTF">2017-07-20T07:46:00Z</dcterms:modified>
</cp:coreProperties>
</file>