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D4" w:rsidRPr="002C5CDA" w:rsidRDefault="00330FB6" w:rsidP="0054644B">
      <w:r>
        <w:rPr>
          <w:noProof/>
        </w:rPr>
        <mc:AlternateContent>
          <mc:Choice Requires="wps">
            <w:drawing>
              <wp:anchor distT="0" distB="0" distL="114300" distR="114300" simplePos="0" relativeHeight="251661312" behindDoc="0" locked="0" layoutInCell="1" allowOverlap="1">
                <wp:simplePos x="0" y="0"/>
                <wp:positionH relativeFrom="column">
                  <wp:posOffset>1919605</wp:posOffset>
                </wp:positionH>
                <wp:positionV relativeFrom="paragraph">
                  <wp:posOffset>-499745</wp:posOffset>
                </wp:positionV>
                <wp:extent cx="3133725" cy="4953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01D" w:rsidRPr="00196536" w:rsidRDefault="00D1701D" w:rsidP="00B047D4">
                            <w:pPr>
                              <w:rPr>
                                <w:rFonts w:ascii="Cambria" w:hAnsi="Cambria"/>
                                <w:b/>
                                <w:sz w:val="44"/>
                                <w:szCs w:val="44"/>
                              </w:rPr>
                            </w:pPr>
                            <w:r>
                              <w:rPr>
                                <w:rFonts w:ascii="Cambria" w:hAnsi="Cambria"/>
                                <w:b/>
                                <w:sz w:val="44"/>
                                <w:szCs w:val="44"/>
                              </w:rPr>
                              <w:t>Research Brief 17/211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151.15pt;margin-top:-39.35pt;width:246.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" filled="f" stroked="f">
                <v:textbox inset=",7.2pt,,7.2pt">
                  <w:txbxContent>
                    <w:p w:rsidR="00D1701D" w:rsidRPr="00196536" w:rsidRDefault="00D1701D" w:rsidP="00B047D4">
                      <w:pPr>
                        <w:rPr>
                          <w:rFonts w:ascii="Cambria" w:hAnsi="Cambria"/>
                          <w:b/>
                          <w:sz w:val="44"/>
                          <w:szCs w:val="44"/>
                        </w:rPr>
                      </w:pPr>
                      <w:proofErr w:type="spellStart"/>
                      <w:r>
                        <w:rPr>
                          <w:rFonts w:ascii="Cambria" w:hAnsi="Cambria"/>
                          <w:b/>
                          <w:sz w:val="44"/>
                          <w:szCs w:val="44"/>
                        </w:rPr>
                        <w:t>Research</w:t>
                      </w:r>
                      <w:proofErr w:type="spellEnd"/>
                      <w:r>
                        <w:rPr>
                          <w:rFonts w:ascii="Cambria" w:hAnsi="Cambria"/>
                          <w:b/>
                          <w:sz w:val="44"/>
                          <w:szCs w:val="44"/>
                        </w:rPr>
                        <w:t xml:space="preserve"> </w:t>
                      </w:r>
                      <w:proofErr w:type="spellStart"/>
                      <w:r>
                        <w:rPr>
                          <w:rFonts w:ascii="Cambria" w:hAnsi="Cambria"/>
                          <w:b/>
                          <w:sz w:val="44"/>
                          <w:szCs w:val="44"/>
                        </w:rPr>
                        <w:t>Brief</w:t>
                      </w:r>
                      <w:proofErr w:type="spellEnd"/>
                      <w:r>
                        <w:rPr>
                          <w:rFonts w:ascii="Cambria" w:hAnsi="Cambria"/>
                          <w:b/>
                          <w:sz w:val="44"/>
                          <w:szCs w:val="44"/>
                        </w:rPr>
                        <w:t xml:space="preserve"> 17/211</w:t>
                      </w:r>
                    </w:p>
                  </w:txbxContent>
                </v:textbox>
              </v:shape>
            </w:pict>
          </mc:Fallback>
        </mc:AlternateContent>
      </w:r>
      <w:r w:rsidR="00516E15">
        <w:rPr>
          <w:noProof/>
        </w:rPr>
        <mc:AlternateContent>
          <mc:Choice Requires="wps">
            <w:drawing>
              <wp:anchor distT="0" distB="0" distL="114935" distR="114935" simplePos="0" relativeHeight="251662336" behindDoc="0" locked="0" layoutInCell="1" allowOverlap="1">
                <wp:simplePos x="0" y="0"/>
                <wp:positionH relativeFrom="column">
                  <wp:posOffset>4915535</wp:posOffset>
                </wp:positionH>
                <wp:positionV relativeFrom="paragraph">
                  <wp:posOffset>114935</wp:posOffset>
                </wp:positionV>
                <wp:extent cx="1511935" cy="4546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01D" w:rsidRPr="00DF0B5B" w:rsidRDefault="00D1701D"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30 May</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rsidR="00D1701D" w:rsidRPr="00DF0B5B" w:rsidRDefault="00D1701D" w:rsidP="00B047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 o:spid="_x0000_s1027" type="#_x0000_t202" style="position:absolute;margin-left:387.05pt;margin-top:9.05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dx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" stroked="f">
                <v:fill opacity="0"/>
                <v:textbox inset="0,0,0,0">
                  <w:txbxContent>
                    <w:p w:rsidR="00D1701D" w:rsidRPr="00DF0B5B" w:rsidRDefault="00D1701D"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30 May</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rsidR="00D1701D" w:rsidRPr="00DF0B5B" w:rsidRDefault="00D1701D" w:rsidP="00B047D4"/>
                  </w:txbxContent>
                </v:textbox>
              </v:shape>
            </w:pict>
          </mc:Fallback>
        </mc:AlternateContent>
      </w:r>
      <w:r w:rsidR="00B047D4" w:rsidRPr="002C5CDA">
        <w:rPr>
          <w:noProof/>
        </w:rPr>
        <w:drawing>
          <wp:anchor distT="0" distB="0" distL="114300" distR="114300" simplePos="0" relativeHeight="251658240" behindDoc="1" locked="0" layoutInCell="1" allowOverlap="1">
            <wp:simplePos x="0" y="0"/>
            <wp:positionH relativeFrom="column">
              <wp:posOffset>-833120</wp:posOffset>
            </wp:positionH>
            <wp:positionV relativeFrom="paragraph">
              <wp:posOffset>-795020</wp:posOffset>
            </wp:positionV>
            <wp:extent cx="7391400" cy="13430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561125">
        <w:tab/>
      </w:r>
    </w:p>
    <w:p w:rsidR="00B047D4" w:rsidRPr="002C5CDA" w:rsidRDefault="00B047D4" w:rsidP="0054644B"/>
    <w:p w:rsidR="00B047D4" w:rsidRPr="002C5CDA" w:rsidRDefault="00B047D4" w:rsidP="0054644B"/>
    <w:p w:rsidR="004539DE" w:rsidRPr="000A3AD5" w:rsidRDefault="004539DE" w:rsidP="00221CDF">
      <w:pPr>
        <w:ind w:left="1416"/>
        <w:rPr>
          <w:b/>
          <w:sz w:val="28"/>
          <w:szCs w:val="28"/>
          <w:lang w:val="en-US" w:eastAsia="en-GB"/>
        </w:rPr>
      </w:pPr>
      <w:r w:rsidRPr="000A3AD5">
        <w:rPr>
          <w:b/>
          <w:sz w:val="28"/>
          <w:szCs w:val="28"/>
          <w:lang w:val="en-US" w:eastAsia="en-GB"/>
        </w:rPr>
        <w:t>THE WORSTS AND THE BESTS IN REGIONAL UNEM</w:t>
      </w:r>
      <w:r w:rsidR="00012E40" w:rsidRPr="000A3AD5">
        <w:rPr>
          <w:b/>
          <w:sz w:val="28"/>
          <w:szCs w:val="28"/>
          <w:lang w:val="en-US" w:eastAsia="en-GB"/>
        </w:rPr>
        <w:t>PLOYMENT</w:t>
      </w:r>
    </w:p>
    <w:p w:rsidR="002A5C0B" w:rsidRPr="000A3AD5" w:rsidRDefault="00293B15" w:rsidP="0054644B">
      <w:pPr>
        <w:jc w:val="center"/>
        <w:rPr>
          <w:rFonts w:cs="Arial"/>
          <w:lang w:val="en-US"/>
        </w:rPr>
      </w:pPr>
      <w:r w:rsidRPr="000A3AD5">
        <w:rPr>
          <w:rFonts w:cs="Arial"/>
          <w:lang w:val="en-US"/>
        </w:rPr>
        <w:t xml:space="preserve">Seyfettin </w:t>
      </w:r>
      <w:proofErr w:type="spellStart"/>
      <w:r w:rsidRPr="000A3AD5">
        <w:rPr>
          <w:rFonts w:cs="Arial"/>
          <w:lang w:val="en-US"/>
        </w:rPr>
        <w:t>Gürsel</w:t>
      </w:r>
      <w:proofErr w:type="spellEnd"/>
      <w:r w:rsidR="00B047D4" w:rsidRPr="000A3AD5">
        <w:rPr>
          <w:rStyle w:val="FootnoteReference"/>
          <w:rFonts w:cs="Arial"/>
          <w:lang w:val="en-US"/>
        </w:rPr>
        <w:footnoteReference w:customMarkFollows="1" w:id="1"/>
        <w:t>*</w:t>
      </w:r>
      <w:r w:rsidR="00B047D4" w:rsidRPr="000A3AD5">
        <w:rPr>
          <w:rFonts w:cs="Arial"/>
          <w:lang w:val="en-US"/>
        </w:rPr>
        <w:t xml:space="preserve"> </w:t>
      </w:r>
      <w:proofErr w:type="spellStart"/>
      <w:r w:rsidR="00B047D4" w:rsidRPr="000A3AD5">
        <w:rPr>
          <w:rFonts w:cs="Arial"/>
          <w:lang w:val="en-US"/>
        </w:rPr>
        <w:t>ve</w:t>
      </w:r>
      <w:proofErr w:type="spellEnd"/>
      <w:r w:rsidR="00B047D4" w:rsidRPr="000A3AD5">
        <w:rPr>
          <w:rFonts w:cs="Arial"/>
          <w:lang w:val="en-US"/>
        </w:rPr>
        <w:t xml:space="preserve"> </w:t>
      </w:r>
      <w:r w:rsidR="00722135" w:rsidRPr="000A3AD5">
        <w:rPr>
          <w:rFonts w:cs="Arial"/>
          <w:lang w:val="en-US"/>
        </w:rPr>
        <w:t xml:space="preserve">Selin </w:t>
      </w:r>
      <w:proofErr w:type="spellStart"/>
      <w:r w:rsidR="00722135" w:rsidRPr="000A3AD5">
        <w:rPr>
          <w:rFonts w:cs="Arial"/>
          <w:lang w:val="en-US"/>
        </w:rPr>
        <w:t>Köksal</w:t>
      </w:r>
      <w:proofErr w:type="spellEnd"/>
      <w:r w:rsidR="00B047D4" w:rsidRPr="000A3AD5">
        <w:rPr>
          <w:rStyle w:val="FootnoteReference"/>
          <w:rFonts w:cs="Arial"/>
          <w:lang w:val="en-US"/>
        </w:rPr>
        <w:footnoteReference w:customMarkFollows="1" w:id="2"/>
        <w:t>**</w:t>
      </w:r>
    </w:p>
    <w:p w:rsidR="00097488" w:rsidRPr="000A3AD5" w:rsidRDefault="00097488" w:rsidP="00097488">
      <w:pPr>
        <w:jc w:val="center"/>
        <w:rPr>
          <w:rFonts w:cs="Arial"/>
          <w:b/>
          <w:sz w:val="24"/>
          <w:szCs w:val="24"/>
          <w:lang w:val="en-US"/>
        </w:rPr>
      </w:pPr>
      <w:r w:rsidRPr="000A3AD5">
        <w:rPr>
          <w:rFonts w:cs="Arial"/>
          <w:b/>
          <w:sz w:val="24"/>
          <w:szCs w:val="24"/>
          <w:lang w:val="en-US"/>
        </w:rPr>
        <w:t>Executive Summary</w:t>
      </w:r>
    </w:p>
    <w:p w:rsidR="00012E40" w:rsidRPr="000A3AD5" w:rsidRDefault="007933C9" w:rsidP="00221CDF">
      <w:pPr>
        <w:jc w:val="both"/>
        <w:rPr>
          <w:lang w:val="en-US"/>
        </w:rPr>
      </w:pPr>
      <w:r w:rsidRPr="000A3AD5">
        <w:rPr>
          <w:lang w:val="en-US"/>
        </w:rPr>
        <w:t>There h</w:t>
      </w:r>
      <w:r w:rsidR="004539DE" w:rsidRPr="000A3AD5">
        <w:rPr>
          <w:lang w:val="en-US"/>
        </w:rPr>
        <w:t xml:space="preserve">as been </w:t>
      </w:r>
      <w:r w:rsidR="004D334E" w:rsidRPr="000A3AD5">
        <w:rPr>
          <w:lang w:val="en-US"/>
        </w:rPr>
        <w:t xml:space="preserve">substantial </w:t>
      </w:r>
      <w:r w:rsidR="00FE42D4" w:rsidRPr="000A3AD5">
        <w:rPr>
          <w:lang w:val="en-US"/>
        </w:rPr>
        <w:t>increase</w:t>
      </w:r>
      <w:r w:rsidR="004D334E" w:rsidRPr="000A3AD5">
        <w:rPr>
          <w:lang w:val="en-US"/>
        </w:rPr>
        <w:t>s</w:t>
      </w:r>
      <w:r w:rsidR="004539DE" w:rsidRPr="000A3AD5">
        <w:rPr>
          <w:lang w:val="en-US"/>
        </w:rPr>
        <w:t xml:space="preserve"> unemployment</w:t>
      </w:r>
      <w:r w:rsidR="00FE42D4" w:rsidRPr="000A3AD5">
        <w:rPr>
          <w:lang w:val="en-US"/>
        </w:rPr>
        <w:t xml:space="preserve"> rates</w:t>
      </w:r>
      <w:r w:rsidR="004539DE" w:rsidRPr="000A3AD5">
        <w:rPr>
          <w:lang w:val="en-US"/>
        </w:rPr>
        <w:t xml:space="preserve"> in T</w:t>
      </w:r>
      <w:r w:rsidRPr="000A3AD5">
        <w:rPr>
          <w:lang w:val="en-US"/>
        </w:rPr>
        <w:t xml:space="preserve">urkey from 2015 to 2016. </w:t>
      </w:r>
      <w:r w:rsidR="004D334E" w:rsidRPr="000A3AD5">
        <w:rPr>
          <w:lang w:val="en-US"/>
        </w:rPr>
        <w:t xml:space="preserve">Overall </w:t>
      </w:r>
      <w:r w:rsidRPr="000A3AD5">
        <w:rPr>
          <w:lang w:val="en-US"/>
        </w:rPr>
        <w:t xml:space="preserve">unemployment and </w:t>
      </w:r>
      <w:r w:rsidR="00FE42D4" w:rsidRPr="000A3AD5">
        <w:rPr>
          <w:lang w:val="en-US"/>
        </w:rPr>
        <w:t xml:space="preserve">non-agricultural </w:t>
      </w:r>
      <w:r w:rsidR="009F0125" w:rsidRPr="000A3AD5">
        <w:rPr>
          <w:lang w:val="en-US"/>
        </w:rPr>
        <w:t>u</w:t>
      </w:r>
      <w:r w:rsidRPr="000A3AD5">
        <w:rPr>
          <w:lang w:val="en-US"/>
        </w:rPr>
        <w:t>nemployment</w:t>
      </w:r>
      <w:r w:rsidR="00097488" w:rsidRPr="000A3AD5">
        <w:rPr>
          <w:lang w:val="en-US"/>
        </w:rPr>
        <w:t xml:space="preserve"> rates</w:t>
      </w:r>
      <w:r w:rsidRPr="000A3AD5">
        <w:rPr>
          <w:lang w:val="en-US"/>
        </w:rPr>
        <w:t xml:space="preserve"> increased from 10.3 percent to 10.9 and from 12.4 percent to 13 respectively. However, </w:t>
      </w:r>
      <w:r w:rsidR="004D334E" w:rsidRPr="000A3AD5">
        <w:rPr>
          <w:lang w:val="en-US"/>
        </w:rPr>
        <w:t xml:space="preserve">different regions were affected by the rising unemployment </w:t>
      </w:r>
      <w:r w:rsidRPr="000A3AD5">
        <w:rPr>
          <w:lang w:val="en-US"/>
        </w:rPr>
        <w:t>asymmetrically</w:t>
      </w:r>
      <w:r w:rsidR="004D334E" w:rsidRPr="000A3AD5">
        <w:rPr>
          <w:lang w:val="en-US"/>
        </w:rPr>
        <w:t>. O</w:t>
      </w:r>
      <w:r w:rsidR="00FE42D4" w:rsidRPr="000A3AD5">
        <w:rPr>
          <w:lang w:val="en-US"/>
        </w:rPr>
        <w:t xml:space="preserve">ut of </w:t>
      </w:r>
      <w:r w:rsidR="001A2E3D" w:rsidRPr="000A3AD5">
        <w:rPr>
          <w:lang w:val="en-US"/>
        </w:rPr>
        <w:t>26</w:t>
      </w:r>
      <w:r w:rsidR="00FE42D4" w:rsidRPr="000A3AD5">
        <w:rPr>
          <w:lang w:val="en-US"/>
        </w:rPr>
        <w:t xml:space="preserve"> regions, 17 </w:t>
      </w:r>
      <w:r w:rsidR="004D334E" w:rsidRPr="000A3AD5">
        <w:rPr>
          <w:lang w:val="en-US"/>
        </w:rPr>
        <w:t xml:space="preserve">registered </w:t>
      </w:r>
      <w:r w:rsidR="00FE42D4" w:rsidRPr="000A3AD5">
        <w:rPr>
          <w:lang w:val="en-US"/>
        </w:rPr>
        <w:t>increase</w:t>
      </w:r>
      <w:r w:rsidR="004D334E" w:rsidRPr="000A3AD5">
        <w:rPr>
          <w:lang w:val="en-US"/>
        </w:rPr>
        <w:t xml:space="preserve">s in unemployment, </w:t>
      </w:r>
      <w:r w:rsidR="00FE42D4" w:rsidRPr="000A3AD5">
        <w:rPr>
          <w:lang w:val="en-US"/>
        </w:rPr>
        <w:t xml:space="preserve">while </w:t>
      </w:r>
      <w:r w:rsidR="00BA7626" w:rsidRPr="000A3AD5">
        <w:rPr>
          <w:lang w:val="en-US"/>
        </w:rPr>
        <w:t xml:space="preserve">9 had some decreases. </w:t>
      </w:r>
      <w:r w:rsidRPr="000A3AD5">
        <w:rPr>
          <w:lang w:val="en-US"/>
        </w:rPr>
        <w:t>F</w:t>
      </w:r>
      <w:r w:rsidR="00FE42D4" w:rsidRPr="000A3AD5">
        <w:rPr>
          <w:lang w:val="en-US"/>
        </w:rPr>
        <w:t>inally</w:t>
      </w:r>
      <w:r w:rsidR="00221CDF" w:rsidRPr="000A3AD5">
        <w:rPr>
          <w:lang w:val="en-US"/>
        </w:rPr>
        <w:t>,</w:t>
      </w:r>
      <w:r w:rsidR="00FE42D4" w:rsidRPr="000A3AD5">
        <w:rPr>
          <w:lang w:val="en-US"/>
        </w:rPr>
        <w:t xml:space="preserve"> the </w:t>
      </w:r>
      <w:r w:rsidR="00BA7626" w:rsidRPr="000A3AD5">
        <w:rPr>
          <w:lang w:val="en-US"/>
        </w:rPr>
        <w:t>big</w:t>
      </w:r>
      <w:r w:rsidR="00FE42D4" w:rsidRPr="000A3AD5">
        <w:rPr>
          <w:lang w:val="en-US"/>
        </w:rPr>
        <w:t xml:space="preserve"> differen</w:t>
      </w:r>
      <w:r w:rsidR="00BA7626" w:rsidRPr="000A3AD5">
        <w:rPr>
          <w:lang w:val="en-US"/>
        </w:rPr>
        <w:t xml:space="preserve">ces </w:t>
      </w:r>
      <w:r w:rsidR="00FE42D4" w:rsidRPr="000A3AD5">
        <w:rPr>
          <w:lang w:val="en-US"/>
        </w:rPr>
        <w:t>already exist</w:t>
      </w:r>
      <w:r w:rsidR="00BA7626" w:rsidRPr="000A3AD5">
        <w:rPr>
          <w:lang w:val="en-US"/>
        </w:rPr>
        <w:t xml:space="preserve">ing </w:t>
      </w:r>
      <w:r w:rsidRPr="000A3AD5">
        <w:rPr>
          <w:lang w:val="en-US"/>
        </w:rPr>
        <w:t xml:space="preserve">among regions </w:t>
      </w:r>
      <w:r w:rsidR="00FE42D4" w:rsidRPr="000A3AD5">
        <w:rPr>
          <w:lang w:val="en-US"/>
        </w:rPr>
        <w:t>h</w:t>
      </w:r>
      <w:r w:rsidR="00BA7626" w:rsidRPr="000A3AD5">
        <w:rPr>
          <w:lang w:val="en-US"/>
        </w:rPr>
        <w:t>ave</w:t>
      </w:r>
      <w:r w:rsidR="00FE42D4" w:rsidRPr="000A3AD5">
        <w:rPr>
          <w:lang w:val="en-US"/>
        </w:rPr>
        <w:t xml:space="preserve"> </w:t>
      </w:r>
      <w:r w:rsidR="00221CDF" w:rsidRPr="000A3AD5">
        <w:rPr>
          <w:lang w:val="en-US"/>
        </w:rPr>
        <w:t>become</w:t>
      </w:r>
      <w:r w:rsidR="00FE42D4" w:rsidRPr="000A3AD5">
        <w:rPr>
          <w:lang w:val="en-US"/>
        </w:rPr>
        <w:t xml:space="preserve"> even</w:t>
      </w:r>
      <w:r w:rsidR="00BA7626" w:rsidRPr="000A3AD5">
        <w:rPr>
          <w:lang w:val="en-US"/>
        </w:rPr>
        <w:t xml:space="preserve"> more pronounced. </w:t>
      </w:r>
      <w:r w:rsidR="00FE42D4" w:rsidRPr="000A3AD5">
        <w:rPr>
          <w:lang w:val="en-US"/>
        </w:rPr>
        <w:t>It is worth not</w:t>
      </w:r>
      <w:r w:rsidR="00BA7626" w:rsidRPr="000A3AD5">
        <w:rPr>
          <w:lang w:val="en-US"/>
        </w:rPr>
        <w:t xml:space="preserve">ing the </w:t>
      </w:r>
      <w:r w:rsidR="00FE42D4" w:rsidRPr="000A3AD5">
        <w:rPr>
          <w:lang w:val="en-US"/>
        </w:rPr>
        <w:t>significan</w:t>
      </w:r>
      <w:r w:rsidR="00BA7626" w:rsidRPr="000A3AD5">
        <w:rPr>
          <w:lang w:val="en-US"/>
        </w:rPr>
        <w:t>ce of the</w:t>
      </w:r>
      <w:r w:rsidR="00FE42D4" w:rsidRPr="000A3AD5">
        <w:rPr>
          <w:lang w:val="en-US"/>
        </w:rPr>
        <w:t xml:space="preserve"> gap between the region </w:t>
      </w:r>
      <w:r w:rsidR="00BA7626" w:rsidRPr="000A3AD5">
        <w:rPr>
          <w:lang w:val="en-US"/>
        </w:rPr>
        <w:t xml:space="preserve">with the </w:t>
      </w:r>
      <w:r w:rsidR="00FE42D4" w:rsidRPr="000A3AD5">
        <w:rPr>
          <w:lang w:val="en-US"/>
        </w:rPr>
        <w:t>lowest (7.2 percent) and the highest (30.1 percent) non-agricultural unemployment rate</w:t>
      </w:r>
      <w:r w:rsidR="00BA7626" w:rsidRPr="000A3AD5">
        <w:rPr>
          <w:lang w:val="en-US"/>
        </w:rPr>
        <w:t>s</w:t>
      </w:r>
      <w:r w:rsidR="00FE42D4" w:rsidRPr="000A3AD5">
        <w:rPr>
          <w:lang w:val="en-US"/>
        </w:rPr>
        <w:t>.</w:t>
      </w:r>
    </w:p>
    <w:p w:rsidR="005900A1" w:rsidRPr="000A3AD5" w:rsidRDefault="00BA7626" w:rsidP="00221CDF">
      <w:pPr>
        <w:jc w:val="both"/>
        <w:rPr>
          <w:lang w:val="en-US"/>
        </w:rPr>
      </w:pPr>
      <w:r w:rsidRPr="000A3AD5">
        <w:rPr>
          <w:lang w:val="en-US"/>
        </w:rPr>
        <w:t xml:space="preserve">For </w:t>
      </w:r>
      <w:r w:rsidR="00FF2CA9" w:rsidRPr="000A3AD5">
        <w:rPr>
          <w:lang w:val="en-US"/>
        </w:rPr>
        <w:t>non-agricultural unemployment</w:t>
      </w:r>
      <w:r w:rsidRPr="000A3AD5">
        <w:rPr>
          <w:lang w:val="en-US"/>
        </w:rPr>
        <w:t xml:space="preserve">, </w:t>
      </w:r>
      <w:proofErr w:type="spellStart"/>
      <w:r w:rsidR="00FF2CA9" w:rsidRPr="000A3AD5">
        <w:rPr>
          <w:lang w:val="en-US"/>
        </w:rPr>
        <w:t>Mardin</w:t>
      </w:r>
      <w:proofErr w:type="spellEnd"/>
      <w:r w:rsidR="00FF2CA9" w:rsidRPr="000A3AD5">
        <w:rPr>
          <w:lang w:val="en-US"/>
        </w:rPr>
        <w:t>-Batman-</w:t>
      </w:r>
      <w:proofErr w:type="spellStart"/>
      <w:r w:rsidR="00FF2CA9" w:rsidRPr="000A3AD5">
        <w:rPr>
          <w:lang w:val="en-US"/>
        </w:rPr>
        <w:t>Şırnak</w:t>
      </w:r>
      <w:proofErr w:type="spellEnd"/>
      <w:r w:rsidR="00FF2CA9" w:rsidRPr="000A3AD5">
        <w:rPr>
          <w:lang w:val="en-US"/>
        </w:rPr>
        <w:t>-</w:t>
      </w:r>
      <w:proofErr w:type="spellStart"/>
      <w:r w:rsidR="00FF2CA9" w:rsidRPr="000A3AD5">
        <w:rPr>
          <w:lang w:val="en-US"/>
        </w:rPr>
        <w:t>Siirt</w:t>
      </w:r>
      <w:proofErr w:type="spellEnd"/>
      <w:r w:rsidR="00FF2CA9" w:rsidRPr="000A3AD5">
        <w:rPr>
          <w:lang w:val="en-US"/>
        </w:rPr>
        <w:t xml:space="preserve"> region in Southe</w:t>
      </w:r>
      <w:r w:rsidR="000A3AD5">
        <w:rPr>
          <w:lang w:val="en-US"/>
        </w:rPr>
        <w:t>a</w:t>
      </w:r>
      <w:r w:rsidR="00FF2CA9" w:rsidRPr="000A3AD5">
        <w:rPr>
          <w:lang w:val="en-US"/>
        </w:rPr>
        <w:t>st Anatolia h</w:t>
      </w:r>
      <w:r w:rsidRPr="000A3AD5">
        <w:rPr>
          <w:lang w:val="en-US"/>
        </w:rPr>
        <w:t xml:space="preserve">as </w:t>
      </w:r>
      <w:r w:rsidR="00FF2CA9" w:rsidRPr="000A3AD5">
        <w:rPr>
          <w:lang w:val="en-US"/>
        </w:rPr>
        <w:t xml:space="preserve">the highest rate. Furthermore, </w:t>
      </w:r>
      <w:r w:rsidRPr="000A3AD5">
        <w:rPr>
          <w:lang w:val="en-US"/>
        </w:rPr>
        <w:t xml:space="preserve">it </w:t>
      </w:r>
      <w:r w:rsidR="00FF2CA9" w:rsidRPr="000A3AD5">
        <w:rPr>
          <w:lang w:val="en-US"/>
        </w:rPr>
        <w:t xml:space="preserve">holds the third rank </w:t>
      </w:r>
      <w:r w:rsidRPr="000A3AD5">
        <w:rPr>
          <w:lang w:val="en-US"/>
        </w:rPr>
        <w:t xml:space="preserve">on the </w:t>
      </w:r>
      <w:r w:rsidR="00FF2CA9" w:rsidRPr="000A3AD5">
        <w:rPr>
          <w:lang w:val="en-US"/>
        </w:rPr>
        <w:t xml:space="preserve">magnitude </w:t>
      </w:r>
      <w:r w:rsidRPr="000A3AD5">
        <w:rPr>
          <w:lang w:val="en-US"/>
        </w:rPr>
        <w:t xml:space="preserve">in the increase of </w:t>
      </w:r>
      <w:r w:rsidR="007E3CB7" w:rsidRPr="000A3AD5">
        <w:rPr>
          <w:lang w:val="en-US"/>
        </w:rPr>
        <w:t>unemployment</w:t>
      </w:r>
      <w:r w:rsidRPr="000A3AD5">
        <w:rPr>
          <w:lang w:val="en-US"/>
        </w:rPr>
        <w:t xml:space="preserve">. The second worst region, </w:t>
      </w:r>
      <w:proofErr w:type="spellStart"/>
      <w:r w:rsidR="00FF2CA9" w:rsidRPr="000A3AD5">
        <w:rPr>
          <w:lang w:val="en-US"/>
        </w:rPr>
        <w:t>Şanlıurfa</w:t>
      </w:r>
      <w:proofErr w:type="spellEnd"/>
      <w:r w:rsidR="00FF2CA9" w:rsidRPr="000A3AD5">
        <w:rPr>
          <w:lang w:val="en-US"/>
        </w:rPr>
        <w:t xml:space="preserve">-Diyarbakır follows </w:t>
      </w:r>
      <w:proofErr w:type="spellStart"/>
      <w:r w:rsidR="00FF2CA9" w:rsidRPr="000A3AD5">
        <w:rPr>
          <w:lang w:val="en-US"/>
        </w:rPr>
        <w:t>Mardin</w:t>
      </w:r>
      <w:proofErr w:type="spellEnd"/>
      <w:r w:rsidR="00FF2CA9" w:rsidRPr="000A3AD5">
        <w:rPr>
          <w:lang w:val="en-US"/>
        </w:rPr>
        <w:t>-Batman-</w:t>
      </w:r>
      <w:proofErr w:type="spellStart"/>
      <w:r w:rsidR="00FF2CA9" w:rsidRPr="000A3AD5">
        <w:rPr>
          <w:lang w:val="en-US"/>
        </w:rPr>
        <w:t>Şırnak</w:t>
      </w:r>
      <w:proofErr w:type="spellEnd"/>
      <w:r w:rsidR="00FF2CA9" w:rsidRPr="000A3AD5">
        <w:rPr>
          <w:lang w:val="en-US"/>
        </w:rPr>
        <w:t>-</w:t>
      </w:r>
      <w:proofErr w:type="spellStart"/>
      <w:r w:rsidR="00FF2CA9" w:rsidRPr="000A3AD5">
        <w:rPr>
          <w:lang w:val="en-US"/>
        </w:rPr>
        <w:t>Siirt</w:t>
      </w:r>
      <w:proofErr w:type="spellEnd"/>
      <w:r w:rsidRPr="000A3AD5">
        <w:rPr>
          <w:lang w:val="en-US"/>
        </w:rPr>
        <w:t xml:space="preserve">, with a </w:t>
      </w:r>
      <w:r w:rsidR="00FF2CA9" w:rsidRPr="000A3AD5">
        <w:rPr>
          <w:lang w:val="en-US"/>
        </w:rPr>
        <w:t>high unemployment rate (23.2 percent)</w:t>
      </w:r>
      <w:r w:rsidRPr="000A3AD5">
        <w:rPr>
          <w:lang w:val="en-US"/>
        </w:rPr>
        <w:t xml:space="preserve"> and </w:t>
      </w:r>
      <w:r w:rsidR="00E1390B" w:rsidRPr="000A3AD5">
        <w:rPr>
          <w:lang w:val="en-US"/>
        </w:rPr>
        <w:t>also a very low employment ratio</w:t>
      </w:r>
      <w:r w:rsidR="00FF2CA9" w:rsidRPr="000A3AD5">
        <w:rPr>
          <w:lang w:val="en-US"/>
        </w:rPr>
        <w:t xml:space="preserve"> (27.9 percent). We observe a moderate increase in unemployment rate in this region.</w:t>
      </w:r>
    </w:p>
    <w:p w:rsidR="00021313" w:rsidRPr="000A3AD5" w:rsidRDefault="008E4D22" w:rsidP="00221CDF">
      <w:pPr>
        <w:jc w:val="both"/>
        <w:rPr>
          <w:lang w:val="en-US"/>
        </w:rPr>
      </w:pPr>
      <w:r w:rsidRPr="000A3AD5">
        <w:rPr>
          <w:lang w:val="en-US"/>
        </w:rPr>
        <w:t xml:space="preserve">The best </w:t>
      </w:r>
      <w:r w:rsidR="00BA7626" w:rsidRPr="000A3AD5">
        <w:rPr>
          <w:lang w:val="en-US"/>
        </w:rPr>
        <w:t xml:space="preserve">region is </w:t>
      </w:r>
      <w:proofErr w:type="spellStart"/>
      <w:r w:rsidRPr="000A3AD5">
        <w:rPr>
          <w:lang w:val="en-US"/>
        </w:rPr>
        <w:t>Tekirdag</w:t>
      </w:r>
      <w:proofErr w:type="spellEnd"/>
      <w:r w:rsidRPr="000A3AD5">
        <w:rPr>
          <w:lang w:val="en-US"/>
        </w:rPr>
        <w:t>-Edirne-</w:t>
      </w:r>
      <w:proofErr w:type="spellStart"/>
      <w:r w:rsidRPr="000A3AD5">
        <w:rPr>
          <w:lang w:val="en-US"/>
        </w:rPr>
        <w:t>Kır</w:t>
      </w:r>
      <w:r w:rsidR="00116532" w:rsidRPr="000A3AD5">
        <w:rPr>
          <w:lang w:val="en-US"/>
        </w:rPr>
        <w:t>k</w:t>
      </w:r>
      <w:r w:rsidRPr="000A3AD5">
        <w:rPr>
          <w:lang w:val="en-US"/>
        </w:rPr>
        <w:t>lareli</w:t>
      </w:r>
      <w:proofErr w:type="spellEnd"/>
      <w:r w:rsidRPr="000A3AD5">
        <w:rPr>
          <w:lang w:val="en-US"/>
        </w:rPr>
        <w:t xml:space="preserve"> (Thrace)</w:t>
      </w:r>
      <w:r w:rsidR="00BA7626" w:rsidRPr="000A3AD5">
        <w:rPr>
          <w:lang w:val="en-US"/>
        </w:rPr>
        <w:t xml:space="preserve">, with a low </w:t>
      </w:r>
      <w:r w:rsidR="00116532" w:rsidRPr="000A3AD5">
        <w:rPr>
          <w:lang w:val="en-US"/>
        </w:rPr>
        <w:t>unemployment</w:t>
      </w:r>
      <w:r w:rsidRPr="000A3AD5">
        <w:rPr>
          <w:lang w:val="en-US"/>
        </w:rPr>
        <w:t xml:space="preserve"> rate (8.8 per</w:t>
      </w:r>
      <w:r w:rsidR="00116532" w:rsidRPr="000A3AD5">
        <w:rPr>
          <w:lang w:val="en-US"/>
        </w:rPr>
        <w:t>cent)</w:t>
      </w:r>
      <w:r w:rsidR="00BA7626" w:rsidRPr="000A3AD5">
        <w:rPr>
          <w:lang w:val="en-US"/>
        </w:rPr>
        <w:t xml:space="preserve">, also the highest </w:t>
      </w:r>
      <w:r w:rsidR="00116532" w:rsidRPr="000A3AD5">
        <w:rPr>
          <w:lang w:val="en-US"/>
        </w:rPr>
        <w:t xml:space="preserve">employment rate </w:t>
      </w:r>
      <w:r w:rsidR="00E23506" w:rsidRPr="000A3AD5">
        <w:rPr>
          <w:lang w:val="en-US"/>
        </w:rPr>
        <w:t>in Turkey</w:t>
      </w:r>
      <w:r w:rsidRPr="000A3AD5">
        <w:rPr>
          <w:lang w:val="en-US"/>
        </w:rPr>
        <w:t xml:space="preserve"> (48.</w:t>
      </w:r>
      <w:r w:rsidR="00E23506" w:rsidRPr="000A3AD5">
        <w:rPr>
          <w:lang w:val="en-US"/>
        </w:rPr>
        <w:t>9 percent</w:t>
      </w:r>
      <w:r w:rsidR="00FF2CA9" w:rsidRPr="000A3AD5">
        <w:rPr>
          <w:lang w:val="en-US"/>
        </w:rPr>
        <w:t xml:space="preserve">). The only negative </w:t>
      </w:r>
      <w:r w:rsidR="000A3AD5">
        <w:rPr>
          <w:lang w:val="en-US"/>
        </w:rPr>
        <w:t>develop</w:t>
      </w:r>
      <w:r w:rsidR="00BA7626" w:rsidRPr="000A3AD5">
        <w:rPr>
          <w:lang w:val="en-US"/>
        </w:rPr>
        <w:t>ment i</w:t>
      </w:r>
      <w:r w:rsidR="00FF2CA9" w:rsidRPr="000A3AD5">
        <w:rPr>
          <w:lang w:val="en-US"/>
        </w:rPr>
        <w:t>n this region is a marginal increase in the unemployment rate (0.1 percentage points)</w:t>
      </w:r>
      <w:r w:rsidR="00BA7626" w:rsidRPr="000A3AD5">
        <w:rPr>
          <w:lang w:val="en-US"/>
        </w:rPr>
        <w:t xml:space="preserve">. </w:t>
      </w:r>
      <w:r w:rsidR="00FF2CA9" w:rsidRPr="000A3AD5">
        <w:rPr>
          <w:lang w:val="en-US"/>
        </w:rPr>
        <w:t>Nevertheless</w:t>
      </w:r>
      <w:r w:rsidR="00BA7626" w:rsidRPr="000A3AD5">
        <w:rPr>
          <w:lang w:val="en-US"/>
        </w:rPr>
        <w:t xml:space="preserve">, </w:t>
      </w:r>
      <w:r w:rsidR="00FF2CA9" w:rsidRPr="000A3AD5">
        <w:rPr>
          <w:lang w:val="en-US"/>
        </w:rPr>
        <w:t>this is t</w:t>
      </w:r>
      <w:r w:rsidR="00116532" w:rsidRPr="000A3AD5">
        <w:rPr>
          <w:lang w:val="en-US"/>
        </w:rPr>
        <w:t xml:space="preserve">he result of a </w:t>
      </w:r>
      <w:r w:rsidR="00BA7626" w:rsidRPr="000A3AD5">
        <w:rPr>
          <w:lang w:val="en-US"/>
        </w:rPr>
        <w:t xml:space="preserve">faster </w:t>
      </w:r>
      <w:r w:rsidR="00FF2CA9" w:rsidRPr="000A3AD5">
        <w:rPr>
          <w:lang w:val="en-US"/>
        </w:rPr>
        <w:t>increase in labor force than in employment</w:t>
      </w:r>
    </w:p>
    <w:p w:rsidR="00FF2CA9" w:rsidRPr="000A3AD5" w:rsidRDefault="00FF2CA9" w:rsidP="0054644B">
      <w:pPr>
        <w:rPr>
          <w:rFonts w:cs="Arial"/>
          <w:b/>
          <w:sz w:val="24"/>
          <w:szCs w:val="24"/>
          <w:lang w:val="en-US"/>
        </w:rPr>
      </w:pPr>
      <w:proofErr w:type="spellStart"/>
      <w:r w:rsidRPr="000A3AD5">
        <w:rPr>
          <w:b/>
          <w:sz w:val="24"/>
          <w:szCs w:val="24"/>
          <w:lang w:val="en-US"/>
        </w:rPr>
        <w:t>Methodogical</w:t>
      </w:r>
      <w:proofErr w:type="spellEnd"/>
      <w:r w:rsidRPr="000A3AD5">
        <w:rPr>
          <w:b/>
          <w:sz w:val="24"/>
          <w:szCs w:val="24"/>
          <w:lang w:val="en-US"/>
        </w:rPr>
        <w:t xml:space="preserve"> difficulties in </w:t>
      </w:r>
      <w:r w:rsidR="002A4DA0" w:rsidRPr="000A3AD5">
        <w:rPr>
          <w:b/>
          <w:sz w:val="24"/>
          <w:szCs w:val="24"/>
          <w:lang w:val="en-US"/>
        </w:rPr>
        <w:t xml:space="preserve">the </w:t>
      </w:r>
      <w:r w:rsidRPr="000A3AD5">
        <w:rPr>
          <w:b/>
          <w:sz w:val="24"/>
          <w:szCs w:val="24"/>
          <w:lang w:val="en-US"/>
        </w:rPr>
        <w:t>regional comparison of unemployment</w:t>
      </w:r>
      <w:r w:rsidRPr="000A3AD5">
        <w:rPr>
          <w:rFonts w:cs="Arial"/>
          <w:b/>
          <w:sz w:val="24"/>
          <w:szCs w:val="24"/>
          <w:lang w:val="en-US"/>
        </w:rPr>
        <w:t xml:space="preserve"> </w:t>
      </w:r>
    </w:p>
    <w:p w:rsidR="00116532" w:rsidRPr="000A3AD5" w:rsidRDefault="002A4DA0" w:rsidP="00221CDF">
      <w:pPr>
        <w:jc w:val="both"/>
        <w:rPr>
          <w:rFonts w:cs="Arial"/>
          <w:lang w:val="en-US"/>
        </w:rPr>
      </w:pPr>
      <w:r w:rsidRPr="000A3AD5">
        <w:rPr>
          <w:rFonts w:cs="Arial"/>
          <w:lang w:val="en-US"/>
        </w:rPr>
        <w:t xml:space="preserve">The data from the </w:t>
      </w:r>
      <w:r w:rsidR="00116532" w:rsidRPr="000A3AD5">
        <w:rPr>
          <w:rFonts w:cs="Arial"/>
          <w:lang w:val="en-US"/>
        </w:rPr>
        <w:t xml:space="preserve">Labor Force Surveys (LFS) published by </w:t>
      </w:r>
      <w:proofErr w:type="spellStart"/>
      <w:r w:rsidR="00116532" w:rsidRPr="000A3AD5">
        <w:rPr>
          <w:rFonts w:cs="Arial"/>
          <w:lang w:val="en-US"/>
        </w:rPr>
        <w:t>Turkstat</w:t>
      </w:r>
      <w:proofErr w:type="spellEnd"/>
      <w:r w:rsidR="00116532" w:rsidRPr="000A3AD5">
        <w:rPr>
          <w:rFonts w:cs="Arial"/>
          <w:lang w:val="en-US"/>
        </w:rPr>
        <w:t xml:space="preserve"> (TÜİK) in March confirmed once again the </w:t>
      </w:r>
      <w:r w:rsidRPr="000A3AD5">
        <w:rPr>
          <w:rFonts w:cs="Arial"/>
          <w:lang w:val="en-US"/>
        </w:rPr>
        <w:t>big</w:t>
      </w:r>
      <w:r w:rsidR="00116532" w:rsidRPr="000A3AD5">
        <w:rPr>
          <w:rFonts w:cs="Arial"/>
          <w:lang w:val="en-US"/>
        </w:rPr>
        <w:t xml:space="preserve"> differences am</w:t>
      </w:r>
      <w:r w:rsidR="005D1784" w:rsidRPr="000A3AD5">
        <w:rPr>
          <w:rFonts w:cs="Arial"/>
          <w:lang w:val="en-US"/>
        </w:rPr>
        <w:t xml:space="preserve">ong </w:t>
      </w:r>
      <w:r w:rsidR="00FF2CA9" w:rsidRPr="000A3AD5">
        <w:rPr>
          <w:rFonts w:cs="Arial"/>
          <w:lang w:val="en-US"/>
        </w:rPr>
        <w:t>regional labor markets</w:t>
      </w:r>
      <w:r w:rsidRPr="000A3AD5">
        <w:rPr>
          <w:rFonts w:cs="Arial"/>
          <w:lang w:val="en-US"/>
        </w:rPr>
        <w:t>, reflecting the exis</w:t>
      </w:r>
      <w:r w:rsidR="006D21D0" w:rsidRPr="000A3AD5">
        <w:rPr>
          <w:rFonts w:cs="Arial"/>
          <w:lang w:val="en-US"/>
        </w:rPr>
        <w:t>ting regional inequali</w:t>
      </w:r>
      <w:r w:rsidR="000A44FC" w:rsidRPr="000A3AD5">
        <w:rPr>
          <w:rFonts w:cs="Arial"/>
          <w:lang w:val="en-US"/>
        </w:rPr>
        <w:t>ties in Turkey. The</w:t>
      </w:r>
      <w:r w:rsidRPr="000A3AD5">
        <w:rPr>
          <w:rFonts w:cs="Arial"/>
          <w:lang w:val="en-US"/>
        </w:rPr>
        <w:t xml:space="preserve"> data </w:t>
      </w:r>
      <w:r w:rsidR="000A44FC" w:rsidRPr="000A3AD5">
        <w:rPr>
          <w:rFonts w:cs="Arial"/>
          <w:lang w:val="en-US"/>
        </w:rPr>
        <w:t xml:space="preserve">also </w:t>
      </w:r>
      <w:r w:rsidRPr="000A3AD5">
        <w:rPr>
          <w:rFonts w:cs="Arial"/>
          <w:lang w:val="en-US"/>
        </w:rPr>
        <w:t xml:space="preserve">points </w:t>
      </w:r>
      <w:r w:rsidR="006D21D0" w:rsidRPr="000A3AD5">
        <w:rPr>
          <w:rFonts w:cs="Arial"/>
          <w:lang w:val="en-US"/>
        </w:rPr>
        <w:t xml:space="preserve">that the </w:t>
      </w:r>
      <w:r w:rsidRPr="000A3AD5">
        <w:rPr>
          <w:rFonts w:cs="Arial"/>
          <w:lang w:val="en-US"/>
        </w:rPr>
        <w:t xml:space="preserve">increase in overall </w:t>
      </w:r>
      <w:r w:rsidR="006D21D0" w:rsidRPr="000A3AD5">
        <w:rPr>
          <w:rFonts w:cs="Arial"/>
          <w:lang w:val="en-US"/>
        </w:rPr>
        <w:t>unemployment in 2016</w:t>
      </w:r>
      <w:r w:rsidR="000A44FC" w:rsidRPr="000A3AD5">
        <w:rPr>
          <w:rFonts w:cs="Arial"/>
          <w:lang w:val="en-US"/>
        </w:rPr>
        <w:t xml:space="preserve"> </w:t>
      </w:r>
      <w:r w:rsidRPr="000A3AD5">
        <w:rPr>
          <w:rFonts w:cs="Arial"/>
          <w:lang w:val="en-US"/>
        </w:rPr>
        <w:t>had different e</w:t>
      </w:r>
      <w:r w:rsidR="000A44FC" w:rsidRPr="000A3AD5">
        <w:rPr>
          <w:rFonts w:cs="Arial"/>
          <w:lang w:val="en-US"/>
        </w:rPr>
        <w:t>ffect</w:t>
      </w:r>
      <w:r w:rsidRPr="000A3AD5">
        <w:rPr>
          <w:rFonts w:cs="Arial"/>
          <w:lang w:val="en-US"/>
        </w:rPr>
        <w:t>s</w:t>
      </w:r>
      <w:r w:rsidR="000A44FC" w:rsidRPr="000A3AD5">
        <w:rPr>
          <w:rFonts w:cs="Arial"/>
          <w:lang w:val="en-US"/>
        </w:rPr>
        <w:t xml:space="preserve"> </w:t>
      </w:r>
      <w:r w:rsidRPr="000A3AD5">
        <w:rPr>
          <w:rFonts w:cs="Arial"/>
          <w:lang w:val="en-US"/>
        </w:rPr>
        <w:t xml:space="preserve">in </w:t>
      </w:r>
      <w:r w:rsidR="006D21D0" w:rsidRPr="000A3AD5">
        <w:rPr>
          <w:rFonts w:cs="Arial"/>
          <w:lang w:val="en-US"/>
        </w:rPr>
        <w:t>26 regions (NUTS2)</w:t>
      </w:r>
      <w:r w:rsidRPr="000A3AD5">
        <w:rPr>
          <w:rFonts w:cs="Arial"/>
          <w:lang w:val="en-US"/>
        </w:rPr>
        <w:t>. I</w:t>
      </w:r>
      <w:r w:rsidR="006D21D0" w:rsidRPr="000A3AD5">
        <w:rPr>
          <w:rFonts w:cs="Arial"/>
          <w:lang w:val="en-US"/>
        </w:rPr>
        <w:t>n this research</w:t>
      </w:r>
      <w:r w:rsidR="000A44FC" w:rsidRPr="000A3AD5">
        <w:rPr>
          <w:rFonts w:cs="Arial"/>
          <w:lang w:val="en-US"/>
        </w:rPr>
        <w:t>,</w:t>
      </w:r>
      <w:r w:rsidR="006D21D0" w:rsidRPr="000A3AD5">
        <w:rPr>
          <w:rFonts w:cs="Arial"/>
          <w:lang w:val="en-US"/>
        </w:rPr>
        <w:t xml:space="preserve"> </w:t>
      </w:r>
      <w:r w:rsidR="000A44FC" w:rsidRPr="000A3AD5">
        <w:rPr>
          <w:rFonts w:cs="Arial"/>
          <w:lang w:val="en-US"/>
        </w:rPr>
        <w:t>w</w:t>
      </w:r>
      <w:r w:rsidR="005D1784" w:rsidRPr="000A3AD5">
        <w:rPr>
          <w:rFonts w:cs="Arial"/>
          <w:lang w:val="en-US"/>
        </w:rPr>
        <w:t>e investigate</w:t>
      </w:r>
      <w:r w:rsidR="000A44FC" w:rsidRPr="000A3AD5">
        <w:rPr>
          <w:rFonts w:cs="Arial"/>
          <w:lang w:val="en-US"/>
        </w:rPr>
        <w:t xml:space="preserve"> </w:t>
      </w:r>
      <w:r w:rsidR="005D1784" w:rsidRPr="000A3AD5">
        <w:rPr>
          <w:rFonts w:cs="Arial"/>
          <w:lang w:val="en-US"/>
        </w:rPr>
        <w:t>th</w:t>
      </w:r>
      <w:r w:rsidRPr="000A3AD5">
        <w:rPr>
          <w:rFonts w:cs="Arial"/>
          <w:lang w:val="en-US"/>
        </w:rPr>
        <w:t xml:space="preserve">ese </w:t>
      </w:r>
      <w:r w:rsidR="005D1784" w:rsidRPr="000A3AD5">
        <w:rPr>
          <w:rFonts w:cs="Arial"/>
          <w:lang w:val="en-US"/>
        </w:rPr>
        <w:t>differen</w:t>
      </w:r>
      <w:r w:rsidRPr="000A3AD5">
        <w:rPr>
          <w:rFonts w:cs="Arial"/>
          <w:lang w:val="en-US"/>
        </w:rPr>
        <w:t xml:space="preserve">ces, </w:t>
      </w:r>
      <w:r w:rsidR="006D21D0" w:rsidRPr="000A3AD5">
        <w:rPr>
          <w:rFonts w:cs="Arial"/>
          <w:lang w:val="en-US"/>
        </w:rPr>
        <w:t xml:space="preserve">taking into </w:t>
      </w:r>
      <w:r w:rsidR="00FF2CA9" w:rsidRPr="000A3AD5">
        <w:rPr>
          <w:lang w:val="en-US"/>
        </w:rPr>
        <w:t>consideration the level and the changes in unemployment along with some basic characteristics of regional labor markets</w:t>
      </w:r>
    </w:p>
    <w:p w:rsidR="001E7CE4" w:rsidRPr="000A3AD5" w:rsidRDefault="005C6962" w:rsidP="00221CDF">
      <w:pPr>
        <w:jc w:val="both"/>
        <w:rPr>
          <w:rFonts w:cs="Arial"/>
          <w:lang w:val="en-US"/>
        </w:rPr>
      </w:pPr>
      <w:r w:rsidRPr="000A3AD5">
        <w:rPr>
          <w:rFonts w:cs="Arial"/>
          <w:lang w:val="en-US"/>
        </w:rPr>
        <w:t xml:space="preserve">For an </w:t>
      </w:r>
      <w:r w:rsidR="00FF2CA9" w:rsidRPr="000A3AD5">
        <w:rPr>
          <w:rFonts w:cs="Arial"/>
          <w:lang w:val="en-US"/>
        </w:rPr>
        <w:t>interregional comparison focused on unemployment,</w:t>
      </w:r>
      <w:r w:rsidR="00FF2CA9" w:rsidRPr="000A3AD5">
        <w:rPr>
          <w:lang w:val="en-US"/>
        </w:rPr>
        <w:t xml:space="preserve"> </w:t>
      </w:r>
      <w:r w:rsidR="00D1701D" w:rsidRPr="000A3AD5">
        <w:rPr>
          <w:lang w:val="en-US"/>
        </w:rPr>
        <w:t xml:space="preserve">a set of </w:t>
      </w:r>
      <w:r w:rsidR="00E1390B" w:rsidRPr="000A3AD5">
        <w:rPr>
          <w:rFonts w:cs="Arial"/>
          <w:lang w:val="en-US"/>
        </w:rPr>
        <w:t xml:space="preserve">methodological </w:t>
      </w:r>
      <w:r w:rsidR="00D1701D" w:rsidRPr="000A3AD5">
        <w:rPr>
          <w:rFonts w:cs="Arial"/>
          <w:lang w:val="en-US"/>
        </w:rPr>
        <w:t>challenges</w:t>
      </w:r>
      <w:r w:rsidR="00E1390B" w:rsidRPr="000A3AD5">
        <w:rPr>
          <w:rFonts w:cs="Arial"/>
          <w:lang w:val="en-US"/>
        </w:rPr>
        <w:t xml:space="preserve"> are inevitabl</w:t>
      </w:r>
      <w:r w:rsidR="001E7CE4" w:rsidRPr="000A3AD5">
        <w:rPr>
          <w:rFonts w:cs="Arial"/>
          <w:lang w:val="en-US"/>
        </w:rPr>
        <w:t>e</w:t>
      </w:r>
      <w:r w:rsidR="00E1390B" w:rsidRPr="000A3AD5">
        <w:rPr>
          <w:rFonts w:cs="Arial"/>
          <w:lang w:val="en-US"/>
        </w:rPr>
        <w:t>.</w:t>
      </w:r>
      <w:r w:rsidR="001E7CE4" w:rsidRPr="000A3AD5">
        <w:rPr>
          <w:rFonts w:cs="Arial"/>
          <w:lang w:val="en-US"/>
        </w:rPr>
        <w:t xml:space="preserve"> </w:t>
      </w:r>
      <w:r w:rsidR="00E1390B" w:rsidRPr="000A3AD5">
        <w:rPr>
          <w:rFonts w:cs="Arial"/>
          <w:lang w:val="en-US"/>
        </w:rPr>
        <w:t xml:space="preserve">The </w:t>
      </w:r>
      <w:r w:rsidR="001E7CE4" w:rsidRPr="000A3AD5">
        <w:rPr>
          <w:rFonts w:cs="Arial"/>
          <w:lang w:val="en-US"/>
        </w:rPr>
        <w:t xml:space="preserve">first </w:t>
      </w:r>
      <w:r w:rsidRPr="000A3AD5">
        <w:rPr>
          <w:rFonts w:cs="Arial"/>
          <w:lang w:val="en-US"/>
        </w:rPr>
        <w:t xml:space="preserve">question: </w:t>
      </w:r>
      <w:r w:rsidR="00E1390B" w:rsidRPr="000A3AD5">
        <w:rPr>
          <w:lang w:val="en-US"/>
        </w:rPr>
        <w:t>which unemployment rate to take into account</w:t>
      </w:r>
      <w:r w:rsidRPr="000A3AD5">
        <w:rPr>
          <w:lang w:val="en-US"/>
        </w:rPr>
        <w:t>?</w:t>
      </w:r>
      <w:r w:rsidR="00E1390B" w:rsidRPr="000A3AD5">
        <w:rPr>
          <w:lang w:val="en-US"/>
        </w:rPr>
        <w:t xml:space="preserve"> </w:t>
      </w:r>
      <w:proofErr w:type="spellStart"/>
      <w:r w:rsidR="001E7CE4" w:rsidRPr="000A3AD5">
        <w:rPr>
          <w:rFonts w:cs="Arial"/>
          <w:lang w:val="en-US"/>
        </w:rPr>
        <w:t>Turkstat</w:t>
      </w:r>
      <w:proofErr w:type="spellEnd"/>
      <w:r w:rsidR="001E7CE4" w:rsidRPr="000A3AD5">
        <w:rPr>
          <w:rFonts w:cs="Arial"/>
          <w:lang w:val="en-US"/>
        </w:rPr>
        <w:t xml:space="preserve"> </w:t>
      </w:r>
      <w:r w:rsidR="00E1390B" w:rsidRPr="000A3AD5">
        <w:rPr>
          <w:rFonts w:cs="Arial"/>
          <w:lang w:val="en-US"/>
        </w:rPr>
        <w:t>releases t</w:t>
      </w:r>
      <w:r w:rsidR="001E7CE4" w:rsidRPr="000A3AD5">
        <w:rPr>
          <w:rFonts w:cs="Arial"/>
          <w:lang w:val="en-US"/>
        </w:rPr>
        <w:t xml:space="preserve">wo </w:t>
      </w:r>
      <w:r w:rsidRPr="000A3AD5">
        <w:rPr>
          <w:rFonts w:cs="Arial"/>
          <w:lang w:val="en-US"/>
        </w:rPr>
        <w:t xml:space="preserve">measures: overall </w:t>
      </w:r>
      <w:r w:rsidR="005D1784" w:rsidRPr="000A3AD5">
        <w:rPr>
          <w:rFonts w:cs="Arial"/>
          <w:lang w:val="en-US"/>
        </w:rPr>
        <w:t>and non-agricultural unemployment</w:t>
      </w:r>
      <w:r w:rsidR="001E7CE4" w:rsidRPr="000A3AD5">
        <w:rPr>
          <w:rFonts w:cs="Arial"/>
          <w:lang w:val="en-US"/>
        </w:rPr>
        <w:t xml:space="preserve"> rates. </w:t>
      </w:r>
      <w:r w:rsidR="00E1390B" w:rsidRPr="000A3AD5">
        <w:rPr>
          <w:lang w:val="en-US"/>
        </w:rPr>
        <w:t>Which</w:t>
      </w:r>
      <w:r w:rsidRPr="000A3AD5">
        <w:rPr>
          <w:lang w:val="en-US"/>
        </w:rPr>
        <w:t xml:space="preserve"> one should be used for an analysis of </w:t>
      </w:r>
      <w:r w:rsidR="00E1390B" w:rsidRPr="000A3AD5">
        <w:rPr>
          <w:lang w:val="en-US"/>
        </w:rPr>
        <w:t>regional comparison</w:t>
      </w:r>
      <w:r w:rsidRPr="000A3AD5">
        <w:rPr>
          <w:lang w:val="en-US"/>
        </w:rPr>
        <w:t>s</w:t>
      </w:r>
      <w:r w:rsidR="00E1390B" w:rsidRPr="000A3AD5">
        <w:rPr>
          <w:lang w:val="en-US"/>
        </w:rPr>
        <w:t xml:space="preserve"> of unemployment? </w:t>
      </w:r>
      <w:r w:rsidR="004D1357" w:rsidRPr="000A3AD5">
        <w:rPr>
          <w:rFonts w:cs="Arial"/>
          <w:lang w:val="en-US"/>
        </w:rPr>
        <w:t xml:space="preserve">We </w:t>
      </w:r>
      <w:r w:rsidRPr="000A3AD5">
        <w:rPr>
          <w:rFonts w:cs="Arial"/>
          <w:lang w:val="en-US"/>
        </w:rPr>
        <w:t>definitely consider t</w:t>
      </w:r>
      <w:r w:rsidR="004D1357" w:rsidRPr="000A3AD5">
        <w:rPr>
          <w:rFonts w:cs="Arial"/>
          <w:lang w:val="en-US"/>
        </w:rPr>
        <w:t>he non-</w:t>
      </w:r>
      <w:r w:rsidR="005A3D17" w:rsidRPr="000A3AD5">
        <w:rPr>
          <w:rFonts w:cs="Arial"/>
          <w:lang w:val="en-US"/>
        </w:rPr>
        <w:t>agricultural</w:t>
      </w:r>
      <w:r w:rsidR="004D1357" w:rsidRPr="000A3AD5">
        <w:rPr>
          <w:rFonts w:cs="Arial"/>
          <w:lang w:val="en-US"/>
        </w:rPr>
        <w:t xml:space="preserve"> unemployment more relevant. The main argument behind this choice is the fact that the share of agricultural employm</w:t>
      </w:r>
      <w:r w:rsidR="005A3D17" w:rsidRPr="000A3AD5">
        <w:rPr>
          <w:rFonts w:cs="Arial"/>
          <w:lang w:val="en-US"/>
        </w:rPr>
        <w:t>ent in total employment shows</w:t>
      </w:r>
      <w:r w:rsidR="00E1390B" w:rsidRPr="000A3AD5">
        <w:rPr>
          <w:rFonts w:cs="Arial"/>
          <w:lang w:val="en-US"/>
        </w:rPr>
        <w:t xml:space="preserve"> very large differences</w:t>
      </w:r>
      <w:r w:rsidR="004D1357" w:rsidRPr="000A3AD5">
        <w:rPr>
          <w:rFonts w:cs="Arial"/>
          <w:lang w:val="en-US"/>
        </w:rPr>
        <w:t xml:space="preserve"> from one region to </w:t>
      </w:r>
      <w:r w:rsidR="005A3D17" w:rsidRPr="000A3AD5">
        <w:rPr>
          <w:rFonts w:cs="Arial"/>
          <w:lang w:val="en-US"/>
        </w:rPr>
        <w:t>an</w:t>
      </w:r>
      <w:r w:rsidR="004D1357" w:rsidRPr="000A3AD5">
        <w:rPr>
          <w:rFonts w:cs="Arial"/>
          <w:lang w:val="en-US"/>
        </w:rPr>
        <w:t xml:space="preserve">other. </w:t>
      </w:r>
      <w:r w:rsidR="004D1357" w:rsidRPr="000A3AD5">
        <w:rPr>
          <w:rFonts w:cs="Arial"/>
          <w:lang w:val="en-US"/>
        </w:rPr>
        <w:lastRenderedPageBreak/>
        <w:t xml:space="preserve">The </w:t>
      </w:r>
      <w:r w:rsidR="00E1390B" w:rsidRPr="000A3AD5">
        <w:rPr>
          <w:rFonts w:cs="Arial"/>
          <w:lang w:val="en-US"/>
        </w:rPr>
        <w:t>immediate</w:t>
      </w:r>
      <w:r w:rsidR="004D1357" w:rsidRPr="000A3AD5">
        <w:rPr>
          <w:rFonts w:cs="Arial"/>
          <w:lang w:val="en-US"/>
        </w:rPr>
        <w:t xml:space="preserve"> consequence of this fact is the</w:t>
      </w:r>
      <w:r w:rsidR="00B93340" w:rsidRPr="000A3AD5">
        <w:rPr>
          <w:rFonts w:cs="Arial"/>
          <w:lang w:val="en-US"/>
        </w:rPr>
        <w:t xml:space="preserve"> </w:t>
      </w:r>
      <w:r w:rsidR="00E1390B" w:rsidRPr="000A3AD5">
        <w:rPr>
          <w:rFonts w:cs="Arial"/>
          <w:lang w:val="en-US"/>
        </w:rPr>
        <w:t>large gap</w:t>
      </w:r>
      <w:r w:rsidR="00B93340" w:rsidRPr="000A3AD5">
        <w:rPr>
          <w:rFonts w:cs="Arial"/>
          <w:lang w:val="en-US"/>
        </w:rPr>
        <w:t xml:space="preserve"> between</w:t>
      </w:r>
      <w:r w:rsidR="004D1357" w:rsidRPr="000A3AD5">
        <w:rPr>
          <w:rFonts w:cs="Arial"/>
          <w:lang w:val="en-US"/>
        </w:rPr>
        <w:t xml:space="preserve"> </w:t>
      </w:r>
      <w:r w:rsidR="005A3D17" w:rsidRPr="000A3AD5">
        <w:rPr>
          <w:rFonts w:cs="Arial"/>
          <w:lang w:val="en-US"/>
        </w:rPr>
        <w:t>general and non-agricultural</w:t>
      </w:r>
      <w:r w:rsidR="004D1357" w:rsidRPr="000A3AD5">
        <w:rPr>
          <w:rFonts w:cs="Arial"/>
          <w:lang w:val="en-US"/>
        </w:rPr>
        <w:t xml:space="preserve"> unemployment </w:t>
      </w:r>
      <w:r w:rsidR="00B93340" w:rsidRPr="000A3AD5">
        <w:rPr>
          <w:rFonts w:cs="Arial"/>
          <w:lang w:val="en-US"/>
        </w:rPr>
        <w:t>rates</w:t>
      </w:r>
      <w:r w:rsidR="003F5F29" w:rsidRPr="000A3AD5">
        <w:rPr>
          <w:rFonts w:cs="Arial"/>
          <w:lang w:val="en-US"/>
        </w:rPr>
        <w:t xml:space="preserve">, depending on </w:t>
      </w:r>
      <w:r w:rsidR="00E1390B" w:rsidRPr="000A3AD5">
        <w:rPr>
          <w:rFonts w:cs="Arial"/>
          <w:lang w:val="en-US"/>
        </w:rPr>
        <w:t xml:space="preserve">the relative </w:t>
      </w:r>
      <w:r w:rsidR="003F5F29" w:rsidRPr="000A3AD5">
        <w:rPr>
          <w:rFonts w:cs="Arial"/>
          <w:lang w:val="en-US"/>
        </w:rPr>
        <w:t xml:space="preserve">size </w:t>
      </w:r>
      <w:r w:rsidR="004D1357" w:rsidRPr="000A3AD5">
        <w:rPr>
          <w:rFonts w:cs="Arial"/>
          <w:lang w:val="en-US"/>
        </w:rPr>
        <w:t>of ag</w:t>
      </w:r>
      <w:r w:rsidR="00E1390B" w:rsidRPr="000A3AD5">
        <w:rPr>
          <w:rFonts w:cs="Arial"/>
          <w:lang w:val="en-US"/>
        </w:rPr>
        <w:t>ricultural employment</w:t>
      </w:r>
      <w:r w:rsidR="004D1357" w:rsidRPr="000A3AD5">
        <w:rPr>
          <w:rFonts w:cs="Arial"/>
          <w:lang w:val="en-US"/>
        </w:rPr>
        <w:t xml:space="preserve"> to non-</w:t>
      </w:r>
      <w:r w:rsidR="00EC79AF" w:rsidRPr="000A3AD5">
        <w:rPr>
          <w:rFonts w:cs="Arial"/>
          <w:lang w:val="en-US"/>
        </w:rPr>
        <w:t>agricultural employment</w:t>
      </w:r>
      <w:r w:rsidR="004D1357" w:rsidRPr="000A3AD5">
        <w:rPr>
          <w:rFonts w:cs="Arial"/>
          <w:lang w:val="en-US"/>
        </w:rPr>
        <w:t xml:space="preserve">. </w:t>
      </w:r>
      <w:r w:rsidR="00EC79AF" w:rsidRPr="000A3AD5">
        <w:rPr>
          <w:rFonts w:cs="Arial"/>
          <w:lang w:val="en-US"/>
        </w:rPr>
        <w:t>(See the Bo</w:t>
      </w:r>
      <w:r w:rsidR="00B93340" w:rsidRPr="000A3AD5">
        <w:rPr>
          <w:rFonts w:cs="Arial"/>
          <w:lang w:val="en-US"/>
        </w:rPr>
        <w:t>x</w:t>
      </w:r>
      <w:r w:rsidR="00EC79AF" w:rsidRPr="000A3AD5">
        <w:rPr>
          <w:rFonts w:cs="Arial"/>
          <w:lang w:val="en-US"/>
        </w:rPr>
        <w:t>: Impact of agricultural employment on regional unemployment).</w:t>
      </w:r>
      <w:r w:rsidR="00C96DCD" w:rsidRPr="000A3AD5">
        <w:rPr>
          <w:rFonts w:cs="Arial"/>
          <w:lang w:val="en-US"/>
        </w:rPr>
        <w:t xml:space="preserve"> </w:t>
      </w:r>
    </w:p>
    <w:p w:rsidR="001B3CA4" w:rsidRPr="000A3AD5" w:rsidRDefault="001B3CA4" w:rsidP="00221CDF">
      <w:pPr>
        <w:jc w:val="both"/>
        <w:rPr>
          <w:rFonts w:cs="Arial"/>
          <w:sz w:val="24"/>
          <w:szCs w:val="24"/>
          <w:lang w:val="en-US"/>
        </w:rPr>
      </w:pPr>
      <w:r w:rsidRPr="000A3AD5">
        <w:rPr>
          <w:rFonts w:cs="Arial"/>
          <w:lang w:val="en-US"/>
        </w:rPr>
        <w:t>Ho</w:t>
      </w:r>
      <w:r w:rsidR="00BC5C1A" w:rsidRPr="000A3AD5">
        <w:rPr>
          <w:rFonts w:cs="Arial"/>
          <w:lang w:val="en-US"/>
        </w:rPr>
        <w:t xml:space="preserve">wever, </w:t>
      </w:r>
      <w:r w:rsidR="003F5F29" w:rsidRPr="000A3AD5">
        <w:rPr>
          <w:rFonts w:cs="Arial"/>
          <w:lang w:val="en-US"/>
        </w:rPr>
        <w:t xml:space="preserve">it is not enough to understand </w:t>
      </w:r>
      <w:r w:rsidR="00E1390B" w:rsidRPr="000A3AD5">
        <w:rPr>
          <w:rFonts w:cs="Arial"/>
          <w:lang w:val="en-US"/>
        </w:rPr>
        <w:t>the severity</w:t>
      </w:r>
      <w:r w:rsidR="00BC5C1A" w:rsidRPr="000A3AD5">
        <w:rPr>
          <w:rFonts w:cs="Arial"/>
          <w:lang w:val="en-US"/>
        </w:rPr>
        <w:t xml:space="preserve"> of regional unemployment </w:t>
      </w:r>
      <w:r w:rsidR="003F5F29" w:rsidRPr="000A3AD5">
        <w:rPr>
          <w:rFonts w:cs="Arial"/>
          <w:lang w:val="en-US"/>
        </w:rPr>
        <w:t xml:space="preserve">only through a </w:t>
      </w:r>
      <w:r w:rsidRPr="000A3AD5">
        <w:rPr>
          <w:rFonts w:cs="Arial"/>
          <w:lang w:val="en-US"/>
        </w:rPr>
        <w:t xml:space="preserve">ranking </w:t>
      </w:r>
      <w:r w:rsidR="003F5F29" w:rsidRPr="000A3AD5">
        <w:rPr>
          <w:rFonts w:cs="Arial"/>
          <w:lang w:val="en-US"/>
        </w:rPr>
        <w:t xml:space="preserve">of </w:t>
      </w:r>
      <w:r w:rsidR="00BC5C1A" w:rsidRPr="000A3AD5">
        <w:rPr>
          <w:rFonts w:cs="Arial"/>
          <w:lang w:val="en-US"/>
        </w:rPr>
        <w:t xml:space="preserve">regions </w:t>
      </w:r>
      <w:r w:rsidR="003F5F29" w:rsidRPr="000A3AD5">
        <w:rPr>
          <w:rFonts w:cs="Arial"/>
          <w:lang w:val="en-US"/>
        </w:rPr>
        <w:t xml:space="preserve">on the basis of </w:t>
      </w:r>
      <w:r w:rsidR="00FE42D4" w:rsidRPr="000A3AD5">
        <w:rPr>
          <w:rFonts w:cs="Arial"/>
          <w:lang w:val="en-US"/>
        </w:rPr>
        <w:t>non-agricultural</w:t>
      </w:r>
      <w:r w:rsidRPr="000A3AD5">
        <w:rPr>
          <w:rFonts w:cs="Arial"/>
          <w:lang w:val="en-US"/>
        </w:rPr>
        <w:t xml:space="preserve"> unem</w:t>
      </w:r>
      <w:r w:rsidR="00BC5C1A" w:rsidRPr="000A3AD5">
        <w:rPr>
          <w:rFonts w:cs="Arial"/>
          <w:lang w:val="en-US"/>
        </w:rPr>
        <w:t>ployment rates</w:t>
      </w:r>
      <w:r w:rsidR="00B93340" w:rsidRPr="000A3AD5">
        <w:rPr>
          <w:rFonts w:cs="Arial"/>
          <w:lang w:val="en-US"/>
        </w:rPr>
        <w:t xml:space="preserve"> (thereafter “unemployment rate”</w:t>
      </w:r>
      <w:proofErr w:type="gramStart"/>
      <w:r w:rsidR="00B93340" w:rsidRPr="000A3AD5">
        <w:rPr>
          <w:rFonts w:cs="Arial"/>
          <w:lang w:val="en-US"/>
        </w:rPr>
        <w:t xml:space="preserve">) </w:t>
      </w:r>
      <w:r w:rsidR="00BC5C1A" w:rsidRPr="000A3AD5">
        <w:rPr>
          <w:rFonts w:cs="Arial"/>
          <w:lang w:val="en-US"/>
        </w:rPr>
        <w:t>.</w:t>
      </w:r>
      <w:proofErr w:type="gramEnd"/>
      <w:r w:rsidR="00BC5C1A" w:rsidRPr="000A3AD5">
        <w:rPr>
          <w:rFonts w:cs="Arial"/>
          <w:lang w:val="en-US"/>
        </w:rPr>
        <w:t xml:space="preserve"> The share of </w:t>
      </w:r>
      <w:r w:rsidR="00FE42D4" w:rsidRPr="000A3AD5">
        <w:rPr>
          <w:rFonts w:cs="Arial"/>
          <w:lang w:val="en-US"/>
        </w:rPr>
        <w:t>non-agricultural</w:t>
      </w:r>
      <w:r w:rsidR="00764D5A" w:rsidRPr="000A3AD5">
        <w:rPr>
          <w:rFonts w:cs="Arial"/>
          <w:lang w:val="en-US"/>
        </w:rPr>
        <w:t xml:space="preserve"> employment</w:t>
      </w:r>
      <w:r w:rsidR="00BC5C1A" w:rsidRPr="000A3AD5">
        <w:rPr>
          <w:rFonts w:cs="Arial"/>
          <w:lang w:val="en-US"/>
        </w:rPr>
        <w:t xml:space="preserve"> in the </w:t>
      </w:r>
      <w:r w:rsidR="00FE42D4" w:rsidRPr="000A3AD5">
        <w:rPr>
          <w:rFonts w:cs="Arial"/>
          <w:lang w:val="en-US"/>
        </w:rPr>
        <w:t>non-agricultural</w:t>
      </w:r>
      <w:r w:rsidR="00BC5C1A" w:rsidRPr="000A3AD5">
        <w:rPr>
          <w:rFonts w:cs="Arial"/>
          <w:lang w:val="en-US"/>
        </w:rPr>
        <w:t xml:space="preserve"> working age population (</w:t>
      </w:r>
      <w:r w:rsidR="00B93340" w:rsidRPr="000A3AD5">
        <w:rPr>
          <w:rFonts w:cs="Arial"/>
          <w:lang w:val="en-US"/>
        </w:rPr>
        <w:t xml:space="preserve">thereafter </w:t>
      </w:r>
      <w:r w:rsidR="00BC5C1A" w:rsidRPr="000A3AD5">
        <w:rPr>
          <w:rFonts w:cs="Arial"/>
          <w:lang w:val="en-US"/>
        </w:rPr>
        <w:t>“employment rat</w:t>
      </w:r>
      <w:r w:rsidR="00BA5EF0" w:rsidRPr="000A3AD5">
        <w:rPr>
          <w:rFonts w:cs="Arial"/>
          <w:lang w:val="en-US"/>
        </w:rPr>
        <w:t>io</w:t>
      </w:r>
      <w:r w:rsidR="00B93340" w:rsidRPr="000A3AD5">
        <w:rPr>
          <w:rFonts w:cs="Arial"/>
          <w:lang w:val="en-US"/>
        </w:rPr>
        <w:t>”</w:t>
      </w:r>
      <w:r w:rsidR="00BC5C1A" w:rsidRPr="000A3AD5">
        <w:rPr>
          <w:rFonts w:cs="Arial"/>
          <w:lang w:val="en-US"/>
        </w:rPr>
        <w:t xml:space="preserve">) is as important as the </w:t>
      </w:r>
      <w:r w:rsidR="00B93340" w:rsidRPr="000A3AD5">
        <w:rPr>
          <w:rFonts w:cs="Arial"/>
          <w:lang w:val="en-US"/>
        </w:rPr>
        <w:t>level of</w:t>
      </w:r>
      <w:r w:rsidR="00BC5C1A" w:rsidRPr="000A3AD5">
        <w:rPr>
          <w:rFonts w:cs="Arial"/>
          <w:lang w:val="en-US"/>
        </w:rPr>
        <w:t xml:space="preserve"> unemployment. The high level of this share indicates implicitly a high</w:t>
      </w:r>
      <w:r w:rsidR="00764D5A" w:rsidRPr="000A3AD5">
        <w:rPr>
          <w:rFonts w:cs="Arial"/>
          <w:lang w:val="en-US"/>
        </w:rPr>
        <w:t>er</w:t>
      </w:r>
      <w:r w:rsidR="00BC5C1A" w:rsidRPr="000A3AD5">
        <w:rPr>
          <w:rFonts w:cs="Arial"/>
          <w:lang w:val="en-US"/>
        </w:rPr>
        <w:t xml:space="preserve"> level of per capita</w:t>
      </w:r>
      <w:r w:rsidR="00B93340" w:rsidRPr="000A3AD5">
        <w:rPr>
          <w:rFonts w:cs="Arial"/>
          <w:lang w:val="en-US"/>
        </w:rPr>
        <w:t xml:space="preserve"> income</w:t>
      </w:r>
      <w:r w:rsidR="00BC5C1A" w:rsidRPr="000A3AD5">
        <w:rPr>
          <w:rFonts w:cs="Arial"/>
          <w:lang w:val="en-US"/>
        </w:rPr>
        <w:t xml:space="preserve"> </w:t>
      </w:r>
      <w:r w:rsidR="001D6ED1" w:rsidRPr="000A3AD5">
        <w:rPr>
          <w:rFonts w:cs="Arial"/>
          <w:lang w:val="en-US"/>
        </w:rPr>
        <w:t>since</w:t>
      </w:r>
      <w:r w:rsidR="00BC5C1A" w:rsidRPr="000A3AD5">
        <w:rPr>
          <w:rFonts w:cs="Arial"/>
          <w:lang w:val="en-US"/>
        </w:rPr>
        <w:t xml:space="preserve"> the </w:t>
      </w:r>
      <w:r w:rsidR="001D6ED1" w:rsidRPr="000A3AD5">
        <w:rPr>
          <w:rFonts w:cs="Arial"/>
          <w:lang w:val="en-US"/>
        </w:rPr>
        <w:t>average labor</w:t>
      </w:r>
      <w:r w:rsidR="00BC5C1A" w:rsidRPr="000A3AD5">
        <w:rPr>
          <w:rFonts w:cs="Arial"/>
          <w:lang w:val="en-US"/>
        </w:rPr>
        <w:t xml:space="preserve"> productivity in non-</w:t>
      </w:r>
      <w:r w:rsidR="001D6ED1" w:rsidRPr="000A3AD5">
        <w:rPr>
          <w:rFonts w:cs="Arial"/>
          <w:lang w:val="en-US"/>
        </w:rPr>
        <w:t>agricultural</w:t>
      </w:r>
      <w:r w:rsidR="007C6EFA" w:rsidRPr="000A3AD5">
        <w:rPr>
          <w:rFonts w:cs="Arial"/>
          <w:lang w:val="en-US"/>
        </w:rPr>
        <w:t xml:space="preserve"> sector</w:t>
      </w:r>
      <w:r w:rsidR="00BC5C1A" w:rsidRPr="000A3AD5">
        <w:rPr>
          <w:rFonts w:cs="Arial"/>
          <w:lang w:val="en-US"/>
        </w:rPr>
        <w:t xml:space="preserve"> </w:t>
      </w:r>
      <w:r w:rsidR="001D6ED1" w:rsidRPr="000A3AD5">
        <w:rPr>
          <w:rFonts w:cs="Arial"/>
          <w:lang w:val="en-US"/>
        </w:rPr>
        <w:t xml:space="preserve">is much higher than the labor productivity in agriculture. </w:t>
      </w:r>
      <w:r w:rsidR="00BC5C1A" w:rsidRPr="000A3AD5">
        <w:rPr>
          <w:rFonts w:cs="Arial"/>
          <w:lang w:val="en-US"/>
        </w:rPr>
        <w:t xml:space="preserve"> </w:t>
      </w:r>
      <w:r w:rsidR="007C6EFA" w:rsidRPr="000A3AD5">
        <w:rPr>
          <w:rFonts w:cs="Arial"/>
          <w:lang w:val="en-US"/>
        </w:rPr>
        <w:t xml:space="preserve">Also, as this share </w:t>
      </w:r>
      <w:r w:rsidR="00A8669F" w:rsidRPr="000A3AD5">
        <w:rPr>
          <w:rFonts w:cs="Arial"/>
          <w:lang w:val="en-US"/>
        </w:rPr>
        <w:t>includes</w:t>
      </w:r>
      <w:r w:rsidR="003F5F29" w:rsidRPr="000A3AD5">
        <w:rPr>
          <w:rFonts w:cs="Arial"/>
          <w:lang w:val="en-US"/>
        </w:rPr>
        <w:t>, again</w:t>
      </w:r>
      <w:r w:rsidR="007C6EFA" w:rsidRPr="000A3AD5">
        <w:rPr>
          <w:rFonts w:cs="Arial"/>
          <w:lang w:val="en-US"/>
        </w:rPr>
        <w:t xml:space="preserve"> </w:t>
      </w:r>
      <w:r w:rsidR="00B93340" w:rsidRPr="000A3AD5">
        <w:rPr>
          <w:rFonts w:cs="Arial"/>
          <w:lang w:val="en-US"/>
        </w:rPr>
        <w:t>implicitly</w:t>
      </w:r>
      <w:r w:rsidR="003F5F29" w:rsidRPr="000A3AD5">
        <w:rPr>
          <w:rFonts w:cs="Arial"/>
          <w:lang w:val="en-US"/>
        </w:rPr>
        <w:t>,</w:t>
      </w:r>
      <w:r w:rsidR="00B93340" w:rsidRPr="000A3AD5">
        <w:rPr>
          <w:rFonts w:cs="Arial"/>
          <w:lang w:val="en-US"/>
        </w:rPr>
        <w:t xml:space="preserve"> </w:t>
      </w:r>
      <w:r w:rsidR="007C6EFA" w:rsidRPr="000A3AD5">
        <w:rPr>
          <w:rFonts w:cs="Arial"/>
          <w:lang w:val="en-US"/>
        </w:rPr>
        <w:t xml:space="preserve">the level of activity, in particular </w:t>
      </w:r>
      <w:r w:rsidR="00A8669F" w:rsidRPr="000A3AD5">
        <w:rPr>
          <w:rFonts w:cs="Arial"/>
          <w:lang w:val="en-US"/>
        </w:rPr>
        <w:t xml:space="preserve">the </w:t>
      </w:r>
      <w:r w:rsidR="007C6EFA" w:rsidRPr="000A3AD5">
        <w:rPr>
          <w:rFonts w:cs="Arial"/>
          <w:lang w:val="en-US"/>
        </w:rPr>
        <w:t>female activity</w:t>
      </w:r>
      <w:r w:rsidR="00B93340" w:rsidRPr="000A3AD5">
        <w:rPr>
          <w:rFonts w:cs="Arial"/>
          <w:lang w:val="en-US"/>
        </w:rPr>
        <w:t>,</w:t>
      </w:r>
      <w:r w:rsidR="00A8669F" w:rsidRPr="000A3AD5">
        <w:rPr>
          <w:rFonts w:cs="Arial"/>
          <w:lang w:val="en-US"/>
        </w:rPr>
        <w:t xml:space="preserve"> </w:t>
      </w:r>
      <w:r w:rsidR="003F5F29" w:rsidRPr="000A3AD5">
        <w:rPr>
          <w:rFonts w:cs="Arial"/>
          <w:lang w:val="en-US"/>
        </w:rPr>
        <w:t xml:space="preserve">a positive correlation exists with </w:t>
      </w:r>
      <w:r w:rsidR="007C6EFA" w:rsidRPr="000A3AD5">
        <w:rPr>
          <w:rFonts w:cs="Arial"/>
          <w:lang w:val="en-US"/>
        </w:rPr>
        <w:t>per capita income</w:t>
      </w:r>
      <w:r w:rsidR="003F5F29" w:rsidRPr="000A3AD5">
        <w:rPr>
          <w:rFonts w:cs="Arial"/>
          <w:lang w:val="en-US"/>
        </w:rPr>
        <w:t xml:space="preserve">. In short, one could not conclude </w:t>
      </w:r>
      <w:r w:rsidR="00C85FDE" w:rsidRPr="000A3AD5">
        <w:rPr>
          <w:rFonts w:cs="Arial"/>
          <w:lang w:val="en-US"/>
        </w:rPr>
        <w:t>that in a region where</w:t>
      </w:r>
      <w:r w:rsidR="00A8669F" w:rsidRPr="000A3AD5">
        <w:rPr>
          <w:rFonts w:cs="Arial"/>
          <w:lang w:val="en-US"/>
        </w:rPr>
        <w:t xml:space="preserve"> unemployment rate is relatively</w:t>
      </w:r>
      <w:r w:rsidR="007C6EFA" w:rsidRPr="000A3AD5">
        <w:rPr>
          <w:rFonts w:cs="Arial"/>
          <w:lang w:val="en-US"/>
        </w:rPr>
        <w:t xml:space="preserve"> low</w:t>
      </w:r>
      <w:r w:rsidR="00A8669F" w:rsidRPr="000A3AD5">
        <w:rPr>
          <w:rFonts w:cs="Arial"/>
          <w:lang w:val="en-US"/>
        </w:rPr>
        <w:t>,</w:t>
      </w:r>
      <w:r w:rsidR="007C6EFA" w:rsidRPr="000A3AD5">
        <w:rPr>
          <w:rFonts w:cs="Arial"/>
          <w:lang w:val="en-US"/>
        </w:rPr>
        <w:t xml:space="preserve"> things are going well in its labor market.</w:t>
      </w:r>
      <w:r w:rsidR="00BC5C1A" w:rsidRPr="000A3AD5">
        <w:rPr>
          <w:rFonts w:cs="Arial"/>
          <w:lang w:val="en-US"/>
        </w:rPr>
        <w:t xml:space="preserve"> </w:t>
      </w:r>
    </w:p>
    <w:p w:rsidR="00E5407F" w:rsidRPr="000A3AD5" w:rsidRDefault="00C85FDE" w:rsidP="00221CDF">
      <w:pPr>
        <w:jc w:val="both"/>
        <w:rPr>
          <w:rFonts w:cs="Arial"/>
          <w:lang w:val="en-US"/>
        </w:rPr>
      </w:pPr>
      <w:r w:rsidRPr="000A3AD5">
        <w:rPr>
          <w:rFonts w:cs="Arial"/>
          <w:lang w:val="en-US"/>
        </w:rPr>
        <w:t>Another methodological difficulty in interregional comparisons</w:t>
      </w:r>
      <w:r w:rsidR="00A8669F" w:rsidRPr="000A3AD5">
        <w:rPr>
          <w:rFonts w:cs="Arial"/>
          <w:lang w:val="en-US"/>
        </w:rPr>
        <w:t xml:space="preserve"> is </w:t>
      </w:r>
      <w:r w:rsidR="003F5F29" w:rsidRPr="000A3AD5">
        <w:rPr>
          <w:rFonts w:cs="Arial"/>
          <w:lang w:val="en-US"/>
        </w:rPr>
        <w:t xml:space="preserve">the evaluation of </w:t>
      </w:r>
      <w:r w:rsidR="00A8669F" w:rsidRPr="000A3AD5">
        <w:rPr>
          <w:rFonts w:cs="Arial"/>
          <w:lang w:val="en-US"/>
        </w:rPr>
        <w:t xml:space="preserve">the changes </w:t>
      </w:r>
      <w:r w:rsidRPr="000A3AD5">
        <w:rPr>
          <w:rFonts w:cs="Arial"/>
          <w:lang w:val="en-US"/>
        </w:rPr>
        <w:t xml:space="preserve">in unemployment. We observe that, as expected, </w:t>
      </w:r>
      <w:r w:rsidR="008C1DB4" w:rsidRPr="000A3AD5">
        <w:rPr>
          <w:rFonts w:cs="Arial"/>
          <w:lang w:val="en-US"/>
        </w:rPr>
        <w:t>unemployment</w:t>
      </w:r>
      <w:r w:rsidRPr="000A3AD5">
        <w:rPr>
          <w:rFonts w:cs="Arial"/>
          <w:lang w:val="en-US"/>
        </w:rPr>
        <w:t xml:space="preserve"> increased </w:t>
      </w:r>
      <w:r w:rsidR="008C1DB4" w:rsidRPr="000A3AD5">
        <w:rPr>
          <w:rFonts w:cs="Arial"/>
          <w:lang w:val="en-US"/>
        </w:rPr>
        <w:t xml:space="preserve">in the majority of regions (precisely 17) </w:t>
      </w:r>
      <w:r w:rsidRPr="000A3AD5">
        <w:rPr>
          <w:rFonts w:cs="Arial"/>
          <w:lang w:val="en-US"/>
        </w:rPr>
        <w:t>but</w:t>
      </w:r>
      <w:r w:rsidR="008C1DB4" w:rsidRPr="000A3AD5">
        <w:rPr>
          <w:rFonts w:cs="Arial"/>
          <w:lang w:val="en-US"/>
        </w:rPr>
        <w:t xml:space="preserve"> decreased in</w:t>
      </w:r>
      <w:r w:rsidRPr="000A3AD5">
        <w:rPr>
          <w:rFonts w:cs="Arial"/>
          <w:lang w:val="en-US"/>
        </w:rPr>
        <w:t xml:space="preserve"> </w:t>
      </w:r>
      <w:r w:rsidR="008C1DB4" w:rsidRPr="000A3AD5">
        <w:rPr>
          <w:rFonts w:cs="Arial"/>
          <w:lang w:val="en-US"/>
        </w:rPr>
        <w:t xml:space="preserve">the </w:t>
      </w:r>
      <w:r w:rsidRPr="000A3AD5">
        <w:rPr>
          <w:rFonts w:cs="Arial"/>
          <w:lang w:val="en-US"/>
        </w:rPr>
        <w:t>non-negligible number of regions (precisely 9</w:t>
      </w:r>
      <w:r w:rsidR="008C1DB4" w:rsidRPr="000A3AD5">
        <w:rPr>
          <w:rFonts w:cs="Arial"/>
          <w:lang w:val="en-US"/>
        </w:rPr>
        <w:t xml:space="preserve">). </w:t>
      </w:r>
      <w:r w:rsidR="00A90324" w:rsidRPr="000A3AD5">
        <w:rPr>
          <w:rFonts w:cs="Arial"/>
          <w:lang w:val="en-US"/>
        </w:rPr>
        <w:t>Furthermore</w:t>
      </w:r>
      <w:r w:rsidR="008C1DB4" w:rsidRPr="000A3AD5">
        <w:rPr>
          <w:rFonts w:cs="Arial"/>
          <w:lang w:val="en-US"/>
        </w:rPr>
        <w:t>,</w:t>
      </w:r>
      <w:r w:rsidR="00A53641" w:rsidRPr="000A3AD5">
        <w:rPr>
          <w:rFonts w:cs="Arial"/>
          <w:lang w:val="en-US"/>
        </w:rPr>
        <w:t xml:space="preserve"> the increases and decreases in unemployment rate </w:t>
      </w:r>
      <w:r w:rsidR="003F5F29" w:rsidRPr="000A3AD5">
        <w:rPr>
          <w:rFonts w:cs="Arial"/>
          <w:lang w:val="en-US"/>
        </w:rPr>
        <w:t xml:space="preserve">varies in size </w:t>
      </w:r>
      <w:r w:rsidR="00A53641" w:rsidRPr="000A3AD5">
        <w:rPr>
          <w:rFonts w:cs="Arial"/>
          <w:lang w:val="en-US"/>
        </w:rPr>
        <w:t xml:space="preserve">and </w:t>
      </w:r>
      <w:r w:rsidR="003F5F29" w:rsidRPr="000A3AD5">
        <w:rPr>
          <w:rFonts w:cs="Arial"/>
          <w:lang w:val="en-US"/>
        </w:rPr>
        <w:t xml:space="preserve">by </w:t>
      </w:r>
      <w:r w:rsidR="00A53641" w:rsidRPr="000A3AD5">
        <w:rPr>
          <w:rFonts w:cs="Arial"/>
          <w:lang w:val="en-US"/>
        </w:rPr>
        <w:t>source across regions.</w:t>
      </w:r>
    </w:p>
    <w:p w:rsidR="00124499" w:rsidRPr="000A3AD5" w:rsidRDefault="00A53641" w:rsidP="00221CDF">
      <w:pPr>
        <w:jc w:val="both"/>
        <w:rPr>
          <w:rFonts w:cs="Arial"/>
          <w:lang w:val="en-US"/>
        </w:rPr>
      </w:pPr>
      <w:r w:rsidRPr="000A3AD5">
        <w:rPr>
          <w:rFonts w:cs="Arial"/>
          <w:lang w:val="en-US"/>
        </w:rPr>
        <w:t>In this respect, a simple comparison according to the increase and decrease in unemployment will not be sufficient</w:t>
      </w:r>
      <w:r w:rsidR="0004654F" w:rsidRPr="000A3AD5">
        <w:rPr>
          <w:rFonts w:cs="Arial"/>
          <w:lang w:val="en-US"/>
        </w:rPr>
        <w:t xml:space="preserve">. Changes in unemployment rates reflect various regional labor market </w:t>
      </w:r>
      <w:r w:rsidR="003F5F29" w:rsidRPr="000A3AD5">
        <w:rPr>
          <w:rFonts w:cs="Arial"/>
          <w:lang w:val="en-US"/>
        </w:rPr>
        <w:t xml:space="preserve">dynamics, i.e. </w:t>
      </w:r>
      <w:r w:rsidR="009F0125" w:rsidRPr="000A3AD5">
        <w:rPr>
          <w:rFonts w:cs="Arial"/>
          <w:lang w:val="en-US"/>
        </w:rPr>
        <w:t>differen</w:t>
      </w:r>
      <w:r w:rsidR="003F5F29" w:rsidRPr="000A3AD5">
        <w:rPr>
          <w:rFonts w:cs="Arial"/>
          <w:lang w:val="en-US"/>
        </w:rPr>
        <w:t xml:space="preserve">ces in </w:t>
      </w:r>
      <w:r w:rsidR="009F0125" w:rsidRPr="000A3AD5">
        <w:rPr>
          <w:rFonts w:cs="Arial"/>
          <w:lang w:val="en-US"/>
        </w:rPr>
        <w:t xml:space="preserve">changes in </w:t>
      </w:r>
      <w:r w:rsidR="003F5F29" w:rsidRPr="000A3AD5">
        <w:rPr>
          <w:rFonts w:cs="Arial"/>
          <w:lang w:val="en-US"/>
        </w:rPr>
        <w:t xml:space="preserve">the </w:t>
      </w:r>
      <w:r w:rsidR="0004654F" w:rsidRPr="000A3AD5">
        <w:rPr>
          <w:rFonts w:cs="Arial"/>
          <w:lang w:val="en-US"/>
        </w:rPr>
        <w:t xml:space="preserve">labor force and employment. </w:t>
      </w:r>
      <w:r w:rsidR="003F5F29" w:rsidRPr="000A3AD5">
        <w:rPr>
          <w:rFonts w:cs="Arial"/>
          <w:lang w:val="en-US"/>
        </w:rPr>
        <w:t>U</w:t>
      </w:r>
      <w:r w:rsidR="004C3499" w:rsidRPr="000A3AD5">
        <w:rPr>
          <w:rFonts w:cs="Arial"/>
          <w:lang w:val="en-US"/>
        </w:rPr>
        <w:t xml:space="preserve">nemployment </w:t>
      </w:r>
      <w:r w:rsidR="003F5F29" w:rsidRPr="000A3AD5">
        <w:rPr>
          <w:rFonts w:cs="Arial"/>
          <w:lang w:val="en-US"/>
        </w:rPr>
        <w:t xml:space="preserve">may increase due to a decline in </w:t>
      </w:r>
      <w:r w:rsidR="004C3499" w:rsidRPr="000A3AD5">
        <w:rPr>
          <w:rFonts w:cs="Arial"/>
          <w:lang w:val="en-US"/>
        </w:rPr>
        <w:t xml:space="preserve">employment </w:t>
      </w:r>
      <w:r w:rsidR="003F5F29" w:rsidRPr="000A3AD5">
        <w:rPr>
          <w:rFonts w:cs="Arial"/>
          <w:lang w:val="en-US"/>
        </w:rPr>
        <w:t xml:space="preserve">or a faster increase in labor force compared to employment. </w:t>
      </w:r>
      <w:r w:rsidR="004C3499" w:rsidRPr="000A3AD5">
        <w:rPr>
          <w:rFonts w:cs="Arial"/>
          <w:lang w:val="en-US"/>
        </w:rPr>
        <w:t>In the first case</w:t>
      </w:r>
      <w:r w:rsidR="0004654F" w:rsidRPr="000A3AD5">
        <w:rPr>
          <w:rFonts w:cs="Arial"/>
          <w:lang w:val="en-US"/>
        </w:rPr>
        <w:t>, the</w:t>
      </w:r>
      <w:r w:rsidR="004C3499" w:rsidRPr="000A3AD5">
        <w:rPr>
          <w:rFonts w:cs="Arial"/>
          <w:lang w:val="en-US"/>
        </w:rPr>
        <w:t xml:space="preserve"> severity of </w:t>
      </w:r>
      <w:r w:rsidR="003F5F29" w:rsidRPr="000A3AD5">
        <w:rPr>
          <w:rFonts w:cs="Arial"/>
          <w:lang w:val="en-US"/>
        </w:rPr>
        <w:t xml:space="preserve">the increase in </w:t>
      </w:r>
      <w:r w:rsidR="004C3499" w:rsidRPr="000A3AD5">
        <w:rPr>
          <w:rFonts w:cs="Arial"/>
          <w:lang w:val="en-US"/>
        </w:rPr>
        <w:t xml:space="preserve">unemployment </w:t>
      </w:r>
      <w:r w:rsidR="003F5F29" w:rsidRPr="000A3AD5">
        <w:rPr>
          <w:rFonts w:cs="Arial"/>
          <w:lang w:val="en-US"/>
        </w:rPr>
        <w:t xml:space="preserve">evident. </w:t>
      </w:r>
      <w:r w:rsidR="009F0125" w:rsidRPr="000A3AD5">
        <w:rPr>
          <w:rFonts w:cs="Arial"/>
          <w:lang w:val="en-US"/>
        </w:rPr>
        <w:t>In the second case</w:t>
      </w:r>
      <w:r w:rsidR="003F5F29" w:rsidRPr="000A3AD5">
        <w:rPr>
          <w:rFonts w:cs="Arial"/>
          <w:lang w:val="en-US"/>
        </w:rPr>
        <w:t>,</w:t>
      </w:r>
      <w:r w:rsidR="009F0125" w:rsidRPr="000A3AD5">
        <w:rPr>
          <w:rFonts w:cs="Arial"/>
          <w:lang w:val="en-US"/>
        </w:rPr>
        <w:t xml:space="preserve"> increas</w:t>
      </w:r>
      <w:r w:rsidR="003F5F29" w:rsidRPr="000A3AD5">
        <w:rPr>
          <w:rFonts w:cs="Arial"/>
          <w:lang w:val="en-US"/>
        </w:rPr>
        <w:t xml:space="preserve">ing </w:t>
      </w:r>
      <w:r w:rsidR="009F0125" w:rsidRPr="000A3AD5">
        <w:rPr>
          <w:rFonts w:cs="Arial"/>
          <w:lang w:val="en-US"/>
        </w:rPr>
        <w:t xml:space="preserve">employment mitigates the </w:t>
      </w:r>
      <w:r w:rsidR="003565BD" w:rsidRPr="000A3AD5">
        <w:rPr>
          <w:rFonts w:cs="Arial"/>
          <w:lang w:val="en-US"/>
        </w:rPr>
        <w:t xml:space="preserve">severity </w:t>
      </w:r>
      <w:r w:rsidR="009F0125" w:rsidRPr="000A3AD5">
        <w:rPr>
          <w:rFonts w:cs="Arial"/>
          <w:lang w:val="en-US"/>
        </w:rPr>
        <w:t xml:space="preserve">of </w:t>
      </w:r>
      <w:r w:rsidR="001845A2" w:rsidRPr="000A3AD5">
        <w:rPr>
          <w:rFonts w:cs="Arial"/>
          <w:lang w:val="en-US"/>
        </w:rPr>
        <w:t xml:space="preserve">the increase in </w:t>
      </w:r>
      <w:r w:rsidR="009F0125" w:rsidRPr="000A3AD5">
        <w:rPr>
          <w:rFonts w:cs="Arial"/>
          <w:lang w:val="en-US"/>
        </w:rPr>
        <w:t>unemployment</w:t>
      </w:r>
      <w:r w:rsidR="003565BD" w:rsidRPr="000A3AD5">
        <w:rPr>
          <w:rFonts w:cs="Arial"/>
          <w:lang w:val="en-US"/>
        </w:rPr>
        <w:t xml:space="preserve">. </w:t>
      </w:r>
      <w:r w:rsidR="009F0125" w:rsidRPr="000A3AD5">
        <w:rPr>
          <w:rFonts w:cs="Arial"/>
          <w:lang w:val="en-US"/>
        </w:rPr>
        <w:t xml:space="preserve"> </w:t>
      </w:r>
      <w:r w:rsidR="0004654F" w:rsidRPr="000A3AD5">
        <w:rPr>
          <w:rFonts w:cs="Arial"/>
          <w:lang w:val="en-US"/>
        </w:rPr>
        <w:t xml:space="preserve">On the other hand, </w:t>
      </w:r>
      <w:r w:rsidR="003565BD" w:rsidRPr="000A3AD5">
        <w:rPr>
          <w:rFonts w:cs="Arial"/>
          <w:lang w:val="en-US"/>
        </w:rPr>
        <w:t xml:space="preserve">unemployment may decrease </w:t>
      </w:r>
      <w:r w:rsidR="004C3499" w:rsidRPr="000A3AD5">
        <w:rPr>
          <w:rFonts w:cs="Arial"/>
          <w:lang w:val="en-US"/>
        </w:rPr>
        <w:t>along with a stronger dec</w:t>
      </w:r>
      <w:r w:rsidR="003565BD" w:rsidRPr="000A3AD5">
        <w:rPr>
          <w:rFonts w:cs="Arial"/>
          <w:lang w:val="en-US"/>
        </w:rPr>
        <w:t>line</w:t>
      </w:r>
      <w:r w:rsidR="004C3499" w:rsidRPr="000A3AD5">
        <w:rPr>
          <w:rFonts w:cs="Arial"/>
          <w:lang w:val="en-US"/>
        </w:rPr>
        <w:t xml:space="preserve"> in labor force</w:t>
      </w:r>
      <w:r w:rsidR="001845A2" w:rsidRPr="000A3AD5">
        <w:rPr>
          <w:rFonts w:cs="Arial"/>
          <w:lang w:val="en-US"/>
        </w:rPr>
        <w:t xml:space="preserve">. </w:t>
      </w:r>
      <w:r w:rsidR="003565BD" w:rsidRPr="000A3AD5">
        <w:rPr>
          <w:rFonts w:cs="Arial"/>
          <w:lang w:val="en-US"/>
        </w:rPr>
        <w:t xml:space="preserve">It is doubtful that </w:t>
      </w:r>
      <w:r w:rsidR="001845A2" w:rsidRPr="000A3AD5">
        <w:rPr>
          <w:rFonts w:cs="Arial"/>
          <w:lang w:val="en-US"/>
        </w:rPr>
        <w:t xml:space="preserve">the decrease in </w:t>
      </w:r>
      <w:r w:rsidR="003565BD" w:rsidRPr="000A3AD5">
        <w:rPr>
          <w:rFonts w:cs="Arial"/>
          <w:lang w:val="en-US"/>
        </w:rPr>
        <w:t xml:space="preserve">unemployment in this case </w:t>
      </w:r>
      <w:r w:rsidR="001845A2" w:rsidRPr="000A3AD5">
        <w:rPr>
          <w:rFonts w:cs="Arial"/>
          <w:lang w:val="en-US"/>
        </w:rPr>
        <w:t xml:space="preserve">can </w:t>
      </w:r>
      <w:r w:rsidR="003565BD" w:rsidRPr="000A3AD5">
        <w:rPr>
          <w:rFonts w:cs="Arial"/>
          <w:lang w:val="en-US"/>
        </w:rPr>
        <w:t xml:space="preserve">be </w:t>
      </w:r>
      <w:r w:rsidR="00E54F39" w:rsidRPr="000A3AD5">
        <w:rPr>
          <w:rFonts w:cs="Arial"/>
          <w:lang w:val="en-US"/>
        </w:rPr>
        <w:t>considered as a positive development</w:t>
      </w:r>
      <w:r w:rsidR="003565BD" w:rsidRPr="000A3AD5">
        <w:rPr>
          <w:rFonts w:cs="Arial"/>
          <w:lang w:val="en-US"/>
        </w:rPr>
        <w:t xml:space="preserve">. </w:t>
      </w:r>
      <w:r w:rsidR="005D4490" w:rsidRPr="000A3AD5">
        <w:rPr>
          <w:rFonts w:cs="Arial"/>
          <w:lang w:val="en-US"/>
        </w:rPr>
        <w:t xml:space="preserve">Let us note that there </w:t>
      </w:r>
      <w:r w:rsidR="001845A2" w:rsidRPr="000A3AD5">
        <w:rPr>
          <w:rFonts w:cs="Arial"/>
          <w:lang w:val="en-US"/>
        </w:rPr>
        <w:t xml:space="preserve">are </w:t>
      </w:r>
      <w:r w:rsidR="005D4490" w:rsidRPr="000A3AD5">
        <w:rPr>
          <w:rFonts w:cs="Arial"/>
          <w:lang w:val="en-US"/>
        </w:rPr>
        <w:t xml:space="preserve">examples </w:t>
      </w:r>
      <w:r w:rsidR="0004654F" w:rsidRPr="000A3AD5">
        <w:rPr>
          <w:rFonts w:cs="Arial"/>
          <w:lang w:val="en-US"/>
        </w:rPr>
        <w:t xml:space="preserve">which </w:t>
      </w:r>
      <w:r w:rsidR="00A11591" w:rsidRPr="000A3AD5">
        <w:rPr>
          <w:rFonts w:cs="Arial"/>
          <w:lang w:val="en-US"/>
        </w:rPr>
        <w:t xml:space="preserve">reflect </w:t>
      </w:r>
      <w:r w:rsidR="005D4490" w:rsidRPr="000A3AD5">
        <w:rPr>
          <w:rFonts w:cs="Arial"/>
          <w:lang w:val="en-US"/>
        </w:rPr>
        <w:t>this exceptional</w:t>
      </w:r>
      <w:r w:rsidR="0004654F" w:rsidRPr="000A3AD5">
        <w:rPr>
          <w:rFonts w:cs="Arial"/>
          <w:lang w:val="en-US"/>
        </w:rPr>
        <w:t xml:space="preserve"> case. </w:t>
      </w:r>
      <w:r w:rsidR="001845A2" w:rsidRPr="000A3AD5">
        <w:rPr>
          <w:rFonts w:cs="Arial"/>
          <w:lang w:val="en-US"/>
        </w:rPr>
        <w:t xml:space="preserve">To summarize, </w:t>
      </w:r>
      <w:r w:rsidR="0004654F" w:rsidRPr="000A3AD5">
        <w:rPr>
          <w:rFonts w:cs="Arial"/>
          <w:lang w:val="en-US"/>
        </w:rPr>
        <w:t xml:space="preserve">the main labor market dynamics has to be taken into consideration </w:t>
      </w:r>
      <w:r w:rsidR="005D4490" w:rsidRPr="000A3AD5">
        <w:rPr>
          <w:rFonts w:cs="Arial"/>
          <w:lang w:val="en-US"/>
        </w:rPr>
        <w:t xml:space="preserve">when </w:t>
      </w:r>
      <w:r w:rsidR="0004654F" w:rsidRPr="000A3AD5">
        <w:rPr>
          <w:rFonts w:cs="Arial"/>
          <w:lang w:val="en-US"/>
        </w:rPr>
        <w:t xml:space="preserve">comparing </w:t>
      </w:r>
      <w:r w:rsidR="005D4490" w:rsidRPr="000A3AD5">
        <w:rPr>
          <w:rFonts w:cs="Arial"/>
          <w:lang w:val="en-US"/>
        </w:rPr>
        <w:t>change</w:t>
      </w:r>
      <w:r w:rsidR="0004654F" w:rsidRPr="000A3AD5">
        <w:rPr>
          <w:rFonts w:cs="Arial"/>
          <w:lang w:val="en-US"/>
        </w:rPr>
        <w:t xml:space="preserve">s in unemployment </w:t>
      </w:r>
      <w:r w:rsidR="001845A2" w:rsidRPr="000A3AD5">
        <w:rPr>
          <w:rFonts w:cs="Arial"/>
          <w:lang w:val="en-US"/>
        </w:rPr>
        <w:t>rates.</w:t>
      </w:r>
    </w:p>
    <w:p w:rsidR="00072561" w:rsidRPr="000A3AD5" w:rsidRDefault="00186410" w:rsidP="0054644B">
      <w:pPr>
        <w:rPr>
          <w:rFonts w:cs="Arial"/>
          <w:b/>
          <w:sz w:val="24"/>
          <w:szCs w:val="24"/>
          <w:lang w:val="en-US"/>
        </w:rPr>
      </w:pPr>
      <w:r w:rsidRPr="000A3AD5">
        <w:rPr>
          <w:rFonts w:cs="Arial"/>
          <w:b/>
          <w:sz w:val="24"/>
          <w:szCs w:val="24"/>
          <w:lang w:val="en-US"/>
        </w:rPr>
        <w:t>Worst regions in terms of</w:t>
      </w:r>
      <w:r w:rsidR="00072561" w:rsidRPr="000A3AD5">
        <w:rPr>
          <w:rFonts w:cs="Arial"/>
          <w:b/>
          <w:sz w:val="24"/>
          <w:szCs w:val="24"/>
          <w:lang w:val="en-US"/>
        </w:rPr>
        <w:t xml:space="preserve"> unemployment</w:t>
      </w:r>
    </w:p>
    <w:p w:rsidR="00AB21D7" w:rsidRPr="000A3AD5" w:rsidRDefault="001E54AE" w:rsidP="00564516">
      <w:pPr>
        <w:jc w:val="both"/>
        <w:rPr>
          <w:rFonts w:cs="Arial"/>
          <w:lang w:val="en-US"/>
        </w:rPr>
      </w:pPr>
      <w:r w:rsidRPr="000A3AD5">
        <w:rPr>
          <w:rFonts w:cs="Arial"/>
          <w:lang w:val="en-US"/>
        </w:rPr>
        <w:t>F</w:t>
      </w:r>
      <w:r w:rsidR="00072561" w:rsidRPr="000A3AD5">
        <w:rPr>
          <w:rFonts w:cs="Arial"/>
          <w:lang w:val="en-US"/>
        </w:rPr>
        <w:t>igure 1</w:t>
      </w:r>
      <w:r w:rsidRPr="000A3AD5">
        <w:rPr>
          <w:rFonts w:cs="Arial"/>
          <w:lang w:val="en-US"/>
        </w:rPr>
        <w:t xml:space="preserve"> shows 26 regions in d</w:t>
      </w:r>
      <w:r w:rsidR="002C4BFD" w:rsidRPr="000A3AD5">
        <w:rPr>
          <w:rFonts w:cs="Arial"/>
          <w:lang w:val="en-US"/>
        </w:rPr>
        <w:t xml:space="preserve">escending </w:t>
      </w:r>
      <w:r w:rsidRPr="000A3AD5">
        <w:rPr>
          <w:rFonts w:cs="Arial"/>
          <w:lang w:val="en-US"/>
        </w:rPr>
        <w:t xml:space="preserve">order </w:t>
      </w:r>
      <w:r w:rsidR="002C4BFD" w:rsidRPr="000A3AD5">
        <w:rPr>
          <w:rFonts w:cs="Arial"/>
          <w:lang w:val="en-US"/>
        </w:rPr>
        <w:t>for t</w:t>
      </w:r>
      <w:r w:rsidRPr="000A3AD5">
        <w:rPr>
          <w:rFonts w:cs="Arial"/>
          <w:lang w:val="en-US"/>
        </w:rPr>
        <w:t xml:space="preserve">he 2016 unemployment </w:t>
      </w:r>
      <w:r w:rsidR="002C4BFD" w:rsidRPr="000A3AD5">
        <w:rPr>
          <w:rFonts w:cs="Arial"/>
          <w:lang w:val="en-US"/>
        </w:rPr>
        <w:t xml:space="preserve">data. </w:t>
      </w:r>
      <w:r w:rsidR="00A37ED7" w:rsidRPr="000A3AD5">
        <w:rPr>
          <w:rFonts w:cs="Arial"/>
          <w:lang w:val="en-US"/>
        </w:rPr>
        <w:t>While</w:t>
      </w:r>
      <w:r w:rsidR="00072561" w:rsidRPr="000A3AD5">
        <w:rPr>
          <w:rFonts w:cs="Arial"/>
          <w:lang w:val="en-US"/>
        </w:rPr>
        <w:t xml:space="preserve"> the unemploy</w:t>
      </w:r>
      <w:r w:rsidR="00A37ED7" w:rsidRPr="000A3AD5">
        <w:rPr>
          <w:rFonts w:cs="Arial"/>
          <w:lang w:val="en-US"/>
        </w:rPr>
        <w:t>ment rate</w:t>
      </w:r>
      <w:r w:rsidR="00350063" w:rsidRPr="000A3AD5">
        <w:rPr>
          <w:rFonts w:cs="Arial"/>
          <w:lang w:val="en-US"/>
        </w:rPr>
        <w:t xml:space="preserve"> </w:t>
      </w:r>
      <w:r w:rsidR="00A37ED7" w:rsidRPr="000A3AD5">
        <w:rPr>
          <w:rFonts w:cs="Arial"/>
          <w:lang w:val="en-US"/>
        </w:rPr>
        <w:t>is 13 percent at the country level</w:t>
      </w:r>
      <w:r w:rsidRPr="000A3AD5">
        <w:rPr>
          <w:rFonts w:cs="Arial"/>
          <w:lang w:val="en-US"/>
        </w:rPr>
        <w:t>,</w:t>
      </w:r>
      <w:r w:rsidR="00A37ED7" w:rsidRPr="000A3AD5">
        <w:rPr>
          <w:rFonts w:cs="Arial"/>
          <w:lang w:val="en-US"/>
        </w:rPr>
        <w:t xml:space="preserve"> there are large d</w:t>
      </w:r>
      <w:r w:rsidRPr="000A3AD5">
        <w:rPr>
          <w:rFonts w:cs="Arial"/>
          <w:lang w:val="en-US"/>
        </w:rPr>
        <w:t>ifferences across regions</w:t>
      </w:r>
      <w:r w:rsidR="00A37ED7" w:rsidRPr="000A3AD5">
        <w:rPr>
          <w:rFonts w:cs="Arial"/>
          <w:lang w:val="en-US"/>
        </w:rPr>
        <w:t xml:space="preserve">; </w:t>
      </w:r>
      <w:r w:rsidR="002F03F8" w:rsidRPr="000A3AD5">
        <w:rPr>
          <w:rFonts w:cs="Arial"/>
          <w:lang w:val="en-US"/>
        </w:rPr>
        <w:t>the</w:t>
      </w:r>
      <w:r w:rsidR="00A37ED7" w:rsidRPr="000A3AD5">
        <w:rPr>
          <w:rFonts w:cs="Arial"/>
          <w:lang w:val="en-US"/>
        </w:rPr>
        <w:t xml:space="preserve"> highest rate being at 30.1 percent and the lowest at 7.2 percent.</w:t>
      </w:r>
    </w:p>
    <w:p w:rsidR="00A235D1" w:rsidRPr="000A3AD5" w:rsidRDefault="00564516" w:rsidP="00564516">
      <w:pPr>
        <w:jc w:val="both"/>
        <w:rPr>
          <w:lang w:val="en-US"/>
        </w:rPr>
      </w:pPr>
      <w:r w:rsidRPr="000A3AD5">
        <w:rPr>
          <w:rFonts w:cs="Arial"/>
          <w:lang w:val="en-US"/>
        </w:rPr>
        <w:t xml:space="preserve">Considering only </w:t>
      </w:r>
      <w:r w:rsidR="007639AD" w:rsidRPr="000A3AD5">
        <w:rPr>
          <w:rFonts w:cs="Arial"/>
          <w:lang w:val="en-US"/>
        </w:rPr>
        <w:t>unemployment rates</w:t>
      </w:r>
      <w:r w:rsidRPr="000A3AD5">
        <w:rPr>
          <w:rFonts w:cs="Arial"/>
          <w:lang w:val="en-US"/>
        </w:rPr>
        <w:t xml:space="preserve">, </w:t>
      </w:r>
      <w:r w:rsidRPr="000A3AD5">
        <w:rPr>
          <w:rFonts w:cs="Arial"/>
          <w:b/>
          <w:lang w:val="en-US"/>
        </w:rPr>
        <w:t>the worst case is</w:t>
      </w:r>
      <w:r w:rsidR="007639AD" w:rsidRPr="000A3AD5">
        <w:rPr>
          <w:rFonts w:cs="Arial"/>
          <w:b/>
          <w:lang w:val="en-US"/>
        </w:rPr>
        <w:t xml:space="preserve"> </w:t>
      </w:r>
      <w:proofErr w:type="spellStart"/>
      <w:r w:rsidR="007639AD" w:rsidRPr="000A3AD5">
        <w:rPr>
          <w:rFonts w:cs="Arial"/>
          <w:b/>
          <w:lang w:val="en-US"/>
        </w:rPr>
        <w:t>Mardin</w:t>
      </w:r>
      <w:proofErr w:type="spellEnd"/>
      <w:r w:rsidR="007639AD" w:rsidRPr="000A3AD5">
        <w:rPr>
          <w:rFonts w:cs="Arial"/>
          <w:b/>
          <w:lang w:val="en-US"/>
        </w:rPr>
        <w:t>-Batman-</w:t>
      </w:r>
      <w:proofErr w:type="spellStart"/>
      <w:r w:rsidR="007639AD" w:rsidRPr="000A3AD5">
        <w:rPr>
          <w:rFonts w:cs="Arial"/>
          <w:b/>
          <w:lang w:val="en-US"/>
        </w:rPr>
        <w:t>Şırnak</w:t>
      </w:r>
      <w:proofErr w:type="spellEnd"/>
      <w:r w:rsidR="007639AD" w:rsidRPr="000A3AD5">
        <w:rPr>
          <w:rFonts w:cs="Arial"/>
          <w:b/>
          <w:lang w:val="en-US"/>
        </w:rPr>
        <w:t>-</w:t>
      </w:r>
      <w:proofErr w:type="spellStart"/>
      <w:r w:rsidR="007639AD" w:rsidRPr="000A3AD5">
        <w:rPr>
          <w:rFonts w:cs="Arial"/>
          <w:b/>
          <w:lang w:val="en-US"/>
        </w:rPr>
        <w:t>Siirt</w:t>
      </w:r>
      <w:proofErr w:type="spellEnd"/>
      <w:r w:rsidR="007639AD" w:rsidRPr="000A3AD5">
        <w:rPr>
          <w:rFonts w:cs="Arial"/>
          <w:b/>
          <w:lang w:val="en-US"/>
        </w:rPr>
        <w:t xml:space="preserve"> (TRC3) region</w:t>
      </w:r>
      <w:r w:rsidRPr="000A3AD5">
        <w:rPr>
          <w:rFonts w:cs="Arial"/>
          <w:b/>
          <w:lang w:val="en-US"/>
        </w:rPr>
        <w:t xml:space="preserve"> with 30.1 percent</w:t>
      </w:r>
      <w:r w:rsidR="002F03F8" w:rsidRPr="000A3AD5">
        <w:rPr>
          <w:rFonts w:cs="Arial"/>
          <w:b/>
          <w:lang w:val="en-US"/>
        </w:rPr>
        <w:t>.</w:t>
      </w:r>
      <w:r w:rsidR="002F03F8" w:rsidRPr="000A3AD5">
        <w:rPr>
          <w:rFonts w:cs="Arial"/>
          <w:lang w:val="en-US"/>
        </w:rPr>
        <w:t xml:space="preserve"> </w:t>
      </w:r>
      <w:r w:rsidRPr="000A3AD5">
        <w:rPr>
          <w:rFonts w:cs="Arial"/>
          <w:lang w:val="en-US"/>
        </w:rPr>
        <w:t>In order to underline the exceptional magnitude</w:t>
      </w:r>
      <w:r w:rsidR="002F03F8" w:rsidRPr="000A3AD5">
        <w:rPr>
          <w:rFonts w:cs="Arial"/>
          <w:lang w:val="en-US"/>
        </w:rPr>
        <w:t xml:space="preserve"> of this rate</w:t>
      </w:r>
      <w:r w:rsidRPr="000A3AD5">
        <w:rPr>
          <w:rFonts w:cs="Arial"/>
          <w:lang w:val="en-US"/>
        </w:rPr>
        <w:t>,</w:t>
      </w:r>
      <w:r w:rsidR="002F03F8" w:rsidRPr="000A3AD5">
        <w:rPr>
          <w:rFonts w:cs="Arial"/>
          <w:lang w:val="en-US"/>
        </w:rPr>
        <w:t xml:space="preserve"> let us remind that during the Great Depression</w:t>
      </w:r>
      <w:r w:rsidRPr="000A3AD5">
        <w:rPr>
          <w:rFonts w:cs="Arial"/>
          <w:lang w:val="en-US"/>
        </w:rPr>
        <w:t xml:space="preserve"> (1930-34)</w:t>
      </w:r>
      <w:r w:rsidR="002F03F8" w:rsidRPr="000A3AD5">
        <w:rPr>
          <w:rFonts w:cs="Arial"/>
          <w:lang w:val="en-US"/>
        </w:rPr>
        <w:t xml:space="preserve"> as well during the Great Recession the highest </w:t>
      </w:r>
      <w:r w:rsidRPr="000A3AD5">
        <w:rPr>
          <w:rFonts w:cs="Arial"/>
          <w:lang w:val="en-US"/>
        </w:rPr>
        <w:t xml:space="preserve">unemployment rates </w:t>
      </w:r>
      <w:r w:rsidR="00B44297" w:rsidRPr="000A3AD5">
        <w:rPr>
          <w:rFonts w:cs="Arial"/>
          <w:lang w:val="en-US"/>
        </w:rPr>
        <w:t xml:space="preserve">have been </w:t>
      </w:r>
      <w:r w:rsidRPr="000A3AD5">
        <w:rPr>
          <w:rFonts w:cs="Arial"/>
          <w:lang w:val="en-US"/>
        </w:rPr>
        <w:t>observed</w:t>
      </w:r>
      <w:r w:rsidR="002F03F8" w:rsidRPr="000A3AD5">
        <w:rPr>
          <w:rFonts w:cs="Arial"/>
          <w:lang w:val="en-US"/>
        </w:rPr>
        <w:t xml:space="preserve"> around 25 percent. </w:t>
      </w:r>
      <w:r w:rsidRPr="000A3AD5">
        <w:rPr>
          <w:rFonts w:cs="Arial"/>
          <w:b/>
          <w:lang w:val="en-US"/>
        </w:rPr>
        <w:t>The second place</w:t>
      </w:r>
      <w:r w:rsidR="002F03F8" w:rsidRPr="000A3AD5">
        <w:rPr>
          <w:rFonts w:cs="Arial"/>
          <w:b/>
          <w:lang w:val="en-US"/>
        </w:rPr>
        <w:t xml:space="preserve"> belongs to </w:t>
      </w:r>
      <w:proofErr w:type="spellStart"/>
      <w:r w:rsidR="002F03F8" w:rsidRPr="000A3AD5">
        <w:rPr>
          <w:rFonts w:cs="Arial"/>
          <w:b/>
          <w:lang w:val="en-US"/>
        </w:rPr>
        <w:t>Şanlıurfa</w:t>
      </w:r>
      <w:proofErr w:type="spellEnd"/>
      <w:r w:rsidR="002F03F8" w:rsidRPr="000A3AD5">
        <w:rPr>
          <w:rFonts w:cs="Arial"/>
          <w:b/>
          <w:lang w:val="en-US"/>
        </w:rPr>
        <w:t>-Diyarbakır (TRC2) region with 28.3 percent.</w:t>
      </w:r>
    </w:p>
    <w:p w:rsidR="00B44297" w:rsidRPr="000A3AD5" w:rsidRDefault="00B44297" w:rsidP="006B1808">
      <w:pPr>
        <w:rPr>
          <w:b/>
          <w:lang w:val="en-US"/>
        </w:rPr>
      </w:pPr>
    </w:p>
    <w:p w:rsidR="00B44297" w:rsidRPr="000A3AD5" w:rsidRDefault="00B44297" w:rsidP="006B1808">
      <w:pPr>
        <w:rPr>
          <w:b/>
          <w:lang w:val="en-US"/>
        </w:rPr>
      </w:pPr>
    </w:p>
    <w:p w:rsidR="00BA2E71" w:rsidRPr="000A3AD5" w:rsidRDefault="000A3AD5" w:rsidP="006B1808">
      <w:pPr>
        <w:rPr>
          <w:rFonts w:cs="Arial"/>
          <w:b/>
          <w:lang w:val="en-US"/>
        </w:rPr>
      </w:pPr>
      <w:r>
        <w:rPr>
          <w:b/>
          <w:lang w:val="en-US"/>
        </w:rPr>
        <w:lastRenderedPageBreak/>
        <w:br/>
      </w:r>
      <w:r>
        <w:rPr>
          <w:b/>
          <w:lang w:val="en-US"/>
        </w:rPr>
        <w:br/>
      </w:r>
      <w:r w:rsidR="00BA2E71" w:rsidRPr="000A3AD5">
        <w:rPr>
          <w:b/>
          <w:lang w:val="en-US"/>
        </w:rPr>
        <w:t xml:space="preserve">Figure 1: Regional </w:t>
      </w:r>
      <w:r w:rsidR="00FE42D4" w:rsidRPr="000A3AD5">
        <w:rPr>
          <w:b/>
          <w:lang w:val="en-US"/>
        </w:rPr>
        <w:t>non-agricultural</w:t>
      </w:r>
      <w:r w:rsidR="00BA2E71" w:rsidRPr="000A3AD5">
        <w:rPr>
          <w:b/>
          <w:lang w:val="en-US"/>
        </w:rPr>
        <w:t xml:space="preserve"> unemployment rates (%, 2016)</w:t>
      </w:r>
    </w:p>
    <w:p w:rsidR="00DF0A91" w:rsidRPr="000A3AD5" w:rsidRDefault="00DF0A91" w:rsidP="00DF0A91">
      <w:pPr>
        <w:rPr>
          <w:lang w:val="en-US"/>
        </w:rPr>
      </w:pPr>
      <w:r w:rsidRPr="000A3AD5">
        <w:rPr>
          <w:noProof/>
        </w:rPr>
        <w:drawing>
          <wp:inline distT="0" distB="0" distL="0" distR="0" wp14:anchorId="21648366" wp14:editId="2811ADE8">
            <wp:extent cx="5434278" cy="4524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jpg"/>
                    <pic:cNvPicPr/>
                  </pic:nvPicPr>
                  <pic:blipFill>
                    <a:blip r:embed="rId8">
                      <a:extLst>
                        <a:ext uri="{28A0092B-C50C-407E-A947-70E740481C1C}">
                          <a14:useLocalDpi xmlns:a14="http://schemas.microsoft.com/office/drawing/2010/main" val="0"/>
                        </a:ext>
                      </a:extLst>
                    </a:blip>
                    <a:stretch>
                      <a:fillRect/>
                    </a:stretch>
                  </pic:blipFill>
                  <pic:spPr>
                    <a:xfrm>
                      <a:off x="0" y="0"/>
                      <a:ext cx="5450130" cy="4537573"/>
                    </a:xfrm>
                    <a:prstGeom prst="rect">
                      <a:avLst/>
                    </a:prstGeom>
                  </pic:spPr>
                </pic:pic>
              </a:graphicData>
            </a:graphic>
          </wp:inline>
        </w:drawing>
      </w:r>
      <w:r w:rsidRPr="000A3AD5">
        <w:rPr>
          <w:lang w:val="en-US"/>
        </w:rPr>
        <w:br/>
      </w:r>
      <w:r w:rsidR="00221CDF" w:rsidRPr="000A3AD5">
        <w:rPr>
          <w:color w:val="000000" w:themeColor="text1"/>
          <w:sz w:val="16"/>
          <w:szCs w:val="16"/>
          <w:lang w:val="en-US"/>
        </w:rPr>
        <w:t xml:space="preserve">Source: </w:t>
      </w:r>
      <w:proofErr w:type="spellStart"/>
      <w:r w:rsidR="00221CDF" w:rsidRPr="000A3AD5">
        <w:rPr>
          <w:color w:val="000000" w:themeColor="text1"/>
          <w:sz w:val="16"/>
          <w:szCs w:val="16"/>
          <w:lang w:val="en-US"/>
        </w:rPr>
        <w:t>Turkstat</w:t>
      </w:r>
      <w:proofErr w:type="spellEnd"/>
      <w:r w:rsidRPr="000A3AD5">
        <w:rPr>
          <w:color w:val="000000" w:themeColor="text1"/>
          <w:sz w:val="16"/>
          <w:szCs w:val="16"/>
          <w:lang w:val="en-US"/>
        </w:rPr>
        <w:t xml:space="preserve">, Betam. TRC3:Mardin, Batman, </w:t>
      </w:r>
      <w:proofErr w:type="spellStart"/>
      <w:r w:rsidRPr="000A3AD5">
        <w:rPr>
          <w:color w:val="000000" w:themeColor="text1"/>
          <w:sz w:val="16"/>
          <w:szCs w:val="16"/>
          <w:lang w:val="en-US"/>
        </w:rPr>
        <w:t>Şırnak</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Siirt</w:t>
      </w:r>
      <w:proofErr w:type="spellEnd"/>
      <w:r w:rsidRPr="000A3AD5">
        <w:rPr>
          <w:color w:val="000000" w:themeColor="text1"/>
          <w:sz w:val="16"/>
          <w:szCs w:val="16"/>
          <w:lang w:val="en-US"/>
        </w:rPr>
        <w:t xml:space="preserve">, TRC2:Şanlıurfa, Diyarbakır, TR71: </w:t>
      </w:r>
      <w:proofErr w:type="spellStart"/>
      <w:r w:rsidRPr="000A3AD5">
        <w:rPr>
          <w:color w:val="000000" w:themeColor="text1"/>
          <w:sz w:val="16"/>
          <w:szCs w:val="16"/>
          <w:lang w:val="en-US"/>
        </w:rPr>
        <w:t>Kırıkkale</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Aksaray</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Niğde</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Nevşehir</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Kırşehir</w:t>
      </w:r>
      <w:proofErr w:type="spellEnd"/>
      <w:r w:rsidRPr="000A3AD5">
        <w:rPr>
          <w:color w:val="000000" w:themeColor="text1"/>
          <w:sz w:val="16"/>
          <w:szCs w:val="16"/>
          <w:lang w:val="en-US"/>
        </w:rPr>
        <w:t xml:space="preserve">, TR63:Hatay, </w:t>
      </w:r>
      <w:proofErr w:type="spellStart"/>
      <w:r w:rsidRPr="000A3AD5">
        <w:rPr>
          <w:color w:val="000000" w:themeColor="text1"/>
          <w:sz w:val="16"/>
          <w:szCs w:val="16"/>
          <w:lang w:val="en-US"/>
        </w:rPr>
        <w:t>Kahramanmaraş</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Osmaniye</w:t>
      </w:r>
      <w:proofErr w:type="spellEnd"/>
      <w:r w:rsidRPr="000A3AD5">
        <w:rPr>
          <w:color w:val="000000" w:themeColor="text1"/>
          <w:sz w:val="16"/>
          <w:szCs w:val="16"/>
          <w:lang w:val="en-US"/>
        </w:rPr>
        <w:t>,</w:t>
      </w:r>
      <w:r w:rsidRPr="000A3AD5">
        <w:rPr>
          <w:sz w:val="16"/>
          <w:szCs w:val="16"/>
          <w:lang w:val="en-US"/>
        </w:rPr>
        <w:t xml:space="preserve"> </w:t>
      </w:r>
      <w:r w:rsidRPr="000A3AD5">
        <w:rPr>
          <w:color w:val="000000" w:themeColor="text1"/>
          <w:sz w:val="16"/>
          <w:szCs w:val="16"/>
          <w:lang w:val="en-US"/>
        </w:rPr>
        <w:t xml:space="preserve">TRC1:Gaziantep, </w:t>
      </w:r>
      <w:proofErr w:type="spellStart"/>
      <w:r w:rsidRPr="000A3AD5">
        <w:rPr>
          <w:color w:val="000000" w:themeColor="text1"/>
          <w:sz w:val="16"/>
          <w:szCs w:val="16"/>
          <w:lang w:val="en-US"/>
        </w:rPr>
        <w:t>Adıyaman</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Kilis</w:t>
      </w:r>
      <w:proofErr w:type="spellEnd"/>
      <w:r w:rsidRPr="000A3AD5">
        <w:rPr>
          <w:color w:val="000000" w:themeColor="text1"/>
          <w:sz w:val="16"/>
          <w:szCs w:val="16"/>
          <w:lang w:val="en-US"/>
        </w:rPr>
        <w:t xml:space="preserve">, TR31: İzmir, TRB2:Van, </w:t>
      </w:r>
      <w:proofErr w:type="spellStart"/>
      <w:r w:rsidRPr="000A3AD5">
        <w:rPr>
          <w:color w:val="000000" w:themeColor="text1"/>
          <w:sz w:val="16"/>
          <w:szCs w:val="16"/>
          <w:lang w:val="en-US"/>
        </w:rPr>
        <w:t>Muş</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Bitlis</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Hakkari</w:t>
      </w:r>
      <w:proofErr w:type="spellEnd"/>
      <w:r w:rsidRPr="000A3AD5">
        <w:rPr>
          <w:color w:val="000000" w:themeColor="text1"/>
          <w:sz w:val="16"/>
          <w:szCs w:val="16"/>
          <w:lang w:val="en-US"/>
        </w:rPr>
        <w:t xml:space="preserve">, TR61: Antalya, </w:t>
      </w:r>
      <w:proofErr w:type="spellStart"/>
      <w:r w:rsidRPr="000A3AD5">
        <w:rPr>
          <w:color w:val="000000" w:themeColor="text1"/>
          <w:sz w:val="16"/>
          <w:szCs w:val="16"/>
          <w:lang w:val="en-US"/>
        </w:rPr>
        <w:t>Isparta</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Burdur</w:t>
      </w:r>
      <w:proofErr w:type="spellEnd"/>
      <w:r w:rsidRPr="000A3AD5">
        <w:rPr>
          <w:color w:val="000000" w:themeColor="text1"/>
          <w:sz w:val="16"/>
          <w:szCs w:val="16"/>
          <w:lang w:val="en-US"/>
        </w:rPr>
        <w:t xml:space="preserve">, TR10: İstanbul, TR62: Adana, Mersin, TR83:Samsun, </w:t>
      </w:r>
      <w:proofErr w:type="spellStart"/>
      <w:r w:rsidRPr="000A3AD5">
        <w:rPr>
          <w:color w:val="000000" w:themeColor="text1"/>
          <w:sz w:val="16"/>
          <w:szCs w:val="16"/>
          <w:lang w:val="en-US"/>
        </w:rPr>
        <w:t>Tokat</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Çorum</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Amasya</w:t>
      </w:r>
      <w:proofErr w:type="spellEnd"/>
      <w:r w:rsidRPr="000A3AD5">
        <w:rPr>
          <w:color w:val="000000" w:themeColor="text1"/>
          <w:sz w:val="16"/>
          <w:szCs w:val="16"/>
          <w:lang w:val="en-US"/>
        </w:rPr>
        <w:t xml:space="preserve">, TR81:Zonguldak, </w:t>
      </w:r>
      <w:proofErr w:type="spellStart"/>
      <w:r w:rsidRPr="000A3AD5">
        <w:rPr>
          <w:color w:val="000000" w:themeColor="text1"/>
          <w:sz w:val="16"/>
          <w:szCs w:val="16"/>
          <w:lang w:val="en-US"/>
        </w:rPr>
        <w:t>Karabük</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Bartın</w:t>
      </w:r>
      <w:proofErr w:type="spellEnd"/>
      <w:r w:rsidRPr="000A3AD5">
        <w:rPr>
          <w:color w:val="000000" w:themeColor="text1"/>
          <w:sz w:val="16"/>
          <w:szCs w:val="16"/>
          <w:lang w:val="en-US"/>
        </w:rPr>
        <w:t>,</w:t>
      </w:r>
      <w:r w:rsidRPr="000A3AD5">
        <w:rPr>
          <w:sz w:val="16"/>
          <w:szCs w:val="16"/>
          <w:lang w:val="en-US"/>
        </w:rPr>
        <w:t xml:space="preserve"> </w:t>
      </w:r>
      <w:r w:rsidRPr="000A3AD5">
        <w:rPr>
          <w:color w:val="000000" w:themeColor="text1"/>
          <w:sz w:val="16"/>
          <w:szCs w:val="16"/>
          <w:lang w:val="en-US"/>
        </w:rPr>
        <w:t xml:space="preserve">TR42: </w:t>
      </w:r>
      <w:proofErr w:type="spellStart"/>
      <w:r w:rsidRPr="000A3AD5">
        <w:rPr>
          <w:color w:val="000000" w:themeColor="text1"/>
          <w:sz w:val="16"/>
          <w:szCs w:val="16"/>
          <w:lang w:val="en-US"/>
        </w:rPr>
        <w:t>Kocaeli</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Sakarya</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Düzce</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Bolu</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Yalova</w:t>
      </w:r>
      <w:proofErr w:type="spellEnd"/>
      <w:r w:rsidRPr="000A3AD5">
        <w:rPr>
          <w:color w:val="000000" w:themeColor="text1"/>
          <w:sz w:val="16"/>
          <w:szCs w:val="16"/>
          <w:lang w:val="en-US"/>
        </w:rPr>
        <w:t xml:space="preserve">, TRB1:Malatya, </w:t>
      </w:r>
      <w:proofErr w:type="spellStart"/>
      <w:r w:rsidRPr="000A3AD5">
        <w:rPr>
          <w:color w:val="000000" w:themeColor="text1"/>
          <w:sz w:val="16"/>
          <w:szCs w:val="16"/>
          <w:lang w:val="en-US"/>
        </w:rPr>
        <w:t>Elazığ</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Bingöl</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Tunceli</w:t>
      </w:r>
      <w:proofErr w:type="spellEnd"/>
      <w:r w:rsidRPr="000A3AD5">
        <w:rPr>
          <w:color w:val="000000" w:themeColor="text1"/>
          <w:sz w:val="16"/>
          <w:szCs w:val="16"/>
          <w:lang w:val="en-US"/>
        </w:rPr>
        <w:t xml:space="preserve">, TR51:Ankara, TR72: Kayseri, Sivas, </w:t>
      </w:r>
      <w:proofErr w:type="spellStart"/>
      <w:r w:rsidRPr="000A3AD5">
        <w:rPr>
          <w:color w:val="000000" w:themeColor="text1"/>
          <w:sz w:val="16"/>
          <w:szCs w:val="16"/>
          <w:lang w:val="en-US"/>
        </w:rPr>
        <w:t>Yozgat</w:t>
      </w:r>
      <w:proofErr w:type="spellEnd"/>
      <w:r w:rsidRPr="000A3AD5">
        <w:rPr>
          <w:color w:val="000000" w:themeColor="text1"/>
          <w:sz w:val="16"/>
          <w:szCs w:val="16"/>
          <w:lang w:val="en-US"/>
        </w:rPr>
        <w:t xml:space="preserve">, TR82:Kastamonu, </w:t>
      </w:r>
      <w:proofErr w:type="spellStart"/>
      <w:r w:rsidRPr="000A3AD5">
        <w:rPr>
          <w:color w:val="000000" w:themeColor="text1"/>
          <w:sz w:val="16"/>
          <w:szCs w:val="16"/>
          <w:lang w:val="en-US"/>
        </w:rPr>
        <w:t>Çankırı</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Sinop</w:t>
      </w:r>
      <w:proofErr w:type="spellEnd"/>
      <w:r w:rsidRPr="000A3AD5">
        <w:rPr>
          <w:color w:val="000000" w:themeColor="text1"/>
          <w:sz w:val="16"/>
          <w:szCs w:val="16"/>
          <w:lang w:val="en-US"/>
        </w:rPr>
        <w:t>,</w:t>
      </w:r>
      <w:r w:rsidRPr="000A3AD5">
        <w:rPr>
          <w:sz w:val="16"/>
          <w:szCs w:val="16"/>
          <w:lang w:val="en-US"/>
        </w:rPr>
        <w:t xml:space="preserve"> </w:t>
      </w:r>
      <w:r w:rsidRPr="000A3AD5">
        <w:rPr>
          <w:color w:val="000000" w:themeColor="text1"/>
          <w:sz w:val="16"/>
          <w:szCs w:val="16"/>
          <w:lang w:val="en-US"/>
        </w:rPr>
        <w:t xml:space="preserve">TRA2:Ağrı, Kars, </w:t>
      </w:r>
      <w:proofErr w:type="spellStart"/>
      <w:r w:rsidRPr="000A3AD5">
        <w:rPr>
          <w:color w:val="000000" w:themeColor="text1"/>
          <w:sz w:val="16"/>
          <w:szCs w:val="16"/>
          <w:lang w:val="en-US"/>
        </w:rPr>
        <w:t>Iğdır</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Ardahan</w:t>
      </w:r>
      <w:proofErr w:type="spellEnd"/>
      <w:r w:rsidRPr="000A3AD5">
        <w:rPr>
          <w:color w:val="000000" w:themeColor="text1"/>
          <w:sz w:val="16"/>
          <w:szCs w:val="16"/>
          <w:lang w:val="en-US"/>
        </w:rPr>
        <w:t xml:space="preserve">, TR41: Bursa, </w:t>
      </w:r>
      <w:proofErr w:type="spellStart"/>
      <w:r w:rsidRPr="000A3AD5">
        <w:rPr>
          <w:color w:val="000000" w:themeColor="text1"/>
          <w:sz w:val="16"/>
          <w:szCs w:val="16"/>
          <w:lang w:val="en-US"/>
        </w:rPr>
        <w:t>Eskişehir</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Bilecik</w:t>
      </w:r>
      <w:proofErr w:type="spellEnd"/>
      <w:r w:rsidRPr="000A3AD5">
        <w:rPr>
          <w:color w:val="000000" w:themeColor="text1"/>
          <w:sz w:val="16"/>
          <w:szCs w:val="16"/>
          <w:lang w:val="en-US"/>
        </w:rPr>
        <w:t>, TR21:</w:t>
      </w:r>
      <w:r w:rsidRPr="000A3AD5">
        <w:rPr>
          <w:sz w:val="16"/>
          <w:szCs w:val="16"/>
          <w:lang w:val="en-US"/>
        </w:rPr>
        <w:t xml:space="preserve"> </w:t>
      </w:r>
      <w:proofErr w:type="spellStart"/>
      <w:r w:rsidRPr="000A3AD5">
        <w:rPr>
          <w:color w:val="000000" w:themeColor="text1"/>
          <w:sz w:val="16"/>
          <w:szCs w:val="16"/>
          <w:lang w:val="en-US"/>
        </w:rPr>
        <w:t>Tekirdağ</w:t>
      </w:r>
      <w:proofErr w:type="spellEnd"/>
      <w:r w:rsidRPr="000A3AD5">
        <w:rPr>
          <w:color w:val="000000" w:themeColor="text1"/>
          <w:sz w:val="16"/>
          <w:szCs w:val="16"/>
          <w:lang w:val="en-US"/>
        </w:rPr>
        <w:t xml:space="preserve">, Edirne, </w:t>
      </w:r>
      <w:proofErr w:type="spellStart"/>
      <w:r w:rsidRPr="000A3AD5">
        <w:rPr>
          <w:color w:val="000000" w:themeColor="text1"/>
          <w:sz w:val="16"/>
          <w:szCs w:val="16"/>
          <w:lang w:val="en-US"/>
        </w:rPr>
        <w:t>Kırklareli</w:t>
      </w:r>
      <w:proofErr w:type="spellEnd"/>
      <w:r w:rsidRPr="000A3AD5">
        <w:rPr>
          <w:color w:val="000000" w:themeColor="text1"/>
          <w:sz w:val="16"/>
          <w:szCs w:val="16"/>
          <w:lang w:val="en-US"/>
        </w:rPr>
        <w:t>, TR22:</w:t>
      </w:r>
      <w:r w:rsidRPr="000A3AD5">
        <w:rPr>
          <w:sz w:val="16"/>
          <w:szCs w:val="16"/>
          <w:lang w:val="en-US"/>
        </w:rPr>
        <w:t xml:space="preserve"> </w:t>
      </w:r>
      <w:proofErr w:type="spellStart"/>
      <w:r w:rsidRPr="000A3AD5">
        <w:rPr>
          <w:color w:val="000000" w:themeColor="text1"/>
          <w:sz w:val="16"/>
          <w:szCs w:val="16"/>
          <w:lang w:val="en-US"/>
        </w:rPr>
        <w:t>Balıkesir</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Çanakkale</w:t>
      </w:r>
      <w:proofErr w:type="spellEnd"/>
      <w:r w:rsidRPr="000A3AD5">
        <w:rPr>
          <w:color w:val="000000" w:themeColor="text1"/>
          <w:sz w:val="16"/>
          <w:szCs w:val="16"/>
          <w:lang w:val="en-US"/>
        </w:rPr>
        <w:t xml:space="preserve">, TR32: Aydın, </w:t>
      </w:r>
      <w:proofErr w:type="spellStart"/>
      <w:r w:rsidRPr="000A3AD5">
        <w:rPr>
          <w:color w:val="000000" w:themeColor="text1"/>
          <w:sz w:val="16"/>
          <w:szCs w:val="16"/>
          <w:lang w:val="en-US"/>
        </w:rPr>
        <w:t>Denizli</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Muğla</w:t>
      </w:r>
      <w:proofErr w:type="spellEnd"/>
      <w:r w:rsidRPr="000A3AD5">
        <w:rPr>
          <w:color w:val="000000" w:themeColor="text1"/>
          <w:sz w:val="16"/>
          <w:szCs w:val="16"/>
          <w:lang w:val="en-US"/>
        </w:rPr>
        <w:t xml:space="preserve">, TRA1:Erzurum, Erzincan, </w:t>
      </w:r>
      <w:proofErr w:type="spellStart"/>
      <w:r w:rsidRPr="000A3AD5">
        <w:rPr>
          <w:color w:val="000000" w:themeColor="text1"/>
          <w:sz w:val="16"/>
          <w:szCs w:val="16"/>
          <w:lang w:val="en-US"/>
        </w:rPr>
        <w:t>Bayburt</w:t>
      </w:r>
      <w:proofErr w:type="spellEnd"/>
      <w:r w:rsidRPr="000A3AD5">
        <w:rPr>
          <w:color w:val="000000" w:themeColor="text1"/>
          <w:sz w:val="16"/>
          <w:szCs w:val="16"/>
          <w:lang w:val="en-US"/>
        </w:rPr>
        <w:t xml:space="preserve">, TR52: Konya, </w:t>
      </w:r>
      <w:proofErr w:type="spellStart"/>
      <w:r w:rsidRPr="000A3AD5">
        <w:rPr>
          <w:color w:val="000000" w:themeColor="text1"/>
          <w:sz w:val="16"/>
          <w:szCs w:val="16"/>
          <w:lang w:val="en-US"/>
        </w:rPr>
        <w:t>Karaman</w:t>
      </w:r>
      <w:proofErr w:type="spellEnd"/>
      <w:r w:rsidRPr="000A3AD5">
        <w:rPr>
          <w:color w:val="000000" w:themeColor="text1"/>
          <w:sz w:val="16"/>
          <w:szCs w:val="16"/>
          <w:lang w:val="en-US"/>
        </w:rPr>
        <w:t xml:space="preserve">, TR90:Trabzon, </w:t>
      </w:r>
      <w:proofErr w:type="spellStart"/>
      <w:r w:rsidRPr="000A3AD5">
        <w:rPr>
          <w:color w:val="000000" w:themeColor="text1"/>
          <w:sz w:val="16"/>
          <w:szCs w:val="16"/>
          <w:lang w:val="en-US"/>
        </w:rPr>
        <w:t>Ordu</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Giresun</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Rize</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Artvin</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Gümüşhane</w:t>
      </w:r>
      <w:proofErr w:type="spellEnd"/>
      <w:r w:rsidRPr="000A3AD5">
        <w:rPr>
          <w:color w:val="000000" w:themeColor="text1"/>
          <w:sz w:val="16"/>
          <w:szCs w:val="16"/>
          <w:lang w:val="en-US"/>
        </w:rPr>
        <w:t xml:space="preserve">, TR33: </w:t>
      </w:r>
      <w:proofErr w:type="spellStart"/>
      <w:r w:rsidRPr="000A3AD5">
        <w:rPr>
          <w:color w:val="000000" w:themeColor="text1"/>
          <w:sz w:val="16"/>
          <w:szCs w:val="16"/>
          <w:lang w:val="en-US"/>
        </w:rPr>
        <w:t>Manisa</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Afyonkarahisar</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Kütahya</w:t>
      </w:r>
      <w:proofErr w:type="spellEnd"/>
      <w:r w:rsidRPr="000A3AD5">
        <w:rPr>
          <w:color w:val="000000" w:themeColor="text1"/>
          <w:sz w:val="16"/>
          <w:szCs w:val="16"/>
          <w:lang w:val="en-US"/>
        </w:rPr>
        <w:t xml:space="preserve">, </w:t>
      </w:r>
      <w:proofErr w:type="spellStart"/>
      <w:r w:rsidRPr="000A3AD5">
        <w:rPr>
          <w:color w:val="000000" w:themeColor="text1"/>
          <w:sz w:val="16"/>
          <w:szCs w:val="16"/>
          <w:lang w:val="en-US"/>
        </w:rPr>
        <w:t>Uşak</w:t>
      </w:r>
      <w:proofErr w:type="spellEnd"/>
    </w:p>
    <w:p w:rsidR="00E9025C" w:rsidRPr="000A3AD5" w:rsidRDefault="00FB621C" w:rsidP="00E9025C">
      <w:pPr>
        <w:jc w:val="both"/>
        <w:rPr>
          <w:rFonts w:cs="Arial"/>
          <w:lang w:val="en-US"/>
        </w:rPr>
      </w:pPr>
      <w:r w:rsidRPr="000A3AD5">
        <w:rPr>
          <w:rFonts w:cs="Arial"/>
          <w:lang w:val="en-US"/>
        </w:rPr>
        <w:t xml:space="preserve">These two regions are followed by </w:t>
      </w:r>
      <w:proofErr w:type="spellStart"/>
      <w:r w:rsidRPr="000A3AD5">
        <w:rPr>
          <w:rFonts w:cs="Arial"/>
          <w:b/>
          <w:lang w:val="en-US"/>
        </w:rPr>
        <w:t>Kırıkkale-Aksaray-Niğde-Nevşehir-Kırşehir</w:t>
      </w:r>
      <w:proofErr w:type="spellEnd"/>
      <w:r w:rsidRPr="000A3AD5">
        <w:rPr>
          <w:rFonts w:cs="Arial"/>
          <w:b/>
          <w:lang w:val="en-US"/>
        </w:rPr>
        <w:t xml:space="preserve"> (TR 71)</w:t>
      </w:r>
      <w:r w:rsidR="009E27DB" w:rsidRPr="000A3AD5">
        <w:rPr>
          <w:rFonts w:cs="Arial"/>
          <w:b/>
          <w:lang w:val="en-US"/>
        </w:rPr>
        <w:t xml:space="preserve"> with </w:t>
      </w:r>
      <w:r w:rsidR="000A3AD5">
        <w:rPr>
          <w:rFonts w:cs="Arial"/>
          <w:b/>
          <w:lang w:val="en-US"/>
        </w:rPr>
        <w:t>an unemploym</w:t>
      </w:r>
      <w:r w:rsidR="00B9776F" w:rsidRPr="000A3AD5">
        <w:rPr>
          <w:rFonts w:cs="Arial"/>
          <w:b/>
          <w:lang w:val="en-US"/>
        </w:rPr>
        <w:t xml:space="preserve">ent rate of </w:t>
      </w:r>
      <w:r w:rsidR="009E27DB" w:rsidRPr="000A3AD5">
        <w:rPr>
          <w:rFonts w:cs="Arial"/>
          <w:b/>
          <w:lang w:val="en-US"/>
        </w:rPr>
        <w:t xml:space="preserve">18 </w:t>
      </w:r>
      <w:proofErr w:type="gramStart"/>
      <w:r w:rsidR="009E27DB" w:rsidRPr="000A3AD5">
        <w:rPr>
          <w:rFonts w:cs="Arial"/>
          <w:b/>
          <w:lang w:val="en-US"/>
        </w:rPr>
        <w:t>percen</w:t>
      </w:r>
      <w:r w:rsidR="00564516" w:rsidRPr="000A3AD5">
        <w:rPr>
          <w:rFonts w:cs="Arial"/>
          <w:b/>
          <w:lang w:val="en-US"/>
        </w:rPr>
        <w:t>t</w:t>
      </w:r>
      <w:r w:rsidR="009E27DB" w:rsidRPr="000A3AD5">
        <w:rPr>
          <w:rFonts w:cs="Arial"/>
          <w:b/>
          <w:lang w:val="en-US"/>
        </w:rPr>
        <w:t xml:space="preserve">, </w:t>
      </w:r>
      <w:r w:rsidRPr="000A3AD5">
        <w:rPr>
          <w:rFonts w:cs="Arial"/>
          <w:b/>
          <w:lang w:val="en-US"/>
        </w:rPr>
        <w:t xml:space="preserve"> </w:t>
      </w:r>
      <w:proofErr w:type="spellStart"/>
      <w:r w:rsidRPr="000A3AD5">
        <w:rPr>
          <w:rFonts w:cs="Arial"/>
          <w:b/>
          <w:lang w:val="en-US"/>
        </w:rPr>
        <w:t>Hatay</w:t>
      </w:r>
      <w:proofErr w:type="gramEnd"/>
      <w:r w:rsidRPr="000A3AD5">
        <w:rPr>
          <w:rFonts w:cs="Arial"/>
          <w:b/>
          <w:lang w:val="en-US"/>
        </w:rPr>
        <w:t>-Kahramanmaraş-Osmaniye</w:t>
      </w:r>
      <w:proofErr w:type="spellEnd"/>
      <w:r w:rsidRPr="000A3AD5">
        <w:rPr>
          <w:rFonts w:cs="Arial"/>
          <w:b/>
          <w:lang w:val="en-US"/>
        </w:rPr>
        <w:t xml:space="preserve"> (TR</w:t>
      </w:r>
      <w:r w:rsidR="009E27DB" w:rsidRPr="000A3AD5">
        <w:rPr>
          <w:rFonts w:cs="Arial"/>
          <w:b/>
          <w:lang w:val="en-US"/>
        </w:rPr>
        <w:t xml:space="preserve"> 63)</w:t>
      </w:r>
      <w:r w:rsidR="00564516" w:rsidRPr="000A3AD5">
        <w:rPr>
          <w:rFonts w:cs="Arial"/>
          <w:b/>
          <w:lang w:val="en-US"/>
        </w:rPr>
        <w:t xml:space="preserve"> </w:t>
      </w:r>
      <w:r w:rsidR="009E27DB" w:rsidRPr="000A3AD5">
        <w:rPr>
          <w:rFonts w:cs="Arial"/>
          <w:b/>
          <w:lang w:val="en-US"/>
        </w:rPr>
        <w:t>with 16.9 percent,</w:t>
      </w:r>
      <w:r w:rsidRPr="000A3AD5">
        <w:rPr>
          <w:rFonts w:cs="Arial"/>
          <w:b/>
          <w:lang w:val="en-US"/>
        </w:rPr>
        <w:t xml:space="preserve"> Gaziantep-</w:t>
      </w:r>
      <w:proofErr w:type="spellStart"/>
      <w:r w:rsidRPr="000A3AD5">
        <w:rPr>
          <w:rFonts w:cs="Arial"/>
          <w:b/>
          <w:lang w:val="en-US"/>
        </w:rPr>
        <w:t>Adıyaman</w:t>
      </w:r>
      <w:proofErr w:type="spellEnd"/>
      <w:r w:rsidRPr="000A3AD5">
        <w:rPr>
          <w:rFonts w:cs="Arial"/>
          <w:b/>
          <w:lang w:val="en-US"/>
        </w:rPr>
        <w:t>-</w:t>
      </w:r>
      <w:proofErr w:type="spellStart"/>
      <w:r w:rsidRPr="000A3AD5">
        <w:rPr>
          <w:rFonts w:cs="Arial"/>
          <w:b/>
          <w:lang w:val="en-US"/>
        </w:rPr>
        <w:t>Kilis</w:t>
      </w:r>
      <w:proofErr w:type="spellEnd"/>
      <w:r w:rsidRPr="000A3AD5">
        <w:rPr>
          <w:rFonts w:cs="Arial"/>
          <w:b/>
          <w:lang w:val="en-US"/>
        </w:rPr>
        <w:t xml:space="preserve"> (TRC 1) </w:t>
      </w:r>
      <w:r w:rsidR="009E27DB" w:rsidRPr="000A3AD5">
        <w:rPr>
          <w:rFonts w:cs="Arial"/>
          <w:b/>
          <w:lang w:val="en-US"/>
        </w:rPr>
        <w:t xml:space="preserve">with 15.8 percent and by </w:t>
      </w:r>
      <w:r w:rsidRPr="000A3AD5">
        <w:rPr>
          <w:rFonts w:cs="Arial"/>
          <w:b/>
          <w:lang w:val="en-US"/>
        </w:rPr>
        <w:t>İzmir (TR 31)</w:t>
      </w:r>
      <w:r w:rsidR="009E27DB" w:rsidRPr="000A3AD5">
        <w:rPr>
          <w:rFonts w:cs="Arial"/>
          <w:b/>
          <w:lang w:val="en-US"/>
        </w:rPr>
        <w:t xml:space="preserve"> with 15.2 percent. </w:t>
      </w:r>
      <w:r w:rsidR="00564516" w:rsidRPr="000A3AD5">
        <w:rPr>
          <w:rFonts w:cs="Arial"/>
          <w:lang w:val="en-US"/>
        </w:rPr>
        <w:t>It is worth mentioning that the ranking ac</w:t>
      </w:r>
      <w:r w:rsidR="009E27DB" w:rsidRPr="000A3AD5">
        <w:rPr>
          <w:rFonts w:cs="Arial"/>
          <w:lang w:val="en-US"/>
        </w:rPr>
        <w:t xml:space="preserve">cording to </w:t>
      </w:r>
      <w:r w:rsidR="002C4BFD" w:rsidRPr="000A3AD5">
        <w:rPr>
          <w:rFonts w:cs="Arial"/>
          <w:lang w:val="en-US"/>
        </w:rPr>
        <w:t xml:space="preserve">overall </w:t>
      </w:r>
      <w:r w:rsidR="009E27DB" w:rsidRPr="000A3AD5">
        <w:rPr>
          <w:rFonts w:cs="Arial"/>
          <w:lang w:val="en-US"/>
        </w:rPr>
        <w:t>unemploym</w:t>
      </w:r>
      <w:r w:rsidR="00564516" w:rsidRPr="000A3AD5">
        <w:rPr>
          <w:rFonts w:cs="Arial"/>
          <w:lang w:val="en-US"/>
        </w:rPr>
        <w:t>ent rates is not similar to the</w:t>
      </w:r>
      <w:r w:rsidR="009E27DB" w:rsidRPr="000A3AD5">
        <w:rPr>
          <w:rFonts w:cs="Arial"/>
          <w:lang w:val="en-US"/>
        </w:rPr>
        <w:t xml:space="preserve"> ranking</w:t>
      </w:r>
      <w:r w:rsidR="00564516" w:rsidRPr="000A3AD5">
        <w:rPr>
          <w:rFonts w:cs="Arial"/>
          <w:lang w:val="en-US"/>
        </w:rPr>
        <w:t xml:space="preserve"> with non-agricultural unemployment rates</w:t>
      </w:r>
      <w:r w:rsidR="009E27DB" w:rsidRPr="000A3AD5">
        <w:rPr>
          <w:rFonts w:cs="Arial"/>
          <w:lang w:val="en-US"/>
        </w:rPr>
        <w:t xml:space="preserve">. </w:t>
      </w:r>
      <w:r w:rsidR="002C4BFD" w:rsidRPr="000A3AD5">
        <w:rPr>
          <w:rFonts w:cs="Arial"/>
          <w:lang w:val="en-US"/>
        </w:rPr>
        <w:t xml:space="preserve"> </w:t>
      </w:r>
      <w:r w:rsidR="009E27DB" w:rsidRPr="000A3AD5">
        <w:rPr>
          <w:rFonts w:cs="Arial"/>
          <w:lang w:val="en-US"/>
        </w:rPr>
        <w:t>For</w:t>
      </w:r>
      <w:r w:rsidR="00564516" w:rsidRPr="000A3AD5">
        <w:rPr>
          <w:rFonts w:cs="Arial"/>
          <w:lang w:val="en-US"/>
        </w:rPr>
        <w:t xml:space="preserve"> </w:t>
      </w:r>
      <w:r w:rsidR="009E27DB" w:rsidRPr="000A3AD5">
        <w:rPr>
          <w:rFonts w:cs="Arial"/>
          <w:lang w:val="en-US"/>
        </w:rPr>
        <w:t>example, TR71 (Cappadocia) is ranked 6th</w:t>
      </w:r>
      <w:r w:rsidR="00564516" w:rsidRPr="000A3AD5">
        <w:rPr>
          <w:rFonts w:cs="Arial"/>
          <w:lang w:val="en-US"/>
        </w:rPr>
        <w:t xml:space="preserve"> place</w:t>
      </w:r>
      <w:r w:rsidR="009E27DB" w:rsidRPr="000A3AD5">
        <w:rPr>
          <w:rFonts w:cs="Arial"/>
          <w:lang w:val="en-US"/>
        </w:rPr>
        <w:t xml:space="preserve"> with </w:t>
      </w:r>
      <w:proofErr w:type="spellStart"/>
      <w:r w:rsidR="009E27DB" w:rsidRPr="000A3AD5">
        <w:rPr>
          <w:rFonts w:cs="Arial"/>
          <w:lang w:val="en-US"/>
        </w:rPr>
        <w:t>a</w:t>
      </w:r>
      <w:proofErr w:type="spellEnd"/>
      <w:r w:rsidR="009E27DB" w:rsidRPr="000A3AD5">
        <w:rPr>
          <w:rFonts w:cs="Arial"/>
          <w:lang w:val="en-US"/>
        </w:rPr>
        <w:t xml:space="preserve"> </w:t>
      </w:r>
      <w:r w:rsidR="002C4BFD" w:rsidRPr="000A3AD5">
        <w:rPr>
          <w:rFonts w:cs="Arial"/>
          <w:lang w:val="en-US"/>
        </w:rPr>
        <w:t xml:space="preserve">overall </w:t>
      </w:r>
      <w:r w:rsidR="009E27DB" w:rsidRPr="000A3AD5">
        <w:rPr>
          <w:rFonts w:cs="Arial"/>
          <w:lang w:val="en-US"/>
        </w:rPr>
        <w:t>unemployme</w:t>
      </w:r>
      <w:r w:rsidR="00564516" w:rsidRPr="000A3AD5">
        <w:rPr>
          <w:rFonts w:cs="Arial"/>
          <w:lang w:val="en-US"/>
        </w:rPr>
        <w:t xml:space="preserve">nt rate of 13.4 percent while it ranked in </w:t>
      </w:r>
      <w:r w:rsidR="009E27DB" w:rsidRPr="000A3AD5">
        <w:rPr>
          <w:rFonts w:cs="Arial"/>
          <w:lang w:val="en-US"/>
        </w:rPr>
        <w:t>3th</w:t>
      </w:r>
      <w:r w:rsidR="00564516" w:rsidRPr="000A3AD5">
        <w:rPr>
          <w:rFonts w:cs="Arial"/>
          <w:lang w:val="en-US"/>
        </w:rPr>
        <w:t xml:space="preserve"> place with </w:t>
      </w:r>
      <w:r w:rsidR="009E27DB" w:rsidRPr="000A3AD5">
        <w:rPr>
          <w:rFonts w:cs="Arial"/>
          <w:lang w:val="en-US"/>
        </w:rPr>
        <w:t>18 percent</w:t>
      </w:r>
      <w:r w:rsidR="00564516" w:rsidRPr="000A3AD5">
        <w:rPr>
          <w:rFonts w:cs="Arial"/>
          <w:lang w:val="en-US"/>
        </w:rPr>
        <w:t xml:space="preserve"> of</w:t>
      </w:r>
      <w:r w:rsidR="009E27DB" w:rsidRPr="000A3AD5">
        <w:rPr>
          <w:rFonts w:cs="Arial"/>
          <w:lang w:val="en-US"/>
        </w:rPr>
        <w:t xml:space="preserve"> </w:t>
      </w:r>
      <w:r w:rsidR="00FE42D4" w:rsidRPr="000A3AD5">
        <w:rPr>
          <w:rFonts w:cs="Arial"/>
          <w:lang w:val="en-US"/>
        </w:rPr>
        <w:t>non-agricultural</w:t>
      </w:r>
      <w:r w:rsidR="00564516" w:rsidRPr="000A3AD5">
        <w:rPr>
          <w:rFonts w:cs="Arial"/>
          <w:lang w:val="en-US"/>
        </w:rPr>
        <w:t xml:space="preserve"> unemployment.</w:t>
      </w:r>
      <w:r w:rsidR="00056018" w:rsidRPr="000A3AD5">
        <w:rPr>
          <w:rFonts w:cs="Arial"/>
          <w:lang w:val="en-US"/>
        </w:rPr>
        <w:t xml:space="preserve"> </w:t>
      </w:r>
    </w:p>
    <w:p w:rsidR="004711C4" w:rsidRPr="000A3AD5" w:rsidRDefault="00022E22" w:rsidP="00E9025C">
      <w:pPr>
        <w:jc w:val="both"/>
        <w:rPr>
          <w:rFonts w:cs="Arial"/>
          <w:lang w:val="en-US"/>
        </w:rPr>
      </w:pPr>
      <w:r w:rsidRPr="000A3AD5">
        <w:rPr>
          <w:rFonts w:cs="Arial"/>
          <w:lang w:val="en-US"/>
        </w:rPr>
        <w:t>The two</w:t>
      </w:r>
      <w:r w:rsidR="0062542B" w:rsidRPr="000A3AD5">
        <w:rPr>
          <w:rFonts w:cs="Arial"/>
          <w:lang w:val="en-US"/>
        </w:rPr>
        <w:t xml:space="preserve"> regions which have</w:t>
      </w:r>
      <w:r w:rsidRPr="000A3AD5">
        <w:rPr>
          <w:rFonts w:cs="Arial"/>
          <w:lang w:val="en-US"/>
        </w:rPr>
        <w:t xml:space="preserve"> the lowest unemployment are </w:t>
      </w:r>
      <w:proofErr w:type="spellStart"/>
      <w:r w:rsidRPr="000A3AD5">
        <w:rPr>
          <w:rFonts w:cs="Arial"/>
          <w:b/>
          <w:lang w:val="en-US"/>
        </w:rPr>
        <w:t>Manisa-Afyonkarahisar-Kütahya-Uşak</w:t>
      </w:r>
      <w:proofErr w:type="spellEnd"/>
      <w:r w:rsidRPr="000A3AD5">
        <w:rPr>
          <w:rFonts w:cs="Arial"/>
          <w:b/>
          <w:lang w:val="en-US"/>
        </w:rPr>
        <w:t xml:space="preserve"> (TR 33) (</w:t>
      </w:r>
      <w:r w:rsidR="0062542B" w:rsidRPr="000A3AD5">
        <w:rPr>
          <w:rFonts w:cs="Arial"/>
          <w:b/>
          <w:lang w:val="en-US"/>
        </w:rPr>
        <w:t>7.</w:t>
      </w:r>
      <w:r w:rsidRPr="000A3AD5">
        <w:rPr>
          <w:rFonts w:cs="Arial"/>
          <w:b/>
          <w:lang w:val="en-US"/>
        </w:rPr>
        <w:t>2 percent) and Trabzon-</w:t>
      </w:r>
      <w:proofErr w:type="spellStart"/>
      <w:r w:rsidRPr="000A3AD5">
        <w:rPr>
          <w:rFonts w:cs="Arial"/>
          <w:b/>
          <w:lang w:val="en-US"/>
        </w:rPr>
        <w:t>Ordu</w:t>
      </w:r>
      <w:proofErr w:type="spellEnd"/>
      <w:r w:rsidRPr="000A3AD5">
        <w:rPr>
          <w:rFonts w:cs="Arial"/>
          <w:b/>
          <w:lang w:val="en-US"/>
        </w:rPr>
        <w:t>-</w:t>
      </w:r>
      <w:proofErr w:type="spellStart"/>
      <w:r w:rsidRPr="000A3AD5">
        <w:rPr>
          <w:rFonts w:cs="Arial"/>
          <w:b/>
          <w:lang w:val="en-US"/>
        </w:rPr>
        <w:t>Giresun-Rize-Artvin-Gümüşhane</w:t>
      </w:r>
      <w:proofErr w:type="spellEnd"/>
      <w:r w:rsidRPr="000A3AD5">
        <w:rPr>
          <w:rFonts w:cs="Arial"/>
          <w:b/>
          <w:lang w:val="en-US"/>
        </w:rPr>
        <w:t xml:space="preserve"> (TR 90) (</w:t>
      </w:r>
      <w:r w:rsidR="0062542B" w:rsidRPr="000A3AD5">
        <w:rPr>
          <w:rFonts w:cs="Arial"/>
          <w:b/>
          <w:lang w:val="en-US"/>
        </w:rPr>
        <w:t>7.</w:t>
      </w:r>
      <w:r w:rsidRPr="000A3AD5">
        <w:rPr>
          <w:rFonts w:cs="Arial"/>
          <w:b/>
          <w:lang w:val="en-US"/>
        </w:rPr>
        <w:t xml:space="preserve">5 percent) regions. </w:t>
      </w:r>
      <w:r w:rsidR="00611E0C" w:rsidRPr="000A3AD5">
        <w:rPr>
          <w:rFonts w:cs="Arial"/>
          <w:lang w:val="en-US"/>
        </w:rPr>
        <w:t>These two regions are followed by Konya-</w:t>
      </w:r>
      <w:proofErr w:type="spellStart"/>
      <w:r w:rsidR="00611E0C" w:rsidRPr="000A3AD5">
        <w:rPr>
          <w:rFonts w:cs="Arial"/>
          <w:lang w:val="en-US"/>
        </w:rPr>
        <w:t>Karaman</w:t>
      </w:r>
      <w:proofErr w:type="spellEnd"/>
      <w:r w:rsidR="00611E0C" w:rsidRPr="000A3AD5">
        <w:rPr>
          <w:rFonts w:cs="Arial"/>
          <w:lang w:val="en-US"/>
        </w:rPr>
        <w:t xml:space="preserve"> (TR 52</w:t>
      </w:r>
      <w:r w:rsidR="0062542B" w:rsidRPr="000A3AD5">
        <w:rPr>
          <w:rFonts w:cs="Arial"/>
          <w:lang w:val="en-US"/>
        </w:rPr>
        <w:t>)</w:t>
      </w:r>
      <w:r w:rsidR="00611E0C" w:rsidRPr="000A3AD5">
        <w:rPr>
          <w:rFonts w:cs="Arial"/>
          <w:lang w:val="en-US"/>
        </w:rPr>
        <w:t xml:space="preserve"> with 8 percent and </w:t>
      </w:r>
      <w:proofErr w:type="spellStart"/>
      <w:r w:rsidR="00611E0C" w:rsidRPr="000A3AD5">
        <w:rPr>
          <w:rFonts w:cs="Arial"/>
          <w:lang w:val="en-US"/>
        </w:rPr>
        <w:t>Tekirdağ</w:t>
      </w:r>
      <w:proofErr w:type="spellEnd"/>
      <w:r w:rsidR="00611E0C" w:rsidRPr="000A3AD5">
        <w:rPr>
          <w:rFonts w:cs="Arial"/>
          <w:lang w:val="en-US"/>
        </w:rPr>
        <w:t>-</w:t>
      </w:r>
      <w:proofErr w:type="spellStart"/>
      <w:r w:rsidR="00611E0C" w:rsidRPr="000A3AD5">
        <w:rPr>
          <w:rFonts w:cs="Arial"/>
          <w:lang w:val="en-US"/>
        </w:rPr>
        <w:t>Kırklareli</w:t>
      </w:r>
      <w:proofErr w:type="spellEnd"/>
      <w:r w:rsidR="00611E0C" w:rsidRPr="000A3AD5">
        <w:rPr>
          <w:rFonts w:cs="Arial"/>
          <w:lang w:val="en-US"/>
        </w:rPr>
        <w:t xml:space="preserve">-Edirne (TR 21), </w:t>
      </w:r>
      <w:proofErr w:type="spellStart"/>
      <w:r w:rsidR="00611E0C" w:rsidRPr="000A3AD5">
        <w:rPr>
          <w:rFonts w:cs="Arial"/>
          <w:lang w:val="en-US"/>
        </w:rPr>
        <w:t>Balıkesir-Çanakkale</w:t>
      </w:r>
      <w:proofErr w:type="spellEnd"/>
      <w:r w:rsidR="00611E0C" w:rsidRPr="000A3AD5">
        <w:rPr>
          <w:rFonts w:cs="Arial"/>
          <w:lang w:val="en-US"/>
        </w:rPr>
        <w:t xml:space="preserve"> (TR 22), Aydın-</w:t>
      </w:r>
      <w:proofErr w:type="spellStart"/>
      <w:r w:rsidR="00611E0C" w:rsidRPr="000A3AD5">
        <w:rPr>
          <w:rFonts w:cs="Arial"/>
          <w:lang w:val="en-US"/>
        </w:rPr>
        <w:t>Denizli</w:t>
      </w:r>
      <w:proofErr w:type="spellEnd"/>
      <w:r w:rsidR="00611E0C" w:rsidRPr="000A3AD5">
        <w:rPr>
          <w:rFonts w:cs="Arial"/>
          <w:lang w:val="en-US"/>
        </w:rPr>
        <w:t>-</w:t>
      </w:r>
      <w:proofErr w:type="spellStart"/>
      <w:r w:rsidR="00611E0C" w:rsidRPr="000A3AD5">
        <w:rPr>
          <w:rFonts w:cs="Arial"/>
          <w:lang w:val="en-US"/>
        </w:rPr>
        <w:t>Muğla</w:t>
      </w:r>
      <w:proofErr w:type="spellEnd"/>
      <w:r w:rsidR="00611E0C" w:rsidRPr="000A3AD5">
        <w:rPr>
          <w:rFonts w:cs="Arial"/>
          <w:lang w:val="en-US"/>
        </w:rPr>
        <w:t xml:space="preserve"> (TR 32), Erzurum-Erzincan-</w:t>
      </w:r>
      <w:proofErr w:type="spellStart"/>
      <w:r w:rsidR="00611E0C" w:rsidRPr="000A3AD5">
        <w:rPr>
          <w:rFonts w:cs="Arial"/>
          <w:lang w:val="en-US"/>
        </w:rPr>
        <w:t>Bayburt</w:t>
      </w:r>
      <w:proofErr w:type="spellEnd"/>
      <w:r w:rsidR="00611E0C" w:rsidRPr="000A3AD5">
        <w:rPr>
          <w:rFonts w:cs="Arial"/>
          <w:lang w:val="en-US"/>
        </w:rPr>
        <w:t xml:space="preserve"> (TRA 1)</w:t>
      </w:r>
      <w:r w:rsidR="0062542B" w:rsidRPr="000A3AD5">
        <w:rPr>
          <w:rFonts w:cs="Arial"/>
          <w:lang w:val="en-US"/>
        </w:rPr>
        <w:t xml:space="preserve"> </w:t>
      </w:r>
      <w:r w:rsidR="00B92817" w:rsidRPr="000A3AD5">
        <w:rPr>
          <w:rFonts w:cs="Arial"/>
          <w:lang w:val="en-US"/>
        </w:rPr>
        <w:t>regions with an unemp</w:t>
      </w:r>
      <w:r w:rsidR="00611E0C" w:rsidRPr="000A3AD5">
        <w:rPr>
          <w:rFonts w:cs="Arial"/>
          <w:lang w:val="en-US"/>
        </w:rPr>
        <w:t>l</w:t>
      </w:r>
      <w:r w:rsidR="00B92817" w:rsidRPr="000A3AD5">
        <w:rPr>
          <w:rFonts w:cs="Arial"/>
          <w:lang w:val="en-US"/>
        </w:rPr>
        <w:t>o</w:t>
      </w:r>
      <w:r w:rsidR="00611E0C" w:rsidRPr="000A3AD5">
        <w:rPr>
          <w:rFonts w:cs="Arial"/>
          <w:lang w:val="en-US"/>
        </w:rPr>
        <w:t xml:space="preserve">yment rate of 8.8 percent.  </w:t>
      </w:r>
    </w:p>
    <w:p w:rsidR="009B4958" w:rsidRPr="000A3AD5" w:rsidRDefault="009B4958" w:rsidP="00646A69">
      <w:pPr>
        <w:rPr>
          <w:rFonts w:cs="Arial"/>
          <w:b/>
          <w:lang w:val="en-US"/>
        </w:rPr>
      </w:pPr>
      <w:r w:rsidRPr="000A3AD5">
        <w:rPr>
          <w:rFonts w:cs="Arial"/>
          <w:lang w:val="en-US"/>
        </w:rPr>
        <w:lastRenderedPageBreak/>
        <w:t>A</w:t>
      </w:r>
      <w:r w:rsidR="00B92817" w:rsidRPr="000A3AD5">
        <w:rPr>
          <w:rFonts w:cs="Arial"/>
          <w:lang w:val="en-US"/>
        </w:rPr>
        <w:t xml:space="preserve">s we </w:t>
      </w:r>
      <w:r w:rsidR="00352888" w:rsidRPr="000A3AD5">
        <w:rPr>
          <w:rFonts w:cs="Arial"/>
          <w:lang w:val="en-US"/>
        </w:rPr>
        <w:t>underlined in</w:t>
      </w:r>
      <w:r w:rsidR="00B92817" w:rsidRPr="000A3AD5">
        <w:rPr>
          <w:rFonts w:cs="Arial"/>
          <w:lang w:val="en-US"/>
        </w:rPr>
        <w:t xml:space="preserve"> the methodology</w:t>
      </w:r>
      <w:r w:rsidRPr="000A3AD5">
        <w:rPr>
          <w:rFonts w:cs="Arial"/>
          <w:lang w:val="en-US"/>
        </w:rPr>
        <w:t xml:space="preserve"> pa</w:t>
      </w:r>
      <w:r w:rsidR="00B63AE9" w:rsidRPr="000A3AD5">
        <w:rPr>
          <w:rFonts w:cs="Arial"/>
          <w:lang w:val="en-US"/>
        </w:rPr>
        <w:t>rt,</w:t>
      </w:r>
      <w:r w:rsidR="00B92817" w:rsidRPr="000A3AD5">
        <w:rPr>
          <w:rFonts w:cs="Arial"/>
          <w:lang w:val="en-US"/>
        </w:rPr>
        <w:t xml:space="preserve"> even</w:t>
      </w:r>
      <w:r w:rsidRPr="000A3AD5">
        <w:rPr>
          <w:rFonts w:cs="Arial"/>
          <w:lang w:val="en-US"/>
        </w:rPr>
        <w:t xml:space="preserve"> a </w:t>
      </w:r>
      <w:r w:rsidR="00352888" w:rsidRPr="000A3AD5">
        <w:rPr>
          <w:rFonts w:cs="Arial"/>
          <w:lang w:val="en-US"/>
        </w:rPr>
        <w:t>comparison</w:t>
      </w:r>
      <w:r w:rsidRPr="000A3AD5">
        <w:rPr>
          <w:rFonts w:cs="Arial"/>
          <w:lang w:val="en-US"/>
        </w:rPr>
        <w:t xml:space="preserve"> li</w:t>
      </w:r>
      <w:r w:rsidR="00B92817" w:rsidRPr="000A3AD5">
        <w:rPr>
          <w:rFonts w:cs="Arial"/>
          <w:lang w:val="en-US"/>
        </w:rPr>
        <w:t xml:space="preserve">mited </w:t>
      </w:r>
      <w:r w:rsidRPr="000A3AD5">
        <w:rPr>
          <w:rFonts w:cs="Arial"/>
          <w:lang w:val="en-US"/>
        </w:rPr>
        <w:t xml:space="preserve">to </w:t>
      </w:r>
      <w:r w:rsidR="00FE42D4" w:rsidRPr="000A3AD5">
        <w:rPr>
          <w:rFonts w:cs="Arial"/>
          <w:lang w:val="en-US"/>
        </w:rPr>
        <w:t>non-agricultural</w:t>
      </w:r>
      <w:r w:rsidRPr="000A3AD5">
        <w:rPr>
          <w:rFonts w:cs="Arial"/>
          <w:lang w:val="en-US"/>
        </w:rPr>
        <w:t xml:space="preserve"> unemployment </w:t>
      </w:r>
      <w:r w:rsidR="00352888" w:rsidRPr="000A3AD5">
        <w:rPr>
          <w:rFonts w:cs="Arial"/>
          <w:lang w:val="en-US"/>
        </w:rPr>
        <w:t>might</w:t>
      </w:r>
      <w:r w:rsidR="00B63AE9" w:rsidRPr="000A3AD5">
        <w:rPr>
          <w:rFonts w:cs="Arial"/>
          <w:lang w:val="en-US"/>
        </w:rPr>
        <w:t xml:space="preserve"> </w:t>
      </w:r>
      <w:r w:rsidRPr="000A3AD5">
        <w:rPr>
          <w:rFonts w:cs="Arial"/>
          <w:lang w:val="en-US"/>
        </w:rPr>
        <w:t xml:space="preserve">not be </w:t>
      </w:r>
      <w:r w:rsidR="00B92817" w:rsidRPr="000A3AD5">
        <w:rPr>
          <w:rFonts w:cs="Arial"/>
          <w:lang w:val="en-US"/>
        </w:rPr>
        <w:t>sufficient</w:t>
      </w:r>
      <w:r w:rsidR="00291005" w:rsidRPr="000A3AD5">
        <w:rPr>
          <w:rFonts w:cs="Arial"/>
          <w:lang w:val="en-US"/>
        </w:rPr>
        <w:t xml:space="preserve"> for evaluating </w:t>
      </w:r>
      <w:r w:rsidR="002C4BFD" w:rsidRPr="000A3AD5">
        <w:rPr>
          <w:rFonts w:cs="Arial"/>
          <w:lang w:val="en-US"/>
        </w:rPr>
        <w:t xml:space="preserve">the </w:t>
      </w:r>
      <w:r w:rsidR="00291005" w:rsidRPr="000A3AD5">
        <w:rPr>
          <w:rFonts w:cs="Arial"/>
          <w:lang w:val="en-US"/>
        </w:rPr>
        <w:t>labor market performances</w:t>
      </w:r>
      <w:r w:rsidR="002C4BFD" w:rsidRPr="000A3AD5">
        <w:rPr>
          <w:rFonts w:cs="Arial"/>
          <w:lang w:val="en-US"/>
        </w:rPr>
        <w:t xml:space="preserve"> of the regions. </w:t>
      </w:r>
      <w:r w:rsidR="00352888" w:rsidRPr="000A3AD5">
        <w:rPr>
          <w:rFonts w:cs="Arial"/>
          <w:lang w:val="en-US"/>
        </w:rPr>
        <w:t>W</w:t>
      </w:r>
      <w:r w:rsidR="009A0FB8" w:rsidRPr="000A3AD5">
        <w:rPr>
          <w:rFonts w:cs="Arial"/>
          <w:lang w:val="en-US"/>
        </w:rPr>
        <w:t>e ob</w:t>
      </w:r>
      <w:r w:rsidR="002C4BFD" w:rsidRPr="000A3AD5">
        <w:rPr>
          <w:rFonts w:cs="Arial"/>
          <w:lang w:val="en-US"/>
        </w:rPr>
        <w:t xml:space="preserve">tain </w:t>
      </w:r>
      <w:r w:rsidR="009A0FB8" w:rsidRPr="000A3AD5">
        <w:rPr>
          <w:rFonts w:cs="Arial"/>
          <w:lang w:val="en-US"/>
        </w:rPr>
        <w:t xml:space="preserve">a different </w:t>
      </w:r>
      <w:r w:rsidR="002C4BFD" w:rsidRPr="000A3AD5">
        <w:rPr>
          <w:rFonts w:cs="Arial"/>
          <w:lang w:val="en-US"/>
        </w:rPr>
        <w:t xml:space="preserve">picture </w:t>
      </w:r>
      <w:r w:rsidR="00352888" w:rsidRPr="000A3AD5">
        <w:rPr>
          <w:rFonts w:cs="Arial"/>
          <w:lang w:val="en-US"/>
        </w:rPr>
        <w:t>when unemployment rates are considered together with employment ratios (non-agricultural employment/working age popul</w:t>
      </w:r>
      <w:r w:rsidR="009A0FB8" w:rsidRPr="000A3AD5">
        <w:rPr>
          <w:rFonts w:cs="Arial"/>
          <w:lang w:val="en-US"/>
        </w:rPr>
        <w:t>ation</w:t>
      </w:r>
      <w:r w:rsidR="002C4BFD" w:rsidRPr="000A3AD5">
        <w:rPr>
          <w:rFonts w:cs="Arial"/>
          <w:lang w:val="en-US"/>
        </w:rPr>
        <w:t xml:space="preserve"> </w:t>
      </w:r>
      <w:r w:rsidR="009A0FB8" w:rsidRPr="000A3AD5">
        <w:rPr>
          <w:rFonts w:cs="Arial"/>
          <w:lang w:val="en-US"/>
        </w:rPr>
        <w:t>-</w:t>
      </w:r>
      <w:r w:rsidR="002C4BFD" w:rsidRPr="000A3AD5">
        <w:rPr>
          <w:rFonts w:cs="Arial"/>
          <w:lang w:val="en-US"/>
        </w:rPr>
        <w:t xml:space="preserve"> </w:t>
      </w:r>
      <w:r w:rsidR="009A0FB8" w:rsidRPr="000A3AD5">
        <w:rPr>
          <w:rFonts w:cs="Arial"/>
          <w:lang w:val="en-US"/>
        </w:rPr>
        <w:t>agricultural employment</w:t>
      </w:r>
      <w:r w:rsidR="002C4BFD" w:rsidRPr="000A3AD5">
        <w:rPr>
          <w:rFonts w:cs="Arial"/>
          <w:lang w:val="en-US"/>
        </w:rPr>
        <w:t xml:space="preserve">; </w:t>
      </w:r>
      <w:r w:rsidR="009A0FB8" w:rsidRPr="000A3AD5">
        <w:rPr>
          <w:rFonts w:cs="Arial"/>
          <w:lang w:val="en-US"/>
        </w:rPr>
        <w:t>S</w:t>
      </w:r>
      <w:r w:rsidR="00352888" w:rsidRPr="000A3AD5">
        <w:rPr>
          <w:rFonts w:cs="Arial"/>
          <w:lang w:val="en-US"/>
        </w:rPr>
        <w:t xml:space="preserve">ee annex table). </w:t>
      </w:r>
      <w:r w:rsidR="009A0FB8" w:rsidRPr="000A3AD5">
        <w:rPr>
          <w:rFonts w:cs="Arial"/>
          <w:lang w:val="en-US"/>
        </w:rPr>
        <w:t xml:space="preserve">Taking </w:t>
      </w:r>
      <w:r w:rsidR="002C4BFD" w:rsidRPr="000A3AD5">
        <w:rPr>
          <w:rFonts w:cs="Arial"/>
          <w:lang w:val="en-US"/>
        </w:rPr>
        <w:t xml:space="preserve">them both </w:t>
      </w:r>
      <w:r w:rsidR="009A0FB8" w:rsidRPr="000A3AD5">
        <w:rPr>
          <w:rFonts w:cs="Arial"/>
          <w:lang w:val="en-US"/>
        </w:rPr>
        <w:t>into consideration</w:t>
      </w:r>
      <w:r w:rsidR="002C4BFD" w:rsidRPr="000A3AD5">
        <w:rPr>
          <w:rFonts w:cs="Arial"/>
          <w:lang w:val="en-US"/>
        </w:rPr>
        <w:t xml:space="preserve">, </w:t>
      </w:r>
      <w:r w:rsidR="009A0FB8" w:rsidRPr="000A3AD5">
        <w:rPr>
          <w:rFonts w:cs="Arial"/>
          <w:lang w:val="en-US"/>
        </w:rPr>
        <w:t>we can rank 26</w:t>
      </w:r>
      <w:r w:rsidR="00352888" w:rsidRPr="000A3AD5">
        <w:rPr>
          <w:rFonts w:cs="Arial"/>
          <w:lang w:val="en-US"/>
        </w:rPr>
        <w:t xml:space="preserve"> regions as shown in </w:t>
      </w:r>
      <w:r w:rsidR="009A0FB8" w:rsidRPr="000A3AD5">
        <w:rPr>
          <w:rFonts w:cs="Arial"/>
          <w:lang w:val="en-US"/>
        </w:rPr>
        <w:t>the F</w:t>
      </w:r>
      <w:r w:rsidR="00352888" w:rsidRPr="000A3AD5">
        <w:rPr>
          <w:rFonts w:cs="Arial"/>
          <w:lang w:val="en-US"/>
        </w:rPr>
        <w:t xml:space="preserve">igure 2. </w:t>
      </w:r>
      <w:r w:rsidR="00BC550F" w:rsidRPr="000A3AD5">
        <w:rPr>
          <w:rFonts w:cs="Arial"/>
          <w:lang w:val="en-US"/>
        </w:rPr>
        <w:t>Interregional comparison becomes</w:t>
      </w:r>
      <w:r w:rsidR="009A0FB8" w:rsidRPr="000A3AD5">
        <w:rPr>
          <w:rFonts w:cs="Arial"/>
          <w:lang w:val="en-US"/>
        </w:rPr>
        <w:t xml:space="preserve"> </w:t>
      </w:r>
      <w:r w:rsidR="002C4BFD" w:rsidRPr="000A3AD5">
        <w:rPr>
          <w:rFonts w:cs="Arial"/>
          <w:lang w:val="en-US"/>
        </w:rPr>
        <w:t xml:space="preserve">easier </w:t>
      </w:r>
      <w:r w:rsidR="009A0FB8" w:rsidRPr="000A3AD5">
        <w:rPr>
          <w:rFonts w:cs="Arial"/>
          <w:lang w:val="en-US"/>
        </w:rPr>
        <w:t>and more comprehensible when the figure</w:t>
      </w:r>
      <w:r w:rsidR="00BC550F" w:rsidRPr="000A3AD5">
        <w:rPr>
          <w:rFonts w:cs="Arial"/>
          <w:lang w:val="en-US"/>
        </w:rPr>
        <w:t xml:space="preserve"> is divided in</w:t>
      </w:r>
      <w:r w:rsidR="002C4BFD" w:rsidRPr="000A3AD5">
        <w:rPr>
          <w:rFonts w:cs="Arial"/>
          <w:lang w:val="en-US"/>
        </w:rPr>
        <w:t>to</w:t>
      </w:r>
      <w:r w:rsidR="00BC550F" w:rsidRPr="000A3AD5">
        <w:rPr>
          <w:rFonts w:cs="Arial"/>
          <w:lang w:val="en-US"/>
        </w:rPr>
        <w:t xml:space="preserve"> four </w:t>
      </w:r>
      <w:r w:rsidR="002C4BFD" w:rsidRPr="000A3AD5">
        <w:rPr>
          <w:rFonts w:cs="Arial"/>
          <w:lang w:val="en-US"/>
        </w:rPr>
        <w:t>sub-spaces</w:t>
      </w:r>
      <w:r w:rsidR="00BC550F" w:rsidRPr="000A3AD5">
        <w:rPr>
          <w:rFonts w:cs="Arial"/>
          <w:lang w:val="en-US"/>
        </w:rPr>
        <w:t xml:space="preserve"> </w:t>
      </w:r>
      <w:r w:rsidR="002C4BFD" w:rsidRPr="000A3AD5">
        <w:rPr>
          <w:rFonts w:cs="Arial"/>
          <w:lang w:val="en-US"/>
        </w:rPr>
        <w:t xml:space="preserve">by the </w:t>
      </w:r>
      <w:r w:rsidR="009A0FB8" w:rsidRPr="000A3AD5">
        <w:rPr>
          <w:rFonts w:cs="Arial"/>
          <w:lang w:val="en-US"/>
        </w:rPr>
        <w:t>average</w:t>
      </w:r>
      <w:r w:rsidR="00BC550F" w:rsidRPr="000A3AD5">
        <w:rPr>
          <w:rFonts w:cs="Arial"/>
          <w:lang w:val="en-US"/>
        </w:rPr>
        <w:t xml:space="preserve"> unemployment rate of 13 percent and </w:t>
      </w:r>
      <w:r w:rsidR="009A0FB8" w:rsidRPr="000A3AD5">
        <w:rPr>
          <w:rFonts w:cs="Arial"/>
          <w:lang w:val="en-US"/>
        </w:rPr>
        <w:t xml:space="preserve">the average </w:t>
      </w:r>
      <w:r w:rsidR="00BC550F" w:rsidRPr="000A3AD5">
        <w:rPr>
          <w:rFonts w:cs="Arial"/>
          <w:lang w:val="en-US"/>
        </w:rPr>
        <w:t>employment ratio of 38 percent.</w:t>
      </w:r>
      <w:r w:rsidR="009A0FB8" w:rsidRPr="000A3AD5">
        <w:rPr>
          <w:rFonts w:cs="Arial"/>
          <w:lang w:val="en-US"/>
        </w:rPr>
        <w:t xml:space="preserve"> </w:t>
      </w:r>
      <w:r w:rsidR="008F250D" w:rsidRPr="000A3AD5">
        <w:rPr>
          <w:rFonts w:cs="Arial"/>
          <w:lang w:val="en-US"/>
        </w:rPr>
        <w:t>T</w:t>
      </w:r>
      <w:r w:rsidR="009A0FB8" w:rsidRPr="000A3AD5">
        <w:rPr>
          <w:rFonts w:cs="Arial"/>
          <w:b/>
          <w:color w:val="000000" w:themeColor="text1"/>
          <w:lang w:val="en-US"/>
        </w:rPr>
        <w:t xml:space="preserve">he worst regions </w:t>
      </w:r>
      <w:r w:rsidR="008F250D" w:rsidRPr="000A3AD5">
        <w:rPr>
          <w:rFonts w:cs="Arial"/>
          <w:b/>
          <w:color w:val="000000" w:themeColor="text1"/>
          <w:lang w:val="en-US"/>
        </w:rPr>
        <w:t xml:space="preserve">are placed </w:t>
      </w:r>
      <w:r w:rsidR="009A0FB8" w:rsidRPr="000A3AD5">
        <w:rPr>
          <w:rFonts w:cs="Arial"/>
          <w:b/>
          <w:color w:val="000000" w:themeColor="text1"/>
          <w:lang w:val="en-US"/>
        </w:rPr>
        <w:t>on the upper left part</w:t>
      </w:r>
      <w:r w:rsidR="009A0FB8" w:rsidRPr="000A3AD5">
        <w:rPr>
          <w:rFonts w:cs="Arial"/>
          <w:lang w:val="en-US"/>
        </w:rPr>
        <w:t>.</w:t>
      </w:r>
      <w:r w:rsidR="00BC550F" w:rsidRPr="000A3AD5">
        <w:rPr>
          <w:rFonts w:cs="Arial"/>
          <w:lang w:val="en-US"/>
        </w:rPr>
        <w:t xml:space="preserve"> </w:t>
      </w:r>
      <w:r w:rsidR="009A0FB8" w:rsidRPr="000A3AD5">
        <w:rPr>
          <w:rFonts w:cs="Arial"/>
          <w:lang w:val="en-US"/>
        </w:rPr>
        <w:t>The</w:t>
      </w:r>
      <w:r w:rsidR="009A0FB8" w:rsidRPr="000A3AD5">
        <w:rPr>
          <w:rFonts w:cs="Arial"/>
          <w:b/>
          <w:lang w:val="en-US"/>
        </w:rPr>
        <w:t xml:space="preserve"> </w:t>
      </w:r>
      <w:r w:rsidR="009A0FB8" w:rsidRPr="000A3AD5">
        <w:rPr>
          <w:rFonts w:cs="Arial"/>
          <w:lang w:val="en-US"/>
        </w:rPr>
        <w:t>u</w:t>
      </w:r>
      <w:r w:rsidR="00CD7703" w:rsidRPr="000A3AD5">
        <w:rPr>
          <w:rFonts w:cs="Arial"/>
          <w:lang w:val="en-US"/>
        </w:rPr>
        <w:t xml:space="preserve">nemployment rates of these regions are above of </w:t>
      </w:r>
      <w:r w:rsidR="009A0FB8" w:rsidRPr="000A3AD5">
        <w:rPr>
          <w:rFonts w:cs="Arial"/>
          <w:lang w:val="en-US"/>
        </w:rPr>
        <w:t xml:space="preserve">the </w:t>
      </w:r>
      <w:r w:rsidR="002C4BFD" w:rsidRPr="000A3AD5">
        <w:rPr>
          <w:rFonts w:cs="Arial"/>
          <w:lang w:val="en-US"/>
        </w:rPr>
        <w:t xml:space="preserve">national </w:t>
      </w:r>
      <w:r w:rsidR="00CD7703" w:rsidRPr="000A3AD5">
        <w:rPr>
          <w:rFonts w:cs="Arial"/>
          <w:lang w:val="en-US"/>
        </w:rPr>
        <w:t xml:space="preserve">level while their employment ratios are below </w:t>
      </w:r>
      <w:r w:rsidR="009A0FB8" w:rsidRPr="000A3AD5">
        <w:rPr>
          <w:rFonts w:cs="Arial"/>
          <w:lang w:val="en-US"/>
        </w:rPr>
        <w:t>the</w:t>
      </w:r>
      <w:r w:rsidR="002C4BFD" w:rsidRPr="000A3AD5">
        <w:rPr>
          <w:rFonts w:cs="Arial"/>
          <w:lang w:val="en-US"/>
        </w:rPr>
        <w:t xml:space="preserve"> corresponding national </w:t>
      </w:r>
      <w:r w:rsidR="00CD7703" w:rsidRPr="000A3AD5">
        <w:rPr>
          <w:rFonts w:cs="Arial"/>
          <w:lang w:val="en-US"/>
        </w:rPr>
        <w:t xml:space="preserve">level. </w:t>
      </w:r>
      <w:r w:rsidR="009A0FB8" w:rsidRPr="000A3AD5">
        <w:rPr>
          <w:rFonts w:cs="Arial"/>
          <w:lang w:val="en-US"/>
        </w:rPr>
        <w:t>On the other hand,</w:t>
      </w:r>
      <w:r w:rsidR="00E86375" w:rsidRPr="000A3AD5">
        <w:rPr>
          <w:rFonts w:cs="Arial"/>
          <w:lang w:val="en-US"/>
        </w:rPr>
        <w:t xml:space="preserve"> </w:t>
      </w:r>
      <w:r w:rsidR="009A0FB8" w:rsidRPr="000A3AD5">
        <w:rPr>
          <w:rFonts w:cs="Arial"/>
          <w:b/>
          <w:lang w:val="en-US"/>
        </w:rPr>
        <w:t xml:space="preserve">the best regions </w:t>
      </w:r>
      <w:r w:rsidR="008F250D" w:rsidRPr="000A3AD5">
        <w:rPr>
          <w:rFonts w:cs="Arial"/>
          <w:b/>
          <w:lang w:val="en-US"/>
        </w:rPr>
        <w:t xml:space="preserve">are placed </w:t>
      </w:r>
      <w:r w:rsidR="009A0FB8" w:rsidRPr="000A3AD5">
        <w:rPr>
          <w:rFonts w:cs="Arial"/>
          <w:b/>
          <w:lang w:val="en-US"/>
        </w:rPr>
        <w:t>on the lower right part of the figure</w:t>
      </w:r>
      <w:r w:rsidR="00E86375" w:rsidRPr="000A3AD5">
        <w:rPr>
          <w:rFonts w:cs="Arial"/>
          <w:b/>
          <w:lang w:val="en-US"/>
        </w:rPr>
        <w:t xml:space="preserve">. </w:t>
      </w:r>
    </w:p>
    <w:p w:rsidR="00DF0A91" w:rsidRPr="000A3AD5" w:rsidRDefault="00ED4462" w:rsidP="00DF0A91">
      <w:pPr>
        <w:pStyle w:val="Caption"/>
        <w:keepNext/>
        <w:spacing w:line="276" w:lineRule="auto"/>
        <w:rPr>
          <w:noProof/>
          <w:lang w:val="en-US"/>
        </w:rPr>
      </w:pPr>
      <w:r w:rsidRPr="000A3AD5">
        <w:rPr>
          <w:color w:val="auto"/>
          <w:sz w:val="22"/>
          <w:szCs w:val="22"/>
          <w:lang w:val="en-US"/>
        </w:rPr>
        <w:t xml:space="preserve">Figure 2: </w:t>
      </w:r>
      <w:r w:rsidR="00554C1E" w:rsidRPr="000A3AD5">
        <w:rPr>
          <w:color w:val="auto"/>
          <w:sz w:val="22"/>
          <w:szCs w:val="22"/>
          <w:lang w:val="en-US"/>
        </w:rPr>
        <w:t>Regional distribution of</w:t>
      </w:r>
      <w:r w:rsidRPr="000A3AD5">
        <w:rPr>
          <w:color w:val="auto"/>
          <w:sz w:val="22"/>
          <w:szCs w:val="22"/>
          <w:lang w:val="en-US"/>
        </w:rPr>
        <w:t xml:space="preserve"> non</w:t>
      </w:r>
      <w:r w:rsidR="00554C1E" w:rsidRPr="000A3AD5">
        <w:rPr>
          <w:color w:val="auto"/>
          <w:sz w:val="22"/>
          <w:szCs w:val="22"/>
          <w:lang w:val="en-US"/>
        </w:rPr>
        <w:t>-agricultural unemployment</w:t>
      </w:r>
      <w:r w:rsidRPr="000A3AD5">
        <w:rPr>
          <w:color w:val="auto"/>
          <w:sz w:val="22"/>
          <w:szCs w:val="22"/>
          <w:lang w:val="en-US"/>
        </w:rPr>
        <w:t xml:space="preserve"> and n</w:t>
      </w:r>
      <w:r w:rsidR="00554C1E" w:rsidRPr="000A3AD5">
        <w:rPr>
          <w:color w:val="auto"/>
          <w:sz w:val="22"/>
          <w:szCs w:val="22"/>
          <w:lang w:val="en-US"/>
        </w:rPr>
        <w:t>on-agricultural employment rate</w:t>
      </w:r>
      <w:r w:rsidRPr="000A3AD5">
        <w:rPr>
          <w:color w:val="auto"/>
          <w:sz w:val="22"/>
          <w:szCs w:val="22"/>
          <w:lang w:val="en-US"/>
        </w:rPr>
        <w:t>s (%, 2016)</w:t>
      </w:r>
      <w:r w:rsidR="00DF0A91" w:rsidRPr="000A3AD5">
        <w:rPr>
          <w:noProof/>
          <w:lang w:val="en-US"/>
        </w:rPr>
        <w:br/>
      </w:r>
      <w:r w:rsidR="00E9025C" w:rsidRPr="000A3AD5">
        <w:rPr>
          <w:noProof/>
        </w:rPr>
        <w:drawing>
          <wp:inline distT="0" distB="0" distL="0" distR="0">
            <wp:extent cx="4791075" cy="3413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3255" cy="3429019"/>
                    </a:xfrm>
                    <a:prstGeom prst="rect">
                      <a:avLst/>
                    </a:prstGeom>
                  </pic:spPr>
                </pic:pic>
              </a:graphicData>
            </a:graphic>
          </wp:inline>
        </w:drawing>
      </w:r>
    </w:p>
    <w:p w:rsidR="00C46463" w:rsidRPr="000A3AD5" w:rsidRDefault="00554C1E" w:rsidP="00554C1E">
      <w:pPr>
        <w:pStyle w:val="Caption"/>
        <w:keepNext/>
        <w:spacing w:line="276" w:lineRule="auto"/>
        <w:rPr>
          <w:b w:val="0"/>
          <w:color w:val="000000" w:themeColor="text1"/>
          <w:sz w:val="16"/>
          <w:szCs w:val="16"/>
          <w:lang w:val="en-US"/>
        </w:rPr>
      </w:pPr>
      <w:r w:rsidRPr="000A3AD5">
        <w:rPr>
          <w:color w:val="000000" w:themeColor="text1"/>
          <w:sz w:val="16"/>
          <w:szCs w:val="16"/>
          <w:lang w:val="en-US"/>
        </w:rPr>
        <w:t>Source</w:t>
      </w:r>
      <w:r w:rsidRPr="000A3AD5">
        <w:rPr>
          <w:b w:val="0"/>
          <w:color w:val="000000" w:themeColor="text1"/>
          <w:sz w:val="16"/>
          <w:szCs w:val="16"/>
          <w:lang w:val="en-US"/>
        </w:rPr>
        <w:t xml:space="preserve">: </w:t>
      </w:r>
      <w:proofErr w:type="spellStart"/>
      <w:r w:rsidRPr="000A3AD5">
        <w:rPr>
          <w:b w:val="0"/>
          <w:color w:val="000000" w:themeColor="text1"/>
          <w:sz w:val="16"/>
          <w:szCs w:val="16"/>
          <w:lang w:val="en-US"/>
        </w:rPr>
        <w:t>Turkstat</w:t>
      </w:r>
      <w:proofErr w:type="spellEnd"/>
      <w:r w:rsidRPr="000A3AD5">
        <w:rPr>
          <w:b w:val="0"/>
          <w:color w:val="000000" w:themeColor="text1"/>
          <w:sz w:val="16"/>
          <w:szCs w:val="16"/>
          <w:lang w:val="en-US"/>
        </w:rPr>
        <w:t xml:space="preserve">, </w:t>
      </w:r>
      <w:r w:rsidR="00DF0A91" w:rsidRPr="000A3AD5">
        <w:rPr>
          <w:b w:val="0"/>
          <w:color w:val="000000" w:themeColor="text1"/>
          <w:sz w:val="16"/>
          <w:szCs w:val="16"/>
          <w:lang w:val="en-US"/>
        </w:rPr>
        <w:t xml:space="preserve">Betam. TRC3:Mardin, Batman, </w:t>
      </w:r>
      <w:proofErr w:type="spellStart"/>
      <w:r w:rsidR="00DF0A91" w:rsidRPr="000A3AD5">
        <w:rPr>
          <w:b w:val="0"/>
          <w:color w:val="000000" w:themeColor="text1"/>
          <w:sz w:val="16"/>
          <w:szCs w:val="16"/>
          <w:lang w:val="en-US"/>
        </w:rPr>
        <w:t>Şırnak</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Siirt</w:t>
      </w:r>
      <w:proofErr w:type="spellEnd"/>
      <w:r w:rsidR="00DF0A91" w:rsidRPr="000A3AD5">
        <w:rPr>
          <w:b w:val="0"/>
          <w:color w:val="000000" w:themeColor="text1"/>
          <w:sz w:val="16"/>
          <w:szCs w:val="16"/>
          <w:lang w:val="en-US"/>
        </w:rPr>
        <w:t xml:space="preserve">, TRC2:Şanlıurfa, Diyarbakır, TR71: </w:t>
      </w:r>
      <w:proofErr w:type="spellStart"/>
      <w:r w:rsidR="00DF0A91" w:rsidRPr="000A3AD5">
        <w:rPr>
          <w:b w:val="0"/>
          <w:color w:val="000000" w:themeColor="text1"/>
          <w:sz w:val="16"/>
          <w:szCs w:val="16"/>
          <w:lang w:val="en-US"/>
        </w:rPr>
        <w:t>Kırıkkale</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Aksaray</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Niğde</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Nevşehir</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Kırşehir</w:t>
      </w:r>
      <w:proofErr w:type="spellEnd"/>
      <w:r w:rsidR="00DF0A91" w:rsidRPr="000A3AD5">
        <w:rPr>
          <w:b w:val="0"/>
          <w:color w:val="000000" w:themeColor="text1"/>
          <w:sz w:val="16"/>
          <w:szCs w:val="16"/>
          <w:lang w:val="en-US"/>
        </w:rPr>
        <w:t xml:space="preserve">, TR63:Hatay, </w:t>
      </w:r>
      <w:proofErr w:type="spellStart"/>
      <w:r w:rsidR="00DF0A91" w:rsidRPr="000A3AD5">
        <w:rPr>
          <w:b w:val="0"/>
          <w:color w:val="000000" w:themeColor="text1"/>
          <w:sz w:val="16"/>
          <w:szCs w:val="16"/>
          <w:lang w:val="en-US"/>
        </w:rPr>
        <w:t>Kahramanmaraş</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Osmaniye</w:t>
      </w:r>
      <w:proofErr w:type="spellEnd"/>
      <w:r w:rsidR="00DF0A91" w:rsidRPr="000A3AD5">
        <w:rPr>
          <w:b w:val="0"/>
          <w:color w:val="000000" w:themeColor="text1"/>
          <w:sz w:val="16"/>
          <w:szCs w:val="16"/>
          <w:lang w:val="en-US"/>
        </w:rPr>
        <w:t>,</w:t>
      </w:r>
      <w:r w:rsidR="00DF0A91" w:rsidRPr="000A3AD5">
        <w:rPr>
          <w:sz w:val="16"/>
          <w:szCs w:val="16"/>
          <w:lang w:val="en-US"/>
        </w:rPr>
        <w:t xml:space="preserve"> </w:t>
      </w:r>
      <w:r w:rsidR="00DF0A91" w:rsidRPr="000A3AD5">
        <w:rPr>
          <w:b w:val="0"/>
          <w:color w:val="000000" w:themeColor="text1"/>
          <w:sz w:val="16"/>
          <w:szCs w:val="16"/>
          <w:lang w:val="en-US"/>
        </w:rPr>
        <w:t xml:space="preserve">TRC1:Gaziantep, </w:t>
      </w:r>
      <w:proofErr w:type="spellStart"/>
      <w:r w:rsidR="00DF0A91" w:rsidRPr="000A3AD5">
        <w:rPr>
          <w:b w:val="0"/>
          <w:color w:val="000000" w:themeColor="text1"/>
          <w:sz w:val="16"/>
          <w:szCs w:val="16"/>
          <w:lang w:val="en-US"/>
        </w:rPr>
        <w:t>Adıyaman</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Kilis</w:t>
      </w:r>
      <w:proofErr w:type="spellEnd"/>
      <w:r w:rsidR="00DF0A91" w:rsidRPr="000A3AD5">
        <w:rPr>
          <w:b w:val="0"/>
          <w:color w:val="000000" w:themeColor="text1"/>
          <w:sz w:val="16"/>
          <w:szCs w:val="16"/>
          <w:lang w:val="en-US"/>
        </w:rPr>
        <w:t xml:space="preserve">, TR31: İzmir, TRB2:Van, </w:t>
      </w:r>
      <w:proofErr w:type="spellStart"/>
      <w:r w:rsidR="00DF0A91" w:rsidRPr="000A3AD5">
        <w:rPr>
          <w:b w:val="0"/>
          <w:color w:val="000000" w:themeColor="text1"/>
          <w:sz w:val="16"/>
          <w:szCs w:val="16"/>
          <w:lang w:val="en-US"/>
        </w:rPr>
        <w:t>Muş</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Bitlis</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Hakkari</w:t>
      </w:r>
      <w:proofErr w:type="spellEnd"/>
      <w:r w:rsidR="00DF0A91" w:rsidRPr="000A3AD5">
        <w:rPr>
          <w:b w:val="0"/>
          <w:color w:val="000000" w:themeColor="text1"/>
          <w:sz w:val="16"/>
          <w:szCs w:val="16"/>
          <w:lang w:val="en-US"/>
        </w:rPr>
        <w:t xml:space="preserve">, TR61: Antalya, </w:t>
      </w:r>
      <w:proofErr w:type="spellStart"/>
      <w:r w:rsidR="00DF0A91" w:rsidRPr="000A3AD5">
        <w:rPr>
          <w:b w:val="0"/>
          <w:color w:val="000000" w:themeColor="text1"/>
          <w:sz w:val="16"/>
          <w:szCs w:val="16"/>
          <w:lang w:val="en-US"/>
        </w:rPr>
        <w:t>Isparta</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Burdur</w:t>
      </w:r>
      <w:proofErr w:type="spellEnd"/>
      <w:r w:rsidR="00DF0A91" w:rsidRPr="000A3AD5">
        <w:rPr>
          <w:b w:val="0"/>
          <w:color w:val="000000" w:themeColor="text1"/>
          <w:sz w:val="16"/>
          <w:szCs w:val="16"/>
          <w:lang w:val="en-US"/>
        </w:rPr>
        <w:t xml:space="preserve">, TR10: İstanbul, TR62: Adana, Mersin, TR83:Samsun, </w:t>
      </w:r>
      <w:proofErr w:type="spellStart"/>
      <w:r w:rsidR="00DF0A91" w:rsidRPr="000A3AD5">
        <w:rPr>
          <w:b w:val="0"/>
          <w:color w:val="000000" w:themeColor="text1"/>
          <w:sz w:val="16"/>
          <w:szCs w:val="16"/>
          <w:lang w:val="en-US"/>
        </w:rPr>
        <w:t>Tokat</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Çorum</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Amasya</w:t>
      </w:r>
      <w:proofErr w:type="spellEnd"/>
      <w:r w:rsidR="00DF0A91" w:rsidRPr="000A3AD5">
        <w:rPr>
          <w:b w:val="0"/>
          <w:color w:val="000000" w:themeColor="text1"/>
          <w:sz w:val="16"/>
          <w:szCs w:val="16"/>
          <w:lang w:val="en-US"/>
        </w:rPr>
        <w:t xml:space="preserve">, TR81:Zonguldak, </w:t>
      </w:r>
      <w:proofErr w:type="spellStart"/>
      <w:r w:rsidR="00DF0A91" w:rsidRPr="000A3AD5">
        <w:rPr>
          <w:b w:val="0"/>
          <w:color w:val="000000" w:themeColor="text1"/>
          <w:sz w:val="16"/>
          <w:szCs w:val="16"/>
          <w:lang w:val="en-US"/>
        </w:rPr>
        <w:t>Karabük</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Bartın</w:t>
      </w:r>
      <w:proofErr w:type="spellEnd"/>
      <w:r w:rsidR="00DF0A91" w:rsidRPr="000A3AD5">
        <w:rPr>
          <w:b w:val="0"/>
          <w:color w:val="000000" w:themeColor="text1"/>
          <w:sz w:val="16"/>
          <w:szCs w:val="16"/>
          <w:lang w:val="en-US"/>
        </w:rPr>
        <w:t>,</w:t>
      </w:r>
      <w:r w:rsidR="00DF0A91" w:rsidRPr="000A3AD5">
        <w:rPr>
          <w:sz w:val="16"/>
          <w:szCs w:val="16"/>
          <w:lang w:val="en-US"/>
        </w:rPr>
        <w:t xml:space="preserve"> </w:t>
      </w:r>
      <w:r w:rsidR="00DF0A91" w:rsidRPr="000A3AD5">
        <w:rPr>
          <w:b w:val="0"/>
          <w:color w:val="000000" w:themeColor="text1"/>
          <w:sz w:val="16"/>
          <w:szCs w:val="16"/>
          <w:lang w:val="en-US"/>
        </w:rPr>
        <w:t xml:space="preserve">TR42: </w:t>
      </w:r>
      <w:proofErr w:type="spellStart"/>
      <w:r w:rsidR="00DF0A91" w:rsidRPr="000A3AD5">
        <w:rPr>
          <w:b w:val="0"/>
          <w:color w:val="000000" w:themeColor="text1"/>
          <w:sz w:val="16"/>
          <w:szCs w:val="16"/>
          <w:lang w:val="en-US"/>
        </w:rPr>
        <w:t>Kocaeli</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Sakarya</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Düzce</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Bolu</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Yalova</w:t>
      </w:r>
      <w:proofErr w:type="spellEnd"/>
      <w:r w:rsidR="00DF0A91" w:rsidRPr="000A3AD5">
        <w:rPr>
          <w:b w:val="0"/>
          <w:color w:val="000000" w:themeColor="text1"/>
          <w:sz w:val="16"/>
          <w:szCs w:val="16"/>
          <w:lang w:val="en-US"/>
        </w:rPr>
        <w:t xml:space="preserve">, TRB1:Malatya, </w:t>
      </w:r>
      <w:proofErr w:type="spellStart"/>
      <w:r w:rsidR="00DF0A91" w:rsidRPr="000A3AD5">
        <w:rPr>
          <w:b w:val="0"/>
          <w:color w:val="000000" w:themeColor="text1"/>
          <w:sz w:val="16"/>
          <w:szCs w:val="16"/>
          <w:lang w:val="en-US"/>
        </w:rPr>
        <w:t>Elazığ</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Bingöl</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Tunceli</w:t>
      </w:r>
      <w:proofErr w:type="spellEnd"/>
      <w:r w:rsidR="00DF0A91" w:rsidRPr="000A3AD5">
        <w:rPr>
          <w:b w:val="0"/>
          <w:color w:val="000000" w:themeColor="text1"/>
          <w:sz w:val="16"/>
          <w:szCs w:val="16"/>
          <w:lang w:val="en-US"/>
        </w:rPr>
        <w:t xml:space="preserve">, TR51:Ankara, TR72: Kayseri, Sivas, </w:t>
      </w:r>
      <w:proofErr w:type="spellStart"/>
      <w:r w:rsidR="00DF0A91" w:rsidRPr="000A3AD5">
        <w:rPr>
          <w:b w:val="0"/>
          <w:color w:val="000000" w:themeColor="text1"/>
          <w:sz w:val="16"/>
          <w:szCs w:val="16"/>
          <w:lang w:val="en-US"/>
        </w:rPr>
        <w:t>Yozgat</w:t>
      </w:r>
      <w:proofErr w:type="spellEnd"/>
      <w:r w:rsidR="00DF0A91" w:rsidRPr="000A3AD5">
        <w:rPr>
          <w:b w:val="0"/>
          <w:color w:val="000000" w:themeColor="text1"/>
          <w:sz w:val="16"/>
          <w:szCs w:val="16"/>
          <w:lang w:val="en-US"/>
        </w:rPr>
        <w:t xml:space="preserve">, TR82:Kastamonu, </w:t>
      </w:r>
      <w:proofErr w:type="spellStart"/>
      <w:r w:rsidR="00DF0A91" w:rsidRPr="000A3AD5">
        <w:rPr>
          <w:b w:val="0"/>
          <w:color w:val="000000" w:themeColor="text1"/>
          <w:sz w:val="16"/>
          <w:szCs w:val="16"/>
          <w:lang w:val="en-US"/>
        </w:rPr>
        <w:t>Çankırı</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Sinop</w:t>
      </w:r>
      <w:proofErr w:type="spellEnd"/>
      <w:r w:rsidR="00DF0A91" w:rsidRPr="000A3AD5">
        <w:rPr>
          <w:b w:val="0"/>
          <w:color w:val="000000" w:themeColor="text1"/>
          <w:sz w:val="16"/>
          <w:szCs w:val="16"/>
          <w:lang w:val="en-US"/>
        </w:rPr>
        <w:t>,</w:t>
      </w:r>
      <w:r w:rsidR="00DF0A91" w:rsidRPr="000A3AD5">
        <w:rPr>
          <w:sz w:val="16"/>
          <w:szCs w:val="16"/>
          <w:lang w:val="en-US"/>
        </w:rPr>
        <w:t xml:space="preserve"> </w:t>
      </w:r>
      <w:r w:rsidR="00DF0A91" w:rsidRPr="000A3AD5">
        <w:rPr>
          <w:b w:val="0"/>
          <w:color w:val="000000" w:themeColor="text1"/>
          <w:sz w:val="16"/>
          <w:szCs w:val="16"/>
          <w:lang w:val="en-US"/>
        </w:rPr>
        <w:t xml:space="preserve">TRA2:Ağrı, Kars, </w:t>
      </w:r>
      <w:proofErr w:type="spellStart"/>
      <w:r w:rsidR="00DF0A91" w:rsidRPr="000A3AD5">
        <w:rPr>
          <w:b w:val="0"/>
          <w:color w:val="000000" w:themeColor="text1"/>
          <w:sz w:val="16"/>
          <w:szCs w:val="16"/>
          <w:lang w:val="en-US"/>
        </w:rPr>
        <w:t>Iğdır</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Ardahan</w:t>
      </w:r>
      <w:proofErr w:type="spellEnd"/>
      <w:r w:rsidR="00DF0A91" w:rsidRPr="000A3AD5">
        <w:rPr>
          <w:b w:val="0"/>
          <w:color w:val="000000" w:themeColor="text1"/>
          <w:sz w:val="16"/>
          <w:szCs w:val="16"/>
          <w:lang w:val="en-US"/>
        </w:rPr>
        <w:t xml:space="preserve">, TR41: Bursa, </w:t>
      </w:r>
      <w:proofErr w:type="spellStart"/>
      <w:r w:rsidR="00DF0A91" w:rsidRPr="000A3AD5">
        <w:rPr>
          <w:b w:val="0"/>
          <w:color w:val="000000" w:themeColor="text1"/>
          <w:sz w:val="16"/>
          <w:szCs w:val="16"/>
          <w:lang w:val="en-US"/>
        </w:rPr>
        <w:t>Eskişehir</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Bilecik</w:t>
      </w:r>
      <w:proofErr w:type="spellEnd"/>
      <w:r w:rsidR="00DF0A91" w:rsidRPr="000A3AD5">
        <w:rPr>
          <w:b w:val="0"/>
          <w:color w:val="000000" w:themeColor="text1"/>
          <w:sz w:val="16"/>
          <w:szCs w:val="16"/>
          <w:lang w:val="en-US"/>
        </w:rPr>
        <w:t>, TR21:</w:t>
      </w:r>
      <w:r w:rsidR="00DF0A91" w:rsidRPr="000A3AD5">
        <w:rPr>
          <w:sz w:val="16"/>
          <w:szCs w:val="16"/>
          <w:lang w:val="en-US"/>
        </w:rPr>
        <w:t xml:space="preserve"> </w:t>
      </w:r>
      <w:proofErr w:type="spellStart"/>
      <w:r w:rsidR="00DF0A91" w:rsidRPr="000A3AD5">
        <w:rPr>
          <w:b w:val="0"/>
          <w:color w:val="000000" w:themeColor="text1"/>
          <w:sz w:val="16"/>
          <w:szCs w:val="16"/>
          <w:lang w:val="en-US"/>
        </w:rPr>
        <w:t>Tekirdağ</w:t>
      </w:r>
      <w:proofErr w:type="spellEnd"/>
      <w:r w:rsidR="00DF0A91" w:rsidRPr="000A3AD5">
        <w:rPr>
          <w:b w:val="0"/>
          <w:color w:val="000000" w:themeColor="text1"/>
          <w:sz w:val="16"/>
          <w:szCs w:val="16"/>
          <w:lang w:val="en-US"/>
        </w:rPr>
        <w:t xml:space="preserve">, Edirne, </w:t>
      </w:r>
      <w:proofErr w:type="spellStart"/>
      <w:r w:rsidR="00DF0A91" w:rsidRPr="000A3AD5">
        <w:rPr>
          <w:b w:val="0"/>
          <w:color w:val="000000" w:themeColor="text1"/>
          <w:sz w:val="16"/>
          <w:szCs w:val="16"/>
          <w:lang w:val="en-US"/>
        </w:rPr>
        <w:t>Kırklareli</w:t>
      </w:r>
      <w:proofErr w:type="spellEnd"/>
      <w:r w:rsidR="00DF0A91" w:rsidRPr="000A3AD5">
        <w:rPr>
          <w:b w:val="0"/>
          <w:color w:val="000000" w:themeColor="text1"/>
          <w:sz w:val="16"/>
          <w:szCs w:val="16"/>
          <w:lang w:val="en-US"/>
        </w:rPr>
        <w:t>, TR22:</w:t>
      </w:r>
      <w:r w:rsidR="00DF0A91" w:rsidRPr="000A3AD5">
        <w:rPr>
          <w:sz w:val="16"/>
          <w:szCs w:val="16"/>
          <w:lang w:val="en-US"/>
        </w:rPr>
        <w:t xml:space="preserve"> </w:t>
      </w:r>
      <w:proofErr w:type="spellStart"/>
      <w:r w:rsidR="00DF0A91" w:rsidRPr="000A3AD5">
        <w:rPr>
          <w:b w:val="0"/>
          <w:color w:val="000000" w:themeColor="text1"/>
          <w:sz w:val="16"/>
          <w:szCs w:val="16"/>
          <w:lang w:val="en-US"/>
        </w:rPr>
        <w:t>Balıkesir</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Çanakkale</w:t>
      </w:r>
      <w:proofErr w:type="spellEnd"/>
      <w:r w:rsidR="00DF0A91" w:rsidRPr="000A3AD5">
        <w:rPr>
          <w:b w:val="0"/>
          <w:color w:val="000000" w:themeColor="text1"/>
          <w:sz w:val="16"/>
          <w:szCs w:val="16"/>
          <w:lang w:val="en-US"/>
        </w:rPr>
        <w:t xml:space="preserve">, TR32: Aydın, </w:t>
      </w:r>
      <w:proofErr w:type="spellStart"/>
      <w:r w:rsidR="00DF0A91" w:rsidRPr="000A3AD5">
        <w:rPr>
          <w:b w:val="0"/>
          <w:color w:val="000000" w:themeColor="text1"/>
          <w:sz w:val="16"/>
          <w:szCs w:val="16"/>
          <w:lang w:val="en-US"/>
        </w:rPr>
        <w:t>Denizli</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Muğla</w:t>
      </w:r>
      <w:proofErr w:type="spellEnd"/>
      <w:r w:rsidR="00DF0A91" w:rsidRPr="000A3AD5">
        <w:rPr>
          <w:b w:val="0"/>
          <w:color w:val="000000" w:themeColor="text1"/>
          <w:sz w:val="16"/>
          <w:szCs w:val="16"/>
          <w:lang w:val="en-US"/>
        </w:rPr>
        <w:t xml:space="preserve">, TRA1:Erzurum, Erzincan, </w:t>
      </w:r>
      <w:proofErr w:type="spellStart"/>
      <w:r w:rsidR="00DF0A91" w:rsidRPr="000A3AD5">
        <w:rPr>
          <w:b w:val="0"/>
          <w:color w:val="000000" w:themeColor="text1"/>
          <w:sz w:val="16"/>
          <w:szCs w:val="16"/>
          <w:lang w:val="en-US"/>
        </w:rPr>
        <w:t>Bayburt</w:t>
      </w:r>
      <w:proofErr w:type="spellEnd"/>
      <w:r w:rsidR="00DF0A91" w:rsidRPr="000A3AD5">
        <w:rPr>
          <w:b w:val="0"/>
          <w:color w:val="000000" w:themeColor="text1"/>
          <w:sz w:val="16"/>
          <w:szCs w:val="16"/>
          <w:lang w:val="en-US"/>
        </w:rPr>
        <w:t xml:space="preserve">, TR52: Konya, </w:t>
      </w:r>
      <w:proofErr w:type="spellStart"/>
      <w:r w:rsidR="00DF0A91" w:rsidRPr="000A3AD5">
        <w:rPr>
          <w:b w:val="0"/>
          <w:color w:val="000000" w:themeColor="text1"/>
          <w:sz w:val="16"/>
          <w:szCs w:val="16"/>
          <w:lang w:val="en-US"/>
        </w:rPr>
        <w:t>Karaman</w:t>
      </w:r>
      <w:proofErr w:type="spellEnd"/>
      <w:r w:rsidR="00DF0A91" w:rsidRPr="000A3AD5">
        <w:rPr>
          <w:b w:val="0"/>
          <w:color w:val="000000" w:themeColor="text1"/>
          <w:sz w:val="16"/>
          <w:szCs w:val="16"/>
          <w:lang w:val="en-US"/>
        </w:rPr>
        <w:t xml:space="preserve">, TR90:Trabzon, </w:t>
      </w:r>
      <w:proofErr w:type="spellStart"/>
      <w:r w:rsidR="00DF0A91" w:rsidRPr="000A3AD5">
        <w:rPr>
          <w:b w:val="0"/>
          <w:color w:val="000000" w:themeColor="text1"/>
          <w:sz w:val="16"/>
          <w:szCs w:val="16"/>
          <w:lang w:val="en-US"/>
        </w:rPr>
        <w:t>Ordu</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Giresun</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Rize</w:t>
      </w:r>
      <w:proofErr w:type="spellEnd"/>
      <w:r w:rsidR="00DF0A91"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Artvin</w:t>
      </w:r>
      <w:proofErr w:type="spellEnd"/>
      <w:r w:rsidR="00DF0A91" w:rsidRPr="000A3AD5">
        <w:rPr>
          <w:b w:val="0"/>
          <w:color w:val="000000" w:themeColor="text1"/>
          <w:sz w:val="16"/>
          <w:szCs w:val="16"/>
          <w:lang w:val="en-US"/>
        </w:rPr>
        <w:t>,</w:t>
      </w:r>
      <w:r w:rsidR="00E9025C" w:rsidRPr="000A3AD5">
        <w:rPr>
          <w:b w:val="0"/>
          <w:color w:val="000000" w:themeColor="text1"/>
          <w:sz w:val="16"/>
          <w:szCs w:val="16"/>
          <w:lang w:val="en-US"/>
        </w:rPr>
        <w:t xml:space="preserve"> </w:t>
      </w:r>
      <w:proofErr w:type="spellStart"/>
      <w:r w:rsidR="00DF0A91" w:rsidRPr="000A3AD5">
        <w:rPr>
          <w:b w:val="0"/>
          <w:color w:val="000000" w:themeColor="text1"/>
          <w:sz w:val="16"/>
          <w:szCs w:val="16"/>
          <w:lang w:val="en-US"/>
        </w:rPr>
        <w:t>Gümüşhane</w:t>
      </w:r>
      <w:proofErr w:type="spellEnd"/>
      <w:r w:rsidR="00DF0A91" w:rsidRPr="000A3AD5">
        <w:rPr>
          <w:b w:val="0"/>
          <w:color w:val="000000" w:themeColor="text1"/>
          <w:sz w:val="16"/>
          <w:szCs w:val="16"/>
          <w:lang w:val="en-US"/>
        </w:rPr>
        <w:t xml:space="preserve">, TR33: </w:t>
      </w:r>
      <w:proofErr w:type="spellStart"/>
      <w:r w:rsidR="00DF0A91" w:rsidRPr="000A3AD5">
        <w:rPr>
          <w:b w:val="0"/>
          <w:color w:val="000000" w:themeColor="text1"/>
          <w:sz w:val="16"/>
          <w:szCs w:val="16"/>
          <w:lang w:val="en-US"/>
        </w:rPr>
        <w:t>Manisa</w:t>
      </w:r>
      <w:proofErr w:type="spellEnd"/>
      <w:r w:rsidR="00DF0A91" w:rsidRPr="000A3AD5">
        <w:rPr>
          <w:b w:val="0"/>
          <w:color w:val="000000" w:themeColor="text1"/>
          <w:sz w:val="16"/>
          <w:szCs w:val="16"/>
          <w:lang w:val="en-US"/>
        </w:rPr>
        <w:t>,</w:t>
      </w:r>
      <w:r w:rsidRPr="000A3AD5">
        <w:rPr>
          <w:b w:val="0"/>
          <w:color w:val="000000" w:themeColor="text1"/>
          <w:sz w:val="16"/>
          <w:szCs w:val="16"/>
          <w:lang w:val="en-US"/>
        </w:rPr>
        <w:t xml:space="preserve"> </w:t>
      </w:r>
      <w:proofErr w:type="spellStart"/>
      <w:r w:rsidRPr="000A3AD5">
        <w:rPr>
          <w:b w:val="0"/>
          <w:color w:val="000000" w:themeColor="text1"/>
          <w:sz w:val="16"/>
          <w:szCs w:val="16"/>
          <w:lang w:val="en-US"/>
        </w:rPr>
        <w:t>Afyonkarahisar</w:t>
      </w:r>
      <w:proofErr w:type="spellEnd"/>
      <w:r w:rsidRPr="000A3AD5">
        <w:rPr>
          <w:b w:val="0"/>
          <w:color w:val="000000" w:themeColor="text1"/>
          <w:sz w:val="16"/>
          <w:szCs w:val="16"/>
          <w:lang w:val="en-US"/>
        </w:rPr>
        <w:t xml:space="preserve">, </w:t>
      </w:r>
      <w:proofErr w:type="spellStart"/>
      <w:r w:rsidRPr="000A3AD5">
        <w:rPr>
          <w:b w:val="0"/>
          <w:color w:val="000000" w:themeColor="text1"/>
          <w:sz w:val="16"/>
          <w:szCs w:val="16"/>
          <w:lang w:val="en-US"/>
        </w:rPr>
        <w:t>Kütahya</w:t>
      </w:r>
      <w:proofErr w:type="spellEnd"/>
      <w:r w:rsidRPr="000A3AD5">
        <w:rPr>
          <w:b w:val="0"/>
          <w:color w:val="000000" w:themeColor="text1"/>
          <w:sz w:val="16"/>
          <w:szCs w:val="16"/>
          <w:lang w:val="en-US"/>
        </w:rPr>
        <w:t xml:space="preserve">, </w:t>
      </w:r>
      <w:proofErr w:type="spellStart"/>
      <w:r w:rsidRPr="000A3AD5">
        <w:rPr>
          <w:b w:val="0"/>
          <w:color w:val="000000" w:themeColor="text1"/>
          <w:sz w:val="16"/>
          <w:szCs w:val="16"/>
          <w:lang w:val="en-US"/>
        </w:rPr>
        <w:t>Uşak</w:t>
      </w:r>
      <w:proofErr w:type="spellEnd"/>
      <w:r w:rsidRPr="000A3AD5">
        <w:rPr>
          <w:b w:val="0"/>
          <w:color w:val="000000" w:themeColor="text1"/>
          <w:sz w:val="16"/>
          <w:szCs w:val="16"/>
          <w:lang w:val="en-US"/>
        </w:rPr>
        <w:br/>
      </w:r>
      <w:r w:rsidR="00C46463" w:rsidRPr="000A3AD5">
        <w:rPr>
          <w:color w:val="000000" w:themeColor="text1"/>
          <w:sz w:val="20"/>
          <w:szCs w:val="20"/>
          <w:lang w:val="en-US"/>
        </w:rPr>
        <w:t>Note:</w:t>
      </w:r>
      <w:r w:rsidR="00C46463" w:rsidRPr="000A3AD5">
        <w:rPr>
          <w:rFonts w:cs="Arial"/>
          <w:b w:val="0"/>
          <w:color w:val="000000" w:themeColor="text1"/>
          <w:lang w:val="en-US"/>
        </w:rPr>
        <w:t xml:space="preserve"> </w:t>
      </w:r>
      <w:r w:rsidRPr="000A3AD5">
        <w:rPr>
          <w:rFonts w:cs="Arial"/>
          <w:b w:val="0"/>
          <w:color w:val="000000" w:themeColor="text1"/>
          <w:lang w:val="en-US"/>
        </w:rPr>
        <w:t xml:space="preserve">This figure is suggested by Assoc. Prof. </w:t>
      </w:r>
      <w:proofErr w:type="spellStart"/>
      <w:r w:rsidRPr="000A3AD5">
        <w:rPr>
          <w:rFonts w:cs="Arial"/>
          <w:b w:val="0"/>
          <w:color w:val="000000" w:themeColor="text1"/>
          <w:lang w:val="en-US"/>
        </w:rPr>
        <w:t>Insan</w:t>
      </w:r>
      <w:proofErr w:type="spellEnd"/>
      <w:r w:rsidRPr="000A3AD5">
        <w:rPr>
          <w:rFonts w:cs="Arial"/>
          <w:b w:val="0"/>
          <w:color w:val="000000" w:themeColor="text1"/>
          <w:lang w:val="en-US"/>
        </w:rPr>
        <w:t xml:space="preserve"> </w:t>
      </w:r>
      <w:proofErr w:type="spellStart"/>
      <w:r w:rsidRPr="000A3AD5">
        <w:rPr>
          <w:rFonts w:cs="Arial"/>
          <w:b w:val="0"/>
          <w:color w:val="000000" w:themeColor="text1"/>
          <w:lang w:val="en-US"/>
        </w:rPr>
        <w:t>Tunalı</w:t>
      </w:r>
      <w:proofErr w:type="spellEnd"/>
      <w:r w:rsidRPr="000A3AD5">
        <w:rPr>
          <w:rFonts w:cs="Arial"/>
          <w:b w:val="0"/>
          <w:color w:val="000000" w:themeColor="text1"/>
          <w:lang w:val="en-US"/>
        </w:rPr>
        <w:t>. We would like to thank him for his contribution</w:t>
      </w:r>
    </w:p>
    <w:p w:rsidR="001B3D45" w:rsidRPr="000A3AD5" w:rsidRDefault="00E9025C" w:rsidP="00A17EE1">
      <w:pPr>
        <w:jc w:val="both"/>
        <w:rPr>
          <w:rFonts w:cs="Arial"/>
          <w:i/>
          <w:lang w:val="en-US"/>
        </w:rPr>
      </w:pPr>
      <w:r w:rsidRPr="000A3AD5">
        <w:rPr>
          <w:rFonts w:cs="Arial"/>
          <w:b/>
          <w:lang w:val="en-US"/>
        </w:rPr>
        <w:br/>
      </w:r>
      <w:r w:rsidR="001B3D45" w:rsidRPr="000A3AD5">
        <w:rPr>
          <w:rFonts w:cs="Arial"/>
          <w:b/>
          <w:lang w:val="en-US"/>
        </w:rPr>
        <w:t>It is obvious that</w:t>
      </w:r>
      <w:r w:rsidR="00133314" w:rsidRPr="000A3AD5">
        <w:rPr>
          <w:rFonts w:cs="Arial"/>
          <w:b/>
          <w:lang w:val="en-US"/>
        </w:rPr>
        <w:t xml:space="preserve"> </w:t>
      </w:r>
      <w:proofErr w:type="spellStart"/>
      <w:r w:rsidR="00133314" w:rsidRPr="000A3AD5">
        <w:rPr>
          <w:rFonts w:cs="Arial"/>
          <w:b/>
          <w:lang w:val="en-US"/>
        </w:rPr>
        <w:t>Mardin</w:t>
      </w:r>
      <w:proofErr w:type="spellEnd"/>
      <w:r w:rsidR="00133314" w:rsidRPr="000A3AD5">
        <w:rPr>
          <w:rFonts w:cs="Arial"/>
          <w:b/>
          <w:lang w:val="en-US"/>
        </w:rPr>
        <w:t xml:space="preserve"> region (TRC3)</w:t>
      </w:r>
      <w:r w:rsidR="00C100AC" w:rsidRPr="000A3AD5">
        <w:rPr>
          <w:rFonts w:cs="Arial"/>
          <w:b/>
          <w:lang w:val="en-US"/>
        </w:rPr>
        <w:t xml:space="preserve"> </w:t>
      </w:r>
      <w:r w:rsidR="00CC0DB1" w:rsidRPr="000A3AD5">
        <w:rPr>
          <w:rFonts w:cs="Arial"/>
          <w:b/>
          <w:lang w:val="en-US"/>
        </w:rPr>
        <w:t>represents the worst case by far</w:t>
      </w:r>
      <w:r w:rsidR="00A17EE1" w:rsidRPr="000A3AD5">
        <w:rPr>
          <w:rFonts w:cs="Arial"/>
          <w:b/>
          <w:lang w:val="en-US"/>
        </w:rPr>
        <w:t>.</w:t>
      </w:r>
      <w:r w:rsidR="00CC0DB1" w:rsidRPr="000A3AD5">
        <w:rPr>
          <w:rFonts w:cs="Arial"/>
          <w:b/>
          <w:lang w:val="en-US"/>
        </w:rPr>
        <w:t xml:space="preserve"> </w:t>
      </w:r>
      <w:r w:rsidR="00133314" w:rsidRPr="000A3AD5">
        <w:rPr>
          <w:rFonts w:cs="Arial"/>
          <w:lang w:val="en-US"/>
        </w:rPr>
        <w:t xml:space="preserve">In so much </w:t>
      </w:r>
      <w:r w:rsidR="00A17EE1" w:rsidRPr="000A3AD5">
        <w:rPr>
          <w:rFonts w:cs="Arial"/>
          <w:lang w:val="en-US"/>
        </w:rPr>
        <w:t>that,</w:t>
      </w:r>
      <w:r w:rsidR="00133314" w:rsidRPr="000A3AD5">
        <w:rPr>
          <w:rFonts w:cs="Arial"/>
          <w:lang w:val="en-US"/>
        </w:rPr>
        <w:t xml:space="preserve"> </w:t>
      </w:r>
      <w:r w:rsidR="00A17EE1" w:rsidRPr="000A3AD5">
        <w:rPr>
          <w:rFonts w:cs="Arial"/>
          <w:lang w:val="en-US"/>
        </w:rPr>
        <w:t xml:space="preserve">the </w:t>
      </w:r>
      <w:r w:rsidR="00CC0DB1" w:rsidRPr="000A3AD5">
        <w:rPr>
          <w:rFonts w:cs="Arial"/>
          <w:lang w:val="en-US"/>
        </w:rPr>
        <w:t>unemployment</w:t>
      </w:r>
      <w:r w:rsidR="00133314" w:rsidRPr="000A3AD5">
        <w:rPr>
          <w:rFonts w:cs="Arial"/>
          <w:lang w:val="en-US"/>
        </w:rPr>
        <w:t xml:space="preserve"> rate i</w:t>
      </w:r>
      <w:r w:rsidR="00A17EE1" w:rsidRPr="000A3AD5">
        <w:rPr>
          <w:rFonts w:cs="Arial"/>
          <w:lang w:val="en-US"/>
        </w:rPr>
        <w:t xml:space="preserve">n the region (30.1 percent) is </w:t>
      </w:r>
      <w:r w:rsidR="00133314" w:rsidRPr="000A3AD5">
        <w:rPr>
          <w:rFonts w:cs="Arial"/>
          <w:lang w:val="en-US"/>
        </w:rPr>
        <w:t>higher than employment rat</w:t>
      </w:r>
      <w:r w:rsidR="0020544F" w:rsidRPr="000A3AD5">
        <w:rPr>
          <w:rFonts w:cs="Arial"/>
          <w:lang w:val="en-US"/>
        </w:rPr>
        <w:t>io</w:t>
      </w:r>
      <w:r w:rsidR="00133314" w:rsidRPr="000A3AD5">
        <w:rPr>
          <w:rFonts w:cs="Arial"/>
          <w:lang w:val="en-US"/>
        </w:rPr>
        <w:t xml:space="preserve"> (25.5 percent). Indeed, this region is placed on the </w:t>
      </w:r>
      <w:r w:rsidR="00CC0DB1" w:rsidRPr="000A3AD5">
        <w:rPr>
          <w:rFonts w:cs="Arial"/>
          <w:lang w:val="en-US"/>
        </w:rPr>
        <w:t>upper</w:t>
      </w:r>
      <w:r w:rsidR="00133314" w:rsidRPr="000A3AD5">
        <w:rPr>
          <w:rFonts w:cs="Arial"/>
          <w:lang w:val="en-US"/>
        </w:rPr>
        <w:t xml:space="preserve"> </w:t>
      </w:r>
      <w:r w:rsidR="00E356E9" w:rsidRPr="000A3AD5">
        <w:rPr>
          <w:rFonts w:cs="Arial"/>
          <w:lang w:val="en-US"/>
        </w:rPr>
        <w:t>left corner</w:t>
      </w:r>
      <w:r w:rsidR="00A17EE1" w:rsidRPr="000A3AD5">
        <w:rPr>
          <w:rFonts w:cs="Arial"/>
          <w:lang w:val="en-US"/>
        </w:rPr>
        <w:t xml:space="preserve"> among the</w:t>
      </w:r>
      <w:r w:rsidR="00133314" w:rsidRPr="000A3AD5">
        <w:rPr>
          <w:rFonts w:cs="Arial"/>
          <w:lang w:val="en-US"/>
        </w:rPr>
        <w:t xml:space="preserve"> worst cases. </w:t>
      </w:r>
      <w:proofErr w:type="spellStart"/>
      <w:r w:rsidR="00133314" w:rsidRPr="000A3AD5">
        <w:rPr>
          <w:rFonts w:cs="Arial"/>
          <w:lang w:val="en-US"/>
        </w:rPr>
        <w:t>Şanlıurfa</w:t>
      </w:r>
      <w:proofErr w:type="spellEnd"/>
      <w:r w:rsidR="00133314" w:rsidRPr="000A3AD5">
        <w:rPr>
          <w:rFonts w:cs="Arial"/>
          <w:lang w:val="en-US"/>
        </w:rPr>
        <w:t>-D</w:t>
      </w:r>
      <w:r w:rsidR="00CC0DB1" w:rsidRPr="000A3AD5">
        <w:rPr>
          <w:rFonts w:cs="Arial"/>
          <w:lang w:val="en-US"/>
        </w:rPr>
        <w:t>i</w:t>
      </w:r>
      <w:r w:rsidR="00133314" w:rsidRPr="000A3AD5">
        <w:rPr>
          <w:rFonts w:cs="Arial"/>
          <w:lang w:val="en-US"/>
        </w:rPr>
        <w:t>yarbak</w:t>
      </w:r>
      <w:r w:rsidR="00A17EE1" w:rsidRPr="000A3AD5">
        <w:rPr>
          <w:rFonts w:cs="Arial"/>
          <w:lang w:val="en-US"/>
        </w:rPr>
        <w:t>ır region (TRC2) is not very different</w:t>
      </w:r>
      <w:r w:rsidR="00133314" w:rsidRPr="000A3AD5">
        <w:rPr>
          <w:rFonts w:cs="Arial"/>
          <w:lang w:val="en-US"/>
        </w:rPr>
        <w:t xml:space="preserve"> from </w:t>
      </w:r>
      <w:proofErr w:type="spellStart"/>
      <w:r w:rsidR="00133314" w:rsidRPr="000A3AD5">
        <w:rPr>
          <w:rFonts w:cs="Arial"/>
          <w:lang w:val="en-US"/>
        </w:rPr>
        <w:t>Mardin</w:t>
      </w:r>
      <w:proofErr w:type="spellEnd"/>
      <w:r w:rsidR="00133314" w:rsidRPr="000A3AD5">
        <w:rPr>
          <w:rFonts w:cs="Arial"/>
          <w:lang w:val="en-US"/>
        </w:rPr>
        <w:t xml:space="preserve"> region </w:t>
      </w:r>
      <w:r w:rsidR="00B87503" w:rsidRPr="000A3AD5">
        <w:rPr>
          <w:rFonts w:cs="Arial"/>
          <w:lang w:val="en-US"/>
        </w:rPr>
        <w:t>as expected</w:t>
      </w:r>
      <w:r w:rsidR="00A17EE1" w:rsidRPr="000A3AD5">
        <w:rPr>
          <w:rFonts w:cs="Arial"/>
          <w:lang w:val="en-US"/>
        </w:rPr>
        <w:t xml:space="preserve">. </w:t>
      </w:r>
      <w:r w:rsidR="00B87503" w:rsidRPr="000A3AD5">
        <w:rPr>
          <w:rFonts w:cs="Arial"/>
          <w:lang w:val="en-US"/>
        </w:rPr>
        <w:t xml:space="preserve">Van region </w:t>
      </w:r>
      <w:r w:rsidR="00A17EE1" w:rsidRPr="000A3AD5">
        <w:rPr>
          <w:rFonts w:cs="Arial"/>
          <w:lang w:val="en-US"/>
        </w:rPr>
        <w:t xml:space="preserve">is the next </w:t>
      </w:r>
      <w:r w:rsidR="00B87503" w:rsidRPr="000A3AD5">
        <w:rPr>
          <w:rFonts w:cs="Arial"/>
          <w:lang w:val="en-US"/>
        </w:rPr>
        <w:t xml:space="preserve">(TRB2). Although </w:t>
      </w:r>
      <w:r w:rsidR="00A17EE1" w:rsidRPr="000A3AD5">
        <w:rPr>
          <w:rFonts w:cs="Arial"/>
          <w:lang w:val="en-US"/>
        </w:rPr>
        <w:t xml:space="preserve">the </w:t>
      </w:r>
      <w:r w:rsidR="00B87503" w:rsidRPr="000A3AD5">
        <w:rPr>
          <w:rFonts w:cs="Arial"/>
          <w:lang w:val="en-US"/>
        </w:rPr>
        <w:t>unemployment rate</w:t>
      </w:r>
      <w:r w:rsidR="00CC0DB1" w:rsidRPr="000A3AD5">
        <w:rPr>
          <w:rFonts w:cs="Arial"/>
          <w:lang w:val="en-US"/>
        </w:rPr>
        <w:t xml:space="preserve"> </w:t>
      </w:r>
      <w:r w:rsidR="00B87503" w:rsidRPr="000A3AD5">
        <w:rPr>
          <w:rFonts w:cs="Arial"/>
          <w:lang w:val="en-US"/>
        </w:rPr>
        <w:t>(14.4 percent) is not as high as the two previous regions</w:t>
      </w:r>
      <w:r w:rsidR="00A17EE1" w:rsidRPr="000A3AD5">
        <w:rPr>
          <w:rFonts w:cs="Arial"/>
          <w:lang w:val="en-US"/>
        </w:rPr>
        <w:t>, Van</w:t>
      </w:r>
      <w:r w:rsidR="0020544F" w:rsidRPr="000A3AD5">
        <w:rPr>
          <w:rFonts w:cs="Arial"/>
          <w:lang w:val="en-US"/>
        </w:rPr>
        <w:t xml:space="preserve"> region hold the second lowest </w:t>
      </w:r>
      <w:r w:rsidR="00B87503" w:rsidRPr="000A3AD5">
        <w:rPr>
          <w:rFonts w:cs="Arial"/>
          <w:lang w:val="en-US"/>
        </w:rPr>
        <w:t>employment rat</w:t>
      </w:r>
      <w:r w:rsidR="0020544F" w:rsidRPr="000A3AD5">
        <w:rPr>
          <w:rFonts w:cs="Arial"/>
          <w:lang w:val="en-US"/>
        </w:rPr>
        <w:t xml:space="preserve">io </w:t>
      </w:r>
      <w:r w:rsidR="00B87503" w:rsidRPr="000A3AD5">
        <w:rPr>
          <w:rFonts w:cs="Arial"/>
          <w:lang w:val="en-US"/>
        </w:rPr>
        <w:t>(26.8)</w:t>
      </w:r>
      <w:r w:rsidR="00A17EE1" w:rsidRPr="000A3AD5">
        <w:rPr>
          <w:rFonts w:cs="Arial"/>
          <w:lang w:val="en-US"/>
        </w:rPr>
        <w:t xml:space="preserve">. </w:t>
      </w:r>
      <w:r w:rsidR="00B87503" w:rsidRPr="000A3AD5">
        <w:rPr>
          <w:rFonts w:cs="Arial"/>
          <w:lang w:val="en-US"/>
        </w:rPr>
        <w:t xml:space="preserve">So, </w:t>
      </w:r>
      <w:r w:rsidR="00B87503" w:rsidRPr="000A3AD5">
        <w:rPr>
          <w:rFonts w:cs="Arial"/>
          <w:b/>
          <w:lang w:val="en-US"/>
        </w:rPr>
        <w:t>when</w:t>
      </w:r>
      <w:r w:rsidR="00A17EE1" w:rsidRPr="000A3AD5">
        <w:rPr>
          <w:rFonts w:cs="Arial"/>
          <w:b/>
          <w:lang w:val="en-US"/>
        </w:rPr>
        <w:t xml:space="preserve"> we also considered the employment rates </w:t>
      </w:r>
      <w:r w:rsidR="00A17EE1" w:rsidRPr="000A3AD5">
        <w:rPr>
          <w:rFonts w:cs="Arial"/>
          <w:b/>
          <w:lang w:val="en-US"/>
        </w:rPr>
        <w:lastRenderedPageBreak/>
        <w:t>in our</w:t>
      </w:r>
      <w:r w:rsidR="00B87503" w:rsidRPr="000A3AD5">
        <w:rPr>
          <w:rFonts w:cs="Arial"/>
          <w:b/>
          <w:lang w:val="en-US"/>
        </w:rPr>
        <w:t xml:space="preserve"> comparison</w:t>
      </w:r>
      <w:r w:rsidR="00A17EE1" w:rsidRPr="000A3AD5">
        <w:rPr>
          <w:rFonts w:cs="Arial"/>
          <w:b/>
          <w:lang w:val="en-US"/>
        </w:rPr>
        <w:t>,</w:t>
      </w:r>
      <w:r w:rsidR="00B87503" w:rsidRPr="000A3AD5">
        <w:rPr>
          <w:rFonts w:cs="Arial"/>
          <w:b/>
          <w:lang w:val="en-US"/>
        </w:rPr>
        <w:t xml:space="preserve"> it </w:t>
      </w:r>
      <w:r w:rsidR="00CC0DB1" w:rsidRPr="000A3AD5">
        <w:rPr>
          <w:rFonts w:cs="Arial"/>
          <w:b/>
          <w:lang w:val="en-US"/>
        </w:rPr>
        <w:t>appears</w:t>
      </w:r>
      <w:r w:rsidR="00B87503" w:rsidRPr="000A3AD5">
        <w:rPr>
          <w:rFonts w:cs="Arial"/>
          <w:b/>
          <w:lang w:val="en-US"/>
        </w:rPr>
        <w:t xml:space="preserve"> that the three most </w:t>
      </w:r>
      <w:r w:rsidR="00CC0DB1" w:rsidRPr="000A3AD5">
        <w:rPr>
          <w:rFonts w:cs="Arial"/>
          <w:b/>
          <w:lang w:val="en-US"/>
        </w:rPr>
        <w:t>desperate</w:t>
      </w:r>
      <w:r w:rsidR="00B87503" w:rsidRPr="000A3AD5">
        <w:rPr>
          <w:rFonts w:cs="Arial"/>
          <w:b/>
          <w:lang w:val="en-US"/>
        </w:rPr>
        <w:t xml:space="preserve"> regions are from the Southeast of Turkey.</w:t>
      </w:r>
      <w:r w:rsidR="00B87503" w:rsidRPr="000A3AD5">
        <w:rPr>
          <w:rFonts w:cs="Arial"/>
          <w:lang w:val="en-US"/>
        </w:rPr>
        <w:t xml:space="preserve"> </w:t>
      </w:r>
      <w:r w:rsidR="006372D4" w:rsidRPr="000A3AD5">
        <w:rPr>
          <w:rFonts w:cs="Arial"/>
          <w:lang w:val="en-US"/>
        </w:rPr>
        <w:t xml:space="preserve">This outcome is not </w:t>
      </w:r>
      <w:r w:rsidR="0020544F" w:rsidRPr="000A3AD5">
        <w:rPr>
          <w:rFonts w:cs="Arial"/>
          <w:lang w:val="en-US"/>
        </w:rPr>
        <w:t>surprising</w:t>
      </w:r>
      <w:r w:rsidR="006372D4" w:rsidRPr="000A3AD5">
        <w:rPr>
          <w:rFonts w:cs="Arial"/>
          <w:lang w:val="en-US"/>
        </w:rPr>
        <w:t>.</w:t>
      </w:r>
    </w:p>
    <w:p w:rsidR="00071601" w:rsidRPr="000A3AD5" w:rsidRDefault="00CC0DB1" w:rsidP="00951213">
      <w:pPr>
        <w:rPr>
          <w:rFonts w:cs="Arial"/>
          <w:lang w:val="en-US"/>
        </w:rPr>
      </w:pPr>
      <w:r w:rsidRPr="000A3AD5">
        <w:rPr>
          <w:rFonts w:cs="Arial"/>
          <w:lang w:val="en-US"/>
        </w:rPr>
        <w:t xml:space="preserve">There are also three other </w:t>
      </w:r>
      <w:r w:rsidR="00E356E9" w:rsidRPr="000A3AD5">
        <w:rPr>
          <w:rFonts w:cs="Arial"/>
          <w:lang w:val="en-US"/>
        </w:rPr>
        <w:t>regions</w:t>
      </w:r>
      <w:r w:rsidRPr="000A3AD5">
        <w:rPr>
          <w:rFonts w:cs="Arial"/>
          <w:lang w:val="en-US"/>
        </w:rPr>
        <w:t xml:space="preserve"> </w:t>
      </w:r>
      <w:r w:rsidR="00E356E9" w:rsidRPr="000A3AD5">
        <w:rPr>
          <w:rFonts w:cs="Arial"/>
          <w:lang w:val="en-US"/>
        </w:rPr>
        <w:t xml:space="preserve">(Cappadocia (TR71), </w:t>
      </w:r>
      <w:proofErr w:type="spellStart"/>
      <w:r w:rsidR="00E356E9" w:rsidRPr="000A3AD5">
        <w:rPr>
          <w:rFonts w:cs="Arial"/>
          <w:lang w:val="en-US"/>
        </w:rPr>
        <w:t>Hatay</w:t>
      </w:r>
      <w:proofErr w:type="spellEnd"/>
      <w:r w:rsidR="00E356E9" w:rsidRPr="000A3AD5">
        <w:rPr>
          <w:rFonts w:cs="Arial"/>
          <w:lang w:val="en-US"/>
        </w:rPr>
        <w:t xml:space="preserve"> (TR63) and Gaziantep (TRC1)) </w:t>
      </w:r>
      <w:r w:rsidR="00A17EE1" w:rsidRPr="000A3AD5">
        <w:rPr>
          <w:rFonts w:cs="Arial"/>
          <w:lang w:val="en-US"/>
        </w:rPr>
        <w:t xml:space="preserve">which are </w:t>
      </w:r>
      <w:r w:rsidR="00DD3F3E" w:rsidRPr="000A3AD5">
        <w:rPr>
          <w:rFonts w:cs="Arial"/>
          <w:lang w:val="en-US"/>
        </w:rPr>
        <w:t xml:space="preserve">situated </w:t>
      </w:r>
      <w:r w:rsidR="00A17EE1" w:rsidRPr="000A3AD5">
        <w:rPr>
          <w:rFonts w:cs="Arial"/>
          <w:lang w:val="en-US"/>
        </w:rPr>
        <w:t>among the</w:t>
      </w:r>
      <w:r w:rsidRPr="000A3AD5">
        <w:rPr>
          <w:rFonts w:cs="Arial"/>
          <w:lang w:val="en-US"/>
        </w:rPr>
        <w:t xml:space="preserve"> worst cases but they are rather close</w:t>
      </w:r>
      <w:r w:rsidR="00A17EE1" w:rsidRPr="000A3AD5">
        <w:rPr>
          <w:rFonts w:cs="Arial"/>
          <w:lang w:val="en-US"/>
        </w:rPr>
        <w:t>r</w:t>
      </w:r>
      <w:r w:rsidRPr="000A3AD5">
        <w:rPr>
          <w:rFonts w:cs="Arial"/>
          <w:lang w:val="en-US"/>
        </w:rPr>
        <w:t xml:space="preserve"> to the </w:t>
      </w:r>
      <w:r w:rsidR="00E356E9" w:rsidRPr="000A3AD5">
        <w:rPr>
          <w:rFonts w:cs="Arial"/>
          <w:lang w:val="en-US"/>
        </w:rPr>
        <w:t xml:space="preserve">lower right corner. In these </w:t>
      </w:r>
      <w:r w:rsidR="00A17EE1" w:rsidRPr="000A3AD5">
        <w:rPr>
          <w:rFonts w:cs="Arial"/>
          <w:lang w:val="en-US"/>
        </w:rPr>
        <w:t>regions,</w:t>
      </w:r>
      <w:r w:rsidR="00E356E9" w:rsidRPr="000A3AD5">
        <w:rPr>
          <w:rFonts w:cs="Arial"/>
          <w:lang w:val="en-US"/>
        </w:rPr>
        <w:t xml:space="preserve"> unemployment rates are quite </w:t>
      </w:r>
      <w:r w:rsidR="006C4E63" w:rsidRPr="000A3AD5">
        <w:rPr>
          <w:rFonts w:cs="Arial"/>
          <w:lang w:val="en-US"/>
        </w:rPr>
        <w:t>high (from 18 to 15.8 percent)</w:t>
      </w:r>
      <w:r w:rsidR="00BD34D5" w:rsidRPr="000A3AD5">
        <w:rPr>
          <w:rFonts w:cs="Arial"/>
          <w:lang w:val="en-US"/>
        </w:rPr>
        <w:t xml:space="preserve"> whereas employme</w:t>
      </w:r>
      <w:r w:rsidR="00654C62" w:rsidRPr="000A3AD5">
        <w:rPr>
          <w:rFonts w:cs="Arial"/>
          <w:lang w:val="en-US"/>
        </w:rPr>
        <w:t>nt ratios</w:t>
      </w:r>
      <w:r w:rsidR="00A17EE1" w:rsidRPr="000A3AD5">
        <w:rPr>
          <w:rFonts w:cs="Arial"/>
          <w:lang w:val="en-US"/>
        </w:rPr>
        <w:t xml:space="preserve"> are </w:t>
      </w:r>
      <w:r w:rsidR="00BD34D5" w:rsidRPr="000A3AD5">
        <w:rPr>
          <w:rFonts w:cs="Arial"/>
          <w:lang w:val="en-US"/>
        </w:rPr>
        <w:t>close</w:t>
      </w:r>
      <w:r w:rsidR="00A17EE1" w:rsidRPr="000A3AD5">
        <w:rPr>
          <w:rFonts w:cs="Arial"/>
          <w:lang w:val="en-US"/>
        </w:rPr>
        <w:t>r</w:t>
      </w:r>
      <w:r w:rsidR="00BD34D5" w:rsidRPr="000A3AD5">
        <w:rPr>
          <w:rFonts w:cs="Arial"/>
          <w:lang w:val="en-US"/>
        </w:rPr>
        <w:t xml:space="preserve"> to the country average. </w:t>
      </w:r>
    </w:p>
    <w:p w:rsidR="00163F8F" w:rsidRPr="000A3AD5" w:rsidRDefault="00163F8F" w:rsidP="0054644B">
      <w:pPr>
        <w:rPr>
          <w:rFonts w:cs="Arial"/>
          <w:b/>
          <w:sz w:val="24"/>
          <w:szCs w:val="24"/>
          <w:lang w:val="en-US"/>
        </w:rPr>
      </w:pPr>
      <w:r w:rsidRPr="000A3AD5">
        <w:rPr>
          <w:rFonts w:cs="Arial"/>
          <w:b/>
          <w:sz w:val="24"/>
          <w:szCs w:val="24"/>
          <w:lang w:val="en-US"/>
        </w:rPr>
        <w:t>Best cases in regional unemployment</w:t>
      </w:r>
    </w:p>
    <w:p w:rsidR="00163F8F" w:rsidRPr="000A3AD5" w:rsidRDefault="00FB1D05" w:rsidP="00FB1D05">
      <w:pPr>
        <w:jc w:val="both"/>
        <w:rPr>
          <w:rFonts w:cs="Arial"/>
          <w:i/>
          <w:lang w:val="en-US"/>
        </w:rPr>
      </w:pPr>
      <w:r w:rsidRPr="000A3AD5">
        <w:rPr>
          <w:rFonts w:cs="Arial"/>
          <w:b/>
          <w:lang w:val="en-US"/>
        </w:rPr>
        <w:t xml:space="preserve">When we look at </w:t>
      </w:r>
      <w:r w:rsidR="00163F8F" w:rsidRPr="000A3AD5">
        <w:rPr>
          <w:rFonts w:cs="Arial"/>
          <w:b/>
          <w:lang w:val="en-US"/>
        </w:rPr>
        <w:t xml:space="preserve">the best cases (the lower right </w:t>
      </w:r>
      <w:r w:rsidRPr="000A3AD5">
        <w:rPr>
          <w:rFonts w:cs="Arial"/>
          <w:b/>
          <w:lang w:val="en-US"/>
        </w:rPr>
        <w:t>corner),</w:t>
      </w:r>
      <w:r w:rsidR="00163F8F" w:rsidRPr="000A3AD5">
        <w:rPr>
          <w:rFonts w:cs="Arial"/>
          <w:b/>
          <w:lang w:val="en-US"/>
        </w:rPr>
        <w:t xml:space="preserve"> Thrace (TR21) emerges cl</w:t>
      </w:r>
      <w:r w:rsidRPr="000A3AD5">
        <w:rPr>
          <w:rFonts w:cs="Arial"/>
          <w:b/>
          <w:lang w:val="en-US"/>
        </w:rPr>
        <w:t>early as the best region</w:t>
      </w:r>
      <w:r w:rsidR="00163F8F" w:rsidRPr="000A3AD5">
        <w:rPr>
          <w:rFonts w:cs="Arial"/>
          <w:b/>
          <w:lang w:val="en-US"/>
        </w:rPr>
        <w:t xml:space="preserve">. </w:t>
      </w:r>
      <w:r w:rsidR="00163F8F" w:rsidRPr="000A3AD5">
        <w:rPr>
          <w:rFonts w:cs="Arial"/>
          <w:lang w:val="en-US"/>
        </w:rPr>
        <w:t xml:space="preserve">Having a quite low unemployment rate (8.8 </w:t>
      </w:r>
      <w:r w:rsidRPr="000A3AD5">
        <w:rPr>
          <w:rFonts w:cs="Arial"/>
          <w:lang w:val="en-US"/>
        </w:rPr>
        <w:t>percent),</w:t>
      </w:r>
      <w:r w:rsidR="00163F8F" w:rsidRPr="000A3AD5">
        <w:rPr>
          <w:rFonts w:cs="Arial"/>
          <w:lang w:val="en-US"/>
        </w:rPr>
        <w:t xml:space="preserve"> T</w:t>
      </w:r>
      <w:r w:rsidRPr="000A3AD5">
        <w:rPr>
          <w:rFonts w:cs="Arial"/>
          <w:lang w:val="en-US"/>
        </w:rPr>
        <w:t>hrace has</w:t>
      </w:r>
      <w:r w:rsidR="00E07C0F" w:rsidRPr="000A3AD5">
        <w:rPr>
          <w:rFonts w:cs="Arial"/>
          <w:lang w:val="en-US"/>
        </w:rPr>
        <w:t xml:space="preserve"> the highest employment rat</w:t>
      </w:r>
      <w:r w:rsidR="00D5216B" w:rsidRPr="000A3AD5">
        <w:rPr>
          <w:rFonts w:cs="Arial"/>
          <w:lang w:val="en-US"/>
        </w:rPr>
        <w:t>io</w:t>
      </w:r>
      <w:r w:rsidRPr="000A3AD5">
        <w:rPr>
          <w:rFonts w:cs="Arial"/>
          <w:lang w:val="en-US"/>
        </w:rPr>
        <w:t xml:space="preserve"> (48.9 percent) of Turkey. </w:t>
      </w:r>
      <w:r w:rsidR="00D5216B" w:rsidRPr="000A3AD5">
        <w:rPr>
          <w:rFonts w:cs="Arial"/>
          <w:lang w:val="en-US"/>
        </w:rPr>
        <w:t>H</w:t>
      </w:r>
      <w:r w:rsidR="00E07C0F" w:rsidRPr="000A3AD5">
        <w:rPr>
          <w:rFonts w:cs="Arial"/>
          <w:lang w:val="en-US"/>
        </w:rPr>
        <w:t>igh employment rat</w:t>
      </w:r>
      <w:r w:rsidR="00D5216B" w:rsidRPr="000A3AD5">
        <w:rPr>
          <w:rFonts w:cs="Arial"/>
          <w:lang w:val="en-US"/>
        </w:rPr>
        <w:t>io</w:t>
      </w:r>
      <w:r w:rsidR="00E07C0F" w:rsidRPr="000A3AD5">
        <w:rPr>
          <w:rFonts w:cs="Arial"/>
          <w:lang w:val="en-US"/>
        </w:rPr>
        <w:t xml:space="preserve"> indicates not only a high level of industrialization but in the same time a high </w:t>
      </w:r>
      <w:r w:rsidRPr="000A3AD5">
        <w:rPr>
          <w:rFonts w:cs="Arial"/>
          <w:lang w:val="en-US"/>
        </w:rPr>
        <w:t xml:space="preserve">level of </w:t>
      </w:r>
      <w:r w:rsidR="00E07C0F" w:rsidRPr="000A3AD5">
        <w:rPr>
          <w:rFonts w:cs="Arial"/>
          <w:lang w:val="en-US"/>
        </w:rPr>
        <w:t>female participation rate</w:t>
      </w:r>
      <w:r w:rsidR="00E07C0F" w:rsidRPr="000A3AD5">
        <w:rPr>
          <w:rFonts w:cs="Arial"/>
          <w:i/>
          <w:lang w:val="en-US"/>
        </w:rPr>
        <w:t xml:space="preserve">.  </w:t>
      </w:r>
      <w:r w:rsidR="00163F8F" w:rsidRPr="000A3AD5">
        <w:rPr>
          <w:rFonts w:cs="Arial"/>
          <w:b/>
          <w:i/>
          <w:lang w:val="en-US"/>
        </w:rPr>
        <w:t xml:space="preserve"> </w:t>
      </w:r>
    </w:p>
    <w:p w:rsidR="00D5216B" w:rsidRPr="000A3AD5" w:rsidRDefault="00205394" w:rsidP="0054644B">
      <w:pPr>
        <w:rPr>
          <w:rFonts w:cs="Arial"/>
          <w:lang w:val="en-US"/>
        </w:rPr>
      </w:pPr>
      <w:r w:rsidRPr="000A3AD5">
        <w:rPr>
          <w:rFonts w:cs="Arial"/>
          <w:lang w:val="en-US"/>
        </w:rPr>
        <w:t xml:space="preserve">Among seven other </w:t>
      </w:r>
      <w:r w:rsidR="00FB1D05" w:rsidRPr="000A3AD5">
        <w:rPr>
          <w:rFonts w:cs="Arial"/>
          <w:lang w:val="en-US"/>
        </w:rPr>
        <w:t xml:space="preserve">best </w:t>
      </w:r>
      <w:r w:rsidR="007F261A" w:rsidRPr="000A3AD5">
        <w:rPr>
          <w:rFonts w:cs="Arial"/>
          <w:lang w:val="en-US"/>
        </w:rPr>
        <w:t xml:space="preserve">regions, </w:t>
      </w:r>
      <w:r w:rsidRPr="000A3AD5">
        <w:rPr>
          <w:rFonts w:cs="Arial"/>
          <w:lang w:val="en-US"/>
        </w:rPr>
        <w:t>four</w:t>
      </w:r>
      <w:r w:rsidR="007F261A" w:rsidRPr="000A3AD5">
        <w:rPr>
          <w:rFonts w:cs="Arial"/>
          <w:lang w:val="en-US"/>
        </w:rPr>
        <w:t xml:space="preserve"> of them deserve attention. </w:t>
      </w:r>
      <w:r w:rsidR="001B6D2C" w:rsidRPr="000A3AD5">
        <w:rPr>
          <w:rFonts w:cs="Arial"/>
          <w:lang w:val="en-US"/>
        </w:rPr>
        <w:t xml:space="preserve">Ankara (TR51) and </w:t>
      </w:r>
      <w:proofErr w:type="spellStart"/>
      <w:r w:rsidR="001B6D2C" w:rsidRPr="000A3AD5">
        <w:rPr>
          <w:rFonts w:cs="Arial"/>
          <w:lang w:val="en-US"/>
        </w:rPr>
        <w:t>Kocaeli</w:t>
      </w:r>
      <w:proofErr w:type="spellEnd"/>
      <w:r w:rsidR="001B6D2C" w:rsidRPr="000A3AD5">
        <w:rPr>
          <w:rFonts w:cs="Arial"/>
          <w:lang w:val="en-US"/>
        </w:rPr>
        <w:t xml:space="preserve"> (TR42</w:t>
      </w:r>
      <w:r w:rsidR="007F261A" w:rsidRPr="000A3AD5">
        <w:rPr>
          <w:rFonts w:cs="Arial"/>
          <w:lang w:val="en-US"/>
        </w:rPr>
        <w:t>), two of the best four regions,</w:t>
      </w:r>
      <w:r w:rsidR="001B6D2C" w:rsidRPr="000A3AD5">
        <w:rPr>
          <w:rFonts w:cs="Arial"/>
          <w:lang w:val="en-US"/>
        </w:rPr>
        <w:t xml:space="preserve"> </w:t>
      </w:r>
      <w:r w:rsidR="007F261A" w:rsidRPr="000A3AD5">
        <w:rPr>
          <w:rFonts w:cs="Arial"/>
          <w:lang w:val="en-US"/>
        </w:rPr>
        <w:t>have relatively</w:t>
      </w:r>
      <w:r w:rsidR="00871EC8" w:rsidRPr="000A3AD5">
        <w:rPr>
          <w:rFonts w:cs="Arial"/>
          <w:lang w:val="en-US"/>
        </w:rPr>
        <w:t xml:space="preserve"> high unemploy</w:t>
      </w:r>
      <w:r w:rsidR="007F261A" w:rsidRPr="000A3AD5">
        <w:rPr>
          <w:rFonts w:cs="Arial"/>
          <w:lang w:val="en-US"/>
        </w:rPr>
        <w:t>ment rates though they are</w:t>
      </w:r>
      <w:r w:rsidR="00871EC8" w:rsidRPr="000A3AD5">
        <w:rPr>
          <w:rFonts w:cs="Arial"/>
          <w:lang w:val="en-US"/>
        </w:rPr>
        <w:t xml:space="preserve"> below the country average</w:t>
      </w:r>
      <w:r w:rsidR="007F261A" w:rsidRPr="000A3AD5">
        <w:rPr>
          <w:rFonts w:cs="Arial"/>
          <w:lang w:val="en-US"/>
        </w:rPr>
        <w:t xml:space="preserve">. These regions </w:t>
      </w:r>
      <w:r w:rsidR="00871EC8" w:rsidRPr="000A3AD5">
        <w:rPr>
          <w:rFonts w:cs="Arial"/>
          <w:lang w:val="en-US"/>
        </w:rPr>
        <w:t>also</w:t>
      </w:r>
      <w:r w:rsidR="007F261A" w:rsidRPr="000A3AD5">
        <w:rPr>
          <w:rFonts w:cs="Arial"/>
          <w:lang w:val="en-US"/>
        </w:rPr>
        <w:t xml:space="preserve"> have</w:t>
      </w:r>
      <w:r w:rsidR="00871EC8" w:rsidRPr="000A3AD5">
        <w:rPr>
          <w:rFonts w:cs="Arial"/>
          <w:lang w:val="en-US"/>
        </w:rPr>
        <w:t xml:space="preserve"> very high employment rat</w:t>
      </w:r>
      <w:r w:rsidR="00D5216B" w:rsidRPr="000A3AD5">
        <w:rPr>
          <w:rFonts w:cs="Arial"/>
          <w:lang w:val="en-US"/>
        </w:rPr>
        <w:t>ios</w:t>
      </w:r>
      <w:r w:rsidR="00871EC8" w:rsidRPr="000A3AD5">
        <w:rPr>
          <w:rFonts w:cs="Arial"/>
          <w:lang w:val="en-US"/>
        </w:rPr>
        <w:t>. The other two best cases are</w:t>
      </w:r>
      <w:r w:rsidR="007F261A" w:rsidRPr="000A3AD5">
        <w:rPr>
          <w:rFonts w:cs="Arial"/>
          <w:lang w:val="en-US"/>
        </w:rPr>
        <w:t xml:space="preserve"> Bursa (TR41) and Aydın (TR32) holding</w:t>
      </w:r>
      <w:r w:rsidR="00871EC8" w:rsidRPr="000A3AD5">
        <w:rPr>
          <w:rFonts w:cs="Arial"/>
          <w:lang w:val="en-US"/>
        </w:rPr>
        <w:t xml:space="preserve"> slightly lower unemployment </w:t>
      </w:r>
      <w:r w:rsidR="0054213D" w:rsidRPr="000A3AD5">
        <w:rPr>
          <w:rFonts w:cs="Arial"/>
          <w:lang w:val="en-US"/>
        </w:rPr>
        <w:t>rates than</w:t>
      </w:r>
      <w:r w:rsidR="007F261A" w:rsidRPr="000A3AD5">
        <w:rPr>
          <w:rFonts w:cs="Arial"/>
          <w:lang w:val="en-US"/>
        </w:rPr>
        <w:t xml:space="preserve"> Ankara and </w:t>
      </w:r>
      <w:proofErr w:type="spellStart"/>
      <w:r w:rsidR="007F261A" w:rsidRPr="000A3AD5">
        <w:rPr>
          <w:rFonts w:cs="Arial"/>
          <w:lang w:val="en-US"/>
        </w:rPr>
        <w:t>Kocaeli</w:t>
      </w:r>
      <w:proofErr w:type="spellEnd"/>
      <w:r w:rsidR="007F261A" w:rsidRPr="000A3AD5">
        <w:rPr>
          <w:rFonts w:cs="Arial"/>
          <w:lang w:val="en-US"/>
        </w:rPr>
        <w:t>. However, these two regions</w:t>
      </w:r>
      <w:r w:rsidR="009F4BA9" w:rsidRPr="000A3AD5">
        <w:rPr>
          <w:rFonts w:cs="Arial"/>
          <w:lang w:val="en-US"/>
        </w:rPr>
        <w:t xml:space="preserve"> also</w:t>
      </w:r>
      <w:r w:rsidR="007F261A" w:rsidRPr="000A3AD5">
        <w:rPr>
          <w:rFonts w:cs="Arial"/>
          <w:lang w:val="en-US"/>
        </w:rPr>
        <w:t xml:space="preserve"> have lower employment rat</w:t>
      </w:r>
      <w:r w:rsidR="00D5216B" w:rsidRPr="000A3AD5">
        <w:rPr>
          <w:rFonts w:cs="Arial"/>
          <w:lang w:val="en-US"/>
        </w:rPr>
        <w:t>ios</w:t>
      </w:r>
      <w:r w:rsidR="009F4BA9" w:rsidRPr="000A3AD5">
        <w:rPr>
          <w:rFonts w:cs="Arial"/>
          <w:lang w:val="en-US"/>
        </w:rPr>
        <w:t>.</w:t>
      </w:r>
      <w:r w:rsidR="00871EC8" w:rsidRPr="000A3AD5">
        <w:rPr>
          <w:rFonts w:cs="Arial"/>
          <w:lang w:val="en-US"/>
        </w:rPr>
        <w:t xml:space="preserve"> Never</w:t>
      </w:r>
      <w:r w:rsidR="009F4BA9" w:rsidRPr="000A3AD5">
        <w:rPr>
          <w:rFonts w:cs="Arial"/>
          <w:lang w:val="en-US"/>
        </w:rPr>
        <w:t xml:space="preserve">theless, if we pay more attention </w:t>
      </w:r>
      <w:r w:rsidR="00D5216B" w:rsidRPr="000A3AD5">
        <w:rPr>
          <w:rFonts w:cs="Arial"/>
          <w:lang w:val="en-US"/>
        </w:rPr>
        <w:t xml:space="preserve">to </w:t>
      </w:r>
      <w:r w:rsidR="00871EC8" w:rsidRPr="000A3AD5">
        <w:rPr>
          <w:rFonts w:cs="Arial"/>
          <w:lang w:val="en-US"/>
        </w:rPr>
        <w:t>unemployment level</w:t>
      </w:r>
      <w:r w:rsidR="009F4BA9" w:rsidRPr="000A3AD5">
        <w:rPr>
          <w:rFonts w:cs="Arial"/>
          <w:lang w:val="en-US"/>
        </w:rPr>
        <w:t>, Bursa and Aydın regions can</w:t>
      </w:r>
      <w:r w:rsidR="00871EC8" w:rsidRPr="000A3AD5">
        <w:rPr>
          <w:rFonts w:cs="Arial"/>
          <w:lang w:val="en-US"/>
        </w:rPr>
        <w:t xml:space="preserve"> be ranked as second and third best cases.</w:t>
      </w:r>
      <w:r w:rsidR="002C07D6" w:rsidRPr="000A3AD5">
        <w:rPr>
          <w:rFonts w:cs="Arial"/>
          <w:lang w:val="en-US"/>
        </w:rPr>
        <w:t xml:space="preserve"> Let us note</w:t>
      </w:r>
      <w:r w:rsidR="009F4BA9" w:rsidRPr="000A3AD5">
        <w:rPr>
          <w:rFonts w:cs="Arial"/>
          <w:lang w:val="en-US"/>
        </w:rPr>
        <w:t xml:space="preserve"> that these regions </w:t>
      </w:r>
      <w:r w:rsidR="00DD3F3E" w:rsidRPr="000A3AD5">
        <w:rPr>
          <w:rFonts w:cs="Arial"/>
          <w:lang w:val="en-US"/>
        </w:rPr>
        <w:t xml:space="preserve">are in </w:t>
      </w:r>
      <w:r w:rsidR="002C07D6" w:rsidRPr="000A3AD5">
        <w:rPr>
          <w:rFonts w:cs="Arial"/>
          <w:lang w:val="en-US"/>
        </w:rPr>
        <w:t>West</w:t>
      </w:r>
      <w:r w:rsidR="00DD3F3E" w:rsidRPr="000A3AD5">
        <w:rPr>
          <w:rFonts w:cs="Arial"/>
          <w:lang w:val="en-US"/>
        </w:rPr>
        <w:t xml:space="preserve">ern </w:t>
      </w:r>
      <w:r w:rsidR="002C07D6" w:rsidRPr="000A3AD5">
        <w:rPr>
          <w:rFonts w:cs="Arial"/>
          <w:lang w:val="en-US"/>
        </w:rPr>
        <w:t>Turkey.</w:t>
      </w:r>
      <w:r w:rsidR="00871EC8" w:rsidRPr="000A3AD5">
        <w:rPr>
          <w:rFonts w:cs="Arial"/>
          <w:lang w:val="en-US"/>
        </w:rPr>
        <w:t xml:space="preserve"> </w:t>
      </w:r>
    </w:p>
    <w:p w:rsidR="00A23AE3" w:rsidRPr="000A3AD5" w:rsidRDefault="00A23AE3" w:rsidP="0054644B">
      <w:pPr>
        <w:rPr>
          <w:b/>
          <w:sz w:val="24"/>
          <w:szCs w:val="24"/>
          <w:lang w:val="en-US"/>
        </w:rPr>
      </w:pPr>
      <w:r w:rsidRPr="000A3AD5">
        <w:rPr>
          <w:b/>
          <w:sz w:val="24"/>
          <w:szCs w:val="24"/>
          <w:lang w:val="en-US"/>
        </w:rPr>
        <w:t>Regions where unemployment increased</w:t>
      </w:r>
    </w:p>
    <w:p w:rsidR="00CA2247" w:rsidRPr="000A3AD5" w:rsidRDefault="00CA2247" w:rsidP="0054644B">
      <w:pPr>
        <w:rPr>
          <w:lang w:val="en-US"/>
        </w:rPr>
      </w:pPr>
      <w:r w:rsidRPr="000A3AD5">
        <w:rPr>
          <w:lang w:val="en-US"/>
        </w:rPr>
        <w:t>In the first part</w:t>
      </w:r>
      <w:r w:rsidR="006E29D1" w:rsidRPr="000A3AD5">
        <w:rPr>
          <w:lang w:val="en-US"/>
        </w:rPr>
        <w:t>,</w:t>
      </w:r>
      <w:r w:rsidRPr="000A3AD5">
        <w:rPr>
          <w:lang w:val="en-US"/>
        </w:rPr>
        <w:t xml:space="preserve"> we compared the regions according to</w:t>
      </w:r>
      <w:r w:rsidR="006E29D1" w:rsidRPr="000A3AD5">
        <w:rPr>
          <w:lang w:val="en-US"/>
        </w:rPr>
        <w:t xml:space="preserve"> the</w:t>
      </w:r>
      <w:r w:rsidRPr="000A3AD5">
        <w:rPr>
          <w:lang w:val="en-US"/>
        </w:rPr>
        <w:t xml:space="preserve"> unemployment </w:t>
      </w:r>
      <w:r w:rsidR="002B5775" w:rsidRPr="000A3AD5">
        <w:rPr>
          <w:lang w:val="en-US"/>
        </w:rPr>
        <w:t xml:space="preserve">rates </w:t>
      </w:r>
      <w:r w:rsidRPr="000A3AD5">
        <w:rPr>
          <w:lang w:val="en-US"/>
        </w:rPr>
        <w:t xml:space="preserve">and employment </w:t>
      </w:r>
      <w:r w:rsidR="006E29D1" w:rsidRPr="000A3AD5">
        <w:rPr>
          <w:lang w:val="en-US"/>
        </w:rPr>
        <w:t>rat</w:t>
      </w:r>
      <w:r w:rsidR="002B5775" w:rsidRPr="000A3AD5">
        <w:rPr>
          <w:lang w:val="en-US"/>
        </w:rPr>
        <w:t>ios</w:t>
      </w:r>
      <w:r w:rsidR="006E29D1" w:rsidRPr="000A3AD5">
        <w:rPr>
          <w:lang w:val="en-US"/>
        </w:rPr>
        <w:t xml:space="preserve"> </w:t>
      </w:r>
      <w:r w:rsidR="00725FFC" w:rsidRPr="000A3AD5">
        <w:rPr>
          <w:lang w:val="en-US"/>
        </w:rPr>
        <w:t xml:space="preserve">for </w:t>
      </w:r>
      <w:r w:rsidRPr="000A3AD5">
        <w:rPr>
          <w:lang w:val="en-US"/>
        </w:rPr>
        <w:t>2016. Now we would like to compare them according to changes in unemployment and la</w:t>
      </w:r>
      <w:r w:rsidR="00BE2257" w:rsidRPr="000A3AD5">
        <w:rPr>
          <w:lang w:val="en-US"/>
        </w:rPr>
        <w:t>bor markets dynamics behind thos</w:t>
      </w:r>
      <w:r w:rsidRPr="000A3AD5">
        <w:rPr>
          <w:lang w:val="en-US"/>
        </w:rPr>
        <w:t xml:space="preserve">e changes. At the </w:t>
      </w:r>
      <w:r w:rsidR="00725FFC" w:rsidRPr="000A3AD5">
        <w:rPr>
          <w:lang w:val="en-US"/>
        </w:rPr>
        <w:t xml:space="preserve">national </w:t>
      </w:r>
      <w:r w:rsidRPr="000A3AD5">
        <w:rPr>
          <w:lang w:val="en-US"/>
        </w:rPr>
        <w:t>level</w:t>
      </w:r>
      <w:r w:rsidR="00BE2257" w:rsidRPr="000A3AD5">
        <w:rPr>
          <w:lang w:val="en-US"/>
        </w:rPr>
        <w:t>,</w:t>
      </w:r>
      <w:r w:rsidRPr="000A3AD5">
        <w:rPr>
          <w:lang w:val="en-US"/>
        </w:rPr>
        <w:t xml:space="preserve"> unemployment rate increased from 12.</w:t>
      </w:r>
      <w:r w:rsidR="00725FFC" w:rsidRPr="000A3AD5">
        <w:rPr>
          <w:lang w:val="en-US"/>
        </w:rPr>
        <w:t xml:space="preserve">4 percent to 13 annually from 2015 to 2016. </w:t>
      </w:r>
      <w:r w:rsidR="00BE2257" w:rsidRPr="000A3AD5">
        <w:rPr>
          <w:lang w:val="en-US"/>
        </w:rPr>
        <w:t>However, this increase has not affected</w:t>
      </w:r>
      <w:r w:rsidR="008B6E80" w:rsidRPr="000A3AD5">
        <w:rPr>
          <w:lang w:val="en-US"/>
        </w:rPr>
        <w:t xml:space="preserve"> </w:t>
      </w:r>
      <w:r w:rsidR="00BE2257" w:rsidRPr="000A3AD5">
        <w:rPr>
          <w:lang w:val="en-US"/>
        </w:rPr>
        <w:t xml:space="preserve">26 region in the same way. Indeed, </w:t>
      </w:r>
      <w:r w:rsidR="008B6E80" w:rsidRPr="000A3AD5">
        <w:rPr>
          <w:lang w:val="en-US"/>
        </w:rPr>
        <w:t>unemployment</w:t>
      </w:r>
      <w:r w:rsidR="00BE2257" w:rsidRPr="000A3AD5">
        <w:rPr>
          <w:lang w:val="en-US"/>
        </w:rPr>
        <w:t xml:space="preserve"> rate</w:t>
      </w:r>
      <w:r w:rsidR="008B6E80" w:rsidRPr="000A3AD5">
        <w:rPr>
          <w:lang w:val="en-US"/>
        </w:rPr>
        <w:t xml:space="preserve"> increased in </w:t>
      </w:r>
      <w:r w:rsidR="002B5775" w:rsidRPr="000A3AD5">
        <w:rPr>
          <w:lang w:val="en-US"/>
        </w:rPr>
        <w:t>17</w:t>
      </w:r>
      <w:r w:rsidR="008B6E80" w:rsidRPr="000A3AD5">
        <w:rPr>
          <w:lang w:val="en-US"/>
        </w:rPr>
        <w:t xml:space="preserve"> regions</w:t>
      </w:r>
      <w:r w:rsidR="00BE2257" w:rsidRPr="000A3AD5">
        <w:rPr>
          <w:lang w:val="en-US"/>
        </w:rPr>
        <w:t xml:space="preserve"> whereas</w:t>
      </w:r>
      <w:r w:rsidR="008B6E80" w:rsidRPr="000A3AD5">
        <w:rPr>
          <w:lang w:val="en-US"/>
        </w:rPr>
        <w:t xml:space="preserve"> it decreased in </w:t>
      </w:r>
      <w:r w:rsidR="002B5775" w:rsidRPr="000A3AD5">
        <w:rPr>
          <w:lang w:val="en-US"/>
        </w:rPr>
        <w:t>9</w:t>
      </w:r>
      <w:r w:rsidR="008B6E80" w:rsidRPr="000A3AD5">
        <w:rPr>
          <w:lang w:val="en-US"/>
        </w:rPr>
        <w:t xml:space="preserve"> of them. Furthermore</w:t>
      </w:r>
      <w:r w:rsidR="00BE2257" w:rsidRPr="000A3AD5">
        <w:rPr>
          <w:lang w:val="en-US"/>
        </w:rPr>
        <w:t>, there are great differences in terms of the size and the causes of unemployment change across regions.</w:t>
      </w:r>
    </w:p>
    <w:p w:rsidR="00280444" w:rsidRPr="000A3AD5" w:rsidRDefault="00525437" w:rsidP="00F23FE3">
      <w:pPr>
        <w:rPr>
          <w:lang w:val="en-US"/>
        </w:rPr>
      </w:pPr>
      <w:r w:rsidRPr="000A3AD5">
        <w:rPr>
          <w:lang w:val="en-US"/>
        </w:rPr>
        <w:t>The regions where u</w:t>
      </w:r>
      <w:r w:rsidR="00BE2257" w:rsidRPr="000A3AD5">
        <w:rPr>
          <w:lang w:val="en-US"/>
        </w:rPr>
        <w:t>nemployme</w:t>
      </w:r>
      <w:r w:rsidR="00814A4A" w:rsidRPr="000A3AD5">
        <w:rPr>
          <w:lang w:val="en-US"/>
        </w:rPr>
        <w:t>nt increased are presented in d</w:t>
      </w:r>
      <w:r w:rsidR="00725FFC" w:rsidRPr="000A3AD5">
        <w:rPr>
          <w:lang w:val="en-US"/>
        </w:rPr>
        <w:t xml:space="preserve">escending </w:t>
      </w:r>
      <w:r w:rsidR="00BE2257" w:rsidRPr="000A3AD5">
        <w:rPr>
          <w:lang w:val="en-US"/>
        </w:rPr>
        <w:t>order</w:t>
      </w:r>
      <w:r w:rsidR="001C3BC3" w:rsidRPr="000A3AD5">
        <w:rPr>
          <w:lang w:val="en-US"/>
        </w:rPr>
        <w:t xml:space="preserve"> </w:t>
      </w:r>
      <w:r w:rsidR="00BE2257" w:rsidRPr="000A3AD5">
        <w:rPr>
          <w:lang w:val="en-US"/>
        </w:rPr>
        <w:t>in the F</w:t>
      </w:r>
      <w:r w:rsidRPr="000A3AD5">
        <w:rPr>
          <w:lang w:val="en-US"/>
        </w:rPr>
        <w:t xml:space="preserve">igure 3. </w:t>
      </w:r>
      <w:r w:rsidRPr="000A3AD5">
        <w:rPr>
          <w:b/>
          <w:lang w:val="en-US"/>
        </w:rPr>
        <w:t xml:space="preserve">The two regions that suffered from very high </w:t>
      </w:r>
      <w:r w:rsidR="00BE2257" w:rsidRPr="000A3AD5">
        <w:rPr>
          <w:b/>
          <w:lang w:val="en-US"/>
        </w:rPr>
        <w:t xml:space="preserve">unemployment </w:t>
      </w:r>
      <w:r w:rsidRPr="000A3AD5">
        <w:rPr>
          <w:b/>
          <w:lang w:val="en-US"/>
        </w:rPr>
        <w:t>increase</w:t>
      </w:r>
      <w:r w:rsidR="00725FFC" w:rsidRPr="000A3AD5">
        <w:rPr>
          <w:b/>
          <w:lang w:val="en-US"/>
        </w:rPr>
        <w:t>s</w:t>
      </w:r>
      <w:r w:rsidRPr="000A3AD5">
        <w:rPr>
          <w:b/>
          <w:lang w:val="en-US"/>
        </w:rPr>
        <w:t xml:space="preserve"> are Gaziantep (TRC1) and Cappadocia (TR71)</w:t>
      </w:r>
      <w:r w:rsidR="004D66F3" w:rsidRPr="000A3AD5">
        <w:rPr>
          <w:b/>
          <w:lang w:val="en-US"/>
        </w:rPr>
        <w:t xml:space="preserve">. </w:t>
      </w:r>
      <w:r w:rsidR="004D66F3" w:rsidRPr="000A3AD5">
        <w:rPr>
          <w:lang w:val="en-US"/>
        </w:rPr>
        <w:t>Unemployment rates</w:t>
      </w:r>
      <w:r w:rsidR="00BE2257" w:rsidRPr="000A3AD5">
        <w:rPr>
          <w:lang w:val="en-US"/>
        </w:rPr>
        <w:t xml:space="preserve"> increased by 4.4 and 4.3 percentage points</w:t>
      </w:r>
      <w:r w:rsidR="00814A4A" w:rsidRPr="000A3AD5">
        <w:rPr>
          <w:lang w:val="en-US"/>
        </w:rPr>
        <w:t xml:space="preserve"> and</w:t>
      </w:r>
      <w:r w:rsidR="004D66F3" w:rsidRPr="000A3AD5">
        <w:rPr>
          <w:lang w:val="en-US"/>
        </w:rPr>
        <w:t xml:space="preserve"> reach</w:t>
      </w:r>
      <w:r w:rsidR="00814A4A" w:rsidRPr="000A3AD5">
        <w:rPr>
          <w:lang w:val="en-US"/>
        </w:rPr>
        <w:t>ed</w:t>
      </w:r>
      <w:r w:rsidR="00BE2257" w:rsidRPr="000A3AD5">
        <w:rPr>
          <w:lang w:val="en-US"/>
        </w:rPr>
        <w:t xml:space="preserve"> </w:t>
      </w:r>
      <w:r w:rsidR="004D66F3" w:rsidRPr="000A3AD5">
        <w:rPr>
          <w:lang w:val="en-US"/>
        </w:rPr>
        <w:t>18 a</w:t>
      </w:r>
      <w:r w:rsidR="00BE2257" w:rsidRPr="000A3AD5">
        <w:rPr>
          <w:lang w:val="en-US"/>
        </w:rPr>
        <w:t xml:space="preserve">nd 15.8 percent, respectively. </w:t>
      </w:r>
      <w:r w:rsidR="00A40543" w:rsidRPr="000A3AD5">
        <w:rPr>
          <w:lang w:val="en-US"/>
        </w:rPr>
        <w:t>The cause of</w:t>
      </w:r>
      <w:r w:rsidR="00BE2257" w:rsidRPr="000A3AD5">
        <w:rPr>
          <w:lang w:val="en-US"/>
        </w:rPr>
        <w:t xml:space="preserve"> this jump </w:t>
      </w:r>
      <w:r w:rsidR="00A40543" w:rsidRPr="000A3AD5">
        <w:rPr>
          <w:lang w:val="en-US"/>
        </w:rPr>
        <w:t>in Gaziantep region is t</w:t>
      </w:r>
      <w:r w:rsidR="00BE2257" w:rsidRPr="000A3AD5">
        <w:rPr>
          <w:lang w:val="en-US"/>
        </w:rPr>
        <w:t xml:space="preserve">he </w:t>
      </w:r>
      <w:r w:rsidR="00562D88" w:rsidRPr="000A3AD5">
        <w:rPr>
          <w:lang w:val="en-US"/>
        </w:rPr>
        <w:t>insufficient</w:t>
      </w:r>
      <w:r w:rsidR="00BE2257" w:rsidRPr="000A3AD5">
        <w:rPr>
          <w:lang w:val="en-US"/>
        </w:rPr>
        <w:t xml:space="preserve"> increase in employment against</w:t>
      </w:r>
      <w:r w:rsidR="00B8577C" w:rsidRPr="000A3AD5">
        <w:rPr>
          <w:lang w:val="en-US"/>
        </w:rPr>
        <w:t xml:space="preserve"> a</w:t>
      </w:r>
      <w:r w:rsidR="000A3AD5">
        <w:rPr>
          <w:lang w:val="en-US"/>
        </w:rPr>
        <w:t xml:space="preserve"> strong labo</w:t>
      </w:r>
      <w:r w:rsidR="00A40543" w:rsidRPr="000A3AD5">
        <w:rPr>
          <w:lang w:val="en-US"/>
        </w:rPr>
        <w:t>r force increase</w:t>
      </w:r>
      <w:r w:rsidR="00B8577C" w:rsidRPr="000A3AD5">
        <w:rPr>
          <w:lang w:val="en-US"/>
        </w:rPr>
        <w:t xml:space="preserve"> (Table </w:t>
      </w:r>
      <w:r w:rsidR="00BE2257" w:rsidRPr="000A3AD5">
        <w:rPr>
          <w:lang w:val="en-US"/>
        </w:rPr>
        <w:t>1). The</w:t>
      </w:r>
      <w:r w:rsidR="00B8577C" w:rsidRPr="000A3AD5">
        <w:rPr>
          <w:lang w:val="en-US"/>
        </w:rPr>
        <w:t xml:space="preserve"> employment increase</w:t>
      </w:r>
      <w:r w:rsidR="00BE2257" w:rsidRPr="000A3AD5">
        <w:rPr>
          <w:lang w:val="en-US"/>
        </w:rPr>
        <w:t xml:space="preserve"> in Gaziantep region is limited to 0.7 percent</w:t>
      </w:r>
      <w:r w:rsidR="00562D88" w:rsidRPr="000A3AD5">
        <w:rPr>
          <w:lang w:val="en-US"/>
        </w:rPr>
        <w:t xml:space="preserve"> whereas</w:t>
      </w:r>
      <w:r w:rsidR="00BE2257" w:rsidRPr="000A3AD5">
        <w:rPr>
          <w:lang w:val="en-US"/>
        </w:rPr>
        <w:t xml:space="preserve"> </w:t>
      </w:r>
      <w:r w:rsidR="000A3AD5">
        <w:rPr>
          <w:lang w:val="en-US"/>
        </w:rPr>
        <w:t>labo</w:t>
      </w:r>
      <w:r w:rsidR="00814A4A" w:rsidRPr="000A3AD5">
        <w:rPr>
          <w:lang w:val="en-US"/>
        </w:rPr>
        <w:t>r</w:t>
      </w:r>
      <w:r w:rsidR="00A40543" w:rsidRPr="000A3AD5">
        <w:rPr>
          <w:lang w:val="en-US"/>
        </w:rPr>
        <w:t xml:space="preserve"> </w:t>
      </w:r>
      <w:r w:rsidR="00B8577C" w:rsidRPr="000A3AD5">
        <w:rPr>
          <w:lang w:val="en-US"/>
        </w:rPr>
        <w:t>force increase</w:t>
      </w:r>
      <w:r w:rsidR="00562D88" w:rsidRPr="000A3AD5">
        <w:rPr>
          <w:lang w:val="en-US"/>
        </w:rPr>
        <w:t xml:space="preserve">d by </w:t>
      </w:r>
      <w:r w:rsidR="00B8577C" w:rsidRPr="000A3AD5">
        <w:rPr>
          <w:lang w:val="en-US"/>
        </w:rPr>
        <w:t>1.2 percent</w:t>
      </w:r>
      <w:r w:rsidR="00B8577C" w:rsidRPr="000A3AD5">
        <w:rPr>
          <w:b/>
          <w:lang w:val="en-US"/>
        </w:rPr>
        <w:t xml:space="preserve">. </w:t>
      </w:r>
      <w:r w:rsidR="00562D88" w:rsidRPr="000A3AD5">
        <w:rPr>
          <w:b/>
          <w:lang w:val="en-US"/>
        </w:rPr>
        <w:t xml:space="preserve"> </w:t>
      </w:r>
      <w:r w:rsidR="00B8577C" w:rsidRPr="000A3AD5">
        <w:rPr>
          <w:b/>
          <w:lang w:val="en-US"/>
        </w:rPr>
        <w:t>As for Cappadocia</w:t>
      </w:r>
      <w:r w:rsidR="00562D88" w:rsidRPr="000A3AD5">
        <w:rPr>
          <w:b/>
          <w:lang w:val="en-US"/>
        </w:rPr>
        <w:t>, the</w:t>
      </w:r>
      <w:r w:rsidR="00B8577C" w:rsidRPr="000A3AD5">
        <w:rPr>
          <w:b/>
          <w:lang w:val="en-US"/>
        </w:rPr>
        <w:t xml:space="preserve"> employment decreased in absolute terms.  Since the jump in </w:t>
      </w:r>
      <w:r w:rsidR="00F9308F" w:rsidRPr="000A3AD5">
        <w:rPr>
          <w:b/>
          <w:lang w:val="en-US"/>
        </w:rPr>
        <w:t>un</w:t>
      </w:r>
      <w:r w:rsidR="00562D88" w:rsidRPr="000A3AD5">
        <w:rPr>
          <w:b/>
          <w:lang w:val="en-US"/>
        </w:rPr>
        <w:t xml:space="preserve">employment stemmed </w:t>
      </w:r>
      <w:r w:rsidR="00B8577C" w:rsidRPr="000A3AD5">
        <w:rPr>
          <w:b/>
          <w:lang w:val="en-US"/>
        </w:rPr>
        <w:t xml:space="preserve">from this </w:t>
      </w:r>
      <w:r w:rsidR="00562D88" w:rsidRPr="000A3AD5">
        <w:rPr>
          <w:b/>
          <w:lang w:val="en-US"/>
        </w:rPr>
        <w:t xml:space="preserve">absolute decrease in employment, </w:t>
      </w:r>
      <w:r w:rsidR="00B8577C" w:rsidRPr="000A3AD5">
        <w:rPr>
          <w:b/>
          <w:lang w:val="en-US"/>
        </w:rPr>
        <w:t>one may consider Cappadocia as th</w:t>
      </w:r>
      <w:r w:rsidR="00562D88" w:rsidRPr="000A3AD5">
        <w:rPr>
          <w:b/>
          <w:lang w:val="en-US"/>
        </w:rPr>
        <w:t xml:space="preserve">e worst case in </w:t>
      </w:r>
      <w:r w:rsidR="00725FFC" w:rsidRPr="000A3AD5">
        <w:rPr>
          <w:b/>
          <w:lang w:val="en-US"/>
        </w:rPr>
        <w:t xml:space="preserve">terms of </w:t>
      </w:r>
      <w:r w:rsidR="00562D88" w:rsidRPr="000A3AD5">
        <w:rPr>
          <w:b/>
          <w:lang w:val="en-US"/>
        </w:rPr>
        <w:t>labo</w:t>
      </w:r>
      <w:r w:rsidR="00B8577C" w:rsidRPr="000A3AD5">
        <w:rPr>
          <w:b/>
          <w:lang w:val="en-US"/>
        </w:rPr>
        <w:t>r market dynamics.</w:t>
      </w:r>
      <w:r w:rsidR="00B8577C" w:rsidRPr="000A3AD5">
        <w:rPr>
          <w:lang w:val="en-US"/>
        </w:rPr>
        <w:t xml:space="preserve"> </w:t>
      </w:r>
      <w:r w:rsidR="001C3BC3" w:rsidRPr="000A3AD5">
        <w:rPr>
          <w:lang w:val="en-US"/>
        </w:rPr>
        <w:t xml:space="preserve"> </w:t>
      </w:r>
      <w:r w:rsidR="00F9308F" w:rsidRPr="000A3AD5">
        <w:rPr>
          <w:lang w:val="en-US"/>
        </w:rPr>
        <w:t>T</w:t>
      </w:r>
      <w:r w:rsidR="00562D88" w:rsidRPr="000A3AD5">
        <w:rPr>
          <w:lang w:val="en-US"/>
        </w:rPr>
        <w:t xml:space="preserve">he impact of the crisis in </w:t>
      </w:r>
      <w:r w:rsidR="00F9308F" w:rsidRPr="000A3AD5">
        <w:rPr>
          <w:lang w:val="en-US"/>
        </w:rPr>
        <w:t>tourism sector is obvious</w:t>
      </w:r>
      <w:r w:rsidR="00562D88" w:rsidRPr="000A3AD5">
        <w:rPr>
          <w:lang w:val="en-US"/>
        </w:rPr>
        <w:t xml:space="preserve">; </w:t>
      </w:r>
      <w:r w:rsidR="003227D9" w:rsidRPr="000A3AD5">
        <w:rPr>
          <w:lang w:val="en-US"/>
        </w:rPr>
        <w:t xml:space="preserve">as a matter of </w:t>
      </w:r>
      <w:r w:rsidR="00814A4A" w:rsidRPr="000A3AD5">
        <w:rPr>
          <w:lang w:val="en-US"/>
        </w:rPr>
        <w:t xml:space="preserve">fact, </w:t>
      </w:r>
      <w:r w:rsidR="003227D9" w:rsidRPr="000A3AD5">
        <w:rPr>
          <w:lang w:val="en-US"/>
        </w:rPr>
        <w:t xml:space="preserve">employment by industry increased by </w:t>
      </w:r>
      <w:r w:rsidR="00F9308F" w:rsidRPr="000A3AD5">
        <w:rPr>
          <w:lang w:val="en-US"/>
        </w:rPr>
        <w:t>5</w:t>
      </w:r>
      <w:r w:rsidR="003227D9" w:rsidRPr="000A3AD5">
        <w:rPr>
          <w:lang w:val="en-US"/>
        </w:rPr>
        <w:t xml:space="preserve"> thousand, while employment in services decreased by 10 thousand. </w:t>
      </w:r>
      <w:r w:rsidR="00F9308F" w:rsidRPr="000A3AD5">
        <w:rPr>
          <w:lang w:val="en-US"/>
        </w:rPr>
        <w:t xml:space="preserve">   </w:t>
      </w:r>
      <w:r w:rsidR="001C3BC3" w:rsidRPr="000A3AD5">
        <w:rPr>
          <w:lang w:val="en-US"/>
        </w:rPr>
        <w:t xml:space="preserve"> </w:t>
      </w:r>
    </w:p>
    <w:p w:rsidR="0036427A" w:rsidRPr="000A3AD5" w:rsidRDefault="0036427A" w:rsidP="008F5B8E">
      <w:pPr>
        <w:rPr>
          <w:b/>
          <w:lang w:val="en-US"/>
        </w:rPr>
      </w:pPr>
    </w:p>
    <w:p w:rsidR="0036427A" w:rsidRPr="000A3AD5" w:rsidRDefault="0036427A" w:rsidP="008F5B8E">
      <w:pPr>
        <w:rPr>
          <w:b/>
          <w:lang w:val="en-US"/>
        </w:rPr>
      </w:pPr>
    </w:p>
    <w:p w:rsidR="008F5B8E" w:rsidRPr="000A3AD5" w:rsidRDefault="000A3AD5" w:rsidP="008F5B8E">
      <w:pPr>
        <w:rPr>
          <w:b/>
          <w:lang w:val="en-US"/>
        </w:rPr>
      </w:pPr>
      <w:r>
        <w:rPr>
          <w:b/>
          <w:lang w:val="en-US"/>
        </w:rPr>
        <w:lastRenderedPageBreak/>
        <w:br/>
      </w:r>
      <w:r>
        <w:rPr>
          <w:b/>
          <w:lang w:val="en-US"/>
        </w:rPr>
        <w:br/>
        <w:t>F</w:t>
      </w:r>
      <w:r w:rsidR="008F5B8E" w:rsidRPr="000A3AD5">
        <w:rPr>
          <w:b/>
          <w:lang w:val="en-US"/>
        </w:rPr>
        <w:t>igure 3: Regions where non-agr</w:t>
      </w:r>
      <w:r w:rsidR="00C1706E" w:rsidRPr="000A3AD5">
        <w:rPr>
          <w:b/>
          <w:lang w:val="en-US"/>
        </w:rPr>
        <w:t>i</w:t>
      </w:r>
      <w:r w:rsidR="008F5B8E" w:rsidRPr="000A3AD5">
        <w:rPr>
          <w:b/>
          <w:lang w:val="en-US"/>
        </w:rPr>
        <w:t>cultur</w:t>
      </w:r>
      <w:r w:rsidR="00562D88" w:rsidRPr="000A3AD5">
        <w:rPr>
          <w:b/>
          <w:lang w:val="en-US"/>
        </w:rPr>
        <w:t>al unemployment increased (in p</w:t>
      </w:r>
      <w:r w:rsidR="008F5B8E" w:rsidRPr="000A3AD5">
        <w:rPr>
          <w:b/>
          <w:lang w:val="en-US"/>
        </w:rPr>
        <w:t>p, 2015-2016)</w:t>
      </w:r>
    </w:p>
    <w:p w:rsidR="0046020A" w:rsidRPr="000A3AD5" w:rsidRDefault="00F018A7" w:rsidP="0046020A">
      <w:pPr>
        <w:pStyle w:val="Caption"/>
        <w:keepNext/>
        <w:spacing w:line="276" w:lineRule="auto"/>
        <w:rPr>
          <w:b w:val="0"/>
          <w:color w:val="FF0000"/>
          <w:sz w:val="16"/>
          <w:szCs w:val="16"/>
          <w:lang w:val="en-US"/>
        </w:rPr>
      </w:pPr>
      <w:r w:rsidRPr="000A3AD5">
        <w:rPr>
          <w:noProof/>
        </w:rPr>
        <w:drawing>
          <wp:inline distT="0" distB="0" distL="0" distR="0" wp14:anchorId="33EB943D" wp14:editId="6FA2ACA4">
            <wp:extent cx="5705856" cy="2984602"/>
            <wp:effectExtent l="0" t="0" r="9525"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8665D" w:rsidRPr="000A3AD5">
        <w:rPr>
          <w:b w:val="0"/>
          <w:sz w:val="24"/>
          <w:szCs w:val="24"/>
          <w:lang w:val="en-US"/>
        </w:rPr>
        <w:br/>
      </w:r>
      <w:r w:rsidR="00562D88" w:rsidRPr="000A3AD5">
        <w:rPr>
          <w:color w:val="000000" w:themeColor="text1"/>
          <w:sz w:val="16"/>
          <w:szCs w:val="16"/>
          <w:lang w:val="en-US"/>
        </w:rPr>
        <w:t>Source</w:t>
      </w:r>
      <w:r w:rsidR="00562D88" w:rsidRPr="000A3AD5">
        <w:rPr>
          <w:b w:val="0"/>
          <w:color w:val="000000" w:themeColor="text1"/>
          <w:sz w:val="16"/>
          <w:szCs w:val="16"/>
          <w:lang w:val="en-US"/>
        </w:rPr>
        <w:t xml:space="preserve">: </w:t>
      </w:r>
      <w:proofErr w:type="spellStart"/>
      <w:r w:rsidR="00562D88" w:rsidRPr="000A3AD5">
        <w:rPr>
          <w:b w:val="0"/>
          <w:color w:val="000000" w:themeColor="text1"/>
          <w:sz w:val="16"/>
          <w:szCs w:val="16"/>
          <w:lang w:val="en-US"/>
        </w:rPr>
        <w:t>Turkstat</w:t>
      </w:r>
      <w:proofErr w:type="spellEnd"/>
      <w:r w:rsidR="00562D88" w:rsidRPr="000A3AD5">
        <w:rPr>
          <w:b w:val="0"/>
          <w:color w:val="000000" w:themeColor="text1"/>
          <w:sz w:val="16"/>
          <w:szCs w:val="16"/>
          <w:lang w:val="en-US"/>
        </w:rPr>
        <w:t xml:space="preserve">, Betam </w:t>
      </w:r>
      <w:r w:rsidR="00040E8E" w:rsidRPr="000A3AD5">
        <w:rPr>
          <w:b w:val="0"/>
          <w:color w:val="000000" w:themeColor="text1"/>
          <w:sz w:val="16"/>
          <w:szCs w:val="16"/>
          <w:lang w:val="en-US"/>
        </w:rPr>
        <w:t xml:space="preserve">TRC1:Gaziantep, </w:t>
      </w:r>
      <w:proofErr w:type="spellStart"/>
      <w:r w:rsidR="00040E8E" w:rsidRPr="000A3AD5">
        <w:rPr>
          <w:b w:val="0"/>
          <w:color w:val="000000" w:themeColor="text1"/>
          <w:sz w:val="16"/>
          <w:szCs w:val="16"/>
          <w:lang w:val="en-US"/>
        </w:rPr>
        <w:t>Adıyaman</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Kilis</w:t>
      </w:r>
      <w:proofErr w:type="spellEnd"/>
      <w:r w:rsidR="00040E8E" w:rsidRPr="000A3AD5">
        <w:rPr>
          <w:b w:val="0"/>
          <w:color w:val="000000" w:themeColor="text1"/>
          <w:sz w:val="16"/>
          <w:szCs w:val="16"/>
          <w:lang w:val="en-US"/>
        </w:rPr>
        <w:t xml:space="preserve">, TR71: </w:t>
      </w:r>
      <w:proofErr w:type="spellStart"/>
      <w:r w:rsidR="00040E8E" w:rsidRPr="000A3AD5">
        <w:rPr>
          <w:b w:val="0"/>
          <w:color w:val="000000" w:themeColor="text1"/>
          <w:sz w:val="16"/>
          <w:szCs w:val="16"/>
          <w:lang w:val="en-US"/>
        </w:rPr>
        <w:t>Kırıkkale</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Aksaray</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Niğde</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Nevşehir</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Kırşehir</w:t>
      </w:r>
      <w:proofErr w:type="spellEnd"/>
      <w:r w:rsidR="00040E8E" w:rsidRPr="000A3AD5">
        <w:rPr>
          <w:b w:val="0"/>
          <w:color w:val="000000" w:themeColor="text1"/>
          <w:sz w:val="16"/>
          <w:szCs w:val="16"/>
          <w:lang w:val="en-US"/>
        </w:rPr>
        <w:t>,</w:t>
      </w:r>
      <w:r w:rsidR="00040E8E" w:rsidRPr="000A3AD5">
        <w:rPr>
          <w:sz w:val="16"/>
          <w:szCs w:val="16"/>
          <w:lang w:val="en-US"/>
        </w:rPr>
        <w:t xml:space="preserve"> </w:t>
      </w:r>
      <w:r w:rsidR="00040E8E" w:rsidRPr="000A3AD5">
        <w:rPr>
          <w:b w:val="0"/>
          <w:color w:val="000000" w:themeColor="text1"/>
          <w:sz w:val="16"/>
          <w:szCs w:val="16"/>
          <w:lang w:val="en-US"/>
        </w:rPr>
        <w:t xml:space="preserve">TR83:Samsun, </w:t>
      </w:r>
      <w:proofErr w:type="spellStart"/>
      <w:r w:rsidR="00040E8E" w:rsidRPr="000A3AD5">
        <w:rPr>
          <w:b w:val="0"/>
          <w:color w:val="000000" w:themeColor="text1"/>
          <w:sz w:val="16"/>
          <w:szCs w:val="16"/>
          <w:lang w:val="en-US"/>
        </w:rPr>
        <w:t>Tokat</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Çorum</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Amasya</w:t>
      </w:r>
      <w:proofErr w:type="spellEnd"/>
      <w:r w:rsidR="00040E8E" w:rsidRPr="000A3AD5">
        <w:rPr>
          <w:b w:val="0"/>
          <w:color w:val="000000" w:themeColor="text1"/>
          <w:sz w:val="16"/>
          <w:szCs w:val="16"/>
          <w:lang w:val="en-US"/>
        </w:rPr>
        <w:t>,</w:t>
      </w:r>
      <w:r w:rsidR="00040E8E" w:rsidRPr="000A3AD5">
        <w:rPr>
          <w:sz w:val="16"/>
          <w:szCs w:val="16"/>
          <w:lang w:val="en-US"/>
        </w:rPr>
        <w:t xml:space="preserve"> </w:t>
      </w:r>
      <w:proofErr w:type="spellStart"/>
      <w:r w:rsidR="00040E8E" w:rsidRPr="000A3AD5">
        <w:rPr>
          <w:b w:val="0"/>
          <w:color w:val="000000" w:themeColor="text1"/>
          <w:sz w:val="16"/>
          <w:szCs w:val="16"/>
          <w:lang w:val="en-US"/>
        </w:rPr>
        <w:t>Rize</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Artvin</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Gümüşhane</w:t>
      </w:r>
      <w:proofErr w:type="spellEnd"/>
      <w:r w:rsidR="00040E8E" w:rsidRPr="000A3AD5">
        <w:rPr>
          <w:b w:val="0"/>
          <w:color w:val="000000" w:themeColor="text1"/>
          <w:sz w:val="16"/>
          <w:szCs w:val="16"/>
          <w:lang w:val="en-US"/>
        </w:rPr>
        <w:t xml:space="preserve">, TRC3:Mardin, Batman, </w:t>
      </w:r>
      <w:proofErr w:type="spellStart"/>
      <w:r w:rsidR="00040E8E" w:rsidRPr="000A3AD5">
        <w:rPr>
          <w:b w:val="0"/>
          <w:color w:val="000000" w:themeColor="text1"/>
          <w:sz w:val="16"/>
          <w:szCs w:val="16"/>
          <w:lang w:val="en-US"/>
        </w:rPr>
        <w:t>Şırnak</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Siirt</w:t>
      </w:r>
      <w:proofErr w:type="spellEnd"/>
      <w:r w:rsidR="00040E8E" w:rsidRPr="000A3AD5">
        <w:rPr>
          <w:b w:val="0"/>
          <w:color w:val="000000" w:themeColor="text1"/>
          <w:sz w:val="16"/>
          <w:szCs w:val="16"/>
          <w:lang w:val="en-US"/>
        </w:rPr>
        <w:t xml:space="preserve"> , TR61: Antalya, </w:t>
      </w:r>
      <w:proofErr w:type="spellStart"/>
      <w:r w:rsidR="00040E8E" w:rsidRPr="000A3AD5">
        <w:rPr>
          <w:b w:val="0"/>
          <w:color w:val="000000" w:themeColor="text1"/>
          <w:sz w:val="16"/>
          <w:szCs w:val="16"/>
          <w:lang w:val="en-US"/>
        </w:rPr>
        <w:t>Isparta</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Burdur</w:t>
      </w:r>
      <w:proofErr w:type="spellEnd"/>
      <w:r w:rsidR="00040E8E" w:rsidRPr="000A3AD5">
        <w:rPr>
          <w:b w:val="0"/>
          <w:color w:val="000000" w:themeColor="text1"/>
          <w:sz w:val="16"/>
          <w:szCs w:val="16"/>
          <w:lang w:val="en-US"/>
        </w:rPr>
        <w:t xml:space="preserve">, TR81:Zonguldak, </w:t>
      </w:r>
      <w:proofErr w:type="spellStart"/>
      <w:r w:rsidR="00040E8E" w:rsidRPr="000A3AD5">
        <w:rPr>
          <w:b w:val="0"/>
          <w:color w:val="000000" w:themeColor="text1"/>
          <w:sz w:val="16"/>
          <w:szCs w:val="16"/>
          <w:lang w:val="en-US"/>
        </w:rPr>
        <w:t>Karabük</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Bartın</w:t>
      </w:r>
      <w:proofErr w:type="spellEnd"/>
      <w:r w:rsidR="00040E8E" w:rsidRPr="000A3AD5">
        <w:rPr>
          <w:b w:val="0"/>
          <w:color w:val="000000" w:themeColor="text1"/>
          <w:sz w:val="16"/>
          <w:szCs w:val="16"/>
          <w:lang w:val="en-US"/>
        </w:rPr>
        <w:t>, TR22:</w:t>
      </w:r>
      <w:r w:rsidR="00040E8E" w:rsidRPr="000A3AD5">
        <w:rPr>
          <w:sz w:val="16"/>
          <w:szCs w:val="16"/>
          <w:lang w:val="en-US"/>
        </w:rPr>
        <w:t xml:space="preserve"> </w:t>
      </w:r>
      <w:proofErr w:type="spellStart"/>
      <w:r w:rsidR="00040E8E" w:rsidRPr="000A3AD5">
        <w:rPr>
          <w:b w:val="0"/>
          <w:color w:val="000000" w:themeColor="text1"/>
          <w:sz w:val="16"/>
          <w:szCs w:val="16"/>
          <w:lang w:val="en-US"/>
        </w:rPr>
        <w:t>Balıkesir</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Çanakkale</w:t>
      </w:r>
      <w:proofErr w:type="spellEnd"/>
      <w:r w:rsidR="00040E8E" w:rsidRPr="000A3AD5">
        <w:rPr>
          <w:b w:val="0"/>
          <w:color w:val="000000" w:themeColor="text1"/>
          <w:sz w:val="16"/>
          <w:szCs w:val="16"/>
          <w:lang w:val="en-US"/>
        </w:rPr>
        <w:t xml:space="preserve">, TR41: Bursa, </w:t>
      </w:r>
      <w:proofErr w:type="spellStart"/>
      <w:r w:rsidR="00040E8E" w:rsidRPr="000A3AD5">
        <w:rPr>
          <w:b w:val="0"/>
          <w:color w:val="000000" w:themeColor="text1"/>
          <w:sz w:val="16"/>
          <w:szCs w:val="16"/>
          <w:lang w:val="en-US"/>
        </w:rPr>
        <w:t>Eskişehir</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Bilecik</w:t>
      </w:r>
      <w:proofErr w:type="spellEnd"/>
      <w:r w:rsidR="00040E8E" w:rsidRPr="000A3AD5">
        <w:rPr>
          <w:b w:val="0"/>
          <w:color w:val="000000" w:themeColor="text1"/>
          <w:sz w:val="16"/>
          <w:szCs w:val="16"/>
          <w:lang w:val="en-US"/>
        </w:rPr>
        <w:t xml:space="preserve">, TRB1:Malatya, </w:t>
      </w:r>
      <w:proofErr w:type="spellStart"/>
      <w:r w:rsidR="00040E8E" w:rsidRPr="000A3AD5">
        <w:rPr>
          <w:b w:val="0"/>
          <w:color w:val="000000" w:themeColor="text1"/>
          <w:sz w:val="16"/>
          <w:szCs w:val="16"/>
          <w:lang w:val="en-US"/>
        </w:rPr>
        <w:t>Elazığ</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Bingöl</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Tunceli</w:t>
      </w:r>
      <w:proofErr w:type="spellEnd"/>
      <w:r w:rsidR="00040E8E" w:rsidRPr="000A3AD5">
        <w:rPr>
          <w:b w:val="0"/>
          <w:color w:val="000000" w:themeColor="text1"/>
          <w:sz w:val="16"/>
          <w:szCs w:val="16"/>
          <w:lang w:val="en-US"/>
        </w:rPr>
        <w:t xml:space="preserve">, TRA2:Ağrı, Kars, </w:t>
      </w:r>
      <w:proofErr w:type="spellStart"/>
      <w:r w:rsidR="00040E8E" w:rsidRPr="000A3AD5">
        <w:rPr>
          <w:b w:val="0"/>
          <w:color w:val="000000" w:themeColor="text1"/>
          <w:sz w:val="16"/>
          <w:szCs w:val="16"/>
          <w:lang w:val="en-US"/>
        </w:rPr>
        <w:t>Iğdır</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Ardahan</w:t>
      </w:r>
      <w:proofErr w:type="spellEnd"/>
      <w:r w:rsidR="00040E8E" w:rsidRPr="000A3AD5">
        <w:rPr>
          <w:b w:val="0"/>
          <w:color w:val="000000" w:themeColor="text1"/>
          <w:sz w:val="16"/>
          <w:szCs w:val="16"/>
          <w:lang w:val="en-US"/>
        </w:rPr>
        <w:t xml:space="preserve">, TR62: Adana, Mersin, TR33: </w:t>
      </w:r>
      <w:proofErr w:type="spellStart"/>
      <w:r w:rsidR="00040E8E" w:rsidRPr="000A3AD5">
        <w:rPr>
          <w:b w:val="0"/>
          <w:color w:val="000000" w:themeColor="text1"/>
          <w:sz w:val="16"/>
          <w:szCs w:val="16"/>
          <w:lang w:val="en-US"/>
        </w:rPr>
        <w:t>Manisa</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Afyonkarahisar</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Kütahya</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Uşak</w:t>
      </w:r>
      <w:proofErr w:type="spellEnd"/>
      <w:r w:rsidR="00040E8E" w:rsidRPr="000A3AD5">
        <w:rPr>
          <w:b w:val="0"/>
          <w:color w:val="000000" w:themeColor="text1"/>
          <w:sz w:val="16"/>
          <w:szCs w:val="16"/>
          <w:lang w:val="en-US"/>
        </w:rPr>
        <w:t xml:space="preserve">, </w:t>
      </w:r>
      <w:r w:rsidR="0018665D" w:rsidRPr="000A3AD5">
        <w:rPr>
          <w:b w:val="0"/>
          <w:color w:val="000000" w:themeColor="text1"/>
          <w:sz w:val="16"/>
          <w:szCs w:val="16"/>
          <w:lang w:val="en-US"/>
        </w:rPr>
        <w:t>TR10: İstanbul,</w:t>
      </w:r>
      <w:r w:rsidR="00040E8E" w:rsidRPr="000A3AD5">
        <w:rPr>
          <w:b w:val="0"/>
          <w:color w:val="000000" w:themeColor="text1"/>
          <w:sz w:val="16"/>
          <w:szCs w:val="16"/>
          <w:lang w:val="en-US"/>
        </w:rPr>
        <w:t xml:space="preserve"> TRC2:Şanlıurfa, Diyarbakır, TR51:Ankara, </w:t>
      </w:r>
      <w:r w:rsidR="0018665D" w:rsidRPr="000A3AD5">
        <w:rPr>
          <w:b w:val="0"/>
          <w:color w:val="000000" w:themeColor="text1"/>
          <w:sz w:val="16"/>
          <w:szCs w:val="16"/>
          <w:lang w:val="en-US"/>
        </w:rPr>
        <w:t xml:space="preserve"> TR21:</w:t>
      </w:r>
      <w:r w:rsidR="0018665D" w:rsidRPr="000A3AD5">
        <w:rPr>
          <w:sz w:val="16"/>
          <w:szCs w:val="16"/>
          <w:lang w:val="en-US"/>
        </w:rPr>
        <w:t xml:space="preserve"> </w:t>
      </w:r>
      <w:proofErr w:type="spellStart"/>
      <w:r w:rsidR="0018665D" w:rsidRPr="000A3AD5">
        <w:rPr>
          <w:b w:val="0"/>
          <w:color w:val="000000" w:themeColor="text1"/>
          <w:sz w:val="16"/>
          <w:szCs w:val="16"/>
          <w:lang w:val="en-US"/>
        </w:rPr>
        <w:t>Tekirdağ</w:t>
      </w:r>
      <w:proofErr w:type="spellEnd"/>
      <w:r w:rsidR="0018665D" w:rsidRPr="000A3AD5">
        <w:rPr>
          <w:b w:val="0"/>
          <w:color w:val="000000" w:themeColor="text1"/>
          <w:sz w:val="16"/>
          <w:szCs w:val="16"/>
          <w:lang w:val="en-US"/>
        </w:rPr>
        <w:t xml:space="preserve">, Edirne, </w:t>
      </w:r>
      <w:proofErr w:type="spellStart"/>
      <w:r w:rsidR="0018665D" w:rsidRPr="000A3AD5">
        <w:rPr>
          <w:b w:val="0"/>
          <w:color w:val="000000" w:themeColor="text1"/>
          <w:sz w:val="16"/>
          <w:szCs w:val="16"/>
          <w:lang w:val="en-US"/>
        </w:rPr>
        <w:t>Kırklareli</w:t>
      </w:r>
      <w:proofErr w:type="spellEnd"/>
      <w:r w:rsidR="0018665D" w:rsidRPr="000A3AD5">
        <w:rPr>
          <w:b w:val="0"/>
          <w:color w:val="000000" w:themeColor="text1"/>
          <w:sz w:val="16"/>
          <w:szCs w:val="16"/>
          <w:lang w:val="en-US"/>
        </w:rPr>
        <w:t xml:space="preserve">, TR42: </w:t>
      </w:r>
      <w:proofErr w:type="spellStart"/>
      <w:r w:rsidR="0018665D" w:rsidRPr="000A3AD5">
        <w:rPr>
          <w:b w:val="0"/>
          <w:color w:val="000000" w:themeColor="text1"/>
          <w:sz w:val="16"/>
          <w:szCs w:val="16"/>
          <w:lang w:val="en-US"/>
        </w:rPr>
        <w:t>Kocaeli</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Sakarya</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Düzce</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Bolu</w:t>
      </w:r>
      <w:proofErr w:type="spellEnd"/>
      <w:r w:rsidR="00040E8E" w:rsidRPr="000A3AD5">
        <w:rPr>
          <w:b w:val="0"/>
          <w:color w:val="000000" w:themeColor="text1"/>
          <w:sz w:val="16"/>
          <w:szCs w:val="16"/>
          <w:lang w:val="en-US"/>
        </w:rPr>
        <w:t xml:space="preserve">, </w:t>
      </w:r>
      <w:proofErr w:type="spellStart"/>
      <w:r w:rsidR="00040E8E" w:rsidRPr="000A3AD5">
        <w:rPr>
          <w:b w:val="0"/>
          <w:color w:val="000000" w:themeColor="text1"/>
          <w:sz w:val="16"/>
          <w:szCs w:val="16"/>
          <w:lang w:val="en-US"/>
        </w:rPr>
        <w:t>Yalova</w:t>
      </w:r>
      <w:proofErr w:type="spellEnd"/>
      <w:r w:rsidR="0046020A" w:rsidRPr="000A3AD5">
        <w:rPr>
          <w:b w:val="0"/>
          <w:color w:val="000000" w:themeColor="text1"/>
          <w:sz w:val="16"/>
          <w:szCs w:val="16"/>
          <w:lang w:val="en-US"/>
        </w:rPr>
        <w:br/>
        <w:t>Not</w:t>
      </w:r>
      <w:r w:rsidR="00562D88" w:rsidRPr="000A3AD5">
        <w:rPr>
          <w:b w:val="0"/>
          <w:color w:val="000000" w:themeColor="text1"/>
          <w:sz w:val="16"/>
          <w:szCs w:val="16"/>
          <w:lang w:val="en-US"/>
        </w:rPr>
        <w:t>e</w:t>
      </w:r>
      <w:r w:rsidR="0046020A" w:rsidRPr="000A3AD5">
        <w:rPr>
          <w:b w:val="0"/>
          <w:color w:val="000000" w:themeColor="text1"/>
          <w:sz w:val="16"/>
          <w:szCs w:val="16"/>
          <w:lang w:val="en-US"/>
        </w:rPr>
        <w:t>:</w:t>
      </w:r>
      <m:oMath>
        <m:r>
          <m:rPr>
            <m:sty m:val="b"/>
          </m:rPr>
          <w:rPr>
            <w:rFonts w:ascii="Cambria Math" w:hAnsi="Cambria Math"/>
            <w:color w:val="000000" w:themeColor="text1"/>
            <w:sz w:val="16"/>
            <w:szCs w:val="16"/>
            <w:lang w:val="en-US"/>
          </w:rPr>
          <m:t xml:space="preserve"> </m:t>
        </m:r>
        <m:sSub>
          <m:sSubPr>
            <m:ctrlPr>
              <w:rPr>
                <w:rFonts w:ascii="Cambria Math" w:hAnsi="Cambria Math"/>
                <w:b w:val="0"/>
                <w:color w:val="000000" w:themeColor="text1"/>
                <w:sz w:val="16"/>
                <w:szCs w:val="16"/>
                <w:lang w:val="en-US"/>
              </w:rPr>
            </m:ctrlPr>
          </m:sSubPr>
          <m:e>
            <m:r>
              <m:rPr>
                <m:sty m:val="bi"/>
              </m:rPr>
              <w:rPr>
                <w:rFonts w:ascii="Cambria Math" w:hAnsi="Cambria Math"/>
                <w:color w:val="000000" w:themeColor="text1"/>
                <w:sz w:val="16"/>
                <w:szCs w:val="16"/>
                <w:lang w:val="en-US"/>
              </w:rPr>
              <m:t>u</m:t>
            </m:r>
          </m:e>
          <m:sub>
            <m:r>
              <m:rPr>
                <m:sty m:val="bi"/>
              </m:rPr>
              <w:rPr>
                <w:rFonts w:ascii="Cambria Math" w:hAnsi="Cambria Math"/>
                <w:color w:val="000000" w:themeColor="text1"/>
                <w:sz w:val="16"/>
                <w:szCs w:val="16"/>
                <w:lang w:val="en-US"/>
              </w:rPr>
              <m:t>na</m:t>
            </m:r>
          </m:sub>
        </m:sSub>
      </m:oMath>
      <w:r w:rsidR="0046020A" w:rsidRPr="000A3AD5">
        <w:rPr>
          <w:b w:val="0"/>
          <w:color w:val="000000" w:themeColor="text1"/>
          <w:sz w:val="16"/>
          <w:szCs w:val="16"/>
          <w:lang w:val="en-US"/>
        </w:rPr>
        <w:t xml:space="preserve">: </w:t>
      </w:r>
      <w:r w:rsidR="00562D88" w:rsidRPr="000A3AD5">
        <w:rPr>
          <w:b w:val="0"/>
          <w:color w:val="000000" w:themeColor="text1"/>
          <w:sz w:val="16"/>
          <w:szCs w:val="16"/>
          <w:lang w:val="en-US"/>
        </w:rPr>
        <w:t>Non-agricultural unemployment rate</w:t>
      </w:r>
      <w:r w:rsidR="00AF25A1" w:rsidRPr="000A3AD5">
        <w:rPr>
          <w:b w:val="0"/>
          <w:color w:val="000000" w:themeColor="text1"/>
          <w:sz w:val="16"/>
          <w:szCs w:val="16"/>
          <w:lang w:val="en-US"/>
        </w:rPr>
        <w:t xml:space="preserve"> </w:t>
      </w:r>
    </w:p>
    <w:p w:rsidR="00747FEB" w:rsidRPr="000A3AD5" w:rsidRDefault="006372D4" w:rsidP="00C56737">
      <w:pPr>
        <w:rPr>
          <w:lang w:val="en-US"/>
        </w:rPr>
      </w:pPr>
      <w:r w:rsidRPr="000A3AD5">
        <w:rPr>
          <w:b/>
          <w:lang w:val="en-US"/>
        </w:rPr>
        <w:t>We should note</w:t>
      </w:r>
      <w:r w:rsidR="00747FEB" w:rsidRPr="000A3AD5">
        <w:rPr>
          <w:b/>
          <w:lang w:val="en-US"/>
        </w:rPr>
        <w:t xml:space="preserve"> that in </w:t>
      </w:r>
      <w:proofErr w:type="spellStart"/>
      <w:r w:rsidR="00747FEB" w:rsidRPr="000A3AD5">
        <w:rPr>
          <w:b/>
          <w:lang w:val="en-US"/>
        </w:rPr>
        <w:t>Mardin</w:t>
      </w:r>
      <w:proofErr w:type="spellEnd"/>
      <w:r w:rsidR="00747FEB" w:rsidRPr="000A3AD5">
        <w:rPr>
          <w:b/>
          <w:lang w:val="en-US"/>
        </w:rPr>
        <w:t xml:space="preserve"> (TRC3) region</w:t>
      </w:r>
      <w:r w:rsidRPr="000A3AD5">
        <w:rPr>
          <w:b/>
          <w:lang w:val="en-US"/>
        </w:rPr>
        <w:t>, which has</w:t>
      </w:r>
      <w:r w:rsidR="00747FEB" w:rsidRPr="000A3AD5">
        <w:rPr>
          <w:b/>
          <w:lang w:val="en-US"/>
        </w:rPr>
        <w:t xml:space="preserve"> the highest unemployment rate with 30.1 percent</w:t>
      </w:r>
      <w:r w:rsidR="002E6171" w:rsidRPr="000A3AD5">
        <w:rPr>
          <w:b/>
          <w:lang w:val="en-US"/>
        </w:rPr>
        <w:t xml:space="preserve">, the </w:t>
      </w:r>
      <w:r w:rsidR="00747FEB" w:rsidRPr="000A3AD5">
        <w:rPr>
          <w:b/>
          <w:lang w:val="en-US"/>
        </w:rPr>
        <w:t xml:space="preserve">increase in unemployment rate (2.1 pp) </w:t>
      </w:r>
      <w:r w:rsidR="002E6171" w:rsidRPr="000A3AD5">
        <w:rPr>
          <w:b/>
          <w:lang w:val="en-US"/>
        </w:rPr>
        <w:t>has been</w:t>
      </w:r>
      <w:r w:rsidR="00747FEB" w:rsidRPr="000A3AD5">
        <w:rPr>
          <w:b/>
          <w:lang w:val="en-US"/>
        </w:rPr>
        <w:t xml:space="preserve"> quite sizable. </w:t>
      </w:r>
      <w:r w:rsidR="00C531F5" w:rsidRPr="000A3AD5">
        <w:rPr>
          <w:lang w:val="en-US"/>
        </w:rPr>
        <w:t>The reas</w:t>
      </w:r>
      <w:r w:rsidRPr="000A3AD5">
        <w:rPr>
          <w:lang w:val="en-US"/>
        </w:rPr>
        <w:t>on behind this</w:t>
      </w:r>
      <w:r w:rsidR="00C531F5" w:rsidRPr="000A3AD5">
        <w:rPr>
          <w:lang w:val="en-US"/>
        </w:rPr>
        <w:t xml:space="preserve"> </w:t>
      </w:r>
      <w:r w:rsidRPr="000A3AD5">
        <w:rPr>
          <w:lang w:val="en-US"/>
        </w:rPr>
        <w:t xml:space="preserve">is the strong increase in </w:t>
      </w:r>
      <w:r w:rsidR="00C531F5" w:rsidRPr="000A3AD5">
        <w:rPr>
          <w:lang w:val="en-US"/>
        </w:rPr>
        <w:t>lab</w:t>
      </w:r>
      <w:r w:rsidRPr="000A3AD5">
        <w:rPr>
          <w:lang w:val="en-US"/>
        </w:rPr>
        <w:t xml:space="preserve">or force </w:t>
      </w:r>
      <w:r w:rsidR="00C531F5" w:rsidRPr="000A3AD5">
        <w:rPr>
          <w:lang w:val="en-US"/>
        </w:rPr>
        <w:t xml:space="preserve">(50 thousand) </w:t>
      </w:r>
      <w:r w:rsidRPr="000A3AD5">
        <w:rPr>
          <w:lang w:val="en-US"/>
        </w:rPr>
        <w:t>which c</w:t>
      </w:r>
      <w:r w:rsidR="002E6171" w:rsidRPr="000A3AD5">
        <w:rPr>
          <w:lang w:val="en-US"/>
        </w:rPr>
        <w:t xml:space="preserve">ould not be </w:t>
      </w:r>
      <w:r w:rsidRPr="000A3AD5">
        <w:rPr>
          <w:lang w:val="en-US"/>
        </w:rPr>
        <w:t>balanced by the increase in employment (26 thousand)</w:t>
      </w:r>
      <w:r w:rsidR="00C531F5" w:rsidRPr="000A3AD5">
        <w:rPr>
          <w:lang w:val="en-US"/>
        </w:rPr>
        <w:t xml:space="preserve">. We had already noted that </w:t>
      </w:r>
      <w:proofErr w:type="spellStart"/>
      <w:r w:rsidR="00C531F5" w:rsidRPr="000A3AD5">
        <w:rPr>
          <w:lang w:val="en-US"/>
        </w:rPr>
        <w:t>Mardin</w:t>
      </w:r>
      <w:proofErr w:type="spellEnd"/>
      <w:r w:rsidR="00C531F5" w:rsidRPr="000A3AD5">
        <w:rPr>
          <w:lang w:val="en-US"/>
        </w:rPr>
        <w:t xml:space="preserve"> region </w:t>
      </w:r>
      <w:r w:rsidR="003227D9" w:rsidRPr="000A3AD5">
        <w:rPr>
          <w:lang w:val="en-US"/>
        </w:rPr>
        <w:t xml:space="preserve">was </w:t>
      </w:r>
      <w:r w:rsidR="00C531F5" w:rsidRPr="000A3AD5">
        <w:rPr>
          <w:lang w:val="en-US"/>
        </w:rPr>
        <w:t xml:space="preserve">the worst case </w:t>
      </w:r>
      <w:r w:rsidR="003227D9" w:rsidRPr="000A3AD5">
        <w:rPr>
          <w:lang w:val="en-US"/>
        </w:rPr>
        <w:t xml:space="preserve">in terms of </w:t>
      </w:r>
      <w:r w:rsidR="00C531F5" w:rsidRPr="000A3AD5">
        <w:rPr>
          <w:lang w:val="en-US"/>
        </w:rPr>
        <w:t>both unemployment and employment levels. Adding the sizable</w:t>
      </w:r>
      <w:r w:rsidRPr="000A3AD5">
        <w:rPr>
          <w:lang w:val="en-US"/>
        </w:rPr>
        <w:t xml:space="preserve"> increase in unemployment, this region can be qualified as the worst case by all labor market indicators</w:t>
      </w:r>
      <w:r w:rsidR="00C531F5" w:rsidRPr="000A3AD5">
        <w:rPr>
          <w:lang w:val="en-US"/>
        </w:rPr>
        <w:t>.</w:t>
      </w:r>
      <w:r w:rsidR="00B7470A" w:rsidRPr="000A3AD5">
        <w:rPr>
          <w:lang w:val="en-US"/>
        </w:rPr>
        <w:t xml:space="preserve"> On </w:t>
      </w:r>
      <w:r w:rsidRPr="000A3AD5">
        <w:rPr>
          <w:lang w:val="en-US"/>
        </w:rPr>
        <w:t xml:space="preserve">the other </w:t>
      </w:r>
      <w:bookmarkStart w:id="0" w:name="_GoBack"/>
      <w:bookmarkEnd w:id="0"/>
      <w:r w:rsidR="0054213D" w:rsidRPr="000A3AD5">
        <w:rPr>
          <w:lang w:val="en-US"/>
        </w:rPr>
        <w:t>hand,</w:t>
      </w:r>
      <w:r w:rsidRPr="000A3AD5">
        <w:rPr>
          <w:lang w:val="en-US"/>
        </w:rPr>
        <w:t xml:space="preserve"> it is worth mentioning</w:t>
      </w:r>
      <w:r w:rsidR="00B7470A" w:rsidRPr="000A3AD5">
        <w:rPr>
          <w:lang w:val="en-US"/>
        </w:rPr>
        <w:t xml:space="preserve"> that </w:t>
      </w:r>
      <w:proofErr w:type="spellStart"/>
      <w:r w:rsidR="00B7470A" w:rsidRPr="000A3AD5">
        <w:rPr>
          <w:lang w:val="en-US"/>
        </w:rPr>
        <w:t>Şanlıurfa</w:t>
      </w:r>
      <w:proofErr w:type="spellEnd"/>
      <w:r w:rsidR="00B7470A" w:rsidRPr="000A3AD5">
        <w:rPr>
          <w:lang w:val="en-US"/>
        </w:rPr>
        <w:t xml:space="preserve">-Diyarbakır region classified as the second worst case </w:t>
      </w:r>
      <w:r w:rsidR="00D22FFF" w:rsidRPr="000A3AD5">
        <w:rPr>
          <w:lang w:val="en-US"/>
        </w:rPr>
        <w:t>in terms</w:t>
      </w:r>
      <w:r w:rsidR="00B7470A" w:rsidRPr="000A3AD5">
        <w:rPr>
          <w:lang w:val="en-US"/>
        </w:rPr>
        <w:t xml:space="preserve"> of both unemployment and employment levels</w:t>
      </w:r>
      <w:r w:rsidR="003227D9" w:rsidRPr="000A3AD5">
        <w:rPr>
          <w:lang w:val="en-US"/>
        </w:rPr>
        <w:t xml:space="preserve">; yet </w:t>
      </w:r>
      <w:r w:rsidR="002E6171" w:rsidRPr="000A3AD5">
        <w:rPr>
          <w:lang w:val="en-US"/>
        </w:rPr>
        <w:t>t</w:t>
      </w:r>
      <w:r w:rsidR="00D22FFF" w:rsidRPr="000A3AD5">
        <w:rPr>
          <w:lang w:val="en-US"/>
        </w:rPr>
        <w:t>his region</w:t>
      </w:r>
      <w:r w:rsidR="00B7470A" w:rsidRPr="000A3AD5">
        <w:rPr>
          <w:lang w:val="en-US"/>
        </w:rPr>
        <w:t xml:space="preserve"> suffered </w:t>
      </w:r>
      <w:r w:rsidR="003227D9" w:rsidRPr="000A3AD5">
        <w:rPr>
          <w:lang w:val="en-US"/>
        </w:rPr>
        <w:t xml:space="preserve">only </w:t>
      </w:r>
      <w:r w:rsidR="00D22FFF" w:rsidRPr="000A3AD5">
        <w:rPr>
          <w:lang w:val="en-US"/>
        </w:rPr>
        <w:t>a relatively modest increase in</w:t>
      </w:r>
      <w:r w:rsidR="00B7470A" w:rsidRPr="000A3AD5">
        <w:rPr>
          <w:lang w:val="en-US"/>
        </w:rPr>
        <w:t xml:space="preserve"> unemployment </w:t>
      </w:r>
      <w:r w:rsidR="00D22FFF" w:rsidRPr="000A3AD5">
        <w:rPr>
          <w:lang w:val="en-US"/>
        </w:rPr>
        <w:t xml:space="preserve">(0.4 </w:t>
      </w:r>
      <w:r w:rsidR="00B7470A" w:rsidRPr="000A3AD5">
        <w:rPr>
          <w:lang w:val="en-US"/>
        </w:rPr>
        <w:t>p</w:t>
      </w:r>
      <w:r w:rsidR="00D22FFF" w:rsidRPr="000A3AD5">
        <w:rPr>
          <w:lang w:val="en-US"/>
        </w:rPr>
        <w:t xml:space="preserve">ercentage </w:t>
      </w:r>
      <w:r w:rsidR="00B7470A" w:rsidRPr="000A3AD5">
        <w:rPr>
          <w:lang w:val="en-US"/>
        </w:rPr>
        <w:t>p</w:t>
      </w:r>
      <w:r w:rsidR="00D22FFF" w:rsidRPr="000A3AD5">
        <w:rPr>
          <w:lang w:val="en-US"/>
        </w:rPr>
        <w:t>oints</w:t>
      </w:r>
      <w:r w:rsidR="00B7470A" w:rsidRPr="000A3AD5">
        <w:rPr>
          <w:lang w:val="en-US"/>
        </w:rPr>
        <w:t xml:space="preserve">) as a </w:t>
      </w:r>
      <w:r w:rsidR="00D22FFF" w:rsidRPr="000A3AD5">
        <w:rPr>
          <w:lang w:val="en-US"/>
        </w:rPr>
        <w:t xml:space="preserve">result of a </w:t>
      </w:r>
      <w:r w:rsidR="00B7470A" w:rsidRPr="000A3AD5">
        <w:rPr>
          <w:lang w:val="en-US"/>
        </w:rPr>
        <w:t>quite strong employment inc</w:t>
      </w:r>
      <w:r w:rsidR="00D22FFF" w:rsidRPr="000A3AD5">
        <w:rPr>
          <w:lang w:val="en-US"/>
        </w:rPr>
        <w:t xml:space="preserve">rease (46 thousand) </w:t>
      </w:r>
      <w:r w:rsidR="003227D9" w:rsidRPr="000A3AD5">
        <w:rPr>
          <w:lang w:val="en-US"/>
        </w:rPr>
        <w:t xml:space="preserve">and </w:t>
      </w:r>
      <w:r w:rsidR="00B7470A" w:rsidRPr="000A3AD5">
        <w:rPr>
          <w:lang w:val="en-US"/>
        </w:rPr>
        <w:t>a stronger increase of labor force (63 thousand) (</w:t>
      </w:r>
      <w:r w:rsidR="00D22FFF" w:rsidRPr="000A3AD5">
        <w:rPr>
          <w:lang w:val="en-US"/>
        </w:rPr>
        <w:t>Fig</w:t>
      </w:r>
      <w:r w:rsidR="00D61F53" w:rsidRPr="000A3AD5">
        <w:rPr>
          <w:lang w:val="en-US"/>
        </w:rPr>
        <w:t>.</w:t>
      </w:r>
      <w:r w:rsidR="00D22FFF" w:rsidRPr="000A3AD5">
        <w:rPr>
          <w:lang w:val="en-US"/>
        </w:rPr>
        <w:t xml:space="preserve">2, </w:t>
      </w:r>
      <w:r w:rsidR="00B7470A" w:rsidRPr="000A3AD5">
        <w:rPr>
          <w:lang w:val="en-US"/>
        </w:rPr>
        <w:t xml:space="preserve">Table 1). </w:t>
      </w:r>
      <w:r w:rsidR="00C531F5" w:rsidRPr="000A3AD5">
        <w:rPr>
          <w:lang w:val="en-US"/>
        </w:rPr>
        <w:t xml:space="preserve">  </w:t>
      </w:r>
    </w:p>
    <w:p w:rsidR="00562D88" w:rsidRPr="000A3AD5" w:rsidRDefault="000D4378" w:rsidP="00562D88">
      <w:pPr>
        <w:rPr>
          <w:lang w:val="en-US"/>
        </w:rPr>
      </w:pPr>
      <w:r w:rsidRPr="000A3AD5">
        <w:rPr>
          <w:lang w:val="en-US"/>
        </w:rPr>
        <w:t xml:space="preserve">We would like to draw </w:t>
      </w:r>
      <w:r w:rsidR="00D22FFF" w:rsidRPr="000A3AD5">
        <w:rPr>
          <w:lang w:val="en-US"/>
        </w:rPr>
        <w:t xml:space="preserve">attention to the originality of </w:t>
      </w:r>
      <w:r w:rsidRPr="000A3AD5">
        <w:rPr>
          <w:lang w:val="en-US"/>
        </w:rPr>
        <w:t xml:space="preserve">Adana-Mersin (TR62) region in the South of Turkey. </w:t>
      </w:r>
      <w:r w:rsidR="003227D9" w:rsidRPr="000A3AD5">
        <w:rPr>
          <w:lang w:val="en-US"/>
        </w:rPr>
        <w:t>Un</w:t>
      </w:r>
      <w:r w:rsidRPr="000A3AD5">
        <w:rPr>
          <w:lang w:val="en-US"/>
        </w:rPr>
        <w:t>employment increased in this region by 0.9 p</w:t>
      </w:r>
      <w:r w:rsidR="00D22FFF" w:rsidRPr="000A3AD5">
        <w:rPr>
          <w:lang w:val="en-US"/>
        </w:rPr>
        <w:t xml:space="preserve">ercentage </w:t>
      </w:r>
      <w:r w:rsidRPr="000A3AD5">
        <w:rPr>
          <w:lang w:val="en-US"/>
        </w:rPr>
        <w:t>p</w:t>
      </w:r>
      <w:r w:rsidR="00D22FFF" w:rsidRPr="000A3AD5">
        <w:rPr>
          <w:lang w:val="en-US"/>
        </w:rPr>
        <w:t>oints</w:t>
      </w:r>
      <w:r w:rsidR="003227D9" w:rsidRPr="000A3AD5">
        <w:rPr>
          <w:lang w:val="en-US"/>
        </w:rPr>
        <w:t xml:space="preserve">, </w:t>
      </w:r>
      <w:r w:rsidR="00D22FFF" w:rsidRPr="000A3AD5">
        <w:rPr>
          <w:lang w:val="en-US"/>
        </w:rPr>
        <w:t>which can</w:t>
      </w:r>
      <w:r w:rsidR="00AD44F8" w:rsidRPr="000A3AD5">
        <w:rPr>
          <w:lang w:val="en-US"/>
        </w:rPr>
        <w:t xml:space="preserve"> be considered</w:t>
      </w:r>
      <w:r w:rsidR="00D22FFF" w:rsidRPr="000A3AD5">
        <w:rPr>
          <w:lang w:val="en-US"/>
        </w:rPr>
        <w:t xml:space="preserve"> as relatively modest compared </w:t>
      </w:r>
      <w:r w:rsidR="00AD44F8" w:rsidRPr="000A3AD5">
        <w:rPr>
          <w:lang w:val="en-US"/>
        </w:rPr>
        <w:t>to other cases</w:t>
      </w:r>
      <w:r w:rsidR="00D22FFF" w:rsidRPr="000A3AD5">
        <w:rPr>
          <w:lang w:val="en-US"/>
        </w:rPr>
        <w:t xml:space="preserve">. However, the </w:t>
      </w:r>
      <w:r w:rsidR="003227D9" w:rsidRPr="000A3AD5">
        <w:rPr>
          <w:lang w:val="en-US"/>
        </w:rPr>
        <w:t xml:space="preserve">sources of this </w:t>
      </w:r>
      <w:r w:rsidR="00D22FFF" w:rsidRPr="000A3AD5">
        <w:rPr>
          <w:lang w:val="en-US"/>
        </w:rPr>
        <w:t>this</w:t>
      </w:r>
      <w:r w:rsidR="00AD44F8" w:rsidRPr="000A3AD5">
        <w:rPr>
          <w:lang w:val="en-US"/>
        </w:rPr>
        <w:t xml:space="preserve"> increase </w:t>
      </w:r>
      <w:r w:rsidR="003227D9" w:rsidRPr="000A3AD5">
        <w:rPr>
          <w:lang w:val="en-US"/>
        </w:rPr>
        <w:t xml:space="preserve">pose serious problems. </w:t>
      </w:r>
      <w:r w:rsidR="00AD44F8" w:rsidRPr="000A3AD5">
        <w:rPr>
          <w:lang w:val="en-US"/>
        </w:rPr>
        <w:t xml:space="preserve">Indeed, </w:t>
      </w:r>
      <w:r w:rsidR="00D22FFF" w:rsidRPr="000A3AD5">
        <w:rPr>
          <w:lang w:val="en-US"/>
        </w:rPr>
        <w:t xml:space="preserve">this region holds </w:t>
      </w:r>
      <w:r w:rsidR="00AD44F8" w:rsidRPr="000A3AD5">
        <w:rPr>
          <w:lang w:val="en-US"/>
        </w:rPr>
        <w:t>the highest</w:t>
      </w:r>
      <w:r w:rsidR="00BF6C74" w:rsidRPr="000A3AD5">
        <w:rPr>
          <w:lang w:val="en-US"/>
        </w:rPr>
        <w:t xml:space="preserve"> decline in employment </w:t>
      </w:r>
      <w:r w:rsidR="00AD44F8" w:rsidRPr="000A3AD5">
        <w:rPr>
          <w:lang w:val="en-US"/>
        </w:rPr>
        <w:t>(23 tho</w:t>
      </w:r>
      <w:r w:rsidR="00D22FFF" w:rsidRPr="000A3AD5">
        <w:rPr>
          <w:lang w:val="en-US"/>
        </w:rPr>
        <w:t>usand).</w:t>
      </w:r>
      <w:r w:rsidR="00BF6C74" w:rsidRPr="000A3AD5">
        <w:rPr>
          <w:lang w:val="en-US"/>
        </w:rPr>
        <w:t xml:space="preserve"> Exceptionally, labor force decreased by 14 thousand and limited</w:t>
      </w:r>
      <w:r w:rsidR="00AD44F8" w:rsidRPr="000A3AD5">
        <w:rPr>
          <w:lang w:val="en-US"/>
        </w:rPr>
        <w:t xml:space="preserve"> the increase of unemployment</w:t>
      </w:r>
      <w:r w:rsidR="003227D9" w:rsidRPr="000A3AD5">
        <w:rPr>
          <w:lang w:val="en-US"/>
        </w:rPr>
        <w:t xml:space="preserve"> rate</w:t>
      </w:r>
      <w:r w:rsidR="00AD44F8" w:rsidRPr="000A3AD5">
        <w:rPr>
          <w:lang w:val="en-US"/>
        </w:rPr>
        <w:t xml:space="preserve">. </w:t>
      </w:r>
      <w:r w:rsidR="00624C1A" w:rsidRPr="000A3AD5">
        <w:rPr>
          <w:lang w:val="en-US"/>
        </w:rPr>
        <w:t>Hence, from a wider perspective we may qualify this region as one of the worst case</w:t>
      </w:r>
      <w:r w:rsidR="00BF6C74" w:rsidRPr="000A3AD5">
        <w:rPr>
          <w:lang w:val="en-US"/>
        </w:rPr>
        <w:t>s</w:t>
      </w:r>
      <w:r w:rsidR="00624C1A" w:rsidRPr="000A3AD5">
        <w:rPr>
          <w:lang w:val="en-US"/>
        </w:rPr>
        <w:t xml:space="preserve"> in </w:t>
      </w:r>
      <w:r w:rsidR="003227D9" w:rsidRPr="000A3AD5">
        <w:rPr>
          <w:lang w:val="en-US"/>
        </w:rPr>
        <w:t xml:space="preserve">terms of </w:t>
      </w:r>
      <w:r w:rsidR="00624C1A" w:rsidRPr="000A3AD5">
        <w:rPr>
          <w:lang w:val="en-US"/>
        </w:rPr>
        <w:t>labor market dynamics.</w:t>
      </w:r>
      <w:r w:rsidR="00AD44F8" w:rsidRPr="000A3AD5">
        <w:rPr>
          <w:lang w:val="en-US"/>
        </w:rPr>
        <w:t xml:space="preserve"> </w:t>
      </w:r>
    </w:p>
    <w:p w:rsidR="001F2894" w:rsidRPr="000A3AD5" w:rsidRDefault="001F2894" w:rsidP="00562D88">
      <w:pPr>
        <w:rPr>
          <w:b/>
          <w:lang w:val="en-US"/>
        </w:rPr>
      </w:pPr>
    </w:p>
    <w:p w:rsidR="001F2894" w:rsidRPr="000A3AD5" w:rsidRDefault="001F2894" w:rsidP="00562D88">
      <w:pPr>
        <w:rPr>
          <w:b/>
          <w:lang w:val="en-US"/>
        </w:rPr>
      </w:pPr>
    </w:p>
    <w:p w:rsidR="00AA35CC" w:rsidRPr="000A3AD5" w:rsidRDefault="001B11B7" w:rsidP="00562D88">
      <w:pPr>
        <w:rPr>
          <w:b/>
          <w:lang w:val="en-US"/>
        </w:rPr>
      </w:pPr>
      <w:r w:rsidRPr="000A3AD5">
        <w:rPr>
          <w:b/>
          <w:lang w:val="en-US"/>
        </w:rPr>
        <w:lastRenderedPageBreak/>
        <w:t xml:space="preserve">Table 1: </w:t>
      </w:r>
      <w:r w:rsidR="00562D88" w:rsidRPr="000A3AD5">
        <w:rPr>
          <w:b/>
          <w:lang w:val="en-US"/>
        </w:rPr>
        <w:t>Change in n</w:t>
      </w:r>
      <w:r w:rsidRPr="000A3AD5">
        <w:rPr>
          <w:b/>
          <w:lang w:val="en-US"/>
        </w:rPr>
        <w:t>on-agricultural labor force and employment in regions</w:t>
      </w:r>
      <w:r w:rsidR="00562D88" w:rsidRPr="000A3AD5">
        <w:rPr>
          <w:b/>
          <w:lang w:val="en-US"/>
        </w:rPr>
        <w:t xml:space="preserve"> the</w:t>
      </w:r>
      <w:r w:rsidRPr="000A3AD5">
        <w:rPr>
          <w:b/>
          <w:lang w:val="en-US"/>
        </w:rPr>
        <w:t xml:space="preserve"> where non-agricultura</w:t>
      </w:r>
      <w:r w:rsidR="00562D88" w:rsidRPr="000A3AD5">
        <w:rPr>
          <w:b/>
          <w:lang w:val="en-US"/>
        </w:rPr>
        <w:t>l unemployment is increased (thousands</w:t>
      </w:r>
      <w:r w:rsidRPr="000A3AD5">
        <w:rPr>
          <w:b/>
          <w:lang w:val="en-US"/>
        </w:rPr>
        <w:t>, 2015-2016)</w:t>
      </w:r>
      <w:r w:rsidR="00AA35CC" w:rsidRPr="000A3AD5">
        <w:rPr>
          <w:b/>
          <w:lang w:val="en-US"/>
        </w:rPr>
        <w:t xml:space="preserve"> </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752"/>
        <w:gridCol w:w="1274"/>
        <w:gridCol w:w="823"/>
      </w:tblGrid>
      <w:tr w:rsidR="00914EF1" w:rsidRPr="000A3AD5" w:rsidTr="00E1390B">
        <w:trPr>
          <w:trHeight w:val="394"/>
        </w:trPr>
        <w:tc>
          <w:tcPr>
            <w:tcW w:w="5377" w:type="dxa"/>
            <w:shd w:val="clear" w:color="auto" w:fill="auto"/>
            <w:noWrap/>
            <w:vAlign w:val="bottom"/>
            <w:hideMark/>
          </w:tcPr>
          <w:p w:rsidR="00914EF1" w:rsidRPr="000A3AD5" w:rsidRDefault="00562D88" w:rsidP="00F84E7E">
            <w:pPr>
              <w:spacing w:after="0"/>
              <w:rPr>
                <w:rFonts w:ascii="Times New Roman" w:eastAsia="Times New Roman" w:hAnsi="Times New Roman" w:cs="Times New Roman"/>
                <w:b/>
                <w:sz w:val="24"/>
                <w:szCs w:val="24"/>
                <w:lang w:val="en-US"/>
              </w:rPr>
            </w:pPr>
            <w:r w:rsidRPr="000A3AD5">
              <w:rPr>
                <w:rFonts w:ascii="Calibri" w:eastAsia="Times New Roman" w:hAnsi="Calibri" w:cs="Times New Roman"/>
                <w:b/>
                <w:color w:val="000000"/>
                <w:sz w:val="24"/>
                <w:szCs w:val="24"/>
                <w:lang w:val="en-US"/>
              </w:rPr>
              <w:t>Regions</w:t>
            </w:r>
          </w:p>
        </w:tc>
        <w:tc>
          <w:tcPr>
            <w:tcW w:w="1752" w:type="dxa"/>
            <w:shd w:val="clear" w:color="auto" w:fill="auto"/>
            <w:noWrap/>
            <w:vAlign w:val="bottom"/>
            <w:hideMark/>
          </w:tcPr>
          <w:p w:rsidR="00914EF1" w:rsidRPr="000A3AD5" w:rsidRDefault="00562D88" w:rsidP="0054644B">
            <w:pPr>
              <w:spacing w:after="0"/>
              <w:jc w:val="center"/>
              <w:rPr>
                <w:rFonts w:ascii="Calibri" w:eastAsia="Times New Roman" w:hAnsi="Calibri" w:cs="Times New Roman"/>
                <w:b/>
                <w:color w:val="000000"/>
                <w:highlight w:val="yellow"/>
                <w:lang w:val="en-US"/>
              </w:rPr>
            </w:pPr>
            <w:r w:rsidRPr="000A3AD5">
              <w:rPr>
                <w:rFonts w:ascii="Calibri" w:eastAsia="Times New Roman" w:hAnsi="Calibri" w:cs="Times New Roman"/>
                <w:b/>
                <w:color w:val="000000"/>
                <w:lang w:val="en-US"/>
              </w:rPr>
              <w:t xml:space="preserve">Δ </w:t>
            </w:r>
            <w:proofErr w:type="spellStart"/>
            <w:r w:rsidRPr="000A3AD5">
              <w:rPr>
                <w:rFonts w:ascii="Calibri" w:eastAsia="Times New Roman" w:hAnsi="Calibri" w:cs="Times New Roman"/>
                <w:b/>
                <w:color w:val="000000"/>
                <w:lang w:val="en-US"/>
              </w:rPr>
              <w:t>LF</w:t>
            </w:r>
            <w:r w:rsidRPr="000A3AD5">
              <w:rPr>
                <w:rFonts w:ascii="Calibri" w:eastAsia="Times New Roman" w:hAnsi="Calibri" w:cs="Times New Roman"/>
                <w:b/>
                <w:color w:val="000000"/>
                <w:sz w:val="18"/>
                <w:szCs w:val="18"/>
                <w:lang w:val="en-US"/>
              </w:rPr>
              <w:t>na</w:t>
            </w:r>
            <w:proofErr w:type="spellEnd"/>
          </w:p>
        </w:tc>
        <w:tc>
          <w:tcPr>
            <w:tcW w:w="1274" w:type="dxa"/>
            <w:shd w:val="clear" w:color="auto" w:fill="auto"/>
            <w:noWrap/>
            <w:vAlign w:val="bottom"/>
            <w:hideMark/>
          </w:tcPr>
          <w:p w:rsidR="00914EF1" w:rsidRPr="000A3AD5" w:rsidRDefault="00562D88" w:rsidP="0054644B">
            <w:pPr>
              <w:spacing w:after="0"/>
              <w:jc w:val="center"/>
              <w:rPr>
                <w:rFonts w:ascii="Calibri" w:eastAsia="Times New Roman" w:hAnsi="Calibri" w:cs="Times New Roman"/>
                <w:b/>
                <w:color w:val="000000"/>
                <w:highlight w:val="yellow"/>
                <w:lang w:val="en-US"/>
              </w:rPr>
            </w:pPr>
            <w:r w:rsidRPr="000A3AD5">
              <w:rPr>
                <w:rFonts w:ascii="Calibri" w:eastAsia="Times New Roman" w:hAnsi="Calibri" w:cs="Times New Roman"/>
                <w:b/>
                <w:color w:val="000000"/>
                <w:lang w:val="en-US"/>
              </w:rPr>
              <w:t xml:space="preserve">Δ </w:t>
            </w:r>
            <w:proofErr w:type="spellStart"/>
            <w:r w:rsidRPr="000A3AD5">
              <w:rPr>
                <w:rFonts w:ascii="Calibri" w:eastAsia="Times New Roman" w:hAnsi="Calibri" w:cs="Times New Roman"/>
                <w:b/>
                <w:color w:val="000000"/>
                <w:lang w:val="en-US"/>
              </w:rPr>
              <w:t>E</w:t>
            </w:r>
            <w:r w:rsidRPr="000A3AD5">
              <w:rPr>
                <w:rFonts w:ascii="Calibri" w:eastAsia="Times New Roman" w:hAnsi="Calibri" w:cs="Times New Roman"/>
                <w:b/>
                <w:color w:val="000000"/>
                <w:sz w:val="18"/>
                <w:szCs w:val="18"/>
                <w:lang w:val="en-US"/>
              </w:rPr>
              <w:t>na</w:t>
            </w:r>
            <w:proofErr w:type="spellEnd"/>
          </w:p>
        </w:tc>
        <w:tc>
          <w:tcPr>
            <w:tcW w:w="823" w:type="dxa"/>
          </w:tcPr>
          <w:p w:rsidR="00914EF1" w:rsidRPr="000A3AD5" w:rsidRDefault="00914EF1" w:rsidP="0054644B">
            <w:pPr>
              <w:spacing w:after="0"/>
              <w:jc w:val="center"/>
              <w:rPr>
                <w:rFonts w:ascii="Calibri" w:eastAsia="Times New Roman" w:hAnsi="Calibri" w:cs="Times New Roman"/>
                <w:b/>
                <w:color w:val="000000"/>
                <w:lang w:val="en-US"/>
              </w:rPr>
            </w:pPr>
            <w:r w:rsidRPr="000A3AD5">
              <w:rPr>
                <w:rFonts w:ascii="Calibri" w:eastAsia="Times New Roman" w:hAnsi="Calibri" w:cs="Times New Roman"/>
                <w:b/>
                <w:color w:val="000000"/>
                <w:lang w:val="en-US"/>
              </w:rPr>
              <w:br/>
            </w:r>
            <w:r w:rsidR="00562D88" w:rsidRPr="000A3AD5">
              <w:rPr>
                <w:rFonts w:ascii="Calibri" w:eastAsia="Times New Roman" w:hAnsi="Calibri" w:cs="Times New Roman"/>
                <w:b/>
                <w:color w:val="000000"/>
                <w:lang w:val="en-US"/>
              </w:rPr>
              <w:t xml:space="preserve">Δ </w:t>
            </w:r>
            <w:proofErr w:type="spellStart"/>
            <w:r w:rsidR="00562D88" w:rsidRPr="000A3AD5">
              <w:rPr>
                <w:rFonts w:ascii="Calibri" w:eastAsia="Times New Roman" w:hAnsi="Calibri" w:cs="Times New Roman"/>
                <w:b/>
                <w:color w:val="000000"/>
                <w:lang w:val="en-US"/>
              </w:rPr>
              <w:t>u</w:t>
            </w:r>
            <w:r w:rsidR="00562D88" w:rsidRPr="000A3AD5">
              <w:rPr>
                <w:rFonts w:ascii="Calibri" w:eastAsia="Times New Roman" w:hAnsi="Calibri" w:cs="Times New Roman"/>
                <w:b/>
                <w:color w:val="000000"/>
                <w:sz w:val="18"/>
                <w:szCs w:val="18"/>
                <w:lang w:val="en-US"/>
              </w:rPr>
              <w:t>na</w:t>
            </w:r>
            <w:proofErr w:type="spellEnd"/>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 xml:space="preserve">TRC1 (Gaziantep, </w:t>
            </w:r>
            <w:proofErr w:type="spellStart"/>
            <w:r w:rsidRPr="000A3AD5">
              <w:rPr>
                <w:rFonts w:ascii="Calibri" w:eastAsia="Times New Roman" w:hAnsi="Calibri" w:cs="Times New Roman"/>
                <w:color w:val="000000"/>
                <w:lang w:val="en-US"/>
              </w:rPr>
              <w:t>Adıyaman</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Kilis</w:t>
            </w:r>
            <w:proofErr w:type="spellEnd"/>
            <w:r w:rsidRPr="000A3AD5">
              <w:rPr>
                <w:rFonts w:ascii="Calibri" w:eastAsia="Times New Roman" w:hAnsi="Calibri" w:cs="Times New Roman"/>
                <w:color w:val="000000"/>
                <w:lang w:val="en-US"/>
              </w:rPr>
              <w:t>)</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79</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38</w:t>
            </w:r>
          </w:p>
        </w:tc>
        <w:tc>
          <w:tcPr>
            <w:tcW w:w="823" w:type="dxa"/>
          </w:tcPr>
          <w:p w:rsidR="00914EF1" w:rsidRPr="000A3AD5" w:rsidRDefault="00914EF1" w:rsidP="00914EF1">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4,4</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TR71 (</w:t>
            </w:r>
            <w:proofErr w:type="spellStart"/>
            <w:r w:rsidRPr="000A3AD5">
              <w:rPr>
                <w:rFonts w:ascii="Calibri" w:eastAsia="Times New Roman" w:hAnsi="Calibri" w:cs="Times New Roman"/>
                <w:color w:val="000000"/>
                <w:lang w:val="en-US"/>
              </w:rPr>
              <w:t>Kırıkkale</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Aksaray</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Niğde</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Nevşehir</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Kırşehir</w:t>
            </w:r>
            <w:proofErr w:type="spellEnd"/>
            <w:r w:rsidRPr="000A3AD5">
              <w:rPr>
                <w:rFonts w:ascii="Calibri" w:eastAsia="Times New Roman" w:hAnsi="Calibri" w:cs="Times New Roman"/>
                <w:color w:val="000000"/>
                <w:lang w:val="en-US"/>
              </w:rPr>
              <w:t xml:space="preserve"> )</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15</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-5</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4,3</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 xml:space="preserve">TR83 (Samsun, </w:t>
            </w:r>
            <w:proofErr w:type="spellStart"/>
            <w:r w:rsidRPr="000A3AD5">
              <w:rPr>
                <w:rFonts w:ascii="Calibri" w:eastAsia="Times New Roman" w:hAnsi="Calibri" w:cs="Times New Roman"/>
                <w:color w:val="000000"/>
                <w:lang w:val="en-US"/>
              </w:rPr>
              <w:t>Tokat</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Çorum</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Amasya</w:t>
            </w:r>
            <w:proofErr w:type="spellEnd"/>
            <w:r w:rsidRPr="000A3AD5">
              <w:rPr>
                <w:rFonts w:ascii="Calibri" w:eastAsia="Times New Roman" w:hAnsi="Calibri" w:cs="Times New Roman"/>
                <w:color w:val="000000"/>
                <w:lang w:val="en-US"/>
              </w:rPr>
              <w:t>)</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13</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-3</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2,2</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TRC3 (</w:t>
            </w:r>
            <w:proofErr w:type="spellStart"/>
            <w:r w:rsidRPr="000A3AD5">
              <w:rPr>
                <w:rFonts w:ascii="Calibri" w:eastAsia="Times New Roman" w:hAnsi="Calibri" w:cs="Times New Roman"/>
                <w:color w:val="000000"/>
                <w:lang w:val="en-US"/>
              </w:rPr>
              <w:t>Mardin</w:t>
            </w:r>
            <w:proofErr w:type="spellEnd"/>
            <w:r w:rsidRPr="000A3AD5">
              <w:rPr>
                <w:rFonts w:ascii="Calibri" w:eastAsia="Times New Roman" w:hAnsi="Calibri" w:cs="Times New Roman"/>
                <w:color w:val="000000"/>
                <w:lang w:val="en-US"/>
              </w:rPr>
              <w:t xml:space="preserve">, Batman, </w:t>
            </w:r>
            <w:proofErr w:type="spellStart"/>
            <w:r w:rsidRPr="000A3AD5">
              <w:rPr>
                <w:rFonts w:ascii="Calibri" w:eastAsia="Times New Roman" w:hAnsi="Calibri" w:cs="Times New Roman"/>
                <w:color w:val="000000"/>
                <w:lang w:val="en-US"/>
              </w:rPr>
              <w:t>Şırnak</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Siirt</w:t>
            </w:r>
            <w:proofErr w:type="spellEnd"/>
            <w:r w:rsidRPr="000A3AD5">
              <w:rPr>
                <w:rFonts w:ascii="Calibri" w:eastAsia="Times New Roman" w:hAnsi="Calibri" w:cs="Times New Roman"/>
                <w:color w:val="000000"/>
                <w:lang w:val="en-US"/>
              </w:rPr>
              <w:t>)</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50</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26</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2,1</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 xml:space="preserve">TR61 (Antalya, </w:t>
            </w:r>
            <w:proofErr w:type="spellStart"/>
            <w:r w:rsidRPr="000A3AD5">
              <w:rPr>
                <w:rFonts w:ascii="Calibri" w:eastAsia="Times New Roman" w:hAnsi="Calibri" w:cs="Times New Roman"/>
                <w:color w:val="000000"/>
                <w:lang w:val="en-US"/>
              </w:rPr>
              <w:t>Isparta</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Burdur</w:t>
            </w:r>
            <w:proofErr w:type="spellEnd"/>
            <w:r w:rsidRPr="000A3AD5">
              <w:rPr>
                <w:rFonts w:ascii="Calibri" w:eastAsia="Times New Roman" w:hAnsi="Calibri" w:cs="Times New Roman"/>
                <w:color w:val="000000"/>
                <w:lang w:val="en-US"/>
              </w:rPr>
              <w:t>)</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51</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24</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2,1</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TR81 (</w:t>
            </w:r>
            <w:proofErr w:type="spellStart"/>
            <w:r w:rsidRPr="000A3AD5">
              <w:rPr>
                <w:rFonts w:ascii="Calibri" w:eastAsia="Times New Roman" w:hAnsi="Calibri" w:cs="Times New Roman"/>
                <w:color w:val="000000"/>
                <w:lang w:val="en-US"/>
              </w:rPr>
              <w:t>Zonguldak</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Karabük</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Bartın</w:t>
            </w:r>
            <w:proofErr w:type="spellEnd"/>
            <w:r w:rsidRPr="000A3AD5">
              <w:rPr>
                <w:rFonts w:ascii="Calibri" w:eastAsia="Times New Roman" w:hAnsi="Calibri" w:cs="Times New Roman"/>
                <w:color w:val="000000"/>
                <w:lang w:val="en-US"/>
              </w:rPr>
              <w:t>)</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11</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5</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1,7</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TR22 (</w:t>
            </w:r>
            <w:proofErr w:type="spellStart"/>
            <w:r w:rsidRPr="000A3AD5">
              <w:rPr>
                <w:rFonts w:ascii="Calibri" w:eastAsia="Times New Roman" w:hAnsi="Calibri" w:cs="Times New Roman"/>
                <w:color w:val="000000"/>
                <w:lang w:val="en-US"/>
              </w:rPr>
              <w:t>Balıkesir</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Çanakkale</w:t>
            </w:r>
            <w:proofErr w:type="spellEnd"/>
            <w:r w:rsidRPr="000A3AD5">
              <w:rPr>
                <w:rFonts w:ascii="Calibri" w:eastAsia="Times New Roman" w:hAnsi="Calibri" w:cs="Times New Roman"/>
                <w:color w:val="000000"/>
                <w:lang w:val="en-US"/>
              </w:rPr>
              <w:t>)</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16</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7</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1,6</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 xml:space="preserve">TR41 (Bursa, </w:t>
            </w:r>
            <w:proofErr w:type="spellStart"/>
            <w:r w:rsidRPr="000A3AD5">
              <w:rPr>
                <w:rFonts w:ascii="Calibri" w:eastAsia="Times New Roman" w:hAnsi="Calibri" w:cs="Times New Roman"/>
                <w:color w:val="000000"/>
                <w:lang w:val="en-US"/>
              </w:rPr>
              <w:t>Eskişehir</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Bilecik</w:t>
            </w:r>
            <w:proofErr w:type="spellEnd"/>
            <w:r w:rsidRPr="000A3AD5">
              <w:rPr>
                <w:rFonts w:ascii="Calibri" w:eastAsia="Times New Roman" w:hAnsi="Calibri" w:cs="Times New Roman"/>
                <w:color w:val="000000"/>
                <w:lang w:val="en-US"/>
              </w:rPr>
              <w:t>)</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66</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41</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1,4</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 xml:space="preserve">TRB1 (Malatya, </w:t>
            </w:r>
            <w:proofErr w:type="spellStart"/>
            <w:r w:rsidRPr="000A3AD5">
              <w:rPr>
                <w:rFonts w:ascii="Calibri" w:eastAsia="Times New Roman" w:hAnsi="Calibri" w:cs="Times New Roman"/>
                <w:color w:val="000000"/>
                <w:lang w:val="en-US"/>
              </w:rPr>
              <w:t>Elazığ</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Bingöl</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Tunceli</w:t>
            </w:r>
            <w:proofErr w:type="spellEnd"/>
            <w:r w:rsidRPr="000A3AD5">
              <w:rPr>
                <w:rFonts w:ascii="Calibri" w:eastAsia="Times New Roman" w:hAnsi="Calibri" w:cs="Times New Roman"/>
                <w:color w:val="000000"/>
                <w:lang w:val="en-US"/>
              </w:rPr>
              <w:t>)</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12</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5</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1,2</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TRA2 (</w:t>
            </w:r>
            <w:proofErr w:type="spellStart"/>
            <w:r w:rsidRPr="000A3AD5">
              <w:rPr>
                <w:rFonts w:ascii="Calibri" w:eastAsia="Times New Roman" w:hAnsi="Calibri" w:cs="Times New Roman"/>
                <w:color w:val="000000"/>
                <w:lang w:val="en-US"/>
              </w:rPr>
              <w:t>Ağrı</w:t>
            </w:r>
            <w:proofErr w:type="spellEnd"/>
            <w:r w:rsidRPr="000A3AD5">
              <w:rPr>
                <w:rFonts w:ascii="Calibri" w:eastAsia="Times New Roman" w:hAnsi="Calibri" w:cs="Times New Roman"/>
                <w:color w:val="000000"/>
                <w:lang w:val="en-US"/>
              </w:rPr>
              <w:t xml:space="preserve">, Kars, </w:t>
            </w:r>
            <w:proofErr w:type="spellStart"/>
            <w:r w:rsidRPr="000A3AD5">
              <w:rPr>
                <w:rFonts w:ascii="Calibri" w:eastAsia="Times New Roman" w:hAnsi="Calibri" w:cs="Times New Roman"/>
                <w:color w:val="000000"/>
                <w:lang w:val="en-US"/>
              </w:rPr>
              <w:t>Iğdır</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Ardahan</w:t>
            </w:r>
            <w:proofErr w:type="spellEnd"/>
            <w:r w:rsidRPr="000A3AD5">
              <w:rPr>
                <w:rFonts w:ascii="Calibri" w:eastAsia="Times New Roman" w:hAnsi="Calibri" w:cs="Times New Roman"/>
                <w:color w:val="000000"/>
                <w:lang w:val="en-US"/>
              </w:rPr>
              <w:t>)</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13</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10</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1,1</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TR62 (Adana, Mersin)</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-14</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-23</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0,9</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TR33 (</w:t>
            </w:r>
            <w:proofErr w:type="spellStart"/>
            <w:r w:rsidRPr="000A3AD5">
              <w:rPr>
                <w:rFonts w:ascii="Calibri" w:eastAsia="Times New Roman" w:hAnsi="Calibri" w:cs="Times New Roman"/>
                <w:color w:val="000000"/>
                <w:lang w:val="en-US"/>
              </w:rPr>
              <w:t>Manisa</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Afyonkarahisar</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Kütahya</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Uşak</w:t>
            </w:r>
            <w:proofErr w:type="spellEnd"/>
            <w:r w:rsidRPr="000A3AD5">
              <w:rPr>
                <w:rFonts w:ascii="Calibri" w:eastAsia="Times New Roman" w:hAnsi="Calibri" w:cs="Times New Roman"/>
                <w:color w:val="000000"/>
                <w:lang w:val="en-US"/>
              </w:rPr>
              <w:t>)</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48</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38</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0,8</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TR10 (İstanbul)</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318</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238</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0,6</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TRC2 (</w:t>
            </w:r>
            <w:proofErr w:type="spellStart"/>
            <w:r w:rsidRPr="000A3AD5">
              <w:rPr>
                <w:rFonts w:ascii="Calibri" w:eastAsia="Times New Roman" w:hAnsi="Calibri" w:cs="Times New Roman"/>
                <w:color w:val="000000"/>
                <w:lang w:val="en-US"/>
              </w:rPr>
              <w:t>Şanlıurfa</w:t>
            </w:r>
            <w:proofErr w:type="spellEnd"/>
            <w:r w:rsidRPr="000A3AD5">
              <w:rPr>
                <w:rFonts w:ascii="Calibri" w:eastAsia="Times New Roman" w:hAnsi="Calibri" w:cs="Times New Roman"/>
                <w:color w:val="000000"/>
                <w:lang w:val="en-US"/>
              </w:rPr>
              <w:t>, Diyarbakır)</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63</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46</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0,4</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TR51 (Ankara)</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87</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73</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0,2</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TR21 (</w:t>
            </w:r>
            <w:proofErr w:type="spellStart"/>
            <w:r w:rsidRPr="000A3AD5">
              <w:rPr>
                <w:rFonts w:ascii="Calibri" w:eastAsia="Times New Roman" w:hAnsi="Calibri" w:cs="Times New Roman"/>
                <w:color w:val="000000"/>
                <w:lang w:val="en-US"/>
              </w:rPr>
              <w:t>Tekirdağ</w:t>
            </w:r>
            <w:proofErr w:type="spellEnd"/>
            <w:r w:rsidRPr="000A3AD5">
              <w:rPr>
                <w:rFonts w:ascii="Calibri" w:eastAsia="Times New Roman" w:hAnsi="Calibri" w:cs="Times New Roman"/>
                <w:color w:val="000000"/>
                <w:lang w:val="en-US"/>
              </w:rPr>
              <w:t xml:space="preserve">, Edirne, </w:t>
            </w:r>
            <w:proofErr w:type="spellStart"/>
            <w:r w:rsidRPr="000A3AD5">
              <w:rPr>
                <w:rFonts w:ascii="Calibri" w:eastAsia="Times New Roman" w:hAnsi="Calibri" w:cs="Times New Roman"/>
                <w:color w:val="000000"/>
                <w:lang w:val="en-US"/>
              </w:rPr>
              <w:t>Kırklareli</w:t>
            </w:r>
            <w:proofErr w:type="spellEnd"/>
            <w:r w:rsidRPr="000A3AD5">
              <w:rPr>
                <w:rFonts w:ascii="Calibri" w:eastAsia="Times New Roman" w:hAnsi="Calibri" w:cs="Times New Roman"/>
                <w:color w:val="000000"/>
                <w:lang w:val="en-US"/>
              </w:rPr>
              <w:t>)</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31</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28</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0,1</w:t>
            </w:r>
          </w:p>
        </w:tc>
      </w:tr>
      <w:tr w:rsidR="00914EF1" w:rsidRPr="000A3AD5" w:rsidTr="00E1390B">
        <w:trPr>
          <w:trHeight w:val="286"/>
        </w:trPr>
        <w:tc>
          <w:tcPr>
            <w:tcW w:w="5377"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TR42 (</w:t>
            </w:r>
            <w:proofErr w:type="spellStart"/>
            <w:r w:rsidRPr="000A3AD5">
              <w:rPr>
                <w:rFonts w:ascii="Calibri" w:eastAsia="Times New Roman" w:hAnsi="Calibri" w:cs="Times New Roman"/>
                <w:color w:val="000000"/>
                <w:lang w:val="en-US"/>
              </w:rPr>
              <w:t>Kocaeli</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Sakarya</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Düzce</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Bolu</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Yalova</w:t>
            </w:r>
            <w:proofErr w:type="spellEnd"/>
            <w:r w:rsidRPr="000A3AD5">
              <w:rPr>
                <w:rFonts w:ascii="Calibri" w:eastAsia="Times New Roman" w:hAnsi="Calibri" w:cs="Times New Roman"/>
                <w:color w:val="000000"/>
                <w:lang w:val="en-US"/>
              </w:rPr>
              <w:t>)</w:t>
            </w:r>
          </w:p>
        </w:tc>
        <w:tc>
          <w:tcPr>
            <w:tcW w:w="1752"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23</w:t>
            </w:r>
          </w:p>
        </w:tc>
        <w:tc>
          <w:tcPr>
            <w:tcW w:w="1274"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19</w:t>
            </w:r>
          </w:p>
        </w:tc>
        <w:tc>
          <w:tcPr>
            <w:tcW w:w="823"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0,1</w:t>
            </w:r>
          </w:p>
        </w:tc>
      </w:tr>
    </w:tbl>
    <w:p w:rsidR="00E1390B" w:rsidRPr="000A3AD5" w:rsidRDefault="00E1390B" w:rsidP="00562D88">
      <w:pPr>
        <w:pStyle w:val="Caption"/>
        <w:keepNext/>
        <w:spacing w:line="276" w:lineRule="auto"/>
        <w:rPr>
          <w:b w:val="0"/>
          <w:color w:val="000000" w:themeColor="text1"/>
          <w:sz w:val="16"/>
          <w:szCs w:val="16"/>
          <w:lang w:val="en-US"/>
        </w:rPr>
      </w:pPr>
      <w:r w:rsidRPr="000A3AD5">
        <w:rPr>
          <w:b w:val="0"/>
          <w:color w:val="000000" w:themeColor="text1"/>
          <w:sz w:val="16"/>
          <w:szCs w:val="16"/>
          <w:lang w:val="en-US"/>
        </w:rPr>
        <w:t>Source: TUIK, Betam</w:t>
      </w:r>
      <w:r w:rsidR="00562D88" w:rsidRPr="000A3AD5">
        <w:rPr>
          <w:b w:val="0"/>
          <w:color w:val="000000" w:themeColor="text1"/>
          <w:sz w:val="16"/>
          <w:szCs w:val="16"/>
          <w:lang w:val="en-US"/>
        </w:rPr>
        <w:t xml:space="preserve">. </w:t>
      </w:r>
      <w:r w:rsidR="00562D88" w:rsidRPr="000A3AD5">
        <w:rPr>
          <w:b w:val="0"/>
          <w:color w:val="000000" w:themeColor="text1"/>
          <w:sz w:val="16"/>
          <w:szCs w:val="16"/>
          <w:lang w:val="en-US"/>
        </w:rPr>
        <w:br/>
        <w:t xml:space="preserve">Note: </w:t>
      </w:r>
      <w:r w:rsidR="00562D88" w:rsidRPr="000A3AD5">
        <w:rPr>
          <w:rFonts w:ascii="Calibri" w:eastAsia="Times New Roman" w:hAnsi="Calibri" w:cs="Times New Roman"/>
          <w:color w:val="000000"/>
          <w:sz w:val="16"/>
          <w:szCs w:val="16"/>
          <w:lang w:val="en-US"/>
        </w:rPr>
        <w:t xml:space="preserve">Δ </w:t>
      </w:r>
      <w:proofErr w:type="spellStart"/>
      <w:r w:rsidR="00562D88" w:rsidRPr="000A3AD5">
        <w:rPr>
          <w:rFonts w:ascii="Calibri" w:eastAsia="Times New Roman" w:hAnsi="Calibri" w:cs="Times New Roman"/>
          <w:color w:val="000000"/>
          <w:sz w:val="16"/>
          <w:szCs w:val="16"/>
          <w:lang w:val="en-US"/>
        </w:rPr>
        <w:t>Lfna</w:t>
      </w:r>
      <w:proofErr w:type="spellEnd"/>
      <w:r w:rsidR="00562D88" w:rsidRPr="000A3AD5">
        <w:rPr>
          <w:rFonts w:ascii="Calibri" w:eastAsia="Times New Roman" w:hAnsi="Calibri" w:cs="Times New Roman"/>
          <w:color w:val="000000"/>
          <w:sz w:val="16"/>
          <w:szCs w:val="16"/>
          <w:lang w:val="en-US"/>
        </w:rPr>
        <w:t xml:space="preserve">: </w:t>
      </w:r>
      <w:r w:rsidR="00562D88" w:rsidRPr="000A3AD5">
        <w:rPr>
          <w:rFonts w:ascii="Calibri" w:eastAsia="Times New Roman" w:hAnsi="Calibri" w:cs="Times New Roman"/>
          <w:b w:val="0"/>
          <w:color w:val="000000"/>
          <w:sz w:val="16"/>
          <w:szCs w:val="16"/>
          <w:lang w:val="en-US"/>
        </w:rPr>
        <w:t>Change in non-agricultural labor force,</w:t>
      </w:r>
      <w:r w:rsidR="00562D88" w:rsidRPr="000A3AD5">
        <w:rPr>
          <w:rFonts w:ascii="Calibri" w:eastAsia="Times New Roman" w:hAnsi="Calibri" w:cs="Times New Roman"/>
          <w:color w:val="000000"/>
          <w:sz w:val="16"/>
          <w:szCs w:val="16"/>
          <w:lang w:val="en-US"/>
        </w:rPr>
        <w:t xml:space="preserve"> Δ </w:t>
      </w:r>
      <w:proofErr w:type="spellStart"/>
      <w:r w:rsidR="00562D88" w:rsidRPr="000A3AD5">
        <w:rPr>
          <w:rFonts w:ascii="Calibri" w:eastAsia="Times New Roman" w:hAnsi="Calibri" w:cs="Times New Roman"/>
          <w:color w:val="000000"/>
          <w:sz w:val="16"/>
          <w:szCs w:val="16"/>
          <w:lang w:val="en-US"/>
        </w:rPr>
        <w:t>Ena</w:t>
      </w:r>
      <w:proofErr w:type="spellEnd"/>
      <w:r w:rsidR="00562D88" w:rsidRPr="000A3AD5">
        <w:rPr>
          <w:rFonts w:ascii="Calibri" w:eastAsia="Times New Roman" w:hAnsi="Calibri" w:cs="Times New Roman"/>
          <w:color w:val="000000"/>
          <w:sz w:val="16"/>
          <w:szCs w:val="16"/>
          <w:lang w:val="en-US"/>
        </w:rPr>
        <w:t xml:space="preserve">: </w:t>
      </w:r>
      <w:r w:rsidR="00562D88" w:rsidRPr="000A3AD5">
        <w:rPr>
          <w:rFonts w:ascii="Calibri" w:eastAsia="Times New Roman" w:hAnsi="Calibri" w:cs="Times New Roman"/>
          <w:b w:val="0"/>
          <w:color w:val="000000"/>
          <w:sz w:val="16"/>
          <w:szCs w:val="16"/>
          <w:lang w:val="en-US"/>
        </w:rPr>
        <w:t>Change in non-agricultural employment</w:t>
      </w:r>
      <w:r w:rsidR="00562D88" w:rsidRPr="000A3AD5">
        <w:rPr>
          <w:rFonts w:ascii="Calibri" w:eastAsia="Times New Roman" w:hAnsi="Calibri" w:cs="Times New Roman"/>
          <w:color w:val="000000"/>
          <w:sz w:val="16"/>
          <w:szCs w:val="16"/>
          <w:lang w:val="en-US"/>
        </w:rPr>
        <w:t xml:space="preserve">, Δ </w:t>
      </w:r>
      <w:proofErr w:type="spellStart"/>
      <w:r w:rsidR="00562D88" w:rsidRPr="000A3AD5">
        <w:rPr>
          <w:rFonts w:ascii="Calibri" w:eastAsia="Times New Roman" w:hAnsi="Calibri" w:cs="Times New Roman"/>
          <w:color w:val="000000"/>
          <w:sz w:val="16"/>
          <w:szCs w:val="16"/>
          <w:lang w:val="en-US"/>
        </w:rPr>
        <w:t>una</w:t>
      </w:r>
      <w:proofErr w:type="spellEnd"/>
      <w:r w:rsidR="00562D88" w:rsidRPr="000A3AD5">
        <w:rPr>
          <w:rFonts w:ascii="Calibri" w:eastAsia="Times New Roman" w:hAnsi="Calibri" w:cs="Times New Roman"/>
          <w:color w:val="000000"/>
          <w:sz w:val="16"/>
          <w:szCs w:val="16"/>
          <w:lang w:val="en-US"/>
        </w:rPr>
        <w:t xml:space="preserve">: </w:t>
      </w:r>
      <w:r w:rsidR="00562D88" w:rsidRPr="000A3AD5">
        <w:rPr>
          <w:rFonts w:ascii="Calibri" w:eastAsia="Times New Roman" w:hAnsi="Calibri" w:cs="Times New Roman"/>
          <w:b w:val="0"/>
          <w:color w:val="000000"/>
          <w:sz w:val="16"/>
          <w:szCs w:val="16"/>
          <w:lang w:val="en-US"/>
        </w:rPr>
        <w:t>Change in non-agricultural unemployment</w:t>
      </w:r>
    </w:p>
    <w:p w:rsidR="009D3991" w:rsidRPr="000A3AD5" w:rsidRDefault="00DE1240" w:rsidP="0054644B">
      <w:pPr>
        <w:jc w:val="both"/>
        <w:rPr>
          <w:b/>
          <w:sz w:val="24"/>
          <w:szCs w:val="24"/>
          <w:lang w:val="en-US"/>
        </w:rPr>
      </w:pPr>
      <w:r w:rsidRPr="000A3AD5">
        <w:rPr>
          <w:b/>
          <w:sz w:val="24"/>
          <w:szCs w:val="24"/>
          <w:lang w:val="en-US"/>
        </w:rPr>
        <w:t>Regions where unemployment decreased</w:t>
      </w:r>
    </w:p>
    <w:p w:rsidR="00E6745A" w:rsidRPr="000A3AD5" w:rsidRDefault="00DE1240" w:rsidP="00072FE5">
      <w:pPr>
        <w:jc w:val="both"/>
        <w:rPr>
          <w:lang w:val="en-US"/>
        </w:rPr>
      </w:pPr>
      <w:r w:rsidRPr="000A3AD5">
        <w:rPr>
          <w:lang w:val="en-US"/>
        </w:rPr>
        <w:t>Figure 3</w:t>
      </w:r>
      <w:r w:rsidR="00BF6C74" w:rsidRPr="000A3AD5">
        <w:rPr>
          <w:lang w:val="en-US"/>
        </w:rPr>
        <w:t xml:space="preserve"> shows the regions where unemployment rate has decreased</w:t>
      </w:r>
      <w:r w:rsidRPr="000A3AD5">
        <w:rPr>
          <w:lang w:val="en-US"/>
        </w:rPr>
        <w:t xml:space="preserve">. </w:t>
      </w:r>
      <w:r w:rsidR="00BF6C74" w:rsidRPr="000A3AD5">
        <w:rPr>
          <w:lang w:val="en-US"/>
        </w:rPr>
        <w:t>The strongest decline</w:t>
      </w:r>
      <w:r w:rsidRPr="000A3AD5">
        <w:rPr>
          <w:lang w:val="en-US"/>
        </w:rPr>
        <w:t xml:space="preserve"> (2.6 pp) happened in Erzurum (TRA1) region</w:t>
      </w:r>
      <w:r w:rsidR="0021737F" w:rsidRPr="000A3AD5">
        <w:rPr>
          <w:lang w:val="en-US"/>
        </w:rPr>
        <w:t xml:space="preserve"> in the east of Anatolia</w:t>
      </w:r>
      <w:r w:rsidRPr="000A3AD5">
        <w:rPr>
          <w:lang w:val="en-US"/>
        </w:rPr>
        <w:t>.</w:t>
      </w:r>
      <w:r w:rsidR="00E43928" w:rsidRPr="000A3AD5">
        <w:rPr>
          <w:lang w:val="en-US"/>
        </w:rPr>
        <w:t xml:space="preserve"> </w:t>
      </w:r>
      <w:r w:rsidR="00BF6C74" w:rsidRPr="000A3AD5">
        <w:rPr>
          <w:lang w:val="en-US"/>
        </w:rPr>
        <w:t xml:space="preserve">This </w:t>
      </w:r>
      <w:r w:rsidR="005D561B" w:rsidRPr="000A3AD5">
        <w:rPr>
          <w:lang w:val="en-US"/>
        </w:rPr>
        <w:t xml:space="preserve">is the result of </w:t>
      </w:r>
      <w:r w:rsidR="00BF6C74" w:rsidRPr="000A3AD5">
        <w:rPr>
          <w:lang w:val="en-US"/>
        </w:rPr>
        <w:t xml:space="preserve">a higher increase in employment compared to the </w:t>
      </w:r>
      <w:r w:rsidR="005D561B" w:rsidRPr="000A3AD5">
        <w:rPr>
          <w:lang w:val="en-US"/>
        </w:rPr>
        <w:t>l</w:t>
      </w:r>
      <w:r w:rsidR="00BF6C74" w:rsidRPr="000A3AD5">
        <w:rPr>
          <w:lang w:val="en-US"/>
        </w:rPr>
        <w:t xml:space="preserve">abor force (Table 2). </w:t>
      </w:r>
      <w:r w:rsidR="00E43928" w:rsidRPr="000A3AD5">
        <w:rPr>
          <w:lang w:val="en-US"/>
        </w:rPr>
        <w:t xml:space="preserve">In this </w:t>
      </w:r>
      <w:r w:rsidR="005D561B" w:rsidRPr="000A3AD5">
        <w:rPr>
          <w:lang w:val="en-US"/>
        </w:rPr>
        <w:t xml:space="preserve">sense, </w:t>
      </w:r>
      <w:r w:rsidR="00E43928" w:rsidRPr="000A3AD5">
        <w:rPr>
          <w:lang w:val="en-US"/>
        </w:rPr>
        <w:t>it is a positive development</w:t>
      </w:r>
      <w:r w:rsidR="005D561B" w:rsidRPr="000A3AD5">
        <w:rPr>
          <w:lang w:val="en-US"/>
        </w:rPr>
        <w:t xml:space="preserve">, </w:t>
      </w:r>
      <w:r w:rsidR="00E43928" w:rsidRPr="000A3AD5">
        <w:rPr>
          <w:lang w:val="en-US"/>
        </w:rPr>
        <w:t xml:space="preserve">all the more since unemployment </w:t>
      </w:r>
      <w:r w:rsidR="00E6745A" w:rsidRPr="000A3AD5">
        <w:rPr>
          <w:lang w:val="en-US"/>
        </w:rPr>
        <w:t xml:space="preserve">rate was already below country average </w:t>
      </w:r>
      <w:r w:rsidR="005D561B" w:rsidRPr="000A3AD5">
        <w:rPr>
          <w:lang w:val="en-US"/>
        </w:rPr>
        <w:t xml:space="preserve">in 2015 </w:t>
      </w:r>
      <w:r w:rsidR="00E6745A" w:rsidRPr="000A3AD5">
        <w:rPr>
          <w:lang w:val="en-US"/>
        </w:rPr>
        <w:t xml:space="preserve">(11.4 </w:t>
      </w:r>
      <w:r w:rsidR="003C3410" w:rsidRPr="000A3AD5">
        <w:rPr>
          <w:lang w:val="en-US"/>
        </w:rPr>
        <w:t>against</w:t>
      </w:r>
      <w:r w:rsidR="00E6745A" w:rsidRPr="000A3AD5">
        <w:rPr>
          <w:lang w:val="en-US"/>
        </w:rPr>
        <w:t xml:space="preserve"> 12.4 percent)</w:t>
      </w:r>
      <w:r w:rsidR="00E43928" w:rsidRPr="000A3AD5">
        <w:rPr>
          <w:lang w:val="en-US"/>
        </w:rPr>
        <w:t xml:space="preserve">. </w:t>
      </w:r>
      <w:r w:rsidR="00E6745A" w:rsidRPr="000A3AD5">
        <w:rPr>
          <w:lang w:val="en-US"/>
        </w:rPr>
        <w:t xml:space="preserve"> Nevertheless, t</w:t>
      </w:r>
      <w:r w:rsidR="00E43928" w:rsidRPr="000A3AD5">
        <w:rPr>
          <w:lang w:val="en-US"/>
        </w:rPr>
        <w:t xml:space="preserve">he </w:t>
      </w:r>
      <w:r w:rsidR="00BF6C74" w:rsidRPr="000A3AD5">
        <w:rPr>
          <w:lang w:val="en-US"/>
        </w:rPr>
        <w:t xml:space="preserve">only negative characteristic of this region </w:t>
      </w:r>
      <w:r w:rsidR="003C3410" w:rsidRPr="000A3AD5">
        <w:rPr>
          <w:lang w:val="en-US"/>
        </w:rPr>
        <w:t xml:space="preserve">is </w:t>
      </w:r>
      <w:r w:rsidR="005D561B" w:rsidRPr="000A3AD5">
        <w:rPr>
          <w:lang w:val="en-US"/>
        </w:rPr>
        <w:t xml:space="preserve">the </w:t>
      </w:r>
      <w:r w:rsidR="00E6745A" w:rsidRPr="000A3AD5">
        <w:rPr>
          <w:lang w:val="en-US"/>
        </w:rPr>
        <w:t xml:space="preserve">low </w:t>
      </w:r>
      <w:r w:rsidR="00BF6C74" w:rsidRPr="000A3AD5">
        <w:rPr>
          <w:lang w:val="en-US"/>
        </w:rPr>
        <w:t xml:space="preserve">employment </w:t>
      </w:r>
      <w:r w:rsidR="005D561B" w:rsidRPr="000A3AD5">
        <w:rPr>
          <w:lang w:val="en-US"/>
        </w:rPr>
        <w:t xml:space="preserve">ratio </w:t>
      </w:r>
      <w:r w:rsidR="00BF6C74" w:rsidRPr="000A3AD5">
        <w:rPr>
          <w:lang w:val="en-US"/>
        </w:rPr>
        <w:t>(32.6 percent) (see Annex Table</w:t>
      </w:r>
      <w:r w:rsidR="00E6745A" w:rsidRPr="000A3AD5">
        <w:rPr>
          <w:lang w:val="en-US"/>
        </w:rPr>
        <w:t xml:space="preserve">). </w:t>
      </w:r>
    </w:p>
    <w:p w:rsidR="007A077E" w:rsidRPr="000A3AD5" w:rsidRDefault="00BF6C74" w:rsidP="00072FE5">
      <w:pPr>
        <w:jc w:val="both"/>
        <w:rPr>
          <w:lang w:val="en-US"/>
        </w:rPr>
      </w:pPr>
      <w:r w:rsidRPr="000A3AD5">
        <w:rPr>
          <w:lang w:val="en-US"/>
        </w:rPr>
        <w:t>Kayseri (TR72) region in C</w:t>
      </w:r>
      <w:r w:rsidR="0021737F" w:rsidRPr="000A3AD5">
        <w:rPr>
          <w:lang w:val="en-US"/>
        </w:rPr>
        <w:t xml:space="preserve">entral </w:t>
      </w:r>
      <w:r w:rsidRPr="000A3AD5">
        <w:rPr>
          <w:lang w:val="en-US"/>
        </w:rPr>
        <w:t>Anatolia follows Erzurum with</w:t>
      </w:r>
      <w:r w:rsidR="00566335" w:rsidRPr="000A3AD5">
        <w:rPr>
          <w:lang w:val="en-US"/>
        </w:rPr>
        <w:t xml:space="preserve"> </w:t>
      </w:r>
      <w:r w:rsidR="00873128" w:rsidRPr="000A3AD5">
        <w:rPr>
          <w:lang w:val="en-US"/>
        </w:rPr>
        <w:t>2-percentage</w:t>
      </w:r>
      <w:r w:rsidRPr="000A3AD5">
        <w:rPr>
          <w:lang w:val="en-US"/>
        </w:rPr>
        <w:t xml:space="preserve"> </w:t>
      </w:r>
      <w:r w:rsidR="0021737F" w:rsidRPr="000A3AD5">
        <w:rPr>
          <w:lang w:val="en-US"/>
        </w:rPr>
        <w:t>p</w:t>
      </w:r>
      <w:r w:rsidRPr="000A3AD5">
        <w:rPr>
          <w:lang w:val="en-US"/>
        </w:rPr>
        <w:t>oint decrease in unemployment</w:t>
      </w:r>
      <w:r w:rsidR="005040E6" w:rsidRPr="000A3AD5">
        <w:rPr>
          <w:lang w:val="en-US"/>
        </w:rPr>
        <w:t xml:space="preserve"> rate</w:t>
      </w:r>
      <w:r w:rsidR="0021737F" w:rsidRPr="000A3AD5">
        <w:rPr>
          <w:lang w:val="en-US"/>
        </w:rPr>
        <w:t xml:space="preserve">.  </w:t>
      </w:r>
      <w:r w:rsidRPr="000A3AD5">
        <w:rPr>
          <w:lang w:val="en-US"/>
        </w:rPr>
        <w:t>Similar to</w:t>
      </w:r>
      <w:r w:rsidR="00B11C1D" w:rsidRPr="000A3AD5">
        <w:rPr>
          <w:lang w:val="en-US"/>
        </w:rPr>
        <w:t xml:space="preserve"> Erzurum region</w:t>
      </w:r>
      <w:r w:rsidRPr="000A3AD5">
        <w:rPr>
          <w:lang w:val="en-US"/>
        </w:rPr>
        <w:t>,</w:t>
      </w:r>
      <w:r w:rsidR="00B11C1D" w:rsidRPr="000A3AD5">
        <w:rPr>
          <w:lang w:val="en-US"/>
        </w:rPr>
        <w:t xml:space="preserve"> </w:t>
      </w:r>
      <w:r w:rsidRPr="000A3AD5">
        <w:rPr>
          <w:lang w:val="en-US"/>
        </w:rPr>
        <w:t xml:space="preserve">a </w:t>
      </w:r>
      <w:r w:rsidR="00B11C1D" w:rsidRPr="000A3AD5">
        <w:rPr>
          <w:lang w:val="en-US"/>
        </w:rPr>
        <w:t>higher</w:t>
      </w:r>
      <w:r w:rsidRPr="000A3AD5">
        <w:rPr>
          <w:lang w:val="en-US"/>
        </w:rPr>
        <w:t xml:space="preserve"> increase in</w:t>
      </w:r>
      <w:r w:rsidR="00B11C1D" w:rsidRPr="000A3AD5">
        <w:rPr>
          <w:lang w:val="en-US"/>
        </w:rPr>
        <w:t xml:space="preserve"> </w:t>
      </w:r>
      <w:r w:rsidRPr="000A3AD5">
        <w:rPr>
          <w:lang w:val="en-US"/>
        </w:rPr>
        <w:t>employment</w:t>
      </w:r>
      <w:r w:rsidR="00B11C1D" w:rsidRPr="000A3AD5">
        <w:rPr>
          <w:lang w:val="en-US"/>
        </w:rPr>
        <w:t xml:space="preserve"> than </w:t>
      </w:r>
      <w:r w:rsidR="005D561B" w:rsidRPr="000A3AD5">
        <w:rPr>
          <w:lang w:val="en-US"/>
        </w:rPr>
        <w:t xml:space="preserve">the </w:t>
      </w:r>
      <w:r w:rsidRPr="000A3AD5">
        <w:rPr>
          <w:lang w:val="en-US"/>
        </w:rPr>
        <w:t>labor force is the main reason behind this decline</w:t>
      </w:r>
      <w:r w:rsidR="00B11C1D" w:rsidRPr="000A3AD5">
        <w:rPr>
          <w:lang w:val="en-US"/>
        </w:rPr>
        <w:t xml:space="preserve"> (Table 2). Thanks to this </w:t>
      </w:r>
      <w:r w:rsidR="005D561B" w:rsidRPr="000A3AD5">
        <w:rPr>
          <w:lang w:val="en-US"/>
        </w:rPr>
        <w:t xml:space="preserve">development, </w:t>
      </w:r>
      <w:r w:rsidR="00B11C1D" w:rsidRPr="000A3AD5">
        <w:rPr>
          <w:lang w:val="en-US"/>
        </w:rPr>
        <w:t xml:space="preserve">Kayseri’s unemployment rate shifted </w:t>
      </w:r>
      <w:r w:rsidR="005040E6" w:rsidRPr="000A3AD5">
        <w:rPr>
          <w:lang w:val="en-US"/>
        </w:rPr>
        <w:t xml:space="preserve">below </w:t>
      </w:r>
      <w:r w:rsidR="00873128" w:rsidRPr="000A3AD5">
        <w:rPr>
          <w:lang w:val="en-US"/>
        </w:rPr>
        <w:t>the</w:t>
      </w:r>
      <w:r w:rsidR="00E4457B" w:rsidRPr="000A3AD5">
        <w:rPr>
          <w:lang w:val="en-US"/>
        </w:rPr>
        <w:t xml:space="preserve"> </w:t>
      </w:r>
      <w:r w:rsidR="005D561B" w:rsidRPr="000A3AD5">
        <w:rPr>
          <w:lang w:val="en-US"/>
        </w:rPr>
        <w:t xml:space="preserve">national </w:t>
      </w:r>
      <w:r w:rsidR="00E4457B" w:rsidRPr="000A3AD5">
        <w:rPr>
          <w:lang w:val="en-US"/>
        </w:rPr>
        <w:t>rate</w:t>
      </w:r>
      <w:r w:rsidR="00B11C1D" w:rsidRPr="000A3AD5">
        <w:rPr>
          <w:lang w:val="en-US"/>
        </w:rPr>
        <w:t xml:space="preserve"> from 13.4 percent (2015) down to 11.4 percent (2016). </w:t>
      </w:r>
      <w:r w:rsidR="00E4457B" w:rsidRPr="000A3AD5">
        <w:rPr>
          <w:lang w:val="en-US"/>
        </w:rPr>
        <w:t xml:space="preserve">Let us note that </w:t>
      </w:r>
      <w:r w:rsidR="00873128" w:rsidRPr="000A3AD5">
        <w:rPr>
          <w:lang w:val="en-US"/>
        </w:rPr>
        <w:t xml:space="preserve">the </w:t>
      </w:r>
      <w:r w:rsidR="00E4457B" w:rsidRPr="000A3AD5">
        <w:rPr>
          <w:lang w:val="en-US"/>
        </w:rPr>
        <w:t>employment ratio</w:t>
      </w:r>
      <w:r w:rsidR="00873128" w:rsidRPr="000A3AD5">
        <w:rPr>
          <w:lang w:val="en-US"/>
        </w:rPr>
        <w:t xml:space="preserve"> </w:t>
      </w:r>
      <w:r w:rsidR="00E4457B" w:rsidRPr="000A3AD5">
        <w:rPr>
          <w:lang w:val="en-US"/>
        </w:rPr>
        <w:t>(3</w:t>
      </w:r>
      <w:r w:rsidR="00873128" w:rsidRPr="000A3AD5">
        <w:rPr>
          <w:lang w:val="en-US"/>
        </w:rPr>
        <w:t xml:space="preserve">7 percent) in Kayseri region is </w:t>
      </w:r>
      <w:r w:rsidR="005040E6" w:rsidRPr="000A3AD5">
        <w:rPr>
          <w:lang w:val="en-US"/>
        </w:rPr>
        <w:t>very close to</w:t>
      </w:r>
      <w:r w:rsidR="00E4457B" w:rsidRPr="000A3AD5">
        <w:rPr>
          <w:lang w:val="en-US"/>
        </w:rPr>
        <w:t xml:space="preserve"> country avera</w:t>
      </w:r>
      <w:r w:rsidR="00873128" w:rsidRPr="000A3AD5">
        <w:rPr>
          <w:lang w:val="en-US"/>
        </w:rPr>
        <w:t>ge (38 percent).</w:t>
      </w:r>
    </w:p>
    <w:p w:rsidR="00E1390B" w:rsidRPr="000A3AD5" w:rsidRDefault="00873128" w:rsidP="00C93156">
      <w:pPr>
        <w:jc w:val="both"/>
        <w:rPr>
          <w:lang w:val="en-US"/>
        </w:rPr>
      </w:pPr>
      <w:r w:rsidRPr="000A3AD5">
        <w:rPr>
          <w:lang w:val="en-US"/>
        </w:rPr>
        <w:t>Regarding the</w:t>
      </w:r>
      <w:r w:rsidR="007A077E" w:rsidRPr="000A3AD5">
        <w:rPr>
          <w:lang w:val="en-US"/>
        </w:rPr>
        <w:t xml:space="preserve"> positive labor market dynamics</w:t>
      </w:r>
      <w:r w:rsidRPr="000A3AD5">
        <w:rPr>
          <w:lang w:val="en-US"/>
        </w:rPr>
        <w:t>,</w:t>
      </w:r>
      <w:r w:rsidR="007A077E" w:rsidRPr="000A3AD5">
        <w:rPr>
          <w:lang w:val="en-US"/>
        </w:rPr>
        <w:t xml:space="preserve"> there are other </w:t>
      </w:r>
      <w:r w:rsidR="0003584E" w:rsidRPr="000A3AD5">
        <w:rPr>
          <w:lang w:val="en-US"/>
        </w:rPr>
        <w:t xml:space="preserve">four </w:t>
      </w:r>
      <w:r w:rsidR="007A077E" w:rsidRPr="000A3AD5">
        <w:rPr>
          <w:lang w:val="en-US"/>
        </w:rPr>
        <w:t>regions where</w:t>
      </w:r>
      <w:r w:rsidRPr="000A3AD5">
        <w:rPr>
          <w:lang w:val="en-US"/>
        </w:rPr>
        <w:t xml:space="preserve"> declines in unemployment rates stemmed from</w:t>
      </w:r>
      <w:r w:rsidR="007A077E" w:rsidRPr="000A3AD5">
        <w:rPr>
          <w:lang w:val="en-US"/>
        </w:rPr>
        <w:t xml:space="preserve"> a stronger increase in employment than labor for</w:t>
      </w:r>
      <w:r w:rsidR="00ED59F0" w:rsidRPr="000A3AD5">
        <w:rPr>
          <w:lang w:val="en-US"/>
        </w:rPr>
        <w:t>ce. These regions</w:t>
      </w:r>
      <w:r w:rsidR="007A077E" w:rsidRPr="000A3AD5">
        <w:rPr>
          <w:lang w:val="en-US"/>
        </w:rPr>
        <w:t xml:space="preserve"> are </w:t>
      </w:r>
      <w:proofErr w:type="spellStart"/>
      <w:r w:rsidR="007A077E" w:rsidRPr="000A3AD5">
        <w:rPr>
          <w:lang w:val="en-US"/>
        </w:rPr>
        <w:t>Kastamonu</w:t>
      </w:r>
      <w:proofErr w:type="spellEnd"/>
      <w:r w:rsidR="007A077E" w:rsidRPr="000A3AD5">
        <w:rPr>
          <w:lang w:val="en-US"/>
        </w:rPr>
        <w:t xml:space="preserve"> (TR82)</w:t>
      </w:r>
      <w:r w:rsidR="007A3734" w:rsidRPr="000A3AD5">
        <w:rPr>
          <w:lang w:val="en-US"/>
        </w:rPr>
        <w:t xml:space="preserve"> (-1.</w:t>
      </w:r>
      <w:r w:rsidR="007A077E" w:rsidRPr="000A3AD5">
        <w:rPr>
          <w:lang w:val="en-US"/>
        </w:rPr>
        <w:t>2 p</w:t>
      </w:r>
      <w:r w:rsidR="007A3734" w:rsidRPr="000A3AD5">
        <w:rPr>
          <w:lang w:val="en-US"/>
        </w:rPr>
        <w:t xml:space="preserve">p), </w:t>
      </w:r>
      <w:proofErr w:type="spellStart"/>
      <w:r w:rsidR="007A3734" w:rsidRPr="000A3AD5">
        <w:rPr>
          <w:lang w:val="en-US"/>
        </w:rPr>
        <w:t>Hatay</w:t>
      </w:r>
      <w:proofErr w:type="spellEnd"/>
      <w:r w:rsidR="007A3734" w:rsidRPr="000A3AD5">
        <w:rPr>
          <w:lang w:val="en-US"/>
        </w:rPr>
        <w:t xml:space="preserve"> (TR63) (-1.</w:t>
      </w:r>
      <w:r w:rsidR="007A077E" w:rsidRPr="000A3AD5">
        <w:rPr>
          <w:lang w:val="en-US"/>
        </w:rPr>
        <w:t>1 p</w:t>
      </w:r>
      <w:r w:rsidR="007A3734" w:rsidRPr="000A3AD5">
        <w:rPr>
          <w:lang w:val="en-US"/>
        </w:rPr>
        <w:t>p</w:t>
      </w:r>
      <w:r w:rsidR="00027835" w:rsidRPr="000A3AD5">
        <w:rPr>
          <w:lang w:val="en-US"/>
        </w:rPr>
        <w:t>), İzmir (-0.</w:t>
      </w:r>
      <w:r w:rsidR="007A077E" w:rsidRPr="000A3AD5">
        <w:rPr>
          <w:lang w:val="en-US"/>
        </w:rPr>
        <w:t>9 p</w:t>
      </w:r>
      <w:r w:rsidR="007A3734" w:rsidRPr="000A3AD5">
        <w:rPr>
          <w:lang w:val="en-US"/>
        </w:rPr>
        <w:t>p</w:t>
      </w:r>
      <w:r w:rsidR="007A077E" w:rsidRPr="000A3AD5">
        <w:rPr>
          <w:lang w:val="en-US"/>
        </w:rPr>
        <w:t xml:space="preserve">) </w:t>
      </w:r>
      <w:r w:rsidR="007A3734" w:rsidRPr="000A3AD5">
        <w:rPr>
          <w:lang w:val="en-US"/>
        </w:rPr>
        <w:t>and</w:t>
      </w:r>
      <w:r w:rsidR="00027835" w:rsidRPr="000A3AD5">
        <w:rPr>
          <w:lang w:val="en-US"/>
        </w:rPr>
        <w:t xml:space="preserve"> Trabzon (TR90) (-0.</w:t>
      </w:r>
      <w:r w:rsidR="007A077E" w:rsidRPr="000A3AD5">
        <w:rPr>
          <w:lang w:val="en-US"/>
        </w:rPr>
        <w:t>6 p</w:t>
      </w:r>
      <w:r w:rsidR="007A3734" w:rsidRPr="000A3AD5">
        <w:rPr>
          <w:lang w:val="en-US"/>
        </w:rPr>
        <w:t>p</w:t>
      </w:r>
      <w:r w:rsidR="007A077E" w:rsidRPr="000A3AD5">
        <w:rPr>
          <w:lang w:val="en-US"/>
        </w:rPr>
        <w:t>).</w:t>
      </w:r>
      <w:r w:rsidR="00ED59F0" w:rsidRPr="000A3AD5">
        <w:rPr>
          <w:lang w:val="en-US"/>
        </w:rPr>
        <w:t xml:space="preserve"> Despite this</w:t>
      </w:r>
      <w:r w:rsidR="005D561B" w:rsidRPr="000A3AD5">
        <w:rPr>
          <w:lang w:val="en-US"/>
        </w:rPr>
        <w:t xml:space="preserve">, </w:t>
      </w:r>
      <w:r w:rsidR="00ED59F0" w:rsidRPr="000A3AD5">
        <w:rPr>
          <w:lang w:val="en-US"/>
        </w:rPr>
        <w:t>we should</w:t>
      </w:r>
      <w:r w:rsidR="00F4564A" w:rsidRPr="000A3AD5">
        <w:rPr>
          <w:lang w:val="en-US"/>
        </w:rPr>
        <w:t xml:space="preserve"> underline </w:t>
      </w:r>
      <w:r w:rsidR="00ED59F0" w:rsidRPr="000A3AD5">
        <w:rPr>
          <w:lang w:val="en-US"/>
        </w:rPr>
        <w:t xml:space="preserve">that </w:t>
      </w:r>
      <w:proofErr w:type="spellStart"/>
      <w:r w:rsidR="00ED59F0" w:rsidRPr="000A3AD5">
        <w:rPr>
          <w:lang w:val="en-US"/>
        </w:rPr>
        <w:t>Hatay</w:t>
      </w:r>
      <w:proofErr w:type="spellEnd"/>
      <w:r w:rsidR="00ED59F0" w:rsidRPr="000A3AD5">
        <w:rPr>
          <w:lang w:val="en-US"/>
        </w:rPr>
        <w:t xml:space="preserve"> and İzmir regions still have high unemployment rates</w:t>
      </w:r>
      <w:r w:rsidR="00027835" w:rsidRPr="000A3AD5">
        <w:rPr>
          <w:lang w:val="en-US"/>
        </w:rPr>
        <w:t xml:space="preserve"> (16.9 and 15.2). </w:t>
      </w:r>
      <w:r w:rsidR="00F4564A" w:rsidRPr="000A3AD5">
        <w:rPr>
          <w:lang w:val="en-US"/>
        </w:rPr>
        <w:t>On the other hand</w:t>
      </w:r>
      <w:r w:rsidR="00926723" w:rsidRPr="000A3AD5">
        <w:rPr>
          <w:lang w:val="en-US"/>
        </w:rPr>
        <w:t>,</w:t>
      </w:r>
      <w:r w:rsidR="00027835" w:rsidRPr="000A3AD5">
        <w:rPr>
          <w:lang w:val="en-US"/>
        </w:rPr>
        <w:t xml:space="preserve"> the performance of</w:t>
      </w:r>
      <w:r w:rsidR="00F4564A" w:rsidRPr="000A3AD5">
        <w:rPr>
          <w:lang w:val="en-US"/>
        </w:rPr>
        <w:t xml:space="preserve"> Trabzon</w:t>
      </w:r>
      <w:r w:rsidR="00926723" w:rsidRPr="000A3AD5">
        <w:rPr>
          <w:lang w:val="en-US"/>
        </w:rPr>
        <w:t xml:space="preserve"> region is remarkable since the</w:t>
      </w:r>
      <w:r w:rsidR="00027835" w:rsidRPr="000A3AD5">
        <w:rPr>
          <w:lang w:val="en-US"/>
        </w:rPr>
        <w:t xml:space="preserve"> unemployment rate declined to 7.5 percent, the second lowest </w:t>
      </w:r>
      <w:r w:rsidR="00926723" w:rsidRPr="000A3AD5">
        <w:rPr>
          <w:lang w:val="en-US"/>
        </w:rPr>
        <w:t xml:space="preserve">unemployment </w:t>
      </w:r>
      <w:r w:rsidR="00027835" w:rsidRPr="000A3AD5">
        <w:rPr>
          <w:lang w:val="en-US"/>
        </w:rPr>
        <w:t>rate</w:t>
      </w:r>
      <w:r w:rsidR="00926723" w:rsidRPr="000A3AD5">
        <w:rPr>
          <w:lang w:val="en-US"/>
        </w:rPr>
        <w:t>, and the</w:t>
      </w:r>
      <w:r w:rsidR="00027835" w:rsidRPr="000A3AD5">
        <w:rPr>
          <w:lang w:val="en-US"/>
        </w:rPr>
        <w:t xml:space="preserve"> </w:t>
      </w:r>
      <w:r w:rsidR="00027835" w:rsidRPr="000A3AD5">
        <w:rPr>
          <w:lang w:val="en-US"/>
        </w:rPr>
        <w:lastRenderedPageBreak/>
        <w:t>employment ratio</w:t>
      </w:r>
      <w:r w:rsidR="00926723" w:rsidRPr="000A3AD5">
        <w:rPr>
          <w:lang w:val="en-US"/>
        </w:rPr>
        <w:t xml:space="preserve"> (38.5 percent) is slightly above</w:t>
      </w:r>
      <w:r w:rsidR="00027835" w:rsidRPr="000A3AD5">
        <w:rPr>
          <w:lang w:val="en-US"/>
        </w:rPr>
        <w:t xml:space="preserve"> the </w:t>
      </w:r>
      <w:r w:rsidR="005D561B" w:rsidRPr="000A3AD5">
        <w:rPr>
          <w:lang w:val="en-US"/>
        </w:rPr>
        <w:t xml:space="preserve">national </w:t>
      </w:r>
      <w:r w:rsidR="00027835" w:rsidRPr="000A3AD5">
        <w:rPr>
          <w:lang w:val="en-US"/>
        </w:rPr>
        <w:t xml:space="preserve">average. </w:t>
      </w:r>
      <w:r w:rsidR="00926723" w:rsidRPr="000A3AD5">
        <w:rPr>
          <w:lang w:val="en-US"/>
        </w:rPr>
        <w:t>Therefore</w:t>
      </w:r>
      <w:r w:rsidR="00A75DC9" w:rsidRPr="000A3AD5">
        <w:rPr>
          <w:lang w:val="en-US"/>
        </w:rPr>
        <w:t>, Trabzo</w:t>
      </w:r>
      <w:r w:rsidR="00926723" w:rsidRPr="000A3AD5">
        <w:rPr>
          <w:lang w:val="en-US"/>
        </w:rPr>
        <w:t xml:space="preserve">n region belongs to the </w:t>
      </w:r>
      <w:r w:rsidR="000A3AD5">
        <w:rPr>
          <w:lang w:val="en-US"/>
        </w:rPr>
        <w:t>best ca</w:t>
      </w:r>
      <w:r w:rsidR="005D561B" w:rsidRPr="000A3AD5">
        <w:rPr>
          <w:lang w:val="en-US"/>
        </w:rPr>
        <w:t xml:space="preserve">se </w:t>
      </w:r>
      <w:r w:rsidR="00926723" w:rsidRPr="000A3AD5">
        <w:rPr>
          <w:lang w:val="en-US"/>
        </w:rPr>
        <w:t xml:space="preserve">group </w:t>
      </w:r>
      <w:r w:rsidR="00A75DC9" w:rsidRPr="000A3AD5">
        <w:rPr>
          <w:lang w:val="en-US"/>
        </w:rPr>
        <w:t>(s</w:t>
      </w:r>
      <w:r w:rsidR="00926723" w:rsidRPr="000A3AD5">
        <w:rPr>
          <w:lang w:val="en-US"/>
        </w:rPr>
        <w:t>ee F</w:t>
      </w:r>
      <w:r w:rsidR="00A75DC9" w:rsidRPr="000A3AD5">
        <w:rPr>
          <w:lang w:val="en-US"/>
        </w:rPr>
        <w:t>igure 2).</w:t>
      </w:r>
      <w:r w:rsidR="00027835" w:rsidRPr="000A3AD5">
        <w:rPr>
          <w:lang w:val="en-US"/>
        </w:rPr>
        <w:t xml:space="preserve"> </w:t>
      </w:r>
      <w:r w:rsidR="00A75DC9" w:rsidRPr="000A3AD5">
        <w:rPr>
          <w:lang w:val="en-US"/>
        </w:rPr>
        <w:t xml:space="preserve">In </w:t>
      </w:r>
      <w:proofErr w:type="spellStart"/>
      <w:r w:rsidR="00A75DC9" w:rsidRPr="000A3AD5">
        <w:rPr>
          <w:lang w:val="en-US"/>
        </w:rPr>
        <w:t>Kastamonu</w:t>
      </w:r>
      <w:proofErr w:type="spellEnd"/>
      <w:r w:rsidR="00A75DC9" w:rsidRPr="000A3AD5">
        <w:rPr>
          <w:lang w:val="en-US"/>
        </w:rPr>
        <w:t xml:space="preserve"> region</w:t>
      </w:r>
      <w:r w:rsidR="00926723" w:rsidRPr="000A3AD5">
        <w:rPr>
          <w:lang w:val="en-US"/>
        </w:rPr>
        <w:t xml:space="preserve">, </w:t>
      </w:r>
      <w:r w:rsidR="00A75DC9" w:rsidRPr="000A3AD5">
        <w:rPr>
          <w:lang w:val="en-US"/>
        </w:rPr>
        <w:t>unemployment remains relatively high (10.4 percent) while the employment ratio</w:t>
      </w:r>
      <w:r w:rsidR="00926723" w:rsidRPr="000A3AD5">
        <w:rPr>
          <w:lang w:val="en-US"/>
        </w:rPr>
        <w:t xml:space="preserve"> </w:t>
      </w:r>
      <w:r w:rsidR="00A75DC9" w:rsidRPr="000A3AD5">
        <w:rPr>
          <w:lang w:val="en-US"/>
        </w:rPr>
        <w:t>(37.5 percent</w:t>
      </w:r>
      <w:r w:rsidR="00926723" w:rsidRPr="000A3AD5">
        <w:rPr>
          <w:lang w:val="en-US"/>
        </w:rPr>
        <w:t>) is just below</w:t>
      </w:r>
      <w:r w:rsidR="00A75DC9" w:rsidRPr="000A3AD5">
        <w:rPr>
          <w:lang w:val="en-US"/>
        </w:rPr>
        <w:t xml:space="preserve"> </w:t>
      </w:r>
      <w:r w:rsidR="005D561B" w:rsidRPr="000A3AD5">
        <w:rPr>
          <w:lang w:val="en-US"/>
        </w:rPr>
        <w:t xml:space="preserve">national </w:t>
      </w:r>
      <w:r w:rsidR="00A75DC9" w:rsidRPr="000A3AD5">
        <w:rPr>
          <w:lang w:val="en-US"/>
        </w:rPr>
        <w:t>average.</w:t>
      </w:r>
      <w:bookmarkStart w:id="1" w:name="_Ref381805740"/>
    </w:p>
    <w:bookmarkEnd w:id="1"/>
    <w:p w:rsidR="00B726C8" w:rsidRPr="000A3AD5" w:rsidRDefault="00B726C8" w:rsidP="00B726C8">
      <w:pPr>
        <w:rPr>
          <w:b/>
          <w:lang w:val="en-US"/>
        </w:rPr>
      </w:pPr>
      <w:r w:rsidRPr="000A3AD5">
        <w:rPr>
          <w:b/>
          <w:lang w:val="en-US"/>
        </w:rPr>
        <w:t xml:space="preserve">Figure </w:t>
      </w:r>
      <w:r w:rsidR="00C1706E" w:rsidRPr="000A3AD5">
        <w:rPr>
          <w:b/>
          <w:lang w:val="en-US"/>
        </w:rPr>
        <w:t>4</w:t>
      </w:r>
      <w:r w:rsidRPr="000A3AD5">
        <w:rPr>
          <w:b/>
          <w:lang w:val="en-US"/>
        </w:rPr>
        <w:t>: Regions where non-agr</w:t>
      </w:r>
      <w:r w:rsidR="00C1706E" w:rsidRPr="000A3AD5">
        <w:rPr>
          <w:b/>
          <w:lang w:val="en-US"/>
        </w:rPr>
        <w:t>i</w:t>
      </w:r>
      <w:r w:rsidRPr="000A3AD5">
        <w:rPr>
          <w:b/>
          <w:lang w:val="en-US"/>
        </w:rPr>
        <w:t xml:space="preserve">cultural unemployment </w:t>
      </w:r>
      <w:r w:rsidR="00C1706E" w:rsidRPr="000A3AD5">
        <w:rPr>
          <w:b/>
          <w:lang w:val="en-US"/>
        </w:rPr>
        <w:t>decreased</w:t>
      </w:r>
      <w:r w:rsidR="00566B0C" w:rsidRPr="000A3AD5">
        <w:rPr>
          <w:b/>
          <w:lang w:val="en-US"/>
        </w:rPr>
        <w:t xml:space="preserve"> (in p</w:t>
      </w:r>
      <w:r w:rsidRPr="000A3AD5">
        <w:rPr>
          <w:b/>
          <w:lang w:val="en-US"/>
        </w:rPr>
        <w:t>p, 2015-2016)</w:t>
      </w:r>
    </w:p>
    <w:p w:rsidR="0016353F" w:rsidRPr="000A3AD5" w:rsidRDefault="007D5311" w:rsidP="00566B0C">
      <w:pPr>
        <w:pStyle w:val="Caption"/>
        <w:keepNext/>
        <w:spacing w:line="276" w:lineRule="auto"/>
        <w:rPr>
          <w:b w:val="0"/>
          <w:color w:val="000000" w:themeColor="text1"/>
          <w:sz w:val="16"/>
          <w:szCs w:val="16"/>
          <w:lang w:val="en-US"/>
        </w:rPr>
      </w:pPr>
      <w:r w:rsidRPr="000A3AD5">
        <w:rPr>
          <w:noProof/>
        </w:rPr>
        <w:drawing>
          <wp:inline distT="0" distB="0" distL="0" distR="0" wp14:anchorId="4EC61087" wp14:editId="1F74FC1D">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A3AD5">
        <w:rPr>
          <w:lang w:val="en-US"/>
        </w:rPr>
        <w:br/>
      </w:r>
      <w:r w:rsidR="00E1390B" w:rsidRPr="000A3AD5">
        <w:rPr>
          <w:b w:val="0"/>
          <w:color w:val="000000" w:themeColor="text1"/>
          <w:sz w:val="16"/>
          <w:szCs w:val="16"/>
          <w:lang w:val="en-US"/>
        </w:rPr>
        <w:t xml:space="preserve">Source: TUIK, Betam </w:t>
      </w:r>
      <w:r w:rsidRPr="000A3AD5">
        <w:rPr>
          <w:b w:val="0"/>
          <w:color w:val="000000" w:themeColor="text1"/>
          <w:sz w:val="16"/>
          <w:szCs w:val="16"/>
          <w:lang w:val="en-US"/>
        </w:rPr>
        <w:t>TRA</w:t>
      </w:r>
      <w:proofErr w:type="gramStart"/>
      <w:r w:rsidRPr="000A3AD5">
        <w:rPr>
          <w:b w:val="0"/>
          <w:color w:val="000000" w:themeColor="text1"/>
          <w:sz w:val="16"/>
          <w:szCs w:val="16"/>
          <w:lang w:val="en-US"/>
        </w:rPr>
        <w:t>1:Erzurum</w:t>
      </w:r>
      <w:proofErr w:type="gramEnd"/>
      <w:r w:rsidRPr="000A3AD5">
        <w:rPr>
          <w:b w:val="0"/>
          <w:color w:val="000000" w:themeColor="text1"/>
          <w:sz w:val="16"/>
          <w:szCs w:val="16"/>
          <w:lang w:val="en-US"/>
        </w:rPr>
        <w:t xml:space="preserve">, Erzincan, </w:t>
      </w:r>
      <w:proofErr w:type="spellStart"/>
      <w:r w:rsidRPr="000A3AD5">
        <w:rPr>
          <w:b w:val="0"/>
          <w:color w:val="000000" w:themeColor="text1"/>
          <w:sz w:val="16"/>
          <w:szCs w:val="16"/>
          <w:lang w:val="en-US"/>
        </w:rPr>
        <w:t>Bayburt</w:t>
      </w:r>
      <w:proofErr w:type="spellEnd"/>
      <w:r w:rsidRPr="000A3AD5">
        <w:rPr>
          <w:b w:val="0"/>
          <w:color w:val="000000" w:themeColor="text1"/>
          <w:sz w:val="16"/>
          <w:szCs w:val="16"/>
          <w:lang w:val="en-US"/>
        </w:rPr>
        <w:t xml:space="preserve"> TR72: Kayseri, Sivas, </w:t>
      </w:r>
      <w:proofErr w:type="spellStart"/>
      <w:r w:rsidRPr="000A3AD5">
        <w:rPr>
          <w:b w:val="0"/>
          <w:color w:val="000000" w:themeColor="text1"/>
          <w:sz w:val="16"/>
          <w:szCs w:val="16"/>
          <w:lang w:val="en-US"/>
        </w:rPr>
        <w:t>Yozgat</w:t>
      </w:r>
      <w:proofErr w:type="spellEnd"/>
      <w:r w:rsidRPr="000A3AD5">
        <w:rPr>
          <w:b w:val="0"/>
          <w:color w:val="000000" w:themeColor="text1"/>
          <w:sz w:val="16"/>
          <w:szCs w:val="16"/>
          <w:lang w:val="en-US"/>
        </w:rPr>
        <w:t xml:space="preserve">, TRB2:Van, </w:t>
      </w:r>
      <w:proofErr w:type="spellStart"/>
      <w:r w:rsidRPr="000A3AD5">
        <w:rPr>
          <w:b w:val="0"/>
          <w:color w:val="000000" w:themeColor="text1"/>
          <w:sz w:val="16"/>
          <w:szCs w:val="16"/>
          <w:lang w:val="en-US"/>
        </w:rPr>
        <w:t>Muş</w:t>
      </w:r>
      <w:proofErr w:type="spellEnd"/>
      <w:r w:rsidRPr="000A3AD5">
        <w:rPr>
          <w:b w:val="0"/>
          <w:color w:val="000000" w:themeColor="text1"/>
          <w:sz w:val="16"/>
          <w:szCs w:val="16"/>
          <w:lang w:val="en-US"/>
        </w:rPr>
        <w:t xml:space="preserve">, </w:t>
      </w:r>
      <w:proofErr w:type="spellStart"/>
      <w:r w:rsidRPr="000A3AD5">
        <w:rPr>
          <w:b w:val="0"/>
          <w:color w:val="000000" w:themeColor="text1"/>
          <w:sz w:val="16"/>
          <w:szCs w:val="16"/>
          <w:lang w:val="en-US"/>
        </w:rPr>
        <w:t>Bitlis</w:t>
      </w:r>
      <w:proofErr w:type="spellEnd"/>
      <w:r w:rsidRPr="000A3AD5">
        <w:rPr>
          <w:b w:val="0"/>
          <w:color w:val="000000" w:themeColor="text1"/>
          <w:sz w:val="16"/>
          <w:szCs w:val="16"/>
          <w:lang w:val="en-US"/>
        </w:rPr>
        <w:t xml:space="preserve">, </w:t>
      </w:r>
      <w:proofErr w:type="spellStart"/>
      <w:r w:rsidRPr="000A3AD5">
        <w:rPr>
          <w:b w:val="0"/>
          <w:color w:val="000000" w:themeColor="text1"/>
          <w:sz w:val="16"/>
          <w:szCs w:val="16"/>
          <w:lang w:val="en-US"/>
        </w:rPr>
        <w:t>Hakkari</w:t>
      </w:r>
      <w:proofErr w:type="spellEnd"/>
      <w:r w:rsidRPr="000A3AD5">
        <w:rPr>
          <w:b w:val="0"/>
          <w:color w:val="000000" w:themeColor="text1"/>
          <w:sz w:val="16"/>
          <w:szCs w:val="16"/>
          <w:lang w:val="en-US"/>
        </w:rPr>
        <w:t xml:space="preserve">, TR82:Kastamonu, </w:t>
      </w:r>
      <w:proofErr w:type="spellStart"/>
      <w:r w:rsidRPr="000A3AD5">
        <w:rPr>
          <w:b w:val="0"/>
          <w:color w:val="000000" w:themeColor="text1"/>
          <w:sz w:val="16"/>
          <w:szCs w:val="16"/>
          <w:lang w:val="en-US"/>
        </w:rPr>
        <w:t>Çankırı</w:t>
      </w:r>
      <w:proofErr w:type="spellEnd"/>
      <w:r w:rsidRPr="000A3AD5">
        <w:rPr>
          <w:b w:val="0"/>
          <w:color w:val="000000" w:themeColor="text1"/>
          <w:sz w:val="16"/>
          <w:szCs w:val="16"/>
          <w:lang w:val="en-US"/>
        </w:rPr>
        <w:t xml:space="preserve">, </w:t>
      </w:r>
      <w:proofErr w:type="spellStart"/>
      <w:r w:rsidRPr="000A3AD5">
        <w:rPr>
          <w:b w:val="0"/>
          <w:color w:val="000000" w:themeColor="text1"/>
          <w:sz w:val="16"/>
          <w:szCs w:val="16"/>
          <w:lang w:val="en-US"/>
        </w:rPr>
        <w:t>Sinop</w:t>
      </w:r>
      <w:proofErr w:type="spellEnd"/>
      <w:r w:rsidRPr="000A3AD5">
        <w:rPr>
          <w:b w:val="0"/>
          <w:color w:val="000000" w:themeColor="text1"/>
          <w:sz w:val="16"/>
          <w:szCs w:val="16"/>
          <w:lang w:val="en-US"/>
        </w:rPr>
        <w:t xml:space="preserve">,  TR63:Hatay, </w:t>
      </w:r>
      <w:proofErr w:type="spellStart"/>
      <w:r w:rsidRPr="000A3AD5">
        <w:rPr>
          <w:b w:val="0"/>
          <w:color w:val="000000" w:themeColor="text1"/>
          <w:sz w:val="16"/>
          <w:szCs w:val="16"/>
          <w:lang w:val="en-US"/>
        </w:rPr>
        <w:t>Kahramanmaraş</w:t>
      </w:r>
      <w:proofErr w:type="spellEnd"/>
      <w:r w:rsidRPr="000A3AD5">
        <w:rPr>
          <w:b w:val="0"/>
          <w:color w:val="000000" w:themeColor="text1"/>
          <w:sz w:val="16"/>
          <w:szCs w:val="16"/>
          <w:lang w:val="en-US"/>
        </w:rPr>
        <w:t xml:space="preserve">, </w:t>
      </w:r>
      <w:proofErr w:type="spellStart"/>
      <w:r w:rsidRPr="000A3AD5">
        <w:rPr>
          <w:b w:val="0"/>
          <w:color w:val="000000" w:themeColor="text1"/>
          <w:sz w:val="16"/>
          <w:szCs w:val="16"/>
          <w:lang w:val="en-US"/>
        </w:rPr>
        <w:t>Osmaniye</w:t>
      </w:r>
      <w:proofErr w:type="spellEnd"/>
      <w:r w:rsidRPr="000A3AD5">
        <w:rPr>
          <w:b w:val="0"/>
          <w:color w:val="000000" w:themeColor="text1"/>
          <w:sz w:val="16"/>
          <w:szCs w:val="16"/>
          <w:lang w:val="en-US"/>
        </w:rPr>
        <w:t xml:space="preserve">, TR31: İzmir, TR90:Trabzon, </w:t>
      </w:r>
      <w:proofErr w:type="spellStart"/>
      <w:r w:rsidRPr="000A3AD5">
        <w:rPr>
          <w:b w:val="0"/>
          <w:color w:val="000000" w:themeColor="text1"/>
          <w:sz w:val="16"/>
          <w:szCs w:val="16"/>
          <w:lang w:val="en-US"/>
        </w:rPr>
        <w:t>Ordu</w:t>
      </w:r>
      <w:proofErr w:type="spellEnd"/>
      <w:r w:rsidRPr="000A3AD5">
        <w:rPr>
          <w:b w:val="0"/>
          <w:color w:val="000000" w:themeColor="text1"/>
          <w:sz w:val="16"/>
          <w:szCs w:val="16"/>
          <w:lang w:val="en-US"/>
        </w:rPr>
        <w:t xml:space="preserve">, </w:t>
      </w:r>
      <w:proofErr w:type="spellStart"/>
      <w:r w:rsidRPr="000A3AD5">
        <w:rPr>
          <w:b w:val="0"/>
          <w:color w:val="000000" w:themeColor="text1"/>
          <w:sz w:val="16"/>
          <w:szCs w:val="16"/>
          <w:lang w:val="en-US"/>
        </w:rPr>
        <w:t>Giresun</w:t>
      </w:r>
      <w:proofErr w:type="spellEnd"/>
      <w:r w:rsidRPr="000A3AD5">
        <w:rPr>
          <w:b w:val="0"/>
          <w:color w:val="000000" w:themeColor="text1"/>
          <w:sz w:val="16"/>
          <w:szCs w:val="16"/>
          <w:lang w:val="en-US"/>
        </w:rPr>
        <w:t xml:space="preserve">, TR52: Konya, </w:t>
      </w:r>
      <w:proofErr w:type="spellStart"/>
      <w:r w:rsidRPr="000A3AD5">
        <w:rPr>
          <w:b w:val="0"/>
          <w:color w:val="000000" w:themeColor="text1"/>
          <w:sz w:val="16"/>
          <w:szCs w:val="16"/>
          <w:lang w:val="en-US"/>
        </w:rPr>
        <w:t>Karaman</w:t>
      </w:r>
      <w:proofErr w:type="spellEnd"/>
      <w:r w:rsidRPr="000A3AD5">
        <w:rPr>
          <w:b w:val="0"/>
          <w:color w:val="000000" w:themeColor="text1"/>
          <w:sz w:val="16"/>
          <w:szCs w:val="16"/>
          <w:lang w:val="en-US"/>
        </w:rPr>
        <w:t xml:space="preserve">, TR32: Aydın, </w:t>
      </w:r>
      <w:proofErr w:type="spellStart"/>
      <w:r w:rsidRPr="000A3AD5">
        <w:rPr>
          <w:b w:val="0"/>
          <w:color w:val="000000" w:themeColor="text1"/>
          <w:sz w:val="16"/>
          <w:szCs w:val="16"/>
          <w:lang w:val="en-US"/>
        </w:rPr>
        <w:t>Denizli</w:t>
      </w:r>
      <w:proofErr w:type="spellEnd"/>
      <w:r w:rsidRPr="000A3AD5">
        <w:rPr>
          <w:b w:val="0"/>
          <w:color w:val="000000" w:themeColor="text1"/>
          <w:sz w:val="16"/>
          <w:szCs w:val="16"/>
          <w:lang w:val="en-US"/>
        </w:rPr>
        <w:t xml:space="preserve">, </w:t>
      </w:r>
      <w:proofErr w:type="spellStart"/>
      <w:r w:rsidRPr="000A3AD5">
        <w:rPr>
          <w:b w:val="0"/>
          <w:color w:val="000000" w:themeColor="text1"/>
          <w:sz w:val="16"/>
          <w:szCs w:val="16"/>
          <w:lang w:val="en-US"/>
        </w:rPr>
        <w:t>Muğla</w:t>
      </w:r>
      <w:proofErr w:type="spellEnd"/>
      <w:r w:rsidRPr="000A3AD5">
        <w:rPr>
          <w:b w:val="0"/>
          <w:color w:val="000000" w:themeColor="text1"/>
          <w:sz w:val="16"/>
          <w:szCs w:val="16"/>
          <w:lang w:val="en-US"/>
        </w:rPr>
        <w:t>.</w:t>
      </w:r>
      <w:bookmarkStart w:id="2" w:name="_Ref381805757"/>
      <w:r w:rsidR="00C1706E" w:rsidRPr="000A3AD5">
        <w:rPr>
          <w:b w:val="0"/>
          <w:color w:val="000000" w:themeColor="text1"/>
          <w:sz w:val="16"/>
          <w:szCs w:val="16"/>
          <w:lang w:val="en-US"/>
        </w:rPr>
        <w:t xml:space="preserve"> </w:t>
      </w:r>
      <w:r w:rsidR="00566B0C" w:rsidRPr="000A3AD5">
        <w:rPr>
          <w:b w:val="0"/>
          <w:color w:val="000000" w:themeColor="text1"/>
          <w:sz w:val="16"/>
          <w:szCs w:val="16"/>
          <w:lang w:val="en-US"/>
        </w:rPr>
        <w:br/>
        <w:t>Note:</w:t>
      </w:r>
      <m:oMath>
        <m:r>
          <m:rPr>
            <m:sty m:val="b"/>
          </m:rPr>
          <w:rPr>
            <w:rFonts w:ascii="Cambria Math" w:hAnsi="Cambria Math"/>
            <w:color w:val="000000" w:themeColor="text1"/>
            <w:sz w:val="16"/>
            <w:szCs w:val="16"/>
            <w:lang w:val="en-US"/>
          </w:rPr>
          <m:t xml:space="preserve"> </m:t>
        </m:r>
        <m:sSub>
          <m:sSubPr>
            <m:ctrlPr>
              <w:rPr>
                <w:rFonts w:ascii="Cambria Math" w:hAnsi="Cambria Math"/>
                <w:b w:val="0"/>
                <w:color w:val="000000" w:themeColor="text1"/>
                <w:sz w:val="16"/>
                <w:szCs w:val="16"/>
                <w:lang w:val="en-US"/>
              </w:rPr>
            </m:ctrlPr>
          </m:sSubPr>
          <m:e>
            <m:r>
              <m:rPr>
                <m:sty m:val="bi"/>
              </m:rPr>
              <w:rPr>
                <w:rFonts w:ascii="Cambria Math" w:hAnsi="Cambria Math"/>
                <w:color w:val="000000" w:themeColor="text1"/>
                <w:sz w:val="16"/>
                <w:szCs w:val="16"/>
                <w:lang w:val="en-US"/>
              </w:rPr>
              <m:t>u</m:t>
            </m:r>
          </m:e>
          <m:sub>
            <m:r>
              <m:rPr>
                <m:sty m:val="bi"/>
              </m:rPr>
              <w:rPr>
                <w:rFonts w:ascii="Cambria Math" w:hAnsi="Cambria Math"/>
                <w:color w:val="000000" w:themeColor="text1"/>
                <w:sz w:val="16"/>
                <w:szCs w:val="16"/>
                <w:lang w:val="en-US"/>
              </w:rPr>
              <m:t>na</m:t>
            </m:r>
          </m:sub>
        </m:sSub>
      </m:oMath>
      <w:r w:rsidR="00566B0C" w:rsidRPr="000A3AD5">
        <w:rPr>
          <w:b w:val="0"/>
          <w:color w:val="000000" w:themeColor="text1"/>
          <w:sz w:val="16"/>
          <w:szCs w:val="16"/>
          <w:lang w:val="en-US"/>
        </w:rPr>
        <w:t>: Non-agricultural unemployment rate</w:t>
      </w:r>
    </w:p>
    <w:bookmarkEnd w:id="2"/>
    <w:p w:rsidR="007D5311" w:rsidRPr="000A3AD5" w:rsidRDefault="00774248" w:rsidP="0054644B">
      <w:pPr>
        <w:pStyle w:val="Caption"/>
        <w:keepNext/>
        <w:spacing w:line="276" w:lineRule="auto"/>
        <w:rPr>
          <w:color w:val="auto"/>
          <w:sz w:val="22"/>
          <w:szCs w:val="22"/>
          <w:lang w:val="en-US"/>
        </w:rPr>
      </w:pPr>
      <w:r w:rsidRPr="000A3AD5">
        <w:rPr>
          <w:color w:val="auto"/>
          <w:sz w:val="22"/>
          <w:szCs w:val="22"/>
          <w:lang w:val="en-US"/>
        </w:rPr>
        <w:t xml:space="preserve">Table 2: </w:t>
      </w:r>
      <w:r w:rsidR="00566B0C" w:rsidRPr="000A3AD5">
        <w:rPr>
          <w:color w:val="auto"/>
          <w:sz w:val="22"/>
          <w:szCs w:val="22"/>
          <w:lang w:val="en-US"/>
        </w:rPr>
        <w:t>Change in n</w:t>
      </w:r>
      <w:r w:rsidRPr="000A3AD5">
        <w:rPr>
          <w:color w:val="auto"/>
          <w:sz w:val="22"/>
          <w:szCs w:val="22"/>
          <w:lang w:val="en-US"/>
        </w:rPr>
        <w:t xml:space="preserve">on-agricultural labor </w:t>
      </w:r>
      <w:r w:rsidR="00566B0C" w:rsidRPr="000A3AD5">
        <w:rPr>
          <w:color w:val="auto"/>
          <w:sz w:val="22"/>
          <w:szCs w:val="22"/>
          <w:lang w:val="en-US"/>
        </w:rPr>
        <w:t xml:space="preserve">force and employment </w:t>
      </w:r>
      <w:r w:rsidRPr="000A3AD5">
        <w:rPr>
          <w:color w:val="auto"/>
          <w:sz w:val="22"/>
          <w:szCs w:val="22"/>
          <w:lang w:val="en-US"/>
        </w:rPr>
        <w:t>in</w:t>
      </w:r>
      <w:r w:rsidR="00566B0C" w:rsidRPr="000A3AD5">
        <w:rPr>
          <w:color w:val="auto"/>
          <w:sz w:val="22"/>
          <w:szCs w:val="22"/>
          <w:lang w:val="en-US"/>
        </w:rPr>
        <w:t xml:space="preserve"> the</w:t>
      </w:r>
      <w:r w:rsidRPr="000A3AD5">
        <w:rPr>
          <w:color w:val="auto"/>
          <w:sz w:val="22"/>
          <w:szCs w:val="22"/>
          <w:lang w:val="en-US"/>
        </w:rPr>
        <w:t xml:space="preserve"> regions where non-agricultura</w:t>
      </w:r>
      <w:r w:rsidR="00E1390B" w:rsidRPr="000A3AD5">
        <w:rPr>
          <w:color w:val="auto"/>
          <w:sz w:val="22"/>
          <w:szCs w:val="22"/>
          <w:lang w:val="en-US"/>
        </w:rPr>
        <w:t>l unemployment is decreased (thousand</w:t>
      </w:r>
      <w:r w:rsidRPr="000A3AD5">
        <w:rPr>
          <w:color w:val="auto"/>
          <w:sz w:val="22"/>
          <w:szCs w:val="22"/>
          <w:lang w:val="en-US"/>
        </w:rPr>
        <w:t>, 2015-2016)</w:t>
      </w:r>
      <w:r w:rsidR="00566B0C" w:rsidRPr="000A3AD5">
        <w:rPr>
          <w:color w:val="auto"/>
          <w:sz w:val="22"/>
          <w:szCs w:val="22"/>
          <w:lang w:val="en-US"/>
        </w:rPr>
        <w:t xml:space="preserve"> </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960"/>
        <w:gridCol w:w="1280"/>
        <w:gridCol w:w="1280"/>
      </w:tblGrid>
      <w:tr w:rsidR="00914EF1" w:rsidRPr="000A3AD5" w:rsidTr="00914EF1">
        <w:trPr>
          <w:trHeight w:val="300"/>
        </w:trPr>
        <w:tc>
          <w:tcPr>
            <w:tcW w:w="5400" w:type="dxa"/>
            <w:shd w:val="clear" w:color="auto" w:fill="auto"/>
            <w:noWrap/>
            <w:vAlign w:val="bottom"/>
            <w:hideMark/>
          </w:tcPr>
          <w:p w:rsidR="00914EF1" w:rsidRPr="000A3AD5" w:rsidRDefault="00E1390B" w:rsidP="0054644B">
            <w:pPr>
              <w:spacing w:after="0"/>
              <w:rPr>
                <w:rFonts w:ascii="Times New Roman" w:eastAsia="Times New Roman" w:hAnsi="Times New Roman" w:cs="Times New Roman"/>
                <w:b/>
                <w:sz w:val="24"/>
                <w:szCs w:val="24"/>
                <w:lang w:val="en-US"/>
              </w:rPr>
            </w:pPr>
            <w:r w:rsidRPr="000A3AD5">
              <w:rPr>
                <w:rFonts w:ascii="Calibri" w:eastAsia="Times New Roman" w:hAnsi="Calibri" w:cs="Times New Roman"/>
                <w:b/>
                <w:color w:val="000000"/>
                <w:lang w:val="en-US"/>
              </w:rPr>
              <w:t>Regions</w:t>
            </w:r>
          </w:p>
        </w:tc>
        <w:tc>
          <w:tcPr>
            <w:tcW w:w="960" w:type="dxa"/>
            <w:shd w:val="clear" w:color="auto" w:fill="auto"/>
            <w:noWrap/>
            <w:vAlign w:val="bottom"/>
            <w:hideMark/>
          </w:tcPr>
          <w:p w:rsidR="00914EF1" w:rsidRPr="000A3AD5" w:rsidRDefault="00566B0C" w:rsidP="0054644B">
            <w:pPr>
              <w:spacing w:after="0"/>
              <w:jc w:val="center"/>
              <w:rPr>
                <w:rFonts w:ascii="Calibri" w:eastAsia="Times New Roman" w:hAnsi="Calibri" w:cs="Times New Roman"/>
                <w:b/>
                <w:color w:val="000000"/>
                <w:lang w:val="en-US"/>
              </w:rPr>
            </w:pPr>
            <w:r w:rsidRPr="000A3AD5">
              <w:rPr>
                <w:rFonts w:ascii="Calibri" w:eastAsia="Times New Roman" w:hAnsi="Calibri" w:cs="Times New Roman"/>
                <w:b/>
                <w:color w:val="000000"/>
                <w:lang w:val="en-US"/>
              </w:rPr>
              <w:t xml:space="preserve">Δ </w:t>
            </w:r>
            <w:proofErr w:type="spellStart"/>
            <w:r w:rsidRPr="000A3AD5">
              <w:rPr>
                <w:rFonts w:ascii="Calibri" w:eastAsia="Times New Roman" w:hAnsi="Calibri" w:cs="Times New Roman"/>
                <w:b/>
                <w:color w:val="000000"/>
                <w:lang w:val="en-US"/>
              </w:rPr>
              <w:t>LF</w:t>
            </w:r>
            <w:r w:rsidRPr="000A3AD5">
              <w:rPr>
                <w:rFonts w:ascii="Calibri" w:eastAsia="Times New Roman" w:hAnsi="Calibri" w:cs="Times New Roman"/>
                <w:b/>
                <w:color w:val="000000"/>
                <w:sz w:val="18"/>
                <w:szCs w:val="18"/>
                <w:lang w:val="en-US"/>
              </w:rPr>
              <w:t>na</w:t>
            </w:r>
            <w:proofErr w:type="spellEnd"/>
          </w:p>
        </w:tc>
        <w:tc>
          <w:tcPr>
            <w:tcW w:w="1280" w:type="dxa"/>
            <w:shd w:val="clear" w:color="auto" w:fill="auto"/>
            <w:noWrap/>
            <w:vAlign w:val="bottom"/>
            <w:hideMark/>
          </w:tcPr>
          <w:p w:rsidR="00914EF1" w:rsidRPr="000A3AD5" w:rsidRDefault="00914EF1" w:rsidP="00566B0C">
            <w:pPr>
              <w:spacing w:after="0"/>
              <w:jc w:val="center"/>
              <w:rPr>
                <w:rFonts w:ascii="Calibri" w:eastAsia="Times New Roman" w:hAnsi="Calibri" w:cs="Times New Roman"/>
                <w:b/>
                <w:color w:val="000000"/>
                <w:lang w:val="en-US"/>
              </w:rPr>
            </w:pPr>
            <w:r w:rsidRPr="000A3AD5">
              <w:rPr>
                <w:rFonts w:ascii="Calibri" w:eastAsia="Times New Roman" w:hAnsi="Calibri" w:cs="Times New Roman"/>
                <w:b/>
                <w:color w:val="000000"/>
                <w:lang w:val="en-US"/>
              </w:rPr>
              <w:t xml:space="preserve">Δ </w:t>
            </w:r>
            <w:proofErr w:type="spellStart"/>
            <w:r w:rsidRPr="000A3AD5">
              <w:rPr>
                <w:rFonts w:ascii="Calibri" w:eastAsia="Times New Roman" w:hAnsi="Calibri" w:cs="Times New Roman"/>
                <w:b/>
                <w:color w:val="000000"/>
                <w:lang w:val="en-US"/>
              </w:rPr>
              <w:t>E</w:t>
            </w:r>
            <w:r w:rsidR="00566B0C" w:rsidRPr="000A3AD5">
              <w:rPr>
                <w:rFonts w:ascii="Calibri" w:eastAsia="Times New Roman" w:hAnsi="Calibri" w:cs="Times New Roman"/>
                <w:b/>
                <w:color w:val="000000"/>
                <w:sz w:val="18"/>
                <w:szCs w:val="18"/>
                <w:lang w:val="en-US"/>
              </w:rPr>
              <w:t>na</w:t>
            </w:r>
            <w:proofErr w:type="spellEnd"/>
          </w:p>
        </w:tc>
        <w:tc>
          <w:tcPr>
            <w:tcW w:w="1280" w:type="dxa"/>
          </w:tcPr>
          <w:p w:rsidR="00914EF1" w:rsidRPr="000A3AD5" w:rsidRDefault="00914EF1" w:rsidP="00566B0C">
            <w:pPr>
              <w:spacing w:after="0"/>
              <w:jc w:val="center"/>
              <w:rPr>
                <w:rFonts w:ascii="Calibri" w:eastAsia="Times New Roman" w:hAnsi="Calibri" w:cs="Times New Roman"/>
                <w:b/>
                <w:color w:val="000000"/>
                <w:lang w:val="en-US"/>
              </w:rPr>
            </w:pPr>
            <w:r w:rsidRPr="000A3AD5">
              <w:rPr>
                <w:rFonts w:ascii="Calibri" w:hAnsi="Calibri"/>
                <w:b/>
                <w:noProof/>
                <w:color w:val="000000"/>
                <w:lang w:val="en-US"/>
              </w:rPr>
              <w:t>Δ u</w:t>
            </w:r>
            <w:r w:rsidR="00566B0C" w:rsidRPr="000A3AD5">
              <w:rPr>
                <w:rFonts w:ascii="Calibri" w:hAnsi="Calibri"/>
                <w:b/>
                <w:noProof/>
                <w:color w:val="000000"/>
                <w:sz w:val="18"/>
                <w:szCs w:val="18"/>
                <w:lang w:val="en-US"/>
              </w:rPr>
              <w:t>na</w:t>
            </w:r>
          </w:p>
        </w:tc>
      </w:tr>
      <w:tr w:rsidR="00914EF1" w:rsidRPr="000A3AD5" w:rsidTr="00914EF1">
        <w:trPr>
          <w:trHeight w:val="300"/>
        </w:trPr>
        <w:tc>
          <w:tcPr>
            <w:tcW w:w="5400"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 xml:space="preserve">TRA1 (Erzurum, Erzincan, </w:t>
            </w:r>
            <w:proofErr w:type="spellStart"/>
            <w:r w:rsidRPr="000A3AD5">
              <w:rPr>
                <w:rFonts w:ascii="Calibri" w:eastAsia="Times New Roman" w:hAnsi="Calibri" w:cs="Times New Roman"/>
                <w:color w:val="000000"/>
                <w:lang w:val="en-US"/>
              </w:rPr>
              <w:t>Bayburt</w:t>
            </w:r>
            <w:proofErr w:type="spellEnd"/>
            <w:r w:rsidRPr="000A3AD5">
              <w:rPr>
                <w:rFonts w:ascii="Calibri" w:eastAsia="Times New Roman" w:hAnsi="Calibri" w:cs="Times New Roman"/>
                <w:color w:val="000000"/>
                <w:lang w:val="en-US"/>
              </w:rPr>
              <w:t>)</w:t>
            </w:r>
          </w:p>
        </w:tc>
        <w:tc>
          <w:tcPr>
            <w:tcW w:w="96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15</w:t>
            </w:r>
          </w:p>
        </w:tc>
        <w:tc>
          <w:tcPr>
            <w:tcW w:w="128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19</w:t>
            </w:r>
          </w:p>
        </w:tc>
        <w:tc>
          <w:tcPr>
            <w:tcW w:w="1280"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-2,6</w:t>
            </w:r>
          </w:p>
        </w:tc>
      </w:tr>
      <w:tr w:rsidR="00914EF1" w:rsidRPr="000A3AD5" w:rsidTr="00914EF1">
        <w:trPr>
          <w:trHeight w:val="300"/>
        </w:trPr>
        <w:tc>
          <w:tcPr>
            <w:tcW w:w="5400"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 xml:space="preserve">TR72 (Kayseri, Sivas, </w:t>
            </w:r>
            <w:proofErr w:type="spellStart"/>
            <w:r w:rsidRPr="000A3AD5">
              <w:rPr>
                <w:rFonts w:ascii="Calibri" w:eastAsia="Times New Roman" w:hAnsi="Calibri" w:cs="Times New Roman"/>
                <w:color w:val="000000"/>
                <w:lang w:val="en-US"/>
              </w:rPr>
              <w:t>Yozgat</w:t>
            </w:r>
            <w:proofErr w:type="spellEnd"/>
            <w:r w:rsidRPr="000A3AD5">
              <w:rPr>
                <w:rFonts w:ascii="Calibri" w:eastAsia="Times New Roman" w:hAnsi="Calibri" w:cs="Times New Roman"/>
                <w:color w:val="000000"/>
                <w:lang w:val="en-US"/>
              </w:rPr>
              <w:t>)</w:t>
            </w:r>
          </w:p>
        </w:tc>
        <w:tc>
          <w:tcPr>
            <w:tcW w:w="96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12</w:t>
            </w:r>
          </w:p>
        </w:tc>
        <w:tc>
          <w:tcPr>
            <w:tcW w:w="128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23</w:t>
            </w:r>
          </w:p>
        </w:tc>
        <w:tc>
          <w:tcPr>
            <w:tcW w:w="1280"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-2,0</w:t>
            </w:r>
          </w:p>
        </w:tc>
      </w:tr>
      <w:tr w:rsidR="00914EF1" w:rsidRPr="000A3AD5" w:rsidTr="00914EF1">
        <w:trPr>
          <w:trHeight w:val="300"/>
        </w:trPr>
        <w:tc>
          <w:tcPr>
            <w:tcW w:w="5400"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 xml:space="preserve">TRB2 (Van, </w:t>
            </w:r>
            <w:proofErr w:type="spellStart"/>
            <w:r w:rsidRPr="000A3AD5">
              <w:rPr>
                <w:rFonts w:ascii="Calibri" w:eastAsia="Times New Roman" w:hAnsi="Calibri" w:cs="Times New Roman"/>
                <w:color w:val="000000"/>
                <w:lang w:val="en-US"/>
              </w:rPr>
              <w:t>Muş</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Bitlis</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Hakkari</w:t>
            </w:r>
            <w:proofErr w:type="spellEnd"/>
            <w:r w:rsidRPr="000A3AD5">
              <w:rPr>
                <w:rFonts w:ascii="Calibri" w:eastAsia="Times New Roman" w:hAnsi="Calibri" w:cs="Times New Roman"/>
                <w:color w:val="000000"/>
                <w:lang w:val="en-US"/>
              </w:rPr>
              <w:t>)</w:t>
            </w:r>
          </w:p>
        </w:tc>
        <w:tc>
          <w:tcPr>
            <w:tcW w:w="96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-5</w:t>
            </w:r>
          </w:p>
        </w:tc>
        <w:tc>
          <w:tcPr>
            <w:tcW w:w="1280" w:type="dxa"/>
            <w:shd w:val="clear" w:color="auto" w:fill="auto"/>
            <w:noWrap/>
            <w:vAlign w:val="bottom"/>
            <w:hideMark/>
          </w:tcPr>
          <w:p w:rsidR="00914EF1" w:rsidRPr="000A3AD5" w:rsidRDefault="00136844"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themeColor="text1"/>
                <w:lang w:val="en-US"/>
              </w:rPr>
              <w:t>1</w:t>
            </w:r>
          </w:p>
        </w:tc>
        <w:tc>
          <w:tcPr>
            <w:tcW w:w="1280" w:type="dxa"/>
          </w:tcPr>
          <w:p w:rsidR="00914EF1" w:rsidRPr="000A3AD5" w:rsidRDefault="00914EF1" w:rsidP="00914EF1">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-1,8</w:t>
            </w:r>
          </w:p>
        </w:tc>
      </w:tr>
      <w:tr w:rsidR="00914EF1" w:rsidRPr="000A3AD5" w:rsidTr="00914EF1">
        <w:trPr>
          <w:trHeight w:val="300"/>
        </w:trPr>
        <w:tc>
          <w:tcPr>
            <w:tcW w:w="5400"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TR82 (</w:t>
            </w:r>
            <w:proofErr w:type="spellStart"/>
            <w:r w:rsidRPr="000A3AD5">
              <w:rPr>
                <w:rFonts w:ascii="Calibri" w:eastAsia="Times New Roman" w:hAnsi="Calibri" w:cs="Times New Roman"/>
                <w:color w:val="000000"/>
                <w:lang w:val="en-US"/>
              </w:rPr>
              <w:t>Kastamonu</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Çankırı</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Sinop</w:t>
            </w:r>
            <w:proofErr w:type="spellEnd"/>
            <w:r w:rsidRPr="000A3AD5">
              <w:rPr>
                <w:rFonts w:ascii="Calibri" w:eastAsia="Times New Roman" w:hAnsi="Calibri" w:cs="Times New Roman"/>
                <w:color w:val="000000"/>
                <w:lang w:val="en-US"/>
              </w:rPr>
              <w:t>)</w:t>
            </w:r>
          </w:p>
        </w:tc>
        <w:tc>
          <w:tcPr>
            <w:tcW w:w="96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7</w:t>
            </w:r>
          </w:p>
        </w:tc>
        <w:tc>
          <w:tcPr>
            <w:tcW w:w="128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8</w:t>
            </w:r>
          </w:p>
        </w:tc>
        <w:tc>
          <w:tcPr>
            <w:tcW w:w="1280" w:type="dxa"/>
          </w:tcPr>
          <w:p w:rsidR="00914EF1" w:rsidRPr="000A3AD5" w:rsidRDefault="00914EF1" w:rsidP="00914EF1">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-1,2</w:t>
            </w:r>
          </w:p>
        </w:tc>
      </w:tr>
      <w:tr w:rsidR="00914EF1" w:rsidRPr="000A3AD5" w:rsidTr="00914EF1">
        <w:trPr>
          <w:trHeight w:val="300"/>
        </w:trPr>
        <w:tc>
          <w:tcPr>
            <w:tcW w:w="5400"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TR63 (</w:t>
            </w:r>
            <w:proofErr w:type="spellStart"/>
            <w:r w:rsidRPr="000A3AD5">
              <w:rPr>
                <w:rFonts w:ascii="Calibri" w:eastAsia="Times New Roman" w:hAnsi="Calibri" w:cs="Times New Roman"/>
                <w:color w:val="000000"/>
                <w:lang w:val="en-US"/>
              </w:rPr>
              <w:t>Hatay</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Kahramanmaraş</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Osmaniye</w:t>
            </w:r>
            <w:proofErr w:type="spellEnd"/>
            <w:r w:rsidRPr="000A3AD5">
              <w:rPr>
                <w:rFonts w:ascii="Calibri" w:eastAsia="Times New Roman" w:hAnsi="Calibri" w:cs="Times New Roman"/>
                <w:color w:val="000000"/>
                <w:lang w:val="en-US"/>
              </w:rPr>
              <w:t>)</w:t>
            </w:r>
          </w:p>
        </w:tc>
        <w:tc>
          <w:tcPr>
            <w:tcW w:w="96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72</w:t>
            </w:r>
          </w:p>
        </w:tc>
        <w:tc>
          <w:tcPr>
            <w:tcW w:w="128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68</w:t>
            </w:r>
          </w:p>
        </w:tc>
        <w:tc>
          <w:tcPr>
            <w:tcW w:w="1280"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-1,1</w:t>
            </w:r>
          </w:p>
        </w:tc>
      </w:tr>
      <w:tr w:rsidR="00914EF1" w:rsidRPr="000A3AD5" w:rsidTr="00914EF1">
        <w:trPr>
          <w:trHeight w:val="300"/>
        </w:trPr>
        <w:tc>
          <w:tcPr>
            <w:tcW w:w="5400"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TR31 (İzmir)</w:t>
            </w:r>
          </w:p>
        </w:tc>
        <w:tc>
          <w:tcPr>
            <w:tcW w:w="96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60</w:t>
            </w:r>
          </w:p>
        </w:tc>
        <w:tc>
          <w:tcPr>
            <w:tcW w:w="128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65</w:t>
            </w:r>
          </w:p>
        </w:tc>
        <w:tc>
          <w:tcPr>
            <w:tcW w:w="1280"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-0,9</w:t>
            </w:r>
          </w:p>
        </w:tc>
      </w:tr>
      <w:tr w:rsidR="00914EF1" w:rsidRPr="000A3AD5" w:rsidTr="00914EF1">
        <w:trPr>
          <w:trHeight w:val="300"/>
        </w:trPr>
        <w:tc>
          <w:tcPr>
            <w:tcW w:w="5400"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 xml:space="preserve">TR90 (Trabzon, </w:t>
            </w:r>
            <w:proofErr w:type="spellStart"/>
            <w:r w:rsidRPr="000A3AD5">
              <w:rPr>
                <w:rFonts w:ascii="Calibri" w:eastAsia="Times New Roman" w:hAnsi="Calibri" w:cs="Times New Roman"/>
                <w:color w:val="000000"/>
                <w:lang w:val="en-US"/>
              </w:rPr>
              <w:t>Ordu</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Giresun</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Rize</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Artvin</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Gümüşhane</w:t>
            </w:r>
            <w:proofErr w:type="spellEnd"/>
            <w:r w:rsidRPr="000A3AD5">
              <w:rPr>
                <w:rFonts w:ascii="Calibri" w:eastAsia="Times New Roman" w:hAnsi="Calibri" w:cs="Times New Roman"/>
                <w:color w:val="000000"/>
                <w:lang w:val="en-US"/>
              </w:rPr>
              <w:t>)</w:t>
            </w:r>
          </w:p>
        </w:tc>
        <w:tc>
          <w:tcPr>
            <w:tcW w:w="96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27</w:t>
            </w:r>
          </w:p>
        </w:tc>
        <w:tc>
          <w:tcPr>
            <w:tcW w:w="128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29</w:t>
            </w:r>
          </w:p>
        </w:tc>
        <w:tc>
          <w:tcPr>
            <w:tcW w:w="1280"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-0,6</w:t>
            </w:r>
          </w:p>
        </w:tc>
      </w:tr>
      <w:tr w:rsidR="00914EF1" w:rsidRPr="000A3AD5" w:rsidTr="00914EF1">
        <w:trPr>
          <w:trHeight w:val="300"/>
        </w:trPr>
        <w:tc>
          <w:tcPr>
            <w:tcW w:w="5400"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 xml:space="preserve">TR52 (Konya, </w:t>
            </w:r>
            <w:proofErr w:type="spellStart"/>
            <w:r w:rsidRPr="000A3AD5">
              <w:rPr>
                <w:rFonts w:ascii="Calibri" w:eastAsia="Times New Roman" w:hAnsi="Calibri" w:cs="Times New Roman"/>
                <w:color w:val="000000"/>
                <w:lang w:val="en-US"/>
              </w:rPr>
              <w:t>Karaman</w:t>
            </w:r>
            <w:proofErr w:type="spellEnd"/>
            <w:r w:rsidRPr="000A3AD5">
              <w:rPr>
                <w:rFonts w:ascii="Calibri" w:eastAsia="Times New Roman" w:hAnsi="Calibri" w:cs="Times New Roman"/>
                <w:color w:val="000000"/>
                <w:lang w:val="en-US"/>
              </w:rPr>
              <w:t>)</w:t>
            </w:r>
          </w:p>
        </w:tc>
        <w:tc>
          <w:tcPr>
            <w:tcW w:w="96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-16</w:t>
            </w:r>
          </w:p>
        </w:tc>
        <w:tc>
          <w:tcPr>
            <w:tcW w:w="128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-11</w:t>
            </w:r>
          </w:p>
        </w:tc>
        <w:tc>
          <w:tcPr>
            <w:tcW w:w="1280"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-0,5</w:t>
            </w:r>
          </w:p>
        </w:tc>
      </w:tr>
      <w:tr w:rsidR="00914EF1" w:rsidRPr="000A3AD5" w:rsidTr="00914EF1">
        <w:trPr>
          <w:trHeight w:val="300"/>
        </w:trPr>
        <w:tc>
          <w:tcPr>
            <w:tcW w:w="5400" w:type="dxa"/>
            <w:shd w:val="clear" w:color="auto" w:fill="auto"/>
            <w:noWrap/>
            <w:vAlign w:val="bottom"/>
            <w:hideMark/>
          </w:tcPr>
          <w:p w:rsidR="00914EF1" w:rsidRPr="000A3AD5" w:rsidRDefault="00914EF1" w:rsidP="0054644B">
            <w:pPr>
              <w:spacing w:after="0"/>
              <w:rPr>
                <w:rFonts w:ascii="Calibri" w:eastAsia="Times New Roman" w:hAnsi="Calibri" w:cs="Times New Roman"/>
                <w:color w:val="000000"/>
                <w:lang w:val="en-US"/>
              </w:rPr>
            </w:pPr>
            <w:r w:rsidRPr="000A3AD5">
              <w:rPr>
                <w:rFonts w:ascii="Calibri" w:eastAsia="Times New Roman" w:hAnsi="Calibri" w:cs="Times New Roman"/>
                <w:color w:val="000000"/>
                <w:lang w:val="en-US"/>
              </w:rPr>
              <w:t xml:space="preserve">TR32 (Aydın, </w:t>
            </w:r>
            <w:proofErr w:type="spellStart"/>
            <w:r w:rsidRPr="000A3AD5">
              <w:rPr>
                <w:rFonts w:ascii="Calibri" w:eastAsia="Times New Roman" w:hAnsi="Calibri" w:cs="Times New Roman"/>
                <w:color w:val="000000"/>
                <w:lang w:val="en-US"/>
              </w:rPr>
              <w:t>Denizli</w:t>
            </w:r>
            <w:proofErr w:type="spellEnd"/>
            <w:r w:rsidRPr="000A3AD5">
              <w:rPr>
                <w:rFonts w:ascii="Calibri" w:eastAsia="Times New Roman" w:hAnsi="Calibri" w:cs="Times New Roman"/>
                <w:color w:val="000000"/>
                <w:lang w:val="en-US"/>
              </w:rPr>
              <w:t xml:space="preserve">, </w:t>
            </w:r>
            <w:proofErr w:type="spellStart"/>
            <w:r w:rsidRPr="000A3AD5">
              <w:rPr>
                <w:rFonts w:ascii="Calibri" w:eastAsia="Times New Roman" w:hAnsi="Calibri" w:cs="Times New Roman"/>
                <w:color w:val="000000"/>
                <w:lang w:val="en-US"/>
              </w:rPr>
              <w:t>Muğla</w:t>
            </w:r>
            <w:proofErr w:type="spellEnd"/>
            <w:r w:rsidRPr="000A3AD5">
              <w:rPr>
                <w:rFonts w:ascii="Calibri" w:eastAsia="Times New Roman" w:hAnsi="Calibri" w:cs="Times New Roman"/>
                <w:color w:val="000000"/>
                <w:lang w:val="en-US"/>
              </w:rPr>
              <w:t>)</w:t>
            </w:r>
          </w:p>
        </w:tc>
        <w:tc>
          <w:tcPr>
            <w:tcW w:w="96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-13</w:t>
            </w:r>
          </w:p>
        </w:tc>
        <w:tc>
          <w:tcPr>
            <w:tcW w:w="1280" w:type="dxa"/>
            <w:shd w:val="clear" w:color="auto" w:fill="auto"/>
            <w:noWrap/>
            <w:vAlign w:val="bottom"/>
            <w:hideMark/>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-10</w:t>
            </w:r>
          </w:p>
        </w:tc>
        <w:tc>
          <w:tcPr>
            <w:tcW w:w="1280" w:type="dxa"/>
          </w:tcPr>
          <w:p w:rsidR="00914EF1" w:rsidRPr="000A3AD5" w:rsidRDefault="00914EF1" w:rsidP="0054644B">
            <w:pPr>
              <w:spacing w:after="0"/>
              <w:jc w:val="center"/>
              <w:rPr>
                <w:rFonts w:ascii="Calibri" w:eastAsia="Times New Roman" w:hAnsi="Calibri" w:cs="Times New Roman"/>
                <w:color w:val="000000"/>
                <w:lang w:val="en-US"/>
              </w:rPr>
            </w:pPr>
            <w:r w:rsidRPr="000A3AD5">
              <w:rPr>
                <w:rFonts w:ascii="Calibri" w:eastAsia="Times New Roman" w:hAnsi="Calibri" w:cs="Times New Roman"/>
                <w:color w:val="000000"/>
                <w:lang w:val="en-US"/>
              </w:rPr>
              <w:t>-0,2</w:t>
            </w:r>
          </w:p>
        </w:tc>
      </w:tr>
    </w:tbl>
    <w:p w:rsidR="00E1390B" w:rsidRPr="000A3AD5" w:rsidRDefault="00E1390B" w:rsidP="00E1390B">
      <w:pPr>
        <w:pStyle w:val="Caption"/>
        <w:keepNext/>
        <w:spacing w:line="276" w:lineRule="auto"/>
        <w:rPr>
          <w:rFonts w:ascii="Calibri" w:eastAsia="Times New Roman" w:hAnsi="Calibri" w:cs="Times New Roman"/>
          <w:b w:val="0"/>
          <w:color w:val="000000"/>
          <w:sz w:val="16"/>
          <w:szCs w:val="16"/>
          <w:lang w:val="en-US"/>
        </w:rPr>
      </w:pPr>
      <w:r w:rsidRPr="000A3AD5">
        <w:rPr>
          <w:b w:val="0"/>
          <w:color w:val="000000" w:themeColor="text1"/>
          <w:sz w:val="16"/>
          <w:szCs w:val="16"/>
          <w:lang w:val="en-US"/>
        </w:rPr>
        <w:t>Source: TUIK, Betam</w:t>
      </w:r>
      <w:r w:rsidR="00566B0C" w:rsidRPr="000A3AD5">
        <w:rPr>
          <w:b w:val="0"/>
          <w:color w:val="000000" w:themeColor="text1"/>
          <w:sz w:val="16"/>
          <w:szCs w:val="16"/>
          <w:lang w:val="en-US"/>
        </w:rPr>
        <w:br/>
        <w:t xml:space="preserve">Note: </w:t>
      </w:r>
      <w:r w:rsidR="00566B0C" w:rsidRPr="000A3AD5">
        <w:rPr>
          <w:rFonts w:ascii="Calibri" w:eastAsia="Times New Roman" w:hAnsi="Calibri" w:cs="Times New Roman"/>
          <w:color w:val="000000"/>
          <w:sz w:val="16"/>
          <w:szCs w:val="16"/>
          <w:lang w:val="en-US"/>
        </w:rPr>
        <w:t xml:space="preserve">Δ </w:t>
      </w:r>
      <w:proofErr w:type="spellStart"/>
      <w:r w:rsidR="00566B0C" w:rsidRPr="000A3AD5">
        <w:rPr>
          <w:rFonts w:ascii="Calibri" w:eastAsia="Times New Roman" w:hAnsi="Calibri" w:cs="Times New Roman"/>
          <w:color w:val="000000"/>
          <w:sz w:val="16"/>
          <w:szCs w:val="16"/>
          <w:lang w:val="en-US"/>
        </w:rPr>
        <w:t>Lfna</w:t>
      </w:r>
      <w:proofErr w:type="spellEnd"/>
      <w:r w:rsidR="00566B0C" w:rsidRPr="000A3AD5">
        <w:rPr>
          <w:rFonts w:ascii="Calibri" w:eastAsia="Times New Roman" w:hAnsi="Calibri" w:cs="Times New Roman"/>
          <w:color w:val="000000"/>
          <w:sz w:val="16"/>
          <w:szCs w:val="16"/>
          <w:lang w:val="en-US"/>
        </w:rPr>
        <w:t xml:space="preserve">: </w:t>
      </w:r>
      <w:r w:rsidR="00566B0C" w:rsidRPr="000A3AD5">
        <w:rPr>
          <w:rFonts w:ascii="Calibri" w:eastAsia="Times New Roman" w:hAnsi="Calibri" w:cs="Times New Roman"/>
          <w:b w:val="0"/>
          <w:color w:val="000000"/>
          <w:sz w:val="16"/>
          <w:szCs w:val="16"/>
          <w:lang w:val="en-US"/>
        </w:rPr>
        <w:t>Change in non-agricultural labor force,</w:t>
      </w:r>
      <w:r w:rsidR="00566B0C" w:rsidRPr="000A3AD5">
        <w:rPr>
          <w:rFonts w:ascii="Calibri" w:eastAsia="Times New Roman" w:hAnsi="Calibri" w:cs="Times New Roman"/>
          <w:color w:val="000000"/>
          <w:sz w:val="16"/>
          <w:szCs w:val="16"/>
          <w:lang w:val="en-US"/>
        </w:rPr>
        <w:t xml:space="preserve"> Δ </w:t>
      </w:r>
      <w:proofErr w:type="spellStart"/>
      <w:r w:rsidR="00566B0C" w:rsidRPr="000A3AD5">
        <w:rPr>
          <w:rFonts w:ascii="Calibri" w:eastAsia="Times New Roman" w:hAnsi="Calibri" w:cs="Times New Roman"/>
          <w:color w:val="000000"/>
          <w:sz w:val="16"/>
          <w:szCs w:val="16"/>
          <w:lang w:val="en-US"/>
        </w:rPr>
        <w:t>Ena</w:t>
      </w:r>
      <w:proofErr w:type="spellEnd"/>
      <w:r w:rsidR="00566B0C" w:rsidRPr="000A3AD5">
        <w:rPr>
          <w:rFonts w:ascii="Calibri" w:eastAsia="Times New Roman" w:hAnsi="Calibri" w:cs="Times New Roman"/>
          <w:color w:val="000000"/>
          <w:sz w:val="16"/>
          <w:szCs w:val="16"/>
          <w:lang w:val="en-US"/>
        </w:rPr>
        <w:t xml:space="preserve">: </w:t>
      </w:r>
      <w:r w:rsidR="00566B0C" w:rsidRPr="000A3AD5">
        <w:rPr>
          <w:rFonts w:ascii="Calibri" w:eastAsia="Times New Roman" w:hAnsi="Calibri" w:cs="Times New Roman"/>
          <w:b w:val="0"/>
          <w:color w:val="000000"/>
          <w:sz w:val="16"/>
          <w:szCs w:val="16"/>
          <w:lang w:val="en-US"/>
        </w:rPr>
        <w:t>Change in non-agricultural employment</w:t>
      </w:r>
      <w:r w:rsidR="00566B0C" w:rsidRPr="000A3AD5">
        <w:rPr>
          <w:rFonts w:ascii="Calibri" w:eastAsia="Times New Roman" w:hAnsi="Calibri" w:cs="Times New Roman"/>
          <w:color w:val="000000"/>
          <w:sz w:val="16"/>
          <w:szCs w:val="16"/>
          <w:lang w:val="en-US"/>
        </w:rPr>
        <w:t xml:space="preserve">, Δ </w:t>
      </w:r>
      <w:proofErr w:type="spellStart"/>
      <w:r w:rsidR="00566B0C" w:rsidRPr="000A3AD5">
        <w:rPr>
          <w:rFonts w:ascii="Calibri" w:eastAsia="Times New Roman" w:hAnsi="Calibri" w:cs="Times New Roman"/>
          <w:color w:val="000000"/>
          <w:sz w:val="16"/>
          <w:szCs w:val="16"/>
          <w:lang w:val="en-US"/>
        </w:rPr>
        <w:t>una</w:t>
      </w:r>
      <w:proofErr w:type="spellEnd"/>
      <w:r w:rsidR="00566B0C" w:rsidRPr="000A3AD5">
        <w:rPr>
          <w:rFonts w:ascii="Calibri" w:eastAsia="Times New Roman" w:hAnsi="Calibri" w:cs="Times New Roman"/>
          <w:color w:val="000000"/>
          <w:sz w:val="16"/>
          <w:szCs w:val="16"/>
          <w:lang w:val="en-US"/>
        </w:rPr>
        <w:t xml:space="preserve">: </w:t>
      </w:r>
      <w:r w:rsidR="00566B0C" w:rsidRPr="000A3AD5">
        <w:rPr>
          <w:rFonts w:ascii="Calibri" w:eastAsia="Times New Roman" w:hAnsi="Calibri" w:cs="Times New Roman"/>
          <w:b w:val="0"/>
          <w:color w:val="000000"/>
          <w:sz w:val="16"/>
          <w:szCs w:val="16"/>
          <w:lang w:val="en-US"/>
        </w:rPr>
        <w:t>Change in non-agricultural unemployment</w:t>
      </w:r>
    </w:p>
    <w:p w:rsidR="00540CC9" w:rsidRPr="000A3AD5" w:rsidRDefault="00540CC9" w:rsidP="00540CC9">
      <w:pPr>
        <w:rPr>
          <w:lang w:val="en-US"/>
        </w:rPr>
      </w:pPr>
      <w:r w:rsidRPr="000A3AD5">
        <w:rPr>
          <w:lang w:val="en-US"/>
        </w:rPr>
        <w:t xml:space="preserve">The remaining three regions do not represent positive dynamics like the previous six regions. Although unemployment rate significantly decreased (-1.8 percentage points) in Van (TRB2) region, it is mainly </w:t>
      </w:r>
      <w:r w:rsidR="00362791" w:rsidRPr="000A3AD5">
        <w:rPr>
          <w:lang w:val="en-US"/>
        </w:rPr>
        <w:t xml:space="preserve">due to the </w:t>
      </w:r>
      <w:r w:rsidRPr="000A3AD5">
        <w:rPr>
          <w:lang w:val="en-US"/>
        </w:rPr>
        <w:t xml:space="preserve">sizable decrease in </w:t>
      </w:r>
      <w:r w:rsidR="00362791" w:rsidRPr="000A3AD5">
        <w:rPr>
          <w:lang w:val="en-US"/>
        </w:rPr>
        <w:t xml:space="preserve">the </w:t>
      </w:r>
      <w:r w:rsidRPr="000A3AD5">
        <w:rPr>
          <w:lang w:val="en-US"/>
        </w:rPr>
        <w:t>labor force (Table 2). As for Konya (TR52) and Aydın (TR32) regions, unemployment decreased because of the decline in labor force being stronger than the decline in employment (Table 2). It is worth</w:t>
      </w:r>
      <w:r w:rsidR="00362791" w:rsidRPr="000A3AD5">
        <w:rPr>
          <w:lang w:val="en-US"/>
        </w:rPr>
        <w:t xml:space="preserve"> noting that </w:t>
      </w:r>
      <w:r w:rsidRPr="000A3AD5">
        <w:rPr>
          <w:lang w:val="en-US"/>
        </w:rPr>
        <w:t xml:space="preserve">in Aydın region (southwest) nearly all </w:t>
      </w:r>
      <w:r w:rsidRPr="000A3AD5">
        <w:rPr>
          <w:lang w:val="en-US"/>
        </w:rPr>
        <w:lastRenderedPageBreak/>
        <w:t xml:space="preserve">employment losses (9 thousand) took place in the service sector. Similar to the case of Cappadocia, this shock is caused by the crisis in tourism sector. </w:t>
      </w:r>
    </w:p>
    <w:p w:rsidR="00774A28" w:rsidRPr="000A3AD5" w:rsidRDefault="00770E8C" w:rsidP="00B457EB">
      <w:pPr>
        <w:rPr>
          <w:b/>
          <w:sz w:val="24"/>
          <w:szCs w:val="24"/>
          <w:lang w:val="en-US"/>
        </w:rPr>
      </w:pPr>
      <w:r w:rsidRPr="000A3AD5">
        <w:rPr>
          <w:b/>
          <w:sz w:val="24"/>
          <w:szCs w:val="24"/>
          <w:lang w:val="en-US"/>
        </w:rPr>
        <w:t>Concluding remarks</w:t>
      </w:r>
    </w:p>
    <w:p w:rsidR="00155225" w:rsidRPr="000A3AD5" w:rsidRDefault="00155225" w:rsidP="00770E8C">
      <w:pPr>
        <w:jc w:val="both"/>
        <w:rPr>
          <w:lang w:val="en-US"/>
        </w:rPr>
      </w:pPr>
      <w:r w:rsidRPr="000A3AD5">
        <w:rPr>
          <w:lang w:val="en-US"/>
        </w:rPr>
        <w:t>While unemployment rate</w:t>
      </w:r>
      <w:r w:rsidR="00705929" w:rsidRPr="000A3AD5">
        <w:rPr>
          <w:lang w:val="en-US"/>
        </w:rPr>
        <w:t xml:space="preserve"> in Turkey</w:t>
      </w:r>
      <w:r w:rsidRPr="000A3AD5">
        <w:rPr>
          <w:lang w:val="en-US"/>
        </w:rPr>
        <w:t xml:space="preserve"> inc</w:t>
      </w:r>
      <w:r w:rsidR="00705929" w:rsidRPr="000A3AD5">
        <w:rPr>
          <w:lang w:val="en-US"/>
        </w:rPr>
        <w:t xml:space="preserve">reased from </w:t>
      </w:r>
      <w:r w:rsidRPr="000A3AD5">
        <w:rPr>
          <w:lang w:val="en-US"/>
        </w:rPr>
        <w:t xml:space="preserve">12.4 to 13 percent </w:t>
      </w:r>
      <w:r w:rsidR="00A35587" w:rsidRPr="000A3AD5">
        <w:rPr>
          <w:lang w:val="en-US"/>
        </w:rPr>
        <w:t xml:space="preserve">in </w:t>
      </w:r>
      <w:r w:rsidRPr="000A3AD5">
        <w:rPr>
          <w:lang w:val="en-US"/>
        </w:rPr>
        <w:t>a year</w:t>
      </w:r>
      <w:r w:rsidR="00705929" w:rsidRPr="000A3AD5">
        <w:rPr>
          <w:lang w:val="en-US"/>
        </w:rPr>
        <w:t>,</w:t>
      </w:r>
      <w:r w:rsidRPr="000A3AD5">
        <w:rPr>
          <w:lang w:val="en-US"/>
        </w:rPr>
        <w:t xml:space="preserve"> regional labor markets behaved quite differently.</w:t>
      </w:r>
      <w:r w:rsidR="00705929" w:rsidRPr="000A3AD5">
        <w:rPr>
          <w:lang w:val="en-US"/>
        </w:rPr>
        <w:t xml:space="preserve"> </w:t>
      </w:r>
      <w:r w:rsidRPr="000A3AD5">
        <w:rPr>
          <w:lang w:val="en-US"/>
        </w:rPr>
        <w:t xml:space="preserve"> </w:t>
      </w:r>
      <w:r w:rsidR="00705929" w:rsidRPr="000A3AD5">
        <w:rPr>
          <w:lang w:val="en-US"/>
        </w:rPr>
        <w:t>The u</w:t>
      </w:r>
      <w:r w:rsidRPr="000A3AD5">
        <w:rPr>
          <w:lang w:val="en-US"/>
        </w:rPr>
        <w:t xml:space="preserve">nemployment </w:t>
      </w:r>
      <w:r w:rsidR="00705929" w:rsidRPr="000A3AD5">
        <w:rPr>
          <w:lang w:val="en-US"/>
        </w:rPr>
        <w:t>rate increased in 17 regions wh</w:t>
      </w:r>
      <w:r w:rsidR="00A35587" w:rsidRPr="000A3AD5">
        <w:rPr>
          <w:lang w:val="en-US"/>
        </w:rPr>
        <w:t xml:space="preserve">ile </w:t>
      </w:r>
      <w:r w:rsidR="00705929" w:rsidRPr="000A3AD5">
        <w:rPr>
          <w:lang w:val="en-US"/>
        </w:rPr>
        <w:t>it</w:t>
      </w:r>
      <w:r w:rsidRPr="000A3AD5">
        <w:rPr>
          <w:lang w:val="en-US"/>
        </w:rPr>
        <w:t xml:space="preserve"> decreased in 9 regions. As result,</w:t>
      </w:r>
      <w:r w:rsidR="00705929" w:rsidRPr="000A3AD5">
        <w:rPr>
          <w:lang w:val="en-US"/>
        </w:rPr>
        <w:t xml:space="preserve"> the existing regional </w:t>
      </w:r>
      <w:r w:rsidR="00533C18" w:rsidRPr="000A3AD5">
        <w:rPr>
          <w:lang w:val="en-US"/>
        </w:rPr>
        <w:t>inequalities</w:t>
      </w:r>
      <w:r w:rsidR="00705929" w:rsidRPr="000A3AD5">
        <w:rPr>
          <w:lang w:val="en-US"/>
        </w:rPr>
        <w:t xml:space="preserve"> in unemployment ha</w:t>
      </w:r>
      <w:r w:rsidR="00A35587" w:rsidRPr="000A3AD5">
        <w:rPr>
          <w:lang w:val="en-US"/>
        </w:rPr>
        <w:t>ve</w:t>
      </w:r>
      <w:r w:rsidR="00705929" w:rsidRPr="000A3AD5">
        <w:rPr>
          <w:lang w:val="en-US"/>
        </w:rPr>
        <w:t xml:space="preserve"> become even deeper.</w:t>
      </w:r>
      <w:r w:rsidR="00770E8C" w:rsidRPr="000A3AD5">
        <w:rPr>
          <w:lang w:val="en-US"/>
        </w:rPr>
        <w:t xml:space="preserve"> The regional standard deviation</w:t>
      </w:r>
      <w:r w:rsidR="00A35587" w:rsidRPr="000A3AD5">
        <w:rPr>
          <w:lang w:val="en-US"/>
        </w:rPr>
        <w:t xml:space="preserve">, </w:t>
      </w:r>
      <w:r w:rsidR="00770E8C" w:rsidRPr="000A3AD5">
        <w:rPr>
          <w:lang w:val="en-US"/>
        </w:rPr>
        <w:t>3.3 in 2</w:t>
      </w:r>
      <w:r w:rsidR="00A35587" w:rsidRPr="000A3AD5">
        <w:rPr>
          <w:lang w:val="en-US"/>
        </w:rPr>
        <w:t>0</w:t>
      </w:r>
      <w:r w:rsidR="00770E8C" w:rsidRPr="000A3AD5">
        <w:rPr>
          <w:lang w:val="en-US"/>
        </w:rPr>
        <w:t>15</w:t>
      </w:r>
      <w:r w:rsidR="00A35587" w:rsidRPr="000A3AD5">
        <w:rPr>
          <w:lang w:val="en-US"/>
        </w:rPr>
        <w:t xml:space="preserve">, </w:t>
      </w:r>
      <w:r w:rsidR="00770E8C" w:rsidRPr="000A3AD5">
        <w:rPr>
          <w:lang w:val="en-US"/>
        </w:rPr>
        <w:t xml:space="preserve">increased </w:t>
      </w:r>
      <w:r w:rsidR="00533C18" w:rsidRPr="000A3AD5">
        <w:rPr>
          <w:lang w:val="en-US"/>
        </w:rPr>
        <w:t>to 3.6 in</w:t>
      </w:r>
      <w:r w:rsidR="00770E8C" w:rsidRPr="000A3AD5">
        <w:rPr>
          <w:lang w:val="en-US"/>
        </w:rPr>
        <w:t xml:space="preserve"> </w:t>
      </w:r>
      <w:r w:rsidR="00533C18" w:rsidRPr="000A3AD5">
        <w:rPr>
          <w:lang w:val="en-US"/>
        </w:rPr>
        <w:t xml:space="preserve">2016. There is actually a profound </w:t>
      </w:r>
      <w:r w:rsidR="00770E8C" w:rsidRPr="000A3AD5">
        <w:rPr>
          <w:lang w:val="en-US"/>
        </w:rPr>
        <w:t>gap</w:t>
      </w:r>
      <w:r w:rsidR="00533C18" w:rsidRPr="000A3AD5">
        <w:rPr>
          <w:lang w:val="en-US"/>
        </w:rPr>
        <w:t xml:space="preserve"> betwe</w:t>
      </w:r>
      <w:r w:rsidR="00770E8C" w:rsidRPr="000A3AD5">
        <w:rPr>
          <w:lang w:val="en-US"/>
        </w:rPr>
        <w:t>en the lowest (7.2 percent)</w:t>
      </w:r>
      <w:r w:rsidR="002F575B" w:rsidRPr="000A3AD5">
        <w:rPr>
          <w:lang w:val="en-US"/>
        </w:rPr>
        <w:t xml:space="preserve"> and</w:t>
      </w:r>
      <w:r w:rsidR="00770E8C" w:rsidRPr="000A3AD5">
        <w:rPr>
          <w:lang w:val="en-US"/>
        </w:rPr>
        <w:t xml:space="preserve"> the highest unemployment rate</w:t>
      </w:r>
      <w:r w:rsidR="002F575B" w:rsidRPr="000A3AD5">
        <w:rPr>
          <w:lang w:val="en-US"/>
        </w:rPr>
        <w:t>s</w:t>
      </w:r>
      <w:r w:rsidR="00770E8C" w:rsidRPr="000A3AD5">
        <w:rPr>
          <w:lang w:val="en-US"/>
        </w:rPr>
        <w:t xml:space="preserve"> (30.1 percent) as if </w:t>
      </w:r>
      <w:r w:rsidR="00533C18" w:rsidRPr="000A3AD5">
        <w:rPr>
          <w:lang w:val="en-US"/>
        </w:rPr>
        <w:t xml:space="preserve">we are looking at </w:t>
      </w:r>
      <w:r w:rsidR="00A35587" w:rsidRPr="000A3AD5">
        <w:rPr>
          <w:lang w:val="en-US"/>
        </w:rPr>
        <w:t xml:space="preserve">different </w:t>
      </w:r>
      <w:r w:rsidR="00533C18" w:rsidRPr="000A3AD5">
        <w:rPr>
          <w:lang w:val="en-US"/>
        </w:rPr>
        <w:t xml:space="preserve">countries where labor markets </w:t>
      </w:r>
      <w:r w:rsidR="00E47559" w:rsidRPr="000A3AD5">
        <w:rPr>
          <w:lang w:val="en-US"/>
        </w:rPr>
        <w:t>p</w:t>
      </w:r>
      <w:r w:rsidR="00770E8C" w:rsidRPr="000A3AD5">
        <w:rPr>
          <w:lang w:val="en-US"/>
        </w:rPr>
        <w:t>resent different characteristics. This striking divergence could not</w:t>
      </w:r>
      <w:r w:rsidR="00E47559" w:rsidRPr="000A3AD5">
        <w:rPr>
          <w:lang w:val="en-US"/>
        </w:rPr>
        <w:t xml:space="preserve"> </w:t>
      </w:r>
      <w:r w:rsidR="00A35587" w:rsidRPr="000A3AD5">
        <w:rPr>
          <w:lang w:val="en-US"/>
        </w:rPr>
        <w:t xml:space="preserve">be </w:t>
      </w:r>
      <w:r w:rsidR="00E47559" w:rsidRPr="000A3AD5">
        <w:rPr>
          <w:lang w:val="en-US"/>
        </w:rPr>
        <w:t xml:space="preserve">explained </w:t>
      </w:r>
      <w:r w:rsidR="00A35587" w:rsidRPr="000A3AD5">
        <w:rPr>
          <w:lang w:val="en-US"/>
        </w:rPr>
        <w:t xml:space="preserve">only </w:t>
      </w:r>
      <w:r w:rsidR="00E47559" w:rsidRPr="000A3AD5">
        <w:rPr>
          <w:lang w:val="en-US"/>
        </w:rPr>
        <w:t xml:space="preserve">by </w:t>
      </w:r>
      <w:r w:rsidR="002F575B" w:rsidRPr="000A3AD5">
        <w:rPr>
          <w:lang w:val="en-US"/>
        </w:rPr>
        <w:t>insufficient</w:t>
      </w:r>
      <w:r w:rsidR="00770E8C" w:rsidRPr="000A3AD5">
        <w:rPr>
          <w:lang w:val="en-US"/>
        </w:rPr>
        <w:t xml:space="preserve"> labor mobility</w:t>
      </w:r>
      <w:r w:rsidR="00E47559" w:rsidRPr="000A3AD5">
        <w:rPr>
          <w:lang w:val="en-US"/>
        </w:rPr>
        <w:t xml:space="preserve"> among regions. </w:t>
      </w:r>
      <w:r w:rsidR="00770E8C" w:rsidRPr="000A3AD5">
        <w:rPr>
          <w:lang w:val="en-US"/>
        </w:rPr>
        <w:t xml:space="preserve"> Factors like highly u</w:t>
      </w:r>
      <w:r w:rsidR="00E47559" w:rsidRPr="000A3AD5">
        <w:rPr>
          <w:lang w:val="en-US"/>
        </w:rPr>
        <w:t>n</w:t>
      </w:r>
      <w:r w:rsidR="00770E8C" w:rsidRPr="000A3AD5">
        <w:rPr>
          <w:lang w:val="en-US"/>
        </w:rPr>
        <w:t xml:space="preserve">equal development levels, </w:t>
      </w:r>
      <w:r w:rsidR="00E47559" w:rsidRPr="000A3AD5">
        <w:rPr>
          <w:lang w:val="en-US"/>
        </w:rPr>
        <w:t xml:space="preserve">large differences in female </w:t>
      </w:r>
      <w:r w:rsidR="00770E8C" w:rsidRPr="000A3AD5">
        <w:rPr>
          <w:lang w:val="en-US"/>
        </w:rPr>
        <w:t xml:space="preserve">labor force </w:t>
      </w:r>
      <w:r w:rsidR="00E47559" w:rsidRPr="000A3AD5">
        <w:rPr>
          <w:lang w:val="en-US"/>
        </w:rPr>
        <w:t>participation and asymme</w:t>
      </w:r>
      <w:r w:rsidR="00770E8C" w:rsidRPr="000A3AD5">
        <w:rPr>
          <w:lang w:val="en-US"/>
        </w:rPr>
        <w:t xml:space="preserve">tric effects </w:t>
      </w:r>
      <w:r w:rsidR="00A35587" w:rsidRPr="000A3AD5">
        <w:rPr>
          <w:lang w:val="en-US"/>
        </w:rPr>
        <w:t xml:space="preserve">of </w:t>
      </w:r>
      <w:r w:rsidR="00770E8C" w:rsidRPr="000A3AD5">
        <w:rPr>
          <w:lang w:val="en-US"/>
        </w:rPr>
        <w:t>economic shocks</w:t>
      </w:r>
      <w:r w:rsidR="00097CDD" w:rsidRPr="000A3AD5">
        <w:rPr>
          <w:lang w:val="en-US"/>
        </w:rPr>
        <w:t xml:space="preserve"> </w:t>
      </w:r>
      <w:r w:rsidR="00770E8C" w:rsidRPr="000A3AD5">
        <w:rPr>
          <w:lang w:val="en-US"/>
        </w:rPr>
        <w:t>produce particular</w:t>
      </w:r>
      <w:r w:rsidR="00B25092" w:rsidRPr="000A3AD5">
        <w:rPr>
          <w:lang w:val="en-US"/>
        </w:rPr>
        <w:t xml:space="preserve"> </w:t>
      </w:r>
      <w:r w:rsidR="002F575B" w:rsidRPr="000A3AD5">
        <w:rPr>
          <w:lang w:val="en-US"/>
        </w:rPr>
        <w:t xml:space="preserve">labor market </w:t>
      </w:r>
      <w:r w:rsidR="00B25092" w:rsidRPr="000A3AD5">
        <w:rPr>
          <w:lang w:val="en-US"/>
        </w:rPr>
        <w:t>structures an</w:t>
      </w:r>
      <w:r w:rsidR="00770E8C" w:rsidRPr="000A3AD5">
        <w:rPr>
          <w:lang w:val="en-US"/>
        </w:rPr>
        <w:t>d dynamics for different regions</w:t>
      </w:r>
      <w:r w:rsidR="00B25092" w:rsidRPr="000A3AD5">
        <w:rPr>
          <w:lang w:val="en-US"/>
        </w:rPr>
        <w:t>.</w:t>
      </w:r>
    </w:p>
    <w:p w:rsidR="00893C87" w:rsidRPr="000A3AD5" w:rsidRDefault="00A82CB3" w:rsidP="00B457EB">
      <w:pPr>
        <w:rPr>
          <w:lang w:val="en-US"/>
        </w:rPr>
      </w:pPr>
      <w:r w:rsidRPr="000A3AD5">
        <w:rPr>
          <w:lang w:val="en-US"/>
        </w:rPr>
        <w:t>Since</w:t>
      </w:r>
      <w:r w:rsidR="00893C87" w:rsidRPr="000A3AD5">
        <w:rPr>
          <w:lang w:val="en-US"/>
        </w:rPr>
        <w:t xml:space="preserve"> </w:t>
      </w:r>
      <w:r w:rsidR="00770E8C" w:rsidRPr="000A3AD5">
        <w:rPr>
          <w:lang w:val="en-US"/>
        </w:rPr>
        <w:t xml:space="preserve">there </w:t>
      </w:r>
      <w:r w:rsidR="00A35587" w:rsidRPr="000A3AD5">
        <w:rPr>
          <w:lang w:val="en-US"/>
        </w:rPr>
        <w:t xml:space="preserve">are </w:t>
      </w:r>
      <w:r w:rsidR="00770E8C" w:rsidRPr="000A3AD5">
        <w:rPr>
          <w:lang w:val="en-US"/>
        </w:rPr>
        <w:t>no</w:t>
      </w:r>
      <w:r w:rsidR="00A35587" w:rsidRPr="000A3AD5">
        <w:rPr>
          <w:lang w:val="en-US"/>
        </w:rPr>
        <w:t xml:space="preserve"> </w:t>
      </w:r>
      <w:r w:rsidRPr="000A3AD5">
        <w:rPr>
          <w:lang w:val="en-US"/>
        </w:rPr>
        <w:t>synthetic indicator</w:t>
      </w:r>
      <w:r w:rsidR="00A35587" w:rsidRPr="000A3AD5">
        <w:rPr>
          <w:lang w:val="en-US"/>
        </w:rPr>
        <w:t>s</w:t>
      </w:r>
      <w:r w:rsidRPr="000A3AD5">
        <w:rPr>
          <w:lang w:val="en-US"/>
        </w:rPr>
        <w:t xml:space="preserve"> combining unemp</w:t>
      </w:r>
      <w:r w:rsidR="00770E8C" w:rsidRPr="000A3AD5">
        <w:rPr>
          <w:lang w:val="en-US"/>
        </w:rPr>
        <w:t>loyment rate, employment ratios</w:t>
      </w:r>
      <w:r w:rsidRPr="000A3AD5">
        <w:rPr>
          <w:lang w:val="en-US"/>
        </w:rPr>
        <w:t>, chang</w:t>
      </w:r>
      <w:r w:rsidR="00770E8C" w:rsidRPr="000A3AD5">
        <w:rPr>
          <w:lang w:val="en-US"/>
        </w:rPr>
        <w:t>es in unemployment and the sources</w:t>
      </w:r>
      <w:r w:rsidRPr="000A3AD5">
        <w:rPr>
          <w:lang w:val="en-US"/>
        </w:rPr>
        <w:t xml:space="preserve"> of these changes</w:t>
      </w:r>
      <w:r w:rsidR="00770E8C" w:rsidRPr="000A3AD5">
        <w:rPr>
          <w:lang w:val="en-US"/>
        </w:rPr>
        <w:t>,</w:t>
      </w:r>
      <w:r w:rsidRPr="000A3AD5">
        <w:rPr>
          <w:lang w:val="en-US"/>
        </w:rPr>
        <w:t xml:space="preserve"> it is not possible t</w:t>
      </w:r>
      <w:r w:rsidR="0065487F" w:rsidRPr="000A3AD5">
        <w:rPr>
          <w:lang w:val="en-US"/>
        </w:rPr>
        <w:t xml:space="preserve">o rank the regions </w:t>
      </w:r>
      <w:r w:rsidRPr="000A3AD5">
        <w:rPr>
          <w:lang w:val="en-US"/>
        </w:rPr>
        <w:t xml:space="preserve">systematically. Nevertheless, as we tried in this research brief, it seems that </w:t>
      </w:r>
      <w:r w:rsidR="00A35587" w:rsidRPr="000A3AD5">
        <w:rPr>
          <w:lang w:val="en-US"/>
        </w:rPr>
        <w:t xml:space="preserve">by </w:t>
      </w:r>
      <w:r w:rsidRPr="000A3AD5">
        <w:rPr>
          <w:lang w:val="en-US"/>
        </w:rPr>
        <w:t>using the main</w:t>
      </w:r>
      <w:r w:rsidR="0065487F" w:rsidRPr="000A3AD5">
        <w:rPr>
          <w:lang w:val="en-US"/>
        </w:rPr>
        <w:t xml:space="preserve"> labor market indicators we can </w:t>
      </w:r>
      <w:r w:rsidR="00A32FEB" w:rsidRPr="000A3AD5">
        <w:rPr>
          <w:lang w:val="en-US"/>
        </w:rPr>
        <w:t xml:space="preserve">at least </w:t>
      </w:r>
      <w:r w:rsidR="0065487F" w:rsidRPr="000A3AD5">
        <w:rPr>
          <w:lang w:val="en-US"/>
        </w:rPr>
        <w:t xml:space="preserve">determine the regions </w:t>
      </w:r>
      <w:r w:rsidR="00A35587" w:rsidRPr="000A3AD5">
        <w:rPr>
          <w:lang w:val="en-US"/>
        </w:rPr>
        <w:t xml:space="preserve">in the </w:t>
      </w:r>
      <w:r w:rsidR="00A32FEB" w:rsidRPr="000A3AD5">
        <w:rPr>
          <w:lang w:val="en-US"/>
        </w:rPr>
        <w:t xml:space="preserve">worst and </w:t>
      </w:r>
      <w:r w:rsidR="00A35587" w:rsidRPr="000A3AD5">
        <w:rPr>
          <w:lang w:val="en-US"/>
        </w:rPr>
        <w:t xml:space="preserve">the </w:t>
      </w:r>
      <w:r w:rsidR="00A32FEB" w:rsidRPr="000A3AD5">
        <w:rPr>
          <w:lang w:val="en-US"/>
        </w:rPr>
        <w:t xml:space="preserve">best </w:t>
      </w:r>
      <w:r w:rsidR="00A35587" w:rsidRPr="000A3AD5">
        <w:rPr>
          <w:lang w:val="en-US"/>
        </w:rPr>
        <w:t xml:space="preserve">positions. </w:t>
      </w:r>
      <w:r w:rsidRPr="000A3AD5">
        <w:rPr>
          <w:lang w:val="en-US"/>
        </w:rPr>
        <w:t xml:space="preserve"> </w:t>
      </w:r>
    </w:p>
    <w:p w:rsidR="00DC70D5" w:rsidRPr="000A3AD5" w:rsidRDefault="00DC70D5" w:rsidP="00B457EB">
      <w:pPr>
        <w:rPr>
          <w:b/>
          <w:lang w:val="en-US"/>
        </w:rPr>
      </w:pPr>
      <w:r w:rsidRPr="000A3AD5">
        <w:rPr>
          <w:b/>
          <w:lang w:val="en-US"/>
        </w:rPr>
        <w:t>No doubt</w:t>
      </w:r>
      <w:r w:rsidR="0065487F" w:rsidRPr="000A3AD5">
        <w:rPr>
          <w:b/>
          <w:lang w:val="en-US"/>
        </w:rPr>
        <w:t>,</w:t>
      </w:r>
      <w:r w:rsidRPr="000A3AD5">
        <w:rPr>
          <w:lang w:val="en-US"/>
        </w:rPr>
        <w:t xml:space="preserve"> </w:t>
      </w:r>
      <w:proofErr w:type="spellStart"/>
      <w:r w:rsidRPr="000A3AD5">
        <w:rPr>
          <w:b/>
          <w:lang w:val="en-US"/>
        </w:rPr>
        <w:t>Mardin</w:t>
      </w:r>
      <w:proofErr w:type="spellEnd"/>
      <w:r w:rsidRPr="000A3AD5">
        <w:rPr>
          <w:b/>
          <w:lang w:val="en-US"/>
        </w:rPr>
        <w:t>-Batman-</w:t>
      </w:r>
      <w:proofErr w:type="spellStart"/>
      <w:r w:rsidRPr="000A3AD5">
        <w:rPr>
          <w:b/>
          <w:lang w:val="en-US"/>
        </w:rPr>
        <w:t>Şırnak</w:t>
      </w:r>
      <w:proofErr w:type="spellEnd"/>
      <w:r w:rsidRPr="000A3AD5">
        <w:rPr>
          <w:b/>
          <w:lang w:val="en-US"/>
        </w:rPr>
        <w:t>-</w:t>
      </w:r>
      <w:proofErr w:type="spellStart"/>
      <w:r w:rsidRPr="000A3AD5">
        <w:rPr>
          <w:b/>
          <w:lang w:val="en-US"/>
        </w:rPr>
        <w:t>Siirt</w:t>
      </w:r>
      <w:proofErr w:type="spellEnd"/>
      <w:r w:rsidRPr="000A3AD5">
        <w:rPr>
          <w:b/>
          <w:lang w:val="en-US"/>
        </w:rPr>
        <w:t xml:space="preserve"> region is in the worst </w:t>
      </w:r>
      <w:r w:rsidR="00A35587" w:rsidRPr="000A3AD5">
        <w:rPr>
          <w:b/>
          <w:lang w:val="en-US"/>
        </w:rPr>
        <w:t xml:space="preserve">position. </w:t>
      </w:r>
      <w:r w:rsidRPr="000A3AD5">
        <w:rPr>
          <w:lang w:val="en-US"/>
        </w:rPr>
        <w:t xml:space="preserve"> This region has not only the highest </w:t>
      </w:r>
      <w:r w:rsidR="00FE42D4" w:rsidRPr="000A3AD5">
        <w:rPr>
          <w:lang w:val="en-US"/>
        </w:rPr>
        <w:t>non-agricultural</w:t>
      </w:r>
      <w:r w:rsidRPr="000A3AD5">
        <w:rPr>
          <w:lang w:val="en-US"/>
        </w:rPr>
        <w:t xml:space="preserve"> unemployment rate with 30.1 percent but also the lowest </w:t>
      </w:r>
      <w:r w:rsidR="00FE42D4" w:rsidRPr="000A3AD5">
        <w:rPr>
          <w:lang w:val="en-US"/>
        </w:rPr>
        <w:t>non-agricultural</w:t>
      </w:r>
      <w:r w:rsidRPr="000A3AD5">
        <w:rPr>
          <w:lang w:val="en-US"/>
        </w:rPr>
        <w:t xml:space="preserve"> employment ratio with 25.5 percent. Moreover, </w:t>
      </w:r>
      <w:r w:rsidR="0065487F" w:rsidRPr="000A3AD5">
        <w:rPr>
          <w:lang w:val="en-US"/>
        </w:rPr>
        <w:t xml:space="preserve">the </w:t>
      </w:r>
      <w:r w:rsidRPr="000A3AD5">
        <w:rPr>
          <w:lang w:val="en-US"/>
        </w:rPr>
        <w:t>unemployment rate increased by 2.1 p</w:t>
      </w:r>
      <w:r w:rsidR="0065487F" w:rsidRPr="000A3AD5">
        <w:rPr>
          <w:lang w:val="en-US"/>
        </w:rPr>
        <w:t xml:space="preserve">ercentage </w:t>
      </w:r>
      <w:r w:rsidRPr="000A3AD5">
        <w:rPr>
          <w:lang w:val="en-US"/>
        </w:rPr>
        <w:t>p</w:t>
      </w:r>
      <w:r w:rsidR="0065487F" w:rsidRPr="000A3AD5">
        <w:rPr>
          <w:lang w:val="en-US"/>
        </w:rPr>
        <w:t>oints</w:t>
      </w:r>
      <w:r w:rsidRPr="000A3AD5">
        <w:rPr>
          <w:lang w:val="en-US"/>
        </w:rPr>
        <w:t xml:space="preserve"> from 2015 to 2016. </w:t>
      </w:r>
      <w:proofErr w:type="spellStart"/>
      <w:r w:rsidRPr="000A3AD5">
        <w:rPr>
          <w:b/>
          <w:lang w:val="en-US"/>
        </w:rPr>
        <w:t>Mardin</w:t>
      </w:r>
      <w:proofErr w:type="spellEnd"/>
      <w:r w:rsidRPr="000A3AD5">
        <w:rPr>
          <w:b/>
          <w:lang w:val="en-US"/>
        </w:rPr>
        <w:t xml:space="preserve"> region is followed by </w:t>
      </w:r>
      <w:proofErr w:type="spellStart"/>
      <w:r w:rsidRPr="000A3AD5">
        <w:rPr>
          <w:b/>
          <w:lang w:val="en-US"/>
        </w:rPr>
        <w:t>Şanlıurfa</w:t>
      </w:r>
      <w:proofErr w:type="spellEnd"/>
      <w:r w:rsidRPr="000A3AD5">
        <w:rPr>
          <w:b/>
          <w:lang w:val="en-US"/>
        </w:rPr>
        <w:t>-Diyarbakır</w:t>
      </w:r>
      <w:r w:rsidRPr="000A3AD5">
        <w:rPr>
          <w:lang w:val="en-US"/>
        </w:rPr>
        <w:t xml:space="preserve"> </w:t>
      </w:r>
      <w:r w:rsidRPr="000A3AD5">
        <w:rPr>
          <w:b/>
          <w:lang w:val="en-US"/>
        </w:rPr>
        <w:t xml:space="preserve">region </w:t>
      </w:r>
      <w:r w:rsidR="0065487F" w:rsidRPr="000A3AD5">
        <w:rPr>
          <w:b/>
          <w:lang w:val="en-US"/>
        </w:rPr>
        <w:t>since</w:t>
      </w:r>
      <w:r w:rsidRPr="000A3AD5">
        <w:rPr>
          <w:b/>
          <w:lang w:val="en-US"/>
        </w:rPr>
        <w:t xml:space="preserve"> it ha</w:t>
      </w:r>
      <w:r w:rsidR="0065487F" w:rsidRPr="000A3AD5">
        <w:rPr>
          <w:b/>
          <w:lang w:val="en-US"/>
        </w:rPr>
        <w:t>s a</w:t>
      </w:r>
      <w:r w:rsidRPr="000A3AD5">
        <w:rPr>
          <w:b/>
          <w:lang w:val="en-US"/>
        </w:rPr>
        <w:t xml:space="preserve"> very high unemployment rate with 23.2 percent and very low employment ratio with 27.9 percent</w:t>
      </w:r>
      <w:r w:rsidR="0065487F" w:rsidRPr="000A3AD5">
        <w:rPr>
          <w:b/>
          <w:lang w:val="en-US"/>
        </w:rPr>
        <w:t xml:space="preserve">. Also, the unemployment rate is this region </w:t>
      </w:r>
      <w:r w:rsidRPr="000A3AD5">
        <w:rPr>
          <w:b/>
          <w:lang w:val="en-US"/>
        </w:rPr>
        <w:t xml:space="preserve">increased by 0.9 pp. </w:t>
      </w:r>
    </w:p>
    <w:p w:rsidR="00C93156" w:rsidRPr="000A3AD5" w:rsidRDefault="0065487F" w:rsidP="00B457EB">
      <w:pPr>
        <w:rPr>
          <w:lang w:val="en-US"/>
        </w:rPr>
      </w:pPr>
      <w:r w:rsidRPr="000A3AD5">
        <w:rPr>
          <w:lang w:val="en-US"/>
        </w:rPr>
        <w:t>On the other hand,</w:t>
      </w:r>
      <w:r w:rsidR="00CB7D12" w:rsidRPr="000A3AD5">
        <w:rPr>
          <w:lang w:val="en-US"/>
        </w:rPr>
        <w:t xml:space="preserve"> </w:t>
      </w:r>
      <w:r w:rsidR="00CB7D12" w:rsidRPr="000A3AD5">
        <w:rPr>
          <w:b/>
          <w:lang w:val="en-US"/>
        </w:rPr>
        <w:t>Thrace</w:t>
      </w:r>
      <w:r w:rsidRPr="000A3AD5">
        <w:rPr>
          <w:b/>
          <w:lang w:val="en-US"/>
        </w:rPr>
        <w:t xml:space="preserve"> region appears </w:t>
      </w:r>
      <w:r w:rsidR="00CB7D12" w:rsidRPr="000A3AD5">
        <w:rPr>
          <w:b/>
          <w:lang w:val="en-US"/>
        </w:rPr>
        <w:t>as the best case</w:t>
      </w:r>
      <w:r w:rsidRPr="000A3AD5">
        <w:rPr>
          <w:lang w:val="en-US"/>
        </w:rPr>
        <w:t xml:space="preserve"> since this region has </w:t>
      </w:r>
      <w:r w:rsidR="00A35587" w:rsidRPr="000A3AD5">
        <w:rPr>
          <w:lang w:val="en-US"/>
        </w:rPr>
        <w:t xml:space="preserve">a </w:t>
      </w:r>
      <w:r w:rsidR="00CB7D12" w:rsidRPr="000A3AD5">
        <w:rPr>
          <w:b/>
          <w:lang w:val="en-US"/>
        </w:rPr>
        <w:t>low unem</w:t>
      </w:r>
      <w:r w:rsidRPr="000A3AD5">
        <w:rPr>
          <w:b/>
          <w:lang w:val="en-US"/>
        </w:rPr>
        <w:t xml:space="preserve">ployment rate with 8.8 percent and </w:t>
      </w:r>
      <w:r w:rsidR="00CB7D12" w:rsidRPr="000A3AD5">
        <w:rPr>
          <w:b/>
          <w:lang w:val="en-US"/>
        </w:rPr>
        <w:t>the highest employment ratio wi</w:t>
      </w:r>
      <w:r w:rsidRPr="000A3AD5">
        <w:rPr>
          <w:b/>
          <w:lang w:val="en-US"/>
        </w:rPr>
        <w:t>th 48.9 percent.</w:t>
      </w:r>
      <w:r w:rsidRPr="000A3AD5">
        <w:rPr>
          <w:lang w:val="en-US"/>
        </w:rPr>
        <w:t xml:space="preserve"> Its unique negative side</w:t>
      </w:r>
      <w:r w:rsidR="00CB7D12" w:rsidRPr="000A3AD5">
        <w:rPr>
          <w:lang w:val="en-US"/>
        </w:rPr>
        <w:t xml:space="preserve"> is the</w:t>
      </w:r>
      <w:r w:rsidRPr="000A3AD5">
        <w:rPr>
          <w:lang w:val="en-US"/>
        </w:rPr>
        <w:t xml:space="preserve"> increase in unemployment </w:t>
      </w:r>
      <w:r w:rsidR="00CB7D12" w:rsidRPr="000A3AD5">
        <w:rPr>
          <w:lang w:val="en-US"/>
        </w:rPr>
        <w:t xml:space="preserve">by 0.1 pp. However, we would like to remind that this marginal increase occurred in a context characterized by strong labor force </w:t>
      </w:r>
      <w:r w:rsidRPr="000A3AD5">
        <w:rPr>
          <w:lang w:val="en-US"/>
        </w:rPr>
        <w:t>and employment increases.</w:t>
      </w:r>
    </w:p>
    <w:p w:rsidR="0065487F" w:rsidRPr="000A3AD5" w:rsidRDefault="0065487F" w:rsidP="00B457EB">
      <w:pPr>
        <w:rPr>
          <w:b/>
          <w:lang w:val="en-US"/>
        </w:rPr>
      </w:pPr>
    </w:p>
    <w:p w:rsidR="0065487F" w:rsidRPr="000A3AD5" w:rsidRDefault="0065487F" w:rsidP="00B457EB">
      <w:pPr>
        <w:rPr>
          <w:b/>
          <w:lang w:val="en-US"/>
        </w:rPr>
      </w:pPr>
    </w:p>
    <w:p w:rsidR="0093418F" w:rsidRPr="000A3AD5" w:rsidRDefault="0093418F" w:rsidP="00B457EB">
      <w:pPr>
        <w:rPr>
          <w:b/>
          <w:lang w:val="en-US"/>
        </w:rPr>
      </w:pPr>
    </w:p>
    <w:p w:rsidR="0093418F" w:rsidRPr="000A3AD5" w:rsidRDefault="0093418F" w:rsidP="00B457EB">
      <w:pPr>
        <w:rPr>
          <w:b/>
          <w:lang w:val="en-US"/>
        </w:rPr>
      </w:pPr>
    </w:p>
    <w:p w:rsidR="00C93BF2" w:rsidRPr="000A3AD5" w:rsidRDefault="00C93BF2" w:rsidP="00B457EB">
      <w:pPr>
        <w:rPr>
          <w:b/>
          <w:lang w:val="en-US"/>
        </w:rPr>
      </w:pPr>
    </w:p>
    <w:p w:rsidR="00C93BF2" w:rsidRPr="000A3AD5" w:rsidRDefault="00C93BF2" w:rsidP="00B457EB">
      <w:pPr>
        <w:rPr>
          <w:b/>
          <w:lang w:val="en-US"/>
        </w:rPr>
      </w:pPr>
    </w:p>
    <w:p w:rsidR="00C93BF2" w:rsidRPr="000A3AD5" w:rsidRDefault="00C93BF2" w:rsidP="00B457EB">
      <w:pPr>
        <w:rPr>
          <w:b/>
          <w:lang w:val="en-US"/>
        </w:rPr>
      </w:pPr>
    </w:p>
    <w:p w:rsidR="00D73444" w:rsidRPr="000A3AD5" w:rsidRDefault="00566B0C" w:rsidP="00B457EB">
      <w:pPr>
        <w:rPr>
          <w:lang w:val="en-US"/>
        </w:rPr>
      </w:pPr>
      <w:r w:rsidRPr="000A3AD5">
        <w:rPr>
          <w:b/>
          <w:lang w:val="en-US"/>
        </w:rPr>
        <w:lastRenderedPageBreak/>
        <w:t>Annex</w:t>
      </w:r>
      <w:r w:rsidR="00D73444" w:rsidRPr="000A3AD5">
        <w:rPr>
          <w:b/>
          <w:lang w:val="en-US"/>
        </w:rPr>
        <w:t xml:space="preserve"> Table: </w:t>
      </w:r>
      <w:r w:rsidRPr="000A3AD5">
        <w:rPr>
          <w:b/>
          <w:lang w:val="en-US"/>
        </w:rPr>
        <w:t>Regional non-agri</w:t>
      </w:r>
      <w:r w:rsidR="00E07698" w:rsidRPr="000A3AD5">
        <w:rPr>
          <w:b/>
          <w:lang w:val="en-US"/>
        </w:rPr>
        <w:t>cultural</w:t>
      </w:r>
      <w:r w:rsidRPr="000A3AD5">
        <w:rPr>
          <w:b/>
          <w:lang w:val="en-US"/>
        </w:rPr>
        <w:t xml:space="preserve"> unemployment rates and non-agri</w:t>
      </w:r>
      <w:r w:rsidR="00E07698" w:rsidRPr="000A3AD5">
        <w:rPr>
          <w:b/>
          <w:lang w:val="en-US"/>
        </w:rPr>
        <w:t>cultural employment ratios (%, 2016)</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4"/>
        <w:gridCol w:w="1688"/>
        <w:gridCol w:w="1819"/>
      </w:tblGrid>
      <w:tr w:rsidR="00C06ECD" w:rsidRPr="000A3AD5" w:rsidTr="00566B0C">
        <w:trPr>
          <w:trHeight w:val="592"/>
        </w:trPr>
        <w:tc>
          <w:tcPr>
            <w:tcW w:w="5854" w:type="dxa"/>
            <w:shd w:val="clear" w:color="auto" w:fill="auto"/>
            <w:noWrap/>
            <w:vAlign w:val="bottom"/>
            <w:hideMark/>
          </w:tcPr>
          <w:p w:rsidR="00C06ECD" w:rsidRPr="000A3AD5" w:rsidRDefault="00083350" w:rsidP="00566B0C">
            <w:pPr>
              <w:spacing w:after="0" w:line="240" w:lineRule="auto"/>
              <w:rPr>
                <w:rFonts w:ascii="Times New Roman" w:eastAsia="Times New Roman" w:hAnsi="Times New Roman" w:cs="Times New Roman"/>
                <w:b/>
                <w:sz w:val="24"/>
                <w:szCs w:val="24"/>
                <w:lang w:val="en-US"/>
              </w:rPr>
            </w:pPr>
            <w:r w:rsidRPr="000A3AD5">
              <w:rPr>
                <w:rFonts w:ascii="Times New Roman" w:eastAsia="Times New Roman" w:hAnsi="Times New Roman" w:cs="Times New Roman"/>
                <w:b/>
                <w:sz w:val="24"/>
                <w:szCs w:val="24"/>
                <w:lang w:val="en-US"/>
              </w:rPr>
              <w:t>Regions</w:t>
            </w:r>
          </w:p>
          <w:p w:rsidR="00083350" w:rsidRPr="000A3AD5" w:rsidRDefault="00083350" w:rsidP="00566B0C">
            <w:pPr>
              <w:spacing w:after="0" w:line="240" w:lineRule="auto"/>
              <w:rPr>
                <w:rFonts w:ascii="Times New Roman" w:eastAsia="Times New Roman" w:hAnsi="Times New Roman" w:cs="Times New Roman"/>
                <w:sz w:val="24"/>
                <w:szCs w:val="24"/>
                <w:lang w:val="en-US"/>
              </w:rPr>
            </w:pPr>
          </w:p>
        </w:tc>
        <w:tc>
          <w:tcPr>
            <w:tcW w:w="1688" w:type="dxa"/>
            <w:vAlign w:val="center"/>
          </w:tcPr>
          <w:p w:rsidR="00C06ECD" w:rsidRPr="000A3AD5" w:rsidRDefault="00566B0C" w:rsidP="00566B0C">
            <w:pPr>
              <w:spacing w:after="0" w:line="240" w:lineRule="auto"/>
              <w:jc w:val="center"/>
              <w:rPr>
                <w:rFonts w:ascii="Calibri" w:eastAsia="Times New Roman" w:hAnsi="Calibri" w:cs="Times New Roman"/>
                <w:b/>
                <w:color w:val="000000"/>
                <w:lang w:val="en-US"/>
              </w:rPr>
            </w:pPr>
            <w:r w:rsidRPr="000A3AD5">
              <w:rPr>
                <w:rFonts w:ascii="Calibri" w:eastAsia="Times New Roman" w:hAnsi="Calibri" w:cs="Times New Roman"/>
                <w:b/>
                <w:color w:val="000000"/>
                <w:lang w:val="en-US"/>
              </w:rPr>
              <w:t>Non-agricultural unemployment rate</w:t>
            </w:r>
            <w:r w:rsidR="00C06ECD" w:rsidRPr="000A3AD5">
              <w:rPr>
                <w:rFonts w:ascii="Calibri" w:eastAsia="Times New Roman" w:hAnsi="Calibri" w:cs="Times New Roman"/>
                <w:b/>
                <w:color w:val="000000"/>
                <w:lang w:val="en-US"/>
              </w:rPr>
              <w:t xml:space="preserve"> </w:t>
            </w:r>
          </w:p>
        </w:tc>
        <w:tc>
          <w:tcPr>
            <w:tcW w:w="1819" w:type="dxa"/>
            <w:shd w:val="clear" w:color="auto" w:fill="auto"/>
            <w:vAlign w:val="center"/>
          </w:tcPr>
          <w:p w:rsidR="00C06ECD" w:rsidRPr="000A3AD5" w:rsidRDefault="006B5A90" w:rsidP="00C06ECD">
            <w:pPr>
              <w:spacing w:after="0" w:line="240" w:lineRule="auto"/>
              <w:jc w:val="center"/>
              <w:rPr>
                <w:rFonts w:ascii="Calibri" w:eastAsia="Times New Roman" w:hAnsi="Calibri" w:cs="Times New Roman"/>
                <w:b/>
                <w:color w:val="000000"/>
                <w:lang w:val="en-US"/>
              </w:rPr>
            </w:pPr>
            <m:oMathPara>
              <m:oMath>
                <m:f>
                  <m:fPr>
                    <m:type m:val="skw"/>
                    <m:ctrlPr>
                      <w:rPr>
                        <w:rFonts w:ascii="Cambria Math" w:eastAsia="Times New Roman" w:hAnsi="Cambria Math" w:cs="Times New Roman"/>
                        <w:b/>
                        <w:i/>
                        <w:color w:val="000000"/>
                        <w:sz w:val="20"/>
                        <w:szCs w:val="20"/>
                        <w:lang w:val="en-US"/>
                      </w:rPr>
                    </m:ctrlPr>
                  </m:fPr>
                  <m:num>
                    <m:sSub>
                      <m:sSubPr>
                        <m:ctrlPr>
                          <w:rPr>
                            <w:rFonts w:ascii="Cambria Math" w:eastAsia="Times New Roman" w:hAnsi="Cambria Math" w:cs="Times New Roman"/>
                            <w:b/>
                            <w:i/>
                            <w:color w:val="000000"/>
                            <w:sz w:val="20"/>
                            <w:szCs w:val="20"/>
                            <w:lang w:val="en-US"/>
                          </w:rPr>
                        </m:ctrlPr>
                      </m:sSubPr>
                      <m:e>
                        <m:r>
                          <m:rPr>
                            <m:sty m:val="bi"/>
                          </m:rPr>
                          <w:rPr>
                            <w:rFonts w:ascii="Cambria Math" w:eastAsia="Times New Roman" w:hAnsi="Cambria Math" w:cs="Times New Roman"/>
                            <w:color w:val="000000"/>
                            <w:sz w:val="20"/>
                            <w:szCs w:val="20"/>
                            <w:lang w:val="en-US"/>
                          </w:rPr>
                          <m:t>E</m:t>
                        </m:r>
                      </m:e>
                      <m:sub>
                        <m:r>
                          <m:rPr>
                            <m:sty m:val="bi"/>
                          </m:rPr>
                          <w:rPr>
                            <w:rFonts w:ascii="Cambria Math" w:eastAsia="Times New Roman" w:hAnsi="Cambria Math" w:cs="Times New Roman"/>
                            <w:color w:val="000000"/>
                            <w:sz w:val="20"/>
                            <w:szCs w:val="20"/>
                            <w:lang w:val="en-US"/>
                          </w:rPr>
                          <m:t>na</m:t>
                        </m:r>
                      </m:sub>
                    </m:sSub>
                  </m:num>
                  <m:den>
                    <m:r>
                      <m:rPr>
                        <m:sty m:val="bi"/>
                      </m:rPr>
                      <w:rPr>
                        <w:rFonts w:ascii="Cambria Math" w:eastAsia="Times New Roman" w:hAnsi="Cambria Math" w:cs="Times New Roman"/>
                        <w:color w:val="000000"/>
                        <w:sz w:val="20"/>
                        <w:szCs w:val="20"/>
                        <w:lang w:val="en-US"/>
                      </w:rPr>
                      <m:t xml:space="preserve">(WAP- </m:t>
                    </m:r>
                    <m:sSub>
                      <m:sSubPr>
                        <m:ctrlPr>
                          <w:rPr>
                            <w:rFonts w:ascii="Cambria Math" w:eastAsia="Times New Roman" w:hAnsi="Cambria Math" w:cs="Times New Roman"/>
                            <w:b/>
                            <w:i/>
                            <w:color w:val="000000"/>
                            <w:sz w:val="20"/>
                            <w:szCs w:val="20"/>
                            <w:lang w:val="en-US"/>
                          </w:rPr>
                        </m:ctrlPr>
                      </m:sSubPr>
                      <m:e>
                        <m:r>
                          <m:rPr>
                            <m:sty m:val="bi"/>
                          </m:rPr>
                          <w:rPr>
                            <w:rFonts w:ascii="Cambria Math" w:eastAsia="Times New Roman" w:hAnsi="Cambria Math" w:cs="Times New Roman"/>
                            <w:color w:val="000000"/>
                            <w:sz w:val="20"/>
                            <w:szCs w:val="20"/>
                            <w:lang w:val="en-US"/>
                          </w:rPr>
                          <m:t>E</m:t>
                        </m:r>
                      </m:e>
                      <m:sub>
                        <m:r>
                          <m:rPr>
                            <m:sty m:val="bi"/>
                          </m:rPr>
                          <w:rPr>
                            <w:rFonts w:ascii="Cambria Math" w:eastAsia="Times New Roman" w:hAnsi="Cambria Math" w:cs="Times New Roman"/>
                            <w:color w:val="000000"/>
                            <w:sz w:val="20"/>
                            <w:szCs w:val="20"/>
                            <w:lang w:val="en-US"/>
                          </w:rPr>
                          <m:t>a</m:t>
                        </m:r>
                      </m:sub>
                    </m:sSub>
                    <m:r>
                      <m:rPr>
                        <m:sty m:val="bi"/>
                      </m:rPr>
                      <w:rPr>
                        <w:rFonts w:ascii="Cambria Math" w:eastAsia="Times New Roman" w:hAnsi="Cambria Math" w:cs="Times New Roman"/>
                        <w:color w:val="000000"/>
                        <w:sz w:val="20"/>
                        <w:szCs w:val="20"/>
                        <w:lang w:val="en-US"/>
                      </w:rPr>
                      <m:t>)</m:t>
                    </m:r>
                  </m:den>
                </m:f>
              </m:oMath>
            </m:oMathPara>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TR21 (</w:t>
            </w:r>
            <w:proofErr w:type="spellStart"/>
            <w:r w:rsidRPr="000A3AD5">
              <w:rPr>
                <w:rFonts w:ascii="Calibri" w:hAnsi="Calibri" w:cs="Calibri"/>
                <w:color w:val="000000"/>
                <w:lang w:val="en-US"/>
              </w:rPr>
              <w:t>Tekirdağ</w:t>
            </w:r>
            <w:proofErr w:type="spellEnd"/>
            <w:r w:rsidRPr="000A3AD5">
              <w:rPr>
                <w:rFonts w:ascii="Calibri" w:hAnsi="Calibri" w:cs="Calibri"/>
                <w:color w:val="000000"/>
                <w:lang w:val="en-US"/>
              </w:rPr>
              <w:t xml:space="preserve">, Edirne, </w:t>
            </w:r>
            <w:proofErr w:type="spellStart"/>
            <w:r w:rsidRPr="000A3AD5">
              <w:rPr>
                <w:rFonts w:ascii="Calibri" w:hAnsi="Calibri" w:cs="Calibri"/>
                <w:color w:val="000000"/>
                <w:lang w:val="en-US"/>
              </w:rPr>
              <w:t>Kırklareli</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8.8</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48.9</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TR10 (İstanbul)</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13.6</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48.5</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TR51 (Ankara)</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11.7</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46.3</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 xml:space="preserve">TR32 (Aydın, </w:t>
            </w:r>
            <w:proofErr w:type="spellStart"/>
            <w:r w:rsidRPr="000A3AD5">
              <w:rPr>
                <w:rFonts w:ascii="Calibri" w:hAnsi="Calibri" w:cs="Calibri"/>
                <w:color w:val="000000"/>
                <w:lang w:val="en-US"/>
              </w:rPr>
              <w:t>Denizli</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Muğla</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8.8</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42.0</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 xml:space="preserve">TR41 (Bursa, </w:t>
            </w:r>
            <w:proofErr w:type="spellStart"/>
            <w:r w:rsidRPr="000A3AD5">
              <w:rPr>
                <w:rFonts w:ascii="Calibri" w:hAnsi="Calibri" w:cs="Calibri"/>
                <w:color w:val="000000"/>
                <w:lang w:val="en-US"/>
              </w:rPr>
              <w:t>Eskişehir</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Bilecik</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9.9</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42.9</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TR33 (</w:t>
            </w:r>
            <w:proofErr w:type="spellStart"/>
            <w:r w:rsidRPr="000A3AD5">
              <w:rPr>
                <w:rFonts w:ascii="Calibri" w:hAnsi="Calibri" w:cs="Calibri"/>
                <w:color w:val="000000"/>
                <w:lang w:val="en-US"/>
              </w:rPr>
              <w:t>Manisa</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Afyonkarahisar</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Kütahya</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Uşak</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7.2</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39.3</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TR42 (</w:t>
            </w:r>
            <w:proofErr w:type="spellStart"/>
            <w:r w:rsidRPr="000A3AD5">
              <w:rPr>
                <w:rFonts w:ascii="Calibri" w:hAnsi="Calibri" w:cs="Calibri"/>
                <w:color w:val="000000"/>
                <w:lang w:val="en-US"/>
              </w:rPr>
              <w:t>Kocaeli</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Sakarya</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Düzce</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Bolu</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Yalova</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12.1</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44.1</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 xml:space="preserve">TR52 (Konya, </w:t>
            </w:r>
            <w:proofErr w:type="spellStart"/>
            <w:r w:rsidRPr="000A3AD5">
              <w:rPr>
                <w:rFonts w:ascii="Calibri" w:hAnsi="Calibri" w:cs="Calibri"/>
                <w:color w:val="000000"/>
                <w:lang w:val="en-US"/>
              </w:rPr>
              <w:t>Karaman</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8.0</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39.6</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 xml:space="preserve">TR90 (Trabzon, </w:t>
            </w:r>
            <w:proofErr w:type="spellStart"/>
            <w:r w:rsidRPr="000A3AD5">
              <w:rPr>
                <w:rFonts w:ascii="Calibri" w:hAnsi="Calibri" w:cs="Calibri"/>
                <w:color w:val="000000"/>
                <w:lang w:val="en-US"/>
              </w:rPr>
              <w:t>Ordu</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Giresun</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Rize</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Artvin</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Gümüşhane</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7.5</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38.5</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TR31 (İzmir)</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15.2</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44.9</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 xml:space="preserve">TR61 (Antalya, </w:t>
            </w:r>
            <w:proofErr w:type="spellStart"/>
            <w:r w:rsidRPr="000A3AD5">
              <w:rPr>
                <w:rFonts w:ascii="Calibri" w:hAnsi="Calibri" w:cs="Calibri"/>
                <w:color w:val="000000"/>
                <w:lang w:val="en-US"/>
              </w:rPr>
              <w:t>Isparta</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Burdur</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14.2</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43.2</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TR22 (</w:t>
            </w:r>
            <w:proofErr w:type="spellStart"/>
            <w:r w:rsidRPr="000A3AD5">
              <w:rPr>
                <w:rFonts w:ascii="Calibri" w:hAnsi="Calibri" w:cs="Calibri"/>
                <w:color w:val="000000"/>
                <w:lang w:val="en-US"/>
              </w:rPr>
              <w:t>Balıkesir</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Çanakkale</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8.8</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36.9</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TR82 (</w:t>
            </w:r>
            <w:proofErr w:type="spellStart"/>
            <w:r w:rsidRPr="000A3AD5">
              <w:rPr>
                <w:rFonts w:ascii="Calibri" w:hAnsi="Calibri" w:cs="Calibri"/>
                <w:color w:val="000000"/>
                <w:lang w:val="en-US"/>
              </w:rPr>
              <w:t>Kastamonu</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Çankırı</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Sinop</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10.4</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37.5</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 xml:space="preserve">TR72 (Kayseri, Sivas, </w:t>
            </w:r>
            <w:proofErr w:type="spellStart"/>
            <w:r w:rsidRPr="000A3AD5">
              <w:rPr>
                <w:rFonts w:ascii="Calibri" w:hAnsi="Calibri" w:cs="Calibri"/>
                <w:color w:val="000000"/>
                <w:lang w:val="en-US"/>
              </w:rPr>
              <w:t>Yozgat</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11.4</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37.0</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TR62 (Adana, Mersin)</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12.8</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38.3</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TR81 (</w:t>
            </w:r>
            <w:proofErr w:type="spellStart"/>
            <w:r w:rsidRPr="000A3AD5">
              <w:rPr>
                <w:rFonts w:ascii="Calibri" w:hAnsi="Calibri" w:cs="Calibri"/>
                <w:color w:val="000000"/>
                <w:lang w:val="en-US"/>
              </w:rPr>
              <w:t>Zonguldak</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Karabük</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Bartın</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12.2</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37.6</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 xml:space="preserve">TRB1 (Malatya, </w:t>
            </w:r>
            <w:proofErr w:type="spellStart"/>
            <w:r w:rsidRPr="000A3AD5">
              <w:rPr>
                <w:rFonts w:ascii="Calibri" w:hAnsi="Calibri" w:cs="Calibri"/>
                <w:color w:val="000000"/>
                <w:lang w:val="en-US"/>
              </w:rPr>
              <w:t>Elazığ</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Bingöl</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Tunceli</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12.1</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36.3</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 xml:space="preserve">TRA1 (Erzurum, Erzincan, </w:t>
            </w:r>
            <w:proofErr w:type="spellStart"/>
            <w:r w:rsidRPr="000A3AD5">
              <w:rPr>
                <w:rFonts w:ascii="Calibri" w:hAnsi="Calibri" w:cs="Calibri"/>
                <w:color w:val="000000"/>
                <w:lang w:val="en-US"/>
              </w:rPr>
              <w:t>Bayburt</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8.8</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32.6</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 xml:space="preserve">TR83 (Samsun, </w:t>
            </w:r>
            <w:proofErr w:type="spellStart"/>
            <w:r w:rsidRPr="000A3AD5">
              <w:rPr>
                <w:rFonts w:ascii="Calibri" w:hAnsi="Calibri" w:cs="Calibri"/>
                <w:color w:val="000000"/>
                <w:lang w:val="en-US"/>
              </w:rPr>
              <w:t>Tokat</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Çorum</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Amasya</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12.4</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35.7</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 xml:space="preserve">TRC1 (Gaziantep, </w:t>
            </w:r>
            <w:proofErr w:type="spellStart"/>
            <w:r w:rsidRPr="000A3AD5">
              <w:rPr>
                <w:rFonts w:ascii="Calibri" w:hAnsi="Calibri" w:cs="Calibri"/>
                <w:color w:val="000000"/>
                <w:lang w:val="en-US"/>
              </w:rPr>
              <w:t>Adıyaman</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Kilis</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15.8</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35.5</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TRA2 (</w:t>
            </w:r>
            <w:proofErr w:type="spellStart"/>
            <w:r w:rsidRPr="000A3AD5">
              <w:rPr>
                <w:rFonts w:ascii="Calibri" w:hAnsi="Calibri" w:cs="Calibri"/>
                <w:color w:val="000000"/>
                <w:lang w:val="en-US"/>
              </w:rPr>
              <w:t>Ağrı</w:t>
            </w:r>
            <w:proofErr w:type="spellEnd"/>
            <w:r w:rsidRPr="000A3AD5">
              <w:rPr>
                <w:rFonts w:ascii="Calibri" w:hAnsi="Calibri" w:cs="Calibri"/>
                <w:color w:val="000000"/>
                <w:lang w:val="en-US"/>
              </w:rPr>
              <w:t xml:space="preserve">, Kars, </w:t>
            </w:r>
            <w:proofErr w:type="spellStart"/>
            <w:r w:rsidRPr="000A3AD5">
              <w:rPr>
                <w:rFonts w:ascii="Calibri" w:hAnsi="Calibri" w:cs="Calibri"/>
                <w:color w:val="000000"/>
                <w:lang w:val="en-US"/>
              </w:rPr>
              <w:t>Iğdır</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Ardahan</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10.3</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29.7</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TR71 (</w:t>
            </w:r>
            <w:proofErr w:type="spellStart"/>
            <w:r w:rsidRPr="000A3AD5">
              <w:rPr>
                <w:rFonts w:ascii="Calibri" w:hAnsi="Calibri" w:cs="Calibri"/>
                <w:color w:val="000000"/>
                <w:lang w:val="en-US"/>
              </w:rPr>
              <w:t>Kırıkkale</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Aksaray</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Niğde</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Nevşehir</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Kırşehir</w:t>
            </w:r>
            <w:proofErr w:type="spellEnd"/>
            <w:r w:rsidRPr="000A3AD5">
              <w:rPr>
                <w:rFonts w:ascii="Calibri" w:hAnsi="Calibri" w:cs="Calibri"/>
                <w:color w:val="000000"/>
                <w:lang w:val="en-US"/>
              </w:rPr>
              <w:t xml:space="preserve"> )</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18.0</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36.2</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TR63 (</w:t>
            </w:r>
            <w:proofErr w:type="spellStart"/>
            <w:r w:rsidRPr="000A3AD5">
              <w:rPr>
                <w:rFonts w:ascii="Calibri" w:hAnsi="Calibri" w:cs="Calibri"/>
                <w:color w:val="000000"/>
                <w:lang w:val="en-US"/>
              </w:rPr>
              <w:t>Hatay</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Kahramanmaraş</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Osmaniye</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16.9</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33.7</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 xml:space="preserve">TRB2 (Van, </w:t>
            </w:r>
            <w:proofErr w:type="spellStart"/>
            <w:r w:rsidRPr="000A3AD5">
              <w:rPr>
                <w:rFonts w:ascii="Calibri" w:hAnsi="Calibri" w:cs="Calibri"/>
                <w:color w:val="000000"/>
                <w:lang w:val="en-US"/>
              </w:rPr>
              <w:t>Muş</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Bitlis</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Hakkari</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14.4</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26.8</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TRC2 (</w:t>
            </w:r>
            <w:proofErr w:type="spellStart"/>
            <w:r w:rsidRPr="000A3AD5">
              <w:rPr>
                <w:rFonts w:ascii="Calibri" w:hAnsi="Calibri" w:cs="Calibri"/>
                <w:color w:val="000000"/>
                <w:lang w:val="en-US"/>
              </w:rPr>
              <w:t>Şanlıurfa</w:t>
            </w:r>
            <w:proofErr w:type="spellEnd"/>
            <w:r w:rsidRPr="000A3AD5">
              <w:rPr>
                <w:rFonts w:ascii="Calibri" w:hAnsi="Calibri" w:cs="Calibri"/>
                <w:color w:val="000000"/>
                <w:lang w:val="en-US"/>
              </w:rPr>
              <w:t>, Diyarbakır)</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23.2</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27.9</w:t>
            </w:r>
          </w:p>
        </w:tc>
      </w:tr>
      <w:tr w:rsidR="00C06ECD" w:rsidRPr="000A3AD5" w:rsidTr="00566B0C">
        <w:trPr>
          <w:trHeight w:val="318"/>
        </w:trPr>
        <w:tc>
          <w:tcPr>
            <w:tcW w:w="5854" w:type="dxa"/>
            <w:shd w:val="clear" w:color="auto" w:fill="auto"/>
            <w:noWrap/>
            <w:hideMark/>
          </w:tcPr>
          <w:p w:rsidR="00C06ECD" w:rsidRPr="000A3AD5" w:rsidRDefault="00C06ECD" w:rsidP="00040E8E">
            <w:pPr>
              <w:autoSpaceDE w:val="0"/>
              <w:autoSpaceDN w:val="0"/>
              <w:adjustRightInd w:val="0"/>
              <w:spacing w:after="0" w:line="240" w:lineRule="auto"/>
              <w:rPr>
                <w:rFonts w:ascii="Calibri" w:hAnsi="Calibri" w:cs="Calibri"/>
                <w:color w:val="000000"/>
                <w:lang w:val="en-US"/>
              </w:rPr>
            </w:pPr>
            <w:r w:rsidRPr="000A3AD5">
              <w:rPr>
                <w:rFonts w:ascii="Calibri" w:hAnsi="Calibri" w:cs="Calibri"/>
                <w:color w:val="000000"/>
                <w:lang w:val="en-US"/>
              </w:rPr>
              <w:t>TRC3 (</w:t>
            </w:r>
            <w:proofErr w:type="spellStart"/>
            <w:r w:rsidRPr="000A3AD5">
              <w:rPr>
                <w:rFonts w:ascii="Calibri" w:hAnsi="Calibri" w:cs="Calibri"/>
                <w:color w:val="000000"/>
                <w:lang w:val="en-US"/>
              </w:rPr>
              <w:t>Mardin</w:t>
            </w:r>
            <w:proofErr w:type="spellEnd"/>
            <w:r w:rsidRPr="000A3AD5">
              <w:rPr>
                <w:rFonts w:ascii="Calibri" w:hAnsi="Calibri" w:cs="Calibri"/>
                <w:color w:val="000000"/>
                <w:lang w:val="en-US"/>
              </w:rPr>
              <w:t xml:space="preserve">, Batman, </w:t>
            </w:r>
            <w:proofErr w:type="spellStart"/>
            <w:r w:rsidRPr="000A3AD5">
              <w:rPr>
                <w:rFonts w:ascii="Calibri" w:hAnsi="Calibri" w:cs="Calibri"/>
                <w:color w:val="000000"/>
                <w:lang w:val="en-US"/>
              </w:rPr>
              <w:t>Şırnak</w:t>
            </w:r>
            <w:proofErr w:type="spellEnd"/>
            <w:r w:rsidRPr="000A3AD5">
              <w:rPr>
                <w:rFonts w:ascii="Calibri" w:hAnsi="Calibri" w:cs="Calibri"/>
                <w:color w:val="000000"/>
                <w:lang w:val="en-US"/>
              </w:rPr>
              <w:t xml:space="preserve">, </w:t>
            </w:r>
            <w:proofErr w:type="spellStart"/>
            <w:r w:rsidRPr="000A3AD5">
              <w:rPr>
                <w:rFonts w:ascii="Calibri" w:hAnsi="Calibri" w:cs="Calibri"/>
                <w:color w:val="000000"/>
                <w:lang w:val="en-US"/>
              </w:rPr>
              <w:t>Siirt</w:t>
            </w:r>
            <w:proofErr w:type="spellEnd"/>
            <w:r w:rsidRPr="000A3AD5">
              <w:rPr>
                <w:rFonts w:ascii="Calibri" w:hAnsi="Calibri" w:cs="Calibri"/>
                <w:color w:val="000000"/>
                <w:lang w:val="en-US"/>
              </w:rPr>
              <w:t>)</w:t>
            </w:r>
          </w:p>
        </w:tc>
        <w:tc>
          <w:tcPr>
            <w:tcW w:w="1688"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30.1</w:t>
            </w:r>
          </w:p>
        </w:tc>
        <w:tc>
          <w:tcPr>
            <w:tcW w:w="1819" w:type="dxa"/>
          </w:tcPr>
          <w:p w:rsidR="00C06ECD" w:rsidRPr="000A3AD5" w:rsidRDefault="00C06ECD" w:rsidP="00C06ECD">
            <w:pPr>
              <w:autoSpaceDE w:val="0"/>
              <w:autoSpaceDN w:val="0"/>
              <w:adjustRightInd w:val="0"/>
              <w:spacing w:after="0" w:line="240" w:lineRule="auto"/>
              <w:jc w:val="center"/>
              <w:rPr>
                <w:rFonts w:ascii="Calibri" w:hAnsi="Calibri" w:cs="Calibri"/>
                <w:color w:val="000000"/>
                <w:lang w:val="en-US"/>
              </w:rPr>
            </w:pPr>
            <w:r w:rsidRPr="000A3AD5">
              <w:rPr>
                <w:rFonts w:ascii="Calibri" w:hAnsi="Calibri" w:cs="Calibri"/>
                <w:color w:val="000000"/>
                <w:lang w:val="en-US"/>
              </w:rPr>
              <w:t>25.5</w:t>
            </w:r>
          </w:p>
        </w:tc>
      </w:tr>
    </w:tbl>
    <w:p w:rsidR="00533E95" w:rsidRPr="000A3AD5" w:rsidRDefault="00566B0C" w:rsidP="0054644B">
      <w:pPr>
        <w:rPr>
          <w:color w:val="FF0000"/>
          <w:sz w:val="16"/>
          <w:szCs w:val="16"/>
          <w:lang w:val="en-US"/>
        </w:rPr>
      </w:pPr>
      <w:r w:rsidRPr="000A3AD5">
        <w:rPr>
          <w:sz w:val="16"/>
          <w:szCs w:val="16"/>
          <w:lang w:val="en-US"/>
        </w:rPr>
        <w:t xml:space="preserve">Source: </w:t>
      </w:r>
      <w:proofErr w:type="spellStart"/>
      <w:r w:rsidRPr="000A3AD5">
        <w:rPr>
          <w:sz w:val="16"/>
          <w:szCs w:val="16"/>
          <w:lang w:val="en-US"/>
        </w:rPr>
        <w:t>Turkstat</w:t>
      </w:r>
      <w:proofErr w:type="spellEnd"/>
      <w:r w:rsidRPr="000A3AD5">
        <w:rPr>
          <w:sz w:val="16"/>
          <w:szCs w:val="16"/>
          <w:lang w:val="en-US"/>
        </w:rPr>
        <w:t>,</w:t>
      </w:r>
      <w:r w:rsidR="00376669" w:rsidRPr="000A3AD5">
        <w:rPr>
          <w:sz w:val="16"/>
          <w:szCs w:val="16"/>
          <w:lang w:val="en-US"/>
        </w:rPr>
        <w:t xml:space="preserve"> Betam</w:t>
      </w:r>
      <w:r w:rsidR="00533E95" w:rsidRPr="000A3AD5">
        <w:rPr>
          <w:sz w:val="16"/>
          <w:szCs w:val="16"/>
          <w:lang w:val="en-US"/>
        </w:rPr>
        <w:br/>
        <w:t>Not</w:t>
      </w:r>
      <w:r w:rsidRPr="000A3AD5">
        <w:rPr>
          <w:sz w:val="16"/>
          <w:szCs w:val="16"/>
          <w:lang w:val="en-US"/>
        </w:rPr>
        <w:t>e</w:t>
      </w:r>
      <w:r w:rsidR="00533E95" w:rsidRPr="000A3AD5">
        <w:rPr>
          <w:sz w:val="16"/>
          <w:szCs w:val="16"/>
          <w:lang w:val="en-US"/>
        </w:rPr>
        <w:t xml:space="preserve">: </w:t>
      </w:r>
      <m:oMath>
        <m:sSub>
          <m:sSubPr>
            <m:ctrlPr>
              <w:rPr>
                <w:rFonts w:ascii="Cambria Math" w:hAnsi="Cambria Math"/>
                <w:i/>
                <w:color w:val="000000" w:themeColor="text1"/>
                <w:sz w:val="16"/>
                <w:szCs w:val="16"/>
                <w:lang w:val="en-US"/>
              </w:rPr>
            </m:ctrlPr>
          </m:sSubPr>
          <m:e>
            <m:r>
              <m:rPr>
                <m:sty m:val="bi"/>
              </m:rPr>
              <w:rPr>
                <w:rFonts w:ascii="Cambria Math" w:hAnsi="Cambria Math"/>
                <w:color w:val="000000" w:themeColor="text1"/>
                <w:sz w:val="16"/>
                <w:szCs w:val="16"/>
                <w:lang w:val="en-US"/>
              </w:rPr>
              <m:t>E</m:t>
            </m:r>
          </m:e>
          <m:sub>
            <m:r>
              <m:rPr>
                <m:sty m:val="bi"/>
              </m:rPr>
              <w:rPr>
                <w:rFonts w:ascii="Cambria Math" w:hAnsi="Cambria Math"/>
                <w:color w:val="000000" w:themeColor="text1"/>
                <w:sz w:val="16"/>
                <w:szCs w:val="16"/>
                <w:lang w:val="en-US"/>
              </w:rPr>
              <m:t xml:space="preserve">a </m:t>
            </m:r>
          </m:sub>
        </m:sSub>
        <m:r>
          <m:rPr>
            <m:sty m:val="bi"/>
          </m:rPr>
          <w:rPr>
            <w:rFonts w:ascii="Cambria Math" w:hAnsi="Cambria Math"/>
            <w:color w:val="000000" w:themeColor="text1"/>
            <w:sz w:val="16"/>
            <w:szCs w:val="16"/>
            <w:lang w:val="en-US"/>
          </w:rPr>
          <m:t>:</m:t>
        </m:r>
      </m:oMath>
      <w:r w:rsidRPr="000A3AD5">
        <w:rPr>
          <w:color w:val="000000" w:themeColor="text1"/>
          <w:sz w:val="16"/>
          <w:szCs w:val="16"/>
          <w:lang w:val="en-US"/>
        </w:rPr>
        <w:t xml:space="preserve"> Agricultural employment</w:t>
      </w:r>
      <w:r w:rsidR="00533E95" w:rsidRPr="000A3AD5">
        <w:rPr>
          <w:color w:val="000000" w:themeColor="text1"/>
          <w:sz w:val="16"/>
          <w:szCs w:val="16"/>
          <w:lang w:val="en-US"/>
        </w:rPr>
        <w:t xml:space="preserve">, </w:t>
      </w:r>
      <m:oMath>
        <m:sSub>
          <m:sSubPr>
            <m:ctrlPr>
              <w:rPr>
                <w:rFonts w:ascii="Cambria Math" w:hAnsi="Cambria Math"/>
                <w:i/>
                <w:color w:val="000000" w:themeColor="text1"/>
                <w:sz w:val="16"/>
                <w:szCs w:val="16"/>
                <w:lang w:val="en-US"/>
              </w:rPr>
            </m:ctrlPr>
          </m:sSubPr>
          <m:e>
            <m:r>
              <m:rPr>
                <m:sty m:val="bi"/>
              </m:rPr>
              <w:rPr>
                <w:rFonts w:ascii="Cambria Math" w:hAnsi="Cambria Math"/>
                <w:color w:val="000000" w:themeColor="text1"/>
                <w:sz w:val="16"/>
                <w:szCs w:val="16"/>
                <w:lang w:val="en-US"/>
              </w:rPr>
              <m:t>E</m:t>
            </m:r>
          </m:e>
          <m:sub>
            <m:r>
              <m:rPr>
                <m:sty m:val="bi"/>
              </m:rPr>
              <w:rPr>
                <w:rFonts w:ascii="Cambria Math" w:hAnsi="Cambria Math"/>
                <w:color w:val="000000" w:themeColor="text1"/>
                <w:sz w:val="16"/>
                <w:szCs w:val="16"/>
                <w:lang w:val="en-US"/>
              </w:rPr>
              <m:t>na</m:t>
            </m:r>
          </m:sub>
        </m:sSub>
        <m:r>
          <m:rPr>
            <m:sty m:val="bi"/>
          </m:rPr>
          <w:rPr>
            <w:rFonts w:ascii="Cambria Math" w:hAnsi="Cambria Math"/>
            <w:color w:val="000000" w:themeColor="text1"/>
            <w:sz w:val="16"/>
            <w:szCs w:val="16"/>
            <w:lang w:val="en-US"/>
          </w:rPr>
          <m:t>:</m:t>
        </m:r>
      </m:oMath>
      <w:r w:rsidRPr="000A3AD5">
        <w:rPr>
          <w:color w:val="000000" w:themeColor="text1"/>
          <w:sz w:val="16"/>
          <w:szCs w:val="16"/>
          <w:lang w:val="en-US"/>
        </w:rPr>
        <w:t xml:space="preserve"> Non-agricultural employment</w:t>
      </w:r>
      <w:r w:rsidR="00533E95" w:rsidRPr="000A3AD5">
        <w:rPr>
          <w:color w:val="000000" w:themeColor="text1"/>
          <w:sz w:val="16"/>
          <w:szCs w:val="16"/>
          <w:lang w:val="en-US"/>
        </w:rPr>
        <w:t xml:space="preserve">, </w:t>
      </w:r>
      <w:r w:rsidRPr="000A3AD5">
        <w:rPr>
          <w:i/>
          <w:color w:val="000000" w:themeColor="text1"/>
          <w:sz w:val="16"/>
          <w:szCs w:val="16"/>
          <w:lang w:val="en-US"/>
        </w:rPr>
        <w:t>WAP</w:t>
      </w:r>
      <w:r w:rsidRPr="000A3AD5">
        <w:rPr>
          <w:color w:val="000000" w:themeColor="text1"/>
          <w:sz w:val="16"/>
          <w:szCs w:val="16"/>
          <w:lang w:val="en-US"/>
        </w:rPr>
        <w:t>: Working age population</w:t>
      </w:r>
      <w:r w:rsidR="00533E95" w:rsidRPr="000A3AD5">
        <w:rPr>
          <w:color w:val="000000" w:themeColor="text1"/>
          <w:sz w:val="16"/>
          <w:szCs w:val="16"/>
          <w:lang w:val="en-US"/>
        </w:rPr>
        <w:t xml:space="preserve"> </w:t>
      </w:r>
    </w:p>
    <w:p w:rsidR="00614312" w:rsidRPr="000A3AD5" w:rsidRDefault="00614312" w:rsidP="0054644B">
      <w:pPr>
        <w:rPr>
          <w:lang w:val="en-US"/>
        </w:rPr>
      </w:pPr>
    </w:p>
    <w:p w:rsidR="001B4061" w:rsidRPr="000A3AD5" w:rsidRDefault="001B4061" w:rsidP="0054644B">
      <w:pPr>
        <w:rPr>
          <w:lang w:val="en-US"/>
        </w:rPr>
      </w:pPr>
    </w:p>
    <w:p w:rsidR="00F9001E" w:rsidRPr="000A3AD5" w:rsidRDefault="00112377" w:rsidP="0054644B">
      <w:pPr>
        <w:rPr>
          <w:b/>
          <w:lang w:val="en-US"/>
        </w:rPr>
      </w:pPr>
      <w:r w:rsidRPr="000A3AD5">
        <w:rPr>
          <w:noProof/>
          <w:sz w:val="24"/>
          <w:szCs w:val="24"/>
        </w:rPr>
        <w:lastRenderedPageBreak/>
        <mc:AlternateContent>
          <mc:Choice Requires="wps">
            <w:drawing>
              <wp:anchor distT="45720" distB="45720" distL="114300" distR="114300" simplePos="0" relativeHeight="251666432" behindDoc="0" locked="0" layoutInCell="1" allowOverlap="1" wp14:anchorId="2EA2DCDE" wp14:editId="38FFFC54">
                <wp:simplePos x="0" y="0"/>
                <wp:positionH relativeFrom="margin">
                  <wp:posOffset>-280670</wp:posOffset>
                </wp:positionH>
                <wp:positionV relativeFrom="paragraph">
                  <wp:posOffset>0</wp:posOffset>
                </wp:positionV>
                <wp:extent cx="6438900" cy="9410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410700"/>
                        </a:xfrm>
                        <a:prstGeom prst="rect">
                          <a:avLst/>
                        </a:prstGeom>
                        <a:solidFill>
                          <a:srgbClr val="FFFFFF"/>
                        </a:solidFill>
                        <a:ln w="9525">
                          <a:solidFill>
                            <a:srgbClr val="000000"/>
                          </a:solidFill>
                          <a:miter lim="800000"/>
                          <a:headEnd/>
                          <a:tailEnd/>
                        </a:ln>
                      </wps:spPr>
                      <wps:txbx>
                        <w:txbxContent>
                          <w:p w:rsidR="00D1701D" w:rsidRPr="00566B0C" w:rsidRDefault="00D1701D" w:rsidP="00614312">
                            <w:pPr>
                              <w:jc w:val="both"/>
                              <w:rPr>
                                <w:lang w:val="en-US"/>
                              </w:rPr>
                            </w:pPr>
                            <w:r w:rsidRPr="00566B0C">
                              <w:rPr>
                                <w:b/>
                                <w:lang w:val="en-US"/>
                              </w:rPr>
                              <w:t>BOX: The impact of agricultural employment on regional unemployment rates</w:t>
                            </w:r>
                          </w:p>
                          <w:p w:rsidR="00D1701D" w:rsidRPr="007C3735" w:rsidRDefault="00D1701D" w:rsidP="00614312">
                            <w:pPr>
                              <w:jc w:val="both"/>
                              <w:rPr>
                                <w:lang w:val="en-US"/>
                              </w:rPr>
                            </w:pPr>
                            <w:r w:rsidRPr="007C3735">
                              <w:rPr>
                                <w:lang w:val="en-US"/>
                              </w:rPr>
                              <w:t xml:space="preserve">Turkish Statistical Institute releases </w:t>
                            </w:r>
                            <w:r w:rsidR="00A35587">
                              <w:rPr>
                                <w:lang w:val="en-US"/>
                              </w:rPr>
                              <w:t>overall a</w:t>
                            </w:r>
                            <w:r w:rsidRPr="007C3735">
                              <w:rPr>
                                <w:lang w:val="en-US"/>
                              </w:rPr>
                              <w:t xml:space="preserve">nd non-agricultural unemployment rates separately for the 26 regions (NUTS 2). </w:t>
                            </w:r>
                            <w:r w:rsidR="00A35587">
                              <w:rPr>
                                <w:lang w:val="en-US"/>
                              </w:rPr>
                              <w:t xml:space="preserve">To </w:t>
                            </w:r>
                            <w:r w:rsidRPr="007C3735">
                              <w:rPr>
                                <w:lang w:val="en-US"/>
                              </w:rPr>
                              <w:t>conduct a regional comparison, whi</w:t>
                            </w:r>
                            <w:r w:rsidR="000A3AD5">
                              <w:rPr>
                                <w:lang w:val="en-US"/>
                              </w:rPr>
                              <w:t>ch of these rates should we preferred</w:t>
                            </w:r>
                            <w:r w:rsidRPr="007C3735">
                              <w:rPr>
                                <w:lang w:val="en-US"/>
                              </w:rPr>
                              <w:t xml:space="preserve">? This is a legitimate question since not only there exist large gaps between two rates for numerous regions but also the regional ranking according to these rates are different. For example, </w:t>
                            </w:r>
                            <w:proofErr w:type="spellStart"/>
                            <w:r w:rsidRPr="007C3735">
                              <w:rPr>
                                <w:lang w:val="en-US"/>
                              </w:rPr>
                              <w:t>Ağrı</w:t>
                            </w:r>
                            <w:proofErr w:type="spellEnd"/>
                            <w:r w:rsidRPr="007C3735">
                              <w:rPr>
                                <w:lang w:val="en-US"/>
                              </w:rPr>
                              <w:t>-Kars-</w:t>
                            </w:r>
                            <w:proofErr w:type="spellStart"/>
                            <w:r w:rsidRPr="007C3735">
                              <w:rPr>
                                <w:lang w:val="en-US"/>
                              </w:rPr>
                              <w:t>Iğdır</w:t>
                            </w:r>
                            <w:proofErr w:type="spellEnd"/>
                            <w:r w:rsidRPr="007C3735">
                              <w:rPr>
                                <w:lang w:val="en-US"/>
                              </w:rPr>
                              <w:t>-</w:t>
                            </w:r>
                            <w:proofErr w:type="spellStart"/>
                            <w:r w:rsidRPr="007C3735">
                              <w:rPr>
                                <w:lang w:val="en-US"/>
                              </w:rPr>
                              <w:t>Ardahan</w:t>
                            </w:r>
                            <w:proofErr w:type="spellEnd"/>
                            <w:r w:rsidRPr="007C3735">
                              <w:rPr>
                                <w:lang w:val="en-US"/>
                              </w:rPr>
                              <w:t xml:space="preserve"> (TRA2) region holding  general unemployment rate of 4.9 percent  is ranked second from bottom but it is ranked 7</w:t>
                            </w:r>
                            <w:r w:rsidRPr="007C3735">
                              <w:rPr>
                                <w:vertAlign w:val="superscript"/>
                                <w:lang w:val="en-US"/>
                              </w:rPr>
                              <w:t>th</w:t>
                            </w:r>
                            <w:r w:rsidRPr="007C3735">
                              <w:rPr>
                                <w:lang w:val="en-US"/>
                              </w:rPr>
                              <w:t xml:space="preserve"> with a non-agricultural unemployment rate of 10.3 percent.  </w:t>
                            </w:r>
                          </w:p>
                          <w:p w:rsidR="00D1701D" w:rsidRPr="007C3735" w:rsidRDefault="00D1701D" w:rsidP="00614312">
                            <w:pPr>
                              <w:jc w:val="both"/>
                              <w:rPr>
                                <w:lang w:val="en-US"/>
                              </w:rPr>
                            </w:pPr>
                            <w:r w:rsidRPr="007C3735">
                              <w:rPr>
                                <w:lang w:val="en-US"/>
                              </w:rPr>
                              <w:t xml:space="preserve">The principal source </w:t>
                            </w:r>
                            <w:r w:rsidR="00A35587">
                              <w:rPr>
                                <w:lang w:val="en-US"/>
                              </w:rPr>
                              <w:t xml:space="preserve">of </w:t>
                            </w:r>
                            <w:r w:rsidRPr="007C3735">
                              <w:rPr>
                                <w:lang w:val="en-US"/>
                              </w:rPr>
                              <w:t xml:space="preserve">the gap between </w:t>
                            </w:r>
                            <w:r w:rsidR="00A35587">
                              <w:rPr>
                                <w:lang w:val="en-US"/>
                              </w:rPr>
                              <w:t xml:space="preserve">overall </w:t>
                            </w:r>
                            <w:r w:rsidRPr="007C3735">
                              <w:rPr>
                                <w:lang w:val="en-US"/>
                              </w:rPr>
                              <w:t xml:space="preserve">and non-agricultural rates is </w:t>
                            </w:r>
                            <w:r w:rsidR="00A35587">
                              <w:rPr>
                                <w:lang w:val="en-US"/>
                              </w:rPr>
                              <w:t>the la</w:t>
                            </w:r>
                            <w:r w:rsidRPr="007C3735">
                              <w:rPr>
                                <w:lang w:val="en-US"/>
                              </w:rPr>
                              <w:t xml:space="preserve">rge differences in the share of agricultural employment in total employment across regions. The Turkish agriculture sector is mainly dominated by family producers. The unemployment rate in agriculture is very </w:t>
                            </w:r>
                            <w:r w:rsidR="00A35587">
                              <w:rPr>
                                <w:lang w:val="en-US"/>
                              </w:rPr>
                              <w:t xml:space="preserve">low </w:t>
                            </w:r>
                            <w:r w:rsidRPr="007C3735">
                              <w:rPr>
                                <w:lang w:val="en-US"/>
                              </w:rPr>
                              <w:t>because individual</w:t>
                            </w:r>
                            <w:r w:rsidR="00A35587">
                              <w:rPr>
                                <w:lang w:val="en-US"/>
                              </w:rPr>
                              <w:t xml:space="preserve"> members of </w:t>
                            </w:r>
                            <w:r w:rsidRPr="007C3735">
                              <w:rPr>
                                <w:lang w:val="en-US"/>
                              </w:rPr>
                              <w:t>farm</w:t>
                            </w:r>
                            <w:r w:rsidR="00A35587">
                              <w:rPr>
                                <w:lang w:val="en-US"/>
                              </w:rPr>
                              <w:t xml:space="preserve">ing </w:t>
                            </w:r>
                            <w:r w:rsidRPr="007C3735">
                              <w:rPr>
                                <w:lang w:val="en-US"/>
                              </w:rPr>
                              <w:t xml:space="preserve">families participate more or less in economic activities. Indeed, we measure the number of unemployed in non-agricultural sector as 3 million 274 thousand for 2016 by using the non-agricultural unemployment rate (13 percent) and the non-agricultural employment (21 million 900 thousand). Since the number of </w:t>
                            </w:r>
                            <w:r>
                              <w:rPr>
                                <w:lang w:val="en-US"/>
                              </w:rPr>
                              <w:t xml:space="preserve">total </w:t>
                            </w:r>
                            <w:r w:rsidRPr="007C3735">
                              <w:rPr>
                                <w:lang w:val="en-US"/>
                              </w:rPr>
                              <w:t xml:space="preserve">unemployed is 3 million 300 thousand in 2016, the number of unemployed in agriculture can be estimated at 56 thousand level. </w:t>
                            </w:r>
                          </w:p>
                          <w:p w:rsidR="00D1701D" w:rsidRPr="007C3735" w:rsidRDefault="00D1701D" w:rsidP="00614312">
                            <w:pPr>
                              <w:jc w:val="both"/>
                              <w:rPr>
                                <w:lang w:val="en-US"/>
                              </w:rPr>
                            </w:pPr>
                            <w:r w:rsidRPr="007C3735">
                              <w:rPr>
                                <w:lang w:val="en-US"/>
                              </w:rPr>
                              <w:t xml:space="preserve">Assuming that unemployment in agriculture does not exist, the link between </w:t>
                            </w:r>
                            <w:r w:rsidR="00A35587">
                              <w:rPr>
                                <w:lang w:val="en-US"/>
                              </w:rPr>
                              <w:t xml:space="preserve">overall </w:t>
                            </w:r>
                            <w:r w:rsidRPr="007C3735">
                              <w:rPr>
                                <w:lang w:val="en-US"/>
                              </w:rPr>
                              <w:t>unemployment rate and non-agricultural rate can be formulated as below:</w:t>
                            </w:r>
                          </w:p>
                          <w:p w:rsidR="00D1701D" w:rsidRPr="00C52009" w:rsidRDefault="006B5A90" w:rsidP="00614312">
                            <m:oMathPara>
                              <m:oMath>
                                <m:sSub>
                                  <m:sSubPr>
                                    <m:ctrlPr>
                                      <w:rPr>
                                        <w:rFonts w:ascii="Cambria Math" w:hAnsi="Cambria Math"/>
                                        <w:i/>
                                      </w:rPr>
                                    </m:ctrlPr>
                                  </m:sSubPr>
                                  <m:e>
                                    <m:r>
                                      <w:rPr>
                                        <w:rFonts w:ascii="Cambria Math" w:hAnsi="Cambria Math"/>
                                      </w:rPr>
                                      <m:t>U ~ U</m:t>
                                    </m:r>
                                  </m:e>
                                  <m:sub>
                                    <m:r>
                                      <w:rPr>
                                        <w:rFonts w:ascii="Cambria Math" w:hAnsi="Cambria Math"/>
                                      </w:rPr>
                                      <m:t>na</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na</m:t>
                                        </m:r>
                                      </m:sub>
                                    </m:sSub>
                                  </m:num>
                                  <m:den>
                                    <m:r>
                                      <w:rPr>
                                        <w:rFonts w:ascii="Cambria Math" w:hAnsi="Cambria Math"/>
                                      </w:rPr>
                                      <m:t>u</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na</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r>
                                  <w:rPr>
                                    <w:rFonts w:ascii="Cambria Math" w:hAnsi="Cambria Math"/>
                                  </w:rPr>
                                  <m:t xml:space="preserve"> × </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 xml:space="preserve">na </m:t>
                                        </m:r>
                                      </m:sub>
                                    </m:sSub>
                                    <m:r>
                                      <w:rPr>
                                        <w:rFonts w:ascii="Cambria Math" w:hAnsi="Cambria Math"/>
                                      </w:rPr>
                                      <m:t xml:space="preserve">+ </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a</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oMath>
                            </m:oMathPara>
                          </w:p>
                          <w:p w:rsidR="00D1701D" w:rsidRDefault="00D1701D" w:rsidP="00614312">
                            <m:oMath>
                              <m:r>
                                <w:rPr>
                                  <w:rFonts w:ascii="Cambria Math" w:hAnsi="Cambria Math"/>
                                </w:rPr>
                                <m:t>U</m:t>
                              </m:r>
                            </m:oMath>
                            <w:r>
                              <w:t xml:space="preserve">: Total number of unemployed;  </w:t>
                            </w:r>
                            <m:oMath>
                              <m:sSub>
                                <m:sSubPr>
                                  <m:ctrlPr>
                                    <w:rPr>
                                      <w:rFonts w:ascii="Cambria Math" w:hAnsi="Cambria Math"/>
                                      <w:i/>
                                    </w:rPr>
                                  </m:ctrlPr>
                                </m:sSubPr>
                                <m:e>
                                  <m:r>
                                    <w:rPr>
                                      <w:rFonts w:ascii="Cambria Math" w:hAnsi="Cambria Math"/>
                                    </w:rPr>
                                    <m:t>U</m:t>
                                  </m:r>
                                </m:e>
                                <m:sub>
                                  <m:r>
                                    <w:rPr>
                                      <w:rFonts w:ascii="Cambria Math" w:hAnsi="Cambria Math"/>
                                    </w:rPr>
                                    <m:t>an</m:t>
                                  </m:r>
                                </m:sub>
                              </m:sSub>
                              <m:r>
                                <w:rPr>
                                  <w:rFonts w:ascii="Cambria Math" w:hAnsi="Cambria Math"/>
                                </w:rPr>
                                <m:t>:</m:t>
                              </m:r>
                            </m:oMath>
                            <w:r w:rsidRPr="00330FB6">
                              <w:t xml:space="preserve"> Number of non-agricultural unemployed, </w:t>
                            </w:r>
                            <m:oMath>
                              <m:r>
                                <w:rPr>
                                  <w:rFonts w:ascii="Cambria Math" w:hAnsi="Cambria Math"/>
                                </w:rPr>
                                <m:t>u</m:t>
                              </m:r>
                            </m:oMath>
                            <w:r w:rsidRPr="00330FB6">
                              <w:t>: Unemployment rate</w:t>
                            </w:r>
                            <w:r w:rsidRPr="00330FB6">
                              <w:br/>
                            </w:r>
                            <m:oMath>
                              <m:sSub>
                                <m:sSubPr>
                                  <m:ctrlPr>
                                    <w:rPr>
                                      <w:rFonts w:ascii="Cambria Math" w:hAnsi="Cambria Math"/>
                                      <w:i/>
                                    </w:rPr>
                                  </m:ctrlPr>
                                </m:sSubPr>
                                <m:e>
                                  <m:r>
                                    <w:rPr>
                                      <w:rFonts w:ascii="Cambria Math" w:hAnsi="Cambria Math"/>
                                    </w:rPr>
                                    <m:t>u</m:t>
                                  </m:r>
                                </m:e>
                                <m:sub>
                                  <m:r>
                                    <w:rPr>
                                      <w:rFonts w:ascii="Cambria Math" w:hAnsi="Cambria Math"/>
                                    </w:rPr>
                                    <m:t>na</m:t>
                                  </m:r>
                                </m:sub>
                              </m:sSub>
                            </m:oMath>
                            <w:r w:rsidRPr="00330FB6">
                              <w:t xml:space="preserve">: Non-agricultural unemployment rate </w:t>
                            </w:r>
                            <m:oMath>
                              <m:r>
                                <w:rPr>
                                  <w:rFonts w:ascii="Cambria Math" w:hAnsi="Cambria Math"/>
                                </w:rPr>
                                <m:t>LF</m:t>
                              </m:r>
                            </m:oMath>
                            <w:r w:rsidRPr="00330FB6">
                              <w:t xml:space="preserve">: Total labor force; </w:t>
                            </w:r>
                            <m:oMath>
                              <m:sSub>
                                <m:sSubPr>
                                  <m:ctrlPr>
                                    <w:rPr>
                                      <w:rFonts w:ascii="Cambria Math" w:hAnsi="Cambria Math"/>
                                      <w:i/>
                                    </w:rPr>
                                  </m:ctrlPr>
                                </m:sSubPr>
                                <m:e>
                                  <m:r>
                                    <w:rPr>
                                      <w:rFonts w:ascii="Cambria Math" w:hAnsi="Cambria Math"/>
                                    </w:rPr>
                                    <m:t>LF</m:t>
                                  </m:r>
                                </m:e>
                                <m:sub>
                                  <m:r>
                                    <w:rPr>
                                      <w:rFonts w:ascii="Cambria Math" w:hAnsi="Cambria Math"/>
                                    </w:rPr>
                                    <m:t xml:space="preserve">na </m:t>
                                  </m:r>
                                </m:sub>
                              </m:sSub>
                            </m:oMath>
                            <w:r w:rsidRPr="00330FB6">
                              <w:t xml:space="preserve">: Non-agricultural labor force; </w:t>
                            </w:r>
                            <m:oMath>
                              <m:sSub>
                                <m:sSubPr>
                                  <m:ctrlPr>
                                    <w:rPr>
                                      <w:rFonts w:ascii="Cambria Math" w:hAnsi="Cambria Math"/>
                                      <w:i/>
                                    </w:rPr>
                                  </m:ctrlPr>
                                </m:sSubPr>
                                <m:e>
                                  <m:r>
                                    <w:rPr>
                                      <w:rFonts w:ascii="Cambria Math" w:hAnsi="Cambria Math"/>
                                    </w:rPr>
                                    <m:t>LF</m:t>
                                  </m:r>
                                </m:e>
                                <m:sub>
                                  <m:r>
                                    <w:rPr>
                                      <w:rFonts w:ascii="Cambria Math" w:hAnsi="Cambria Math"/>
                                    </w:rPr>
                                    <m:t>a</m:t>
                                  </m:r>
                                </m:sub>
                              </m:sSub>
                            </m:oMath>
                            <w:r w:rsidRPr="00330FB6">
                              <w:t>:</w:t>
                            </w:r>
                            <w:r>
                              <w:t xml:space="preserve"> Agricultural labor force</w:t>
                            </w:r>
                          </w:p>
                          <w:p w:rsidR="00D1701D" w:rsidRDefault="006B5A90" w:rsidP="00614312">
                            <w:pPr>
                              <w:jc w:val="center"/>
                            </w:pPr>
                            <m:oMath>
                              <m:sSub>
                                <m:sSubPr>
                                  <m:ctrlPr>
                                    <w:rPr>
                                      <w:rFonts w:ascii="Cambria Math" w:hAnsi="Cambria Math"/>
                                      <w:i/>
                                    </w:rPr>
                                  </m:ctrlPr>
                                </m:sSubPr>
                                <m:e>
                                  <m:r>
                                    <w:rPr>
                                      <w:rFonts w:ascii="Cambria Math" w:hAnsi="Cambria Math"/>
                                    </w:rPr>
                                    <m:t>U ~ U</m:t>
                                  </m:r>
                                </m:e>
                                <m:sub>
                                  <m:r>
                                    <w:rPr>
                                      <w:rFonts w:ascii="Cambria Math" w:hAnsi="Cambria Math"/>
                                    </w:rPr>
                                    <m:t>na</m:t>
                                  </m:r>
                                </m:sub>
                              </m:sSub>
                              <m:r>
                                <w:rPr>
                                  <w:rFonts w:ascii="Cambria Math" w:hAnsi="Cambria Math"/>
                                </w:rPr>
                                <m:t xml:space="preserve"> → </m:t>
                              </m:r>
                              <m:sSub>
                                <m:sSubPr>
                                  <m:ctrlPr>
                                    <w:rPr>
                                      <w:rFonts w:ascii="Cambria Math" w:hAnsi="Cambria Math"/>
                                      <w:i/>
                                    </w:rPr>
                                  </m:ctrlPr>
                                </m:sSubPr>
                                <m:e>
                                  <m:r>
                                    <w:rPr>
                                      <w:rFonts w:ascii="Cambria Math" w:hAnsi="Cambria Math"/>
                                    </w:rPr>
                                    <m:t>LF</m:t>
                                  </m:r>
                                </m:e>
                                <m:sub>
                                  <m:r>
                                    <w:rPr>
                                      <w:rFonts w:ascii="Cambria Math" w:hAnsi="Cambria Math"/>
                                    </w:rPr>
                                    <m:t>a</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 xml:space="preserve">a </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 xml:space="preserve"> =</m:t>
                              </m:r>
                            </m:oMath>
                            <w:r w:rsidR="00D1701D">
                              <w:t xml:space="preserve"> agricultural employment</w:t>
                            </w:r>
                          </w:p>
                          <w:p w:rsidR="00D1701D" w:rsidRPr="00D13D5D" w:rsidRDefault="006B5A90" w:rsidP="00614312">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na</m:t>
                                        </m:r>
                                      </m:sub>
                                    </m:sSub>
                                  </m:num>
                                  <m:den>
                                    <m:r>
                                      <w:rPr>
                                        <w:rFonts w:ascii="Cambria Math" w:hAnsi="Cambria Math"/>
                                      </w:rPr>
                                      <m:t>u</m:t>
                                    </m:r>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oMath>
                            </m:oMathPara>
                          </w:p>
                          <w:p w:rsidR="00D1701D" w:rsidRPr="007C3735" w:rsidRDefault="006B5A90" w:rsidP="00614312">
                            <w:pPr>
                              <w:rPr>
                                <w:lang w:val="en-US"/>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na</m:t>
                                      </m:r>
                                    </m:sub>
                                  </m:sSub>
                                </m:num>
                                <m:den>
                                  <m:r>
                                    <w:rPr>
                                      <w:rFonts w:ascii="Cambria Math" w:hAnsi="Cambria Math"/>
                                      <w:sz w:val="28"/>
                                      <w:szCs w:val="28"/>
                                    </w:rPr>
                                    <m:t>u</m:t>
                                  </m:r>
                                </m:den>
                              </m:f>
                            </m:oMath>
                            <w:r w:rsidR="00D1701D" w:rsidRPr="007C3735">
                              <w:t xml:space="preserve">   </w:t>
                            </w:r>
                            <w:r w:rsidR="00D1701D" w:rsidRPr="007C3735">
                              <w:rPr>
                                <w:lang w:val="en-US"/>
                              </w:rPr>
                              <w:t xml:space="preserve">ratio represents the relative difference between the </w:t>
                            </w:r>
                            <w:r w:rsidR="00A35587">
                              <w:rPr>
                                <w:lang w:val="en-US"/>
                              </w:rPr>
                              <w:t xml:space="preserve">overall </w:t>
                            </w:r>
                            <w:r w:rsidR="00D1701D" w:rsidRPr="007C3735">
                              <w:rPr>
                                <w:lang w:val="en-US"/>
                              </w:rPr>
                              <w:t>and the non-agricultural unemployment rates,</w:t>
                            </w:r>
                            <w:r w:rsidR="00D1701D">
                              <w:rPr>
                                <w:lang w:val="en-US"/>
                              </w:rPr>
                              <w:t xml:space="preserve"> </w:t>
                            </w:r>
                            <w:r w:rsidR="00D1701D" w:rsidRPr="007C3735">
                              <w:rPr>
                                <w:lang w:val="en-US"/>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a</m:t>
                                      </m:r>
                                    </m:sub>
                                  </m:sSub>
                                </m:num>
                                <m:den>
                                  <m:sSub>
                                    <m:sSubPr>
                                      <m:ctrlPr>
                                        <w:rPr>
                                          <w:rFonts w:ascii="Cambria Math" w:hAnsi="Cambria Math"/>
                                          <w:i/>
                                          <w:sz w:val="28"/>
                                          <w:szCs w:val="28"/>
                                        </w:rPr>
                                      </m:ctrlPr>
                                    </m:sSubPr>
                                    <m:e>
                                      <m:r>
                                        <w:rPr>
                                          <w:rFonts w:ascii="Cambria Math" w:hAnsi="Cambria Math"/>
                                          <w:sz w:val="28"/>
                                          <w:szCs w:val="28"/>
                                        </w:rPr>
                                        <m:t>LF</m:t>
                                      </m:r>
                                    </m:e>
                                    <m:sub>
                                      <m:r>
                                        <w:rPr>
                                          <w:rFonts w:ascii="Cambria Math" w:hAnsi="Cambria Math"/>
                                          <w:sz w:val="28"/>
                                          <w:szCs w:val="28"/>
                                        </w:rPr>
                                        <m:t>na</m:t>
                                      </m:r>
                                    </m:sub>
                                  </m:sSub>
                                </m:den>
                              </m:f>
                            </m:oMath>
                            <w:r w:rsidR="00D1701D" w:rsidRPr="007C3735">
                              <w:rPr>
                                <w:lang w:val="en-US"/>
                              </w:rPr>
                              <w:t xml:space="preserve"> </w:t>
                            </w:r>
                            <w:r w:rsidR="00D1701D">
                              <w:rPr>
                                <w:lang w:val="en-US"/>
                              </w:rPr>
                              <w:t xml:space="preserve"> </w:t>
                            </w:r>
                            <w:r w:rsidR="00D1701D" w:rsidRPr="007C3735">
                              <w:rPr>
                                <w:lang w:val="en-US"/>
                              </w:rPr>
                              <w:t>ratio represents the relative weight of agricultural  employment.</w:t>
                            </w:r>
                          </w:p>
                          <w:p w:rsidR="00D1701D" w:rsidRPr="007C3735" w:rsidRDefault="00D1701D" w:rsidP="00614312">
                            <w:pPr>
                              <w:rPr>
                                <w:lang w:val="en-US"/>
                              </w:rPr>
                            </w:pPr>
                            <w:r w:rsidRPr="007C3735">
                              <w:rPr>
                                <w:lang w:val="en-US"/>
                              </w:rPr>
                              <w:t xml:space="preserve">The figure below shows the link between the relative differences among the </w:t>
                            </w:r>
                            <w:r w:rsidR="00A35587">
                              <w:rPr>
                                <w:lang w:val="en-US"/>
                              </w:rPr>
                              <w:t xml:space="preserve">overall </w:t>
                            </w:r>
                            <w:r w:rsidRPr="007C3735">
                              <w:rPr>
                                <w:lang w:val="en-US"/>
                              </w:rPr>
                              <w:t>and the non-agricultural unemployment rates</w:t>
                            </w:r>
                            <w:r w:rsidRPr="007C3735">
                              <w:rPr>
                                <w:i/>
                                <w:lang w:val="en-US"/>
                              </w:rPr>
                              <w:t xml:space="preserve"> (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na</m:t>
                                      </m:r>
                                    </m:sub>
                                  </m:sSub>
                                </m:num>
                                <m:den>
                                  <m:r>
                                    <w:rPr>
                                      <w:rFonts w:ascii="Cambria Math" w:hAnsi="Cambria Math"/>
                                      <w:sz w:val="26"/>
                                      <w:szCs w:val="26"/>
                                    </w:rPr>
                                    <m:t>u</m:t>
                                  </m:r>
                                </m:den>
                              </m:f>
                              <m:r>
                                <w:rPr>
                                  <w:rFonts w:ascii="Cambria Math" w:hAnsi="Cambria Math"/>
                                  <w:sz w:val="26"/>
                                  <w:szCs w:val="26"/>
                                </w:rPr>
                                <m:t>)</m:t>
                              </m:r>
                            </m:oMath>
                            <w:r w:rsidRPr="007C3735">
                              <w:rPr>
                                <w:lang w:val="en-US"/>
                              </w:rPr>
                              <w:t xml:space="preserve"> and the relative weight of agricultural employment </w:t>
                            </w:r>
                            <w:r w:rsidRPr="007C3735">
                              <w:rPr>
                                <w:i/>
                                <w:lang w:val="en-US"/>
                              </w:rPr>
                              <w:t xml:space="preserve">(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a</m:t>
                                      </m:r>
                                    </m:sub>
                                  </m:sSub>
                                </m:num>
                                <m:den>
                                  <m:sSub>
                                    <m:sSubPr>
                                      <m:ctrlPr>
                                        <w:rPr>
                                          <w:rFonts w:ascii="Cambria Math" w:hAnsi="Cambria Math"/>
                                          <w:i/>
                                          <w:sz w:val="26"/>
                                          <w:szCs w:val="26"/>
                                        </w:rPr>
                                      </m:ctrlPr>
                                    </m:sSubPr>
                                    <m:e>
                                      <m:r>
                                        <w:rPr>
                                          <w:rFonts w:ascii="Cambria Math" w:hAnsi="Cambria Math"/>
                                          <w:sz w:val="26"/>
                                          <w:szCs w:val="26"/>
                                        </w:rPr>
                                        <m:t>LF</m:t>
                                      </m:r>
                                    </m:e>
                                    <m:sub>
                                      <m:r>
                                        <w:rPr>
                                          <w:rFonts w:ascii="Cambria Math" w:hAnsi="Cambria Math"/>
                                          <w:sz w:val="26"/>
                                          <w:szCs w:val="26"/>
                                        </w:rPr>
                                        <m:t>na</m:t>
                                      </m:r>
                                    </m:sub>
                                  </m:sSub>
                                </m:den>
                              </m:f>
                            </m:oMath>
                            <w:r w:rsidRPr="007C3735">
                              <w:rPr>
                                <w:i/>
                              </w:rPr>
                              <w:t xml:space="preserve"> )</w:t>
                            </w:r>
                            <w:r w:rsidRPr="007C3735">
                              <w:rPr>
                                <w:lang w:val="en-US"/>
                              </w:rPr>
                              <w:t xml:space="preserve"> for 26 regions using </w:t>
                            </w:r>
                            <w:proofErr w:type="spellStart"/>
                            <w:r w:rsidRPr="007C3735">
                              <w:rPr>
                                <w:lang w:val="en-US"/>
                              </w:rPr>
                              <w:t>Turk</w:t>
                            </w:r>
                            <w:r w:rsidR="000A3AD5">
                              <w:rPr>
                                <w:lang w:val="en-US"/>
                              </w:rPr>
                              <w:t>s</w:t>
                            </w:r>
                            <w:r w:rsidR="00A35587">
                              <w:rPr>
                                <w:lang w:val="en-US"/>
                              </w:rPr>
                              <w:t>tat</w:t>
                            </w:r>
                            <w:proofErr w:type="spellEnd"/>
                            <w:r w:rsidR="00A35587">
                              <w:rPr>
                                <w:lang w:val="en-US"/>
                              </w:rPr>
                              <w:t xml:space="preserve"> </w:t>
                            </w:r>
                            <w:r w:rsidRPr="007C3735">
                              <w:rPr>
                                <w:lang w:val="en-US"/>
                              </w:rPr>
                              <w:t xml:space="preserve">data.  </w:t>
                            </w:r>
                          </w:p>
                          <w:p w:rsidR="00D1701D" w:rsidRPr="006228B4" w:rsidRDefault="00D1701D" w:rsidP="006143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EA2DCDE" id="_x0000_t202" coordsize="21600,21600" o:spt="202" path="m,l,21600r21600,l21600,xe">
                <v:stroke joinstyle="miter"/>
                <v:path gradientshapeok="t" o:connecttype="rect"/>
              </v:shapetype>
              <v:shape id="Text Box 2" o:spid="_x0000_s1028" type="#_x0000_t202" style="position:absolute;margin-left:-22.1pt;margin-top:0;width:507pt;height:74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">
                <v:textbox>
                  <w:txbxContent>
                    <w:p w:rsidR="00D1701D" w:rsidRPr="00566B0C" w:rsidRDefault="00D1701D" w:rsidP="00614312">
                      <w:pPr>
                        <w:jc w:val="both"/>
                        <w:rPr>
                          <w:lang w:val="en-US"/>
                        </w:rPr>
                      </w:pPr>
                      <w:r w:rsidRPr="00566B0C">
                        <w:rPr>
                          <w:b/>
                          <w:lang w:val="en-US"/>
                        </w:rPr>
                        <w:t>BOX: The impact of agricultural employment on regional unemployment rates</w:t>
                      </w:r>
                    </w:p>
                    <w:p w:rsidR="00D1701D" w:rsidRPr="007C3735" w:rsidRDefault="00D1701D" w:rsidP="00614312">
                      <w:pPr>
                        <w:jc w:val="both"/>
                        <w:rPr>
                          <w:lang w:val="en-US"/>
                        </w:rPr>
                      </w:pPr>
                      <w:r w:rsidRPr="007C3735">
                        <w:rPr>
                          <w:lang w:val="en-US"/>
                        </w:rPr>
                        <w:t xml:space="preserve">Turkish Statistical Institute releases </w:t>
                      </w:r>
                      <w:r w:rsidR="00A35587">
                        <w:rPr>
                          <w:lang w:val="en-US"/>
                        </w:rPr>
                        <w:t>overall a</w:t>
                      </w:r>
                      <w:r w:rsidRPr="007C3735">
                        <w:rPr>
                          <w:lang w:val="en-US"/>
                        </w:rPr>
                        <w:t xml:space="preserve">nd non-agricultural unemployment rates separately for the 26 regions (NUTS 2). </w:t>
                      </w:r>
                      <w:r w:rsidR="00A35587">
                        <w:rPr>
                          <w:lang w:val="en-US"/>
                        </w:rPr>
                        <w:t xml:space="preserve">To </w:t>
                      </w:r>
                      <w:r w:rsidRPr="007C3735">
                        <w:rPr>
                          <w:lang w:val="en-US"/>
                        </w:rPr>
                        <w:t>conduct a regional comparison, whi</w:t>
                      </w:r>
                      <w:r w:rsidR="000A3AD5">
                        <w:rPr>
                          <w:lang w:val="en-US"/>
                        </w:rPr>
                        <w:t>ch of these rates should we preferred</w:t>
                      </w:r>
                      <w:r w:rsidRPr="007C3735">
                        <w:rPr>
                          <w:lang w:val="en-US"/>
                        </w:rPr>
                        <w:t xml:space="preserve">? This is a legitimate question since not only there exist large gaps between two rates for numerous regions but also the regional ranking according to these rates are different. For example, </w:t>
                      </w:r>
                      <w:proofErr w:type="spellStart"/>
                      <w:r w:rsidRPr="007C3735">
                        <w:rPr>
                          <w:lang w:val="en-US"/>
                        </w:rPr>
                        <w:t>Ağrı</w:t>
                      </w:r>
                      <w:proofErr w:type="spellEnd"/>
                      <w:r w:rsidRPr="007C3735">
                        <w:rPr>
                          <w:lang w:val="en-US"/>
                        </w:rPr>
                        <w:t>-Kars-</w:t>
                      </w:r>
                      <w:proofErr w:type="spellStart"/>
                      <w:r w:rsidRPr="007C3735">
                        <w:rPr>
                          <w:lang w:val="en-US"/>
                        </w:rPr>
                        <w:t>Iğdır</w:t>
                      </w:r>
                      <w:proofErr w:type="spellEnd"/>
                      <w:r w:rsidRPr="007C3735">
                        <w:rPr>
                          <w:lang w:val="en-US"/>
                        </w:rPr>
                        <w:t>-</w:t>
                      </w:r>
                      <w:proofErr w:type="spellStart"/>
                      <w:r w:rsidRPr="007C3735">
                        <w:rPr>
                          <w:lang w:val="en-US"/>
                        </w:rPr>
                        <w:t>Ardahan</w:t>
                      </w:r>
                      <w:proofErr w:type="spellEnd"/>
                      <w:r w:rsidRPr="007C3735">
                        <w:rPr>
                          <w:lang w:val="en-US"/>
                        </w:rPr>
                        <w:t xml:space="preserve"> (TRA2) region holding  general unemployment rate of 4.9 percent  is ranked second from bottom but it is ranked 7</w:t>
                      </w:r>
                      <w:r w:rsidRPr="007C3735">
                        <w:rPr>
                          <w:vertAlign w:val="superscript"/>
                          <w:lang w:val="en-US"/>
                        </w:rPr>
                        <w:t>th</w:t>
                      </w:r>
                      <w:r w:rsidRPr="007C3735">
                        <w:rPr>
                          <w:lang w:val="en-US"/>
                        </w:rPr>
                        <w:t xml:space="preserve"> with a non-agricultural unemployment rate of 10.3 percent.  </w:t>
                      </w:r>
                    </w:p>
                    <w:p w:rsidR="00D1701D" w:rsidRPr="007C3735" w:rsidRDefault="00D1701D" w:rsidP="00614312">
                      <w:pPr>
                        <w:jc w:val="both"/>
                        <w:rPr>
                          <w:lang w:val="en-US"/>
                        </w:rPr>
                      </w:pPr>
                      <w:r w:rsidRPr="007C3735">
                        <w:rPr>
                          <w:lang w:val="en-US"/>
                        </w:rPr>
                        <w:t xml:space="preserve">The principal source </w:t>
                      </w:r>
                      <w:r w:rsidR="00A35587">
                        <w:rPr>
                          <w:lang w:val="en-US"/>
                        </w:rPr>
                        <w:t xml:space="preserve">of </w:t>
                      </w:r>
                      <w:r w:rsidRPr="007C3735">
                        <w:rPr>
                          <w:lang w:val="en-US"/>
                        </w:rPr>
                        <w:t xml:space="preserve">the gap between </w:t>
                      </w:r>
                      <w:r w:rsidR="00A35587">
                        <w:rPr>
                          <w:lang w:val="en-US"/>
                        </w:rPr>
                        <w:t xml:space="preserve">overall </w:t>
                      </w:r>
                      <w:r w:rsidRPr="007C3735">
                        <w:rPr>
                          <w:lang w:val="en-US"/>
                        </w:rPr>
                        <w:t xml:space="preserve">and non-agricultural rates is </w:t>
                      </w:r>
                      <w:r w:rsidR="00A35587">
                        <w:rPr>
                          <w:lang w:val="en-US"/>
                        </w:rPr>
                        <w:t>the la</w:t>
                      </w:r>
                      <w:r w:rsidRPr="007C3735">
                        <w:rPr>
                          <w:lang w:val="en-US"/>
                        </w:rPr>
                        <w:t xml:space="preserve">rge differences in the share of agricultural employment in total employment across regions. The Turkish agriculture sector is mainly dominated by family producers. The unemployment rate in agriculture is very </w:t>
                      </w:r>
                      <w:r w:rsidR="00A35587">
                        <w:rPr>
                          <w:lang w:val="en-US"/>
                        </w:rPr>
                        <w:t xml:space="preserve">low </w:t>
                      </w:r>
                      <w:r w:rsidRPr="007C3735">
                        <w:rPr>
                          <w:lang w:val="en-US"/>
                        </w:rPr>
                        <w:t>because individual</w:t>
                      </w:r>
                      <w:r w:rsidR="00A35587">
                        <w:rPr>
                          <w:lang w:val="en-US"/>
                        </w:rPr>
                        <w:t xml:space="preserve"> members of </w:t>
                      </w:r>
                      <w:r w:rsidRPr="007C3735">
                        <w:rPr>
                          <w:lang w:val="en-US"/>
                        </w:rPr>
                        <w:t>farm</w:t>
                      </w:r>
                      <w:r w:rsidR="00A35587">
                        <w:rPr>
                          <w:lang w:val="en-US"/>
                        </w:rPr>
                        <w:t xml:space="preserve">ing </w:t>
                      </w:r>
                      <w:r w:rsidRPr="007C3735">
                        <w:rPr>
                          <w:lang w:val="en-US"/>
                        </w:rPr>
                        <w:t xml:space="preserve">families participate more or less in economic activities. Indeed, we measure the number of unemployed in non-agricultural sector as 3 million 274 thousand for 2016 by using the non-agricultural unemployment rate (13 percent) and the non-agricultural employment (21 million 900 thousand). Since the number of </w:t>
                      </w:r>
                      <w:r>
                        <w:rPr>
                          <w:lang w:val="en-US"/>
                        </w:rPr>
                        <w:t xml:space="preserve">total </w:t>
                      </w:r>
                      <w:r w:rsidRPr="007C3735">
                        <w:rPr>
                          <w:lang w:val="en-US"/>
                        </w:rPr>
                        <w:t xml:space="preserve">unemployed is 3 million 300 thousand in 2016, the number of unemployed in agriculture can be estimated at 56 thousand level. </w:t>
                      </w:r>
                    </w:p>
                    <w:p w:rsidR="00D1701D" w:rsidRPr="007C3735" w:rsidRDefault="00D1701D" w:rsidP="00614312">
                      <w:pPr>
                        <w:jc w:val="both"/>
                        <w:rPr>
                          <w:lang w:val="en-US"/>
                        </w:rPr>
                      </w:pPr>
                      <w:r w:rsidRPr="007C3735">
                        <w:rPr>
                          <w:lang w:val="en-US"/>
                        </w:rPr>
                        <w:t xml:space="preserve">Assuming that unemployment in agriculture does not exist, the link between </w:t>
                      </w:r>
                      <w:r w:rsidR="00A35587">
                        <w:rPr>
                          <w:lang w:val="en-US"/>
                        </w:rPr>
                        <w:t xml:space="preserve">overall </w:t>
                      </w:r>
                      <w:r w:rsidRPr="007C3735">
                        <w:rPr>
                          <w:lang w:val="en-US"/>
                        </w:rPr>
                        <w:t>unemployment rate and non-agricultural rate can be formulated as below:</w:t>
                      </w:r>
                    </w:p>
                    <w:p w:rsidR="00D1701D" w:rsidRPr="00C52009" w:rsidRDefault="001D70C6" w:rsidP="00614312">
                      <m:oMathPara>
                        <m:oMath>
                          <m:sSub>
                            <m:sSubPr>
                              <m:ctrlPr>
                                <w:rPr>
                                  <w:rFonts w:ascii="Cambria Math" w:hAnsi="Cambria Math"/>
                                  <w:i/>
                                </w:rPr>
                              </m:ctrlPr>
                            </m:sSubPr>
                            <m:e>
                              <m:r>
                                <w:rPr>
                                  <w:rFonts w:ascii="Cambria Math" w:hAnsi="Cambria Math"/>
                                </w:rPr>
                                <m:t>U ~ U</m:t>
                              </m:r>
                            </m:e>
                            <m:sub>
                              <m:r>
                                <w:rPr>
                                  <w:rFonts w:ascii="Cambria Math" w:hAnsi="Cambria Math"/>
                                </w:rPr>
                                <m:t>na</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na</m:t>
                                  </m:r>
                                </m:sub>
                              </m:sSub>
                            </m:num>
                            <m:den>
                              <m:r>
                                <w:rPr>
                                  <w:rFonts w:ascii="Cambria Math" w:hAnsi="Cambria Math"/>
                                </w:rPr>
                                <m:t>u</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na</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r>
                            <w:rPr>
                              <w:rFonts w:ascii="Cambria Math" w:hAnsi="Cambria Math"/>
                            </w:rPr>
                            <m:t xml:space="preserve"> × </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 xml:space="preserve">na </m:t>
                                  </m:r>
                                </m:sub>
                              </m:sSub>
                              <m:r>
                                <w:rPr>
                                  <w:rFonts w:ascii="Cambria Math" w:hAnsi="Cambria Math"/>
                                </w:rPr>
                                <m:t xml:space="preserve">+ </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a</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oMath>
                      </m:oMathPara>
                    </w:p>
                    <w:p w:rsidR="00D1701D" w:rsidRDefault="00D1701D" w:rsidP="00614312">
                      <m:oMath>
                        <m:r>
                          <w:rPr>
                            <w:rFonts w:ascii="Cambria Math" w:hAnsi="Cambria Math"/>
                          </w:rPr>
                          <m:t>U</m:t>
                        </m:r>
                      </m:oMath>
                      <w:r>
                        <w:t xml:space="preserve">: Total number of unemployed;  </w:t>
                      </w:r>
                      <m:oMath>
                        <m:sSub>
                          <m:sSubPr>
                            <m:ctrlPr>
                              <w:rPr>
                                <w:rFonts w:ascii="Cambria Math" w:hAnsi="Cambria Math"/>
                                <w:i/>
                              </w:rPr>
                            </m:ctrlPr>
                          </m:sSubPr>
                          <m:e>
                            <m:r>
                              <w:rPr>
                                <w:rFonts w:ascii="Cambria Math" w:hAnsi="Cambria Math"/>
                              </w:rPr>
                              <m:t>U</m:t>
                            </m:r>
                          </m:e>
                          <m:sub>
                            <m:r>
                              <w:rPr>
                                <w:rFonts w:ascii="Cambria Math" w:hAnsi="Cambria Math"/>
                              </w:rPr>
                              <m:t>an</m:t>
                            </m:r>
                          </m:sub>
                        </m:sSub>
                        <m:r>
                          <w:rPr>
                            <w:rFonts w:ascii="Cambria Math" w:hAnsi="Cambria Math"/>
                          </w:rPr>
                          <m:t>:</m:t>
                        </m:r>
                      </m:oMath>
                      <w:r w:rsidRPr="00330FB6">
                        <w:t xml:space="preserve"> Number of non-agricultural unemployed, </w:t>
                      </w:r>
                      <m:oMath>
                        <m:r>
                          <w:rPr>
                            <w:rFonts w:ascii="Cambria Math" w:hAnsi="Cambria Math"/>
                          </w:rPr>
                          <m:t>u</m:t>
                        </m:r>
                      </m:oMath>
                      <w:r w:rsidRPr="00330FB6">
                        <w:t>: Unemployment rate</w:t>
                      </w:r>
                      <w:r w:rsidRPr="00330FB6">
                        <w:br/>
                      </w:r>
                      <m:oMath>
                        <m:sSub>
                          <m:sSubPr>
                            <m:ctrlPr>
                              <w:rPr>
                                <w:rFonts w:ascii="Cambria Math" w:hAnsi="Cambria Math"/>
                                <w:i/>
                              </w:rPr>
                            </m:ctrlPr>
                          </m:sSubPr>
                          <m:e>
                            <m:r>
                              <w:rPr>
                                <w:rFonts w:ascii="Cambria Math" w:hAnsi="Cambria Math"/>
                              </w:rPr>
                              <m:t>u</m:t>
                            </m:r>
                          </m:e>
                          <m:sub>
                            <m:r>
                              <w:rPr>
                                <w:rFonts w:ascii="Cambria Math" w:hAnsi="Cambria Math"/>
                              </w:rPr>
                              <m:t>na</m:t>
                            </m:r>
                          </m:sub>
                        </m:sSub>
                      </m:oMath>
                      <w:r w:rsidRPr="00330FB6">
                        <w:t xml:space="preserve">: Non-agricultural unemployment rate </w:t>
                      </w:r>
                      <m:oMath>
                        <m:r>
                          <w:rPr>
                            <w:rFonts w:ascii="Cambria Math" w:hAnsi="Cambria Math"/>
                          </w:rPr>
                          <m:t>LF</m:t>
                        </m:r>
                      </m:oMath>
                      <w:r w:rsidRPr="00330FB6">
                        <w:t xml:space="preserve">: Total labor force; </w:t>
                      </w:r>
                      <m:oMath>
                        <m:sSub>
                          <m:sSubPr>
                            <m:ctrlPr>
                              <w:rPr>
                                <w:rFonts w:ascii="Cambria Math" w:hAnsi="Cambria Math"/>
                                <w:i/>
                              </w:rPr>
                            </m:ctrlPr>
                          </m:sSubPr>
                          <m:e>
                            <m:r>
                              <w:rPr>
                                <w:rFonts w:ascii="Cambria Math" w:hAnsi="Cambria Math"/>
                              </w:rPr>
                              <m:t>LF</m:t>
                            </m:r>
                          </m:e>
                          <m:sub>
                            <m:r>
                              <w:rPr>
                                <w:rFonts w:ascii="Cambria Math" w:hAnsi="Cambria Math"/>
                              </w:rPr>
                              <m:t xml:space="preserve">na </m:t>
                            </m:r>
                          </m:sub>
                        </m:sSub>
                      </m:oMath>
                      <w:r w:rsidRPr="00330FB6">
                        <w:t xml:space="preserve">: Non-agricultural labor force; </w:t>
                      </w:r>
                      <m:oMath>
                        <m:sSub>
                          <m:sSubPr>
                            <m:ctrlPr>
                              <w:rPr>
                                <w:rFonts w:ascii="Cambria Math" w:hAnsi="Cambria Math"/>
                                <w:i/>
                              </w:rPr>
                            </m:ctrlPr>
                          </m:sSubPr>
                          <m:e>
                            <m:r>
                              <w:rPr>
                                <w:rFonts w:ascii="Cambria Math" w:hAnsi="Cambria Math"/>
                              </w:rPr>
                              <m:t>LF</m:t>
                            </m:r>
                          </m:e>
                          <m:sub>
                            <m:r>
                              <w:rPr>
                                <w:rFonts w:ascii="Cambria Math" w:hAnsi="Cambria Math"/>
                              </w:rPr>
                              <m:t>a</m:t>
                            </m:r>
                          </m:sub>
                        </m:sSub>
                      </m:oMath>
                      <w:r w:rsidRPr="00330FB6">
                        <w:t>:</w:t>
                      </w:r>
                      <w:r>
                        <w:t xml:space="preserve"> Agricultural labor force</w:t>
                      </w:r>
                    </w:p>
                    <w:p w:rsidR="00D1701D" w:rsidRDefault="001D70C6" w:rsidP="00614312">
                      <w:pPr>
                        <w:jc w:val="center"/>
                      </w:pPr>
                      <m:oMath>
                        <m:sSub>
                          <m:sSubPr>
                            <m:ctrlPr>
                              <w:rPr>
                                <w:rFonts w:ascii="Cambria Math" w:hAnsi="Cambria Math"/>
                                <w:i/>
                              </w:rPr>
                            </m:ctrlPr>
                          </m:sSubPr>
                          <m:e>
                            <m:r>
                              <w:rPr>
                                <w:rFonts w:ascii="Cambria Math" w:hAnsi="Cambria Math"/>
                              </w:rPr>
                              <m:t>U ~ U</m:t>
                            </m:r>
                          </m:e>
                          <m:sub>
                            <m:r>
                              <w:rPr>
                                <w:rFonts w:ascii="Cambria Math" w:hAnsi="Cambria Math"/>
                              </w:rPr>
                              <m:t>na</m:t>
                            </m:r>
                          </m:sub>
                        </m:sSub>
                        <m:r>
                          <w:rPr>
                            <w:rFonts w:ascii="Cambria Math" w:hAnsi="Cambria Math"/>
                          </w:rPr>
                          <m:t xml:space="preserve"> → </m:t>
                        </m:r>
                        <m:sSub>
                          <m:sSubPr>
                            <m:ctrlPr>
                              <w:rPr>
                                <w:rFonts w:ascii="Cambria Math" w:hAnsi="Cambria Math"/>
                                <w:i/>
                              </w:rPr>
                            </m:ctrlPr>
                          </m:sSubPr>
                          <m:e>
                            <m:r>
                              <w:rPr>
                                <w:rFonts w:ascii="Cambria Math" w:hAnsi="Cambria Math"/>
                              </w:rPr>
                              <m:t>LF</m:t>
                            </m:r>
                          </m:e>
                          <m:sub>
                            <m:r>
                              <w:rPr>
                                <w:rFonts w:ascii="Cambria Math" w:hAnsi="Cambria Math"/>
                              </w:rPr>
                              <m:t>a</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 xml:space="preserve">a </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 xml:space="preserve"> =</m:t>
                        </m:r>
                      </m:oMath>
                      <w:r w:rsidR="00D1701D">
                        <w:t xml:space="preserve"> agricultural employment</w:t>
                      </w:r>
                    </w:p>
                    <w:p w:rsidR="00D1701D" w:rsidRPr="00D13D5D" w:rsidRDefault="001D70C6" w:rsidP="00614312">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na</m:t>
                                  </m:r>
                                </m:sub>
                              </m:sSub>
                            </m:num>
                            <m:den>
                              <m:r>
                                <w:rPr>
                                  <w:rFonts w:ascii="Cambria Math" w:hAnsi="Cambria Math"/>
                                </w:rPr>
                                <m:t>u</m:t>
                              </m:r>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m:t>
                                  </m:r>
                                </m:sub>
                              </m:sSub>
                            </m:num>
                            <m:den>
                              <m:sSub>
                                <m:sSubPr>
                                  <m:ctrlPr>
                                    <w:rPr>
                                      <w:rFonts w:ascii="Cambria Math" w:hAnsi="Cambria Math"/>
                                      <w:i/>
                                    </w:rPr>
                                  </m:ctrlPr>
                                </m:sSubPr>
                                <m:e>
                                  <m:r>
                                    <w:rPr>
                                      <w:rFonts w:ascii="Cambria Math" w:hAnsi="Cambria Math"/>
                                    </w:rPr>
                                    <m:t>LF</m:t>
                                  </m:r>
                                </m:e>
                                <m:sub>
                                  <m:r>
                                    <w:rPr>
                                      <w:rFonts w:ascii="Cambria Math" w:hAnsi="Cambria Math"/>
                                    </w:rPr>
                                    <m:t>na</m:t>
                                  </m:r>
                                </m:sub>
                              </m:sSub>
                            </m:den>
                          </m:f>
                        </m:oMath>
                      </m:oMathPara>
                    </w:p>
                    <w:p w:rsidR="00D1701D" w:rsidRPr="007C3735" w:rsidRDefault="001D70C6" w:rsidP="00614312">
                      <w:pPr>
                        <w:rPr>
                          <w:lang w:val="en-US"/>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na</m:t>
                                </m:r>
                              </m:sub>
                            </m:sSub>
                          </m:num>
                          <m:den>
                            <m:r>
                              <w:rPr>
                                <w:rFonts w:ascii="Cambria Math" w:hAnsi="Cambria Math"/>
                                <w:sz w:val="28"/>
                                <w:szCs w:val="28"/>
                              </w:rPr>
                              <m:t>u</m:t>
                            </m:r>
                          </m:den>
                        </m:f>
                      </m:oMath>
                      <w:r w:rsidR="00D1701D" w:rsidRPr="007C3735">
                        <w:t xml:space="preserve">   </w:t>
                      </w:r>
                      <w:proofErr w:type="gramStart"/>
                      <w:r w:rsidR="00D1701D" w:rsidRPr="007C3735">
                        <w:rPr>
                          <w:lang w:val="en-US"/>
                        </w:rPr>
                        <w:t>ratio</w:t>
                      </w:r>
                      <w:proofErr w:type="gramEnd"/>
                      <w:r w:rsidR="00D1701D" w:rsidRPr="007C3735">
                        <w:rPr>
                          <w:lang w:val="en-US"/>
                        </w:rPr>
                        <w:t xml:space="preserve"> represents the relative difference between the </w:t>
                      </w:r>
                      <w:r w:rsidR="00A35587">
                        <w:rPr>
                          <w:lang w:val="en-US"/>
                        </w:rPr>
                        <w:t xml:space="preserve">overall </w:t>
                      </w:r>
                      <w:r w:rsidR="00D1701D" w:rsidRPr="007C3735">
                        <w:rPr>
                          <w:lang w:val="en-US"/>
                        </w:rPr>
                        <w:t>and the non-agricultural unemployment rates,</w:t>
                      </w:r>
                      <w:r w:rsidR="00D1701D">
                        <w:rPr>
                          <w:lang w:val="en-US"/>
                        </w:rPr>
                        <w:t xml:space="preserve"> </w:t>
                      </w:r>
                      <w:r w:rsidR="00D1701D" w:rsidRPr="007C3735">
                        <w:rPr>
                          <w:lang w:val="en-US"/>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a</m:t>
                                </m:r>
                              </m:sub>
                            </m:sSub>
                          </m:num>
                          <m:den>
                            <m:sSub>
                              <m:sSubPr>
                                <m:ctrlPr>
                                  <w:rPr>
                                    <w:rFonts w:ascii="Cambria Math" w:hAnsi="Cambria Math"/>
                                    <w:i/>
                                    <w:sz w:val="28"/>
                                    <w:szCs w:val="28"/>
                                  </w:rPr>
                                </m:ctrlPr>
                              </m:sSubPr>
                              <m:e>
                                <m:r>
                                  <w:rPr>
                                    <w:rFonts w:ascii="Cambria Math" w:hAnsi="Cambria Math"/>
                                    <w:sz w:val="28"/>
                                    <w:szCs w:val="28"/>
                                  </w:rPr>
                                  <m:t>LF</m:t>
                                </m:r>
                              </m:e>
                              <m:sub>
                                <m:r>
                                  <w:rPr>
                                    <w:rFonts w:ascii="Cambria Math" w:hAnsi="Cambria Math"/>
                                    <w:sz w:val="28"/>
                                    <w:szCs w:val="28"/>
                                  </w:rPr>
                                  <m:t>na</m:t>
                                </m:r>
                              </m:sub>
                            </m:sSub>
                          </m:den>
                        </m:f>
                      </m:oMath>
                      <w:r w:rsidR="00D1701D" w:rsidRPr="007C3735">
                        <w:rPr>
                          <w:lang w:val="en-US"/>
                        </w:rPr>
                        <w:t xml:space="preserve"> </w:t>
                      </w:r>
                      <w:r w:rsidR="00D1701D">
                        <w:rPr>
                          <w:lang w:val="en-US"/>
                        </w:rPr>
                        <w:t xml:space="preserve"> </w:t>
                      </w:r>
                      <w:r w:rsidR="00D1701D" w:rsidRPr="007C3735">
                        <w:rPr>
                          <w:lang w:val="en-US"/>
                        </w:rPr>
                        <w:t>ratio represents the relative weight of agricultural  employment.</w:t>
                      </w:r>
                    </w:p>
                    <w:p w:rsidR="00D1701D" w:rsidRPr="007C3735" w:rsidRDefault="00D1701D" w:rsidP="00614312">
                      <w:pPr>
                        <w:rPr>
                          <w:lang w:val="en-US"/>
                        </w:rPr>
                      </w:pPr>
                      <w:r w:rsidRPr="007C3735">
                        <w:rPr>
                          <w:lang w:val="en-US"/>
                        </w:rPr>
                        <w:t xml:space="preserve">The figure below shows the link between the relative differences among the </w:t>
                      </w:r>
                      <w:r w:rsidR="00A35587">
                        <w:rPr>
                          <w:lang w:val="en-US"/>
                        </w:rPr>
                        <w:t xml:space="preserve">overall </w:t>
                      </w:r>
                      <w:r w:rsidRPr="007C3735">
                        <w:rPr>
                          <w:lang w:val="en-US"/>
                        </w:rPr>
                        <w:t>and the non-agricultural unemployment rates</w:t>
                      </w:r>
                      <w:r w:rsidRPr="007C3735">
                        <w:rPr>
                          <w:i/>
                          <w:lang w:val="en-US"/>
                        </w:rPr>
                        <w:t xml:space="preserve"> </w:t>
                      </w:r>
                      <w:proofErr w:type="gramStart"/>
                      <w:r w:rsidRPr="007C3735">
                        <w:rPr>
                          <w:i/>
                          <w:lang w:val="en-US"/>
                        </w:rPr>
                        <w:t xml:space="preserve">( </w:t>
                      </w:r>
                      <m:oMath>
                        <m:f>
                          <m:fPr>
                            <m:ctrlPr>
                              <w:rPr>
                                <w:rFonts w:ascii="Cambria Math" w:hAnsi="Cambria Math"/>
                                <w:i/>
                                <w:sz w:val="26"/>
                                <w:szCs w:val="26"/>
                              </w:rPr>
                            </m:ctrlPr>
                          </m:fPr>
                          <m:num>
                            <w:proofErr w:type="gramEnd"/>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na</m:t>
                                </m:r>
                              </m:sub>
                            </m:sSub>
                          </m:num>
                          <m:den>
                            <m:r>
                              <w:rPr>
                                <w:rFonts w:ascii="Cambria Math" w:hAnsi="Cambria Math"/>
                                <w:sz w:val="26"/>
                                <w:szCs w:val="26"/>
                              </w:rPr>
                              <m:t>u</m:t>
                            </m:r>
                          </m:den>
                        </m:f>
                        <m:r>
                          <w:rPr>
                            <w:rFonts w:ascii="Cambria Math" w:hAnsi="Cambria Math"/>
                            <w:sz w:val="26"/>
                            <w:szCs w:val="26"/>
                          </w:rPr>
                          <m:t>)</m:t>
                        </m:r>
                      </m:oMath>
                      <w:r w:rsidRPr="007C3735">
                        <w:rPr>
                          <w:lang w:val="en-US"/>
                        </w:rPr>
                        <w:t xml:space="preserve"> and the relative weight of agricultural employment </w:t>
                      </w:r>
                      <w:r w:rsidRPr="007C3735">
                        <w:rPr>
                          <w:i/>
                          <w:lang w:val="en-US"/>
                        </w:rPr>
                        <w:t xml:space="preserve">(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a</m:t>
                                </m:r>
                              </m:sub>
                            </m:sSub>
                          </m:num>
                          <m:den>
                            <m:sSub>
                              <m:sSubPr>
                                <m:ctrlPr>
                                  <w:rPr>
                                    <w:rFonts w:ascii="Cambria Math" w:hAnsi="Cambria Math"/>
                                    <w:i/>
                                    <w:sz w:val="26"/>
                                    <w:szCs w:val="26"/>
                                  </w:rPr>
                                </m:ctrlPr>
                              </m:sSubPr>
                              <m:e>
                                <m:r>
                                  <w:rPr>
                                    <w:rFonts w:ascii="Cambria Math" w:hAnsi="Cambria Math"/>
                                    <w:sz w:val="26"/>
                                    <w:szCs w:val="26"/>
                                  </w:rPr>
                                  <m:t>LF</m:t>
                                </m:r>
                              </m:e>
                              <m:sub>
                                <m:r>
                                  <w:rPr>
                                    <w:rFonts w:ascii="Cambria Math" w:hAnsi="Cambria Math"/>
                                    <w:sz w:val="26"/>
                                    <w:szCs w:val="26"/>
                                  </w:rPr>
                                  <m:t>na</m:t>
                                </m:r>
                              </m:sub>
                            </m:sSub>
                          </m:den>
                        </m:f>
                      </m:oMath>
                      <w:r w:rsidRPr="007C3735">
                        <w:rPr>
                          <w:i/>
                        </w:rPr>
                        <w:t xml:space="preserve"> )</w:t>
                      </w:r>
                      <w:r w:rsidRPr="007C3735">
                        <w:rPr>
                          <w:lang w:val="en-US"/>
                        </w:rPr>
                        <w:t xml:space="preserve"> for 26 regions using </w:t>
                      </w:r>
                      <w:proofErr w:type="spellStart"/>
                      <w:r w:rsidRPr="007C3735">
                        <w:rPr>
                          <w:lang w:val="en-US"/>
                        </w:rPr>
                        <w:t>Turk</w:t>
                      </w:r>
                      <w:r w:rsidR="000A3AD5">
                        <w:rPr>
                          <w:lang w:val="en-US"/>
                        </w:rPr>
                        <w:t>s</w:t>
                      </w:r>
                      <w:r w:rsidR="00A35587">
                        <w:rPr>
                          <w:lang w:val="en-US"/>
                        </w:rPr>
                        <w:t>tat</w:t>
                      </w:r>
                      <w:proofErr w:type="spellEnd"/>
                      <w:r w:rsidR="00A35587">
                        <w:rPr>
                          <w:lang w:val="en-US"/>
                        </w:rPr>
                        <w:t xml:space="preserve"> </w:t>
                      </w:r>
                      <w:r w:rsidRPr="007C3735">
                        <w:rPr>
                          <w:lang w:val="en-US"/>
                        </w:rPr>
                        <w:t xml:space="preserve">data.  </w:t>
                      </w:r>
                    </w:p>
                    <w:p w:rsidR="00D1701D" w:rsidRPr="006228B4" w:rsidRDefault="00D1701D" w:rsidP="00614312">
                      <w:bookmarkStart w:id="3" w:name="_GoBack"/>
                      <w:bookmarkEnd w:id="3"/>
                    </w:p>
                  </w:txbxContent>
                </v:textbox>
                <w10:wrap type="square" anchorx="margin"/>
              </v:shape>
            </w:pict>
          </mc:Fallback>
        </mc:AlternateContent>
      </w:r>
      <w:r w:rsidR="00614312" w:rsidRPr="000A3AD5">
        <w:rPr>
          <w:lang w:val="en-US"/>
        </w:rPr>
        <w:br w:type="page"/>
      </w:r>
      <w:r w:rsidR="007348DD" w:rsidRPr="000A3AD5">
        <w:rPr>
          <w:b/>
          <w:noProof/>
        </w:rPr>
        <w:lastRenderedPageBreak/>
        <mc:AlternateContent>
          <mc:Choice Requires="wps">
            <w:drawing>
              <wp:anchor distT="0" distB="0" distL="114300" distR="114300" simplePos="0" relativeHeight="251667456" behindDoc="1" locked="0" layoutInCell="1" allowOverlap="1">
                <wp:simplePos x="0" y="0"/>
                <wp:positionH relativeFrom="column">
                  <wp:posOffset>-299720</wp:posOffset>
                </wp:positionH>
                <wp:positionV relativeFrom="paragraph">
                  <wp:posOffset>443230</wp:posOffset>
                </wp:positionV>
                <wp:extent cx="600075" cy="400050"/>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600075" cy="400050"/>
                        </a:xfrm>
                        <a:prstGeom prst="rect">
                          <a:avLst/>
                        </a:prstGeom>
                        <a:solidFill>
                          <a:schemeClr val="lt1"/>
                        </a:solidFill>
                        <a:ln w="6350">
                          <a:noFill/>
                        </a:ln>
                      </wps:spPr>
                      <wps:txbx>
                        <w:txbxContent>
                          <w:p w:rsidR="00D1701D" w:rsidRDefault="00D1701D">
                            <w:r>
                              <w:t xml:space="preserve"> </w:t>
                            </w:r>
                            <w:r w:rsidRPr="00954303">
                              <w:t xml:space="preserve"> </w:t>
                            </w:r>
                            <m:oMath>
                              <m:f>
                                <m:fPr>
                                  <m:ctrlPr>
                                    <w:rPr>
                                      <w:rFonts w:ascii="Cambria Math" w:hAnsi="Cambria Math"/>
                                      <w:i/>
                                      <w:color w:val="000000" w:themeColor="text1"/>
                                      <w:sz w:val="28"/>
                                      <w:szCs w:val="28"/>
                                      <w:lang w:eastAsia="en-US"/>
                                    </w:rPr>
                                  </m:ctrlPr>
                                </m:fPr>
                                <m:num>
                                  <m:sSub>
                                    <m:sSubPr>
                                      <m:ctrlPr>
                                        <w:rPr>
                                          <w:rFonts w:ascii="Cambria Math" w:hAnsi="Cambria Math"/>
                                          <w:i/>
                                          <w:color w:val="000000" w:themeColor="text1"/>
                                          <w:sz w:val="28"/>
                                          <w:szCs w:val="28"/>
                                          <w:lang w:eastAsia="en-US"/>
                                        </w:rPr>
                                      </m:ctrlPr>
                                    </m:sSubPr>
                                    <m:e>
                                      <m:r>
                                        <m:rPr>
                                          <m:sty m:val="bi"/>
                                        </m:rPr>
                                        <w:rPr>
                                          <w:rFonts w:ascii="Cambria Math" w:hAnsi="Cambria Math"/>
                                          <w:color w:val="000000" w:themeColor="text1"/>
                                          <w:sz w:val="28"/>
                                          <w:szCs w:val="28"/>
                                        </w:rPr>
                                        <m:t>u</m:t>
                                      </m:r>
                                    </m:e>
                                    <m:sub>
                                      <m:r>
                                        <m:rPr>
                                          <m:sty m:val="bi"/>
                                        </m:rPr>
                                        <w:rPr>
                                          <w:rFonts w:ascii="Cambria Math" w:hAnsi="Cambria Math"/>
                                          <w:color w:val="000000" w:themeColor="text1"/>
                                          <w:sz w:val="28"/>
                                          <w:szCs w:val="28"/>
                                        </w:rPr>
                                        <m:t>na</m:t>
                                      </m:r>
                                    </m:sub>
                                  </m:sSub>
                                </m:num>
                                <m:den>
                                  <m:r>
                                    <m:rPr>
                                      <m:sty m:val="bi"/>
                                    </m:rPr>
                                    <w:rPr>
                                      <w:rFonts w:ascii="Cambria Math" w:hAnsi="Cambria Math"/>
                                      <w:color w:val="000000" w:themeColor="text1"/>
                                      <w:sz w:val="28"/>
                                      <w:szCs w:val="28"/>
                                    </w:rPr>
                                    <m:t>u</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7" o:spid="_x0000_s1029" type="#_x0000_t202" style="position:absolute;margin-left:-23.6pt;margin-top:34.9pt;width:47.25pt;height:31.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" fillcolor="white [3201]" stroked="f" strokeweight=".5pt">
                <v:textbox>
                  <w:txbxContent>
                    <w:p w:rsidR="00D1701D" w:rsidRDefault="00D1701D">
                      <w:r>
                        <w:t xml:space="preserve"> </w:t>
                      </w:r>
                      <w:r w:rsidRPr="00954303">
                        <w:t xml:space="preserve"> </w:t>
                      </w:r>
                      <m:oMath>
                        <m:f>
                          <m:fPr>
                            <m:ctrlPr>
                              <w:rPr>
                                <w:rFonts w:ascii="Cambria Math" w:hAnsi="Cambria Math"/>
                                <w:i/>
                                <w:color w:val="000000" w:themeColor="text1"/>
                                <w:sz w:val="28"/>
                                <w:szCs w:val="28"/>
                                <w:lang w:eastAsia="en-US"/>
                              </w:rPr>
                            </m:ctrlPr>
                          </m:fPr>
                          <m:num>
                            <m:sSub>
                              <m:sSubPr>
                                <m:ctrlPr>
                                  <w:rPr>
                                    <w:rFonts w:ascii="Cambria Math" w:hAnsi="Cambria Math"/>
                                    <w:i/>
                                    <w:color w:val="000000" w:themeColor="text1"/>
                                    <w:sz w:val="28"/>
                                    <w:szCs w:val="28"/>
                                    <w:lang w:eastAsia="en-US"/>
                                  </w:rPr>
                                </m:ctrlPr>
                              </m:sSubPr>
                              <m:e>
                                <m:r>
                                  <m:rPr>
                                    <m:sty m:val="bi"/>
                                  </m:rPr>
                                  <w:rPr>
                                    <w:rFonts w:ascii="Cambria Math" w:hAnsi="Cambria Math"/>
                                    <w:color w:val="000000" w:themeColor="text1"/>
                                    <w:sz w:val="28"/>
                                    <w:szCs w:val="28"/>
                                  </w:rPr>
                                  <m:t>u</m:t>
                                </m:r>
                              </m:e>
                              <m:sub>
                                <m:r>
                                  <m:rPr>
                                    <m:sty m:val="bi"/>
                                  </m:rPr>
                                  <w:rPr>
                                    <w:rFonts w:ascii="Cambria Math" w:hAnsi="Cambria Math"/>
                                    <w:color w:val="000000" w:themeColor="text1"/>
                                    <w:sz w:val="28"/>
                                    <w:szCs w:val="28"/>
                                  </w:rPr>
                                  <m:t>na</m:t>
                                </m:r>
                              </m:sub>
                            </m:sSub>
                          </m:num>
                          <m:den>
                            <m:r>
                              <m:rPr>
                                <m:sty m:val="bi"/>
                              </m:rPr>
                              <w:rPr>
                                <w:rFonts w:ascii="Cambria Math" w:hAnsi="Cambria Math"/>
                                <w:color w:val="000000" w:themeColor="text1"/>
                                <w:sz w:val="28"/>
                                <w:szCs w:val="28"/>
                              </w:rPr>
                              <m:t>u</m:t>
                            </m:r>
                          </m:den>
                        </m:f>
                      </m:oMath>
                    </w:p>
                  </w:txbxContent>
                </v:textbox>
                <w10:wrap type="square"/>
              </v:shape>
            </w:pict>
          </mc:Fallback>
        </mc:AlternateContent>
      </w:r>
      <w:r w:rsidR="00E9025C" w:rsidRPr="000A3AD5">
        <w:rPr>
          <w:b/>
          <w:lang w:val="en-US"/>
        </w:rPr>
        <w:t xml:space="preserve">Annex Figure </w:t>
      </w:r>
      <w:r w:rsidR="00F9001E" w:rsidRPr="000A3AD5">
        <w:rPr>
          <w:b/>
          <w:lang w:val="en-US"/>
        </w:rPr>
        <w:t>:</w:t>
      </w:r>
      <w:r w:rsidR="00E9025C" w:rsidRPr="000A3AD5">
        <w:rPr>
          <w:b/>
          <w:lang w:val="en-US"/>
        </w:rPr>
        <w:t xml:space="preserve"> Relationship between</w:t>
      </w:r>
      <w:r w:rsidR="00F9001E" w:rsidRPr="000A3AD5">
        <w:rPr>
          <w:b/>
          <w:lang w:val="en-US"/>
        </w:rPr>
        <w:t xml:space="preserve">  </w:t>
      </w:r>
      <m:oMath>
        <m:f>
          <m:fPr>
            <m:ctrlPr>
              <w:rPr>
                <w:rFonts w:ascii="Cambria Math" w:hAnsi="Cambria Math"/>
                <w:b/>
                <w:i/>
                <w:color w:val="000000" w:themeColor="text1"/>
                <w:sz w:val="28"/>
                <w:szCs w:val="28"/>
                <w:lang w:val="en-US" w:eastAsia="en-US"/>
              </w:rPr>
            </m:ctrlPr>
          </m:fPr>
          <m:num>
            <m:sSub>
              <m:sSubPr>
                <m:ctrlPr>
                  <w:rPr>
                    <w:rFonts w:ascii="Cambria Math" w:hAnsi="Cambria Math"/>
                    <w:b/>
                    <w:i/>
                    <w:color w:val="000000" w:themeColor="text1"/>
                    <w:sz w:val="28"/>
                    <w:szCs w:val="28"/>
                    <w:lang w:val="en-US" w:eastAsia="en-US"/>
                  </w:rPr>
                </m:ctrlPr>
              </m:sSubPr>
              <m:e>
                <m:r>
                  <m:rPr>
                    <m:sty m:val="bi"/>
                  </m:rPr>
                  <w:rPr>
                    <w:rFonts w:ascii="Cambria Math" w:hAnsi="Cambria Math"/>
                    <w:color w:val="000000" w:themeColor="text1"/>
                    <w:sz w:val="28"/>
                    <w:szCs w:val="28"/>
                    <w:lang w:val="en-US"/>
                  </w:rPr>
                  <m:t>u</m:t>
                </m:r>
              </m:e>
              <m:sub>
                <m:r>
                  <m:rPr>
                    <m:sty m:val="bi"/>
                  </m:rPr>
                  <w:rPr>
                    <w:rFonts w:ascii="Cambria Math" w:hAnsi="Cambria Math"/>
                    <w:color w:val="000000" w:themeColor="text1"/>
                    <w:sz w:val="28"/>
                    <w:szCs w:val="28"/>
                    <w:lang w:val="en-US"/>
                  </w:rPr>
                  <m:t>na</m:t>
                </m:r>
              </m:sub>
            </m:sSub>
          </m:num>
          <m:den>
            <m:r>
              <m:rPr>
                <m:sty m:val="bi"/>
              </m:rPr>
              <w:rPr>
                <w:rFonts w:ascii="Cambria Math" w:hAnsi="Cambria Math"/>
                <w:color w:val="000000" w:themeColor="text1"/>
                <w:sz w:val="28"/>
                <w:szCs w:val="28"/>
                <w:lang w:val="en-US"/>
              </w:rPr>
              <m:t>u</m:t>
            </m:r>
          </m:den>
        </m:f>
      </m:oMath>
      <w:r w:rsidR="00F9001E" w:rsidRPr="000A3AD5">
        <w:rPr>
          <w:b/>
          <w:color w:val="000000" w:themeColor="text1"/>
          <w:lang w:val="en-US"/>
        </w:rPr>
        <w:t xml:space="preserve">  </w:t>
      </w:r>
      <w:r w:rsidR="00E9025C" w:rsidRPr="000A3AD5">
        <w:rPr>
          <w:b/>
          <w:lang w:val="en-US"/>
        </w:rPr>
        <w:t xml:space="preserve">and </w:t>
      </w:r>
      <w:r w:rsidR="00F9001E" w:rsidRPr="000A3AD5">
        <w:rPr>
          <w:b/>
          <w:lang w:val="en-US"/>
        </w:rPr>
        <w:t xml:space="preserve"> </w:t>
      </w:r>
      <m:oMath>
        <m:r>
          <m:rPr>
            <m:sty m:val="bi"/>
          </m:rPr>
          <w:rPr>
            <w:rFonts w:ascii="Cambria Math" w:hAnsi="Cambria Math"/>
            <w:sz w:val="24"/>
            <w:szCs w:val="24"/>
            <w:lang w:val="en-US"/>
          </w:rPr>
          <m:t>1+</m:t>
        </m:r>
        <m:f>
          <m:fPr>
            <m:ctrlPr>
              <w:rPr>
                <w:rFonts w:ascii="Cambria Math" w:hAnsi="Cambria Math"/>
                <w:b/>
                <w:i/>
                <w:color w:val="000000" w:themeColor="text1"/>
                <w:sz w:val="24"/>
                <w:szCs w:val="24"/>
                <w:lang w:val="en-US" w:eastAsia="en-US"/>
              </w:rPr>
            </m:ctrlPr>
          </m:fPr>
          <m:num>
            <m:sSub>
              <m:sSubPr>
                <m:ctrlPr>
                  <w:rPr>
                    <w:rFonts w:ascii="Cambria Math" w:hAnsi="Cambria Math"/>
                    <w:b/>
                    <w:i/>
                    <w:color w:val="000000" w:themeColor="text1"/>
                    <w:sz w:val="24"/>
                    <w:szCs w:val="24"/>
                    <w:lang w:val="en-US" w:eastAsia="en-US"/>
                  </w:rPr>
                </m:ctrlPr>
              </m:sSubPr>
              <m:e>
                <m:r>
                  <m:rPr>
                    <m:sty m:val="bi"/>
                  </m:rPr>
                  <w:rPr>
                    <w:rFonts w:ascii="Cambria Math" w:hAnsi="Cambria Math"/>
                    <w:color w:val="000000" w:themeColor="text1"/>
                    <w:sz w:val="24"/>
                    <w:szCs w:val="24"/>
                    <w:lang w:val="en-US"/>
                  </w:rPr>
                  <m:t>E</m:t>
                </m:r>
              </m:e>
              <m:sub>
                <m:r>
                  <m:rPr>
                    <m:sty m:val="bi"/>
                  </m:rPr>
                  <w:rPr>
                    <w:rFonts w:ascii="Cambria Math" w:hAnsi="Cambria Math"/>
                    <w:color w:val="000000" w:themeColor="text1"/>
                    <w:sz w:val="24"/>
                    <w:szCs w:val="24"/>
                    <w:lang w:val="en-US"/>
                  </w:rPr>
                  <m:t>a</m:t>
                </m:r>
              </m:sub>
            </m:sSub>
          </m:num>
          <m:den>
            <m:sSub>
              <m:sSubPr>
                <m:ctrlPr>
                  <w:rPr>
                    <w:rFonts w:ascii="Cambria Math" w:hAnsi="Cambria Math"/>
                    <w:b/>
                    <w:i/>
                    <w:color w:val="000000" w:themeColor="text1"/>
                    <w:sz w:val="24"/>
                    <w:szCs w:val="24"/>
                    <w:lang w:val="en-US" w:eastAsia="en-US"/>
                  </w:rPr>
                </m:ctrlPr>
              </m:sSubPr>
              <m:e>
                <m:r>
                  <m:rPr>
                    <m:sty m:val="bi"/>
                  </m:rPr>
                  <w:rPr>
                    <w:rFonts w:ascii="Cambria Math" w:hAnsi="Cambria Math"/>
                    <w:color w:val="000000" w:themeColor="text1"/>
                    <w:sz w:val="24"/>
                    <w:szCs w:val="24"/>
                    <w:lang w:val="en-US"/>
                  </w:rPr>
                  <m:t>LF</m:t>
                </m:r>
              </m:e>
              <m:sub>
                <m:r>
                  <m:rPr>
                    <m:sty m:val="bi"/>
                  </m:rPr>
                  <w:rPr>
                    <w:rFonts w:ascii="Cambria Math" w:hAnsi="Cambria Math"/>
                    <w:color w:val="000000" w:themeColor="text1"/>
                    <w:sz w:val="24"/>
                    <w:szCs w:val="24"/>
                    <w:lang w:val="en-US"/>
                  </w:rPr>
                  <m:t>na</m:t>
                </m:r>
              </m:sub>
            </m:sSub>
          </m:den>
        </m:f>
      </m:oMath>
      <w:r w:rsidR="00F9001E" w:rsidRPr="000A3AD5">
        <w:rPr>
          <w:b/>
          <w:lang w:val="en-US"/>
        </w:rPr>
        <w:t xml:space="preserve"> </w:t>
      </w:r>
      <w:r w:rsidR="00E9025C" w:rsidRPr="000A3AD5">
        <w:rPr>
          <w:b/>
          <w:lang w:val="en-US"/>
        </w:rPr>
        <w:t xml:space="preserve">  </w:t>
      </w:r>
      <w:r w:rsidR="00F9001E" w:rsidRPr="000A3AD5">
        <w:rPr>
          <w:b/>
          <w:lang w:val="en-US"/>
        </w:rPr>
        <w:t>(2016)</w:t>
      </w:r>
    </w:p>
    <w:p w:rsidR="00F9001E" w:rsidRPr="000A3AD5" w:rsidRDefault="00F9001E" w:rsidP="00F9001E">
      <w:pPr>
        <w:rPr>
          <w:sz w:val="24"/>
          <w:szCs w:val="24"/>
          <w:lang w:val="en-US"/>
        </w:rPr>
      </w:pPr>
    </w:p>
    <w:p w:rsidR="001100CD" w:rsidRPr="000A3AD5" w:rsidRDefault="007348DD" w:rsidP="0054644B">
      <w:pPr>
        <w:rPr>
          <w:lang w:val="en-US"/>
        </w:rPr>
      </w:pPr>
      <w:r w:rsidRPr="000A3AD5">
        <w:rPr>
          <w:noProof/>
        </w:rPr>
        <mc:AlternateContent>
          <mc:Choice Requires="wps">
            <w:drawing>
              <wp:anchor distT="0" distB="0" distL="114300" distR="114300" simplePos="0" relativeHeight="251668480" behindDoc="0" locked="0" layoutInCell="1" allowOverlap="1">
                <wp:simplePos x="0" y="0"/>
                <wp:positionH relativeFrom="column">
                  <wp:posOffset>5215255</wp:posOffset>
                </wp:positionH>
                <wp:positionV relativeFrom="paragraph">
                  <wp:posOffset>5128895</wp:posOffset>
                </wp:positionV>
                <wp:extent cx="828675" cy="590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828675" cy="590550"/>
                        </a:xfrm>
                        <a:prstGeom prst="rect">
                          <a:avLst/>
                        </a:prstGeom>
                        <a:solidFill>
                          <a:schemeClr val="lt1"/>
                        </a:solidFill>
                        <a:ln w="6350">
                          <a:noFill/>
                        </a:ln>
                      </wps:spPr>
                      <wps:txbx>
                        <w:txbxContent>
                          <w:p w:rsidR="00D1701D" w:rsidRDefault="00D1701D">
                            <m:oMathPara>
                              <m:oMath>
                                <m:r>
                                  <m:rPr>
                                    <m:sty m:val="bi"/>
                                  </m:rPr>
                                  <w:rPr>
                                    <w:rFonts w:ascii="Cambria Math" w:hAnsi="Cambria Math"/>
                                    <w:sz w:val="24"/>
                                    <w:szCs w:val="24"/>
                                  </w:rPr>
                                  <m:t>1+</m:t>
                                </m:r>
                                <m:f>
                                  <m:fPr>
                                    <m:ctrlPr>
                                      <w:rPr>
                                        <w:rFonts w:ascii="Cambria Math" w:hAnsi="Cambria Math"/>
                                        <w:i/>
                                        <w:color w:val="000000" w:themeColor="text1"/>
                                        <w:sz w:val="24"/>
                                        <w:szCs w:val="24"/>
                                        <w:lang w:eastAsia="en-US"/>
                                      </w:rPr>
                                    </m:ctrlPr>
                                  </m:fPr>
                                  <m:num>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a</m:t>
                                        </m:r>
                                      </m:sub>
                                    </m:sSub>
                                  </m:num>
                                  <m:den>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LF</m:t>
                                        </m:r>
                                      </m:e>
                                      <m:sub>
                                        <m:r>
                                          <m:rPr>
                                            <m:sty m:val="bi"/>
                                          </m:rPr>
                                          <w:rPr>
                                            <w:rFonts w:ascii="Cambria Math" w:hAnsi="Cambria Math"/>
                                            <w:color w:val="000000" w:themeColor="text1"/>
                                            <w:sz w:val="24"/>
                                            <w:szCs w:val="24"/>
                                          </w:rPr>
                                          <m:t>na</m:t>
                                        </m:r>
                                      </m:sub>
                                    </m:sSub>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8" o:spid="_x0000_s1030" type="#_x0000_t202" style="position:absolute;margin-left:410.65pt;margin-top:403.85pt;width:65.25pt;height:4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" fillcolor="white [3201]" stroked="f" strokeweight=".5pt">
                <v:textbox>
                  <w:txbxContent>
                    <w:p w:rsidR="00D1701D" w:rsidRDefault="00D1701D">
                      <m:oMathPara>
                        <m:oMath>
                          <m:r>
                            <m:rPr>
                              <m:sty m:val="bi"/>
                            </m:rPr>
                            <w:rPr>
                              <w:rFonts w:ascii="Cambria Math" w:hAnsi="Cambria Math"/>
                              <w:sz w:val="24"/>
                              <w:szCs w:val="24"/>
                            </w:rPr>
                            <m:t>1+</m:t>
                          </m:r>
                          <m:f>
                            <m:fPr>
                              <m:ctrlPr>
                                <w:rPr>
                                  <w:rFonts w:ascii="Cambria Math" w:hAnsi="Cambria Math"/>
                                  <w:i/>
                                  <w:color w:val="000000" w:themeColor="text1"/>
                                  <w:sz w:val="24"/>
                                  <w:szCs w:val="24"/>
                                  <w:lang w:eastAsia="en-US"/>
                                </w:rPr>
                              </m:ctrlPr>
                            </m:fPr>
                            <m:num>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a</m:t>
                                  </m:r>
                                </m:sub>
                              </m:sSub>
                            </m:num>
                            <m:den>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LF</m:t>
                                  </m:r>
                                </m:e>
                                <m:sub>
                                  <m:r>
                                    <m:rPr>
                                      <m:sty m:val="bi"/>
                                    </m:rPr>
                                    <w:rPr>
                                      <w:rFonts w:ascii="Cambria Math" w:hAnsi="Cambria Math"/>
                                      <w:color w:val="000000" w:themeColor="text1"/>
                                      <w:sz w:val="24"/>
                                      <w:szCs w:val="24"/>
                                    </w:rPr>
                                    <m:t>na</m:t>
                                  </m:r>
                                </m:sub>
                              </m:sSub>
                            </m:den>
                          </m:f>
                        </m:oMath>
                      </m:oMathPara>
                    </w:p>
                  </w:txbxContent>
                </v:textbox>
              </v:shape>
            </w:pict>
          </mc:Fallback>
        </mc:AlternateContent>
      </w:r>
      <w:r w:rsidR="00F9001E" w:rsidRPr="000A3AD5">
        <w:rPr>
          <w:noProof/>
        </w:rPr>
        <w:drawing>
          <wp:inline distT="0" distB="0" distL="0" distR="0" wp14:anchorId="7121493A" wp14:editId="07E40624">
            <wp:extent cx="5953125" cy="50006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48DD" w:rsidRPr="000A3AD5" w:rsidRDefault="007348DD" w:rsidP="0054644B">
      <w:pPr>
        <w:rPr>
          <w:lang w:val="en-US"/>
        </w:rPr>
      </w:pPr>
    </w:p>
    <w:p w:rsidR="00376669" w:rsidRPr="000A3AD5" w:rsidRDefault="00FA0552" w:rsidP="00376669">
      <w:pPr>
        <w:rPr>
          <w:sz w:val="16"/>
          <w:szCs w:val="16"/>
          <w:lang w:val="en-US"/>
        </w:rPr>
      </w:pPr>
      <w:r w:rsidRPr="000A3AD5">
        <w:rPr>
          <w:sz w:val="16"/>
          <w:szCs w:val="16"/>
          <w:lang w:val="en-US"/>
        </w:rPr>
        <w:t xml:space="preserve">Source: </w:t>
      </w:r>
      <w:proofErr w:type="spellStart"/>
      <w:r w:rsidRPr="000A3AD5">
        <w:rPr>
          <w:sz w:val="16"/>
          <w:szCs w:val="16"/>
          <w:lang w:val="en-US"/>
        </w:rPr>
        <w:t>Turkstat</w:t>
      </w:r>
      <w:proofErr w:type="spellEnd"/>
      <w:r w:rsidRPr="000A3AD5">
        <w:rPr>
          <w:sz w:val="16"/>
          <w:szCs w:val="16"/>
          <w:lang w:val="en-US"/>
        </w:rPr>
        <w:t>, Betam</w:t>
      </w:r>
    </w:p>
    <w:p w:rsidR="00F35846" w:rsidRPr="000A3AD5" w:rsidRDefault="00F35846" w:rsidP="00F165BE">
      <w:pPr>
        <w:rPr>
          <w:lang w:val="en-US"/>
        </w:rPr>
      </w:pPr>
    </w:p>
    <w:p w:rsidR="00F35846" w:rsidRPr="000A3AD5" w:rsidRDefault="00F35846" w:rsidP="00F35846">
      <w:pPr>
        <w:spacing w:after="0" w:line="240" w:lineRule="auto"/>
        <w:rPr>
          <w:rFonts w:ascii="Courier New" w:hAnsi="Courier New" w:cs="Courier New"/>
          <w:sz w:val="18"/>
          <w:szCs w:val="18"/>
          <w:lang w:val="en-US"/>
        </w:rPr>
      </w:pPr>
    </w:p>
    <w:p w:rsidR="00F35846" w:rsidRPr="000A3AD5" w:rsidRDefault="00F35846" w:rsidP="00F35846">
      <w:pPr>
        <w:spacing w:after="0" w:line="240" w:lineRule="auto"/>
        <w:rPr>
          <w:rFonts w:ascii="Courier New" w:hAnsi="Courier New" w:cs="Courier New"/>
          <w:sz w:val="18"/>
          <w:szCs w:val="18"/>
          <w:lang w:val="en-US"/>
        </w:rPr>
      </w:pPr>
    </w:p>
    <w:p w:rsidR="00F35846" w:rsidRPr="000A3AD5" w:rsidRDefault="00F35846" w:rsidP="00F35846">
      <w:pPr>
        <w:spacing w:after="0" w:line="240" w:lineRule="auto"/>
        <w:rPr>
          <w:rFonts w:ascii="Courier New" w:hAnsi="Courier New" w:cs="Courier New"/>
          <w:sz w:val="18"/>
          <w:szCs w:val="18"/>
          <w:lang w:val="en-US"/>
        </w:rPr>
      </w:pPr>
    </w:p>
    <w:sectPr w:rsidR="00F35846" w:rsidRPr="000A3AD5" w:rsidSect="0033410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90" w:rsidRDefault="006B5A90" w:rsidP="00B047D4">
      <w:pPr>
        <w:spacing w:after="0" w:line="240" w:lineRule="auto"/>
      </w:pPr>
      <w:r>
        <w:separator/>
      </w:r>
    </w:p>
  </w:endnote>
  <w:endnote w:type="continuationSeparator" w:id="0">
    <w:p w:rsidR="006B5A90" w:rsidRDefault="006B5A90"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9102"/>
      <w:docPartObj>
        <w:docPartGallery w:val="Page Numbers (Bottom of Page)"/>
        <w:docPartUnique/>
      </w:docPartObj>
    </w:sdtPr>
    <w:sdtEndPr/>
    <w:sdtContent>
      <w:p w:rsidR="00D1701D" w:rsidRDefault="00D1701D">
        <w:pPr>
          <w:pStyle w:val="Footer"/>
          <w:jc w:val="right"/>
        </w:pPr>
        <w:r>
          <w:fldChar w:fldCharType="begin"/>
        </w:r>
        <w:r>
          <w:instrText xml:space="preserve"> PAGE   \* MERGEFORMAT </w:instrText>
        </w:r>
        <w:r>
          <w:fldChar w:fldCharType="separate"/>
        </w:r>
        <w:r w:rsidR="0054213D">
          <w:rPr>
            <w:noProof/>
          </w:rPr>
          <w:t>12</w:t>
        </w:r>
        <w:r>
          <w:rPr>
            <w:noProof/>
          </w:rPr>
          <w:fldChar w:fldCharType="end"/>
        </w:r>
      </w:p>
    </w:sdtContent>
  </w:sdt>
  <w:p w:rsidR="00D1701D" w:rsidRDefault="00D170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90" w:rsidRDefault="006B5A90" w:rsidP="00B047D4">
      <w:pPr>
        <w:spacing w:after="0" w:line="240" w:lineRule="auto"/>
      </w:pPr>
      <w:r>
        <w:separator/>
      </w:r>
    </w:p>
  </w:footnote>
  <w:footnote w:type="continuationSeparator" w:id="0">
    <w:p w:rsidR="006B5A90" w:rsidRDefault="006B5A90" w:rsidP="00B047D4">
      <w:pPr>
        <w:spacing w:after="0" w:line="240" w:lineRule="auto"/>
      </w:pPr>
      <w:r>
        <w:continuationSeparator/>
      </w:r>
    </w:p>
  </w:footnote>
  <w:footnote w:id="1">
    <w:p w:rsidR="00D1701D" w:rsidRPr="00922E45" w:rsidRDefault="00D1701D"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Prof.Dr. Seyfettin Gürsel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Pr>
          <w:rFonts w:asciiTheme="minorHAnsi" w:hAnsiTheme="minorHAnsi" w:cs="Arial"/>
          <w:sz w:val="18"/>
          <w:szCs w:val="18"/>
        </w:rPr>
        <w:t>, Directo</w:t>
      </w:r>
      <w:r w:rsidRPr="00922E45">
        <w:rPr>
          <w:rFonts w:asciiTheme="minorHAnsi" w:hAnsiTheme="minorHAnsi" w:cs="Arial"/>
          <w:sz w:val="18"/>
          <w:szCs w:val="18"/>
        </w:rPr>
        <w:t xml:space="preserve">r, </w:t>
      </w:r>
      <w:r>
        <w:rPr>
          <w:rFonts w:asciiTheme="minorHAnsi" w:hAnsiTheme="minorHAnsi" w:cs="Arial"/>
          <w:sz w:val="18"/>
          <w:szCs w:val="18"/>
        </w:rPr>
        <w:t>seyfettin.gursel</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w:t>
      </w:r>
      <w:r w:rsidRPr="00922E45">
        <w:rPr>
          <w:rFonts w:asciiTheme="minorHAnsi" w:hAnsiTheme="minorHAnsi" w:cs="Arial"/>
          <w:sz w:val="18"/>
          <w:szCs w:val="18"/>
        </w:rPr>
        <w:t>.edu.tr</w:t>
      </w:r>
    </w:p>
  </w:footnote>
  <w:footnote w:id="2">
    <w:p w:rsidR="00D1701D" w:rsidRDefault="00D1701D"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Selin Köksal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Pr>
          <w:rFonts w:asciiTheme="minorHAnsi" w:hAnsiTheme="minorHAnsi" w:cs="Arial"/>
          <w:sz w:val="18"/>
          <w:szCs w:val="18"/>
        </w:rPr>
        <w:t>, Research Assistant, selin.koksal</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w:t>
      </w:r>
      <w:r w:rsidRPr="00922E45">
        <w:rPr>
          <w:rFonts w:asciiTheme="minorHAnsi" w:hAnsiTheme="minorHAnsi" w:cs="Arial"/>
          <w:sz w:val="18"/>
          <w:szCs w:val="18"/>
        </w:rPr>
        <w:t>.edu.tr</w:t>
      </w:r>
    </w:p>
    <w:p w:rsidR="00D1701D" w:rsidRPr="00922E45" w:rsidRDefault="00D1701D" w:rsidP="00B047D4">
      <w:pPr>
        <w:pStyle w:val="FootnoteText"/>
        <w:rPr>
          <w:rFonts w:asciiTheme="minorHAnsi" w:hAnsiTheme="minorHAnsi" w:cs="Arial"/>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D4"/>
    <w:rsid w:val="000075E7"/>
    <w:rsid w:val="00012E40"/>
    <w:rsid w:val="00017A66"/>
    <w:rsid w:val="00020248"/>
    <w:rsid w:val="00021313"/>
    <w:rsid w:val="00022E22"/>
    <w:rsid w:val="000237BE"/>
    <w:rsid w:val="00024EDE"/>
    <w:rsid w:val="00027835"/>
    <w:rsid w:val="000279DF"/>
    <w:rsid w:val="00030820"/>
    <w:rsid w:val="000335F8"/>
    <w:rsid w:val="00033938"/>
    <w:rsid w:val="0003584E"/>
    <w:rsid w:val="00036A9C"/>
    <w:rsid w:val="00040E8E"/>
    <w:rsid w:val="0004654F"/>
    <w:rsid w:val="0004695D"/>
    <w:rsid w:val="00046B12"/>
    <w:rsid w:val="000556D0"/>
    <w:rsid w:val="00056018"/>
    <w:rsid w:val="000564C8"/>
    <w:rsid w:val="000576CA"/>
    <w:rsid w:val="00064AB5"/>
    <w:rsid w:val="000715D4"/>
    <w:rsid w:val="00071601"/>
    <w:rsid w:val="00072205"/>
    <w:rsid w:val="00072561"/>
    <w:rsid w:val="00072FE5"/>
    <w:rsid w:val="00082D8F"/>
    <w:rsid w:val="00083350"/>
    <w:rsid w:val="00084432"/>
    <w:rsid w:val="00084A44"/>
    <w:rsid w:val="00086B90"/>
    <w:rsid w:val="000871DC"/>
    <w:rsid w:val="00097488"/>
    <w:rsid w:val="00097CDD"/>
    <w:rsid w:val="00097E4C"/>
    <w:rsid w:val="000A3AD5"/>
    <w:rsid w:val="000A44FC"/>
    <w:rsid w:val="000B518D"/>
    <w:rsid w:val="000C050E"/>
    <w:rsid w:val="000C3F90"/>
    <w:rsid w:val="000C6C0F"/>
    <w:rsid w:val="000D4378"/>
    <w:rsid w:val="000D44CB"/>
    <w:rsid w:val="000D477C"/>
    <w:rsid w:val="000D524B"/>
    <w:rsid w:val="000D60A4"/>
    <w:rsid w:val="000E0861"/>
    <w:rsid w:val="000E093E"/>
    <w:rsid w:val="000E25AE"/>
    <w:rsid w:val="000E3E2D"/>
    <w:rsid w:val="000E6369"/>
    <w:rsid w:val="000E7A4A"/>
    <w:rsid w:val="000F0B07"/>
    <w:rsid w:val="000F1E19"/>
    <w:rsid w:val="000F3ED1"/>
    <w:rsid w:val="00101496"/>
    <w:rsid w:val="001100CD"/>
    <w:rsid w:val="0011188B"/>
    <w:rsid w:val="00112377"/>
    <w:rsid w:val="00113B28"/>
    <w:rsid w:val="00113F1E"/>
    <w:rsid w:val="00116532"/>
    <w:rsid w:val="00117A30"/>
    <w:rsid w:val="00121099"/>
    <w:rsid w:val="00124419"/>
    <w:rsid w:val="00124499"/>
    <w:rsid w:val="00133314"/>
    <w:rsid w:val="001346D2"/>
    <w:rsid w:val="00136844"/>
    <w:rsid w:val="00142238"/>
    <w:rsid w:val="00146B33"/>
    <w:rsid w:val="001512F9"/>
    <w:rsid w:val="00155225"/>
    <w:rsid w:val="001552F4"/>
    <w:rsid w:val="00161AB6"/>
    <w:rsid w:val="0016353F"/>
    <w:rsid w:val="0016374B"/>
    <w:rsid w:val="00163F8F"/>
    <w:rsid w:val="0016636F"/>
    <w:rsid w:val="0017166A"/>
    <w:rsid w:val="00172926"/>
    <w:rsid w:val="00173AA6"/>
    <w:rsid w:val="001806F1"/>
    <w:rsid w:val="001821CB"/>
    <w:rsid w:val="001845A2"/>
    <w:rsid w:val="00184CB9"/>
    <w:rsid w:val="00186410"/>
    <w:rsid w:val="0018665D"/>
    <w:rsid w:val="00190BEB"/>
    <w:rsid w:val="0019328B"/>
    <w:rsid w:val="00193BE3"/>
    <w:rsid w:val="00194F6E"/>
    <w:rsid w:val="001A2E3D"/>
    <w:rsid w:val="001A416A"/>
    <w:rsid w:val="001A4876"/>
    <w:rsid w:val="001A4B47"/>
    <w:rsid w:val="001A5E6F"/>
    <w:rsid w:val="001A79E3"/>
    <w:rsid w:val="001B11B7"/>
    <w:rsid w:val="001B30F8"/>
    <w:rsid w:val="001B3CA4"/>
    <w:rsid w:val="001B3D45"/>
    <w:rsid w:val="001B4061"/>
    <w:rsid w:val="001B5AF6"/>
    <w:rsid w:val="001B6D2C"/>
    <w:rsid w:val="001C16F7"/>
    <w:rsid w:val="001C280D"/>
    <w:rsid w:val="001C3BC3"/>
    <w:rsid w:val="001C6120"/>
    <w:rsid w:val="001C61EC"/>
    <w:rsid w:val="001D6ED1"/>
    <w:rsid w:val="001D70C6"/>
    <w:rsid w:val="001E254A"/>
    <w:rsid w:val="001E2732"/>
    <w:rsid w:val="001E54AE"/>
    <w:rsid w:val="001E7CE4"/>
    <w:rsid w:val="001E7D77"/>
    <w:rsid w:val="001F2894"/>
    <w:rsid w:val="001F3CB9"/>
    <w:rsid w:val="001F561B"/>
    <w:rsid w:val="001F5699"/>
    <w:rsid w:val="001F688B"/>
    <w:rsid w:val="00201782"/>
    <w:rsid w:val="00203717"/>
    <w:rsid w:val="00204551"/>
    <w:rsid w:val="00204594"/>
    <w:rsid w:val="00205394"/>
    <w:rsid w:val="0020544F"/>
    <w:rsid w:val="00207D67"/>
    <w:rsid w:val="002118AE"/>
    <w:rsid w:val="00216A83"/>
    <w:rsid w:val="0021737F"/>
    <w:rsid w:val="00220C29"/>
    <w:rsid w:val="00221CDF"/>
    <w:rsid w:val="0022297C"/>
    <w:rsid w:val="0023159D"/>
    <w:rsid w:val="00232843"/>
    <w:rsid w:val="002329BB"/>
    <w:rsid w:val="002347F5"/>
    <w:rsid w:val="00250093"/>
    <w:rsid w:val="00250E65"/>
    <w:rsid w:val="002524F5"/>
    <w:rsid w:val="002531A6"/>
    <w:rsid w:val="00256E87"/>
    <w:rsid w:val="0025739A"/>
    <w:rsid w:val="00257F75"/>
    <w:rsid w:val="00261CE2"/>
    <w:rsid w:val="00261E33"/>
    <w:rsid w:val="00263845"/>
    <w:rsid w:val="002640C6"/>
    <w:rsid w:val="002676DA"/>
    <w:rsid w:val="002704B4"/>
    <w:rsid w:val="002705A3"/>
    <w:rsid w:val="0027177C"/>
    <w:rsid w:val="00271D97"/>
    <w:rsid w:val="0027615A"/>
    <w:rsid w:val="00276C1C"/>
    <w:rsid w:val="00280444"/>
    <w:rsid w:val="00280D89"/>
    <w:rsid w:val="00284902"/>
    <w:rsid w:val="00290D79"/>
    <w:rsid w:val="00291005"/>
    <w:rsid w:val="00291F3F"/>
    <w:rsid w:val="00292139"/>
    <w:rsid w:val="002933FB"/>
    <w:rsid w:val="00293B15"/>
    <w:rsid w:val="00295151"/>
    <w:rsid w:val="00297843"/>
    <w:rsid w:val="002A1159"/>
    <w:rsid w:val="002A2449"/>
    <w:rsid w:val="002A2E12"/>
    <w:rsid w:val="002A4570"/>
    <w:rsid w:val="002A4DA0"/>
    <w:rsid w:val="002A5C0B"/>
    <w:rsid w:val="002B278B"/>
    <w:rsid w:val="002B3684"/>
    <w:rsid w:val="002B3CA9"/>
    <w:rsid w:val="002B5775"/>
    <w:rsid w:val="002C07D6"/>
    <w:rsid w:val="002C2A0F"/>
    <w:rsid w:val="002C4BFD"/>
    <w:rsid w:val="002C5CDA"/>
    <w:rsid w:val="002D1455"/>
    <w:rsid w:val="002D2152"/>
    <w:rsid w:val="002D2A29"/>
    <w:rsid w:val="002D3B5D"/>
    <w:rsid w:val="002D3B84"/>
    <w:rsid w:val="002D4228"/>
    <w:rsid w:val="002E4A06"/>
    <w:rsid w:val="002E5AC9"/>
    <w:rsid w:val="002E6171"/>
    <w:rsid w:val="002F03F8"/>
    <w:rsid w:val="002F1543"/>
    <w:rsid w:val="002F33C8"/>
    <w:rsid w:val="002F575B"/>
    <w:rsid w:val="003025C4"/>
    <w:rsid w:val="003041CB"/>
    <w:rsid w:val="003054FF"/>
    <w:rsid w:val="00307278"/>
    <w:rsid w:val="00314CD1"/>
    <w:rsid w:val="00321BF4"/>
    <w:rsid w:val="003227D9"/>
    <w:rsid w:val="003267BD"/>
    <w:rsid w:val="00330E0F"/>
    <w:rsid w:val="00330FB6"/>
    <w:rsid w:val="0033410A"/>
    <w:rsid w:val="00334C5F"/>
    <w:rsid w:val="003414F1"/>
    <w:rsid w:val="00341957"/>
    <w:rsid w:val="00343F75"/>
    <w:rsid w:val="00344002"/>
    <w:rsid w:val="00345B16"/>
    <w:rsid w:val="003461CA"/>
    <w:rsid w:val="00350063"/>
    <w:rsid w:val="0035187F"/>
    <w:rsid w:val="00352888"/>
    <w:rsid w:val="003565BD"/>
    <w:rsid w:val="00357107"/>
    <w:rsid w:val="00362791"/>
    <w:rsid w:val="00363686"/>
    <w:rsid w:val="0036427A"/>
    <w:rsid w:val="00365320"/>
    <w:rsid w:val="00370935"/>
    <w:rsid w:val="0037236D"/>
    <w:rsid w:val="00372D39"/>
    <w:rsid w:val="00373A8B"/>
    <w:rsid w:val="00376669"/>
    <w:rsid w:val="0038109C"/>
    <w:rsid w:val="003853AD"/>
    <w:rsid w:val="00385AAD"/>
    <w:rsid w:val="003917FD"/>
    <w:rsid w:val="00392FEE"/>
    <w:rsid w:val="00393464"/>
    <w:rsid w:val="00394C61"/>
    <w:rsid w:val="003952AB"/>
    <w:rsid w:val="003A114E"/>
    <w:rsid w:val="003A4EB7"/>
    <w:rsid w:val="003A5A7C"/>
    <w:rsid w:val="003A77A9"/>
    <w:rsid w:val="003B0FC1"/>
    <w:rsid w:val="003B5EF0"/>
    <w:rsid w:val="003C3410"/>
    <w:rsid w:val="003C3989"/>
    <w:rsid w:val="003C5F63"/>
    <w:rsid w:val="003D3BED"/>
    <w:rsid w:val="003D495B"/>
    <w:rsid w:val="003D5A16"/>
    <w:rsid w:val="003D7D47"/>
    <w:rsid w:val="003E6C57"/>
    <w:rsid w:val="003F00E4"/>
    <w:rsid w:val="003F317F"/>
    <w:rsid w:val="003F5F29"/>
    <w:rsid w:val="003F6A45"/>
    <w:rsid w:val="003F6C1A"/>
    <w:rsid w:val="00403065"/>
    <w:rsid w:val="00404149"/>
    <w:rsid w:val="004169FE"/>
    <w:rsid w:val="004203CC"/>
    <w:rsid w:val="004213D0"/>
    <w:rsid w:val="00421ED0"/>
    <w:rsid w:val="0043552F"/>
    <w:rsid w:val="004363C3"/>
    <w:rsid w:val="0044038C"/>
    <w:rsid w:val="00443853"/>
    <w:rsid w:val="00446444"/>
    <w:rsid w:val="004465C3"/>
    <w:rsid w:val="004539DE"/>
    <w:rsid w:val="00457439"/>
    <w:rsid w:val="0046006F"/>
    <w:rsid w:val="0046020A"/>
    <w:rsid w:val="00461BCE"/>
    <w:rsid w:val="004632E8"/>
    <w:rsid w:val="00464030"/>
    <w:rsid w:val="0046409E"/>
    <w:rsid w:val="0046631B"/>
    <w:rsid w:val="00466BE5"/>
    <w:rsid w:val="004711C4"/>
    <w:rsid w:val="00473309"/>
    <w:rsid w:val="004765CB"/>
    <w:rsid w:val="00476D01"/>
    <w:rsid w:val="004816FD"/>
    <w:rsid w:val="0048748D"/>
    <w:rsid w:val="004903F9"/>
    <w:rsid w:val="00491BF9"/>
    <w:rsid w:val="00495849"/>
    <w:rsid w:val="004A0686"/>
    <w:rsid w:val="004A10B5"/>
    <w:rsid w:val="004A1712"/>
    <w:rsid w:val="004A20AA"/>
    <w:rsid w:val="004A32F4"/>
    <w:rsid w:val="004B4866"/>
    <w:rsid w:val="004C0355"/>
    <w:rsid w:val="004C1771"/>
    <w:rsid w:val="004C3499"/>
    <w:rsid w:val="004C3625"/>
    <w:rsid w:val="004C4EE3"/>
    <w:rsid w:val="004C604E"/>
    <w:rsid w:val="004C681E"/>
    <w:rsid w:val="004D1357"/>
    <w:rsid w:val="004D334E"/>
    <w:rsid w:val="004D66F3"/>
    <w:rsid w:val="004D714A"/>
    <w:rsid w:val="004D7852"/>
    <w:rsid w:val="004E1C41"/>
    <w:rsid w:val="004F2A7A"/>
    <w:rsid w:val="004F4C6C"/>
    <w:rsid w:val="005040E6"/>
    <w:rsid w:val="005107E8"/>
    <w:rsid w:val="005126E6"/>
    <w:rsid w:val="00512C09"/>
    <w:rsid w:val="00515450"/>
    <w:rsid w:val="005162B6"/>
    <w:rsid w:val="00516E15"/>
    <w:rsid w:val="00523BC8"/>
    <w:rsid w:val="00525437"/>
    <w:rsid w:val="00525B28"/>
    <w:rsid w:val="00527786"/>
    <w:rsid w:val="005337FC"/>
    <w:rsid w:val="00533C18"/>
    <w:rsid w:val="00533E95"/>
    <w:rsid w:val="005360CA"/>
    <w:rsid w:val="00540CC9"/>
    <w:rsid w:val="0054175A"/>
    <w:rsid w:val="0054213D"/>
    <w:rsid w:val="0054361C"/>
    <w:rsid w:val="0054644B"/>
    <w:rsid w:val="00550830"/>
    <w:rsid w:val="005531C1"/>
    <w:rsid w:val="00554C1E"/>
    <w:rsid w:val="0055583B"/>
    <w:rsid w:val="00561125"/>
    <w:rsid w:val="00562D88"/>
    <w:rsid w:val="00564516"/>
    <w:rsid w:val="00566335"/>
    <w:rsid w:val="00566B0C"/>
    <w:rsid w:val="005676DA"/>
    <w:rsid w:val="00573386"/>
    <w:rsid w:val="00576CA7"/>
    <w:rsid w:val="00586C44"/>
    <w:rsid w:val="005900A1"/>
    <w:rsid w:val="00591965"/>
    <w:rsid w:val="00592C59"/>
    <w:rsid w:val="005A0BD6"/>
    <w:rsid w:val="005A12F2"/>
    <w:rsid w:val="005A1850"/>
    <w:rsid w:val="005A23E7"/>
    <w:rsid w:val="005A3D17"/>
    <w:rsid w:val="005A71D1"/>
    <w:rsid w:val="005A73CF"/>
    <w:rsid w:val="005B2242"/>
    <w:rsid w:val="005C1BC8"/>
    <w:rsid w:val="005C40D6"/>
    <w:rsid w:val="005C6962"/>
    <w:rsid w:val="005D062F"/>
    <w:rsid w:val="005D0E9A"/>
    <w:rsid w:val="005D1784"/>
    <w:rsid w:val="005D235C"/>
    <w:rsid w:val="005D4490"/>
    <w:rsid w:val="005D5073"/>
    <w:rsid w:val="005D5253"/>
    <w:rsid w:val="005D561B"/>
    <w:rsid w:val="005D5AA1"/>
    <w:rsid w:val="005D7E14"/>
    <w:rsid w:val="005E0D31"/>
    <w:rsid w:val="005E1898"/>
    <w:rsid w:val="005F7F9C"/>
    <w:rsid w:val="00601C3C"/>
    <w:rsid w:val="0060482C"/>
    <w:rsid w:val="00605BE1"/>
    <w:rsid w:val="00611E0C"/>
    <w:rsid w:val="00614287"/>
    <w:rsid w:val="00614312"/>
    <w:rsid w:val="00617C2B"/>
    <w:rsid w:val="0062019B"/>
    <w:rsid w:val="0062288A"/>
    <w:rsid w:val="0062431B"/>
    <w:rsid w:val="0062464E"/>
    <w:rsid w:val="00624C1A"/>
    <w:rsid w:val="0062542B"/>
    <w:rsid w:val="006257E6"/>
    <w:rsid w:val="006260D8"/>
    <w:rsid w:val="006266E5"/>
    <w:rsid w:val="00631413"/>
    <w:rsid w:val="006323FF"/>
    <w:rsid w:val="00632A5D"/>
    <w:rsid w:val="00632AA3"/>
    <w:rsid w:val="00634006"/>
    <w:rsid w:val="00635210"/>
    <w:rsid w:val="0063578B"/>
    <w:rsid w:val="006361E9"/>
    <w:rsid w:val="006372D4"/>
    <w:rsid w:val="0064261F"/>
    <w:rsid w:val="006456CB"/>
    <w:rsid w:val="00646A69"/>
    <w:rsid w:val="00650695"/>
    <w:rsid w:val="00651D17"/>
    <w:rsid w:val="0065487F"/>
    <w:rsid w:val="00654C62"/>
    <w:rsid w:val="00656374"/>
    <w:rsid w:val="00656E81"/>
    <w:rsid w:val="00657317"/>
    <w:rsid w:val="00665C9D"/>
    <w:rsid w:val="00666316"/>
    <w:rsid w:val="00672BB0"/>
    <w:rsid w:val="00672D3A"/>
    <w:rsid w:val="006769ED"/>
    <w:rsid w:val="006777BF"/>
    <w:rsid w:val="0068204E"/>
    <w:rsid w:val="006836CA"/>
    <w:rsid w:val="00684CF8"/>
    <w:rsid w:val="00686C8C"/>
    <w:rsid w:val="00690854"/>
    <w:rsid w:val="0069173E"/>
    <w:rsid w:val="00692B5E"/>
    <w:rsid w:val="00695D9A"/>
    <w:rsid w:val="006978AC"/>
    <w:rsid w:val="006A0766"/>
    <w:rsid w:val="006A3246"/>
    <w:rsid w:val="006A34A7"/>
    <w:rsid w:val="006A3AE1"/>
    <w:rsid w:val="006A4030"/>
    <w:rsid w:val="006A5438"/>
    <w:rsid w:val="006A5E7B"/>
    <w:rsid w:val="006A7F1E"/>
    <w:rsid w:val="006B0CB9"/>
    <w:rsid w:val="006B1808"/>
    <w:rsid w:val="006B5434"/>
    <w:rsid w:val="006B5A90"/>
    <w:rsid w:val="006B76ED"/>
    <w:rsid w:val="006C3D04"/>
    <w:rsid w:val="006C4B8D"/>
    <w:rsid w:val="006C4E63"/>
    <w:rsid w:val="006D182B"/>
    <w:rsid w:val="006D21D0"/>
    <w:rsid w:val="006D27BB"/>
    <w:rsid w:val="006D6600"/>
    <w:rsid w:val="006D7D2E"/>
    <w:rsid w:val="006E2867"/>
    <w:rsid w:val="006E29D1"/>
    <w:rsid w:val="006E33BD"/>
    <w:rsid w:val="006E7F3C"/>
    <w:rsid w:val="006F515E"/>
    <w:rsid w:val="006F6E5A"/>
    <w:rsid w:val="00701934"/>
    <w:rsid w:val="0070209F"/>
    <w:rsid w:val="007038FE"/>
    <w:rsid w:val="00705929"/>
    <w:rsid w:val="00713361"/>
    <w:rsid w:val="007164B6"/>
    <w:rsid w:val="00716B7A"/>
    <w:rsid w:val="00716D19"/>
    <w:rsid w:val="00716E95"/>
    <w:rsid w:val="00720637"/>
    <w:rsid w:val="0072078A"/>
    <w:rsid w:val="00720E04"/>
    <w:rsid w:val="00722135"/>
    <w:rsid w:val="00722E63"/>
    <w:rsid w:val="00725FFC"/>
    <w:rsid w:val="007337BC"/>
    <w:rsid w:val="007348DD"/>
    <w:rsid w:val="00737A63"/>
    <w:rsid w:val="00742189"/>
    <w:rsid w:val="00747FEB"/>
    <w:rsid w:val="007538F3"/>
    <w:rsid w:val="00754D4A"/>
    <w:rsid w:val="007554DC"/>
    <w:rsid w:val="00760089"/>
    <w:rsid w:val="00763162"/>
    <w:rsid w:val="007639AD"/>
    <w:rsid w:val="00764D5A"/>
    <w:rsid w:val="007651EB"/>
    <w:rsid w:val="00765207"/>
    <w:rsid w:val="007660F5"/>
    <w:rsid w:val="00767B19"/>
    <w:rsid w:val="007707E0"/>
    <w:rsid w:val="00770E8C"/>
    <w:rsid w:val="00774248"/>
    <w:rsid w:val="00774A28"/>
    <w:rsid w:val="007771A3"/>
    <w:rsid w:val="00777D30"/>
    <w:rsid w:val="0078488F"/>
    <w:rsid w:val="00784A02"/>
    <w:rsid w:val="007910B2"/>
    <w:rsid w:val="00791723"/>
    <w:rsid w:val="00792D38"/>
    <w:rsid w:val="007933C9"/>
    <w:rsid w:val="007961F0"/>
    <w:rsid w:val="00796CAA"/>
    <w:rsid w:val="00797343"/>
    <w:rsid w:val="007A077E"/>
    <w:rsid w:val="007A3734"/>
    <w:rsid w:val="007A4215"/>
    <w:rsid w:val="007B0A85"/>
    <w:rsid w:val="007B20DD"/>
    <w:rsid w:val="007B31CB"/>
    <w:rsid w:val="007B47A8"/>
    <w:rsid w:val="007B7FA4"/>
    <w:rsid w:val="007C02D2"/>
    <w:rsid w:val="007C05FF"/>
    <w:rsid w:val="007C076A"/>
    <w:rsid w:val="007C12C4"/>
    <w:rsid w:val="007C3735"/>
    <w:rsid w:val="007C6EFA"/>
    <w:rsid w:val="007C7C70"/>
    <w:rsid w:val="007D27F3"/>
    <w:rsid w:val="007D3342"/>
    <w:rsid w:val="007D5311"/>
    <w:rsid w:val="007D5C7B"/>
    <w:rsid w:val="007D6F6E"/>
    <w:rsid w:val="007E2119"/>
    <w:rsid w:val="007E2646"/>
    <w:rsid w:val="007E3CB7"/>
    <w:rsid w:val="007F057C"/>
    <w:rsid w:val="007F21BB"/>
    <w:rsid w:val="007F261A"/>
    <w:rsid w:val="007F4D89"/>
    <w:rsid w:val="007F7E0A"/>
    <w:rsid w:val="00802A91"/>
    <w:rsid w:val="0080310E"/>
    <w:rsid w:val="008035EF"/>
    <w:rsid w:val="008115B6"/>
    <w:rsid w:val="00814A4A"/>
    <w:rsid w:val="0082573D"/>
    <w:rsid w:val="00830D8F"/>
    <w:rsid w:val="008319DD"/>
    <w:rsid w:val="00836145"/>
    <w:rsid w:val="008504C6"/>
    <w:rsid w:val="00852B20"/>
    <w:rsid w:val="00852BE7"/>
    <w:rsid w:val="00857D13"/>
    <w:rsid w:val="00862BC8"/>
    <w:rsid w:val="008676FC"/>
    <w:rsid w:val="00871EC8"/>
    <w:rsid w:val="00873128"/>
    <w:rsid w:val="00873691"/>
    <w:rsid w:val="00876D37"/>
    <w:rsid w:val="008837BA"/>
    <w:rsid w:val="008844D4"/>
    <w:rsid w:val="008857EC"/>
    <w:rsid w:val="00886859"/>
    <w:rsid w:val="00886C87"/>
    <w:rsid w:val="008901A1"/>
    <w:rsid w:val="00891DB3"/>
    <w:rsid w:val="00892160"/>
    <w:rsid w:val="00893540"/>
    <w:rsid w:val="00893C87"/>
    <w:rsid w:val="008964C5"/>
    <w:rsid w:val="008A6D74"/>
    <w:rsid w:val="008A7F9B"/>
    <w:rsid w:val="008B1760"/>
    <w:rsid w:val="008B5327"/>
    <w:rsid w:val="008B5399"/>
    <w:rsid w:val="008B6E80"/>
    <w:rsid w:val="008C1DB4"/>
    <w:rsid w:val="008C217E"/>
    <w:rsid w:val="008C40A8"/>
    <w:rsid w:val="008C481E"/>
    <w:rsid w:val="008C55F2"/>
    <w:rsid w:val="008D17D8"/>
    <w:rsid w:val="008D1D6B"/>
    <w:rsid w:val="008D4AE6"/>
    <w:rsid w:val="008D52E4"/>
    <w:rsid w:val="008D59B9"/>
    <w:rsid w:val="008D5F8A"/>
    <w:rsid w:val="008E3533"/>
    <w:rsid w:val="008E35E7"/>
    <w:rsid w:val="008E4194"/>
    <w:rsid w:val="008E4D22"/>
    <w:rsid w:val="008E555B"/>
    <w:rsid w:val="008F0E05"/>
    <w:rsid w:val="008F1CA1"/>
    <w:rsid w:val="008F250D"/>
    <w:rsid w:val="008F5B8E"/>
    <w:rsid w:val="009043D6"/>
    <w:rsid w:val="0091102D"/>
    <w:rsid w:val="00913B2C"/>
    <w:rsid w:val="00914EF1"/>
    <w:rsid w:val="00916F3A"/>
    <w:rsid w:val="00917B0C"/>
    <w:rsid w:val="00924B69"/>
    <w:rsid w:val="009262AD"/>
    <w:rsid w:val="00926723"/>
    <w:rsid w:val="00930359"/>
    <w:rsid w:val="00933224"/>
    <w:rsid w:val="00933445"/>
    <w:rsid w:val="0093418F"/>
    <w:rsid w:val="00935A22"/>
    <w:rsid w:val="00941ADA"/>
    <w:rsid w:val="009444D3"/>
    <w:rsid w:val="00950943"/>
    <w:rsid w:val="00951213"/>
    <w:rsid w:val="009532F3"/>
    <w:rsid w:val="00954303"/>
    <w:rsid w:val="009556B0"/>
    <w:rsid w:val="00957FF6"/>
    <w:rsid w:val="00960408"/>
    <w:rsid w:val="009625DE"/>
    <w:rsid w:val="00962F3D"/>
    <w:rsid w:val="009656B2"/>
    <w:rsid w:val="0096787E"/>
    <w:rsid w:val="009704B8"/>
    <w:rsid w:val="00970922"/>
    <w:rsid w:val="00970D38"/>
    <w:rsid w:val="00971D17"/>
    <w:rsid w:val="0097310F"/>
    <w:rsid w:val="00976BAE"/>
    <w:rsid w:val="00982EE9"/>
    <w:rsid w:val="00983A16"/>
    <w:rsid w:val="00985472"/>
    <w:rsid w:val="00985ABD"/>
    <w:rsid w:val="00986013"/>
    <w:rsid w:val="0098713F"/>
    <w:rsid w:val="00991C75"/>
    <w:rsid w:val="0099663C"/>
    <w:rsid w:val="009A0215"/>
    <w:rsid w:val="009A0FB8"/>
    <w:rsid w:val="009B43B6"/>
    <w:rsid w:val="009B4958"/>
    <w:rsid w:val="009B5206"/>
    <w:rsid w:val="009B68D1"/>
    <w:rsid w:val="009C001B"/>
    <w:rsid w:val="009C0945"/>
    <w:rsid w:val="009C31C1"/>
    <w:rsid w:val="009C3EA7"/>
    <w:rsid w:val="009C4878"/>
    <w:rsid w:val="009C4BA8"/>
    <w:rsid w:val="009C7C42"/>
    <w:rsid w:val="009D385F"/>
    <w:rsid w:val="009D3991"/>
    <w:rsid w:val="009E1995"/>
    <w:rsid w:val="009E1D98"/>
    <w:rsid w:val="009E27DB"/>
    <w:rsid w:val="009E391A"/>
    <w:rsid w:val="009F0125"/>
    <w:rsid w:val="009F18EF"/>
    <w:rsid w:val="009F4BA9"/>
    <w:rsid w:val="009F5FBC"/>
    <w:rsid w:val="00A00597"/>
    <w:rsid w:val="00A01A58"/>
    <w:rsid w:val="00A06036"/>
    <w:rsid w:val="00A060EC"/>
    <w:rsid w:val="00A06732"/>
    <w:rsid w:val="00A10006"/>
    <w:rsid w:val="00A1030B"/>
    <w:rsid w:val="00A10B1B"/>
    <w:rsid w:val="00A11591"/>
    <w:rsid w:val="00A11962"/>
    <w:rsid w:val="00A1316C"/>
    <w:rsid w:val="00A14474"/>
    <w:rsid w:val="00A17EE1"/>
    <w:rsid w:val="00A2071A"/>
    <w:rsid w:val="00A20A2A"/>
    <w:rsid w:val="00A22786"/>
    <w:rsid w:val="00A22E02"/>
    <w:rsid w:val="00A235D1"/>
    <w:rsid w:val="00A23AE3"/>
    <w:rsid w:val="00A2428F"/>
    <w:rsid w:val="00A30575"/>
    <w:rsid w:val="00A316A6"/>
    <w:rsid w:val="00A31C9C"/>
    <w:rsid w:val="00A32FEB"/>
    <w:rsid w:val="00A34634"/>
    <w:rsid w:val="00A35587"/>
    <w:rsid w:val="00A35B81"/>
    <w:rsid w:val="00A36AF9"/>
    <w:rsid w:val="00A3798D"/>
    <w:rsid w:val="00A37ED7"/>
    <w:rsid w:val="00A40543"/>
    <w:rsid w:val="00A4081F"/>
    <w:rsid w:val="00A41B0F"/>
    <w:rsid w:val="00A447B6"/>
    <w:rsid w:val="00A44DC0"/>
    <w:rsid w:val="00A50772"/>
    <w:rsid w:val="00A51953"/>
    <w:rsid w:val="00A51D1E"/>
    <w:rsid w:val="00A52FDA"/>
    <w:rsid w:val="00A53641"/>
    <w:rsid w:val="00A53CCE"/>
    <w:rsid w:val="00A57152"/>
    <w:rsid w:val="00A61D91"/>
    <w:rsid w:val="00A645BB"/>
    <w:rsid w:val="00A67F0F"/>
    <w:rsid w:val="00A73CB5"/>
    <w:rsid w:val="00A75DC9"/>
    <w:rsid w:val="00A82C92"/>
    <w:rsid w:val="00A82CB3"/>
    <w:rsid w:val="00A852D4"/>
    <w:rsid w:val="00A858AC"/>
    <w:rsid w:val="00A8669F"/>
    <w:rsid w:val="00A90324"/>
    <w:rsid w:val="00A90C7A"/>
    <w:rsid w:val="00A9169F"/>
    <w:rsid w:val="00A94B95"/>
    <w:rsid w:val="00AA1988"/>
    <w:rsid w:val="00AA1E2D"/>
    <w:rsid w:val="00AA2FF9"/>
    <w:rsid w:val="00AA35CC"/>
    <w:rsid w:val="00AA6FC5"/>
    <w:rsid w:val="00AB21D7"/>
    <w:rsid w:val="00AB3177"/>
    <w:rsid w:val="00AB57C7"/>
    <w:rsid w:val="00AB6214"/>
    <w:rsid w:val="00AB696C"/>
    <w:rsid w:val="00AC0CEB"/>
    <w:rsid w:val="00AC641F"/>
    <w:rsid w:val="00AC6835"/>
    <w:rsid w:val="00AD059E"/>
    <w:rsid w:val="00AD1638"/>
    <w:rsid w:val="00AD1D99"/>
    <w:rsid w:val="00AD20DB"/>
    <w:rsid w:val="00AD44F8"/>
    <w:rsid w:val="00AD6F80"/>
    <w:rsid w:val="00AE3962"/>
    <w:rsid w:val="00AE4D42"/>
    <w:rsid w:val="00AE59DF"/>
    <w:rsid w:val="00AE71C1"/>
    <w:rsid w:val="00AF103F"/>
    <w:rsid w:val="00AF25A1"/>
    <w:rsid w:val="00AF2768"/>
    <w:rsid w:val="00AF2A2F"/>
    <w:rsid w:val="00AF33A3"/>
    <w:rsid w:val="00AF3AE1"/>
    <w:rsid w:val="00AF7FA8"/>
    <w:rsid w:val="00B044EC"/>
    <w:rsid w:val="00B047D4"/>
    <w:rsid w:val="00B07BB2"/>
    <w:rsid w:val="00B1199C"/>
    <w:rsid w:val="00B11C1D"/>
    <w:rsid w:val="00B11C80"/>
    <w:rsid w:val="00B12E36"/>
    <w:rsid w:val="00B173B5"/>
    <w:rsid w:val="00B20CEA"/>
    <w:rsid w:val="00B21E78"/>
    <w:rsid w:val="00B25092"/>
    <w:rsid w:val="00B267C3"/>
    <w:rsid w:val="00B267DA"/>
    <w:rsid w:val="00B26E25"/>
    <w:rsid w:val="00B311E6"/>
    <w:rsid w:val="00B31648"/>
    <w:rsid w:val="00B31DDE"/>
    <w:rsid w:val="00B34CEE"/>
    <w:rsid w:val="00B3674B"/>
    <w:rsid w:val="00B4080D"/>
    <w:rsid w:val="00B44297"/>
    <w:rsid w:val="00B4528D"/>
    <w:rsid w:val="00B457EB"/>
    <w:rsid w:val="00B47F7D"/>
    <w:rsid w:val="00B50406"/>
    <w:rsid w:val="00B52BA0"/>
    <w:rsid w:val="00B56629"/>
    <w:rsid w:val="00B579C9"/>
    <w:rsid w:val="00B60583"/>
    <w:rsid w:val="00B611DD"/>
    <w:rsid w:val="00B63AE9"/>
    <w:rsid w:val="00B726C8"/>
    <w:rsid w:val="00B7470A"/>
    <w:rsid w:val="00B760D6"/>
    <w:rsid w:val="00B76A08"/>
    <w:rsid w:val="00B76CBE"/>
    <w:rsid w:val="00B8427C"/>
    <w:rsid w:val="00B8577C"/>
    <w:rsid w:val="00B87439"/>
    <w:rsid w:val="00B87503"/>
    <w:rsid w:val="00B92817"/>
    <w:rsid w:val="00B93340"/>
    <w:rsid w:val="00B93A1A"/>
    <w:rsid w:val="00B93B09"/>
    <w:rsid w:val="00B9543C"/>
    <w:rsid w:val="00B9776F"/>
    <w:rsid w:val="00BA2E71"/>
    <w:rsid w:val="00BA59EF"/>
    <w:rsid w:val="00BA5EF0"/>
    <w:rsid w:val="00BA7626"/>
    <w:rsid w:val="00BA7CAA"/>
    <w:rsid w:val="00BB368B"/>
    <w:rsid w:val="00BB475E"/>
    <w:rsid w:val="00BC550F"/>
    <w:rsid w:val="00BC5C1A"/>
    <w:rsid w:val="00BC7604"/>
    <w:rsid w:val="00BD34D5"/>
    <w:rsid w:val="00BD3D9F"/>
    <w:rsid w:val="00BE1056"/>
    <w:rsid w:val="00BE1627"/>
    <w:rsid w:val="00BE2257"/>
    <w:rsid w:val="00BE5A3E"/>
    <w:rsid w:val="00BF1974"/>
    <w:rsid w:val="00BF2841"/>
    <w:rsid w:val="00BF589F"/>
    <w:rsid w:val="00BF6C74"/>
    <w:rsid w:val="00C006AD"/>
    <w:rsid w:val="00C06ACA"/>
    <w:rsid w:val="00C06ECD"/>
    <w:rsid w:val="00C06FAB"/>
    <w:rsid w:val="00C100AC"/>
    <w:rsid w:val="00C10AC8"/>
    <w:rsid w:val="00C11207"/>
    <w:rsid w:val="00C14E7A"/>
    <w:rsid w:val="00C1706E"/>
    <w:rsid w:val="00C200BF"/>
    <w:rsid w:val="00C26247"/>
    <w:rsid w:val="00C26AD4"/>
    <w:rsid w:val="00C27524"/>
    <w:rsid w:val="00C27A39"/>
    <w:rsid w:val="00C3235A"/>
    <w:rsid w:val="00C33F1C"/>
    <w:rsid w:val="00C36404"/>
    <w:rsid w:val="00C37B1B"/>
    <w:rsid w:val="00C40E6E"/>
    <w:rsid w:val="00C41E23"/>
    <w:rsid w:val="00C42DE6"/>
    <w:rsid w:val="00C45BC1"/>
    <w:rsid w:val="00C46463"/>
    <w:rsid w:val="00C52009"/>
    <w:rsid w:val="00C531F5"/>
    <w:rsid w:val="00C54EF5"/>
    <w:rsid w:val="00C5605A"/>
    <w:rsid w:val="00C56737"/>
    <w:rsid w:val="00C57C79"/>
    <w:rsid w:val="00C602D2"/>
    <w:rsid w:val="00C609DE"/>
    <w:rsid w:val="00C64B91"/>
    <w:rsid w:val="00C76486"/>
    <w:rsid w:val="00C773E1"/>
    <w:rsid w:val="00C830CB"/>
    <w:rsid w:val="00C85FDE"/>
    <w:rsid w:val="00C906A8"/>
    <w:rsid w:val="00C93156"/>
    <w:rsid w:val="00C93BF2"/>
    <w:rsid w:val="00C969FC"/>
    <w:rsid w:val="00C96DCD"/>
    <w:rsid w:val="00C96F44"/>
    <w:rsid w:val="00CA0C79"/>
    <w:rsid w:val="00CA2247"/>
    <w:rsid w:val="00CA2E37"/>
    <w:rsid w:val="00CB1440"/>
    <w:rsid w:val="00CB28ED"/>
    <w:rsid w:val="00CB42A3"/>
    <w:rsid w:val="00CB4C45"/>
    <w:rsid w:val="00CB7D12"/>
    <w:rsid w:val="00CC0DB1"/>
    <w:rsid w:val="00CD6710"/>
    <w:rsid w:val="00CD7703"/>
    <w:rsid w:val="00CE1F4D"/>
    <w:rsid w:val="00CE7492"/>
    <w:rsid w:val="00CF2B6E"/>
    <w:rsid w:val="00CF3073"/>
    <w:rsid w:val="00CF7BCF"/>
    <w:rsid w:val="00D00245"/>
    <w:rsid w:val="00D011EE"/>
    <w:rsid w:val="00D10465"/>
    <w:rsid w:val="00D1593C"/>
    <w:rsid w:val="00D1701D"/>
    <w:rsid w:val="00D21B87"/>
    <w:rsid w:val="00D22FFF"/>
    <w:rsid w:val="00D249E2"/>
    <w:rsid w:val="00D342BC"/>
    <w:rsid w:val="00D373AF"/>
    <w:rsid w:val="00D37576"/>
    <w:rsid w:val="00D40568"/>
    <w:rsid w:val="00D427F7"/>
    <w:rsid w:val="00D435AA"/>
    <w:rsid w:val="00D462EF"/>
    <w:rsid w:val="00D46A8A"/>
    <w:rsid w:val="00D50C0B"/>
    <w:rsid w:val="00D50C57"/>
    <w:rsid w:val="00D5216B"/>
    <w:rsid w:val="00D53075"/>
    <w:rsid w:val="00D54215"/>
    <w:rsid w:val="00D55D62"/>
    <w:rsid w:val="00D578AE"/>
    <w:rsid w:val="00D57BF4"/>
    <w:rsid w:val="00D61315"/>
    <w:rsid w:val="00D61F53"/>
    <w:rsid w:val="00D656DE"/>
    <w:rsid w:val="00D718C1"/>
    <w:rsid w:val="00D73444"/>
    <w:rsid w:val="00D75F46"/>
    <w:rsid w:val="00D81EB3"/>
    <w:rsid w:val="00D835E0"/>
    <w:rsid w:val="00DA068E"/>
    <w:rsid w:val="00DA0C24"/>
    <w:rsid w:val="00DA5F68"/>
    <w:rsid w:val="00DA65F5"/>
    <w:rsid w:val="00DB02EF"/>
    <w:rsid w:val="00DB0E97"/>
    <w:rsid w:val="00DB2ABE"/>
    <w:rsid w:val="00DB2F53"/>
    <w:rsid w:val="00DB3E1A"/>
    <w:rsid w:val="00DB4899"/>
    <w:rsid w:val="00DB63EC"/>
    <w:rsid w:val="00DC1B9F"/>
    <w:rsid w:val="00DC1F29"/>
    <w:rsid w:val="00DC70D5"/>
    <w:rsid w:val="00DD2F5D"/>
    <w:rsid w:val="00DD3341"/>
    <w:rsid w:val="00DD3915"/>
    <w:rsid w:val="00DD3F3E"/>
    <w:rsid w:val="00DD61FF"/>
    <w:rsid w:val="00DE1240"/>
    <w:rsid w:val="00DE3345"/>
    <w:rsid w:val="00DE5F60"/>
    <w:rsid w:val="00DF0A91"/>
    <w:rsid w:val="00DF0B98"/>
    <w:rsid w:val="00DF5554"/>
    <w:rsid w:val="00DF5C51"/>
    <w:rsid w:val="00E01ECD"/>
    <w:rsid w:val="00E02A4D"/>
    <w:rsid w:val="00E0411A"/>
    <w:rsid w:val="00E04609"/>
    <w:rsid w:val="00E07698"/>
    <w:rsid w:val="00E07C0F"/>
    <w:rsid w:val="00E11799"/>
    <w:rsid w:val="00E1390B"/>
    <w:rsid w:val="00E14193"/>
    <w:rsid w:val="00E20F1D"/>
    <w:rsid w:val="00E23506"/>
    <w:rsid w:val="00E23EB5"/>
    <w:rsid w:val="00E356E9"/>
    <w:rsid w:val="00E36956"/>
    <w:rsid w:val="00E40B06"/>
    <w:rsid w:val="00E41316"/>
    <w:rsid w:val="00E4133B"/>
    <w:rsid w:val="00E41C10"/>
    <w:rsid w:val="00E43928"/>
    <w:rsid w:val="00E4413D"/>
    <w:rsid w:val="00E4457B"/>
    <w:rsid w:val="00E45230"/>
    <w:rsid w:val="00E47559"/>
    <w:rsid w:val="00E5407F"/>
    <w:rsid w:val="00E54F39"/>
    <w:rsid w:val="00E554A8"/>
    <w:rsid w:val="00E56609"/>
    <w:rsid w:val="00E569A9"/>
    <w:rsid w:val="00E6007D"/>
    <w:rsid w:val="00E600FB"/>
    <w:rsid w:val="00E60455"/>
    <w:rsid w:val="00E63CEE"/>
    <w:rsid w:val="00E66BCE"/>
    <w:rsid w:val="00E6745A"/>
    <w:rsid w:val="00E70986"/>
    <w:rsid w:val="00E7363C"/>
    <w:rsid w:val="00E73FE5"/>
    <w:rsid w:val="00E779E3"/>
    <w:rsid w:val="00E80033"/>
    <w:rsid w:val="00E800CE"/>
    <w:rsid w:val="00E85107"/>
    <w:rsid w:val="00E857FB"/>
    <w:rsid w:val="00E86375"/>
    <w:rsid w:val="00E87B70"/>
    <w:rsid w:val="00E9025C"/>
    <w:rsid w:val="00E9399B"/>
    <w:rsid w:val="00E96114"/>
    <w:rsid w:val="00EA1F48"/>
    <w:rsid w:val="00EA42F9"/>
    <w:rsid w:val="00EA519C"/>
    <w:rsid w:val="00EA7474"/>
    <w:rsid w:val="00EB063C"/>
    <w:rsid w:val="00EB33F1"/>
    <w:rsid w:val="00EB4D65"/>
    <w:rsid w:val="00EC0F10"/>
    <w:rsid w:val="00EC1571"/>
    <w:rsid w:val="00EC582D"/>
    <w:rsid w:val="00EC7558"/>
    <w:rsid w:val="00EC79AF"/>
    <w:rsid w:val="00ED2ACC"/>
    <w:rsid w:val="00ED4462"/>
    <w:rsid w:val="00ED52C9"/>
    <w:rsid w:val="00ED59F0"/>
    <w:rsid w:val="00EE20E5"/>
    <w:rsid w:val="00EE242E"/>
    <w:rsid w:val="00EE67E6"/>
    <w:rsid w:val="00EE7976"/>
    <w:rsid w:val="00EF31BC"/>
    <w:rsid w:val="00F01394"/>
    <w:rsid w:val="00F018A7"/>
    <w:rsid w:val="00F039FC"/>
    <w:rsid w:val="00F07645"/>
    <w:rsid w:val="00F10F77"/>
    <w:rsid w:val="00F13295"/>
    <w:rsid w:val="00F165BE"/>
    <w:rsid w:val="00F23FE3"/>
    <w:rsid w:val="00F248AA"/>
    <w:rsid w:val="00F338A0"/>
    <w:rsid w:val="00F356A4"/>
    <w:rsid w:val="00F35846"/>
    <w:rsid w:val="00F43C76"/>
    <w:rsid w:val="00F4564A"/>
    <w:rsid w:val="00F45E22"/>
    <w:rsid w:val="00F5231D"/>
    <w:rsid w:val="00F532CE"/>
    <w:rsid w:val="00F54CF4"/>
    <w:rsid w:val="00F57BE0"/>
    <w:rsid w:val="00F639A2"/>
    <w:rsid w:val="00F64D78"/>
    <w:rsid w:val="00F71035"/>
    <w:rsid w:val="00F73423"/>
    <w:rsid w:val="00F77112"/>
    <w:rsid w:val="00F81A58"/>
    <w:rsid w:val="00F84E7E"/>
    <w:rsid w:val="00F86A50"/>
    <w:rsid w:val="00F87327"/>
    <w:rsid w:val="00F9001E"/>
    <w:rsid w:val="00F9078E"/>
    <w:rsid w:val="00F91F83"/>
    <w:rsid w:val="00F9308F"/>
    <w:rsid w:val="00F94233"/>
    <w:rsid w:val="00F96DBA"/>
    <w:rsid w:val="00F97679"/>
    <w:rsid w:val="00FA0552"/>
    <w:rsid w:val="00FA1A74"/>
    <w:rsid w:val="00FA452A"/>
    <w:rsid w:val="00FB107F"/>
    <w:rsid w:val="00FB1D05"/>
    <w:rsid w:val="00FB242B"/>
    <w:rsid w:val="00FB621C"/>
    <w:rsid w:val="00FC265E"/>
    <w:rsid w:val="00FC7671"/>
    <w:rsid w:val="00FD100E"/>
    <w:rsid w:val="00FD2CA4"/>
    <w:rsid w:val="00FE0834"/>
    <w:rsid w:val="00FE34DB"/>
    <w:rsid w:val="00FE42D4"/>
    <w:rsid w:val="00FE51B3"/>
    <w:rsid w:val="00FF2A58"/>
    <w:rsid w:val="00FF2CA9"/>
    <w:rsid w:val="00FF3A9E"/>
    <w:rsid w:val="00FF4A89"/>
    <w:rsid w:val="00FF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B3EFC-25C1-47A9-96B8-8AA97948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 w:type="character" w:styleId="PlaceholderText">
    <w:name w:val="Placeholder Text"/>
    <w:basedOn w:val="DefaultParagraphFont"/>
    <w:uiPriority w:val="99"/>
    <w:semiHidden/>
    <w:rsid w:val="00784A02"/>
    <w:rPr>
      <w:color w:val="808080"/>
    </w:rPr>
  </w:style>
  <w:style w:type="character" w:styleId="CommentReference">
    <w:name w:val="annotation reference"/>
    <w:basedOn w:val="DefaultParagraphFont"/>
    <w:uiPriority w:val="99"/>
    <w:semiHidden/>
    <w:unhideWhenUsed/>
    <w:rsid w:val="004539DE"/>
    <w:rPr>
      <w:sz w:val="16"/>
      <w:szCs w:val="16"/>
    </w:rPr>
  </w:style>
  <w:style w:type="paragraph" w:styleId="CommentText">
    <w:name w:val="annotation text"/>
    <w:basedOn w:val="Normal"/>
    <w:link w:val="CommentTextChar"/>
    <w:uiPriority w:val="99"/>
    <w:semiHidden/>
    <w:unhideWhenUsed/>
    <w:rsid w:val="004539DE"/>
    <w:pPr>
      <w:spacing w:line="240" w:lineRule="auto"/>
    </w:pPr>
    <w:rPr>
      <w:sz w:val="20"/>
      <w:szCs w:val="20"/>
    </w:rPr>
  </w:style>
  <w:style w:type="character" w:customStyle="1" w:styleId="CommentTextChar">
    <w:name w:val="Comment Text Char"/>
    <w:basedOn w:val="DefaultParagraphFont"/>
    <w:link w:val="CommentText"/>
    <w:uiPriority w:val="99"/>
    <w:semiHidden/>
    <w:rsid w:val="004539DE"/>
    <w:rPr>
      <w:sz w:val="20"/>
      <w:szCs w:val="20"/>
    </w:rPr>
  </w:style>
  <w:style w:type="paragraph" w:styleId="CommentSubject">
    <w:name w:val="annotation subject"/>
    <w:basedOn w:val="CommentText"/>
    <w:next w:val="CommentText"/>
    <w:link w:val="CommentSubjectChar"/>
    <w:uiPriority w:val="99"/>
    <w:semiHidden/>
    <w:unhideWhenUsed/>
    <w:rsid w:val="004539DE"/>
    <w:rPr>
      <w:b/>
      <w:bCs/>
    </w:rPr>
  </w:style>
  <w:style w:type="character" w:customStyle="1" w:styleId="CommentSubjectChar">
    <w:name w:val="Comment Subject Char"/>
    <w:basedOn w:val="CommentTextChar"/>
    <w:link w:val="CommentSubject"/>
    <w:uiPriority w:val="99"/>
    <w:semiHidden/>
    <w:rsid w:val="00453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955">
      <w:bodyDiv w:val="1"/>
      <w:marLeft w:val="0"/>
      <w:marRight w:val="0"/>
      <w:marTop w:val="0"/>
      <w:marBottom w:val="0"/>
      <w:divBdr>
        <w:top w:val="none" w:sz="0" w:space="0" w:color="auto"/>
        <w:left w:val="none" w:sz="0" w:space="0" w:color="auto"/>
        <w:bottom w:val="none" w:sz="0" w:space="0" w:color="auto"/>
        <w:right w:val="none" w:sz="0" w:space="0" w:color="auto"/>
      </w:divBdr>
    </w:div>
    <w:div w:id="257563717">
      <w:bodyDiv w:val="1"/>
      <w:marLeft w:val="0"/>
      <w:marRight w:val="0"/>
      <w:marTop w:val="0"/>
      <w:marBottom w:val="0"/>
      <w:divBdr>
        <w:top w:val="none" w:sz="0" w:space="0" w:color="auto"/>
        <w:left w:val="none" w:sz="0" w:space="0" w:color="auto"/>
        <w:bottom w:val="none" w:sz="0" w:space="0" w:color="auto"/>
        <w:right w:val="none" w:sz="0" w:space="0" w:color="auto"/>
      </w:divBdr>
    </w:div>
    <w:div w:id="308901306">
      <w:bodyDiv w:val="1"/>
      <w:marLeft w:val="0"/>
      <w:marRight w:val="0"/>
      <w:marTop w:val="0"/>
      <w:marBottom w:val="0"/>
      <w:divBdr>
        <w:top w:val="none" w:sz="0" w:space="0" w:color="auto"/>
        <w:left w:val="none" w:sz="0" w:space="0" w:color="auto"/>
        <w:bottom w:val="none" w:sz="0" w:space="0" w:color="auto"/>
        <w:right w:val="none" w:sz="0" w:space="0" w:color="auto"/>
      </w:divBdr>
    </w:div>
    <w:div w:id="328757076">
      <w:bodyDiv w:val="1"/>
      <w:marLeft w:val="0"/>
      <w:marRight w:val="0"/>
      <w:marTop w:val="0"/>
      <w:marBottom w:val="0"/>
      <w:divBdr>
        <w:top w:val="none" w:sz="0" w:space="0" w:color="auto"/>
        <w:left w:val="none" w:sz="0" w:space="0" w:color="auto"/>
        <w:bottom w:val="none" w:sz="0" w:space="0" w:color="auto"/>
        <w:right w:val="none" w:sz="0" w:space="0" w:color="auto"/>
      </w:divBdr>
    </w:div>
    <w:div w:id="413089492">
      <w:bodyDiv w:val="1"/>
      <w:marLeft w:val="0"/>
      <w:marRight w:val="0"/>
      <w:marTop w:val="0"/>
      <w:marBottom w:val="0"/>
      <w:divBdr>
        <w:top w:val="none" w:sz="0" w:space="0" w:color="auto"/>
        <w:left w:val="none" w:sz="0" w:space="0" w:color="auto"/>
        <w:bottom w:val="none" w:sz="0" w:space="0" w:color="auto"/>
        <w:right w:val="none" w:sz="0" w:space="0" w:color="auto"/>
      </w:divBdr>
    </w:div>
    <w:div w:id="445317812">
      <w:bodyDiv w:val="1"/>
      <w:marLeft w:val="0"/>
      <w:marRight w:val="0"/>
      <w:marTop w:val="0"/>
      <w:marBottom w:val="0"/>
      <w:divBdr>
        <w:top w:val="none" w:sz="0" w:space="0" w:color="auto"/>
        <w:left w:val="none" w:sz="0" w:space="0" w:color="auto"/>
        <w:bottom w:val="none" w:sz="0" w:space="0" w:color="auto"/>
        <w:right w:val="none" w:sz="0" w:space="0" w:color="auto"/>
      </w:divBdr>
    </w:div>
    <w:div w:id="518541556">
      <w:bodyDiv w:val="1"/>
      <w:marLeft w:val="0"/>
      <w:marRight w:val="0"/>
      <w:marTop w:val="0"/>
      <w:marBottom w:val="0"/>
      <w:divBdr>
        <w:top w:val="none" w:sz="0" w:space="0" w:color="auto"/>
        <w:left w:val="none" w:sz="0" w:space="0" w:color="auto"/>
        <w:bottom w:val="none" w:sz="0" w:space="0" w:color="auto"/>
        <w:right w:val="none" w:sz="0" w:space="0" w:color="auto"/>
      </w:divBdr>
    </w:div>
    <w:div w:id="541525635">
      <w:bodyDiv w:val="1"/>
      <w:marLeft w:val="0"/>
      <w:marRight w:val="0"/>
      <w:marTop w:val="0"/>
      <w:marBottom w:val="0"/>
      <w:divBdr>
        <w:top w:val="none" w:sz="0" w:space="0" w:color="auto"/>
        <w:left w:val="none" w:sz="0" w:space="0" w:color="auto"/>
        <w:bottom w:val="none" w:sz="0" w:space="0" w:color="auto"/>
        <w:right w:val="none" w:sz="0" w:space="0" w:color="auto"/>
      </w:divBdr>
    </w:div>
    <w:div w:id="588201285">
      <w:bodyDiv w:val="1"/>
      <w:marLeft w:val="0"/>
      <w:marRight w:val="0"/>
      <w:marTop w:val="0"/>
      <w:marBottom w:val="0"/>
      <w:divBdr>
        <w:top w:val="none" w:sz="0" w:space="0" w:color="auto"/>
        <w:left w:val="none" w:sz="0" w:space="0" w:color="auto"/>
        <w:bottom w:val="none" w:sz="0" w:space="0" w:color="auto"/>
        <w:right w:val="none" w:sz="0" w:space="0" w:color="auto"/>
      </w:divBdr>
    </w:div>
    <w:div w:id="616108199">
      <w:bodyDiv w:val="1"/>
      <w:marLeft w:val="0"/>
      <w:marRight w:val="0"/>
      <w:marTop w:val="0"/>
      <w:marBottom w:val="0"/>
      <w:divBdr>
        <w:top w:val="none" w:sz="0" w:space="0" w:color="auto"/>
        <w:left w:val="none" w:sz="0" w:space="0" w:color="auto"/>
        <w:bottom w:val="none" w:sz="0" w:space="0" w:color="auto"/>
        <w:right w:val="none" w:sz="0" w:space="0" w:color="auto"/>
      </w:divBdr>
    </w:div>
    <w:div w:id="707532640">
      <w:bodyDiv w:val="1"/>
      <w:marLeft w:val="0"/>
      <w:marRight w:val="0"/>
      <w:marTop w:val="0"/>
      <w:marBottom w:val="0"/>
      <w:divBdr>
        <w:top w:val="none" w:sz="0" w:space="0" w:color="auto"/>
        <w:left w:val="none" w:sz="0" w:space="0" w:color="auto"/>
        <w:bottom w:val="none" w:sz="0" w:space="0" w:color="auto"/>
        <w:right w:val="none" w:sz="0" w:space="0" w:color="auto"/>
      </w:divBdr>
    </w:div>
    <w:div w:id="771896183">
      <w:bodyDiv w:val="1"/>
      <w:marLeft w:val="0"/>
      <w:marRight w:val="0"/>
      <w:marTop w:val="0"/>
      <w:marBottom w:val="0"/>
      <w:divBdr>
        <w:top w:val="none" w:sz="0" w:space="0" w:color="auto"/>
        <w:left w:val="none" w:sz="0" w:space="0" w:color="auto"/>
        <w:bottom w:val="none" w:sz="0" w:space="0" w:color="auto"/>
        <w:right w:val="none" w:sz="0" w:space="0" w:color="auto"/>
      </w:divBdr>
    </w:div>
    <w:div w:id="815805546">
      <w:bodyDiv w:val="1"/>
      <w:marLeft w:val="0"/>
      <w:marRight w:val="0"/>
      <w:marTop w:val="0"/>
      <w:marBottom w:val="0"/>
      <w:divBdr>
        <w:top w:val="none" w:sz="0" w:space="0" w:color="auto"/>
        <w:left w:val="none" w:sz="0" w:space="0" w:color="auto"/>
        <w:bottom w:val="none" w:sz="0" w:space="0" w:color="auto"/>
        <w:right w:val="none" w:sz="0" w:space="0" w:color="auto"/>
      </w:divBdr>
    </w:div>
    <w:div w:id="946235880">
      <w:bodyDiv w:val="1"/>
      <w:marLeft w:val="0"/>
      <w:marRight w:val="0"/>
      <w:marTop w:val="0"/>
      <w:marBottom w:val="0"/>
      <w:divBdr>
        <w:top w:val="none" w:sz="0" w:space="0" w:color="auto"/>
        <w:left w:val="none" w:sz="0" w:space="0" w:color="auto"/>
        <w:bottom w:val="none" w:sz="0" w:space="0" w:color="auto"/>
        <w:right w:val="none" w:sz="0" w:space="0" w:color="auto"/>
      </w:divBdr>
    </w:div>
    <w:div w:id="1066758141">
      <w:bodyDiv w:val="1"/>
      <w:marLeft w:val="0"/>
      <w:marRight w:val="0"/>
      <w:marTop w:val="0"/>
      <w:marBottom w:val="0"/>
      <w:divBdr>
        <w:top w:val="none" w:sz="0" w:space="0" w:color="auto"/>
        <w:left w:val="none" w:sz="0" w:space="0" w:color="auto"/>
        <w:bottom w:val="none" w:sz="0" w:space="0" w:color="auto"/>
        <w:right w:val="none" w:sz="0" w:space="0" w:color="auto"/>
      </w:divBdr>
    </w:div>
    <w:div w:id="1130628774">
      <w:bodyDiv w:val="1"/>
      <w:marLeft w:val="0"/>
      <w:marRight w:val="0"/>
      <w:marTop w:val="0"/>
      <w:marBottom w:val="0"/>
      <w:divBdr>
        <w:top w:val="none" w:sz="0" w:space="0" w:color="auto"/>
        <w:left w:val="none" w:sz="0" w:space="0" w:color="auto"/>
        <w:bottom w:val="none" w:sz="0" w:space="0" w:color="auto"/>
        <w:right w:val="none" w:sz="0" w:space="0" w:color="auto"/>
      </w:divBdr>
    </w:div>
    <w:div w:id="1181237313">
      <w:bodyDiv w:val="1"/>
      <w:marLeft w:val="0"/>
      <w:marRight w:val="0"/>
      <w:marTop w:val="0"/>
      <w:marBottom w:val="0"/>
      <w:divBdr>
        <w:top w:val="none" w:sz="0" w:space="0" w:color="auto"/>
        <w:left w:val="none" w:sz="0" w:space="0" w:color="auto"/>
        <w:bottom w:val="none" w:sz="0" w:space="0" w:color="auto"/>
        <w:right w:val="none" w:sz="0" w:space="0" w:color="auto"/>
      </w:divBdr>
    </w:div>
    <w:div w:id="1245263642">
      <w:bodyDiv w:val="1"/>
      <w:marLeft w:val="0"/>
      <w:marRight w:val="0"/>
      <w:marTop w:val="0"/>
      <w:marBottom w:val="0"/>
      <w:divBdr>
        <w:top w:val="none" w:sz="0" w:space="0" w:color="auto"/>
        <w:left w:val="none" w:sz="0" w:space="0" w:color="auto"/>
        <w:bottom w:val="none" w:sz="0" w:space="0" w:color="auto"/>
        <w:right w:val="none" w:sz="0" w:space="0" w:color="auto"/>
      </w:divBdr>
    </w:div>
    <w:div w:id="1308123643">
      <w:bodyDiv w:val="1"/>
      <w:marLeft w:val="0"/>
      <w:marRight w:val="0"/>
      <w:marTop w:val="0"/>
      <w:marBottom w:val="0"/>
      <w:divBdr>
        <w:top w:val="none" w:sz="0" w:space="0" w:color="auto"/>
        <w:left w:val="none" w:sz="0" w:space="0" w:color="auto"/>
        <w:bottom w:val="none" w:sz="0" w:space="0" w:color="auto"/>
        <w:right w:val="none" w:sz="0" w:space="0" w:color="auto"/>
      </w:divBdr>
    </w:div>
    <w:div w:id="1325819021">
      <w:bodyDiv w:val="1"/>
      <w:marLeft w:val="0"/>
      <w:marRight w:val="0"/>
      <w:marTop w:val="0"/>
      <w:marBottom w:val="0"/>
      <w:divBdr>
        <w:top w:val="none" w:sz="0" w:space="0" w:color="auto"/>
        <w:left w:val="none" w:sz="0" w:space="0" w:color="auto"/>
        <w:bottom w:val="none" w:sz="0" w:space="0" w:color="auto"/>
        <w:right w:val="none" w:sz="0" w:space="0" w:color="auto"/>
      </w:divBdr>
    </w:div>
    <w:div w:id="1385330007">
      <w:bodyDiv w:val="1"/>
      <w:marLeft w:val="0"/>
      <w:marRight w:val="0"/>
      <w:marTop w:val="0"/>
      <w:marBottom w:val="0"/>
      <w:divBdr>
        <w:top w:val="none" w:sz="0" w:space="0" w:color="auto"/>
        <w:left w:val="none" w:sz="0" w:space="0" w:color="auto"/>
        <w:bottom w:val="none" w:sz="0" w:space="0" w:color="auto"/>
        <w:right w:val="none" w:sz="0" w:space="0" w:color="auto"/>
      </w:divBdr>
    </w:div>
    <w:div w:id="1389264045">
      <w:bodyDiv w:val="1"/>
      <w:marLeft w:val="0"/>
      <w:marRight w:val="0"/>
      <w:marTop w:val="0"/>
      <w:marBottom w:val="0"/>
      <w:divBdr>
        <w:top w:val="none" w:sz="0" w:space="0" w:color="auto"/>
        <w:left w:val="none" w:sz="0" w:space="0" w:color="auto"/>
        <w:bottom w:val="none" w:sz="0" w:space="0" w:color="auto"/>
        <w:right w:val="none" w:sz="0" w:space="0" w:color="auto"/>
      </w:divBdr>
    </w:div>
    <w:div w:id="1449160689">
      <w:bodyDiv w:val="1"/>
      <w:marLeft w:val="0"/>
      <w:marRight w:val="0"/>
      <w:marTop w:val="0"/>
      <w:marBottom w:val="0"/>
      <w:divBdr>
        <w:top w:val="none" w:sz="0" w:space="0" w:color="auto"/>
        <w:left w:val="none" w:sz="0" w:space="0" w:color="auto"/>
        <w:bottom w:val="none" w:sz="0" w:space="0" w:color="auto"/>
        <w:right w:val="none" w:sz="0" w:space="0" w:color="auto"/>
      </w:divBdr>
    </w:div>
    <w:div w:id="1572153931">
      <w:bodyDiv w:val="1"/>
      <w:marLeft w:val="0"/>
      <w:marRight w:val="0"/>
      <w:marTop w:val="0"/>
      <w:marBottom w:val="0"/>
      <w:divBdr>
        <w:top w:val="none" w:sz="0" w:space="0" w:color="auto"/>
        <w:left w:val="none" w:sz="0" w:space="0" w:color="auto"/>
        <w:bottom w:val="none" w:sz="0" w:space="0" w:color="auto"/>
        <w:right w:val="none" w:sz="0" w:space="0" w:color="auto"/>
      </w:divBdr>
    </w:div>
    <w:div w:id="1606038394">
      <w:bodyDiv w:val="1"/>
      <w:marLeft w:val="0"/>
      <w:marRight w:val="0"/>
      <w:marTop w:val="0"/>
      <w:marBottom w:val="0"/>
      <w:divBdr>
        <w:top w:val="none" w:sz="0" w:space="0" w:color="auto"/>
        <w:left w:val="none" w:sz="0" w:space="0" w:color="auto"/>
        <w:bottom w:val="none" w:sz="0" w:space="0" w:color="auto"/>
        <w:right w:val="none" w:sz="0" w:space="0" w:color="auto"/>
      </w:divBdr>
    </w:div>
    <w:div w:id="1744713645">
      <w:bodyDiv w:val="1"/>
      <w:marLeft w:val="0"/>
      <w:marRight w:val="0"/>
      <w:marTop w:val="0"/>
      <w:marBottom w:val="0"/>
      <w:divBdr>
        <w:top w:val="none" w:sz="0" w:space="0" w:color="auto"/>
        <w:left w:val="none" w:sz="0" w:space="0" w:color="auto"/>
        <w:bottom w:val="none" w:sz="0" w:space="0" w:color="auto"/>
        <w:right w:val="none" w:sz="0" w:space="0" w:color="auto"/>
      </w:divBdr>
    </w:div>
    <w:div w:id="1780759695">
      <w:bodyDiv w:val="1"/>
      <w:marLeft w:val="0"/>
      <w:marRight w:val="0"/>
      <w:marTop w:val="0"/>
      <w:marBottom w:val="0"/>
      <w:divBdr>
        <w:top w:val="none" w:sz="0" w:space="0" w:color="auto"/>
        <w:left w:val="none" w:sz="0" w:space="0" w:color="auto"/>
        <w:bottom w:val="none" w:sz="0" w:space="0" w:color="auto"/>
        <w:right w:val="none" w:sz="0" w:space="0" w:color="auto"/>
      </w:divBdr>
    </w:div>
    <w:div w:id="1781411848">
      <w:bodyDiv w:val="1"/>
      <w:marLeft w:val="0"/>
      <w:marRight w:val="0"/>
      <w:marTop w:val="0"/>
      <w:marBottom w:val="0"/>
      <w:divBdr>
        <w:top w:val="none" w:sz="0" w:space="0" w:color="auto"/>
        <w:left w:val="none" w:sz="0" w:space="0" w:color="auto"/>
        <w:bottom w:val="none" w:sz="0" w:space="0" w:color="auto"/>
        <w:right w:val="none" w:sz="0" w:space="0" w:color="auto"/>
      </w:divBdr>
    </w:div>
    <w:div w:id="1782917176">
      <w:bodyDiv w:val="1"/>
      <w:marLeft w:val="0"/>
      <w:marRight w:val="0"/>
      <w:marTop w:val="0"/>
      <w:marBottom w:val="0"/>
      <w:divBdr>
        <w:top w:val="none" w:sz="0" w:space="0" w:color="auto"/>
        <w:left w:val="none" w:sz="0" w:space="0" w:color="auto"/>
        <w:bottom w:val="none" w:sz="0" w:space="0" w:color="auto"/>
        <w:right w:val="none" w:sz="0" w:space="0" w:color="auto"/>
      </w:divBdr>
    </w:div>
    <w:div w:id="1836261989">
      <w:bodyDiv w:val="1"/>
      <w:marLeft w:val="0"/>
      <w:marRight w:val="0"/>
      <w:marTop w:val="0"/>
      <w:marBottom w:val="0"/>
      <w:divBdr>
        <w:top w:val="none" w:sz="0" w:space="0" w:color="auto"/>
        <w:left w:val="none" w:sz="0" w:space="0" w:color="auto"/>
        <w:bottom w:val="none" w:sz="0" w:space="0" w:color="auto"/>
        <w:right w:val="none" w:sz="0" w:space="0" w:color="auto"/>
      </w:divBdr>
    </w:div>
    <w:div w:id="1889339853">
      <w:bodyDiv w:val="1"/>
      <w:marLeft w:val="0"/>
      <w:marRight w:val="0"/>
      <w:marTop w:val="0"/>
      <w:marBottom w:val="0"/>
      <w:divBdr>
        <w:top w:val="none" w:sz="0" w:space="0" w:color="auto"/>
        <w:left w:val="none" w:sz="0" w:space="0" w:color="auto"/>
        <w:bottom w:val="none" w:sz="0" w:space="0" w:color="auto"/>
        <w:right w:val="none" w:sz="0" w:space="0" w:color="auto"/>
      </w:divBdr>
    </w:div>
    <w:div w:id="1962689479">
      <w:bodyDiv w:val="1"/>
      <w:marLeft w:val="0"/>
      <w:marRight w:val="0"/>
      <w:marTop w:val="0"/>
      <w:marBottom w:val="0"/>
      <w:divBdr>
        <w:top w:val="none" w:sz="0" w:space="0" w:color="auto"/>
        <w:left w:val="none" w:sz="0" w:space="0" w:color="auto"/>
        <w:bottom w:val="none" w:sz="0" w:space="0" w:color="auto"/>
        <w:right w:val="none" w:sz="0" w:space="0" w:color="auto"/>
      </w:divBdr>
    </w:div>
    <w:div w:id="1980648623">
      <w:bodyDiv w:val="1"/>
      <w:marLeft w:val="0"/>
      <w:marRight w:val="0"/>
      <w:marTop w:val="0"/>
      <w:marBottom w:val="0"/>
      <w:divBdr>
        <w:top w:val="none" w:sz="0" w:space="0" w:color="auto"/>
        <w:left w:val="none" w:sz="0" w:space="0" w:color="auto"/>
        <w:bottom w:val="none" w:sz="0" w:space="0" w:color="auto"/>
        <w:right w:val="none" w:sz="0" w:space="0" w:color="auto"/>
      </w:divBdr>
    </w:div>
    <w:div w:id="1981841392">
      <w:bodyDiv w:val="1"/>
      <w:marLeft w:val="0"/>
      <w:marRight w:val="0"/>
      <w:marTop w:val="0"/>
      <w:marBottom w:val="0"/>
      <w:divBdr>
        <w:top w:val="none" w:sz="0" w:space="0" w:color="auto"/>
        <w:left w:val="none" w:sz="0" w:space="0" w:color="auto"/>
        <w:bottom w:val="none" w:sz="0" w:space="0" w:color="auto"/>
        <w:right w:val="none" w:sz="0" w:space="0" w:color="auto"/>
      </w:divBdr>
    </w:div>
    <w:div w:id="2051880435">
      <w:bodyDiv w:val="1"/>
      <w:marLeft w:val="0"/>
      <w:marRight w:val="0"/>
      <w:marTop w:val="0"/>
      <w:marBottom w:val="0"/>
      <w:divBdr>
        <w:top w:val="none" w:sz="0" w:space="0" w:color="auto"/>
        <w:left w:val="none" w:sz="0" w:space="0" w:color="auto"/>
        <w:bottom w:val="none" w:sz="0" w:space="0" w:color="auto"/>
        <w:right w:val="none" w:sz="0" w:space="0" w:color="auto"/>
      </w:divBdr>
    </w:div>
    <w:div w:id="2061707833">
      <w:bodyDiv w:val="1"/>
      <w:marLeft w:val="0"/>
      <w:marRight w:val="0"/>
      <w:marTop w:val="0"/>
      <w:marBottom w:val="0"/>
      <w:divBdr>
        <w:top w:val="none" w:sz="0" w:space="0" w:color="auto"/>
        <w:left w:val="none" w:sz="0" w:space="0" w:color="auto"/>
        <w:bottom w:val="none" w:sz="0" w:space="0" w:color="auto"/>
        <w:right w:val="none" w:sz="0" w:space="0" w:color="auto"/>
      </w:divBdr>
    </w:div>
    <w:div w:id="2099590408">
      <w:bodyDiv w:val="1"/>
      <w:marLeft w:val="0"/>
      <w:marRight w:val="0"/>
      <w:marTop w:val="0"/>
      <w:marBottom w:val="0"/>
      <w:divBdr>
        <w:top w:val="none" w:sz="0" w:space="0" w:color="auto"/>
        <w:left w:val="none" w:sz="0" w:space="0" w:color="auto"/>
        <w:bottom w:val="none" w:sz="0" w:space="0" w:color="auto"/>
        <w:right w:val="none" w:sz="0" w:space="0" w:color="auto"/>
      </w:divBdr>
    </w:div>
    <w:div w:id="2128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in.koksal\Desktop\Ara&#351;t&#305;rma%20Notlar&#305;\B&#246;lgesel%20&#304;&#351;sizlik\B&#246;lgesel%20&#304;&#351;sizlik%20(Autosave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elin.koksal\Desktop\Ara&#351;t&#305;rma%20Notlar&#305;\B&#246;lgesel%20&#304;&#351;sizlik\B&#246;lgesel%20&#304;&#351;sizlik%20(Autosave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elin.koksal\Desktop\Ara&#351;t&#305;rma%20Notlar&#305;\B&#246;lgesel%20&#304;&#351;sizlik\B&#246;lgesel%20&#304;&#351;sizlik%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 </a:t>
            </a:r>
            <a:endParaRPr lang="en-US"/>
          </a:p>
        </c:rich>
      </c:tx>
      <c:overlay val="0"/>
      <c:spPr>
        <a:noFill/>
        <a:ln>
          <a:noFill/>
        </a:ln>
        <a:effectLst/>
      </c:spPr>
    </c:title>
    <c:autoTitleDeleted val="0"/>
    <c:plotArea>
      <c:layout/>
      <c:barChart>
        <c:barDir val="col"/>
        <c:grouping val="clustered"/>
        <c:varyColors val="0"/>
        <c:ser>
          <c:idx val="0"/>
          <c:order val="0"/>
          <c:tx>
            <c:strRef>
              <c:f>Artanlar!$D$14</c:f>
              <c:strCache>
                <c:ptCount val="1"/>
                <c:pt idx="0">
                  <c:v>2015</c:v>
                </c:pt>
              </c:strCache>
            </c:strRef>
          </c:tx>
          <c:spPr>
            <a:solidFill>
              <a:schemeClr val="accent1"/>
            </a:solidFill>
            <a:ln>
              <a:noFill/>
            </a:ln>
            <a:effectLst/>
          </c:spPr>
          <c:invertIfNegative val="0"/>
          <c:cat>
            <c:strRef>
              <c:f>Artanlar!$C$15:$C$31</c:f>
              <c:strCache>
                <c:ptCount val="17"/>
                <c:pt idx="0">
                  <c:v>TRC1</c:v>
                </c:pt>
                <c:pt idx="1">
                  <c:v>TR71 </c:v>
                </c:pt>
                <c:pt idx="2">
                  <c:v>TR83 </c:v>
                </c:pt>
                <c:pt idx="3">
                  <c:v>TRC3</c:v>
                </c:pt>
                <c:pt idx="4">
                  <c:v>TR61 </c:v>
                </c:pt>
                <c:pt idx="5">
                  <c:v>TR81 </c:v>
                </c:pt>
                <c:pt idx="6">
                  <c:v>TR22</c:v>
                </c:pt>
                <c:pt idx="7">
                  <c:v>TR41 </c:v>
                </c:pt>
                <c:pt idx="8">
                  <c:v>TRB1 </c:v>
                </c:pt>
                <c:pt idx="9">
                  <c:v>TRA2 </c:v>
                </c:pt>
                <c:pt idx="10">
                  <c:v>TR62 </c:v>
                </c:pt>
                <c:pt idx="11">
                  <c:v>TR33</c:v>
                </c:pt>
                <c:pt idx="12">
                  <c:v>TR10 </c:v>
                </c:pt>
                <c:pt idx="13">
                  <c:v>TRC2 </c:v>
                </c:pt>
                <c:pt idx="14">
                  <c:v>TR51 </c:v>
                </c:pt>
                <c:pt idx="15">
                  <c:v>TR21 </c:v>
                </c:pt>
                <c:pt idx="16">
                  <c:v>TR42 </c:v>
                </c:pt>
              </c:strCache>
            </c:strRef>
          </c:cat>
          <c:val>
            <c:numRef>
              <c:f>Artanlar!$D$15:$D$31</c:f>
            </c:numRef>
          </c:val>
          <c:extLst>
            <c:ext xmlns:c16="http://schemas.microsoft.com/office/drawing/2014/chart" uri="{C3380CC4-5D6E-409C-BE32-E72D297353CC}">
              <c16:uniqueId val="{00000000-F30B-4C78-89B9-795D9DC87A93}"/>
            </c:ext>
          </c:extLst>
        </c:ser>
        <c:ser>
          <c:idx val="1"/>
          <c:order val="1"/>
          <c:tx>
            <c:strRef>
              <c:f>Artanlar!$E$14</c:f>
              <c:strCache>
                <c:ptCount val="1"/>
                <c:pt idx="0">
                  <c:v>2016</c:v>
                </c:pt>
              </c:strCache>
            </c:strRef>
          </c:tx>
          <c:spPr>
            <a:solidFill>
              <a:schemeClr val="accent2"/>
            </a:solidFill>
            <a:ln>
              <a:noFill/>
            </a:ln>
            <a:effectLst/>
          </c:spPr>
          <c:invertIfNegative val="0"/>
          <c:cat>
            <c:strRef>
              <c:f>Artanlar!$C$15:$C$31</c:f>
              <c:strCache>
                <c:ptCount val="17"/>
                <c:pt idx="0">
                  <c:v>TRC1</c:v>
                </c:pt>
                <c:pt idx="1">
                  <c:v>TR71 </c:v>
                </c:pt>
                <c:pt idx="2">
                  <c:v>TR83 </c:v>
                </c:pt>
                <c:pt idx="3">
                  <c:v>TRC3</c:v>
                </c:pt>
                <c:pt idx="4">
                  <c:v>TR61 </c:v>
                </c:pt>
                <c:pt idx="5">
                  <c:v>TR81 </c:v>
                </c:pt>
                <c:pt idx="6">
                  <c:v>TR22</c:v>
                </c:pt>
                <c:pt idx="7">
                  <c:v>TR41 </c:v>
                </c:pt>
                <c:pt idx="8">
                  <c:v>TRB1 </c:v>
                </c:pt>
                <c:pt idx="9">
                  <c:v>TRA2 </c:v>
                </c:pt>
                <c:pt idx="10">
                  <c:v>TR62 </c:v>
                </c:pt>
                <c:pt idx="11">
                  <c:v>TR33</c:v>
                </c:pt>
                <c:pt idx="12">
                  <c:v>TR10 </c:v>
                </c:pt>
                <c:pt idx="13">
                  <c:v>TRC2 </c:v>
                </c:pt>
                <c:pt idx="14">
                  <c:v>TR51 </c:v>
                </c:pt>
                <c:pt idx="15">
                  <c:v>TR21 </c:v>
                </c:pt>
                <c:pt idx="16">
                  <c:v>TR42 </c:v>
                </c:pt>
              </c:strCache>
            </c:strRef>
          </c:cat>
          <c:val>
            <c:numRef>
              <c:f>Artanlar!$E$15:$E$31</c:f>
            </c:numRef>
          </c:val>
          <c:extLst>
            <c:ext xmlns:c16="http://schemas.microsoft.com/office/drawing/2014/chart" uri="{C3380CC4-5D6E-409C-BE32-E72D297353CC}">
              <c16:uniqueId val="{00000001-F30B-4C78-89B9-795D9DC87A93}"/>
            </c:ext>
          </c:extLst>
        </c:ser>
        <c:ser>
          <c:idx val="2"/>
          <c:order val="2"/>
          <c:tx>
            <c:strRef>
              <c:f>Artanlar!$F$14</c:f>
              <c:strCache>
                <c:ptCount val="1"/>
                <c:pt idx="0">
                  <c:v>Δ utd</c:v>
                </c:pt>
              </c:strCache>
            </c:strRef>
          </c:tx>
          <c:spPr>
            <a:solidFill>
              <a:srgbClr val="E05050"/>
            </a:solidFill>
            <a:ln>
              <a:noFill/>
            </a:ln>
            <a:effectLst/>
          </c:spPr>
          <c:invertIfNegative val="0"/>
          <c:dLbls>
            <c:dLbl>
              <c:idx val="0"/>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0B-4C78-89B9-795D9DC87A93}"/>
                </c:ext>
              </c:extLst>
            </c:dLbl>
            <c:dLbl>
              <c:idx val="1"/>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0B-4C78-89B9-795D9DC87A93}"/>
                </c:ext>
              </c:extLst>
            </c:dLbl>
            <c:dLbl>
              <c:idx val="2"/>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0B-4C78-89B9-795D9DC87A93}"/>
                </c:ext>
              </c:extLst>
            </c:dLbl>
            <c:dLbl>
              <c:idx val="3"/>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30B-4C78-89B9-795D9DC87A93}"/>
                </c:ext>
              </c:extLst>
            </c:dLbl>
            <c:dLbl>
              <c:idx val="4"/>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30B-4C78-89B9-795D9DC87A93}"/>
                </c:ext>
              </c:extLst>
            </c:dLbl>
            <c:dLbl>
              <c:idx val="5"/>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30B-4C78-89B9-795D9DC87A93}"/>
                </c:ext>
              </c:extLst>
            </c:dLbl>
            <c:dLbl>
              <c:idx val="6"/>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30B-4C78-89B9-795D9DC87A93}"/>
                </c:ext>
              </c:extLst>
            </c:dLbl>
            <c:dLbl>
              <c:idx val="7"/>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30B-4C78-89B9-795D9DC87A93}"/>
                </c:ext>
              </c:extLst>
            </c:dLbl>
            <c:dLbl>
              <c:idx val="8"/>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30B-4C78-89B9-795D9DC87A93}"/>
                </c:ext>
              </c:extLst>
            </c:dLbl>
            <c:dLbl>
              <c:idx val="9"/>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30B-4C78-89B9-795D9DC87A93}"/>
                </c:ext>
              </c:extLst>
            </c:dLbl>
            <c:dLbl>
              <c:idx val="10"/>
              <c:tx>
                <c:rich>
                  <a:bodyPr/>
                  <a:lstStyle/>
                  <a:p>
                    <a:r>
                      <a:rPr lang="en-US"/>
                      <a:t>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30B-4C78-89B9-795D9DC87A93}"/>
                </c:ext>
              </c:extLst>
            </c:dLbl>
            <c:dLbl>
              <c:idx val="11"/>
              <c:tx>
                <c:rich>
                  <a:bodyPr/>
                  <a:lstStyle/>
                  <a:p>
                    <a:r>
                      <a:rPr lang="en-US"/>
                      <a:t>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30B-4C78-89B9-795D9DC87A93}"/>
                </c:ext>
              </c:extLst>
            </c:dLbl>
            <c:dLbl>
              <c:idx val="12"/>
              <c:tx>
                <c:rich>
                  <a:bodyPr/>
                  <a:lstStyle/>
                  <a:p>
                    <a:r>
                      <a:rPr lang="en-US"/>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30B-4C78-89B9-795D9DC87A93}"/>
                </c:ext>
              </c:extLst>
            </c:dLbl>
            <c:dLbl>
              <c:idx val="13"/>
              <c:tx>
                <c:rich>
                  <a:bodyPr/>
                  <a:lstStyle/>
                  <a:p>
                    <a:r>
                      <a:rPr lang="en-US"/>
                      <a:t>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30B-4C78-89B9-795D9DC87A93}"/>
                </c:ext>
              </c:extLst>
            </c:dLbl>
            <c:dLbl>
              <c:idx val="14"/>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30B-4C78-89B9-795D9DC87A93}"/>
                </c:ext>
              </c:extLst>
            </c:dLbl>
            <c:dLbl>
              <c:idx val="15"/>
              <c:tx>
                <c:rich>
                  <a:bodyPr/>
                  <a:lstStyle/>
                  <a:p>
                    <a:r>
                      <a:rPr lang="en-US"/>
                      <a:t>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30B-4C78-89B9-795D9DC87A93}"/>
                </c:ext>
              </c:extLst>
            </c:dLbl>
            <c:dLbl>
              <c:idx val="16"/>
              <c:tx>
                <c:rich>
                  <a:bodyPr/>
                  <a:lstStyle/>
                  <a:p>
                    <a:r>
                      <a:rPr lang="en-US"/>
                      <a:t>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30B-4C78-89B9-795D9DC87A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Artanlar!$C$15:$C$31</c:f>
              <c:strCache>
                <c:ptCount val="17"/>
                <c:pt idx="0">
                  <c:v>TRC1</c:v>
                </c:pt>
                <c:pt idx="1">
                  <c:v>TR71 </c:v>
                </c:pt>
                <c:pt idx="2">
                  <c:v>TR83 </c:v>
                </c:pt>
                <c:pt idx="3">
                  <c:v>TRC3</c:v>
                </c:pt>
                <c:pt idx="4">
                  <c:v>TR61 </c:v>
                </c:pt>
                <c:pt idx="5">
                  <c:v>TR81 </c:v>
                </c:pt>
                <c:pt idx="6">
                  <c:v>TR22</c:v>
                </c:pt>
                <c:pt idx="7">
                  <c:v>TR41 </c:v>
                </c:pt>
                <c:pt idx="8">
                  <c:v>TRB1 </c:v>
                </c:pt>
                <c:pt idx="9">
                  <c:v>TRA2 </c:v>
                </c:pt>
                <c:pt idx="10">
                  <c:v>TR62 </c:v>
                </c:pt>
                <c:pt idx="11">
                  <c:v>TR33</c:v>
                </c:pt>
                <c:pt idx="12">
                  <c:v>TR10 </c:v>
                </c:pt>
                <c:pt idx="13">
                  <c:v>TRC2 </c:v>
                </c:pt>
                <c:pt idx="14">
                  <c:v>TR51 </c:v>
                </c:pt>
                <c:pt idx="15">
                  <c:v>TR21 </c:v>
                </c:pt>
                <c:pt idx="16">
                  <c:v>TR42 </c:v>
                </c:pt>
              </c:strCache>
            </c:strRef>
          </c:cat>
          <c:val>
            <c:numRef>
              <c:f>Artanlar!$F$15:$F$31</c:f>
              <c:numCache>
                <c:formatCode>#,#00</c:formatCode>
                <c:ptCount val="17"/>
                <c:pt idx="0">
                  <c:v>4.4000000000000004</c:v>
                </c:pt>
                <c:pt idx="1">
                  <c:v>4.3000000000000007</c:v>
                </c:pt>
                <c:pt idx="2">
                  <c:v>2.2000000000000011</c:v>
                </c:pt>
                <c:pt idx="3">
                  <c:v>2.1000000000000014</c:v>
                </c:pt>
                <c:pt idx="4">
                  <c:v>2.0999999999999996</c:v>
                </c:pt>
                <c:pt idx="5">
                  <c:v>1.6999999999999993</c:v>
                </c:pt>
                <c:pt idx="6">
                  <c:v>1.6000000000000005</c:v>
                </c:pt>
                <c:pt idx="7">
                  <c:v>1.4000000000000004</c:v>
                </c:pt>
                <c:pt idx="8">
                  <c:v>1.1999999999999993</c:v>
                </c:pt>
                <c:pt idx="9">
                  <c:v>1.1000000000000014</c:v>
                </c:pt>
                <c:pt idx="10">
                  <c:v>0.90000000000000036</c:v>
                </c:pt>
                <c:pt idx="11">
                  <c:v>0.79999999999999982</c:v>
                </c:pt>
                <c:pt idx="12">
                  <c:v>0.59999999999999964</c:v>
                </c:pt>
                <c:pt idx="13">
                  <c:v>0.39999999999999858</c:v>
                </c:pt>
                <c:pt idx="14">
                  <c:v>0.19999999999999929</c:v>
                </c:pt>
                <c:pt idx="15">
                  <c:v>0.10000000000000142</c:v>
                </c:pt>
                <c:pt idx="16">
                  <c:v>9.9999999999999645E-2</c:v>
                </c:pt>
              </c:numCache>
            </c:numRef>
          </c:val>
          <c:extLst>
            <c:ext xmlns:c16="http://schemas.microsoft.com/office/drawing/2014/chart" uri="{C3380CC4-5D6E-409C-BE32-E72D297353CC}">
              <c16:uniqueId val="{00000002-F30B-4C78-89B9-795D9DC87A93}"/>
            </c:ext>
          </c:extLst>
        </c:ser>
        <c:dLbls>
          <c:showLegendKey val="0"/>
          <c:showVal val="0"/>
          <c:showCatName val="0"/>
          <c:showSerName val="0"/>
          <c:showPercent val="0"/>
          <c:showBubbleSize val="0"/>
        </c:dLbls>
        <c:gapWidth val="219"/>
        <c:overlap val="-27"/>
        <c:axId val="615061824"/>
        <c:axId val="615062216"/>
      </c:barChart>
      <c:catAx>
        <c:axId val="61506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15062216"/>
        <c:crosses val="autoZero"/>
        <c:auto val="1"/>
        <c:lblAlgn val="ctr"/>
        <c:lblOffset val="100"/>
        <c:noMultiLvlLbl val="0"/>
      </c:catAx>
      <c:valAx>
        <c:axId val="615062216"/>
        <c:scaling>
          <c:orientation val="minMax"/>
        </c:scaling>
        <c:delete val="0"/>
        <c:axPos val="l"/>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15061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 </a:t>
            </a:r>
            <a:endParaRPr lang="en-US"/>
          </a:p>
        </c:rich>
      </c:tx>
      <c:overlay val="0"/>
      <c:spPr>
        <a:noFill/>
        <a:ln>
          <a:noFill/>
        </a:ln>
        <a:effectLst/>
      </c:spPr>
    </c:title>
    <c:autoTitleDeleted val="0"/>
    <c:plotArea>
      <c:layout/>
      <c:barChart>
        <c:barDir val="col"/>
        <c:grouping val="clustered"/>
        <c:varyColors val="0"/>
        <c:ser>
          <c:idx val="0"/>
          <c:order val="0"/>
          <c:tx>
            <c:strRef>
              <c:f>Azalanlar!$G$5</c:f>
              <c:strCache>
                <c:ptCount val="1"/>
                <c:pt idx="0">
                  <c:v>2015</c:v>
                </c:pt>
              </c:strCache>
            </c:strRef>
          </c:tx>
          <c:spPr>
            <a:solidFill>
              <a:schemeClr val="accent1"/>
            </a:solidFill>
            <a:ln>
              <a:noFill/>
            </a:ln>
            <a:effectLst/>
          </c:spPr>
          <c:invertIfNegative val="0"/>
          <c:cat>
            <c:strRef>
              <c:f>Azalanlar!$F$6:$F$14</c:f>
              <c:strCache>
                <c:ptCount val="9"/>
                <c:pt idx="0">
                  <c:v>TRA1 </c:v>
                </c:pt>
                <c:pt idx="1">
                  <c:v>TR72 </c:v>
                </c:pt>
                <c:pt idx="2">
                  <c:v>TRB2 </c:v>
                </c:pt>
                <c:pt idx="3">
                  <c:v>TR82</c:v>
                </c:pt>
                <c:pt idx="4">
                  <c:v>TR63</c:v>
                </c:pt>
                <c:pt idx="5">
                  <c:v>TR31 </c:v>
                </c:pt>
                <c:pt idx="6">
                  <c:v>TR90 </c:v>
                </c:pt>
                <c:pt idx="7">
                  <c:v>TR52 </c:v>
                </c:pt>
                <c:pt idx="8">
                  <c:v>TR32</c:v>
                </c:pt>
              </c:strCache>
            </c:strRef>
          </c:cat>
          <c:val>
            <c:numRef>
              <c:f>Azalanlar!$G$6:$G$14</c:f>
            </c:numRef>
          </c:val>
          <c:extLst>
            <c:ext xmlns:c16="http://schemas.microsoft.com/office/drawing/2014/chart" uri="{C3380CC4-5D6E-409C-BE32-E72D297353CC}">
              <c16:uniqueId val="{00000000-7879-4DFA-892E-5A4FEA1EF7FD}"/>
            </c:ext>
          </c:extLst>
        </c:ser>
        <c:ser>
          <c:idx val="1"/>
          <c:order val="1"/>
          <c:tx>
            <c:strRef>
              <c:f>Azalanlar!$H$5</c:f>
              <c:strCache>
                <c:ptCount val="1"/>
                <c:pt idx="0">
                  <c:v>2016</c:v>
                </c:pt>
              </c:strCache>
            </c:strRef>
          </c:tx>
          <c:spPr>
            <a:solidFill>
              <a:schemeClr val="accent2"/>
            </a:solidFill>
            <a:ln>
              <a:noFill/>
            </a:ln>
            <a:effectLst/>
          </c:spPr>
          <c:invertIfNegative val="0"/>
          <c:cat>
            <c:strRef>
              <c:f>Azalanlar!$F$6:$F$14</c:f>
              <c:strCache>
                <c:ptCount val="9"/>
                <c:pt idx="0">
                  <c:v>TRA1 </c:v>
                </c:pt>
                <c:pt idx="1">
                  <c:v>TR72 </c:v>
                </c:pt>
                <c:pt idx="2">
                  <c:v>TRB2 </c:v>
                </c:pt>
                <c:pt idx="3">
                  <c:v>TR82</c:v>
                </c:pt>
                <c:pt idx="4">
                  <c:v>TR63</c:v>
                </c:pt>
                <c:pt idx="5">
                  <c:v>TR31 </c:v>
                </c:pt>
                <c:pt idx="6">
                  <c:v>TR90 </c:v>
                </c:pt>
                <c:pt idx="7">
                  <c:v>TR52 </c:v>
                </c:pt>
                <c:pt idx="8">
                  <c:v>TR32</c:v>
                </c:pt>
              </c:strCache>
            </c:strRef>
          </c:cat>
          <c:val>
            <c:numRef>
              <c:f>Azalanlar!$H$6:$H$14</c:f>
            </c:numRef>
          </c:val>
          <c:extLst>
            <c:ext xmlns:c16="http://schemas.microsoft.com/office/drawing/2014/chart" uri="{C3380CC4-5D6E-409C-BE32-E72D297353CC}">
              <c16:uniqueId val="{00000001-7879-4DFA-892E-5A4FEA1EF7FD}"/>
            </c:ext>
          </c:extLst>
        </c:ser>
        <c:ser>
          <c:idx val="2"/>
          <c:order val="2"/>
          <c:tx>
            <c:strRef>
              <c:f>Azalanlar!$I$5</c:f>
              <c:strCache>
                <c:ptCount val="1"/>
                <c:pt idx="0">
                  <c:v>Δ utd</c:v>
                </c:pt>
              </c:strCache>
            </c:strRef>
          </c:tx>
          <c:spPr>
            <a:solidFill>
              <a:schemeClr val="accent3"/>
            </a:solidFill>
            <a:ln>
              <a:noFill/>
            </a:ln>
            <a:effectLst/>
          </c:spPr>
          <c:invertIfNegative val="0"/>
          <c:dLbls>
            <c:dLbl>
              <c:idx val="0"/>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879-4DFA-892E-5A4FEA1EF7FD}"/>
                </c:ext>
              </c:extLst>
            </c:dLbl>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879-4DFA-892E-5A4FEA1EF7FD}"/>
                </c:ext>
              </c:extLst>
            </c:dLbl>
            <c:dLbl>
              <c:idx val="2"/>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79-4DFA-892E-5A4FEA1EF7FD}"/>
                </c:ext>
              </c:extLst>
            </c:dLbl>
            <c:dLbl>
              <c:idx val="3"/>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79-4DFA-892E-5A4FEA1EF7FD}"/>
                </c:ext>
              </c:extLst>
            </c:dLbl>
            <c:dLbl>
              <c:idx val="4"/>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79-4DFA-892E-5A4FEA1EF7FD}"/>
                </c:ext>
              </c:extLst>
            </c:dLbl>
            <c:dLbl>
              <c:idx val="5"/>
              <c:tx>
                <c:rich>
                  <a:bodyPr/>
                  <a:lstStyle/>
                  <a:p>
                    <a:r>
                      <a:rPr lang="en-US"/>
                      <a:t>-0.9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79-4DFA-892E-5A4FEA1EF7FD}"/>
                </c:ext>
              </c:extLst>
            </c:dLbl>
            <c:dLbl>
              <c:idx val="6"/>
              <c:tx>
                <c:rich>
                  <a:bodyPr/>
                  <a:lstStyle/>
                  <a:p>
                    <a:r>
                      <a:rPr lang="en-US"/>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79-4DFA-892E-5A4FEA1EF7FD}"/>
                </c:ext>
              </c:extLst>
            </c:dLbl>
            <c:dLbl>
              <c:idx val="7"/>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79-4DFA-892E-5A4FEA1EF7FD}"/>
                </c:ext>
              </c:extLst>
            </c:dLbl>
            <c:dLbl>
              <c:idx val="8"/>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79-4DFA-892E-5A4FEA1EF7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Azalanlar!$F$6:$F$14</c:f>
              <c:strCache>
                <c:ptCount val="9"/>
                <c:pt idx="0">
                  <c:v>TRA1 </c:v>
                </c:pt>
                <c:pt idx="1">
                  <c:v>TR72 </c:v>
                </c:pt>
                <c:pt idx="2">
                  <c:v>TRB2 </c:v>
                </c:pt>
                <c:pt idx="3">
                  <c:v>TR82</c:v>
                </c:pt>
                <c:pt idx="4">
                  <c:v>TR63</c:v>
                </c:pt>
                <c:pt idx="5">
                  <c:v>TR31 </c:v>
                </c:pt>
                <c:pt idx="6">
                  <c:v>TR90 </c:v>
                </c:pt>
                <c:pt idx="7">
                  <c:v>TR52 </c:v>
                </c:pt>
                <c:pt idx="8">
                  <c:v>TR32</c:v>
                </c:pt>
              </c:strCache>
            </c:strRef>
          </c:cat>
          <c:val>
            <c:numRef>
              <c:f>Azalanlar!$I$6:$I$14</c:f>
              <c:numCache>
                <c:formatCode>#,#00</c:formatCode>
                <c:ptCount val="9"/>
                <c:pt idx="0">
                  <c:v>-2.5999999999999996</c:v>
                </c:pt>
                <c:pt idx="1">
                  <c:v>-2</c:v>
                </c:pt>
                <c:pt idx="2">
                  <c:v>-1.7999999999999989</c:v>
                </c:pt>
                <c:pt idx="3">
                  <c:v>-1.1999999999999993</c:v>
                </c:pt>
                <c:pt idx="4">
                  <c:v>-1.1000000000000014</c:v>
                </c:pt>
                <c:pt idx="5">
                  <c:v>-0.90000000000000213</c:v>
                </c:pt>
                <c:pt idx="6">
                  <c:v>-0.59999999999999964</c:v>
                </c:pt>
                <c:pt idx="7">
                  <c:v>-0.5</c:v>
                </c:pt>
                <c:pt idx="8">
                  <c:v>-0.19999999999999929</c:v>
                </c:pt>
              </c:numCache>
            </c:numRef>
          </c:val>
          <c:extLst>
            <c:ext xmlns:c16="http://schemas.microsoft.com/office/drawing/2014/chart" uri="{C3380CC4-5D6E-409C-BE32-E72D297353CC}">
              <c16:uniqueId val="{00000002-7879-4DFA-892E-5A4FEA1EF7FD}"/>
            </c:ext>
          </c:extLst>
        </c:ser>
        <c:dLbls>
          <c:showLegendKey val="0"/>
          <c:showVal val="0"/>
          <c:showCatName val="0"/>
          <c:showSerName val="0"/>
          <c:showPercent val="0"/>
          <c:showBubbleSize val="0"/>
        </c:dLbls>
        <c:gapWidth val="219"/>
        <c:overlap val="-27"/>
        <c:axId val="238940008"/>
        <c:axId val="516457176"/>
      </c:barChart>
      <c:catAx>
        <c:axId val="23894000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228000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16457176"/>
        <c:crosses val="autoZero"/>
        <c:auto val="1"/>
        <c:lblAlgn val="ctr"/>
        <c:lblOffset val="100"/>
        <c:tickLblSkip val="1"/>
        <c:noMultiLvlLbl val="0"/>
      </c:catAx>
      <c:valAx>
        <c:axId val="516457176"/>
        <c:scaling>
          <c:orientation val="minMax"/>
        </c:scaling>
        <c:delete val="0"/>
        <c:axPos val="l"/>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8940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21369551028345E-2"/>
          <c:y val="2.9749748788675905E-2"/>
          <c:w val="0.9105586928201862"/>
          <c:h val="0.90750977570293279"/>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Genel!$J$36:$J$61</c:f>
              <c:numCache>
                <c:formatCode>0.00</c:formatCode>
                <c:ptCount val="26"/>
                <c:pt idx="0">
                  <c:v>1.0074074074074073</c:v>
                </c:pt>
                <c:pt idx="1">
                  <c:v>1.0263157894736841</c:v>
                </c:pt>
                <c:pt idx="2">
                  <c:v>1.0636042402826855</c:v>
                </c:pt>
                <c:pt idx="3">
                  <c:v>1.0760869565217392</c:v>
                </c:pt>
                <c:pt idx="4">
                  <c:v>1.0857142857142856</c:v>
                </c:pt>
                <c:pt idx="5">
                  <c:v>1.1048951048951048</c:v>
                </c:pt>
                <c:pt idx="6">
                  <c:v>1.1308411214953271</c:v>
                </c:pt>
                <c:pt idx="7">
                  <c:v>1.1733333333333333</c:v>
                </c:pt>
                <c:pt idx="8">
                  <c:v>1.1736111111111109</c:v>
                </c:pt>
                <c:pt idx="9">
                  <c:v>1.2307692307692308</c:v>
                </c:pt>
                <c:pt idx="10">
                  <c:v>1.2347826086956522</c:v>
                </c:pt>
                <c:pt idx="11">
                  <c:v>1.3114754098360657</c:v>
                </c:pt>
                <c:pt idx="12">
                  <c:v>1.3134328358208955</c:v>
                </c:pt>
                <c:pt idx="13">
                  <c:v>1.3134328358208955</c:v>
                </c:pt>
                <c:pt idx="14">
                  <c:v>1.3432835820895521</c:v>
                </c:pt>
                <c:pt idx="15">
                  <c:v>1.3488372093023255</c:v>
                </c:pt>
                <c:pt idx="16">
                  <c:v>1.3571428571428572</c:v>
                </c:pt>
                <c:pt idx="17">
                  <c:v>1.3595505617977528</c:v>
                </c:pt>
                <c:pt idx="18">
                  <c:v>1.4186046511627908</c:v>
                </c:pt>
                <c:pt idx="19">
                  <c:v>1.5</c:v>
                </c:pt>
                <c:pt idx="20">
                  <c:v>1.5652173913043479</c:v>
                </c:pt>
                <c:pt idx="21">
                  <c:v>1.5696202531645569</c:v>
                </c:pt>
                <c:pt idx="22">
                  <c:v>1.6666666666666667</c:v>
                </c:pt>
                <c:pt idx="23">
                  <c:v>1.7600000000000002</c:v>
                </c:pt>
                <c:pt idx="24">
                  <c:v>1.7931034482758621</c:v>
                </c:pt>
                <c:pt idx="25">
                  <c:v>2.1020408163265305</c:v>
                </c:pt>
              </c:numCache>
            </c:numRef>
          </c:xVal>
          <c:yVal>
            <c:numRef>
              <c:f>Genel!$K$36:$K$61</c:f>
              <c:numCache>
                <c:formatCode>0.00</c:formatCode>
                <c:ptCount val="26"/>
                <c:pt idx="0">
                  <c:v>1.0080014526965679</c:v>
                </c:pt>
                <c:pt idx="1">
                  <c:v>1.0326326086956521</c:v>
                </c:pt>
                <c:pt idx="2">
                  <c:v>1.0983622754491018</c:v>
                </c:pt>
                <c:pt idx="3">
                  <c:v>1.0985016077170418</c:v>
                </c:pt>
                <c:pt idx="4">
                  <c:v>1.0998715203426124</c:v>
                </c:pt>
                <c:pt idx="5">
                  <c:v>1.1269141004862238</c:v>
                </c:pt>
                <c:pt idx="6">
                  <c:v>1.1454516994633273</c:v>
                </c:pt>
                <c:pt idx="7">
                  <c:v>1.1883139931740614</c:v>
                </c:pt>
                <c:pt idx="8">
                  <c:v>1.2283101920236337</c:v>
                </c:pt>
                <c:pt idx="9">
                  <c:v>1.2697177177177177</c:v>
                </c:pt>
                <c:pt idx="10">
                  <c:v>1.2772927400468383</c:v>
                </c:pt>
                <c:pt idx="11">
                  <c:v>1.3207482993197279</c:v>
                </c:pt>
                <c:pt idx="12">
                  <c:v>1.3784055944055944</c:v>
                </c:pt>
                <c:pt idx="13">
                  <c:v>1.362561963190184</c:v>
                </c:pt>
                <c:pt idx="14">
                  <c:v>1.3932163742690058</c:v>
                </c:pt>
                <c:pt idx="15">
                  <c:v>1.419802559414991</c:v>
                </c:pt>
                <c:pt idx="16">
                  <c:v>1.3673274021352313</c:v>
                </c:pt>
                <c:pt idx="17">
                  <c:v>1.3656992481203007</c:v>
                </c:pt>
                <c:pt idx="18">
                  <c:v>1.4160803212851405</c:v>
                </c:pt>
                <c:pt idx="19">
                  <c:v>1.4906527415143604</c:v>
                </c:pt>
                <c:pt idx="20">
                  <c:v>1.6118295081967213</c:v>
                </c:pt>
                <c:pt idx="21">
                  <c:v>1.5835050847457626</c:v>
                </c:pt>
                <c:pt idx="22">
                  <c:v>1.6756655574043262</c:v>
                </c:pt>
                <c:pt idx="23">
                  <c:v>1.7662680412371135</c:v>
                </c:pt>
                <c:pt idx="24">
                  <c:v>1.8520245398773008</c:v>
                </c:pt>
                <c:pt idx="25">
                  <c:v>2.1159107142857145</c:v>
                </c:pt>
              </c:numCache>
            </c:numRef>
          </c:yVal>
          <c:smooth val="0"/>
          <c:extLst>
            <c:ext xmlns:c16="http://schemas.microsoft.com/office/drawing/2014/chart" uri="{C3380CC4-5D6E-409C-BE32-E72D297353CC}">
              <c16:uniqueId val="{00000000-F6EE-4487-8570-58F58515B969}"/>
            </c:ext>
          </c:extLst>
        </c:ser>
        <c:dLbls>
          <c:showLegendKey val="0"/>
          <c:showVal val="0"/>
          <c:showCatName val="0"/>
          <c:showSerName val="0"/>
          <c:showPercent val="0"/>
          <c:showBubbleSize val="0"/>
        </c:dLbls>
        <c:axId val="524721936"/>
        <c:axId val="524722328"/>
      </c:scatterChart>
      <c:valAx>
        <c:axId val="524721936"/>
        <c:scaling>
          <c:orientation val="minMax"/>
          <c:max val="2.2000000000000002"/>
          <c:min val="0.8"/>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24722328"/>
        <c:crosses val="autoZero"/>
        <c:crossBetween val="midCat"/>
        <c:majorUnit val="0.2"/>
      </c:valAx>
      <c:valAx>
        <c:axId val="524722328"/>
        <c:scaling>
          <c:orientation val="minMax"/>
          <c:max val="2.2000000000000002"/>
          <c:min val="0.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24721936"/>
        <c:crosses val="autoZero"/>
        <c:crossBetween val="midCat"/>
        <c:majorUnit val="0.2"/>
      </c:valAx>
      <c:spPr>
        <a:noFill/>
        <a:ln>
          <a:noFill/>
        </a:ln>
        <a:effectLst/>
      </c:spPr>
    </c:plotArea>
    <c:plotVisOnly val="1"/>
    <c:dispBlanksAs val="gap"/>
    <c:showDLblsOverMax val="0"/>
  </c:chart>
  <c:spPr>
    <a:noFill/>
    <a:ln w="9525" cap="flat" cmpd="sng" algn="ctr">
      <a:noFill/>
      <a:round/>
    </a:ln>
    <a:effectLst/>
  </c:spPr>
  <c:txPr>
    <a:bodyPr/>
    <a:lstStyle/>
    <a:p>
      <a:pPr>
        <a:defRPr/>
      </a:pPr>
      <a:endParaRPr lang="tr-T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0.51412</cdr:x>
      <cdr:y>0.0316</cdr:y>
    </cdr:from>
    <cdr:to>
      <cdr:x>0.55734</cdr:x>
      <cdr:y>0.10503</cdr:y>
    </cdr:to>
    <mc:AlternateContent xmlns:mc="http://schemas.openxmlformats.org/markup-compatibility/2006" xmlns:a14="http://schemas.microsoft.com/office/drawing/2010/main">
      <mc:Choice Requires="a14">
        <cdr:sp macro="" textlink="">
          <cdr:nvSpPr>
            <cdr:cNvPr id="2" name="TextBox 2"/>
            <cdr:cNvSpPr txBox="1"/>
          </cdr:nvSpPr>
          <cdr:spPr>
            <a:xfrm xmlns:a="http://schemas.openxmlformats.org/drawingml/2006/main">
              <a:off x="2933299" y="94310"/>
              <a:ext cx="246590" cy="21916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sSub>
                      <m:sSubPr>
                        <m:ctrlPr>
                          <a:rPr lang="tr-TR" sz="1400" i="1">
                            <a:latin typeface="Cambria Math" panose="02040503050406030204" pitchFamily="18" charset="0"/>
                          </a:rPr>
                        </m:ctrlPr>
                      </m:sSubPr>
                      <m:e>
                        <m:r>
                          <a:rPr lang="tr-TR" sz="1400" b="0" i="1">
                            <a:latin typeface="Cambria Math" panose="02040503050406030204" pitchFamily="18" charset="0"/>
                          </a:rPr>
                          <m:t>𝑢</m:t>
                        </m:r>
                      </m:e>
                      <m:sub>
                        <m:r>
                          <a:rPr lang="tr-TR" sz="1400" b="0" i="1">
                            <a:latin typeface="Cambria Math" panose="02040503050406030204" pitchFamily="18" charset="0"/>
                          </a:rPr>
                          <m:t>𝑛𝑎</m:t>
                        </m:r>
                      </m:sub>
                    </m:sSub>
                  </m:oMath>
                </m:oMathPara>
              </a14:m>
              <a:endParaRPr lang="tr-TR" sz="1400"/>
            </a:p>
          </cdr:txBody>
        </cdr:sp>
      </mc:Choice>
      <mc:Fallback xmlns="">
        <cdr:sp macro="" textlink="">
          <cdr:nvSpPr>
            <cdr:cNvPr id="2" name="TextBox 2"/>
            <cdr:cNvSpPr txBox="1"/>
          </cdr:nvSpPr>
          <cdr:spPr>
            <a:xfrm xmlns:a="http://schemas.openxmlformats.org/drawingml/2006/main">
              <a:off x="2889250" y="98425"/>
              <a:ext cx="242888" cy="21916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tr-TR" sz="1400" b="0" i="0">
                  <a:latin typeface="Cambria Math" panose="02040503050406030204" pitchFamily="18" charset="0"/>
                </a:rPr>
                <a:t>𝑢_𝑡𝑑</a:t>
              </a:r>
              <a:endParaRPr lang="tr-TR" sz="1400"/>
            </a:p>
          </cdr:txBody>
        </cdr:sp>
      </mc:Fallback>
    </mc:AlternateContent>
  </cdr:relSizeAnchor>
</c:userShapes>
</file>

<file path=word/drawings/drawing2.xml><?xml version="1.0" encoding="utf-8"?>
<c:userShapes xmlns:c="http://schemas.openxmlformats.org/drawingml/2006/chart">
  <cdr:relSizeAnchor xmlns:cdr="http://schemas.openxmlformats.org/drawingml/2006/chartDrawing">
    <cdr:from>
      <cdr:x>0.49653</cdr:x>
      <cdr:y>0.03241</cdr:y>
    </cdr:from>
    <cdr:to>
      <cdr:x>0.60174</cdr:x>
      <cdr:y>0.10883</cdr:y>
    </cdr:to>
    <mc:AlternateContent xmlns:mc="http://schemas.openxmlformats.org/markup-compatibility/2006" xmlns:a14="http://schemas.microsoft.com/office/drawing/2010/main">
      <mc:Choice Requires="a14">
        <cdr:sp macro="" textlink="">
          <cdr:nvSpPr>
            <cdr:cNvPr id="2" name="TextBox 2"/>
            <cdr:cNvSpPr txBox="1"/>
          </cdr:nvSpPr>
          <cdr:spPr>
            <a:xfrm xmlns:a="http://schemas.openxmlformats.org/drawingml/2006/main">
              <a:off x="2270125" y="88900"/>
              <a:ext cx="481013" cy="2096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sSub>
                      <m:sSubPr>
                        <m:ctrlPr>
                          <a:rPr lang="tr-TR" sz="1400" i="1">
                            <a:latin typeface="Cambria Math" panose="02040503050406030204" pitchFamily="18" charset="0"/>
                          </a:rPr>
                        </m:ctrlPr>
                      </m:sSubPr>
                      <m:e>
                        <m:r>
                          <a:rPr lang="tr-TR" sz="1400" b="0" i="1">
                            <a:latin typeface="Cambria Math" panose="02040503050406030204" pitchFamily="18" charset="0"/>
                          </a:rPr>
                          <m:t>𝑢</m:t>
                        </m:r>
                      </m:e>
                      <m:sub>
                        <m:r>
                          <a:rPr lang="tr-TR" sz="1400" b="0" i="1">
                            <a:latin typeface="Cambria Math" panose="02040503050406030204" pitchFamily="18" charset="0"/>
                          </a:rPr>
                          <m:t>𝑛𝑎</m:t>
                        </m:r>
                      </m:sub>
                    </m:sSub>
                  </m:oMath>
                </m:oMathPara>
              </a14:m>
              <a:endParaRPr lang="tr-TR" sz="1400"/>
            </a:p>
          </cdr:txBody>
        </cdr:sp>
      </mc:Choice>
      <mc:Fallback xmlns="">
        <cdr:sp macro="" textlink="">
          <cdr:nvSpPr>
            <cdr:cNvPr id="2" name="TextBox 2"/>
            <cdr:cNvSpPr txBox="1"/>
          </cdr:nvSpPr>
          <cdr:spPr>
            <a:xfrm xmlns:a="http://schemas.openxmlformats.org/drawingml/2006/main">
              <a:off x="2270125" y="88900"/>
              <a:ext cx="481013" cy="2096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tr-TR" sz="1400" b="0" i="0">
                  <a:latin typeface="Cambria Math" panose="02040503050406030204" pitchFamily="18" charset="0"/>
                </a:rPr>
                <a:t>𝑢_𝑡𝑑</a:t>
              </a:r>
              <a:endParaRPr lang="tr-TR" sz="1400"/>
            </a:p>
          </cdr:txBody>
        </cdr:sp>
      </mc:Fallback>
    </mc:AlternateContent>
  </cdr:relSizeAnchor>
</c:userShapes>
</file>

<file path=word/drawings/drawing3.xml><?xml version="1.0" encoding="utf-8"?>
<c:userShapes xmlns:c="http://schemas.openxmlformats.org/drawingml/2006/chart">
  <cdr:relSizeAnchor xmlns:cdr="http://schemas.openxmlformats.org/drawingml/2006/chartDrawing">
    <cdr:from>
      <cdr:x>0.1186</cdr:x>
      <cdr:y>0.83164</cdr:y>
    </cdr:from>
    <cdr:to>
      <cdr:x>0.29245</cdr:x>
      <cdr:y>0.89452</cdr:y>
    </cdr:to>
    <cdr:sp macro="" textlink="">
      <cdr:nvSpPr>
        <cdr:cNvPr id="2" name="TextBox 1"/>
        <cdr:cNvSpPr txBox="1"/>
      </cdr:nvSpPr>
      <cdr:spPr>
        <a:xfrm xmlns:a="http://schemas.openxmlformats.org/drawingml/2006/main">
          <a:off x="838201" y="3905251"/>
          <a:ext cx="12287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0.66577</cdr:x>
      <cdr:y>0.05477</cdr:y>
    </cdr:from>
    <cdr:to>
      <cdr:x>0.88814</cdr:x>
      <cdr:y>0.11765</cdr:y>
    </cdr:to>
    <cdr:sp macro="" textlink="">
      <cdr:nvSpPr>
        <cdr:cNvPr id="3" name="TextBox 2"/>
        <cdr:cNvSpPr txBox="1"/>
      </cdr:nvSpPr>
      <cdr:spPr>
        <a:xfrm xmlns:a="http://schemas.openxmlformats.org/drawingml/2006/main">
          <a:off x="4705351" y="257176"/>
          <a:ext cx="15716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0.62004</cdr:x>
      <cdr:y>0.0524</cdr:y>
    </cdr:from>
    <cdr:to>
      <cdr:x>0.89947</cdr:x>
      <cdr:y>0.106</cdr:y>
    </cdr:to>
    <cdr:sp macro="" textlink="">
      <cdr:nvSpPr>
        <cdr:cNvPr id="4" name="TextBox 3"/>
        <cdr:cNvSpPr txBox="1"/>
      </cdr:nvSpPr>
      <cdr:spPr>
        <a:xfrm xmlns:a="http://schemas.openxmlformats.org/drawingml/2006/main">
          <a:off x="3571875" y="240152"/>
          <a:ext cx="1609725" cy="2456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Ağrı, Kars, Iğdır, Ardahan</a:t>
          </a:r>
        </a:p>
      </cdr:txBody>
    </cdr:sp>
  </cdr:relSizeAnchor>
  <cdr:relSizeAnchor xmlns:cdr="http://schemas.openxmlformats.org/drawingml/2006/chartDrawing">
    <cdr:from>
      <cdr:x>0.07857</cdr:x>
      <cdr:y>0.76145</cdr:y>
    </cdr:from>
    <cdr:to>
      <cdr:x>0.20337</cdr:x>
      <cdr:y>0.81059</cdr:y>
    </cdr:to>
    <cdr:sp macro="" textlink="">
      <cdr:nvSpPr>
        <cdr:cNvPr id="6" name="Text Box 5"/>
        <cdr:cNvSpPr txBox="1"/>
      </cdr:nvSpPr>
      <cdr:spPr>
        <a:xfrm xmlns:a="http://schemas.openxmlformats.org/drawingml/2006/main">
          <a:off x="452594" y="3489569"/>
          <a:ext cx="718981" cy="22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İstanbul</a:t>
          </a:r>
        </a:p>
        <a:p xmlns:a="http://schemas.openxmlformats.org/drawingml/2006/main">
          <a:endParaRPr lang="tr-TR"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22DEF-BBD1-41DF-A6B8-E767943E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3679</Words>
  <Characters>20972</Characters>
  <Application>Microsoft Office Word</Application>
  <DocSecurity>0</DocSecurity>
  <Lines>174</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mine.durmaz</dc:creator>
  <cp:lastModifiedBy>merve.akgul</cp:lastModifiedBy>
  <cp:revision>18</cp:revision>
  <cp:lastPrinted>2017-05-04T12:17:00Z</cp:lastPrinted>
  <dcterms:created xsi:type="dcterms:W3CDTF">2017-05-30T14:44:00Z</dcterms:created>
  <dcterms:modified xsi:type="dcterms:W3CDTF">2017-05-31T11:26:00Z</dcterms:modified>
</cp:coreProperties>
</file>