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F6DB" w14:textId="77777777" w:rsidR="00B047D4" w:rsidRPr="00BF6FB0" w:rsidRDefault="00516E15" w:rsidP="00B047D4">
      <w:pPr>
        <w:rPr>
          <w:lang w:val="en-US"/>
        </w:rPr>
      </w:pPr>
      <w:r w:rsidRPr="00BF6FB0">
        <w:rPr>
          <w:noProof/>
        </w:rPr>
        <mc:AlternateContent>
          <mc:Choice Requires="wps">
            <w:drawing>
              <wp:anchor distT="0" distB="0" distL="114935" distR="114935" simplePos="0" relativeHeight="251662336" behindDoc="0" locked="0" layoutInCell="1" allowOverlap="1" wp14:anchorId="6D654EDF" wp14:editId="628FA843">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B7448" w14:textId="77777777" w:rsidR="00654E0E" w:rsidRPr="00DF0B5B" w:rsidRDefault="00654E0E"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7 March</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14:paraId="7548E7C3" w14:textId="77777777" w:rsidR="00654E0E" w:rsidRPr="00DF0B5B" w:rsidRDefault="00654E0E"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654EDF" id="_x0000_t202" coordsize="21600,21600" o:spt="202" path="m0,0l0,21600,21600,21600,2160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" stroked="f">
                <v:fill opacity="0"/>
                <v:textbox inset="0,0,0,0">
                  <w:txbxContent>
                    <w:p w14:paraId="611B7448" w14:textId="77777777" w:rsidR="00654E0E" w:rsidRPr="00DF0B5B" w:rsidRDefault="00654E0E"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7 March</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14:paraId="7548E7C3" w14:textId="77777777" w:rsidR="00654E0E" w:rsidRPr="00DF0B5B" w:rsidRDefault="00654E0E" w:rsidP="00B047D4"/>
                  </w:txbxContent>
                </v:textbox>
              </v:shape>
            </w:pict>
          </mc:Fallback>
        </mc:AlternateContent>
      </w:r>
      <w:r w:rsidRPr="00BF6FB0">
        <w:rPr>
          <w:noProof/>
        </w:rPr>
        <mc:AlternateContent>
          <mc:Choice Requires="wps">
            <w:drawing>
              <wp:anchor distT="0" distB="0" distL="114300" distR="114300" simplePos="0" relativeHeight="251661312" behindDoc="0" locked="0" layoutInCell="1" allowOverlap="1" wp14:anchorId="3C36F7DE" wp14:editId="23CFDE36">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38E0" w14:textId="77777777" w:rsidR="00654E0E" w:rsidRPr="00196536" w:rsidRDefault="00654E0E" w:rsidP="00B047D4">
                            <w:pPr>
                              <w:rPr>
                                <w:rFonts w:ascii="Cambria" w:hAnsi="Cambria"/>
                                <w:b/>
                                <w:sz w:val="44"/>
                                <w:szCs w:val="44"/>
                              </w:rPr>
                            </w:pPr>
                            <w:r>
                              <w:rPr>
                                <w:rFonts w:ascii="Cambria" w:hAnsi="Cambria"/>
                                <w:b/>
                                <w:sz w:val="44"/>
                                <w:szCs w:val="44"/>
                              </w:rPr>
                              <w:t>Research Brief 17/206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C36F7DE" id="Text Box 3" o:spid="_x0000_s1027" type="#_x0000_t202" style="position:absolute;margin-left:151.15pt;margin-top:-39.1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" filled="f" stroked="f">
                <v:textbox inset=",7.2pt,,7.2pt">
                  <w:txbxContent>
                    <w:p w14:paraId="7E8138E0" w14:textId="77777777" w:rsidR="00654E0E" w:rsidRPr="00196536" w:rsidRDefault="00654E0E" w:rsidP="00B047D4">
                      <w:pPr>
                        <w:rPr>
                          <w:rFonts w:ascii="Cambria" w:hAnsi="Cambria"/>
                          <w:b/>
                          <w:sz w:val="44"/>
                          <w:szCs w:val="44"/>
                        </w:rPr>
                      </w:pPr>
                      <w:r>
                        <w:rPr>
                          <w:rFonts w:ascii="Cambria" w:hAnsi="Cambria"/>
                          <w:b/>
                          <w:sz w:val="44"/>
                          <w:szCs w:val="44"/>
                        </w:rPr>
                        <w:t>Research Brief 17/206</w:t>
                      </w:r>
                    </w:p>
                  </w:txbxContent>
                </v:textbox>
              </v:shape>
            </w:pict>
          </mc:Fallback>
        </mc:AlternateContent>
      </w:r>
      <w:r w:rsidR="00B047D4" w:rsidRPr="00BF6FB0">
        <w:rPr>
          <w:noProof/>
        </w:rPr>
        <w:drawing>
          <wp:anchor distT="0" distB="0" distL="114300" distR="114300" simplePos="0" relativeHeight="251658240" behindDoc="1" locked="0" layoutInCell="1" allowOverlap="1" wp14:anchorId="788C79EE" wp14:editId="402EA82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rsidRPr="00BF6FB0">
        <w:rPr>
          <w:lang w:val="en-US"/>
        </w:rPr>
        <w:tab/>
      </w:r>
    </w:p>
    <w:p w14:paraId="026BF7CB" w14:textId="77777777" w:rsidR="00B047D4" w:rsidRPr="00BF6FB0" w:rsidRDefault="00B047D4" w:rsidP="00B047D4">
      <w:pPr>
        <w:rPr>
          <w:lang w:val="en-US"/>
        </w:rPr>
      </w:pPr>
    </w:p>
    <w:p w14:paraId="030DDE1F" w14:textId="0F243967" w:rsidR="00E274EC" w:rsidRPr="00BF6FB0" w:rsidRDefault="001A7567" w:rsidP="00B46C01">
      <w:pPr>
        <w:pStyle w:val="Heading3"/>
        <w:jc w:val="center"/>
        <w:rPr>
          <w:lang w:val="en-US"/>
        </w:rPr>
      </w:pPr>
      <w:r w:rsidRPr="00BF6FB0">
        <w:rPr>
          <w:lang w:val="en-US"/>
        </w:rPr>
        <w:t xml:space="preserve">MATERIAL DEPRIVATION INCREASES </w:t>
      </w:r>
      <w:r w:rsidR="007B5F7D" w:rsidRPr="00BF6FB0">
        <w:rPr>
          <w:lang w:val="en-US"/>
        </w:rPr>
        <w:t>AMONG THE</w:t>
      </w:r>
      <w:r w:rsidR="00F528BC" w:rsidRPr="00BF6FB0">
        <w:rPr>
          <w:lang w:val="en-US"/>
        </w:rPr>
        <w:t xml:space="preserve"> FEMALE-</w:t>
      </w:r>
      <w:r w:rsidRPr="00BF6FB0">
        <w:rPr>
          <w:lang w:val="en-US"/>
        </w:rPr>
        <w:t>HEADED HOUSEHOLDS</w:t>
      </w:r>
    </w:p>
    <w:p w14:paraId="460F07A8" w14:textId="77777777" w:rsidR="002A5C0B" w:rsidRPr="00BF6FB0" w:rsidRDefault="00B047D4" w:rsidP="00B46C01">
      <w:pPr>
        <w:jc w:val="center"/>
        <w:rPr>
          <w:rFonts w:cs="Arial"/>
          <w:lang w:val="en-US"/>
        </w:rPr>
      </w:pPr>
      <w:r w:rsidRPr="00BF6FB0">
        <w:rPr>
          <w:rFonts w:cs="Arial"/>
          <w:lang w:val="en-US"/>
        </w:rPr>
        <w:t>Gökçe Uysal</w:t>
      </w:r>
      <w:r w:rsidRPr="00BF6FB0">
        <w:rPr>
          <w:rStyle w:val="FootnoteReference"/>
          <w:rFonts w:cs="Arial"/>
          <w:lang w:val="en-US"/>
        </w:rPr>
        <w:footnoteReference w:customMarkFollows="1" w:id="1"/>
        <w:t>*</w:t>
      </w:r>
      <w:r w:rsidRPr="00BF6FB0">
        <w:rPr>
          <w:rFonts w:cs="Arial"/>
          <w:lang w:val="en-US"/>
        </w:rPr>
        <w:t xml:space="preserve"> ve </w:t>
      </w:r>
      <w:r w:rsidR="00722135" w:rsidRPr="00BF6FB0">
        <w:rPr>
          <w:rFonts w:cs="Arial"/>
          <w:lang w:val="en-US"/>
        </w:rPr>
        <w:t>Selin Köksal</w:t>
      </w:r>
      <w:r w:rsidRPr="00BF6FB0">
        <w:rPr>
          <w:rStyle w:val="FootnoteReference"/>
          <w:rFonts w:cs="Arial"/>
          <w:lang w:val="en-US"/>
        </w:rPr>
        <w:footnoteReference w:customMarkFollows="1" w:id="2"/>
        <w:t>**</w:t>
      </w:r>
    </w:p>
    <w:p w14:paraId="49A591F1" w14:textId="77777777" w:rsidR="00B047D4" w:rsidRPr="00BF6FB0" w:rsidRDefault="001A7567" w:rsidP="00B047D4">
      <w:pPr>
        <w:jc w:val="center"/>
        <w:rPr>
          <w:rFonts w:cs="Arial"/>
          <w:b/>
          <w:lang w:val="en-US"/>
        </w:rPr>
      </w:pPr>
      <w:r w:rsidRPr="00BF6FB0">
        <w:rPr>
          <w:rFonts w:cs="Arial"/>
          <w:b/>
          <w:lang w:val="en-US"/>
        </w:rPr>
        <w:t>Executive Summary</w:t>
      </w:r>
    </w:p>
    <w:p w14:paraId="6FDC9B8C" w14:textId="60D92C67" w:rsidR="00AD2282" w:rsidRPr="00BF6FB0" w:rsidRDefault="00E274EC" w:rsidP="00B46C01">
      <w:pPr>
        <w:jc w:val="both"/>
        <w:rPr>
          <w:rFonts w:cs="Arial"/>
          <w:lang w:val="en-US"/>
        </w:rPr>
      </w:pPr>
      <w:bookmarkStart w:id="0" w:name="_GoBack"/>
      <w:r w:rsidRPr="00BF6FB0">
        <w:rPr>
          <w:rFonts w:cs="Arial"/>
          <w:lang w:val="en-US"/>
        </w:rPr>
        <w:t xml:space="preserve">The status of female-headed households is an important topic </w:t>
      </w:r>
      <w:r w:rsidR="00813E0B" w:rsidRPr="00BF6FB0">
        <w:rPr>
          <w:rFonts w:cs="Arial"/>
          <w:lang w:val="en-US"/>
        </w:rPr>
        <w:t>addressed</w:t>
      </w:r>
      <w:r w:rsidRPr="00BF6FB0">
        <w:rPr>
          <w:rFonts w:cs="Arial"/>
          <w:lang w:val="en-US"/>
        </w:rPr>
        <w:t xml:space="preserve"> by academic research and policymakers in terms of both gender equality and equality of opportunities for future generations. According to the </w:t>
      </w:r>
      <w:r w:rsidR="00F528BC" w:rsidRPr="00BF6FB0">
        <w:rPr>
          <w:rFonts w:cs="Arial"/>
          <w:lang w:val="en-US"/>
        </w:rPr>
        <w:t xml:space="preserve">2015 wave of </w:t>
      </w:r>
      <w:r w:rsidR="000A128F" w:rsidRPr="00BF6FB0">
        <w:rPr>
          <w:rFonts w:cs="Arial"/>
          <w:lang w:val="en-US"/>
        </w:rPr>
        <w:t xml:space="preserve">the </w:t>
      </w:r>
      <w:r w:rsidR="00F528BC" w:rsidRPr="00BF6FB0">
        <w:rPr>
          <w:rFonts w:cs="Arial"/>
          <w:lang w:val="en-US"/>
        </w:rPr>
        <w:t>Survey of Income and Living Conditions, the m</w:t>
      </w:r>
      <w:r w:rsidR="003B6E80" w:rsidRPr="00BF6FB0">
        <w:rPr>
          <w:rFonts w:cs="Arial"/>
          <w:lang w:val="en-US"/>
        </w:rPr>
        <w:t>aterial deprivation is becoming more prevalent</w:t>
      </w:r>
      <w:r w:rsidR="00F528BC" w:rsidRPr="00BF6FB0">
        <w:rPr>
          <w:rFonts w:cs="Arial"/>
          <w:lang w:val="en-US"/>
        </w:rPr>
        <w:t xml:space="preserve">. </w:t>
      </w:r>
      <w:r w:rsidR="002004F2" w:rsidRPr="00BF6FB0">
        <w:rPr>
          <w:rFonts w:cs="Arial"/>
          <w:lang w:val="en-US"/>
        </w:rPr>
        <w:t>T</w:t>
      </w:r>
      <w:r w:rsidR="00F528BC" w:rsidRPr="00BF6FB0">
        <w:rPr>
          <w:rFonts w:cs="Arial"/>
          <w:lang w:val="en-US"/>
        </w:rPr>
        <w:t xml:space="preserve">he ratio of female-headed households </w:t>
      </w:r>
      <w:r w:rsidR="00D16481" w:rsidRPr="00BF6FB0">
        <w:rPr>
          <w:rFonts w:cs="Arial"/>
          <w:lang w:val="en-US"/>
        </w:rPr>
        <w:t xml:space="preserve">that </w:t>
      </w:r>
      <w:r w:rsidR="00F528BC" w:rsidRPr="00BF6FB0">
        <w:rPr>
          <w:rFonts w:cs="Arial"/>
          <w:lang w:val="en-US"/>
        </w:rPr>
        <w:t>suffer from material deprivation i</w:t>
      </w:r>
      <w:r w:rsidR="00BA7039" w:rsidRPr="00BF6FB0">
        <w:rPr>
          <w:rFonts w:cs="Arial"/>
          <w:lang w:val="en-US"/>
        </w:rPr>
        <w:t>ncreased from 31 percent</w:t>
      </w:r>
      <w:r w:rsidR="002004F2" w:rsidRPr="00BF6FB0">
        <w:rPr>
          <w:rFonts w:cs="Arial"/>
          <w:lang w:val="en-US"/>
        </w:rPr>
        <w:t xml:space="preserve"> in 2014 to 37.9 percent in 2015</w:t>
      </w:r>
      <w:r w:rsidR="001370F7" w:rsidRPr="00BF6FB0">
        <w:rPr>
          <w:rFonts w:cs="Arial"/>
          <w:lang w:val="en-US"/>
        </w:rPr>
        <w:t>. During this period</w:t>
      </w:r>
      <w:r w:rsidR="00F528BC" w:rsidRPr="00BF6FB0">
        <w:rPr>
          <w:rFonts w:cs="Arial"/>
          <w:lang w:val="en-US"/>
        </w:rPr>
        <w:t>,</w:t>
      </w:r>
      <w:r w:rsidR="00942051" w:rsidRPr="00BF6FB0">
        <w:rPr>
          <w:rFonts w:cs="Arial"/>
          <w:lang w:val="en-US"/>
        </w:rPr>
        <w:t xml:space="preserve"> the ratio of female-headed ho</w:t>
      </w:r>
      <w:r w:rsidR="00BA7039" w:rsidRPr="00BF6FB0">
        <w:rPr>
          <w:rFonts w:cs="Arial"/>
          <w:lang w:val="en-US"/>
        </w:rPr>
        <w:t xml:space="preserve">useholds that cannot </w:t>
      </w:r>
      <w:r w:rsidR="00A513B7" w:rsidRPr="00BF6FB0">
        <w:rPr>
          <w:rFonts w:cs="Arial"/>
          <w:lang w:val="en-US"/>
        </w:rPr>
        <w:t>cover</w:t>
      </w:r>
      <w:r w:rsidR="00BA7039" w:rsidRPr="00BF6FB0">
        <w:rPr>
          <w:rFonts w:cs="Arial"/>
          <w:lang w:val="en-US"/>
        </w:rPr>
        <w:t xml:space="preserve"> une</w:t>
      </w:r>
      <w:r w:rsidR="00942051" w:rsidRPr="00BF6FB0">
        <w:rPr>
          <w:rFonts w:cs="Arial"/>
          <w:lang w:val="en-US"/>
        </w:rPr>
        <w:t>x</w:t>
      </w:r>
      <w:r w:rsidR="00BA7039" w:rsidRPr="00BF6FB0">
        <w:rPr>
          <w:rFonts w:cs="Arial"/>
          <w:lang w:val="en-US"/>
        </w:rPr>
        <w:t>pected expenses increased to 45.</w:t>
      </w:r>
      <w:r w:rsidR="00942051" w:rsidRPr="00BF6FB0">
        <w:rPr>
          <w:rFonts w:cs="Arial"/>
          <w:lang w:val="en-US"/>
        </w:rPr>
        <w:t xml:space="preserve">6 percent. </w:t>
      </w:r>
      <w:r w:rsidR="00BA7039" w:rsidRPr="00BF6FB0">
        <w:rPr>
          <w:rFonts w:cs="Arial"/>
          <w:lang w:val="en-US"/>
        </w:rPr>
        <w:t>Moreover</w:t>
      </w:r>
      <w:r w:rsidR="00942051" w:rsidRPr="00BF6FB0">
        <w:rPr>
          <w:rFonts w:cs="Arial"/>
          <w:lang w:val="en-US"/>
        </w:rPr>
        <w:t>, th</w:t>
      </w:r>
      <w:r w:rsidR="001C5DD0" w:rsidRPr="00BF6FB0">
        <w:rPr>
          <w:rFonts w:cs="Arial"/>
          <w:lang w:val="en-US"/>
        </w:rPr>
        <w:t xml:space="preserve">e ratio of female-headed households that cannot meet their weekly protein needs </w:t>
      </w:r>
      <w:r w:rsidR="00BA7039" w:rsidRPr="00BF6FB0">
        <w:rPr>
          <w:rFonts w:cs="Arial"/>
          <w:lang w:val="en-US"/>
        </w:rPr>
        <w:t>increased to 45.</w:t>
      </w:r>
      <w:r w:rsidR="001C5DD0" w:rsidRPr="00BF6FB0">
        <w:rPr>
          <w:rFonts w:cs="Arial"/>
          <w:lang w:val="en-US"/>
        </w:rPr>
        <w:t>9 percent.</w:t>
      </w:r>
      <w:r w:rsidR="007971CD" w:rsidRPr="00BF6FB0">
        <w:rPr>
          <w:rFonts w:cs="Arial"/>
          <w:lang w:val="en-US"/>
        </w:rPr>
        <w:t xml:space="preserve"> In addition</w:t>
      </w:r>
      <w:r w:rsidR="00BA7039" w:rsidRPr="00BF6FB0">
        <w:rPr>
          <w:rFonts w:cs="Arial"/>
          <w:lang w:val="en-US"/>
        </w:rPr>
        <w:t>, the</w:t>
      </w:r>
      <w:r w:rsidR="001C5DD0" w:rsidRPr="00BF6FB0">
        <w:rPr>
          <w:rFonts w:cs="Arial"/>
          <w:lang w:val="en-US"/>
        </w:rPr>
        <w:t xml:space="preserve"> ratio of female-headed households that cannot sufficiently heat up their </w:t>
      </w:r>
      <w:r w:rsidR="00192CD9">
        <w:rPr>
          <w:rFonts w:cs="Arial"/>
          <w:lang w:val="en-US"/>
        </w:rPr>
        <w:t>home</w:t>
      </w:r>
      <w:r w:rsidR="00B27805" w:rsidRPr="00BF6FB0">
        <w:rPr>
          <w:rFonts w:cs="Arial"/>
          <w:lang w:val="en-US"/>
        </w:rPr>
        <w:t>s</w:t>
      </w:r>
      <w:r w:rsidR="00BA7039" w:rsidRPr="00BF6FB0">
        <w:rPr>
          <w:rFonts w:cs="Arial"/>
          <w:lang w:val="en-US"/>
        </w:rPr>
        <w:t xml:space="preserve"> rose from 20.6 percent to 26.</w:t>
      </w:r>
      <w:r w:rsidR="001C5DD0" w:rsidRPr="00BF6FB0">
        <w:rPr>
          <w:rFonts w:cs="Arial"/>
          <w:lang w:val="en-US"/>
        </w:rPr>
        <w:t>9 percent.</w:t>
      </w:r>
      <w:r w:rsidR="00F32A74" w:rsidRPr="00BF6FB0">
        <w:rPr>
          <w:rFonts w:cs="Arial"/>
          <w:lang w:val="en-US"/>
        </w:rPr>
        <w:t xml:space="preserve"> This strong </w:t>
      </w:r>
      <w:r w:rsidR="00BA7039" w:rsidRPr="00BF6FB0">
        <w:rPr>
          <w:rFonts w:cs="Arial"/>
          <w:lang w:val="en-US"/>
        </w:rPr>
        <w:t>deterioration</w:t>
      </w:r>
      <w:r w:rsidR="00F32A74" w:rsidRPr="00BF6FB0">
        <w:rPr>
          <w:rFonts w:cs="Arial"/>
          <w:lang w:val="en-US"/>
        </w:rPr>
        <w:t xml:space="preserve"> in material deprivation rates indicate that fem</w:t>
      </w:r>
      <w:r w:rsidR="00182C69" w:rsidRPr="00BF6FB0">
        <w:rPr>
          <w:rFonts w:cs="Arial"/>
          <w:lang w:val="en-US"/>
        </w:rPr>
        <w:t xml:space="preserve">ale-headed households need specifically designed </w:t>
      </w:r>
      <w:r w:rsidR="00F32A74" w:rsidRPr="00BF6FB0">
        <w:rPr>
          <w:rFonts w:cs="Arial"/>
          <w:lang w:val="en-US"/>
        </w:rPr>
        <w:t>policies.</w:t>
      </w:r>
      <w:r w:rsidR="00EF5AF0" w:rsidRPr="00BF6FB0">
        <w:rPr>
          <w:rFonts w:cs="Arial"/>
          <w:lang w:val="en-US"/>
        </w:rPr>
        <w:t xml:space="preserve"> </w:t>
      </w:r>
      <w:r w:rsidR="00D53075" w:rsidRPr="00BF6FB0">
        <w:rPr>
          <w:rFonts w:cs="Arial"/>
          <w:lang w:val="en-US"/>
        </w:rPr>
        <w:t xml:space="preserve"> </w:t>
      </w:r>
      <w:r w:rsidR="00BA7039" w:rsidRPr="00BF6FB0">
        <w:rPr>
          <w:rFonts w:cs="Arial"/>
          <w:lang w:val="en-US"/>
        </w:rPr>
        <w:t>However, policymakers should pay attention not to weaken women’s labor market attachments while designing policies for female-headed households.</w:t>
      </w:r>
    </w:p>
    <w:bookmarkEnd w:id="0"/>
    <w:p w14:paraId="7D483142" w14:textId="77777777" w:rsidR="00B047D4" w:rsidRPr="00BF6FB0" w:rsidRDefault="00BA7039" w:rsidP="00B047D4">
      <w:pPr>
        <w:rPr>
          <w:b/>
          <w:sz w:val="24"/>
          <w:szCs w:val="24"/>
          <w:lang w:val="en-US"/>
        </w:rPr>
      </w:pPr>
      <w:r w:rsidRPr="00BF6FB0">
        <w:rPr>
          <w:b/>
          <w:sz w:val="24"/>
          <w:szCs w:val="24"/>
          <w:lang w:val="en-US"/>
        </w:rPr>
        <w:lastRenderedPageBreak/>
        <w:t xml:space="preserve">18.2 percent of </w:t>
      </w:r>
      <w:r w:rsidR="00DC2977" w:rsidRPr="00BF6FB0">
        <w:rPr>
          <w:b/>
          <w:sz w:val="24"/>
          <w:szCs w:val="24"/>
          <w:lang w:val="en-US"/>
        </w:rPr>
        <w:t>household heads are female in Turkey</w:t>
      </w:r>
    </w:p>
    <w:p w14:paraId="5596A44A" w14:textId="1582F209" w:rsidR="00B46C01" w:rsidRPr="00BF6FB0" w:rsidRDefault="00AD2282" w:rsidP="00AD2282">
      <w:pPr>
        <w:jc w:val="both"/>
        <w:rPr>
          <w:lang w:val="en-US"/>
        </w:rPr>
      </w:pPr>
      <w:r w:rsidRPr="00BF6FB0">
        <w:rPr>
          <w:lang w:val="en-US"/>
        </w:rPr>
        <w:t>The relative status of femal</w:t>
      </w:r>
      <w:r w:rsidR="003C31A2" w:rsidRPr="00BF6FB0">
        <w:rPr>
          <w:lang w:val="en-US"/>
        </w:rPr>
        <w:t xml:space="preserve">e-headed households has been an important </w:t>
      </w:r>
      <w:r w:rsidRPr="00BF6FB0">
        <w:rPr>
          <w:lang w:val="en-US"/>
        </w:rPr>
        <w:t>topic among academics, policymakers, and NGO's. Indeed, the relative status of female-headed households becomes an important determinant of the living conditions of adults as well as of children who grow up in these households.</w:t>
      </w:r>
      <w:r w:rsidR="002D2A29" w:rsidRPr="00BF6FB0">
        <w:rPr>
          <w:lang w:val="en-US"/>
        </w:rPr>
        <w:t xml:space="preserve"> </w:t>
      </w:r>
      <w:bookmarkStart w:id="1" w:name="_Ref381804810"/>
      <w:bookmarkStart w:id="2" w:name="_Ref381804801"/>
      <w:r w:rsidRPr="00BF6FB0">
        <w:rPr>
          <w:lang w:val="en-US"/>
        </w:rPr>
        <w:t>Using Survey of Income and Living Conditions 20145 data, we study the status of female household heads and their households. “Household head” in this research brief corresponds to the “reference person” of TurkStat.</w:t>
      </w:r>
      <w:r w:rsidRPr="00BF6FB0">
        <w:rPr>
          <w:color w:val="FF0000"/>
          <w:lang w:val="en-US"/>
        </w:rPr>
        <w:t xml:space="preserve"> </w:t>
      </w:r>
      <w:r w:rsidRPr="00BF6FB0">
        <w:rPr>
          <w:lang w:val="en-US"/>
        </w:rPr>
        <w:t>TurkStat defines</w:t>
      </w:r>
      <w:r w:rsidR="007614EA">
        <w:rPr>
          <w:lang w:val="en-US"/>
        </w:rPr>
        <w:t xml:space="preserve"> the</w:t>
      </w:r>
      <w:r w:rsidRPr="00BF6FB0">
        <w:rPr>
          <w:lang w:val="en-US"/>
        </w:rPr>
        <w:t xml:space="preserve"> "reference person" as the adult member of household who has the most accurate information about the socio-economic and personal characteristics of household members and responsible for the administration of household.</w:t>
      </w:r>
    </w:p>
    <w:p w14:paraId="0F2999B4" w14:textId="77777777" w:rsidR="001858C1" w:rsidRPr="00BF6FB0" w:rsidRDefault="001858C1" w:rsidP="00AD2282">
      <w:pPr>
        <w:jc w:val="both"/>
        <w:rPr>
          <w:lang w:val="en-US"/>
        </w:rPr>
      </w:pPr>
      <w:r w:rsidRPr="00BF6FB0">
        <w:rPr>
          <w:b/>
          <w:lang w:val="en-US"/>
        </w:rPr>
        <w:t xml:space="preserve">Table </w:t>
      </w:r>
      <w:r w:rsidRPr="00BF6FB0">
        <w:rPr>
          <w:b/>
          <w:lang w:val="en-US"/>
        </w:rPr>
        <w:fldChar w:fldCharType="begin"/>
      </w:r>
      <w:r w:rsidRPr="00BF6FB0">
        <w:rPr>
          <w:b/>
          <w:lang w:val="en-US"/>
        </w:rPr>
        <w:instrText xml:space="preserve"> SEQ Tablo \* ARABIC </w:instrText>
      </w:r>
      <w:r w:rsidRPr="00BF6FB0">
        <w:rPr>
          <w:b/>
          <w:lang w:val="en-US"/>
        </w:rPr>
        <w:fldChar w:fldCharType="separate"/>
      </w:r>
      <w:r w:rsidRPr="00BF6FB0">
        <w:rPr>
          <w:b/>
          <w:noProof/>
          <w:lang w:val="en-US"/>
        </w:rPr>
        <w:t>1</w:t>
      </w:r>
      <w:r w:rsidRPr="00BF6FB0">
        <w:rPr>
          <w:b/>
          <w:lang w:val="en-US"/>
        </w:rPr>
        <w:fldChar w:fldCharType="end"/>
      </w:r>
      <w:bookmarkEnd w:id="1"/>
      <w:r w:rsidRPr="00BF6FB0">
        <w:rPr>
          <w:b/>
          <w:lang w:val="en-US"/>
        </w:rPr>
        <w:t xml:space="preserve">: Distribution of female and male household heads, by age (2015) </w:t>
      </w:r>
      <w:bookmarkEnd w:id="2"/>
    </w:p>
    <w:tbl>
      <w:tblPr>
        <w:tblW w:w="8192" w:type="dxa"/>
        <w:tblInd w:w="59" w:type="dxa"/>
        <w:tblCellMar>
          <w:left w:w="70" w:type="dxa"/>
          <w:right w:w="70" w:type="dxa"/>
        </w:tblCellMar>
        <w:tblLook w:val="04A0" w:firstRow="1" w:lastRow="0" w:firstColumn="1" w:lastColumn="0" w:noHBand="0" w:noVBand="1"/>
      </w:tblPr>
      <w:tblGrid>
        <w:gridCol w:w="2358"/>
        <w:gridCol w:w="1759"/>
        <w:gridCol w:w="1063"/>
        <w:gridCol w:w="1876"/>
        <w:gridCol w:w="1136"/>
      </w:tblGrid>
      <w:tr w:rsidR="001858C1" w:rsidRPr="00BF6FB0" w14:paraId="412BA80D" w14:textId="77777777" w:rsidTr="00AD2282">
        <w:trPr>
          <w:trHeight w:val="189"/>
        </w:trPr>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FA5AAB" w14:textId="77777777" w:rsidR="001858C1" w:rsidRPr="00BF6FB0" w:rsidRDefault="001858C1" w:rsidP="001858C1">
            <w:pPr>
              <w:spacing w:after="0" w:line="240" w:lineRule="auto"/>
              <w:rPr>
                <w:rFonts w:ascii="Calibri" w:eastAsia="Times New Roman" w:hAnsi="Calibri" w:cs="Times New Roman"/>
                <w:color w:val="000000"/>
                <w:lang w:val="en-US"/>
              </w:rPr>
            </w:pPr>
            <w:r w:rsidRPr="00BF6FB0">
              <w:rPr>
                <w:rFonts w:ascii="Calibri" w:eastAsia="Times New Roman" w:hAnsi="Calibri" w:cs="Times New Roman"/>
                <w:color w:val="000000"/>
                <w:lang w:val="en-US"/>
              </w:rPr>
              <w:t> </w:t>
            </w:r>
          </w:p>
        </w:tc>
        <w:tc>
          <w:tcPr>
            <w:tcW w:w="2822" w:type="dxa"/>
            <w:gridSpan w:val="2"/>
            <w:tcBorders>
              <w:top w:val="single" w:sz="8" w:space="0" w:color="auto"/>
              <w:left w:val="nil"/>
              <w:bottom w:val="single" w:sz="8" w:space="0" w:color="auto"/>
              <w:right w:val="single" w:sz="8" w:space="0" w:color="000000"/>
            </w:tcBorders>
            <w:shd w:val="clear" w:color="auto" w:fill="auto"/>
            <w:vAlign w:val="center"/>
            <w:hideMark/>
          </w:tcPr>
          <w:p w14:paraId="24752884" w14:textId="77777777" w:rsidR="001858C1" w:rsidRPr="00BF6FB0" w:rsidRDefault="001858C1" w:rsidP="001858C1">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 xml:space="preserve">Female household heads </w:t>
            </w:r>
          </w:p>
        </w:tc>
        <w:tc>
          <w:tcPr>
            <w:tcW w:w="3012" w:type="dxa"/>
            <w:gridSpan w:val="2"/>
            <w:tcBorders>
              <w:top w:val="single" w:sz="8" w:space="0" w:color="auto"/>
              <w:left w:val="nil"/>
              <w:bottom w:val="single" w:sz="8" w:space="0" w:color="auto"/>
              <w:right w:val="single" w:sz="8" w:space="0" w:color="000000"/>
            </w:tcBorders>
            <w:shd w:val="clear" w:color="auto" w:fill="auto"/>
            <w:vAlign w:val="center"/>
            <w:hideMark/>
          </w:tcPr>
          <w:p w14:paraId="3DA013FD" w14:textId="77777777" w:rsidR="001858C1" w:rsidRPr="00BF6FB0" w:rsidRDefault="001858C1" w:rsidP="001858C1">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 xml:space="preserve">Male household heads </w:t>
            </w:r>
          </w:p>
        </w:tc>
      </w:tr>
      <w:tr w:rsidR="00AE4AFA" w:rsidRPr="00BF6FB0" w14:paraId="758F26A7" w14:textId="77777777" w:rsidTr="00AD2282">
        <w:trPr>
          <w:trHeight w:val="409"/>
        </w:trPr>
        <w:tc>
          <w:tcPr>
            <w:tcW w:w="2358" w:type="dxa"/>
            <w:tcBorders>
              <w:top w:val="nil"/>
              <w:left w:val="single" w:sz="8" w:space="0" w:color="auto"/>
              <w:bottom w:val="single" w:sz="8" w:space="0" w:color="auto"/>
              <w:right w:val="single" w:sz="8" w:space="0" w:color="auto"/>
            </w:tcBorders>
            <w:shd w:val="clear" w:color="auto" w:fill="auto"/>
            <w:noWrap/>
            <w:vAlign w:val="center"/>
            <w:hideMark/>
          </w:tcPr>
          <w:p w14:paraId="42DADE14" w14:textId="77777777" w:rsidR="00AE4AFA" w:rsidRPr="00BF6FB0" w:rsidRDefault="00AE4AFA" w:rsidP="00AE4AFA">
            <w:pPr>
              <w:spacing w:after="0" w:line="240" w:lineRule="auto"/>
              <w:rPr>
                <w:rFonts w:eastAsia="Times New Roman" w:cs="Times New Roman"/>
                <w:b/>
                <w:bCs/>
                <w:sz w:val="20"/>
                <w:szCs w:val="20"/>
                <w:lang w:val="en-US"/>
              </w:rPr>
            </w:pPr>
            <w:r w:rsidRPr="00BF6FB0">
              <w:rPr>
                <w:rFonts w:eastAsia="Times New Roman" w:cs="Times New Roman"/>
                <w:b/>
                <w:bCs/>
                <w:sz w:val="20"/>
                <w:szCs w:val="20"/>
                <w:lang w:val="en-US"/>
              </w:rPr>
              <w:t xml:space="preserve">Age group </w:t>
            </w:r>
          </w:p>
        </w:tc>
        <w:tc>
          <w:tcPr>
            <w:tcW w:w="1759" w:type="dxa"/>
            <w:tcBorders>
              <w:top w:val="nil"/>
              <w:left w:val="nil"/>
              <w:bottom w:val="single" w:sz="8" w:space="0" w:color="auto"/>
              <w:right w:val="single" w:sz="8" w:space="0" w:color="auto"/>
            </w:tcBorders>
            <w:shd w:val="clear" w:color="auto" w:fill="auto"/>
            <w:vAlign w:val="center"/>
            <w:hideMark/>
          </w:tcPr>
          <w:p w14:paraId="6186798F"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Number of heads</w:t>
            </w:r>
          </w:p>
          <w:p w14:paraId="7EF24A0C"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 xml:space="preserve">(in thousands) </w:t>
            </w:r>
          </w:p>
        </w:tc>
        <w:tc>
          <w:tcPr>
            <w:tcW w:w="1063" w:type="dxa"/>
            <w:tcBorders>
              <w:top w:val="nil"/>
              <w:left w:val="nil"/>
              <w:bottom w:val="single" w:sz="8" w:space="0" w:color="auto"/>
              <w:right w:val="single" w:sz="8" w:space="0" w:color="auto"/>
            </w:tcBorders>
            <w:shd w:val="clear" w:color="auto" w:fill="auto"/>
            <w:noWrap/>
            <w:vAlign w:val="center"/>
            <w:hideMark/>
          </w:tcPr>
          <w:p w14:paraId="300FAC2A"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w:t>
            </w:r>
          </w:p>
        </w:tc>
        <w:tc>
          <w:tcPr>
            <w:tcW w:w="1876" w:type="dxa"/>
            <w:tcBorders>
              <w:top w:val="nil"/>
              <w:left w:val="nil"/>
              <w:bottom w:val="single" w:sz="8" w:space="0" w:color="auto"/>
              <w:right w:val="single" w:sz="8" w:space="0" w:color="auto"/>
            </w:tcBorders>
            <w:shd w:val="clear" w:color="auto" w:fill="auto"/>
            <w:vAlign w:val="center"/>
            <w:hideMark/>
          </w:tcPr>
          <w:p w14:paraId="644CA032"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 xml:space="preserve">Number of heads </w:t>
            </w:r>
          </w:p>
          <w:p w14:paraId="6AAA8F4E"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 xml:space="preserve">(in thousands) </w:t>
            </w:r>
          </w:p>
        </w:tc>
        <w:tc>
          <w:tcPr>
            <w:tcW w:w="1136" w:type="dxa"/>
            <w:tcBorders>
              <w:top w:val="nil"/>
              <w:left w:val="nil"/>
              <w:bottom w:val="single" w:sz="8" w:space="0" w:color="auto"/>
              <w:right w:val="single" w:sz="8" w:space="0" w:color="auto"/>
            </w:tcBorders>
            <w:shd w:val="clear" w:color="auto" w:fill="auto"/>
            <w:noWrap/>
            <w:vAlign w:val="center"/>
            <w:hideMark/>
          </w:tcPr>
          <w:p w14:paraId="2C4887D1" w14:textId="77777777" w:rsidR="00AE4AFA" w:rsidRPr="00BF6FB0" w:rsidRDefault="00AE4AFA" w:rsidP="00AE4AFA">
            <w:pPr>
              <w:spacing w:after="0" w:line="240" w:lineRule="auto"/>
              <w:jc w:val="center"/>
              <w:rPr>
                <w:rFonts w:eastAsia="Times New Roman" w:cs="Times New Roman"/>
                <w:b/>
                <w:bCs/>
                <w:sz w:val="20"/>
                <w:szCs w:val="20"/>
                <w:lang w:val="en-US"/>
              </w:rPr>
            </w:pPr>
            <w:r w:rsidRPr="00BF6FB0">
              <w:rPr>
                <w:rFonts w:eastAsia="Times New Roman" w:cs="Times New Roman"/>
                <w:b/>
                <w:bCs/>
                <w:sz w:val="20"/>
                <w:szCs w:val="20"/>
                <w:lang w:val="en-US"/>
              </w:rPr>
              <w:t>%</w:t>
            </w:r>
          </w:p>
        </w:tc>
      </w:tr>
      <w:tr w:rsidR="00AE4AFA" w:rsidRPr="00BF6FB0" w14:paraId="2BE2EB54" w14:textId="77777777" w:rsidTr="00AD2282">
        <w:trPr>
          <w:trHeight w:val="306"/>
        </w:trPr>
        <w:tc>
          <w:tcPr>
            <w:tcW w:w="2358" w:type="dxa"/>
            <w:tcBorders>
              <w:top w:val="nil"/>
              <w:left w:val="single" w:sz="8" w:space="0" w:color="auto"/>
              <w:bottom w:val="single" w:sz="8" w:space="0" w:color="auto"/>
              <w:right w:val="single" w:sz="8" w:space="0" w:color="auto"/>
            </w:tcBorders>
            <w:shd w:val="clear" w:color="auto" w:fill="auto"/>
            <w:vAlign w:val="center"/>
            <w:hideMark/>
          </w:tcPr>
          <w:p w14:paraId="0FCACAAF" w14:textId="77777777" w:rsidR="00AE4AFA" w:rsidRPr="00BF6FB0" w:rsidRDefault="00AE4AFA" w:rsidP="00AE4AFA">
            <w:pPr>
              <w:spacing w:after="0" w:line="240" w:lineRule="auto"/>
              <w:rPr>
                <w:rFonts w:eastAsia="Times New Roman" w:cs="Times New Roman"/>
                <w:bCs/>
                <w:sz w:val="20"/>
                <w:szCs w:val="20"/>
                <w:lang w:val="en-US"/>
              </w:rPr>
            </w:pPr>
            <w:r w:rsidRPr="00BF6FB0">
              <w:rPr>
                <w:rFonts w:eastAsia="Times New Roman" w:cs="Times New Roman"/>
                <w:bCs/>
                <w:sz w:val="20"/>
                <w:szCs w:val="20"/>
                <w:lang w:val="en-US"/>
              </w:rPr>
              <w:t xml:space="preserve">Less than 65 </w:t>
            </w:r>
          </w:p>
        </w:tc>
        <w:tc>
          <w:tcPr>
            <w:tcW w:w="1759" w:type="dxa"/>
            <w:tcBorders>
              <w:top w:val="nil"/>
              <w:left w:val="nil"/>
              <w:bottom w:val="single" w:sz="8" w:space="0" w:color="auto"/>
              <w:right w:val="single" w:sz="8" w:space="0" w:color="auto"/>
            </w:tcBorders>
            <w:shd w:val="clear" w:color="auto" w:fill="auto"/>
            <w:hideMark/>
          </w:tcPr>
          <w:p w14:paraId="71CE5258"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2475</w:t>
            </w:r>
          </w:p>
        </w:tc>
        <w:tc>
          <w:tcPr>
            <w:tcW w:w="1063" w:type="dxa"/>
            <w:tcBorders>
              <w:top w:val="nil"/>
              <w:left w:val="nil"/>
              <w:bottom w:val="single" w:sz="8" w:space="0" w:color="auto"/>
              <w:right w:val="single" w:sz="8" w:space="0" w:color="auto"/>
            </w:tcBorders>
            <w:shd w:val="clear" w:color="auto" w:fill="auto"/>
            <w:hideMark/>
          </w:tcPr>
          <w:p w14:paraId="1339F1B5"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62,4%</w:t>
            </w:r>
          </w:p>
        </w:tc>
        <w:tc>
          <w:tcPr>
            <w:tcW w:w="1876" w:type="dxa"/>
            <w:tcBorders>
              <w:top w:val="nil"/>
              <w:left w:val="nil"/>
              <w:bottom w:val="single" w:sz="8" w:space="0" w:color="auto"/>
              <w:right w:val="single" w:sz="8" w:space="0" w:color="auto"/>
            </w:tcBorders>
            <w:shd w:val="clear" w:color="auto" w:fill="auto"/>
          </w:tcPr>
          <w:p w14:paraId="30FA6A6C"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15456</w:t>
            </w:r>
          </w:p>
        </w:tc>
        <w:tc>
          <w:tcPr>
            <w:tcW w:w="1136" w:type="dxa"/>
            <w:tcBorders>
              <w:top w:val="nil"/>
              <w:left w:val="nil"/>
              <w:bottom w:val="single" w:sz="8" w:space="0" w:color="auto"/>
              <w:right w:val="single" w:sz="8" w:space="0" w:color="auto"/>
            </w:tcBorders>
            <w:shd w:val="clear" w:color="auto" w:fill="auto"/>
            <w:hideMark/>
          </w:tcPr>
          <w:p w14:paraId="11D17785"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86,5%</w:t>
            </w:r>
          </w:p>
        </w:tc>
      </w:tr>
      <w:tr w:rsidR="00AE4AFA" w:rsidRPr="00BF6FB0" w14:paraId="079305E9" w14:textId="77777777" w:rsidTr="00AD2282">
        <w:trPr>
          <w:trHeight w:val="321"/>
        </w:trPr>
        <w:tc>
          <w:tcPr>
            <w:tcW w:w="2358" w:type="dxa"/>
            <w:tcBorders>
              <w:top w:val="nil"/>
              <w:left w:val="single" w:sz="8" w:space="0" w:color="auto"/>
              <w:bottom w:val="single" w:sz="8" w:space="0" w:color="auto"/>
              <w:right w:val="single" w:sz="8" w:space="0" w:color="auto"/>
            </w:tcBorders>
            <w:shd w:val="clear" w:color="auto" w:fill="auto"/>
            <w:vAlign w:val="center"/>
            <w:hideMark/>
          </w:tcPr>
          <w:p w14:paraId="3B6AD054" w14:textId="77777777" w:rsidR="00AE4AFA" w:rsidRPr="00BF6FB0" w:rsidRDefault="00346C2D" w:rsidP="00AE4AFA">
            <w:pPr>
              <w:spacing w:after="0" w:line="240" w:lineRule="auto"/>
              <w:rPr>
                <w:rFonts w:eastAsia="Times New Roman" w:cs="Times New Roman"/>
                <w:bCs/>
                <w:sz w:val="20"/>
                <w:szCs w:val="20"/>
                <w:lang w:val="en-US"/>
              </w:rPr>
            </w:pPr>
            <w:r w:rsidRPr="00BF6FB0">
              <w:rPr>
                <w:rFonts w:eastAsia="Times New Roman" w:cs="Times New Roman"/>
                <w:bCs/>
                <w:sz w:val="20"/>
                <w:szCs w:val="20"/>
                <w:lang w:val="en-US"/>
              </w:rPr>
              <w:t>65 years and older</w:t>
            </w:r>
          </w:p>
        </w:tc>
        <w:tc>
          <w:tcPr>
            <w:tcW w:w="1759" w:type="dxa"/>
            <w:tcBorders>
              <w:top w:val="nil"/>
              <w:left w:val="nil"/>
              <w:bottom w:val="single" w:sz="8" w:space="0" w:color="auto"/>
              <w:right w:val="single" w:sz="8" w:space="0" w:color="auto"/>
            </w:tcBorders>
            <w:shd w:val="clear" w:color="auto" w:fill="auto"/>
            <w:hideMark/>
          </w:tcPr>
          <w:p w14:paraId="0BC7060D"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1493</w:t>
            </w:r>
          </w:p>
        </w:tc>
        <w:tc>
          <w:tcPr>
            <w:tcW w:w="1063" w:type="dxa"/>
            <w:tcBorders>
              <w:top w:val="nil"/>
              <w:left w:val="nil"/>
              <w:bottom w:val="single" w:sz="8" w:space="0" w:color="auto"/>
              <w:right w:val="single" w:sz="8" w:space="0" w:color="auto"/>
            </w:tcBorders>
            <w:shd w:val="clear" w:color="auto" w:fill="auto"/>
            <w:hideMark/>
          </w:tcPr>
          <w:p w14:paraId="6D3FEAE6"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37,6%</w:t>
            </w:r>
          </w:p>
        </w:tc>
        <w:tc>
          <w:tcPr>
            <w:tcW w:w="1876" w:type="dxa"/>
            <w:tcBorders>
              <w:top w:val="nil"/>
              <w:left w:val="nil"/>
              <w:bottom w:val="single" w:sz="8" w:space="0" w:color="auto"/>
              <w:right w:val="single" w:sz="8" w:space="0" w:color="auto"/>
            </w:tcBorders>
            <w:shd w:val="clear" w:color="auto" w:fill="auto"/>
            <w:hideMark/>
          </w:tcPr>
          <w:p w14:paraId="48237303"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2412</w:t>
            </w:r>
          </w:p>
        </w:tc>
        <w:tc>
          <w:tcPr>
            <w:tcW w:w="1136" w:type="dxa"/>
            <w:tcBorders>
              <w:top w:val="nil"/>
              <w:left w:val="nil"/>
              <w:bottom w:val="single" w:sz="8" w:space="0" w:color="auto"/>
              <w:right w:val="single" w:sz="8" w:space="0" w:color="auto"/>
            </w:tcBorders>
            <w:shd w:val="clear" w:color="auto" w:fill="auto"/>
            <w:hideMark/>
          </w:tcPr>
          <w:p w14:paraId="130024DE"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13,5%</w:t>
            </w:r>
          </w:p>
        </w:tc>
      </w:tr>
      <w:tr w:rsidR="00AE4AFA" w:rsidRPr="00BF6FB0" w14:paraId="47EEEA8D" w14:textId="77777777" w:rsidTr="00AD2282">
        <w:trPr>
          <w:trHeight w:val="227"/>
        </w:trPr>
        <w:tc>
          <w:tcPr>
            <w:tcW w:w="2358" w:type="dxa"/>
            <w:tcBorders>
              <w:top w:val="nil"/>
              <w:left w:val="single" w:sz="8" w:space="0" w:color="auto"/>
              <w:bottom w:val="single" w:sz="8" w:space="0" w:color="auto"/>
              <w:right w:val="single" w:sz="8" w:space="0" w:color="auto"/>
            </w:tcBorders>
            <w:shd w:val="clear" w:color="auto" w:fill="auto"/>
            <w:vAlign w:val="center"/>
            <w:hideMark/>
          </w:tcPr>
          <w:p w14:paraId="2E566408" w14:textId="77777777" w:rsidR="00AE4AFA" w:rsidRPr="00BF6FB0" w:rsidRDefault="00AE4AFA" w:rsidP="00AE4AFA">
            <w:pPr>
              <w:spacing w:after="0" w:line="240" w:lineRule="auto"/>
              <w:rPr>
                <w:rFonts w:eastAsia="Times New Roman" w:cs="Times New Roman"/>
                <w:b/>
                <w:bCs/>
                <w:sz w:val="20"/>
                <w:szCs w:val="20"/>
                <w:lang w:val="en-US"/>
              </w:rPr>
            </w:pPr>
            <w:r w:rsidRPr="00BF6FB0">
              <w:rPr>
                <w:rFonts w:eastAsia="Times New Roman" w:cs="Times New Roman"/>
                <w:b/>
                <w:bCs/>
                <w:sz w:val="20"/>
                <w:szCs w:val="20"/>
                <w:lang w:val="en-US"/>
              </w:rPr>
              <w:t>Total number of households</w:t>
            </w:r>
          </w:p>
        </w:tc>
        <w:tc>
          <w:tcPr>
            <w:tcW w:w="1759" w:type="dxa"/>
            <w:tcBorders>
              <w:top w:val="nil"/>
              <w:left w:val="nil"/>
              <w:bottom w:val="single" w:sz="8" w:space="0" w:color="auto"/>
              <w:right w:val="single" w:sz="8" w:space="0" w:color="auto"/>
            </w:tcBorders>
            <w:shd w:val="clear" w:color="auto" w:fill="auto"/>
            <w:hideMark/>
          </w:tcPr>
          <w:p w14:paraId="43485D13"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3968</w:t>
            </w:r>
          </w:p>
        </w:tc>
        <w:tc>
          <w:tcPr>
            <w:tcW w:w="1063" w:type="dxa"/>
            <w:tcBorders>
              <w:top w:val="nil"/>
              <w:left w:val="nil"/>
              <w:bottom w:val="single" w:sz="8" w:space="0" w:color="auto"/>
              <w:right w:val="single" w:sz="8" w:space="0" w:color="auto"/>
            </w:tcBorders>
            <w:shd w:val="clear" w:color="auto" w:fill="auto"/>
            <w:hideMark/>
          </w:tcPr>
          <w:p w14:paraId="4A277765"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c>
          <w:tcPr>
            <w:tcW w:w="1876" w:type="dxa"/>
            <w:tcBorders>
              <w:top w:val="nil"/>
              <w:left w:val="nil"/>
              <w:bottom w:val="single" w:sz="8" w:space="0" w:color="auto"/>
              <w:right w:val="single" w:sz="8" w:space="0" w:color="auto"/>
            </w:tcBorders>
            <w:shd w:val="clear" w:color="auto" w:fill="auto"/>
            <w:hideMark/>
          </w:tcPr>
          <w:p w14:paraId="671C4132"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17868</w:t>
            </w:r>
          </w:p>
        </w:tc>
        <w:tc>
          <w:tcPr>
            <w:tcW w:w="1136" w:type="dxa"/>
            <w:tcBorders>
              <w:top w:val="nil"/>
              <w:left w:val="nil"/>
              <w:bottom w:val="single" w:sz="8" w:space="0" w:color="auto"/>
              <w:right w:val="single" w:sz="8" w:space="0" w:color="auto"/>
            </w:tcBorders>
            <w:shd w:val="clear" w:color="auto" w:fill="auto"/>
            <w:hideMark/>
          </w:tcPr>
          <w:p w14:paraId="41FDFD65" w14:textId="77777777" w:rsidR="00AE4AFA" w:rsidRPr="00BF6FB0" w:rsidRDefault="00AE4AFA" w:rsidP="00AE4AFA">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r>
    </w:tbl>
    <w:p w14:paraId="33A8FB6A" w14:textId="77777777" w:rsidR="0038109C" w:rsidRPr="00BF6FB0" w:rsidRDefault="003452B4" w:rsidP="003452B4">
      <w:pPr>
        <w:pStyle w:val="Caption"/>
        <w:rPr>
          <w:b w:val="0"/>
          <w:color w:val="auto"/>
          <w:lang w:val="en-US"/>
        </w:rPr>
      </w:pPr>
      <w:r w:rsidRPr="00BF6FB0">
        <w:rPr>
          <w:b w:val="0"/>
          <w:color w:val="auto"/>
          <w:lang w:val="en-US"/>
        </w:rPr>
        <w:t xml:space="preserve">Source: 2015 TurkStat Income and Living Conditions Survey; Betam </w:t>
      </w:r>
    </w:p>
    <w:p w14:paraId="74C1E354" w14:textId="753DEAA6" w:rsidR="005D0E9A" w:rsidRPr="00BF6FB0" w:rsidRDefault="0046118F" w:rsidP="00B611DD">
      <w:pPr>
        <w:jc w:val="both"/>
        <w:rPr>
          <w:color w:val="FF0000"/>
          <w:lang w:val="en-US"/>
        </w:rPr>
      </w:pPr>
      <w:r w:rsidRPr="00BF6FB0">
        <w:rPr>
          <w:lang w:val="en-US"/>
        </w:rPr>
        <w:t xml:space="preserve">According to </w:t>
      </w:r>
      <w:r w:rsidR="00583F09">
        <w:rPr>
          <w:lang w:val="en-US"/>
        </w:rPr>
        <w:t xml:space="preserve">the </w:t>
      </w:r>
      <w:r w:rsidRPr="00BF6FB0">
        <w:rPr>
          <w:lang w:val="en-US"/>
        </w:rPr>
        <w:t>2015 Turkish Survey of Income and Living Conditions</w:t>
      </w:r>
      <w:r w:rsidR="00583F09">
        <w:rPr>
          <w:lang w:val="en-US"/>
        </w:rPr>
        <w:t xml:space="preserve"> (SILC)</w:t>
      </w:r>
      <w:r w:rsidRPr="00BF6FB0">
        <w:rPr>
          <w:lang w:val="en-US"/>
        </w:rPr>
        <w:t xml:space="preserve"> data, 18.2 percent of approximately 21.9 million household heads are women. In other words, in Turkey 8.9 million of approximately 76.4 million people are living in female-headed households. </w:t>
      </w:r>
      <w:r w:rsidR="00675D44" w:rsidRPr="00BF6FB0">
        <w:rPr>
          <w:lang w:val="en-US"/>
        </w:rPr>
        <w:t>When we analyze the distribution of male and female household heads by age, approximately 38 percent of female household heads are older than the age of 65 years; this ratio is only 13</w:t>
      </w:r>
      <w:r w:rsidR="005D6168">
        <w:rPr>
          <w:lang w:val="en-US"/>
        </w:rPr>
        <w:t>.</w:t>
      </w:r>
      <w:r w:rsidR="00675D44" w:rsidRPr="00BF6FB0">
        <w:rPr>
          <w:lang w:val="en-US"/>
        </w:rPr>
        <w:t xml:space="preserve">5 percent for male heads. This situation reflects the fact that women live longer than men. On the other hand, 62.4 percent </w:t>
      </w:r>
      <w:r w:rsidR="00675D44" w:rsidRPr="00BF6FB0">
        <w:rPr>
          <w:lang w:val="en-US"/>
        </w:rPr>
        <w:lastRenderedPageBreak/>
        <w:t>of female heads are younger than 65 years whereas this ratio is 86.5 percent for male heads. (Table 1).</w:t>
      </w:r>
      <w:r w:rsidR="00675D44" w:rsidRPr="00BF6FB0">
        <w:rPr>
          <w:color w:val="FF0000"/>
          <w:lang w:val="en-US"/>
        </w:rPr>
        <w:t xml:space="preserve"> </w:t>
      </w:r>
    </w:p>
    <w:p w14:paraId="4D3AF4D7" w14:textId="77777777" w:rsidR="00DC2977" w:rsidRPr="00BF6FB0" w:rsidRDefault="00DC2977" w:rsidP="00DC2977">
      <w:pPr>
        <w:rPr>
          <w:b/>
          <w:sz w:val="24"/>
          <w:szCs w:val="24"/>
          <w:lang w:val="en-US"/>
        </w:rPr>
      </w:pPr>
      <w:r w:rsidRPr="00BF6FB0">
        <w:rPr>
          <w:b/>
          <w:sz w:val="24"/>
          <w:szCs w:val="24"/>
          <w:lang w:val="en-US"/>
        </w:rPr>
        <w:t xml:space="preserve">More than half of female household heads are widowed </w:t>
      </w:r>
    </w:p>
    <w:p w14:paraId="69CFC886" w14:textId="11C1325D" w:rsidR="00675D44" w:rsidRPr="00BF6FB0" w:rsidRDefault="000149B2" w:rsidP="00675D44">
      <w:pPr>
        <w:pStyle w:val="Caption"/>
        <w:keepNext/>
        <w:jc w:val="both"/>
        <w:rPr>
          <w:b w:val="0"/>
          <w:bCs w:val="0"/>
          <w:color w:val="auto"/>
          <w:sz w:val="22"/>
          <w:szCs w:val="22"/>
          <w:lang w:val="en-US"/>
        </w:rPr>
      </w:pPr>
      <w:bookmarkStart w:id="3" w:name="_Ref381804912"/>
      <w:r>
        <w:rPr>
          <w:b w:val="0"/>
          <w:bCs w:val="0"/>
          <w:color w:val="auto"/>
          <w:sz w:val="22"/>
          <w:szCs w:val="22"/>
          <w:lang w:val="en-US"/>
        </w:rPr>
        <w:t>The m</w:t>
      </w:r>
      <w:r w:rsidR="00675D44" w:rsidRPr="00BF6FB0">
        <w:rPr>
          <w:b w:val="0"/>
          <w:bCs w:val="0"/>
          <w:color w:val="auto"/>
          <w:sz w:val="22"/>
          <w:szCs w:val="22"/>
          <w:lang w:val="en-US"/>
        </w:rPr>
        <w:t>arital status of female household heads are represented in Table 2. 56.5 percent of female-headed households are widowed, 18.3 percent of them are single and 13.1 percent of them are divorced. On the other hand, only 9.6 percent of female heads are married. This situation reveals that women become household head</w:t>
      </w:r>
      <w:r w:rsidR="00AD3779">
        <w:rPr>
          <w:b w:val="0"/>
          <w:bCs w:val="0"/>
          <w:color w:val="auto"/>
          <w:sz w:val="22"/>
          <w:szCs w:val="22"/>
          <w:lang w:val="en-US"/>
        </w:rPr>
        <w:t>s</w:t>
      </w:r>
      <w:r w:rsidR="00675D44" w:rsidRPr="00BF6FB0">
        <w:rPr>
          <w:b w:val="0"/>
          <w:bCs w:val="0"/>
          <w:color w:val="auto"/>
          <w:sz w:val="22"/>
          <w:szCs w:val="22"/>
          <w:lang w:val="en-US"/>
        </w:rPr>
        <w:t xml:space="preserve"> </w:t>
      </w:r>
      <w:r w:rsidR="00AD3779">
        <w:rPr>
          <w:b w:val="0"/>
          <w:bCs w:val="0"/>
          <w:color w:val="auto"/>
          <w:sz w:val="22"/>
          <w:szCs w:val="22"/>
          <w:lang w:val="en-US"/>
        </w:rPr>
        <w:t xml:space="preserve">usually </w:t>
      </w:r>
      <w:r w:rsidR="00675D44" w:rsidRPr="00BF6FB0">
        <w:rPr>
          <w:b w:val="0"/>
          <w:bCs w:val="0"/>
          <w:color w:val="auto"/>
          <w:sz w:val="22"/>
          <w:szCs w:val="22"/>
          <w:lang w:val="en-US"/>
        </w:rPr>
        <w:t xml:space="preserve">when they do not have </w:t>
      </w:r>
      <w:r w:rsidR="00AD3779">
        <w:rPr>
          <w:b w:val="0"/>
          <w:bCs w:val="0"/>
          <w:color w:val="auto"/>
          <w:sz w:val="22"/>
          <w:szCs w:val="22"/>
          <w:lang w:val="en-US"/>
        </w:rPr>
        <w:t>spouses</w:t>
      </w:r>
      <w:r w:rsidR="00675D44" w:rsidRPr="00BF6FB0">
        <w:rPr>
          <w:b w:val="0"/>
          <w:bCs w:val="0"/>
          <w:color w:val="auto"/>
          <w:sz w:val="22"/>
          <w:szCs w:val="22"/>
          <w:lang w:val="en-US"/>
        </w:rPr>
        <w:t xml:space="preserve"> and</w:t>
      </w:r>
      <w:r w:rsidR="00AD3779">
        <w:rPr>
          <w:b w:val="0"/>
          <w:bCs w:val="0"/>
          <w:color w:val="auto"/>
          <w:sz w:val="22"/>
          <w:szCs w:val="22"/>
          <w:lang w:val="en-US"/>
        </w:rPr>
        <w:t xml:space="preserve"> that</w:t>
      </w:r>
      <w:r w:rsidR="00675D44" w:rsidRPr="00BF6FB0">
        <w:rPr>
          <w:b w:val="0"/>
          <w:bCs w:val="0"/>
          <w:color w:val="auto"/>
          <w:sz w:val="22"/>
          <w:szCs w:val="22"/>
          <w:lang w:val="en-US"/>
        </w:rPr>
        <w:t xml:space="preserve"> the household structure in Turkey is determined </w:t>
      </w:r>
      <w:r w:rsidR="001B475A">
        <w:rPr>
          <w:b w:val="0"/>
          <w:bCs w:val="0"/>
          <w:color w:val="auto"/>
          <w:sz w:val="22"/>
          <w:szCs w:val="22"/>
          <w:lang w:val="en-US"/>
        </w:rPr>
        <w:t xml:space="preserve">primarily </w:t>
      </w:r>
      <w:r w:rsidR="00675D44" w:rsidRPr="00BF6FB0">
        <w:rPr>
          <w:b w:val="0"/>
          <w:bCs w:val="0"/>
          <w:color w:val="auto"/>
          <w:sz w:val="22"/>
          <w:szCs w:val="22"/>
          <w:lang w:val="en-US"/>
        </w:rPr>
        <w:t>by gender roles.</w:t>
      </w:r>
    </w:p>
    <w:p w14:paraId="634CB683" w14:textId="77777777" w:rsidR="00A739E6" w:rsidRPr="00BF6FB0" w:rsidRDefault="00A739E6" w:rsidP="00A739E6">
      <w:pPr>
        <w:pStyle w:val="Caption"/>
        <w:keepNext/>
        <w:rPr>
          <w:color w:val="auto"/>
          <w:sz w:val="22"/>
          <w:szCs w:val="22"/>
          <w:lang w:val="en-US"/>
        </w:rPr>
      </w:pPr>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2</w:t>
      </w:r>
      <w:r w:rsidRPr="00BF6FB0">
        <w:rPr>
          <w:color w:val="auto"/>
          <w:sz w:val="22"/>
          <w:szCs w:val="22"/>
          <w:lang w:val="en-US"/>
        </w:rPr>
        <w:fldChar w:fldCharType="end"/>
      </w:r>
      <w:bookmarkEnd w:id="3"/>
      <w:r w:rsidRPr="00BF6FB0">
        <w:rPr>
          <w:color w:val="auto"/>
          <w:sz w:val="22"/>
          <w:szCs w:val="22"/>
          <w:lang w:val="en-US"/>
        </w:rPr>
        <w:t xml:space="preserve">: The marital status of female household heads (2015) </w:t>
      </w:r>
    </w:p>
    <w:tbl>
      <w:tblPr>
        <w:tblW w:w="509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32"/>
        <w:gridCol w:w="2061"/>
        <w:gridCol w:w="495"/>
      </w:tblGrid>
      <w:tr w:rsidR="00A30575" w:rsidRPr="00BF6FB0" w14:paraId="1BD1EED8" w14:textId="77777777" w:rsidTr="00B53E2B">
        <w:trPr>
          <w:trHeight w:val="311"/>
        </w:trPr>
        <w:tc>
          <w:tcPr>
            <w:tcW w:w="2832" w:type="dxa"/>
            <w:shd w:val="clear" w:color="auto" w:fill="auto"/>
            <w:noWrap/>
            <w:vAlign w:val="bottom"/>
            <w:hideMark/>
          </w:tcPr>
          <w:p w14:paraId="1102A6C5" w14:textId="77777777" w:rsidR="00A30575" w:rsidRPr="00BF6FB0" w:rsidRDefault="00A30575" w:rsidP="00A30575">
            <w:pPr>
              <w:spacing w:after="0" w:line="240" w:lineRule="auto"/>
              <w:rPr>
                <w:rFonts w:ascii="Calibri" w:eastAsia="Times New Roman" w:hAnsi="Calibri" w:cs="Times New Roman"/>
                <w:b/>
                <w:bCs/>
                <w:color w:val="000000"/>
                <w:lang w:val="en-US"/>
              </w:rPr>
            </w:pPr>
            <w:r w:rsidRPr="00BF6FB0">
              <w:rPr>
                <w:rFonts w:ascii="Calibri" w:eastAsia="Times New Roman" w:hAnsi="Calibri" w:cs="Times New Roman"/>
                <w:b/>
                <w:bCs/>
                <w:color w:val="000000"/>
                <w:lang w:val="en-US"/>
              </w:rPr>
              <w:t> </w:t>
            </w:r>
          </w:p>
        </w:tc>
        <w:tc>
          <w:tcPr>
            <w:tcW w:w="2061" w:type="dxa"/>
            <w:shd w:val="clear" w:color="auto" w:fill="auto"/>
            <w:vAlign w:val="bottom"/>
            <w:hideMark/>
          </w:tcPr>
          <w:p w14:paraId="2DC48B9D" w14:textId="77777777" w:rsidR="00A30575" w:rsidRPr="00BF6FB0" w:rsidRDefault="00B53E2B" w:rsidP="00A30575">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households (in thousands</w:t>
            </w:r>
            <w:r w:rsidR="00A30575" w:rsidRPr="00BF6FB0">
              <w:rPr>
                <w:rFonts w:ascii="Calibri" w:eastAsia="Times New Roman" w:hAnsi="Calibri" w:cs="Times New Roman"/>
                <w:b/>
                <w:bCs/>
                <w:color w:val="000000"/>
                <w:sz w:val="20"/>
                <w:szCs w:val="20"/>
                <w:lang w:val="en-US"/>
              </w:rPr>
              <w:t>)</w:t>
            </w:r>
          </w:p>
        </w:tc>
        <w:tc>
          <w:tcPr>
            <w:tcW w:w="199" w:type="dxa"/>
            <w:shd w:val="clear" w:color="auto" w:fill="auto"/>
            <w:noWrap/>
            <w:vAlign w:val="center"/>
            <w:hideMark/>
          </w:tcPr>
          <w:p w14:paraId="682CDAC7" w14:textId="77777777" w:rsidR="00A30575" w:rsidRPr="00BF6FB0" w:rsidRDefault="00A30575" w:rsidP="00A30575">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B53E2B" w:rsidRPr="00BF6FB0" w14:paraId="1265F1BF" w14:textId="77777777" w:rsidTr="00B53E2B">
        <w:trPr>
          <w:trHeight w:val="18"/>
        </w:trPr>
        <w:tc>
          <w:tcPr>
            <w:tcW w:w="2832" w:type="dxa"/>
            <w:shd w:val="clear" w:color="auto" w:fill="auto"/>
            <w:vAlign w:val="bottom"/>
            <w:hideMark/>
          </w:tcPr>
          <w:p w14:paraId="5FC4932F" w14:textId="77777777" w:rsidR="00B53E2B" w:rsidRPr="00BF6FB0" w:rsidRDefault="00B53E2B" w:rsidP="00B53E2B">
            <w:pPr>
              <w:spacing w:after="0"/>
              <w:rPr>
                <w:rFonts w:ascii="Calibri" w:hAnsi="Calibri"/>
                <w:sz w:val="20"/>
                <w:szCs w:val="20"/>
                <w:lang w:val="en-US"/>
              </w:rPr>
            </w:pPr>
            <w:r w:rsidRPr="00BF6FB0">
              <w:rPr>
                <w:sz w:val="20"/>
                <w:szCs w:val="20"/>
                <w:lang w:val="en-US"/>
              </w:rPr>
              <w:t xml:space="preserve">Never married </w:t>
            </w:r>
          </w:p>
        </w:tc>
        <w:tc>
          <w:tcPr>
            <w:tcW w:w="2061" w:type="dxa"/>
            <w:shd w:val="clear" w:color="auto" w:fill="auto"/>
            <w:noWrap/>
            <w:vAlign w:val="bottom"/>
            <w:hideMark/>
          </w:tcPr>
          <w:p w14:paraId="134F4D31"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725</w:t>
            </w:r>
          </w:p>
        </w:tc>
        <w:tc>
          <w:tcPr>
            <w:tcW w:w="199" w:type="dxa"/>
            <w:shd w:val="clear" w:color="auto" w:fill="auto"/>
            <w:noWrap/>
            <w:vAlign w:val="bottom"/>
            <w:hideMark/>
          </w:tcPr>
          <w:p w14:paraId="6450FF7B"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18,3</w:t>
            </w:r>
          </w:p>
        </w:tc>
      </w:tr>
      <w:tr w:rsidR="00B53E2B" w:rsidRPr="00BF6FB0" w14:paraId="113254BA" w14:textId="77777777" w:rsidTr="00B53E2B">
        <w:trPr>
          <w:trHeight w:val="18"/>
        </w:trPr>
        <w:tc>
          <w:tcPr>
            <w:tcW w:w="2832" w:type="dxa"/>
            <w:shd w:val="clear" w:color="auto" w:fill="auto"/>
            <w:noWrap/>
            <w:vAlign w:val="bottom"/>
            <w:hideMark/>
          </w:tcPr>
          <w:p w14:paraId="6BF7DA9D" w14:textId="77777777" w:rsidR="00B53E2B" w:rsidRPr="00BF6FB0" w:rsidRDefault="00B53E2B" w:rsidP="00B53E2B">
            <w:pPr>
              <w:spacing w:after="0"/>
              <w:rPr>
                <w:rFonts w:ascii="Calibri" w:hAnsi="Calibri"/>
                <w:sz w:val="20"/>
                <w:szCs w:val="20"/>
                <w:lang w:val="en-US"/>
              </w:rPr>
            </w:pPr>
            <w:r w:rsidRPr="00BF6FB0">
              <w:rPr>
                <w:sz w:val="20"/>
                <w:szCs w:val="20"/>
                <w:lang w:val="en-US"/>
              </w:rPr>
              <w:t>Married</w:t>
            </w:r>
          </w:p>
        </w:tc>
        <w:tc>
          <w:tcPr>
            <w:tcW w:w="2061" w:type="dxa"/>
            <w:shd w:val="clear" w:color="auto" w:fill="auto"/>
            <w:noWrap/>
            <w:vAlign w:val="bottom"/>
            <w:hideMark/>
          </w:tcPr>
          <w:p w14:paraId="1E8ABC03"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379</w:t>
            </w:r>
          </w:p>
        </w:tc>
        <w:tc>
          <w:tcPr>
            <w:tcW w:w="199" w:type="dxa"/>
            <w:shd w:val="clear" w:color="auto" w:fill="auto"/>
            <w:noWrap/>
            <w:vAlign w:val="bottom"/>
            <w:hideMark/>
          </w:tcPr>
          <w:p w14:paraId="4B5B860C"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9,6</w:t>
            </w:r>
          </w:p>
        </w:tc>
      </w:tr>
      <w:tr w:rsidR="00B53E2B" w:rsidRPr="00BF6FB0" w14:paraId="009174EC" w14:textId="77777777" w:rsidTr="00B53E2B">
        <w:trPr>
          <w:trHeight w:val="18"/>
        </w:trPr>
        <w:tc>
          <w:tcPr>
            <w:tcW w:w="2832" w:type="dxa"/>
            <w:shd w:val="clear" w:color="auto" w:fill="auto"/>
            <w:noWrap/>
            <w:vAlign w:val="bottom"/>
            <w:hideMark/>
          </w:tcPr>
          <w:p w14:paraId="52E9194B" w14:textId="77777777" w:rsidR="00B53E2B" w:rsidRPr="00BF6FB0" w:rsidRDefault="00B53E2B" w:rsidP="00B53E2B">
            <w:pPr>
              <w:spacing w:after="0"/>
              <w:rPr>
                <w:rFonts w:ascii="Calibri" w:hAnsi="Calibri"/>
                <w:sz w:val="20"/>
                <w:szCs w:val="20"/>
                <w:lang w:val="en-US"/>
              </w:rPr>
            </w:pPr>
            <w:r w:rsidRPr="00BF6FB0">
              <w:rPr>
                <w:sz w:val="20"/>
                <w:szCs w:val="20"/>
                <w:lang w:val="en-US"/>
              </w:rPr>
              <w:t>Widowed</w:t>
            </w:r>
          </w:p>
        </w:tc>
        <w:tc>
          <w:tcPr>
            <w:tcW w:w="2061" w:type="dxa"/>
            <w:shd w:val="clear" w:color="auto" w:fill="auto"/>
            <w:noWrap/>
            <w:vAlign w:val="bottom"/>
            <w:hideMark/>
          </w:tcPr>
          <w:p w14:paraId="537C3527"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2244</w:t>
            </w:r>
          </w:p>
        </w:tc>
        <w:tc>
          <w:tcPr>
            <w:tcW w:w="199" w:type="dxa"/>
            <w:shd w:val="clear" w:color="auto" w:fill="auto"/>
            <w:noWrap/>
            <w:vAlign w:val="bottom"/>
            <w:hideMark/>
          </w:tcPr>
          <w:p w14:paraId="5F0FEA0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56,5</w:t>
            </w:r>
          </w:p>
        </w:tc>
      </w:tr>
      <w:tr w:rsidR="00B53E2B" w:rsidRPr="00BF6FB0" w14:paraId="54B9D54C" w14:textId="77777777" w:rsidTr="00B53E2B">
        <w:trPr>
          <w:trHeight w:val="18"/>
        </w:trPr>
        <w:tc>
          <w:tcPr>
            <w:tcW w:w="2832" w:type="dxa"/>
            <w:shd w:val="clear" w:color="auto" w:fill="auto"/>
            <w:noWrap/>
            <w:vAlign w:val="bottom"/>
            <w:hideMark/>
          </w:tcPr>
          <w:p w14:paraId="673F3090" w14:textId="77777777" w:rsidR="00B53E2B" w:rsidRPr="00BF6FB0" w:rsidRDefault="00B53E2B" w:rsidP="00B53E2B">
            <w:pPr>
              <w:spacing w:after="0"/>
              <w:rPr>
                <w:rFonts w:ascii="Calibri" w:hAnsi="Calibri"/>
                <w:sz w:val="20"/>
                <w:szCs w:val="20"/>
                <w:lang w:val="en-US"/>
              </w:rPr>
            </w:pPr>
            <w:r w:rsidRPr="00BF6FB0">
              <w:rPr>
                <w:sz w:val="20"/>
                <w:szCs w:val="20"/>
                <w:lang w:val="en-US"/>
              </w:rPr>
              <w:t>Divorced</w:t>
            </w:r>
          </w:p>
        </w:tc>
        <w:tc>
          <w:tcPr>
            <w:tcW w:w="2061" w:type="dxa"/>
            <w:shd w:val="clear" w:color="auto" w:fill="auto"/>
            <w:noWrap/>
            <w:vAlign w:val="bottom"/>
            <w:hideMark/>
          </w:tcPr>
          <w:p w14:paraId="7E36F24E"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519</w:t>
            </w:r>
          </w:p>
        </w:tc>
        <w:tc>
          <w:tcPr>
            <w:tcW w:w="199" w:type="dxa"/>
            <w:shd w:val="clear" w:color="auto" w:fill="auto"/>
            <w:noWrap/>
            <w:vAlign w:val="bottom"/>
            <w:hideMark/>
          </w:tcPr>
          <w:p w14:paraId="1CFA9885"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13,1</w:t>
            </w:r>
          </w:p>
        </w:tc>
      </w:tr>
      <w:tr w:rsidR="00B53E2B" w:rsidRPr="00BF6FB0" w14:paraId="2BE03029" w14:textId="77777777" w:rsidTr="00B53E2B">
        <w:trPr>
          <w:trHeight w:val="18"/>
        </w:trPr>
        <w:tc>
          <w:tcPr>
            <w:tcW w:w="2832" w:type="dxa"/>
            <w:shd w:val="clear" w:color="auto" w:fill="auto"/>
            <w:vAlign w:val="bottom"/>
            <w:hideMark/>
          </w:tcPr>
          <w:p w14:paraId="78389A2D" w14:textId="77777777" w:rsidR="00B53E2B" w:rsidRPr="00BF6FB0" w:rsidRDefault="00B53E2B" w:rsidP="00B53E2B">
            <w:pPr>
              <w:spacing w:after="0"/>
              <w:rPr>
                <w:rFonts w:ascii="Calibri" w:hAnsi="Calibri"/>
                <w:sz w:val="20"/>
                <w:szCs w:val="20"/>
                <w:lang w:val="en-US"/>
              </w:rPr>
            </w:pPr>
            <w:r w:rsidRPr="00BF6FB0">
              <w:rPr>
                <w:sz w:val="20"/>
                <w:szCs w:val="20"/>
                <w:lang w:val="en-US"/>
              </w:rPr>
              <w:t xml:space="preserve">Living apart </w:t>
            </w:r>
          </w:p>
        </w:tc>
        <w:tc>
          <w:tcPr>
            <w:tcW w:w="2061" w:type="dxa"/>
            <w:shd w:val="clear" w:color="auto" w:fill="auto"/>
            <w:noWrap/>
            <w:vAlign w:val="bottom"/>
            <w:hideMark/>
          </w:tcPr>
          <w:p w14:paraId="2E7F9AD2"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101</w:t>
            </w:r>
          </w:p>
        </w:tc>
        <w:tc>
          <w:tcPr>
            <w:tcW w:w="199" w:type="dxa"/>
            <w:shd w:val="clear" w:color="auto" w:fill="auto"/>
            <w:noWrap/>
            <w:vAlign w:val="bottom"/>
            <w:hideMark/>
          </w:tcPr>
          <w:p w14:paraId="70634879"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2,5</w:t>
            </w:r>
          </w:p>
        </w:tc>
      </w:tr>
      <w:tr w:rsidR="00B53E2B" w:rsidRPr="00BF6FB0" w14:paraId="65E36C21" w14:textId="77777777" w:rsidTr="00B53E2B">
        <w:trPr>
          <w:trHeight w:val="18"/>
        </w:trPr>
        <w:tc>
          <w:tcPr>
            <w:tcW w:w="2832" w:type="dxa"/>
            <w:shd w:val="clear" w:color="auto" w:fill="auto"/>
            <w:noWrap/>
            <w:vAlign w:val="bottom"/>
            <w:hideMark/>
          </w:tcPr>
          <w:p w14:paraId="52A46571" w14:textId="77777777" w:rsidR="00B53E2B" w:rsidRPr="00BF6FB0" w:rsidRDefault="00B53E2B" w:rsidP="00B53E2B">
            <w:pPr>
              <w:spacing w:after="0"/>
              <w:rPr>
                <w:rFonts w:ascii="Calibri" w:hAnsi="Calibri"/>
                <w:b/>
                <w:sz w:val="20"/>
                <w:szCs w:val="20"/>
                <w:lang w:val="en-US"/>
              </w:rPr>
            </w:pPr>
            <w:r w:rsidRPr="00BF6FB0">
              <w:rPr>
                <w:b/>
                <w:sz w:val="20"/>
                <w:szCs w:val="20"/>
                <w:lang w:val="en-US"/>
              </w:rPr>
              <w:t>Total number of female heads</w:t>
            </w:r>
          </w:p>
        </w:tc>
        <w:tc>
          <w:tcPr>
            <w:tcW w:w="2061" w:type="dxa"/>
            <w:shd w:val="clear" w:color="auto" w:fill="auto"/>
            <w:noWrap/>
            <w:vAlign w:val="bottom"/>
            <w:hideMark/>
          </w:tcPr>
          <w:p w14:paraId="07D48402"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3968</w:t>
            </w:r>
          </w:p>
        </w:tc>
        <w:tc>
          <w:tcPr>
            <w:tcW w:w="199" w:type="dxa"/>
            <w:shd w:val="clear" w:color="auto" w:fill="auto"/>
            <w:noWrap/>
            <w:vAlign w:val="bottom"/>
            <w:hideMark/>
          </w:tcPr>
          <w:p w14:paraId="7ED9000A"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r>
    </w:tbl>
    <w:p w14:paraId="60B8086D" w14:textId="77777777" w:rsidR="00A739E6" w:rsidRPr="00BF6FB0" w:rsidRDefault="00A739E6" w:rsidP="00A739E6">
      <w:pPr>
        <w:pStyle w:val="Caption"/>
        <w:rPr>
          <w:b w:val="0"/>
          <w:color w:val="auto"/>
          <w:lang w:val="en-US"/>
        </w:rPr>
      </w:pPr>
      <w:r w:rsidRPr="00BF6FB0">
        <w:rPr>
          <w:b w:val="0"/>
          <w:color w:val="auto"/>
          <w:lang w:val="en-US"/>
        </w:rPr>
        <w:t xml:space="preserve">Source: 2015 TurkStat Income and Living Conditions Survey; Betam </w:t>
      </w:r>
    </w:p>
    <w:p w14:paraId="0F2820A8" w14:textId="77777777" w:rsidR="00DC2977" w:rsidRPr="00BF6FB0" w:rsidRDefault="00DC2977" w:rsidP="00DC2977">
      <w:pPr>
        <w:rPr>
          <w:b/>
          <w:sz w:val="24"/>
          <w:szCs w:val="24"/>
          <w:lang w:val="en-US"/>
        </w:rPr>
      </w:pPr>
      <w:r w:rsidRPr="00BF6FB0">
        <w:rPr>
          <w:b/>
          <w:sz w:val="24"/>
          <w:szCs w:val="24"/>
          <w:lang w:val="en-US"/>
        </w:rPr>
        <w:t xml:space="preserve">Majority of female household heads have lower education levels </w:t>
      </w:r>
    </w:p>
    <w:p w14:paraId="11798575" w14:textId="66FE8226" w:rsidR="00786E0F" w:rsidRPr="00BF6FB0" w:rsidRDefault="00786E0F" w:rsidP="00786E0F">
      <w:pPr>
        <w:jc w:val="both"/>
        <w:rPr>
          <w:lang w:val="en-US"/>
        </w:rPr>
      </w:pPr>
      <w:r w:rsidRPr="00BF6FB0">
        <w:rPr>
          <w:lang w:val="en-US"/>
        </w:rPr>
        <w:t>Table 3 shows the educational status of male and female household heads. 13 percent of female household heads and only 2.2 percent of male heads are illiterate. Although illiteracy is more common among female household heads, the numbers of illiterate male and female household heads are almost the same. There are 321 thousand female and 343 thousand male household heads who are illiterate. Mirroring the educational distribution in Turkey, we observe that the majority of household heads have less than a high school degree.</w:t>
      </w:r>
      <w:r w:rsidRPr="00BF6FB0">
        <w:rPr>
          <w:color w:val="FF0000"/>
          <w:lang w:val="en-US"/>
        </w:rPr>
        <w:t xml:space="preserve"> </w:t>
      </w:r>
      <w:r w:rsidRPr="00BF6FB0">
        <w:rPr>
          <w:color w:val="000000" w:themeColor="text1"/>
          <w:lang w:val="en-US"/>
        </w:rPr>
        <w:t xml:space="preserve">When we investigate household heads below the age of 65, </w:t>
      </w:r>
      <w:r w:rsidRPr="00BF6FB0">
        <w:rPr>
          <w:lang w:val="en-US"/>
        </w:rPr>
        <w:t xml:space="preserve">53.1 percent of female households and 59.3 percent of </w:t>
      </w:r>
      <w:r w:rsidRPr="00BF6FB0">
        <w:rPr>
          <w:lang w:val="en-US"/>
        </w:rPr>
        <w:lastRenderedPageBreak/>
        <w:t>male households attained at most primary education. On the other hand, 33.9 percent of female household heads and 38.5 percent of male household heads are at least high school graduates. As can be seen, the frequency of being at least high school graduate does not differ between male and female household heads. Besides, 20.1 percent of female heads and 18.6 percent of male heads are higher education gradu</w:t>
      </w:r>
      <w:r w:rsidR="00586B0E">
        <w:rPr>
          <w:lang w:val="en-US"/>
        </w:rPr>
        <w:t>a</w:t>
      </w:r>
      <w:r w:rsidRPr="00BF6FB0">
        <w:rPr>
          <w:lang w:val="en-US"/>
        </w:rPr>
        <w:t xml:space="preserve">tes. Even though these </w:t>
      </w:r>
      <w:r w:rsidR="00586B0E">
        <w:rPr>
          <w:lang w:val="en-US"/>
        </w:rPr>
        <w:t xml:space="preserve">shares </w:t>
      </w:r>
      <w:r w:rsidRPr="00BF6FB0">
        <w:rPr>
          <w:lang w:val="en-US"/>
        </w:rPr>
        <w:t>are close</w:t>
      </w:r>
      <w:r w:rsidR="00586B0E">
        <w:rPr>
          <w:lang w:val="en-US"/>
        </w:rPr>
        <w:t>r</w:t>
      </w:r>
      <w:r w:rsidRPr="00BF6FB0">
        <w:rPr>
          <w:lang w:val="en-US"/>
        </w:rPr>
        <w:t xml:space="preserve"> to each other, it is striking that the ratio of female head </w:t>
      </w:r>
      <w:r w:rsidR="00586B0E">
        <w:rPr>
          <w:lang w:val="en-US"/>
        </w:rPr>
        <w:t xml:space="preserve">who </w:t>
      </w:r>
      <w:r w:rsidRPr="00BF6FB0">
        <w:rPr>
          <w:lang w:val="en-US"/>
        </w:rPr>
        <w:t xml:space="preserve">graduated from </w:t>
      </w:r>
      <w:r w:rsidR="00586B0E">
        <w:rPr>
          <w:lang w:val="en-US"/>
        </w:rPr>
        <w:t xml:space="preserve">a </w:t>
      </w:r>
      <w:r w:rsidRPr="00BF6FB0">
        <w:rPr>
          <w:lang w:val="en-US"/>
        </w:rPr>
        <w:t xml:space="preserve">university is higher than male heads. </w:t>
      </w:r>
    </w:p>
    <w:p w14:paraId="7E01845C" w14:textId="65EE7325" w:rsidR="001A7567" w:rsidRPr="00BF6FB0" w:rsidRDefault="00786E0F" w:rsidP="00786E0F">
      <w:pPr>
        <w:jc w:val="both"/>
        <w:rPr>
          <w:lang w:val="en-US"/>
        </w:rPr>
      </w:pPr>
      <w:r w:rsidRPr="00BF6FB0">
        <w:rPr>
          <w:lang w:val="en-US"/>
        </w:rPr>
        <w:t>The educational status distribution of</w:t>
      </w:r>
      <w:r w:rsidR="00847509">
        <w:rPr>
          <w:lang w:val="en-US"/>
        </w:rPr>
        <w:t xml:space="preserve"> older (age 65 or older) </w:t>
      </w:r>
      <w:r w:rsidRPr="00BF6FB0">
        <w:rPr>
          <w:lang w:val="en-US"/>
        </w:rPr>
        <w:t xml:space="preserve">household heads paints a bleak picture for females. 55.2 percent of older female household heads are illiterate whereas this ratio is 13.5 percent for male household heads. This fact certainly is a reflection of low education levels of previous generations. </w:t>
      </w:r>
    </w:p>
    <w:p w14:paraId="1B3FB9BB" w14:textId="77777777" w:rsidR="00AA35CC" w:rsidRPr="00BF6FB0" w:rsidRDefault="00A739E6" w:rsidP="00AA35CC">
      <w:pPr>
        <w:pStyle w:val="Caption"/>
        <w:keepNext/>
        <w:rPr>
          <w:color w:val="auto"/>
          <w:sz w:val="22"/>
          <w:szCs w:val="22"/>
          <w:lang w:val="en-US"/>
        </w:rPr>
      </w:pPr>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3</w:t>
      </w:r>
      <w:r w:rsidRPr="00BF6FB0">
        <w:rPr>
          <w:color w:val="auto"/>
          <w:sz w:val="22"/>
          <w:szCs w:val="22"/>
          <w:lang w:val="en-US"/>
        </w:rPr>
        <w:fldChar w:fldCharType="end"/>
      </w:r>
      <w:r w:rsidRPr="00BF6FB0">
        <w:rPr>
          <w:color w:val="auto"/>
          <w:sz w:val="22"/>
          <w:szCs w:val="22"/>
          <w:lang w:val="en-US"/>
        </w:rPr>
        <w:t>: Household heads by educational status (2015)</w:t>
      </w:r>
    </w:p>
    <w:tbl>
      <w:tblPr>
        <w:tblW w:w="9320" w:type="dxa"/>
        <w:tblInd w:w="59" w:type="dxa"/>
        <w:tblCellMar>
          <w:left w:w="70" w:type="dxa"/>
          <w:right w:w="70" w:type="dxa"/>
        </w:tblCellMar>
        <w:tblLook w:val="04A0" w:firstRow="1" w:lastRow="0" w:firstColumn="1" w:lastColumn="0" w:noHBand="0" w:noVBand="1"/>
      </w:tblPr>
      <w:tblGrid>
        <w:gridCol w:w="3721"/>
        <w:gridCol w:w="1512"/>
        <w:gridCol w:w="1500"/>
        <w:gridCol w:w="1301"/>
        <w:gridCol w:w="1286"/>
      </w:tblGrid>
      <w:tr w:rsidR="00AA35CC" w:rsidRPr="00BF6FB0" w14:paraId="7DF4ED0D" w14:textId="77777777" w:rsidTr="001A7567">
        <w:trPr>
          <w:trHeight w:val="15"/>
        </w:trPr>
        <w:tc>
          <w:tcPr>
            <w:tcW w:w="932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76C4FB98" w14:textId="77777777" w:rsidR="00AA35CC" w:rsidRPr="00BF6FB0" w:rsidRDefault="00B53E2B" w:rsidP="00AA35C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Female household heads</w:t>
            </w:r>
          </w:p>
        </w:tc>
      </w:tr>
      <w:tr w:rsidR="00AA35CC" w:rsidRPr="00BF6FB0" w14:paraId="604CD20A" w14:textId="77777777" w:rsidTr="001A7567">
        <w:trPr>
          <w:trHeight w:val="15"/>
        </w:trPr>
        <w:tc>
          <w:tcPr>
            <w:tcW w:w="3721" w:type="dxa"/>
            <w:vMerge w:val="restart"/>
            <w:tcBorders>
              <w:top w:val="nil"/>
              <w:left w:val="single" w:sz="8" w:space="0" w:color="auto"/>
              <w:bottom w:val="single" w:sz="8" w:space="0" w:color="000000"/>
              <w:right w:val="single" w:sz="8" w:space="0" w:color="auto"/>
            </w:tcBorders>
            <w:shd w:val="clear" w:color="auto" w:fill="auto"/>
            <w:vAlign w:val="bottom"/>
            <w:hideMark/>
          </w:tcPr>
          <w:p w14:paraId="38370F39" w14:textId="77777777" w:rsidR="00AA35CC" w:rsidRPr="00BF6FB0" w:rsidRDefault="00AA35CC" w:rsidP="00AA35C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w:t>
            </w:r>
          </w:p>
        </w:tc>
        <w:tc>
          <w:tcPr>
            <w:tcW w:w="3012" w:type="dxa"/>
            <w:gridSpan w:val="2"/>
            <w:tcBorders>
              <w:top w:val="single" w:sz="8" w:space="0" w:color="auto"/>
              <w:left w:val="nil"/>
              <w:bottom w:val="single" w:sz="8" w:space="0" w:color="auto"/>
              <w:right w:val="single" w:sz="8" w:space="0" w:color="000000"/>
            </w:tcBorders>
            <w:shd w:val="clear" w:color="auto" w:fill="auto"/>
            <w:vAlign w:val="bottom"/>
            <w:hideMark/>
          </w:tcPr>
          <w:p w14:paraId="334FCF28" w14:textId="77777777" w:rsidR="00AA35CC" w:rsidRPr="00BF6FB0" w:rsidRDefault="00B53E2B" w:rsidP="00AA35C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Less than 65</w:t>
            </w:r>
          </w:p>
        </w:tc>
        <w:tc>
          <w:tcPr>
            <w:tcW w:w="2587" w:type="dxa"/>
            <w:gridSpan w:val="2"/>
            <w:tcBorders>
              <w:top w:val="single" w:sz="8" w:space="0" w:color="auto"/>
              <w:left w:val="nil"/>
              <w:bottom w:val="single" w:sz="8" w:space="0" w:color="auto"/>
              <w:right w:val="single" w:sz="8" w:space="0" w:color="000000"/>
            </w:tcBorders>
            <w:shd w:val="clear" w:color="auto" w:fill="auto"/>
            <w:vAlign w:val="bottom"/>
            <w:hideMark/>
          </w:tcPr>
          <w:p w14:paraId="17CAF605" w14:textId="77777777" w:rsidR="00AA35CC" w:rsidRPr="00BF6FB0" w:rsidRDefault="00346C2D" w:rsidP="00AA35C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color w:val="000000"/>
                <w:sz w:val="20"/>
                <w:szCs w:val="20"/>
                <w:lang w:val="en-US"/>
              </w:rPr>
              <w:t>65 years and older</w:t>
            </w:r>
          </w:p>
        </w:tc>
      </w:tr>
      <w:tr w:rsidR="00B53E2B" w:rsidRPr="00BF6FB0" w14:paraId="4F733A51" w14:textId="77777777" w:rsidTr="001A7567">
        <w:trPr>
          <w:trHeight w:val="15"/>
        </w:trPr>
        <w:tc>
          <w:tcPr>
            <w:tcW w:w="3721" w:type="dxa"/>
            <w:vMerge/>
            <w:tcBorders>
              <w:top w:val="nil"/>
              <w:left w:val="single" w:sz="8" w:space="0" w:color="auto"/>
              <w:bottom w:val="single" w:sz="8" w:space="0" w:color="000000"/>
              <w:right w:val="single" w:sz="8" w:space="0" w:color="auto"/>
            </w:tcBorders>
            <w:vAlign w:val="center"/>
            <w:hideMark/>
          </w:tcPr>
          <w:p w14:paraId="7E22BA9F" w14:textId="77777777" w:rsidR="00B53E2B" w:rsidRPr="00BF6FB0" w:rsidRDefault="00B53E2B" w:rsidP="00B53E2B">
            <w:pPr>
              <w:spacing w:after="0" w:line="240" w:lineRule="auto"/>
              <w:rPr>
                <w:rFonts w:ascii="Calibri" w:eastAsia="Times New Roman" w:hAnsi="Calibri" w:cs="Times New Roman"/>
                <w:b/>
                <w:bCs/>
                <w:color w:val="000000"/>
                <w:sz w:val="20"/>
                <w:szCs w:val="20"/>
                <w:lang w:val="en-US"/>
              </w:rPr>
            </w:pPr>
          </w:p>
        </w:tc>
        <w:tc>
          <w:tcPr>
            <w:tcW w:w="1512" w:type="dxa"/>
            <w:tcBorders>
              <w:top w:val="nil"/>
              <w:left w:val="nil"/>
              <w:bottom w:val="single" w:sz="8" w:space="0" w:color="auto"/>
              <w:right w:val="single" w:sz="8" w:space="0" w:color="auto"/>
            </w:tcBorders>
            <w:shd w:val="clear" w:color="auto" w:fill="auto"/>
            <w:vAlign w:val="bottom"/>
            <w:hideMark/>
          </w:tcPr>
          <w:p w14:paraId="155E62AC"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499" w:type="dxa"/>
            <w:tcBorders>
              <w:top w:val="nil"/>
              <w:left w:val="nil"/>
              <w:bottom w:val="single" w:sz="8" w:space="0" w:color="auto"/>
              <w:right w:val="single" w:sz="8" w:space="0" w:color="auto"/>
            </w:tcBorders>
            <w:shd w:val="clear" w:color="auto" w:fill="auto"/>
            <w:vAlign w:val="bottom"/>
            <w:hideMark/>
          </w:tcPr>
          <w:p w14:paraId="60FC0C2A"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c>
          <w:tcPr>
            <w:tcW w:w="1301" w:type="dxa"/>
            <w:tcBorders>
              <w:top w:val="nil"/>
              <w:left w:val="nil"/>
              <w:bottom w:val="single" w:sz="8" w:space="0" w:color="auto"/>
              <w:right w:val="single" w:sz="8" w:space="0" w:color="auto"/>
            </w:tcBorders>
            <w:shd w:val="clear" w:color="auto" w:fill="auto"/>
            <w:vAlign w:val="bottom"/>
            <w:hideMark/>
          </w:tcPr>
          <w:p w14:paraId="406BA37D"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285" w:type="dxa"/>
            <w:tcBorders>
              <w:top w:val="nil"/>
              <w:left w:val="nil"/>
              <w:bottom w:val="single" w:sz="8" w:space="0" w:color="auto"/>
              <w:right w:val="single" w:sz="8" w:space="0" w:color="auto"/>
            </w:tcBorders>
            <w:shd w:val="clear" w:color="auto" w:fill="auto"/>
            <w:vAlign w:val="bottom"/>
            <w:hideMark/>
          </w:tcPr>
          <w:p w14:paraId="7C6BD264"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B53E2B" w:rsidRPr="00BF6FB0" w14:paraId="3DD5126D"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12911629"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Illiterate </w:t>
            </w:r>
          </w:p>
        </w:tc>
        <w:tc>
          <w:tcPr>
            <w:tcW w:w="1512" w:type="dxa"/>
            <w:tcBorders>
              <w:top w:val="nil"/>
              <w:left w:val="nil"/>
              <w:bottom w:val="single" w:sz="8" w:space="0" w:color="auto"/>
              <w:right w:val="single" w:sz="8" w:space="0" w:color="auto"/>
            </w:tcBorders>
            <w:shd w:val="clear" w:color="auto" w:fill="auto"/>
            <w:noWrap/>
            <w:vAlign w:val="bottom"/>
            <w:hideMark/>
          </w:tcPr>
          <w:p w14:paraId="630BE97A"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321</w:t>
            </w:r>
          </w:p>
        </w:tc>
        <w:tc>
          <w:tcPr>
            <w:tcW w:w="1499" w:type="dxa"/>
            <w:tcBorders>
              <w:top w:val="nil"/>
              <w:left w:val="nil"/>
              <w:bottom w:val="single" w:sz="8" w:space="0" w:color="auto"/>
              <w:right w:val="single" w:sz="8" w:space="0" w:color="auto"/>
            </w:tcBorders>
            <w:shd w:val="clear" w:color="auto" w:fill="auto"/>
            <w:vAlign w:val="bottom"/>
            <w:hideMark/>
          </w:tcPr>
          <w:p w14:paraId="5B08CB3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13,0</w:t>
            </w:r>
          </w:p>
        </w:tc>
        <w:tc>
          <w:tcPr>
            <w:tcW w:w="1301" w:type="dxa"/>
            <w:tcBorders>
              <w:top w:val="nil"/>
              <w:left w:val="nil"/>
              <w:bottom w:val="single" w:sz="8" w:space="0" w:color="auto"/>
              <w:right w:val="single" w:sz="8" w:space="0" w:color="auto"/>
            </w:tcBorders>
            <w:shd w:val="clear" w:color="auto" w:fill="auto"/>
            <w:noWrap/>
            <w:vAlign w:val="bottom"/>
            <w:hideMark/>
          </w:tcPr>
          <w:p w14:paraId="7B687A9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825</w:t>
            </w:r>
          </w:p>
        </w:tc>
        <w:tc>
          <w:tcPr>
            <w:tcW w:w="1285" w:type="dxa"/>
            <w:tcBorders>
              <w:top w:val="nil"/>
              <w:left w:val="nil"/>
              <w:bottom w:val="single" w:sz="8" w:space="0" w:color="auto"/>
              <w:right w:val="single" w:sz="8" w:space="0" w:color="auto"/>
            </w:tcBorders>
            <w:shd w:val="clear" w:color="auto" w:fill="auto"/>
            <w:vAlign w:val="bottom"/>
            <w:hideMark/>
          </w:tcPr>
          <w:p w14:paraId="72338729"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55,2</w:t>
            </w:r>
          </w:p>
        </w:tc>
      </w:tr>
      <w:tr w:rsidR="00B53E2B" w:rsidRPr="00BF6FB0" w14:paraId="3A03106E"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3230B40B"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Less than high school</w:t>
            </w:r>
          </w:p>
        </w:tc>
        <w:tc>
          <w:tcPr>
            <w:tcW w:w="1512" w:type="dxa"/>
            <w:tcBorders>
              <w:top w:val="nil"/>
              <w:left w:val="nil"/>
              <w:bottom w:val="single" w:sz="8" w:space="0" w:color="auto"/>
              <w:right w:val="single" w:sz="8" w:space="0" w:color="auto"/>
            </w:tcBorders>
            <w:shd w:val="clear" w:color="auto" w:fill="auto"/>
            <w:noWrap/>
            <w:vAlign w:val="bottom"/>
            <w:hideMark/>
          </w:tcPr>
          <w:p w14:paraId="1177D8AD"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1314</w:t>
            </w:r>
          </w:p>
        </w:tc>
        <w:tc>
          <w:tcPr>
            <w:tcW w:w="1499" w:type="dxa"/>
            <w:tcBorders>
              <w:top w:val="nil"/>
              <w:left w:val="nil"/>
              <w:bottom w:val="single" w:sz="8" w:space="0" w:color="auto"/>
              <w:right w:val="single" w:sz="8" w:space="0" w:color="auto"/>
            </w:tcBorders>
            <w:shd w:val="clear" w:color="auto" w:fill="auto"/>
            <w:vAlign w:val="bottom"/>
            <w:hideMark/>
          </w:tcPr>
          <w:p w14:paraId="3DC00DAF"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53,1</w:t>
            </w:r>
          </w:p>
        </w:tc>
        <w:tc>
          <w:tcPr>
            <w:tcW w:w="1301" w:type="dxa"/>
            <w:tcBorders>
              <w:top w:val="nil"/>
              <w:left w:val="nil"/>
              <w:bottom w:val="single" w:sz="8" w:space="0" w:color="auto"/>
              <w:right w:val="single" w:sz="8" w:space="0" w:color="auto"/>
            </w:tcBorders>
            <w:shd w:val="clear" w:color="auto" w:fill="auto"/>
            <w:noWrap/>
            <w:vAlign w:val="bottom"/>
            <w:hideMark/>
          </w:tcPr>
          <w:p w14:paraId="0BD9CC31"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598</w:t>
            </w:r>
          </w:p>
        </w:tc>
        <w:tc>
          <w:tcPr>
            <w:tcW w:w="1285" w:type="dxa"/>
            <w:tcBorders>
              <w:top w:val="nil"/>
              <w:left w:val="nil"/>
              <w:bottom w:val="single" w:sz="8" w:space="0" w:color="auto"/>
              <w:right w:val="single" w:sz="8" w:space="0" w:color="auto"/>
            </w:tcBorders>
            <w:shd w:val="clear" w:color="auto" w:fill="auto"/>
            <w:vAlign w:val="bottom"/>
            <w:hideMark/>
          </w:tcPr>
          <w:p w14:paraId="3D7B3091"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40,1</w:t>
            </w:r>
          </w:p>
        </w:tc>
      </w:tr>
      <w:tr w:rsidR="00B53E2B" w:rsidRPr="00BF6FB0" w14:paraId="444111B2"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229A1910"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High school </w:t>
            </w:r>
          </w:p>
        </w:tc>
        <w:tc>
          <w:tcPr>
            <w:tcW w:w="1512" w:type="dxa"/>
            <w:tcBorders>
              <w:top w:val="nil"/>
              <w:left w:val="nil"/>
              <w:bottom w:val="single" w:sz="8" w:space="0" w:color="auto"/>
              <w:right w:val="single" w:sz="8" w:space="0" w:color="auto"/>
            </w:tcBorders>
            <w:shd w:val="clear" w:color="auto" w:fill="auto"/>
            <w:noWrap/>
            <w:vAlign w:val="bottom"/>
            <w:hideMark/>
          </w:tcPr>
          <w:p w14:paraId="0CC05122"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341</w:t>
            </w:r>
          </w:p>
        </w:tc>
        <w:tc>
          <w:tcPr>
            <w:tcW w:w="1499" w:type="dxa"/>
            <w:tcBorders>
              <w:top w:val="nil"/>
              <w:left w:val="nil"/>
              <w:bottom w:val="single" w:sz="8" w:space="0" w:color="auto"/>
              <w:right w:val="single" w:sz="8" w:space="0" w:color="auto"/>
            </w:tcBorders>
            <w:shd w:val="clear" w:color="auto" w:fill="auto"/>
            <w:vAlign w:val="bottom"/>
            <w:hideMark/>
          </w:tcPr>
          <w:p w14:paraId="48F5426B"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13,8</w:t>
            </w:r>
          </w:p>
        </w:tc>
        <w:tc>
          <w:tcPr>
            <w:tcW w:w="1301" w:type="dxa"/>
            <w:tcBorders>
              <w:top w:val="nil"/>
              <w:left w:val="nil"/>
              <w:bottom w:val="single" w:sz="8" w:space="0" w:color="auto"/>
              <w:right w:val="single" w:sz="8" w:space="0" w:color="auto"/>
            </w:tcBorders>
            <w:shd w:val="clear" w:color="auto" w:fill="auto"/>
            <w:noWrap/>
            <w:vAlign w:val="bottom"/>
            <w:hideMark/>
          </w:tcPr>
          <w:p w14:paraId="0401DE23"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49</w:t>
            </w:r>
          </w:p>
        </w:tc>
        <w:tc>
          <w:tcPr>
            <w:tcW w:w="1285" w:type="dxa"/>
            <w:tcBorders>
              <w:top w:val="nil"/>
              <w:left w:val="nil"/>
              <w:bottom w:val="single" w:sz="8" w:space="0" w:color="auto"/>
              <w:right w:val="single" w:sz="8" w:space="0" w:color="auto"/>
            </w:tcBorders>
            <w:shd w:val="clear" w:color="auto" w:fill="auto"/>
            <w:vAlign w:val="bottom"/>
            <w:hideMark/>
          </w:tcPr>
          <w:p w14:paraId="56B3A155"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3,3</w:t>
            </w:r>
          </w:p>
        </w:tc>
      </w:tr>
      <w:tr w:rsidR="00B53E2B" w:rsidRPr="00BF6FB0" w14:paraId="199B310C"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0F50AF03"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Tertiary education </w:t>
            </w:r>
          </w:p>
        </w:tc>
        <w:tc>
          <w:tcPr>
            <w:tcW w:w="1512" w:type="dxa"/>
            <w:tcBorders>
              <w:top w:val="nil"/>
              <w:left w:val="nil"/>
              <w:bottom w:val="single" w:sz="8" w:space="0" w:color="auto"/>
              <w:right w:val="single" w:sz="8" w:space="0" w:color="auto"/>
            </w:tcBorders>
            <w:shd w:val="clear" w:color="auto" w:fill="auto"/>
            <w:noWrap/>
            <w:vAlign w:val="bottom"/>
            <w:hideMark/>
          </w:tcPr>
          <w:p w14:paraId="2556B54C"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497</w:t>
            </w:r>
          </w:p>
        </w:tc>
        <w:tc>
          <w:tcPr>
            <w:tcW w:w="1499" w:type="dxa"/>
            <w:tcBorders>
              <w:top w:val="nil"/>
              <w:left w:val="nil"/>
              <w:bottom w:val="single" w:sz="8" w:space="0" w:color="auto"/>
              <w:right w:val="single" w:sz="8" w:space="0" w:color="auto"/>
            </w:tcBorders>
            <w:shd w:val="clear" w:color="auto" w:fill="auto"/>
            <w:vAlign w:val="bottom"/>
            <w:hideMark/>
          </w:tcPr>
          <w:p w14:paraId="0A75E8B9"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20,1</w:t>
            </w:r>
          </w:p>
        </w:tc>
        <w:tc>
          <w:tcPr>
            <w:tcW w:w="1301" w:type="dxa"/>
            <w:tcBorders>
              <w:top w:val="nil"/>
              <w:left w:val="nil"/>
              <w:bottom w:val="single" w:sz="8" w:space="0" w:color="auto"/>
              <w:right w:val="single" w:sz="8" w:space="0" w:color="auto"/>
            </w:tcBorders>
            <w:shd w:val="clear" w:color="auto" w:fill="auto"/>
            <w:noWrap/>
            <w:vAlign w:val="bottom"/>
            <w:hideMark/>
          </w:tcPr>
          <w:p w14:paraId="686DB8F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21</w:t>
            </w:r>
          </w:p>
        </w:tc>
        <w:tc>
          <w:tcPr>
            <w:tcW w:w="1285" w:type="dxa"/>
            <w:tcBorders>
              <w:top w:val="nil"/>
              <w:left w:val="nil"/>
              <w:bottom w:val="single" w:sz="8" w:space="0" w:color="auto"/>
              <w:right w:val="single" w:sz="8" w:space="0" w:color="auto"/>
            </w:tcBorders>
            <w:shd w:val="clear" w:color="auto" w:fill="auto"/>
            <w:vAlign w:val="bottom"/>
            <w:hideMark/>
          </w:tcPr>
          <w:p w14:paraId="545D47E0"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w:t>
            </w:r>
          </w:p>
        </w:tc>
      </w:tr>
      <w:tr w:rsidR="00B53E2B" w:rsidRPr="00BF6FB0" w14:paraId="1A08F8B4" w14:textId="77777777" w:rsidTr="001A7567">
        <w:trPr>
          <w:trHeight w:val="15"/>
        </w:trPr>
        <w:tc>
          <w:tcPr>
            <w:tcW w:w="3721" w:type="dxa"/>
            <w:tcBorders>
              <w:top w:val="nil"/>
              <w:left w:val="single" w:sz="8" w:space="0" w:color="auto"/>
              <w:bottom w:val="nil"/>
              <w:right w:val="single" w:sz="8" w:space="0" w:color="auto"/>
            </w:tcBorders>
            <w:shd w:val="clear" w:color="auto" w:fill="auto"/>
            <w:hideMark/>
          </w:tcPr>
          <w:p w14:paraId="71B55693"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Total number of female household heads </w:t>
            </w:r>
          </w:p>
        </w:tc>
        <w:tc>
          <w:tcPr>
            <w:tcW w:w="1512" w:type="dxa"/>
            <w:tcBorders>
              <w:top w:val="nil"/>
              <w:left w:val="nil"/>
              <w:bottom w:val="nil"/>
              <w:right w:val="single" w:sz="8" w:space="0" w:color="auto"/>
            </w:tcBorders>
            <w:shd w:val="clear" w:color="auto" w:fill="auto"/>
            <w:noWrap/>
            <w:vAlign w:val="bottom"/>
            <w:hideMark/>
          </w:tcPr>
          <w:p w14:paraId="54C72E9A"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2475</w:t>
            </w:r>
          </w:p>
        </w:tc>
        <w:tc>
          <w:tcPr>
            <w:tcW w:w="1499" w:type="dxa"/>
            <w:tcBorders>
              <w:top w:val="nil"/>
              <w:left w:val="nil"/>
              <w:bottom w:val="nil"/>
              <w:right w:val="single" w:sz="8" w:space="0" w:color="auto"/>
            </w:tcBorders>
            <w:shd w:val="clear" w:color="auto" w:fill="auto"/>
            <w:vAlign w:val="bottom"/>
            <w:hideMark/>
          </w:tcPr>
          <w:p w14:paraId="7853A4AE"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c>
          <w:tcPr>
            <w:tcW w:w="1301" w:type="dxa"/>
            <w:tcBorders>
              <w:top w:val="nil"/>
              <w:left w:val="nil"/>
              <w:bottom w:val="nil"/>
              <w:right w:val="single" w:sz="8" w:space="0" w:color="auto"/>
            </w:tcBorders>
            <w:shd w:val="clear" w:color="auto" w:fill="auto"/>
            <w:noWrap/>
            <w:vAlign w:val="bottom"/>
            <w:hideMark/>
          </w:tcPr>
          <w:p w14:paraId="3BE1A62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1493</w:t>
            </w:r>
          </w:p>
        </w:tc>
        <w:tc>
          <w:tcPr>
            <w:tcW w:w="1285" w:type="dxa"/>
            <w:tcBorders>
              <w:top w:val="nil"/>
              <w:left w:val="nil"/>
              <w:bottom w:val="nil"/>
              <w:right w:val="single" w:sz="8" w:space="0" w:color="auto"/>
            </w:tcBorders>
            <w:shd w:val="clear" w:color="auto" w:fill="auto"/>
            <w:vAlign w:val="bottom"/>
            <w:hideMark/>
          </w:tcPr>
          <w:p w14:paraId="5AAF8187"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r>
      <w:tr w:rsidR="00AA35CC" w:rsidRPr="00BF6FB0" w14:paraId="7613F55E" w14:textId="77777777" w:rsidTr="001A7567">
        <w:trPr>
          <w:trHeight w:val="15"/>
        </w:trPr>
        <w:tc>
          <w:tcPr>
            <w:tcW w:w="932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6539D101" w14:textId="77777777" w:rsidR="00AA35CC" w:rsidRPr="00BF6FB0" w:rsidRDefault="00B53E2B" w:rsidP="00AA35C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Male household heads</w:t>
            </w:r>
          </w:p>
        </w:tc>
      </w:tr>
      <w:tr w:rsidR="00B53E2B" w:rsidRPr="00BF6FB0" w14:paraId="6C4DDF21" w14:textId="77777777" w:rsidTr="001A7567">
        <w:trPr>
          <w:trHeight w:val="15"/>
        </w:trPr>
        <w:tc>
          <w:tcPr>
            <w:tcW w:w="3721" w:type="dxa"/>
            <w:vMerge w:val="restart"/>
            <w:tcBorders>
              <w:top w:val="nil"/>
              <w:left w:val="single" w:sz="8" w:space="0" w:color="auto"/>
              <w:bottom w:val="single" w:sz="8" w:space="0" w:color="000000"/>
              <w:right w:val="single" w:sz="8" w:space="0" w:color="auto"/>
            </w:tcBorders>
            <w:shd w:val="clear" w:color="auto" w:fill="auto"/>
            <w:vAlign w:val="bottom"/>
            <w:hideMark/>
          </w:tcPr>
          <w:p w14:paraId="76B90777"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w:t>
            </w:r>
          </w:p>
        </w:tc>
        <w:tc>
          <w:tcPr>
            <w:tcW w:w="3012" w:type="dxa"/>
            <w:gridSpan w:val="2"/>
            <w:tcBorders>
              <w:top w:val="nil"/>
              <w:left w:val="nil"/>
              <w:bottom w:val="single" w:sz="8" w:space="0" w:color="auto"/>
              <w:right w:val="single" w:sz="8" w:space="0" w:color="000000"/>
            </w:tcBorders>
            <w:shd w:val="clear" w:color="auto" w:fill="auto"/>
            <w:vAlign w:val="bottom"/>
            <w:hideMark/>
          </w:tcPr>
          <w:p w14:paraId="336044DC"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Less than 65</w:t>
            </w:r>
          </w:p>
        </w:tc>
        <w:tc>
          <w:tcPr>
            <w:tcW w:w="2587" w:type="dxa"/>
            <w:gridSpan w:val="2"/>
            <w:tcBorders>
              <w:top w:val="nil"/>
              <w:left w:val="nil"/>
              <w:bottom w:val="single" w:sz="8" w:space="0" w:color="auto"/>
              <w:right w:val="single" w:sz="8" w:space="0" w:color="000000"/>
            </w:tcBorders>
            <w:shd w:val="clear" w:color="auto" w:fill="auto"/>
            <w:vAlign w:val="bottom"/>
            <w:hideMark/>
          </w:tcPr>
          <w:p w14:paraId="0F3E83AB" w14:textId="77777777" w:rsidR="00B53E2B" w:rsidRPr="00BF6FB0" w:rsidRDefault="00346C2D"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color w:val="000000"/>
                <w:sz w:val="20"/>
                <w:szCs w:val="20"/>
                <w:lang w:val="en-US"/>
              </w:rPr>
              <w:t>65 years and older</w:t>
            </w:r>
          </w:p>
        </w:tc>
      </w:tr>
      <w:tr w:rsidR="00B53E2B" w:rsidRPr="00BF6FB0" w14:paraId="0A4E4CC4" w14:textId="77777777" w:rsidTr="001A7567">
        <w:trPr>
          <w:trHeight w:val="373"/>
        </w:trPr>
        <w:tc>
          <w:tcPr>
            <w:tcW w:w="3721" w:type="dxa"/>
            <w:vMerge/>
            <w:tcBorders>
              <w:top w:val="nil"/>
              <w:left w:val="single" w:sz="8" w:space="0" w:color="auto"/>
              <w:bottom w:val="single" w:sz="8" w:space="0" w:color="000000"/>
              <w:right w:val="single" w:sz="8" w:space="0" w:color="auto"/>
            </w:tcBorders>
            <w:vAlign w:val="center"/>
            <w:hideMark/>
          </w:tcPr>
          <w:p w14:paraId="0275F50B" w14:textId="77777777" w:rsidR="00B53E2B" w:rsidRPr="00BF6FB0" w:rsidRDefault="00B53E2B" w:rsidP="00B53E2B">
            <w:pPr>
              <w:spacing w:after="0" w:line="240" w:lineRule="auto"/>
              <w:rPr>
                <w:rFonts w:ascii="Calibri" w:eastAsia="Times New Roman" w:hAnsi="Calibri" w:cs="Times New Roman"/>
                <w:b/>
                <w:bCs/>
                <w:color w:val="000000"/>
                <w:sz w:val="20"/>
                <w:szCs w:val="20"/>
                <w:lang w:val="en-US"/>
              </w:rPr>
            </w:pPr>
          </w:p>
        </w:tc>
        <w:tc>
          <w:tcPr>
            <w:tcW w:w="1512" w:type="dxa"/>
            <w:tcBorders>
              <w:top w:val="nil"/>
              <w:left w:val="nil"/>
              <w:bottom w:val="single" w:sz="8" w:space="0" w:color="auto"/>
              <w:right w:val="single" w:sz="8" w:space="0" w:color="auto"/>
            </w:tcBorders>
            <w:shd w:val="clear" w:color="auto" w:fill="auto"/>
            <w:vAlign w:val="bottom"/>
            <w:hideMark/>
          </w:tcPr>
          <w:p w14:paraId="02466ACF"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499" w:type="dxa"/>
            <w:tcBorders>
              <w:top w:val="nil"/>
              <w:left w:val="nil"/>
              <w:bottom w:val="single" w:sz="8" w:space="0" w:color="auto"/>
              <w:right w:val="single" w:sz="8" w:space="0" w:color="auto"/>
            </w:tcBorders>
            <w:shd w:val="clear" w:color="auto" w:fill="auto"/>
            <w:vAlign w:val="bottom"/>
            <w:hideMark/>
          </w:tcPr>
          <w:p w14:paraId="627C4970"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c>
          <w:tcPr>
            <w:tcW w:w="1301" w:type="dxa"/>
            <w:tcBorders>
              <w:top w:val="nil"/>
              <w:left w:val="nil"/>
              <w:bottom w:val="single" w:sz="8" w:space="0" w:color="auto"/>
              <w:right w:val="single" w:sz="8" w:space="0" w:color="auto"/>
            </w:tcBorders>
            <w:shd w:val="clear" w:color="auto" w:fill="auto"/>
            <w:vAlign w:val="bottom"/>
            <w:hideMark/>
          </w:tcPr>
          <w:p w14:paraId="551A2E0A"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285" w:type="dxa"/>
            <w:tcBorders>
              <w:top w:val="nil"/>
              <w:left w:val="nil"/>
              <w:bottom w:val="single" w:sz="8" w:space="0" w:color="auto"/>
              <w:right w:val="single" w:sz="8" w:space="0" w:color="auto"/>
            </w:tcBorders>
            <w:shd w:val="clear" w:color="auto" w:fill="auto"/>
            <w:vAlign w:val="bottom"/>
            <w:hideMark/>
          </w:tcPr>
          <w:p w14:paraId="68651E75" w14:textId="77777777" w:rsidR="00B53E2B" w:rsidRPr="00BF6FB0" w:rsidRDefault="00B53E2B" w:rsidP="00B53E2B">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B53E2B" w:rsidRPr="00BF6FB0" w14:paraId="5BBFE1F3"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78E3C202"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Illiterate </w:t>
            </w:r>
          </w:p>
        </w:tc>
        <w:tc>
          <w:tcPr>
            <w:tcW w:w="1512" w:type="dxa"/>
            <w:tcBorders>
              <w:top w:val="nil"/>
              <w:left w:val="nil"/>
              <w:bottom w:val="single" w:sz="8" w:space="0" w:color="auto"/>
              <w:right w:val="single" w:sz="8" w:space="0" w:color="auto"/>
            </w:tcBorders>
            <w:shd w:val="clear" w:color="auto" w:fill="auto"/>
            <w:noWrap/>
            <w:vAlign w:val="bottom"/>
            <w:hideMark/>
          </w:tcPr>
          <w:p w14:paraId="5496B98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343</w:t>
            </w:r>
          </w:p>
        </w:tc>
        <w:tc>
          <w:tcPr>
            <w:tcW w:w="1499" w:type="dxa"/>
            <w:tcBorders>
              <w:top w:val="nil"/>
              <w:left w:val="nil"/>
              <w:bottom w:val="single" w:sz="8" w:space="0" w:color="auto"/>
              <w:right w:val="single" w:sz="8" w:space="0" w:color="auto"/>
            </w:tcBorders>
            <w:shd w:val="clear" w:color="auto" w:fill="auto"/>
            <w:vAlign w:val="bottom"/>
            <w:hideMark/>
          </w:tcPr>
          <w:p w14:paraId="3557E148"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2,2</w:t>
            </w:r>
          </w:p>
        </w:tc>
        <w:tc>
          <w:tcPr>
            <w:tcW w:w="1301" w:type="dxa"/>
            <w:tcBorders>
              <w:top w:val="nil"/>
              <w:left w:val="nil"/>
              <w:bottom w:val="single" w:sz="8" w:space="0" w:color="auto"/>
              <w:right w:val="single" w:sz="8" w:space="0" w:color="auto"/>
            </w:tcBorders>
            <w:shd w:val="clear" w:color="auto" w:fill="auto"/>
            <w:noWrap/>
            <w:vAlign w:val="bottom"/>
            <w:hideMark/>
          </w:tcPr>
          <w:p w14:paraId="076A6951"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326</w:t>
            </w:r>
          </w:p>
        </w:tc>
        <w:tc>
          <w:tcPr>
            <w:tcW w:w="1285" w:type="dxa"/>
            <w:tcBorders>
              <w:top w:val="nil"/>
              <w:left w:val="nil"/>
              <w:bottom w:val="single" w:sz="8" w:space="0" w:color="auto"/>
              <w:right w:val="single" w:sz="8" w:space="0" w:color="auto"/>
            </w:tcBorders>
            <w:shd w:val="clear" w:color="auto" w:fill="auto"/>
            <w:vAlign w:val="bottom"/>
            <w:hideMark/>
          </w:tcPr>
          <w:p w14:paraId="1856F9F5"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13,5</w:t>
            </w:r>
          </w:p>
        </w:tc>
      </w:tr>
      <w:tr w:rsidR="00B53E2B" w:rsidRPr="00BF6FB0" w14:paraId="0A5030C3"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6B4C1F16"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Less than high school</w:t>
            </w:r>
          </w:p>
        </w:tc>
        <w:tc>
          <w:tcPr>
            <w:tcW w:w="1512" w:type="dxa"/>
            <w:tcBorders>
              <w:top w:val="nil"/>
              <w:left w:val="nil"/>
              <w:bottom w:val="single" w:sz="8" w:space="0" w:color="auto"/>
              <w:right w:val="single" w:sz="8" w:space="0" w:color="auto"/>
            </w:tcBorders>
            <w:shd w:val="clear" w:color="auto" w:fill="auto"/>
            <w:noWrap/>
            <w:vAlign w:val="bottom"/>
            <w:hideMark/>
          </w:tcPr>
          <w:p w14:paraId="625179D7"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9165</w:t>
            </w:r>
          </w:p>
        </w:tc>
        <w:tc>
          <w:tcPr>
            <w:tcW w:w="1499" w:type="dxa"/>
            <w:tcBorders>
              <w:top w:val="nil"/>
              <w:left w:val="nil"/>
              <w:bottom w:val="single" w:sz="8" w:space="0" w:color="auto"/>
              <w:right w:val="single" w:sz="8" w:space="0" w:color="auto"/>
            </w:tcBorders>
            <w:shd w:val="clear" w:color="auto" w:fill="auto"/>
            <w:vAlign w:val="bottom"/>
            <w:hideMark/>
          </w:tcPr>
          <w:p w14:paraId="6ABC07D7"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59,3</w:t>
            </w:r>
          </w:p>
        </w:tc>
        <w:tc>
          <w:tcPr>
            <w:tcW w:w="1301" w:type="dxa"/>
            <w:tcBorders>
              <w:top w:val="nil"/>
              <w:left w:val="nil"/>
              <w:bottom w:val="single" w:sz="8" w:space="0" w:color="auto"/>
              <w:right w:val="single" w:sz="8" w:space="0" w:color="auto"/>
            </w:tcBorders>
            <w:shd w:val="clear" w:color="auto" w:fill="auto"/>
            <w:noWrap/>
            <w:vAlign w:val="bottom"/>
            <w:hideMark/>
          </w:tcPr>
          <w:p w14:paraId="4A85C209"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1760</w:t>
            </w:r>
          </w:p>
        </w:tc>
        <w:tc>
          <w:tcPr>
            <w:tcW w:w="1285" w:type="dxa"/>
            <w:tcBorders>
              <w:top w:val="nil"/>
              <w:left w:val="nil"/>
              <w:bottom w:val="single" w:sz="8" w:space="0" w:color="auto"/>
              <w:right w:val="single" w:sz="8" w:space="0" w:color="auto"/>
            </w:tcBorders>
            <w:shd w:val="clear" w:color="auto" w:fill="auto"/>
            <w:vAlign w:val="bottom"/>
            <w:hideMark/>
          </w:tcPr>
          <w:p w14:paraId="0871A193"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73,0</w:t>
            </w:r>
          </w:p>
        </w:tc>
      </w:tr>
      <w:tr w:rsidR="00B53E2B" w:rsidRPr="00BF6FB0" w14:paraId="0240FE8D"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416B70B2"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High school </w:t>
            </w:r>
          </w:p>
        </w:tc>
        <w:tc>
          <w:tcPr>
            <w:tcW w:w="1512" w:type="dxa"/>
            <w:tcBorders>
              <w:top w:val="nil"/>
              <w:left w:val="nil"/>
              <w:bottom w:val="single" w:sz="8" w:space="0" w:color="auto"/>
              <w:right w:val="single" w:sz="8" w:space="0" w:color="auto"/>
            </w:tcBorders>
            <w:shd w:val="clear" w:color="auto" w:fill="auto"/>
            <w:noWrap/>
            <w:vAlign w:val="bottom"/>
            <w:hideMark/>
          </w:tcPr>
          <w:p w14:paraId="51CF3DEC"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3068</w:t>
            </w:r>
          </w:p>
        </w:tc>
        <w:tc>
          <w:tcPr>
            <w:tcW w:w="1499" w:type="dxa"/>
            <w:tcBorders>
              <w:top w:val="nil"/>
              <w:left w:val="nil"/>
              <w:bottom w:val="single" w:sz="8" w:space="0" w:color="auto"/>
              <w:right w:val="single" w:sz="8" w:space="0" w:color="auto"/>
            </w:tcBorders>
            <w:shd w:val="clear" w:color="auto" w:fill="auto"/>
            <w:vAlign w:val="bottom"/>
            <w:hideMark/>
          </w:tcPr>
          <w:p w14:paraId="168757BC"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19,9</w:t>
            </w:r>
          </w:p>
        </w:tc>
        <w:tc>
          <w:tcPr>
            <w:tcW w:w="1301" w:type="dxa"/>
            <w:tcBorders>
              <w:top w:val="nil"/>
              <w:left w:val="nil"/>
              <w:bottom w:val="single" w:sz="8" w:space="0" w:color="auto"/>
              <w:right w:val="single" w:sz="8" w:space="0" w:color="auto"/>
            </w:tcBorders>
            <w:shd w:val="clear" w:color="auto" w:fill="auto"/>
            <w:noWrap/>
            <w:vAlign w:val="bottom"/>
            <w:hideMark/>
          </w:tcPr>
          <w:p w14:paraId="613D8855"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115</w:t>
            </w:r>
          </w:p>
        </w:tc>
        <w:tc>
          <w:tcPr>
            <w:tcW w:w="1285" w:type="dxa"/>
            <w:tcBorders>
              <w:top w:val="nil"/>
              <w:left w:val="nil"/>
              <w:bottom w:val="single" w:sz="8" w:space="0" w:color="auto"/>
              <w:right w:val="single" w:sz="8" w:space="0" w:color="auto"/>
            </w:tcBorders>
            <w:shd w:val="clear" w:color="auto" w:fill="auto"/>
            <w:vAlign w:val="bottom"/>
            <w:hideMark/>
          </w:tcPr>
          <w:p w14:paraId="10A41832"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4,8</w:t>
            </w:r>
          </w:p>
        </w:tc>
      </w:tr>
      <w:tr w:rsidR="00B53E2B" w:rsidRPr="00BF6FB0" w14:paraId="4C579279"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vAlign w:val="center"/>
            <w:hideMark/>
          </w:tcPr>
          <w:p w14:paraId="1272062C"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Tertiary education </w:t>
            </w:r>
          </w:p>
        </w:tc>
        <w:tc>
          <w:tcPr>
            <w:tcW w:w="1512" w:type="dxa"/>
            <w:tcBorders>
              <w:top w:val="nil"/>
              <w:left w:val="nil"/>
              <w:bottom w:val="single" w:sz="8" w:space="0" w:color="auto"/>
              <w:right w:val="single" w:sz="8" w:space="0" w:color="auto"/>
            </w:tcBorders>
            <w:shd w:val="clear" w:color="auto" w:fill="auto"/>
            <w:noWrap/>
            <w:vAlign w:val="bottom"/>
            <w:hideMark/>
          </w:tcPr>
          <w:p w14:paraId="3B637A23"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2880</w:t>
            </w:r>
          </w:p>
        </w:tc>
        <w:tc>
          <w:tcPr>
            <w:tcW w:w="1499" w:type="dxa"/>
            <w:tcBorders>
              <w:top w:val="nil"/>
              <w:left w:val="nil"/>
              <w:bottom w:val="single" w:sz="8" w:space="0" w:color="auto"/>
              <w:right w:val="single" w:sz="8" w:space="0" w:color="auto"/>
            </w:tcBorders>
            <w:shd w:val="clear" w:color="auto" w:fill="auto"/>
            <w:vAlign w:val="bottom"/>
            <w:hideMark/>
          </w:tcPr>
          <w:p w14:paraId="72516B60"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18,6</w:t>
            </w:r>
          </w:p>
        </w:tc>
        <w:tc>
          <w:tcPr>
            <w:tcW w:w="1301" w:type="dxa"/>
            <w:tcBorders>
              <w:top w:val="nil"/>
              <w:left w:val="nil"/>
              <w:bottom w:val="single" w:sz="8" w:space="0" w:color="auto"/>
              <w:right w:val="single" w:sz="8" w:space="0" w:color="auto"/>
            </w:tcBorders>
            <w:shd w:val="clear" w:color="auto" w:fill="auto"/>
            <w:noWrap/>
            <w:vAlign w:val="bottom"/>
            <w:hideMark/>
          </w:tcPr>
          <w:p w14:paraId="389139D6"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211</w:t>
            </w:r>
          </w:p>
        </w:tc>
        <w:tc>
          <w:tcPr>
            <w:tcW w:w="1285" w:type="dxa"/>
            <w:tcBorders>
              <w:top w:val="nil"/>
              <w:left w:val="nil"/>
              <w:bottom w:val="single" w:sz="8" w:space="0" w:color="auto"/>
              <w:right w:val="single" w:sz="8" w:space="0" w:color="auto"/>
            </w:tcBorders>
            <w:shd w:val="clear" w:color="auto" w:fill="auto"/>
            <w:vAlign w:val="bottom"/>
            <w:hideMark/>
          </w:tcPr>
          <w:p w14:paraId="3664993D"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8,7</w:t>
            </w:r>
          </w:p>
        </w:tc>
      </w:tr>
      <w:tr w:rsidR="00B53E2B" w:rsidRPr="00BF6FB0" w14:paraId="493F222A" w14:textId="77777777" w:rsidTr="001A7567">
        <w:trPr>
          <w:trHeight w:val="15"/>
        </w:trPr>
        <w:tc>
          <w:tcPr>
            <w:tcW w:w="3721" w:type="dxa"/>
            <w:tcBorders>
              <w:top w:val="nil"/>
              <w:left w:val="single" w:sz="8" w:space="0" w:color="auto"/>
              <w:bottom w:val="single" w:sz="8" w:space="0" w:color="auto"/>
              <w:right w:val="single" w:sz="8" w:space="0" w:color="auto"/>
            </w:tcBorders>
            <w:shd w:val="clear" w:color="auto" w:fill="auto"/>
            <w:hideMark/>
          </w:tcPr>
          <w:p w14:paraId="569B1993" w14:textId="77777777" w:rsidR="00B53E2B" w:rsidRPr="00BF6FB0" w:rsidRDefault="00B53E2B" w:rsidP="00B53E2B">
            <w:pPr>
              <w:spacing w:after="0" w:line="240" w:lineRule="auto"/>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Total number of male household heads </w:t>
            </w:r>
          </w:p>
        </w:tc>
        <w:tc>
          <w:tcPr>
            <w:tcW w:w="1512" w:type="dxa"/>
            <w:tcBorders>
              <w:top w:val="nil"/>
              <w:left w:val="nil"/>
              <w:bottom w:val="single" w:sz="8" w:space="0" w:color="auto"/>
              <w:right w:val="single" w:sz="8" w:space="0" w:color="auto"/>
            </w:tcBorders>
            <w:shd w:val="clear" w:color="auto" w:fill="auto"/>
            <w:noWrap/>
            <w:vAlign w:val="bottom"/>
            <w:hideMark/>
          </w:tcPr>
          <w:p w14:paraId="173112A4"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15456</w:t>
            </w:r>
          </w:p>
        </w:tc>
        <w:tc>
          <w:tcPr>
            <w:tcW w:w="1499" w:type="dxa"/>
            <w:tcBorders>
              <w:top w:val="nil"/>
              <w:left w:val="nil"/>
              <w:bottom w:val="single" w:sz="8" w:space="0" w:color="auto"/>
              <w:right w:val="single" w:sz="8" w:space="0" w:color="auto"/>
            </w:tcBorders>
            <w:shd w:val="clear" w:color="auto" w:fill="auto"/>
            <w:vAlign w:val="bottom"/>
            <w:hideMark/>
          </w:tcPr>
          <w:p w14:paraId="50A4E92E"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c>
          <w:tcPr>
            <w:tcW w:w="1301" w:type="dxa"/>
            <w:tcBorders>
              <w:top w:val="nil"/>
              <w:left w:val="nil"/>
              <w:bottom w:val="single" w:sz="8" w:space="0" w:color="auto"/>
              <w:right w:val="single" w:sz="8" w:space="0" w:color="auto"/>
            </w:tcBorders>
            <w:shd w:val="clear" w:color="auto" w:fill="auto"/>
            <w:noWrap/>
            <w:vAlign w:val="bottom"/>
            <w:hideMark/>
          </w:tcPr>
          <w:p w14:paraId="61926E1D"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2412</w:t>
            </w:r>
          </w:p>
        </w:tc>
        <w:tc>
          <w:tcPr>
            <w:tcW w:w="1285" w:type="dxa"/>
            <w:tcBorders>
              <w:top w:val="nil"/>
              <w:left w:val="nil"/>
              <w:bottom w:val="single" w:sz="8" w:space="0" w:color="auto"/>
              <w:right w:val="single" w:sz="8" w:space="0" w:color="auto"/>
            </w:tcBorders>
            <w:shd w:val="clear" w:color="auto" w:fill="auto"/>
            <w:vAlign w:val="bottom"/>
            <w:hideMark/>
          </w:tcPr>
          <w:p w14:paraId="499737A9" w14:textId="77777777" w:rsidR="00B53E2B" w:rsidRPr="00BF6FB0" w:rsidRDefault="00B53E2B" w:rsidP="00B53E2B">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r>
    </w:tbl>
    <w:p w14:paraId="160E81F2" w14:textId="77777777" w:rsidR="00A739E6" w:rsidRPr="00BF6FB0" w:rsidRDefault="00A739E6" w:rsidP="00A739E6">
      <w:pPr>
        <w:pStyle w:val="Caption"/>
        <w:rPr>
          <w:b w:val="0"/>
          <w:color w:val="auto"/>
          <w:lang w:val="en-US"/>
        </w:rPr>
      </w:pPr>
      <w:r w:rsidRPr="00BF6FB0">
        <w:rPr>
          <w:b w:val="0"/>
          <w:color w:val="auto"/>
          <w:lang w:val="en-US"/>
        </w:rPr>
        <w:t xml:space="preserve">Source: 2015 TurkStat Income and Living Conditions Survey; Betam </w:t>
      </w:r>
    </w:p>
    <w:p w14:paraId="459BEED7" w14:textId="3E0EF5C5" w:rsidR="00817CDC" w:rsidRPr="00BF6FB0" w:rsidRDefault="00817CDC" w:rsidP="00817CDC">
      <w:pPr>
        <w:jc w:val="both"/>
        <w:rPr>
          <w:color w:val="000000" w:themeColor="text1"/>
          <w:lang w:val="en-US"/>
        </w:rPr>
      </w:pPr>
      <w:bookmarkStart w:id="4" w:name="_Ref381805740"/>
      <w:r w:rsidRPr="00BF6FB0">
        <w:rPr>
          <w:lang w:val="en-US"/>
        </w:rPr>
        <w:t xml:space="preserve">Table 4 provides the average household sizes of female- and male-headed households. According to the data, the average size of female-headed households is 2.4 </w:t>
      </w:r>
      <w:r w:rsidRPr="00BF6FB0">
        <w:rPr>
          <w:lang w:val="en-US"/>
        </w:rPr>
        <w:lastRenderedPageBreak/>
        <w:t xml:space="preserve">people while the average size for male-headed household is 3.9 people. This </w:t>
      </w:r>
      <w:r w:rsidR="00ED21D8">
        <w:rPr>
          <w:lang w:val="en-US"/>
        </w:rPr>
        <w:t xml:space="preserve">finding may stem from the fact that </w:t>
      </w:r>
      <w:r w:rsidRPr="00BF6FB0">
        <w:rPr>
          <w:lang w:val="en-US"/>
        </w:rPr>
        <w:t>the</w:t>
      </w:r>
      <w:r w:rsidR="00ED21D8">
        <w:rPr>
          <w:lang w:val="en-US"/>
        </w:rPr>
        <w:t>re are</w:t>
      </w:r>
      <w:r w:rsidRPr="00BF6FB0">
        <w:rPr>
          <w:lang w:val="en-US"/>
        </w:rPr>
        <w:t xml:space="preserve"> </w:t>
      </w:r>
      <w:r w:rsidR="006510B9">
        <w:rPr>
          <w:lang w:val="en-US"/>
        </w:rPr>
        <w:t>relatively fewer</w:t>
      </w:r>
      <w:r w:rsidRPr="00BF6FB0">
        <w:rPr>
          <w:lang w:val="en-US"/>
        </w:rPr>
        <w:t xml:space="preserve"> children in female-headed households (Table 5). </w:t>
      </w:r>
      <w:r w:rsidR="00ED21D8">
        <w:rPr>
          <w:lang w:val="en-US"/>
        </w:rPr>
        <w:t>Note that f</w:t>
      </w:r>
      <w:r w:rsidRPr="00BF6FB0">
        <w:rPr>
          <w:lang w:val="en-US"/>
        </w:rPr>
        <w:t xml:space="preserve">emale household heads are older on average, which contributes to this </w:t>
      </w:r>
      <w:r w:rsidR="006510B9">
        <w:rPr>
          <w:lang w:val="en-US"/>
        </w:rPr>
        <w:t>finding</w:t>
      </w:r>
      <w:r w:rsidR="00ED21D8">
        <w:rPr>
          <w:lang w:val="en-US"/>
        </w:rPr>
        <w:t>. Nevertheless,</w:t>
      </w:r>
      <w:r w:rsidRPr="00BF6FB0">
        <w:rPr>
          <w:lang w:val="en-US"/>
        </w:rPr>
        <w:t xml:space="preserve"> the household size of </w:t>
      </w:r>
      <w:r w:rsidR="00ED21D8">
        <w:rPr>
          <w:lang w:val="en-US"/>
        </w:rPr>
        <w:t xml:space="preserve">younger </w:t>
      </w:r>
      <w:r w:rsidRPr="00BF6FB0">
        <w:rPr>
          <w:lang w:val="en-US"/>
        </w:rPr>
        <w:t xml:space="preserve">female-headed households is </w:t>
      </w:r>
      <w:r w:rsidR="00ED21D8">
        <w:rPr>
          <w:lang w:val="en-US"/>
        </w:rPr>
        <w:t xml:space="preserve">also </w:t>
      </w:r>
      <w:r w:rsidRPr="00BF6FB0">
        <w:rPr>
          <w:lang w:val="en-US"/>
        </w:rPr>
        <w:t xml:space="preserve">smaller. While </w:t>
      </w:r>
      <w:r w:rsidR="00ED21D8">
        <w:rPr>
          <w:lang w:val="en-US"/>
        </w:rPr>
        <w:t xml:space="preserve">the </w:t>
      </w:r>
      <w:r w:rsidRPr="00BF6FB0">
        <w:rPr>
          <w:lang w:val="en-US"/>
        </w:rPr>
        <w:t xml:space="preserve">average size of </w:t>
      </w:r>
      <w:r w:rsidR="00ED21D8">
        <w:rPr>
          <w:lang w:val="en-US"/>
        </w:rPr>
        <w:t xml:space="preserve">a household with a female head </w:t>
      </w:r>
      <w:r w:rsidRPr="00BF6FB0">
        <w:rPr>
          <w:lang w:val="en-US"/>
        </w:rPr>
        <w:t>younger than 65 years of age is 2.7 people</w:t>
      </w:r>
      <w:r w:rsidR="00ED21D8">
        <w:rPr>
          <w:lang w:val="en-US"/>
        </w:rPr>
        <w:t>, the same number</w:t>
      </w:r>
      <w:r w:rsidRPr="00BF6FB0">
        <w:rPr>
          <w:lang w:val="en-US"/>
        </w:rPr>
        <w:t xml:space="preserve"> is 4.0 people for male-headed.</w:t>
      </w:r>
      <w:r w:rsidRPr="00BF6FB0">
        <w:rPr>
          <w:color w:val="FF0000"/>
          <w:lang w:val="en-US"/>
        </w:rPr>
        <w:t xml:space="preserve"> </w:t>
      </w:r>
      <w:r w:rsidR="0065031F">
        <w:rPr>
          <w:color w:val="000000" w:themeColor="text1"/>
          <w:lang w:val="en-US"/>
        </w:rPr>
        <w:t>The fact that a higher share of female household heads are single also matters</w:t>
      </w:r>
      <w:r w:rsidRPr="00BF6FB0">
        <w:rPr>
          <w:color w:val="000000" w:themeColor="text1"/>
          <w:lang w:val="en-US"/>
        </w:rPr>
        <w:t xml:space="preserve"> (Table 2).</w:t>
      </w:r>
    </w:p>
    <w:p w14:paraId="0A26845A" w14:textId="77777777" w:rsidR="00A739E6" w:rsidRPr="00BF6FB0" w:rsidRDefault="00A739E6" w:rsidP="00A739E6">
      <w:pPr>
        <w:pStyle w:val="Caption"/>
        <w:keepNext/>
        <w:rPr>
          <w:color w:val="auto"/>
          <w:sz w:val="22"/>
          <w:szCs w:val="22"/>
          <w:lang w:val="en-US"/>
        </w:rPr>
      </w:pPr>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4</w:t>
      </w:r>
      <w:r w:rsidRPr="00BF6FB0">
        <w:rPr>
          <w:color w:val="auto"/>
          <w:sz w:val="22"/>
          <w:szCs w:val="22"/>
          <w:lang w:val="en-US"/>
        </w:rPr>
        <w:fldChar w:fldCharType="end"/>
      </w:r>
      <w:bookmarkEnd w:id="4"/>
      <w:r w:rsidRPr="00BF6FB0">
        <w:rPr>
          <w:color w:val="auto"/>
          <w:sz w:val="22"/>
          <w:szCs w:val="22"/>
          <w:lang w:val="en-US"/>
        </w:rPr>
        <w:t xml:space="preserve">: Average household sizes (2015)  </w:t>
      </w:r>
    </w:p>
    <w:tbl>
      <w:tblPr>
        <w:tblW w:w="7124"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58"/>
        <w:gridCol w:w="1583"/>
        <w:gridCol w:w="1583"/>
      </w:tblGrid>
      <w:tr w:rsidR="00B11C80" w:rsidRPr="00BF6FB0" w14:paraId="53935E8F" w14:textId="77777777" w:rsidTr="00817CDC">
        <w:trPr>
          <w:trHeight w:val="16"/>
        </w:trPr>
        <w:tc>
          <w:tcPr>
            <w:tcW w:w="3958" w:type="dxa"/>
            <w:shd w:val="clear" w:color="auto" w:fill="auto"/>
            <w:noWrap/>
            <w:vAlign w:val="bottom"/>
            <w:hideMark/>
          </w:tcPr>
          <w:p w14:paraId="02B026CC" w14:textId="77777777" w:rsidR="00B11C80" w:rsidRPr="00BF6FB0" w:rsidRDefault="00B11C80" w:rsidP="00256E87">
            <w:pPr>
              <w:spacing w:after="0" w:line="240" w:lineRule="auto"/>
              <w:jc w:val="center"/>
              <w:rPr>
                <w:rFonts w:ascii="Calibri" w:eastAsia="Times New Roman" w:hAnsi="Calibri" w:cs="Times New Roman"/>
                <w:color w:val="000000"/>
                <w:lang w:val="en-US"/>
              </w:rPr>
            </w:pPr>
            <w:r w:rsidRPr="00BF6FB0">
              <w:rPr>
                <w:rFonts w:ascii="Calibri" w:eastAsia="Times New Roman" w:hAnsi="Calibri" w:cs="Times New Roman"/>
                <w:color w:val="000000"/>
                <w:lang w:val="en-US"/>
              </w:rPr>
              <w:t> </w:t>
            </w:r>
          </w:p>
        </w:tc>
        <w:tc>
          <w:tcPr>
            <w:tcW w:w="1583" w:type="dxa"/>
            <w:shd w:val="clear" w:color="auto" w:fill="auto"/>
            <w:hideMark/>
          </w:tcPr>
          <w:p w14:paraId="3ACD1921" w14:textId="77777777" w:rsidR="00B11C80" w:rsidRPr="00BF6FB0" w:rsidRDefault="00AD490C" w:rsidP="00256E87">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Female heads</w:t>
            </w:r>
          </w:p>
        </w:tc>
        <w:tc>
          <w:tcPr>
            <w:tcW w:w="1583" w:type="dxa"/>
            <w:shd w:val="clear" w:color="auto" w:fill="auto"/>
            <w:hideMark/>
          </w:tcPr>
          <w:p w14:paraId="6949E998" w14:textId="77777777" w:rsidR="00B11C80" w:rsidRPr="00BF6FB0" w:rsidRDefault="00AD490C" w:rsidP="00256E87">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Male heads</w:t>
            </w:r>
          </w:p>
        </w:tc>
      </w:tr>
      <w:tr w:rsidR="00B11C80" w:rsidRPr="00BF6FB0" w14:paraId="4593A39B" w14:textId="77777777" w:rsidTr="00817CDC">
        <w:trPr>
          <w:trHeight w:val="16"/>
        </w:trPr>
        <w:tc>
          <w:tcPr>
            <w:tcW w:w="3958" w:type="dxa"/>
            <w:shd w:val="clear" w:color="auto" w:fill="auto"/>
            <w:noWrap/>
            <w:hideMark/>
          </w:tcPr>
          <w:p w14:paraId="579F74D5" w14:textId="77777777" w:rsidR="00B11C80" w:rsidRPr="00BF6FB0" w:rsidRDefault="00346C2D" w:rsidP="00256E87">
            <w:pPr>
              <w:spacing w:after="0" w:line="240" w:lineRule="auto"/>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Less than 65 years</w:t>
            </w:r>
          </w:p>
        </w:tc>
        <w:tc>
          <w:tcPr>
            <w:tcW w:w="1583" w:type="dxa"/>
            <w:shd w:val="clear" w:color="auto" w:fill="auto"/>
            <w:noWrap/>
            <w:vAlign w:val="bottom"/>
            <w:hideMark/>
          </w:tcPr>
          <w:p w14:paraId="1B51E3E7" w14:textId="77777777" w:rsidR="00B11C80" w:rsidRPr="00BF6FB0" w:rsidRDefault="00B11C80"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16636F" w:rsidRPr="00BF6FB0">
              <w:rPr>
                <w:rFonts w:ascii="Calibri" w:eastAsia="Times New Roman" w:hAnsi="Calibri" w:cs="Times New Roman"/>
                <w:color w:val="000000"/>
                <w:sz w:val="20"/>
                <w:szCs w:val="20"/>
                <w:lang w:val="en-US"/>
              </w:rPr>
              <w:t>7</w:t>
            </w:r>
          </w:p>
        </w:tc>
        <w:tc>
          <w:tcPr>
            <w:tcW w:w="1583" w:type="dxa"/>
            <w:shd w:val="clear" w:color="auto" w:fill="auto"/>
            <w:noWrap/>
            <w:vAlign w:val="bottom"/>
            <w:hideMark/>
          </w:tcPr>
          <w:p w14:paraId="2FA0C433" w14:textId="77777777" w:rsidR="00B11C80" w:rsidRPr="00BF6FB0" w:rsidRDefault="00B11C80"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4,0</w:t>
            </w:r>
          </w:p>
        </w:tc>
      </w:tr>
      <w:tr w:rsidR="00B11C80" w:rsidRPr="00BF6FB0" w14:paraId="0BA703C0" w14:textId="77777777" w:rsidTr="00817CDC">
        <w:trPr>
          <w:trHeight w:val="16"/>
        </w:trPr>
        <w:tc>
          <w:tcPr>
            <w:tcW w:w="3958" w:type="dxa"/>
            <w:shd w:val="clear" w:color="auto" w:fill="auto"/>
            <w:noWrap/>
            <w:hideMark/>
          </w:tcPr>
          <w:p w14:paraId="4BF84B4C" w14:textId="77777777" w:rsidR="00B11C80" w:rsidRPr="00BF6FB0" w:rsidRDefault="00346C2D" w:rsidP="00256E87">
            <w:pPr>
              <w:spacing w:after="0" w:line="240" w:lineRule="auto"/>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65 years and older</w:t>
            </w:r>
          </w:p>
        </w:tc>
        <w:tc>
          <w:tcPr>
            <w:tcW w:w="1583" w:type="dxa"/>
            <w:shd w:val="clear" w:color="auto" w:fill="auto"/>
            <w:noWrap/>
            <w:vAlign w:val="bottom"/>
            <w:hideMark/>
          </w:tcPr>
          <w:p w14:paraId="0F6D8239" w14:textId="77777777" w:rsidR="00B11C80" w:rsidRPr="00BF6FB0" w:rsidRDefault="0016636F"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w:t>
            </w:r>
            <w:r w:rsidR="00B11C80"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8</w:t>
            </w:r>
          </w:p>
        </w:tc>
        <w:tc>
          <w:tcPr>
            <w:tcW w:w="1583" w:type="dxa"/>
            <w:shd w:val="clear" w:color="auto" w:fill="auto"/>
            <w:noWrap/>
            <w:vAlign w:val="bottom"/>
            <w:hideMark/>
          </w:tcPr>
          <w:p w14:paraId="77296F7D" w14:textId="77777777" w:rsidR="00B11C80" w:rsidRPr="00BF6FB0" w:rsidRDefault="00B11C80"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16636F" w:rsidRPr="00BF6FB0">
              <w:rPr>
                <w:rFonts w:ascii="Calibri" w:eastAsia="Times New Roman" w:hAnsi="Calibri" w:cs="Times New Roman"/>
                <w:color w:val="000000"/>
                <w:sz w:val="20"/>
                <w:szCs w:val="20"/>
                <w:lang w:val="en-US"/>
              </w:rPr>
              <w:t>9</w:t>
            </w:r>
          </w:p>
        </w:tc>
      </w:tr>
      <w:tr w:rsidR="00B11C80" w:rsidRPr="00BF6FB0" w14:paraId="7A370BC6" w14:textId="77777777" w:rsidTr="00817CDC">
        <w:trPr>
          <w:trHeight w:val="16"/>
        </w:trPr>
        <w:tc>
          <w:tcPr>
            <w:tcW w:w="3958" w:type="dxa"/>
            <w:shd w:val="clear" w:color="auto" w:fill="auto"/>
            <w:noWrap/>
            <w:vAlign w:val="bottom"/>
            <w:hideMark/>
          </w:tcPr>
          <w:p w14:paraId="2147A19C" w14:textId="77777777" w:rsidR="00B11C80" w:rsidRPr="00BF6FB0" w:rsidRDefault="00346C2D" w:rsidP="00256E87">
            <w:pPr>
              <w:spacing w:after="0" w:line="240" w:lineRule="auto"/>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All age groups</w:t>
            </w:r>
          </w:p>
        </w:tc>
        <w:tc>
          <w:tcPr>
            <w:tcW w:w="1583" w:type="dxa"/>
            <w:shd w:val="clear" w:color="auto" w:fill="auto"/>
            <w:noWrap/>
            <w:vAlign w:val="bottom"/>
            <w:hideMark/>
          </w:tcPr>
          <w:p w14:paraId="540FB4BD" w14:textId="77777777" w:rsidR="00B11C80" w:rsidRPr="00BF6FB0" w:rsidRDefault="00B11C80"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16636F" w:rsidRPr="00BF6FB0">
              <w:rPr>
                <w:rFonts w:ascii="Calibri" w:eastAsia="Times New Roman" w:hAnsi="Calibri" w:cs="Times New Roman"/>
                <w:color w:val="000000"/>
                <w:sz w:val="20"/>
                <w:szCs w:val="20"/>
                <w:lang w:val="en-US"/>
              </w:rPr>
              <w:t>4</w:t>
            </w:r>
          </w:p>
        </w:tc>
        <w:tc>
          <w:tcPr>
            <w:tcW w:w="1583" w:type="dxa"/>
            <w:shd w:val="clear" w:color="auto" w:fill="auto"/>
            <w:noWrap/>
            <w:vAlign w:val="bottom"/>
            <w:hideMark/>
          </w:tcPr>
          <w:p w14:paraId="7995930B" w14:textId="77777777" w:rsidR="00B11C80" w:rsidRPr="00BF6FB0" w:rsidRDefault="00B11C80" w:rsidP="00256E87">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w:t>
            </w:r>
            <w:r w:rsidR="0016636F" w:rsidRPr="00BF6FB0">
              <w:rPr>
                <w:rFonts w:ascii="Calibri" w:eastAsia="Times New Roman" w:hAnsi="Calibri" w:cs="Times New Roman"/>
                <w:color w:val="000000"/>
                <w:sz w:val="20"/>
                <w:szCs w:val="20"/>
                <w:lang w:val="en-US"/>
              </w:rPr>
              <w:t>8</w:t>
            </w:r>
          </w:p>
        </w:tc>
      </w:tr>
    </w:tbl>
    <w:p w14:paraId="2CCB91A8" w14:textId="77777777" w:rsidR="0065689C" w:rsidRPr="00BF6FB0" w:rsidRDefault="0065689C" w:rsidP="0065689C">
      <w:pPr>
        <w:pStyle w:val="Caption"/>
        <w:rPr>
          <w:b w:val="0"/>
          <w:color w:val="auto"/>
          <w:lang w:val="en-US"/>
        </w:rPr>
      </w:pPr>
      <w:r w:rsidRPr="00BF6FB0">
        <w:rPr>
          <w:b w:val="0"/>
          <w:color w:val="auto"/>
          <w:lang w:val="en-US"/>
        </w:rPr>
        <w:t xml:space="preserve">Source: 2015 TurkStat Income and Living Conditions Survey; Betam </w:t>
      </w:r>
    </w:p>
    <w:p w14:paraId="189FB512" w14:textId="77777777" w:rsidR="000F2596" w:rsidRPr="00BF6FB0" w:rsidRDefault="000F2596" w:rsidP="00B047D4">
      <w:pPr>
        <w:jc w:val="both"/>
        <w:rPr>
          <w:b/>
          <w:sz w:val="24"/>
          <w:szCs w:val="24"/>
          <w:lang w:val="en-US"/>
        </w:rPr>
      </w:pPr>
    </w:p>
    <w:p w14:paraId="41F2419D" w14:textId="77777777" w:rsidR="00787249" w:rsidRPr="00BF6FB0" w:rsidRDefault="00AD490C" w:rsidP="00B047D4">
      <w:pPr>
        <w:jc w:val="both"/>
        <w:rPr>
          <w:b/>
          <w:sz w:val="24"/>
          <w:szCs w:val="24"/>
          <w:lang w:val="en-US"/>
        </w:rPr>
      </w:pPr>
      <w:r w:rsidRPr="00BF6FB0">
        <w:rPr>
          <w:b/>
          <w:sz w:val="24"/>
          <w:szCs w:val="24"/>
          <w:lang w:val="en-US"/>
        </w:rPr>
        <w:t>The size of female-headed households is smaller</w:t>
      </w:r>
    </w:p>
    <w:p w14:paraId="05CC0838" w14:textId="1EF35749" w:rsidR="00B07BB2" w:rsidRPr="00BF6FB0" w:rsidRDefault="009A1D22" w:rsidP="00B047D4">
      <w:pPr>
        <w:jc w:val="both"/>
        <w:rPr>
          <w:b/>
          <w:sz w:val="24"/>
          <w:szCs w:val="24"/>
          <w:lang w:val="en-US"/>
        </w:rPr>
      </w:pPr>
      <w:r w:rsidRPr="00BF6FB0">
        <w:rPr>
          <w:lang w:val="en-US"/>
        </w:rPr>
        <w:t>Similiar to Table 4, there are more children in male-headed households than female-headed households. 11.8 percent of male-headed households under the age of 65 have at least three children while it is only 3.7 percent in female-heade</w:t>
      </w:r>
      <w:r w:rsidR="002A3995">
        <w:rPr>
          <w:lang w:val="en-US"/>
        </w:rPr>
        <w:t>d</w:t>
      </w:r>
      <w:r w:rsidRPr="00BF6FB0">
        <w:rPr>
          <w:lang w:val="en-US"/>
        </w:rPr>
        <w:t xml:space="preserve"> households. On the other hand, </w:t>
      </w:r>
      <w:r w:rsidR="002A3995">
        <w:rPr>
          <w:lang w:val="en-US"/>
        </w:rPr>
        <w:t>there are</w:t>
      </w:r>
      <w:r w:rsidR="0065689C" w:rsidRPr="00BF6FB0">
        <w:rPr>
          <w:lang w:val="en-US"/>
        </w:rPr>
        <w:t xml:space="preserve"> no children in </w:t>
      </w:r>
      <w:r w:rsidRPr="00BF6FB0">
        <w:rPr>
          <w:lang w:val="en-US"/>
        </w:rPr>
        <w:t>almos</w:t>
      </w:r>
      <w:r w:rsidR="00C54891" w:rsidRPr="00BF6FB0">
        <w:rPr>
          <w:lang w:val="en-US"/>
        </w:rPr>
        <w:t>t</w:t>
      </w:r>
      <w:r w:rsidRPr="00BF6FB0">
        <w:rPr>
          <w:lang w:val="en-US"/>
        </w:rPr>
        <w:t xml:space="preserve"> </w:t>
      </w:r>
      <w:r w:rsidR="0065689C" w:rsidRPr="00BF6FB0">
        <w:rPr>
          <w:lang w:val="en-US"/>
        </w:rPr>
        <w:t>74.5 percent of female-headed households. This ratio decreases to 44.3 percent in male-headed households.</w:t>
      </w:r>
      <w:r w:rsidRPr="00BF6FB0">
        <w:rPr>
          <w:lang w:val="en-US"/>
        </w:rPr>
        <w:t xml:space="preserve"> </w:t>
      </w:r>
    </w:p>
    <w:p w14:paraId="7F63FA32" w14:textId="77777777" w:rsidR="00A739E6" w:rsidRPr="00BF6FB0" w:rsidRDefault="00A739E6" w:rsidP="00A739E6">
      <w:pPr>
        <w:pStyle w:val="Caption"/>
        <w:keepNext/>
        <w:rPr>
          <w:color w:val="auto"/>
          <w:sz w:val="22"/>
          <w:szCs w:val="22"/>
          <w:lang w:val="en-US"/>
        </w:rPr>
      </w:pPr>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5</w:t>
      </w:r>
      <w:r w:rsidRPr="00BF6FB0">
        <w:rPr>
          <w:color w:val="auto"/>
          <w:sz w:val="22"/>
          <w:szCs w:val="22"/>
          <w:lang w:val="en-US"/>
        </w:rPr>
        <w:fldChar w:fldCharType="end"/>
      </w:r>
      <w:r w:rsidRPr="00BF6FB0">
        <w:rPr>
          <w:color w:val="auto"/>
          <w:sz w:val="22"/>
          <w:szCs w:val="22"/>
          <w:lang w:val="en-US"/>
        </w:rPr>
        <w:t xml:space="preserve">: Distribution of household heads by the number of children (2015) </w:t>
      </w:r>
    </w:p>
    <w:tbl>
      <w:tblPr>
        <w:tblW w:w="9114" w:type="dxa"/>
        <w:tblInd w:w="59" w:type="dxa"/>
        <w:tblCellMar>
          <w:left w:w="70" w:type="dxa"/>
          <w:right w:w="70" w:type="dxa"/>
        </w:tblCellMar>
        <w:tblLook w:val="04A0" w:firstRow="1" w:lastRow="0" w:firstColumn="1" w:lastColumn="0" w:noHBand="0" w:noVBand="1"/>
      </w:tblPr>
      <w:tblGrid>
        <w:gridCol w:w="2888"/>
        <w:gridCol w:w="2466"/>
        <w:gridCol w:w="683"/>
        <w:gridCol w:w="2254"/>
        <w:gridCol w:w="823"/>
      </w:tblGrid>
      <w:tr w:rsidR="007538F3" w:rsidRPr="00BF6FB0" w14:paraId="58436D08" w14:textId="77777777" w:rsidTr="001A7567">
        <w:trPr>
          <w:trHeight w:val="17"/>
        </w:trPr>
        <w:tc>
          <w:tcPr>
            <w:tcW w:w="9114"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398256A9"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Female household heads</w:t>
            </w:r>
          </w:p>
        </w:tc>
      </w:tr>
      <w:tr w:rsidR="007538F3" w:rsidRPr="00BF6FB0" w14:paraId="14182F8B"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2DBAAB5E" w14:textId="77777777" w:rsidR="007538F3" w:rsidRPr="00BF6FB0" w:rsidRDefault="007538F3" w:rsidP="00346C2D">
            <w:pPr>
              <w:spacing w:after="0" w:line="240" w:lineRule="auto"/>
              <w:rPr>
                <w:rFonts w:ascii="Calibri" w:eastAsia="Times New Roman" w:hAnsi="Calibri" w:cs="Times New Roman"/>
                <w:b/>
                <w:bCs/>
                <w:color w:val="000000"/>
                <w:sz w:val="20"/>
                <w:szCs w:val="20"/>
                <w:lang w:val="en-US"/>
              </w:rPr>
            </w:pPr>
          </w:p>
        </w:tc>
        <w:tc>
          <w:tcPr>
            <w:tcW w:w="314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4CF85B"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Less than 65</w:t>
            </w:r>
          </w:p>
        </w:tc>
        <w:tc>
          <w:tcPr>
            <w:tcW w:w="307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E0B8A4" w14:textId="77777777" w:rsidR="007538F3" w:rsidRPr="00BF6FB0" w:rsidRDefault="007538F3"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xml:space="preserve">65 </w:t>
            </w:r>
            <w:r w:rsidR="00346C2D" w:rsidRPr="00BF6FB0">
              <w:rPr>
                <w:rFonts w:ascii="Calibri" w:eastAsia="Times New Roman" w:hAnsi="Calibri" w:cs="Times New Roman"/>
                <w:b/>
                <w:bCs/>
                <w:color w:val="000000"/>
                <w:sz w:val="20"/>
                <w:szCs w:val="20"/>
                <w:lang w:val="en-US"/>
              </w:rPr>
              <w:t>years and older</w:t>
            </w:r>
          </w:p>
        </w:tc>
      </w:tr>
      <w:tr w:rsidR="00346C2D" w:rsidRPr="00BF6FB0" w14:paraId="4ED0E2CC"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7EE4914D"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children</w:t>
            </w:r>
          </w:p>
        </w:tc>
        <w:tc>
          <w:tcPr>
            <w:tcW w:w="2466" w:type="dxa"/>
            <w:tcBorders>
              <w:top w:val="nil"/>
              <w:left w:val="nil"/>
              <w:bottom w:val="nil"/>
              <w:right w:val="single" w:sz="8" w:space="0" w:color="auto"/>
            </w:tcBorders>
            <w:shd w:val="clear" w:color="auto" w:fill="auto"/>
            <w:vAlign w:val="bottom"/>
            <w:hideMark/>
          </w:tcPr>
          <w:p w14:paraId="21A744D0"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683" w:type="dxa"/>
            <w:tcBorders>
              <w:top w:val="nil"/>
              <w:left w:val="nil"/>
              <w:bottom w:val="nil"/>
              <w:right w:val="single" w:sz="8" w:space="0" w:color="auto"/>
            </w:tcBorders>
            <w:shd w:val="clear" w:color="auto" w:fill="auto"/>
            <w:vAlign w:val="bottom"/>
            <w:hideMark/>
          </w:tcPr>
          <w:p w14:paraId="2907B38F"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c>
          <w:tcPr>
            <w:tcW w:w="2254" w:type="dxa"/>
            <w:tcBorders>
              <w:top w:val="nil"/>
              <w:left w:val="nil"/>
              <w:bottom w:val="nil"/>
              <w:right w:val="single" w:sz="8" w:space="0" w:color="auto"/>
            </w:tcBorders>
            <w:shd w:val="clear" w:color="auto" w:fill="auto"/>
            <w:vAlign w:val="bottom"/>
            <w:hideMark/>
          </w:tcPr>
          <w:p w14:paraId="2780402E"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823" w:type="dxa"/>
            <w:tcBorders>
              <w:top w:val="nil"/>
              <w:left w:val="nil"/>
              <w:bottom w:val="nil"/>
              <w:right w:val="single" w:sz="8" w:space="0" w:color="auto"/>
            </w:tcBorders>
            <w:shd w:val="clear" w:color="auto" w:fill="auto"/>
            <w:vAlign w:val="bottom"/>
            <w:hideMark/>
          </w:tcPr>
          <w:p w14:paraId="7E2AE645"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7538F3" w:rsidRPr="00BF6FB0" w14:paraId="647A3CC6"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3E997E28"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0</w:t>
            </w:r>
          </w:p>
        </w:tc>
        <w:tc>
          <w:tcPr>
            <w:tcW w:w="2466" w:type="dxa"/>
            <w:tcBorders>
              <w:top w:val="single" w:sz="8" w:space="0" w:color="auto"/>
              <w:left w:val="nil"/>
              <w:bottom w:val="single" w:sz="8" w:space="0" w:color="auto"/>
              <w:right w:val="single" w:sz="8" w:space="0" w:color="auto"/>
            </w:tcBorders>
            <w:shd w:val="clear" w:color="auto" w:fill="auto"/>
            <w:noWrap/>
            <w:vAlign w:val="bottom"/>
            <w:hideMark/>
          </w:tcPr>
          <w:p w14:paraId="21899A67"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1843</w:t>
            </w:r>
          </w:p>
        </w:tc>
        <w:tc>
          <w:tcPr>
            <w:tcW w:w="683" w:type="dxa"/>
            <w:tcBorders>
              <w:top w:val="single" w:sz="8" w:space="0" w:color="auto"/>
              <w:left w:val="nil"/>
              <w:bottom w:val="single" w:sz="8" w:space="0" w:color="auto"/>
              <w:right w:val="single" w:sz="8" w:space="0" w:color="auto"/>
            </w:tcBorders>
            <w:shd w:val="clear" w:color="auto" w:fill="auto"/>
            <w:noWrap/>
            <w:vAlign w:val="bottom"/>
            <w:hideMark/>
          </w:tcPr>
          <w:p w14:paraId="36F51B0A"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74</w:t>
            </w:r>
            <w:r w:rsidR="00971D17" w:rsidRPr="00BF6FB0">
              <w:rPr>
                <w:rFonts w:ascii="Calibri" w:eastAsia="Times New Roman" w:hAnsi="Calibri" w:cs="Times New Roman"/>
                <w:color w:val="000000"/>
                <w:sz w:val="20"/>
                <w:szCs w:val="20"/>
                <w:lang w:val="en-US"/>
              </w:rPr>
              <w:t>,</w:t>
            </w:r>
            <w:r w:rsidR="00B8427C" w:rsidRPr="00BF6FB0">
              <w:rPr>
                <w:rFonts w:ascii="Calibri" w:eastAsia="Times New Roman" w:hAnsi="Calibri" w:cs="Times New Roman"/>
                <w:color w:val="000000"/>
                <w:sz w:val="20"/>
                <w:szCs w:val="20"/>
                <w:lang w:val="en-US"/>
              </w:rPr>
              <w:t>5</w:t>
            </w:r>
          </w:p>
        </w:tc>
        <w:tc>
          <w:tcPr>
            <w:tcW w:w="2254" w:type="dxa"/>
            <w:tcBorders>
              <w:top w:val="single" w:sz="8" w:space="0" w:color="auto"/>
              <w:left w:val="nil"/>
              <w:bottom w:val="single" w:sz="8" w:space="0" w:color="auto"/>
              <w:right w:val="single" w:sz="8" w:space="0" w:color="auto"/>
            </w:tcBorders>
            <w:shd w:val="clear" w:color="auto" w:fill="auto"/>
            <w:noWrap/>
            <w:vAlign w:val="bottom"/>
            <w:hideMark/>
          </w:tcPr>
          <w:p w14:paraId="741B1C41"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1383</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4F17F0B5"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92</w:t>
            </w:r>
            <w:r w:rsidR="00971D17" w:rsidRPr="00BF6FB0">
              <w:rPr>
                <w:rFonts w:ascii="Calibri" w:eastAsia="Times New Roman" w:hAnsi="Calibri" w:cs="Times New Roman"/>
                <w:color w:val="000000"/>
                <w:sz w:val="20"/>
                <w:szCs w:val="20"/>
                <w:lang w:val="en-US"/>
              </w:rPr>
              <w:t>,</w:t>
            </w:r>
            <w:r w:rsidR="00B8427C" w:rsidRPr="00BF6FB0">
              <w:rPr>
                <w:rFonts w:ascii="Calibri" w:eastAsia="Times New Roman" w:hAnsi="Calibri" w:cs="Times New Roman"/>
                <w:color w:val="000000"/>
                <w:sz w:val="20"/>
                <w:szCs w:val="20"/>
                <w:lang w:val="en-US"/>
              </w:rPr>
              <w:t>6</w:t>
            </w:r>
          </w:p>
        </w:tc>
      </w:tr>
      <w:tr w:rsidR="007538F3" w:rsidRPr="00BF6FB0" w14:paraId="0E479F81"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407A5CC9"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1</w:t>
            </w:r>
          </w:p>
        </w:tc>
        <w:tc>
          <w:tcPr>
            <w:tcW w:w="2466" w:type="dxa"/>
            <w:tcBorders>
              <w:top w:val="nil"/>
              <w:left w:val="nil"/>
              <w:bottom w:val="single" w:sz="8" w:space="0" w:color="auto"/>
              <w:right w:val="single" w:sz="8" w:space="0" w:color="auto"/>
            </w:tcBorders>
            <w:shd w:val="clear" w:color="auto" w:fill="auto"/>
            <w:noWrap/>
            <w:vAlign w:val="bottom"/>
            <w:hideMark/>
          </w:tcPr>
          <w:p w14:paraId="3146513B" w14:textId="77777777" w:rsidR="007538F3" w:rsidRPr="00BF6FB0" w:rsidRDefault="000E7A4A"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367</w:t>
            </w:r>
          </w:p>
        </w:tc>
        <w:tc>
          <w:tcPr>
            <w:tcW w:w="683" w:type="dxa"/>
            <w:tcBorders>
              <w:top w:val="nil"/>
              <w:left w:val="nil"/>
              <w:bottom w:val="single" w:sz="8" w:space="0" w:color="auto"/>
              <w:right w:val="single" w:sz="8" w:space="0" w:color="auto"/>
            </w:tcBorders>
            <w:shd w:val="clear" w:color="auto" w:fill="auto"/>
            <w:noWrap/>
            <w:vAlign w:val="bottom"/>
            <w:hideMark/>
          </w:tcPr>
          <w:p w14:paraId="71A6FF79"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w:t>
            </w:r>
            <w:r w:rsidR="00971D17" w:rsidRPr="00BF6FB0">
              <w:rPr>
                <w:rFonts w:ascii="Calibri" w:eastAsia="Times New Roman" w:hAnsi="Calibri" w:cs="Times New Roman"/>
                <w:color w:val="000000"/>
                <w:sz w:val="20"/>
                <w:szCs w:val="20"/>
                <w:lang w:val="en-US"/>
              </w:rPr>
              <w:t>,</w:t>
            </w:r>
            <w:r w:rsidR="00B8427C" w:rsidRPr="00BF6FB0">
              <w:rPr>
                <w:rFonts w:ascii="Calibri" w:eastAsia="Times New Roman" w:hAnsi="Calibri" w:cs="Times New Roman"/>
                <w:color w:val="000000"/>
                <w:sz w:val="20"/>
                <w:szCs w:val="20"/>
                <w:lang w:val="en-US"/>
              </w:rPr>
              <w:t>9</w:t>
            </w:r>
          </w:p>
        </w:tc>
        <w:tc>
          <w:tcPr>
            <w:tcW w:w="2254" w:type="dxa"/>
            <w:tcBorders>
              <w:top w:val="nil"/>
              <w:left w:val="nil"/>
              <w:bottom w:val="single" w:sz="8" w:space="0" w:color="auto"/>
              <w:right w:val="single" w:sz="8" w:space="0" w:color="auto"/>
            </w:tcBorders>
            <w:shd w:val="clear" w:color="auto" w:fill="auto"/>
            <w:noWrap/>
            <w:vAlign w:val="bottom"/>
            <w:hideMark/>
          </w:tcPr>
          <w:p w14:paraId="2EA3CA41" w14:textId="77777777" w:rsidR="007538F3" w:rsidRPr="00BF6FB0" w:rsidRDefault="000E7A4A"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44</w:t>
            </w:r>
          </w:p>
        </w:tc>
        <w:tc>
          <w:tcPr>
            <w:tcW w:w="823" w:type="dxa"/>
            <w:tcBorders>
              <w:top w:val="nil"/>
              <w:left w:val="nil"/>
              <w:bottom w:val="single" w:sz="8" w:space="0" w:color="auto"/>
              <w:right w:val="single" w:sz="8" w:space="0" w:color="auto"/>
            </w:tcBorders>
            <w:shd w:val="clear" w:color="auto" w:fill="auto"/>
            <w:noWrap/>
            <w:vAlign w:val="bottom"/>
            <w:hideMark/>
          </w:tcPr>
          <w:p w14:paraId="5C92FED9"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9</w:t>
            </w:r>
          </w:p>
        </w:tc>
      </w:tr>
      <w:tr w:rsidR="007538F3" w:rsidRPr="00BF6FB0" w14:paraId="25AB5C26"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6CBED514"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2</w:t>
            </w:r>
          </w:p>
        </w:tc>
        <w:tc>
          <w:tcPr>
            <w:tcW w:w="2466" w:type="dxa"/>
            <w:tcBorders>
              <w:top w:val="nil"/>
              <w:left w:val="nil"/>
              <w:bottom w:val="single" w:sz="8" w:space="0" w:color="auto"/>
              <w:right w:val="single" w:sz="8" w:space="0" w:color="auto"/>
            </w:tcBorders>
            <w:shd w:val="clear" w:color="auto" w:fill="auto"/>
            <w:noWrap/>
            <w:vAlign w:val="bottom"/>
            <w:hideMark/>
          </w:tcPr>
          <w:p w14:paraId="70014976"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171</w:t>
            </w:r>
          </w:p>
        </w:tc>
        <w:tc>
          <w:tcPr>
            <w:tcW w:w="683" w:type="dxa"/>
            <w:tcBorders>
              <w:top w:val="nil"/>
              <w:left w:val="nil"/>
              <w:bottom w:val="single" w:sz="8" w:space="0" w:color="auto"/>
              <w:right w:val="single" w:sz="8" w:space="0" w:color="auto"/>
            </w:tcBorders>
            <w:shd w:val="clear" w:color="auto" w:fill="auto"/>
            <w:noWrap/>
            <w:vAlign w:val="bottom"/>
            <w:hideMark/>
          </w:tcPr>
          <w:p w14:paraId="7C6C34F7"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w:t>
            </w:r>
            <w:r w:rsidR="00971D17" w:rsidRPr="00BF6FB0">
              <w:rPr>
                <w:rFonts w:ascii="Calibri" w:eastAsia="Times New Roman" w:hAnsi="Calibri" w:cs="Times New Roman"/>
                <w:color w:val="000000"/>
                <w:sz w:val="20"/>
                <w:szCs w:val="20"/>
                <w:lang w:val="en-US"/>
              </w:rPr>
              <w:t>,</w:t>
            </w:r>
            <w:r w:rsidR="00B8427C" w:rsidRPr="00BF6FB0">
              <w:rPr>
                <w:rFonts w:ascii="Calibri" w:eastAsia="Times New Roman" w:hAnsi="Calibri" w:cs="Times New Roman"/>
                <w:color w:val="000000"/>
                <w:sz w:val="20"/>
                <w:szCs w:val="20"/>
                <w:lang w:val="en-US"/>
              </w:rPr>
              <w:t>9</w:t>
            </w:r>
          </w:p>
        </w:tc>
        <w:tc>
          <w:tcPr>
            <w:tcW w:w="2254" w:type="dxa"/>
            <w:tcBorders>
              <w:top w:val="nil"/>
              <w:left w:val="nil"/>
              <w:bottom w:val="single" w:sz="8" w:space="0" w:color="auto"/>
              <w:right w:val="single" w:sz="8" w:space="0" w:color="auto"/>
            </w:tcBorders>
            <w:shd w:val="clear" w:color="auto" w:fill="auto"/>
            <w:noWrap/>
            <w:vAlign w:val="bottom"/>
            <w:hideMark/>
          </w:tcPr>
          <w:p w14:paraId="5E38E6BB"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35</w:t>
            </w:r>
          </w:p>
        </w:tc>
        <w:tc>
          <w:tcPr>
            <w:tcW w:w="823" w:type="dxa"/>
            <w:tcBorders>
              <w:top w:val="nil"/>
              <w:left w:val="nil"/>
              <w:bottom w:val="single" w:sz="8" w:space="0" w:color="auto"/>
              <w:right w:val="single" w:sz="8" w:space="0" w:color="auto"/>
            </w:tcBorders>
            <w:shd w:val="clear" w:color="auto" w:fill="auto"/>
            <w:noWrap/>
            <w:vAlign w:val="bottom"/>
            <w:hideMark/>
          </w:tcPr>
          <w:p w14:paraId="47F88FA4"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971D17" w:rsidRPr="00BF6FB0">
              <w:rPr>
                <w:rFonts w:ascii="Calibri" w:eastAsia="Times New Roman" w:hAnsi="Calibri" w:cs="Times New Roman"/>
                <w:color w:val="000000"/>
                <w:sz w:val="20"/>
                <w:szCs w:val="20"/>
                <w:lang w:val="en-US"/>
              </w:rPr>
              <w:t>,</w:t>
            </w:r>
            <w:r w:rsidR="00B8427C" w:rsidRPr="00BF6FB0">
              <w:rPr>
                <w:rFonts w:ascii="Calibri" w:eastAsia="Times New Roman" w:hAnsi="Calibri" w:cs="Times New Roman"/>
                <w:color w:val="000000"/>
                <w:sz w:val="20"/>
                <w:szCs w:val="20"/>
                <w:lang w:val="en-US"/>
              </w:rPr>
              <w:t>4</w:t>
            </w:r>
          </w:p>
        </w:tc>
      </w:tr>
      <w:tr w:rsidR="007538F3" w:rsidRPr="00BF6FB0" w14:paraId="0BDE99E5"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39FAE1EA"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lastRenderedPageBreak/>
              <w:t>3+</w:t>
            </w:r>
          </w:p>
        </w:tc>
        <w:tc>
          <w:tcPr>
            <w:tcW w:w="2466" w:type="dxa"/>
            <w:tcBorders>
              <w:top w:val="nil"/>
              <w:left w:val="nil"/>
              <w:bottom w:val="single" w:sz="8" w:space="0" w:color="auto"/>
              <w:right w:val="single" w:sz="8" w:space="0" w:color="auto"/>
            </w:tcBorders>
            <w:shd w:val="clear" w:color="auto" w:fill="auto"/>
            <w:noWrap/>
            <w:vAlign w:val="bottom"/>
            <w:hideMark/>
          </w:tcPr>
          <w:p w14:paraId="68B9AC1E"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92</w:t>
            </w:r>
          </w:p>
        </w:tc>
        <w:tc>
          <w:tcPr>
            <w:tcW w:w="683" w:type="dxa"/>
            <w:tcBorders>
              <w:top w:val="nil"/>
              <w:left w:val="nil"/>
              <w:bottom w:val="single" w:sz="8" w:space="0" w:color="auto"/>
              <w:right w:val="single" w:sz="8" w:space="0" w:color="auto"/>
            </w:tcBorders>
            <w:shd w:val="clear" w:color="auto" w:fill="auto"/>
            <w:hideMark/>
          </w:tcPr>
          <w:p w14:paraId="360CDA22"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7</w:t>
            </w:r>
          </w:p>
        </w:tc>
        <w:tc>
          <w:tcPr>
            <w:tcW w:w="2254" w:type="dxa"/>
            <w:tcBorders>
              <w:top w:val="nil"/>
              <w:left w:val="nil"/>
              <w:bottom w:val="single" w:sz="8" w:space="0" w:color="auto"/>
              <w:right w:val="single" w:sz="8" w:space="0" w:color="auto"/>
            </w:tcBorders>
            <w:shd w:val="clear" w:color="auto" w:fill="auto"/>
            <w:noWrap/>
            <w:vAlign w:val="bottom"/>
            <w:hideMark/>
          </w:tcPr>
          <w:p w14:paraId="26191F06"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31</w:t>
            </w:r>
          </w:p>
        </w:tc>
        <w:tc>
          <w:tcPr>
            <w:tcW w:w="823" w:type="dxa"/>
            <w:tcBorders>
              <w:top w:val="nil"/>
              <w:left w:val="nil"/>
              <w:bottom w:val="single" w:sz="8" w:space="0" w:color="auto"/>
              <w:right w:val="single" w:sz="8" w:space="0" w:color="auto"/>
            </w:tcBorders>
            <w:shd w:val="clear" w:color="auto" w:fill="auto"/>
            <w:hideMark/>
          </w:tcPr>
          <w:p w14:paraId="2CC7E666" w14:textId="77777777" w:rsidR="007538F3" w:rsidRPr="00BF6FB0" w:rsidRDefault="00B8427C"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1</w:t>
            </w:r>
          </w:p>
        </w:tc>
      </w:tr>
      <w:tr w:rsidR="007538F3" w:rsidRPr="00BF6FB0" w14:paraId="13FB8FAD"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75C29A90" w14:textId="77777777" w:rsidR="007538F3"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xml:space="preserve">Total number of female household heads </w:t>
            </w:r>
          </w:p>
        </w:tc>
        <w:tc>
          <w:tcPr>
            <w:tcW w:w="2466" w:type="dxa"/>
            <w:tcBorders>
              <w:top w:val="nil"/>
              <w:left w:val="nil"/>
              <w:bottom w:val="single" w:sz="8" w:space="0" w:color="auto"/>
              <w:right w:val="single" w:sz="8" w:space="0" w:color="auto"/>
            </w:tcBorders>
            <w:shd w:val="clear" w:color="auto" w:fill="auto"/>
            <w:noWrap/>
            <w:vAlign w:val="bottom"/>
            <w:hideMark/>
          </w:tcPr>
          <w:p w14:paraId="45B0853E"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2475</w:t>
            </w:r>
          </w:p>
        </w:tc>
        <w:tc>
          <w:tcPr>
            <w:tcW w:w="683" w:type="dxa"/>
            <w:tcBorders>
              <w:top w:val="nil"/>
              <w:left w:val="nil"/>
              <w:bottom w:val="single" w:sz="8" w:space="0" w:color="auto"/>
              <w:right w:val="single" w:sz="8" w:space="0" w:color="auto"/>
            </w:tcBorders>
            <w:shd w:val="clear" w:color="auto" w:fill="auto"/>
            <w:noWrap/>
            <w:vAlign w:val="bottom"/>
            <w:hideMark/>
          </w:tcPr>
          <w:p w14:paraId="1FF469FA"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c>
          <w:tcPr>
            <w:tcW w:w="2254" w:type="dxa"/>
            <w:tcBorders>
              <w:top w:val="nil"/>
              <w:left w:val="nil"/>
              <w:bottom w:val="single" w:sz="8" w:space="0" w:color="auto"/>
              <w:right w:val="single" w:sz="8" w:space="0" w:color="auto"/>
            </w:tcBorders>
            <w:shd w:val="clear" w:color="auto" w:fill="auto"/>
            <w:noWrap/>
            <w:vAlign w:val="bottom"/>
            <w:hideMark/>
          </w:tcPr>
          <w:p w14:paraId="7E92561C"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1493</w:t>
            </w:r>
          </w:p>
        </w:tc>
        <w:tc>
          <w:tcPr>
            <w:tcW w:w="823" w:type="dxa"/>
            <w:tcBorders>
              <w:top w:val="nil"/>
              <w:left w:val="nil"/>
              <w:bottom w:val="single" w:sz="8" w:space="0" w:color="auto"/>
              <w:right w:val="single" w:sz="8" w:space="0" w:color="auto"/>
            </w:tcBorders>
            <w:shd w:val="clear" w:color="auto" w:fill="auto"/>
            <w:noWrap/>
            <w:vAlign w:val="bottom"/>
            <w:hideMark/>
          </w:tcPr>
          <w:p w14:paraId="4EFE7C83"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0</w:t>
            </w:r>
          </w:p>
        </w:tc>
      </w:tr>
      <w:tr w:rsidR="007538F3" w:rsidRPr="00BF6FB0" w14:paraId="4CA19837" w14:textId="77777777" w:rsidTr="001A7567">
        <w:trPr>
          <w:trHeight w:val="17"/>
        </w:trPr>
        <w:tc>
          <w:tcPr>
            <w:tcW w:w="9114"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34C38A68"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Male household heads</w:t>
            </w:r>
          </w:p>
        </w:tc>
      </w:tr>
      <w:tr w:rsidR="007538F3" w:rsidRPr="00BF6FB0" w14:paraId="648012EC"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6E59470D"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w:t>
            </w:r>
          </w:p>
        </w:tc>
        <w:tc>
          <w:tcPr>
            <w:tcW w:w="314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07AC17"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Less than 65</w:t>
            </w:r>
          </w:p>
        </w:tc>
        <w:tc>
          <w:tcPr>
            <w:tcW w:w="307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61DDA0"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65 years and older</w:t>
            </w:r>
          </w:p>
        </w:tc>
      </w:tr>
      <w:tr w:rsidR="00346C2D" w:rsidRPr="00BF6FB0" w14:paraId="0754F7AD"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2062D2BC"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children</w:t>
            </w:r>
          </w:p>
        </w:tc>
        <w:tc>
          <w:tcPr>
            <w:tcW w:w="2466" w:type="dxa"/>
            <w:tcBorders>
              <w:top w:val="nil"/>
              <w:left w:val="nil"/>
              <w:bottom w:val="nil"/>
              <w:right w:val="single" w:sz="8" w:space="0" w:color="auto"/>
            </w:tcBorders>
            <w:shd w:val="clear" w:color="auto" w:fill="auto"/>
            <w:vAlign w:val="bottom"/>
            <w:hideMark/>
          </w:tcPr>
          <w:p w14:paraId="0A3B3876"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683" w:type="dxa"/>
            <w:tcBorders>
              <w:top w:val="nil"/>
              <w:left w:val="nil"/>
              <w:bottom w:val="nil"/>
              <w:right w:val="single" w:sz="8" w:space="0" w:color="auto"/>
            </w:tcBorders>
            <w:shd w:val="clear" w:color="auto" w:fill="auto"/>
            <w:vAlign w:val="bottom"/>
            <w:hideMark/>
          </w:tcPr>
          <w:p w14:paraId="1CF1C942"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c>
          <w:tcPr>
            <w:tcW w:w="2254" w:type="dxa"/>
            <w:tcBorders>
              <w:top w:val="nil"/>
              <w:left w:val="nil"/>
              <w:bottom w:val="nil"/>
              <w:right w:val="single" w:sz="8" w:space="0" w:color="auto"/>
            </w:tcBorders>
            <w:shd w:val="clear" w:color="auto" w:fill="auto"/>
            <w:vAlign w:val="bottom"/>
            <w:hideMark/>
          </w:tcPr>
          <w:p w14:paraId="02C299E9"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823" w:type="dxa"/>
            <w:tcBorders>
              <w:top w:val="nil"/>
              <w:left w:val="nil"/>
              <w:bottom w:val="nil"/>
              <w:right w:val="single" w:sz="8" w:space="0" w:color="auto"/>
            </w:tcBorders>
            <w:shd w:val="clear" w:color="auto" w:fill="auto"/>
            <w:vAlign w:val="bottom"/>
            <w:hideMark/>
          </w:tcPr>
          <w:p w14:paraId="7E972435" w14:textId="77777777" w:rsidR="00346C2D" w:rsidRPr="00BF6FB0" w:rsidRDefault="00346C2D" w:rsidP="00346C2D">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7538F3" w:rsidRPr="00BF6FB0" w14:paraId="53572A6B"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61AE59F9"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0</w:t>
            </w:r>
          </w:p>
        </w:tc>
        <w:tc>
          <w:tcPr>
            <w:tcW w:w="2466" w:type="dxa"/>
            <w:tcBorders>
              <w:top w:val="single" w:sz="8" w:space="0" w:color="auto"/>
              <w:left w:val="nil"/>
              <w:bottom w:val="single" w:sz="8" w:space="0" w:color="auto"/>
              <w:right w:val="single" w:sz="8" w:space="0" w:color="auto"/>
            </w:tcBorders>
            <w:shd w:val="clear" w:color="auto" w:fill="auto"/>
            <w:noWrap/>
            <w:vAlign w:val="bottom"/>
            <w:hideMark/>
          </w:tcPr>
          <w:p w14:paraId="78BE9326"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6855</w:t>
            </w:r>
          </w:p>
        </w:tc>
        <w:tc>
          <w:tcPr>
            <w:tcW w:w="683" w:type="dxa"/>
            <w:tcBorders>
              <w:top w:val="single" w:sz="8" w:space="0" w:color="auto"/>
              <w:left w:val="nil"/>
              <w:bottom w:val="single" w:sz="8" w:space="0" w:color="auto"/>
              <w:right w:val="single" w:sz="8" w:space="0" w:color="auto"/>
            </w:tcBorders>
            <w:shd w:val="clear" w:color="auto" w:fill="auto"/>
            <w:noWrap/>
            <w:vAlign w:val="bottom"/>
            <w:hideMark/>
          </w:tcPr>
          <w:p w14:paraId="42201603"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44</w:t>
            </w:r>
            <w:r w:rsidR="002F33C8"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3</w:t>
            </w:r>
          </w:p>
        </w:tc>
        <w:tc>
          <w:tcPr>
            <w:tcW w:w="2254" w:type="dxa"/>
            <w:tcBorders>
              <w:top w:val="single" w:sz="8" w:space="0" w:color="auto"/>
              <w:left w:val="nil"/>
              <w:bottom w:val="single" w:sz="8" w:space="0" w:color="auto"/>
              <w:right w:val="single" w:sz="8" w:space="0" w:color="auto"/>
            </w:tcBorders>
            <w:shd w:val="clear" w:color="auto" w:fill="auto"/>
            <w:noWrap/>
            <w:vAlign w:val="bottom"/>
            <w:hideMark/>
          </w:tcPr>
          <w:p w14:paraId="63F938A5" w14:textId="77777777" w:rsidR="007538F3" w:rsidRPr="00BF6FB0" w:rsidRDefault="00EC582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2068</w:t>
            </w:r>
          </w:p>
        </w:tc>
        <w:tc>
          <w:tcPr>
            <w:tcW w:w="823" w:type="dxa"/>
            <w:tcBorders>
              <w:top w:val="single" w:sz="8" w:space="0" w:color="auto"/>
              <w:left w:val="nil"/>
              <w:bottom w:val="single" w:sz="8" w:space="0" w:color="auto"/>
              <w:right w:val="single" w:sz="8" w:space="0" w:color="auto"/>
            </w:tcBorders>
            <w:shd w:val="clear" w:color="auto" w:fill="auto"/>
            <w:noWrap/>
            <w:vAlign w:val="bottom"/>
            <w:hideMark/>
          </w:tcPr>
          <w:p w14:paraId="6AFEFDB0"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85</w:t>
            </w:r>
            <w:r w:rsidR="002F33C8"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8</w:t>
            </w:r>
          </w:p>
        </w:tc>
      </w:tr>
      <w:tr w:rsidR="007538F3" w:rsidRPr="00BF6FB0" w14:paraId="13A4F058"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520330D9"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1</w:t>
            </w:r>
          </w:p>
        </w:tc>
        <w:tc>
          <w:tcPr>
            <w:tcW w:w="2466" w:type="dxa"/>
            <w:tcBorders>
              <w:top w:val="nil"/>
              <w:left w:val="nil"/>
              <w:bottom w:val="single" w:sz="8" w:space="0" w:color="auto"/>
              <w:right w:val="single" w:sz="8" w:space="0" w:color="auto"/>
            </w:tcBorders>
            <w:shd w:val="clear" w:color="auto" w:fill="auto"/>
            <w:noWrap/>
            <w:vAlign w:val="bottom"/>
            <w:hideMark/>
          </w:tcPr>
          <w:p w14:paraId="5F75D6D6" w14:textId="77777777" w:rsidR="007538F3" w:rsidRPr="00BF6FB0" w:rsidRDefault="000E7A4A"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3636</w:t>
            </w:r>
          </w:p>
        </w:tc>
        <w:tc>
          <w:tcPr>
            <w:tcW w:w="683" w:type="dxa"/>
            <w:tcBorders>
              <w:top w:val="nil"/>
              <w:left w:val="nil"/>
              <w:bottom w:val="single" w:sz="8" w:space="0" w:color="auto"/>
              <w:right w:val="single" w:sz="8" w:space="0" w:color="auto"/>
            </w:tcBorders>
            <w:shd w:val="clear" w:color="auto" w:fill="auto"/>
            <w:noWrap/>
            <w:vAlign w:val="bottom"/>
            <w:hideMark/>
          </w:tcPr>
          <w:p w14:paraId="46BFC00F"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23</w:t>
            </w:r>
            <w:r w:rsidR="002F33C8" w:rsidRPr="00BF6FB0">
              <w:rPr>
                <w:rFonts w:ascii="Calibri" w:eastAsia="Times New Roman" w:hAnsi="Calibri" w:cs="Times New Roman"/>
                <w:color w:val="000000"/>
                <w:sz w:val="20"/>
                <w:szCs w:val="20"/>
                <w:lang w:val="en-US"/>
              </w:rPr>
              <w:t>,</w:t>
            </w:r>
            <w:r w:rsidR="002B3CA9" w:rsidRPr="00BF6FB0">
              <w:rPr>
                <w:rFonts w:ascii="Calibri" w:eastAsia="Times New Roman" w:hAnsi="Calibri" w:cs="Times New Roman"/>
                <w:color w:val="000000"/>
                <w:sz w:val="20"/>
                <w:szCs w:val="20"/>
                <w:lang w:val="en-US"/>
              </w:rPr>
              <w:t>5</w:t>
            </w:r>
          </w:p>
        </w:tc>
        <w:tc>
          <w:tcPr>
            <w:tcW w:w="2254" w:type="dxa"/>
            <w:tcBorders>
              <w:top w:val="nil"/>
              <w:left w:val="nil"/>
              <w:bottom w:val="single" w:sz="8" w:space="0" w:color="auto"/>
              <w:right w:val="single" w:sz="8" w:space="0" w:color="auto"/>
            </w:tcBorders>
            <w:shd w:val="clear" w:color="auto" w:fill="auto"/>
            <w:noWrap/>
            <w:vAlign w:val="bottom"/>
            <w:hideMark/>
          </w:tcPr>
          <w:p w14:paraId="4537E401"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104</w:t>
            </w:r>
          </w:p>
        </w:tc>
        <w:tc>
          <w:tcPr>
            <w:tcW w:w="823" w:type="dxa"/>
            <w:tcBorders>
              <w:top w:val="nil"/>
              <w:left w:val="nil"/>
              <w:bottom w:val="single" w:sz="8" w:space="0" w:color="auto"/>
              <w:right w:val="single" w:sz="8" w:space="0" w:color="auto"/>
            </w:tcBorders>
            <w:shd w:val="clear" w:color="auto" w:fill="auto"/>
            <w:noWrap/>
            <w:vAlign w:val="bottom"/>
            <w:hideMark/>
          </w:tcPr>
          <w:p w14:paraId="0C32CB11"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w:t>
            </w:r>
            <w:r w:rsidR="002F33C8"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3</w:t>
            </w:r>
          </w:p>
        </w:tc>
      </w:tr>
      <w:tr w:rsidR="007538F3" w:rsidRPr="00BF6FB0" w14:paraId="321F3921"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39A5170B"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2</w:t>
            </w:r>
          </w:p>
        </w:tc>
        <w:tc>
          <w:tcPr>
            <w:tcW w:w="2466" w:type="dxa"/>
            <w:tcBorders>
              <w:top w:val="nil"/>
              <w:left w:val="nil"/>
              <w:bottom w:val="single" w:sz="8" w:space="0" w:color="auto"/>
              <w:right w:val="single" w:sz="8" w:space="0" w:color="auto"/>
            </w:tcBorders>
            <w:shd w:val="clear" w:color="auto" w:fill="auto"/>
            <w:noWrap/>
            <w:vAlign w:val="bottom"/>
            <w:hideMark/>
          </w:tcPr>
          <w:p w14:paraId="0D71C7E2" w14:textId="77777777" w:rsidR="007538F3" w:rsidRPr="00BF6FB0" w:rsidRDefault="006769E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3140</w:t>
            </w:r>
          </w:p>
        </w:tc>
        <w:tc>
          <w:tcPr>
            <w:tcW w:w="683" w:type="dxa"/>
            <w:tcBorders>
              <w:top w:val="nil"/>
              <w:left w:val="nil"/>
              <w:bottom w:val="single" w:sz="8" w:space="0" w:color="auto"/>
              <w:right w:val="single" w:sz="8" w:space="0" w:color="auto"/>
            </w:tcBorders>
            <w:shd w:val="clear" w:color="auto" w:fill="auto"/>
            <w:noWrap/>
            <w:vAlign w:val="bottom"/>
            <w:hideMark/>
          </w:tcPr>
          <w:p w14:paraId="610DD622"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w:t>
            </w:r>
            <w:r w:rsidR="002F33C8" w:rsidRPr="00BF6FB0">
              <w:rPr>
                <w:rFonts w:ascii="Calibri" w:eastAsia="Times New Roman" w:hAnsi="Calibri" w:cs="Times New Roman"/>
                <w:color w:val="000000"/>
                <w:sz w:val="20"/>
                <w:szCs w:val="20"/>
                <w:lang w:val="en-US"/>
              </w:rPr>
              <w:t>,</w:t>
            </w:r>
            <w:r w:rsidR="006769ED" w:rsidRPr="00BF6FB0">
              <w:rPr>
                <w:rFonts w:ascii="Calibri" w:eastAsia="Times New Roman" w:hAnsi="Calibri" w:cs="Times New Roman"/>
                <w:color w:val="000000"/>
                <w:sz w:val="20"/>
                <w:szCs w:val="20"/>
                <w:lang w:val="en-US"/>
              </w:rPr>
              <w:t>3</w:t>
            </w:r>
          </w:p>
        </w:tc>
        <w:tc>
          <w:tcPr>
            <w:tcW w:w="2254" w:type="dxa"/>
            <w:tcBorders>
              <w:top w:val="nil"/>
              <w:left w:val="nil"/>
              <w:bottom w:val="single" w:sz="8" w:space="0" w:color="auto"/>
              <w:right w:val="single" w:sz="8" w:space="0" w:color="auto"/>
            </w:tcBorders>
            <w:shd w:val="clear" w:color="auto" w:fill="auto"/>
            <w:noWrap/>
            <w:vAlign w:val="bottom"/>
            <w:hideMark/>
          </w:tcPr>
          <w:p w14:paraId="6ADCB68F"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147</w:t>
            </w:r>
          </w:p>
        </w:tc>
        <w:tc>
          <w:tcPr>
            <w:tcW w:w="823" w:type="dxa"/>
            <w:tcBorders>
              <w:top w:val="nil"/>
              <w:left w:val="nil"/>
              <w:bottom w:val="single" w:sz="8" w:space="0" w:color="auto"/>
              <w:right w:val="single" w:sz="8" w:space="0" w:color="auto"/>
            </w:tcBorders>
            <w:shd w:val="clear" w:color="auto" w:fill="auto"/>
            <w:noWrap/>
            <w:vAlign w:val="bottom"/>
            <w:hideMark/>
          </w:tcPr>
          <w:p w14:paraId="30546E7B"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w:t>
            </w:r>
            <w:r w:rsidR="002F33C8" w:rsidRPr="00BF6FB0">
              <w:rPr>
                <w:rFonts w:ascii="Calibri" w:eastAsia="Times New Roman" w:hAnsi="Calibri" w:cs="Times New Roman"/>
                <w:color w:val="000000"/>
                <w:sz w:val="20"/>
                <w:szCs w:val="20"/>
                <w:lang w:val="en-US"/>
              </w:rPr>
              <w:t>,</w:t>
            </w:r>
            <w:r w:rsidR="002B3CA9" w:rsidRPr="00BF6FB0">
              <w:rPr>
                <w:rFonts w:ascii="Calibri" w:eastAsia="Times New Roman" w:hAnsi="Calibri" w:cs="Times New Roman"/>
                <w:color w:val="000000"/>
                <w:sz w:val="20"/>
                <w:szCs w:val="20"/>
                <w:lang w:val="en-US"/>
              </w:rPr>
              <w:t>1</w:t>
            </w:r>
          </w:p>
        </w:tc>
      </w:tr>
      <w:tr w:rsidR="007538F3" w:rsidRPr="00BF6FB0" w14:paraId="2033C0B6"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72DF75A9" w14:textId="77777777" w:rsidR="007538F3" w:rsidRPr="00BF6FB0" w:rsidRDefault="007538F3"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3+</w:t>
            </w:r>
          </w:p>
        </w:tc>
        <w:tc>
          <w:tcPr>
            <w:tcW w:w="2466" w:type="dxa"/>
            <w:tcBorders>
              <w:top w:val="nil"/>
              <w:left w:val="nil"/>
              <w:bottom w:val="single" w:sz="8" w:space="0" w:color="auto"/>
              <w:right w:val="single" w:sz="8" w:space="0" w:color="auto"/>
            </w:tcBorders>
            <w:shd w:val="clear" w:color="auto" w:fill="auto"/>
            <w:noWrap/>
            <w:vAlign w:val="bottom"/>
            <w:hideMark/>
          </w:tcPr>
          <w:p w14:paraId="01B1C9F6" w14:textId="77777777" w:rsidR="006769ED" w:rsidRPr="00BF6FB0" w:rsidRDefault="006769ED" w:rsidP="006769ED">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1833</w:t>
            </w:r>
          </w:p>
        </w:tc>
        <w:tc>
          <w:tcPr>
            <w:tcW w:w="683" w:type="dxa"/>
            <w:tcBorders>
              <w:top w:val="nil"/>
              <w:left w:val="nil"/>
              <w:bottom w:val="single" w:sz="8" w:space="0" w:color="auto"/>
              <w:right w:val="single" w:sz="8" w:space="0" w:color="auto"/>
            </w:tcBorders>
            <w:shd w:val="clear" w:color="auto" w:fill="auto"/>
            <w:hideMark/>
          </w:tcPr>
          <w:p w14:paraId="1C9D95B2" w14:textId="77777777" w:rsidR="007538F3" w:rsidRPr="00BF6FB0" w:rsidRDefault="006769ED"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11</w:t>
            </w:r>
            <w:r w:rsidR="002F33C8"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8</w:t>
            </w:r>
          </w:p>
        </w:tc>
        <w:tc>
          <w:tcPr>
            <w:tcW w:w="2254" w:type="dxa"/>
            <w:tcBorders>
              <w:top w:val="nil"/>
              <w:left w:val="nil"/>
              <w:bottom w:val="single" w:sz="8" w:space="0" w:color="auto"/>
              <w:right w:val="single" w:sz="8" w:space="0" w:color="auto"/>
            </w:tcBorders>
            <w:shd w:val="clear" w:color="auto" w:fill="auto"/>
            <w:noWrap/>
            <w:vAlign w:val="bottom"/>
            <w:hideMark/>
          </w:tcPr>
          <w:p w14:paraId="64849166"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93</w:t>
            </w:r>
          </w:p>
        </w:tc>
        <w:tc>
          <w:tcPr>
            <w:tcW w:w="823" w:type="dxa"/>
            <w:tcBorders>
              <w:top w:val="nil"/>
              <w:left w:val="nil"/>
              <w:bottom w:val="single" w:sz="8" w:space="0" w:color="auto"/>
              <w:right w:val="single" w:sz="8" w:space="0" w:color="auto"/>
            </w:tcBorders>
            <w:shd w:val="clear" w:color="auto" w:fill="auto"/>
            <w:hideMark/>
          </w:tcPr>
          <w:p w14:paraId="4CCAEEB0" w14:textId="77777777" w:rsidR="007538F3" w:rsidRPr="00BF6FB0" w:rsidRDefault="002B3CA9"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w:t>
            </w:r>
            <w:r w:rsidR="002F33C8"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8</w:t>
            </w:r>
          </w:p>
        </w:tc>
      </w:tr>
      <w:tr w:rsidR="007538F3" w:rsidRPr="00BF6FB0" w14:paraId="61B79587" w14:textId="77777777" w:rsidTr="0065689C">
        <w:trPr>
          <w:trHeight w:val="17"/>
        </w:trPr>
        <w:tc>
          <w:tcPr>
            <w:tcW w:w="2888" w:type="dxa"/>
            <w:tcBorders>
              <w:top w:val="nil"/>
              <w:left w:val="single" w:sz="8" w:space="0" w:color="auto"/>
              <w:bottom w:val="single" w:sz="8" w:space="0" w:color="auto"/>
              <w:right w:val="single" w:sz="8" w:space="0" w:color="auto"/>
            </w:tcBorders>
            <w:shd w:val="clear" w:color="auto" w:fill="auto"/>
            <w:hideMark/>
          </w:tcPr>
          <w:p w14:paraId="7C74D9BC" w14:textId="77777777" w:rsidR="007538F3" w:rsidRPr="00BF6FB0" w:rsidRDefault="00346C2D"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Total number of male household heads</w:t>
            </w:r>
            <w:r w:rsidR="007538F3" w:rsidRPr="00BF6FB0">
              <w:rPr>
                <w:rFonts w:ascii="Calibri" w:eastAsia="Times New Roman" w:hAnsi="Calibri" w:cs="Times New Roman"/>
                <w:b/>
                <w:bCs/>
                <w:color w:val="000000"/>
                <w:sz w:val="20"/>
                <w:szCs w:val="20"/>
                <w:lang w:val="en-US"/>
              </w:rPr>
              <w:t xml:space="preserve"> </w:t>
            </w:r>
          </w:p>
        </w:tc>
        <w:tc>
          <w:tcPr>
            <w:tcW w:w="2466" w:type="dxa"/>
            <w:tcBorders>
              <w:top w:val="nil"/>
              <w:left w:val="nil"/>
              <w:bottom w:val="single" w:sz="8" w:space="0" w:color="auto"/>
              <w:right w:val="single" w:sz="8" w:space="0" w:color="auto"/>
            </w:tcBorders>
            <w:shd w:val="clear" w:color="auto" w:fill="auto"/>
            <w:noWrap/>
            <w:vAlign w:val="bottom"/>
            <w:hideMark/>
          </w:tcPr>
          <w:p w14:paraId="29D1F669" w14:textId="77777777" w:rsidR="007538F3" w:rsidRPr="00BF6FB0" w:rsidRDefault="00EC582D" w:rsidP="007538F3">
            <w:pPr>
              <w:spacing w:after="0" w:line="240" w:lineRule="auto"/>
              <w:jc w:val="right"/>
              <w:rPr>
                <w:rFonts w:ascii="Calibri" w:eastAsia="Times New Roman" w:hAnsi="Calibri" w:cs="Times New Roman"/>
                <w:color w:val="000000"/>
                <w:sz w:val="20"/>
                <w:szCs w:val="20"/>
                <w:highlight w:val="yellow"/>
                <w:lang w:val="en-US"/>
              </w:rPr>
            </w:pPr>
            <w:r w:rsidRPr="00BF6FB0">
              <w:rPr>
                <w:rFonts w:ascii="Calibri" w:eastAsia="Times New Roman" w:hAnsi="Calibri" w:cs="Times New Roman"/>
                <w:color w:val="000000"/>
                <w:sz w:val="20"/>
                <w:szCs w:val="20"/>
                <w:lang w:val="en-US"/>
              </w:rPr>
              <w:t>15456</w:t>
            </w:r>
          </w:p>
        </w:tc>
        <w:tc>
          <w:tcPr>
            <w:tcW w:w="683" w:type="dxa"/>
            <w:tcBorders>
              <w:top w:val="nil"/>
              <w:left w:val="nil"/>
              <w:bottom w:val="single" w:sz="8" w:space="0" w:color="auto"/>
              <w:right w:val="single" w:sz="8" w:space="0" w:color="auto"/>
            </w:tcBorders>
            <w:shd w:val="clear" w:color="auto" w:fill="auto"/>
            <w:noWrap/>
            <w:vAlign w:val="bottom"/>
            <w:hideMark/>
          </w:tcPr>
          <w:p w14:paraId="76E6F062"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c>
          <w:tcPr>
            <w:tcW w:w="2254" w:type="dxa"/>
            <w:tcBorders>
              <w:top w:val="nil"/>
              <w:left w:val="nil"/>
              <w:bottom w:val="single" w:sz="8" w:space="0" w:color="auto"/>
              <w:right w:val="single" w:sz="8" w:space="0" w:color="auto"/>
            </w:tcBorders>
            <w:shd w:val="clear" w:color="auto" w:fill="auto"/>
            <w:noWrap/>
            <w:vAlign w:val="bottom"/>
            <w:hideMark/>
          </w:tcPr>
          <w:p w14:paraId="14A0E26E" w14:textId="77777777" w:rsidR="007538F3" w:rsidRPr="00BF6FB0" w:rsidRDefault="00EC582D" w:rsidP="007538F3">
            <w:pPr>
              <w:spacing w:after="0" w:line="240" w:lineRule="auto"/>
              <w:jc w:val="right"/>
              <w:rPr>
                <w:rFonts w:ascii="Calibri" w:eastAsia="Times New Roman" w:hAnsi="Calibri" w:cs="Times New Roman"/>
                <w:color w:val="000000"/>
                <w:sz w:val="20"/>
                <w:szCs w:val="20"/>
                <w:highlight w:val="yellow"/>
                <w:lang w:val="en-US"/>
              </w:rPr>
            </w:pPr>
            <w:r w:rsidRPr="00BF6FB0">
              <w:rPr>
                <w:rFonts w:ascii="Calibri" w:eastAsia="Times New Roman" w:hAnsi="Calibri" w:cs="Times New Roman"/>
                <w:color w:val="000000"/>
                <w:sz w:val="20"/>
                <w:szCs w:val="20"/>
                <w:lang w:val="en-US"/>
              </w:rPr>
              <w:t>2412</w:t>
            </w:r>
          </w:p>
        </w:tc>
        <w:tc>
          <w:tcPr>
            <w:tcW w:w="823" w:type="dxa"/>
            <w:tcBorders>
              <w:top w:val="nil"/>
              <w:left w:val="nil"/>
              <w:bottom w:val="single" w:sz="8" w:space="0" w:color="auto"/>
              <w:right w:val="single" w:sz="8" w:space="0" w:color="auto"/>
            </w:tcBorders>
            <w:shd w:val="clear" w:color="auto" w:fill="auto"/>
            <w:noWrap/>
            <w:vAlign w:val="bottom"/>
            <w:hideMark/>
          </w:tcPr>
          <w:p w14:paraId="7B1B4F21" w14:textId="77777777" w:rsidR="007538F3" w:rsidRPr="00BF6FB0" w:rsidRDefault="007538F3" w:rsidP="007538F3">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p>
        </w:tc>
      </w:tr>
    </w:tbl>
    <w:p w14:paraId="5AF055A6" w14:textId="77777777" w:rsidR="0065689C" w:rsidRPr="00BF6FB0" w:rsidRDefault="0065689C" w:rsidP="0065689C">
      <w:pPr>
        <w:pStyle w:val="Caption"/>
        <w:rPr>
          <w:b w:val="0"/>
          <w:color w:val="auto"/>
          <w:lang w:val="en-US"/>
        </w:rPr>
      </w:pPr>
      <w:r w:rsidRPr="00BF6FB0">
        <w:rPr>
          <w:b w:val="0"/>
          <w:color w:val="auto"/>
          <w:lang w:val="en-US"/>
        </w:rPr>
        <w:t xml:space="preserve">Source: 2015 TurkStat Income and Living Conditions Survey; Betam </w:t>
      </w:r>
    </w:p>
    <w:p w14:paraId="5112B9F0" w14:textId="77777777" w:rsidR="008C55F2" w:rsidRPr="00BF6FB0" w:rsidRDefault="00DC2977" w:rsidP="008C55F2">
      <w:pPr>
        <w:jc w:val="both"/>
        <w:rPr>
          <w:rFonts w:cs="Arial"/>
          <w:b/>
          <w:sz w:val="24"/>
          <w:szCs w:val="24"/>
          <w:lang w:val="en-US"/>
        </w:rPr>
      </w:pPr>
      <w:r w:rsidRPr="00BF6FB0">
        <w:rPr>
          <w:rFonts w:cs="Arial"/>
          <w:b/>
          <w:sz w:val="24"/>
          <w:szCs w:val="24"/>
          <w:lang w:val="en-US"/>
        </w:rPr>
        <w:t>Almost 40 percent of young female households are in labor force</w:t>
      </w:r>
    </w:p>
    <w:p w14:paraId="567416F6" w14:textId="04547062" w:rsidR="00787249" w:rsidRPr="00BF6FB0" w:rsidRDefault="0065689C" w:rsidP="00787249">
      <w:pPr>
        <w:jc w:val="both"/>
        <w:rPr>
          <w:lang w:val="en-US"/>
        </w:rPr>
      </w:pPr>
      <w:r w:rsidRPr="00BF6FB0">
        <w:rPr>
          <w:rFonts w:cs="Arial"/>
          <w:lang w:val="en-US"/>
        </w:rPr>
        <w:t>Table 6 shows the labor market status of female household heads.</w:t>
      </w:r>
      <w:r w:rsidR="00787249" w:rsidRPr="00BF6FB0">
        <w:rPr>
          <w:rFonts w:cs="Arial"/>
          <w:lang w:val="en-US"/>
        </w:rPr>
        <w:t xml:space="preserve"> 38.9 percent of female heads under the age of 65 are participating labor force (employed or seeking for a job). 27 percent of them are working as wage earners. Nevertheless, almost </w:t>
      </w:r>
      <w:r w:rsidR="00BD5DDB">
        <w:rPr>
          <w:rFonts w:cs="Arial"/>
          <w:lang w:val="en-US"/>
        </w:rPr>
        <w:t>half (46 percent) of the femal</w:t>
      </w:r>
      <w:r w:rsidR="00787249" w:rsidRPr="00BF6FB0">
        <w:rPr>
          <w:rFonts w:cs="Arial"/>
          <w:lang w:val="en-US"/>
        </w:rPr>
        <w:t>e heads are busy with do</w:t>
      </w:r>
      <w:r w:rsidR="001E4AA8">
        <w:rPr>
          <w:rFonts w:cs="Arial"/>
          <w:lang w:val="en-US"/>
        </w:rPr>
        <w:t xml:space="preserve">mestic work which is a </w:t>
      </w:r>
      <w:r w:rsidR="00787249" w:rsidRPr="00BF6FB0">
        <w:rPr>
          <w:rFonts w:cs="Arial"/>
          <w:lang w:val="en-US"/>
        </w:rPr>
        <w:t>worrisome.</w:t>
      </w:r>
      <w:r w:rsidR="0035187F" w:rsidRPr="00BF6FB0">
        <w:rPr>
          <w:rFonts w:cs="Arial"/>
          <w:lang w:val="en-US"/>
        </w:rPr>
        <w:t xml:space="preserve"> </w:t>
      </w:r>
      <w:r w:rsidR="001B2C62">
        <w:rPr>
          <w:lang w:val="en-US"/>
        </w:rPr>
        <w:t>The majority of female</w:t>
      </w:r>
      <w:r w:rsidR="00787249" w:rsidRPr="00BF6FB0">
        <w:rPr>
          <w:lang w:val="en-US"/>
        </w:rPr>
        <w:t xml:space="preserve"> household heads older than 65 years of age is retired (14.5 percent) or consider themselves too old to work (42.7 percent) but still more than one-third of them are busy with household chores. </w:t>
      </w:r>
    </w:p>
    <w:p w14:paraId="3EA1AEFD" w14:textId="77777777" w:rsidR="00A739E6" w:rsidRPr="00BF6FB0" w:rsidRDefault="00A739E6" w:rsidP="00A739E6">
      <w:pPr>
        <w:pStyle w:val="Caption"/>
        <w:keepNext/>
        <w:rPr>
          <w:color w:val="auto"/>
          <w:sz w:val="22"/>
          <w:szCs w:val="22"/>
          <w:lang w:val="en-US"/>
        </w:rPr>
      </w:pPr>
      <w:bookmarkStart w:id="5" w:name="_Ref381807418"/>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6</w:t>
      </w:r>
      <w:r w:rsidRPr="00BF6FB0">
        <w:rPr>
          <w:color w:val="auto"/>
          <w:sz w:val="22"/>
          <w:szCs w:val="22"/>
          <w:lang w:val="en-US"/>
        </w:rPr>
        <w:fldChar w:fldCharType="end"/>
      </w:r>
      <w:bookmarkEnd w:id="5"/>
      <w:r w:rsidRPr="00BF6FB0">
        <w:rPr>
          <w:color w:val="auto"/>
          <w:sz w:val="22"/>
          <w:szCs w:val="22"/>
          <w:lang w:val="en-US"/>
        </w:rPr>
        <w:t xml:space="preserve">: The labor market status of female household heads (2015) </w:t>
      </w:r>
    </w:p>
    <w:tbl>
      <w:tblPr>
        <w:tblW w:w="8448"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66"/>
        <w:gridCol w:w="941"/>
        <w:gridCol w:w="1134"/>
        <w:gridCol w:w="1207"/>
      </w:tblGrid>
      <w:tr w:rsidR="007538F3" w:rsidRPr="00BF6FB0" w14:paraId="4001F1D6" w14:textId="77777777" w:rsidTr="00B56629">
        <w:trPr>
          <w:trHeight w:val="17"/>
        </w:trPr>
        <w:tc>
          <w:tcPr>
            <w:tcW w:w="5166" w:type="dxa"/>
            <w:shd w:val="clear" w:color="auto" w:fill="auto"/>
            <w:noWrap/>
            <w:vAlign w:val="bottom"/>
            <w:hideMark/>
          </w:tcPr>
          <w:p w14:paraId="5BC2EEA9" w14:textId="77777777" w:rsidR="007538F3" w:rsidRPr="00BF6FB0" w:rsidRDefault="007538F3" w:rsidP="007538F3">
            <w:pPr>
              <w:spacing w:after="0" w:line="240" w:lineRule="auto"/>
              <w:jc w:val="center"/>
              <w:rPr>
                <w:rFonts w:ascii="Calibri" w:eastAsia="Times New Roman" w:hAnsi="Calibri" w:cs="Times New Roman"/>
                <w:b/>
                <w:color w:val="000000"/>
                <w:lang w:val="en-US"/>
              </w:rPr>
            </w:pPr>
            <w:r w:rsidRPr="00BF6FB0">
              <w:rPr>
                <w:rFonts w:ascii="Calibri" w:eastAsia="Times New Roman" w:hAnsi="Calibri" w:cs="Times New Roman"/>
                <w:b/>
                <w:color w:val="000000"/>
                <w:lang w:val="en-US"/>
              </w:rPr>
              <w:t> </w:t>
            </w:r>
          </w:p>
        </w:tc>
        <w:tc>
          <w:tcPr>
            <w:tcW w:w="941" w:type="dxa"/>
            <w:shd w:val="clear" w:color="auto" w:fill="auto"/>
            <w:vAlign w:val="center"/>
            <w:hideMark/>
          </w:tcPr>
          <w:p w14:paraId="604A9F8F" w14:textId="77777777" w:rsidR="007538F3" w:rsidRPr="00BF6FB0" w:rsidRDefault="007176C4" w:rsidP="007538F3">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All age groups</w:t>
            </w:r>
          </w:p>
        </w:tc>
        <w:tc>
          <w:tcPr>
            <w:tcW w:w="1134" w:type="dxa"/>
            <w:shd w:val="clear" w:color="auto" w:fill="auto"/>
            <w:vAlign w:val="center"/>
            <w:hideMark/>
          </w:tcPr>
          <w:p w14:paraId="29D82CCF" w14:textId="77777777" w:rsidR="007538F3" w:rsidRPr="00BF6FB0" w:rsidRDefault="007176C4" w:rsidP="007176C4">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xml:space="preserve">Less than </w:t>
            </w:r>
            <w:r w:rsidR="007538F3" w:rsidRPr="00BF6FB0">
              <w:rPr>
                <w:rFonts w:ascii="Calibri" w:eastAsia="Times New Roman" w:hAnsi="Calibri" w:cs="Times New Roman"/>
                <w:b/>
                <w:bCs/>
                <w:color w:val="000000"/>
                <w:sz w:val="20"/>
                <w:szCs w:val="20"/>
                <w:lang w:val="en-US"/>
              </w:rPr>
              <w:t>65</w:t>
            </w:r>
            <w:r w:rsidRPr="00BF6FB0">
              <w:rPr>
                <w:rFonts w:ascii="Calibri" w:eastAsia="Times New Roman" w:hAnsi="Calibri" w:cs="Times New Roman"/>
                <w:b/>
                <w:bCs/>
                <w:color w:val="000000"/>
                <w:sz w:val="20"/>
                <w:szCs w:val="20"/>
                <w:lang w:val="en-US"/>
              </w:rPr>
              <w:t xml:space="preserve"> years</w:t>
            </w:r>
            <w:r w:rsidR="007538F3" w:rsidRPr="00BF6FB0">
              <w:rPr>
                <w:rFonts w:ascii="Calibri" w:eastAsia="Times New Roman" w:hAnsi="Calibri" w:cs="Times New Roman"/>
                <w:b/>
                <w:bCs/>
                <w:color w:val="000000"/>
                <w:sz w:val="20"/>
                <w:szCs w:val="20"/>
                <w:lang w:val="en-US"/>
              </w:rPr>
              <w:t xml:space="preserve"> </w:t>
            </w:r>
          </w:p>
        </w:tc>
        <w:tc>
          <w:tcPr>
            <w:tcW w:w="1207" w:type="dxa"/>
            <w:shd w:val="clear" w:color="auto" w:fill="auto"/>
            <w:vAlign w:val="center"/>
            <w:hideMark/>
          </w:tcPr>
          <w:p w14:paraId="653BBE57" w14:textId="77777777" w:rsidR="007538F3" w:rsidRPr="00BF6FB0" w:rsidRDefault="007538F3" w:rsidP="007176C4">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 xml:space="preserve">65 </w:t>
            </w:r>
            <w:r w:rsidR="007176C4" w:rsidRPr="00BF6FB0">
              <w:rPr>
                <w:rFonts w:ascii="Calibri" w:eastAsia="Times New Roman" w:hAnsi="Calibri" w:cs="Times New Roman"/>
                <w:b/>
                <w:bCs/>
                <w:color w:val="000000"/>
                <w:sz w:val="20"/>
                <w:szCs w:val="20"/>
                <w:lang w:val="en-US"/>
              </w:rPr>
              <w:t>years and older</w:t>
            </w:r>
          </w:p>
        </w:tc>
      </w:tr>
      <w:tr w:rsidR="007176C4" w:rsidRPr="00BF6FB0" w14:paraId="50CA1110" w14:textId="77777777" w:rsidTr="00942051">
        <w:trPr>
          <w:trHeight w:val="17"/>
        </w:trPr>
        <w:tc>
          <w:tcPr>
            <w:tcW w:w="5166" w:type="dxa"/>
            <w:shd w:val="clear" w:color="auto" w:fill="auto"/>
            <w:vAlign w:val="center"/>
            <w:hideMark/>
          </w:tcPr>
          <w:p w14:paraId="25A77D9A"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Wage and/or salary earners</w:t>
            </w:r>
          </w:p>
        </w:tc>
        <w:tc>
          <w:tcPr>
            <w:tcW w:w="941" w:type="dxa"/>
            <w:shd w:val="clear" w:color="auto" w:fill="auto"/>
            <w:vAlign w:val="bottom"/>
            <w:hideMark/>
          </w:tcPr>
          <w:p w14:paraId="258A5523"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17,3</w:t>
            </w:r>
          </w:p>
        </w:tc>
        <w:tc>
          <w:tcPr>
            <w:tcW w:w="1134" w:type="dxa"/>
            <w:shd w:val="clear" w:color="auto" w:fill="auto"/>
            <w:vAlign w:val="bottom"/>
            <w:hideMark/>
          </w:tcPr>
          <w:p w14:paraId="46F0F189"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27,0</w:t>
            </w:r>
          </w:p>
        </w:tc>
        <w:tc>
          <w:tcPr>
            <w:tcW w:w="1207" w:type="dxa"/>
            <w:shd w:val="clear" w:color="auto" w:fill="auto"/>
            <w:vAlign w:val="bottom"/>
            <w:hideMark/>
          </w:tcPr>
          <w:p w14:paraId="246EFC19"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w:t>
            </w:r>
          </w:p>
        </w:tc>
      </w:tr>
      <w:tr w:rsidR="007176C4" w:rsidRPr="00BF6FB0" w14:paraId="2E2A485D" w14:textId="77777777" w:rsidTr="00942051">
        <w:trPr>
          <w:trHeight w:val="17"/>
        </w:trPr>
        <w:tc>
          <w:tcPr>
            <w:tcW w:w="5166" w:type="dxa"/>
            <w:shd w:val="clear" w:color="auto" w:fill="auto"/>
            <w:vAlign w:val="center"/>
            <w:hideMark/>
          </w:tcPr>
          <w:p w14:paraId="72FD85AD"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Employer / Self-employed </w:t>
            </w:r>
          </w:p>
        </w:tc>
        <w:tc>
          <w:tcPr>
            <w:tcW w:w="941" w:type="dxa"/>
            <w:shd w:val="clear" w:color="auto" w:fill="auto"/>
            <w:vAlign w:val="bottom"/>
            <w:hideMark/>
          </w:tcPr>
          <w:p w14:paraId="02FE2926"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6,1</w:t>
            </w:r>
          </w:p>
        </w:tc>
        <w:tc>
          <w:tcPr>
            <w:tcW w:w="1134" w:type="dxa"/>
            <w:shd w:val="clear" w:color="auto" w:fill="auto"/>
            <w:vAlign w:val="bottom"/>
            <w:hideMark/>
          </w:tcPr>
          <w:p w14:paraId="6B7D4E79"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8,4</w:t>
            </w:r>
          </w:p>
        </w:tc>
        <w:tc>
          <w:tcPr>
            <w:tcW w:w="1207" w:type="dxa"/>
            <w:shd w:val="clear" w:color="auto" w:fill="auto"/>
            <w:vAlign w:val="bottom"/>
            <w:hideMark/>
          </w:tcPr>
          <w:p w14:paraId="41387697"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2,2</w:t>
            </w:r>
          </w:p>
        </w:tc>
      </w:tr>
      <w:tr w:rsidR="007176C4" w:rsidRPr="00BF6FB0" w14:paraId="0799D045" w14:textId="77777777" w:rsidTr="00942051">
        <w:trPr>
          <w:trHeight w:val="17"/>
        </w:trPr>
        <w:tc>
          <w:tcPr>
            <w:tcW w:w="5166" w:type="dxa"/>
            <w:shd w:val="clear" w:color="auto" w:fill="auto"/>
            <w:vAlign w:val="center"/>
            <w:hideMark/>
          </w:tcPr>
          <w:p w14:paraId="2726D288"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Seeking a job </w:t>
            </w:r>
          </w:p>
        </w:tc>
        <w:tc>
          <w:tcPr>
            <w:tcW w:w="941" w:type="dxa"/>
            <w:shd w:val="clear" w:color="auto" w:fill="auto"/>
            <w:vAlign w:val="bottom"/>
            <w:hideMark/>
          </w:tcPr>
          <w:p w14:paraId="17676E78"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1,5</w:t>
            </w:r>
          </w:p>
        </w:tc>
        <w:tc>
          <w:tcPr>
            <w:tcW w:w="1134" w:type="dxa"/>
            <w:shd w:val="clear" w:color="auto" w:fill="auto"/>
            <w:vAlign w:val="bottom"/>
            <w:hideMark/>
          </w:tcPr>
          <w:p w14:paraId="7605BADF"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2,5</w:t>
            </w:r>
          </w:p>
        </w:tc>
        <w:tc>
          <w:tcPr>
            <w:tcW w:w="1207" w:type="dxa"/>
            <w:shd w:val="clear" w:color="auto" w:fill="auto"/>
            <w:vAlign w:val="bottom"/>
            <w:hideMark/>
          </w:tcPr>
          <w:p w14:paraId="54DEEF93"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0</w:t>
            </w:r>
          </w:p>
        </w:tc>
      </w:tr>
      <w:tr w:rsidR="007176C4" w:rsidRPr="00BF6FB0" w14:paraId="4C8F1969" w14:textId="77777777" w:rsidTr="00942051">
        <w:trPr>
          <w:trHeight w:val="17"/>
        </w:trPr>
        <w:tc>
          <w:tcPr>
            <w:tcW w:w="5166" w:type="dxa"/>
            <w:shd w:val="clear" w:color="auto" w:fill="auto"/>
            <w:vAlign w:val="center"/>
            <w:hideMark/>
          </w:tcPr>
          <w:p w14:paraId="32D78FD4"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Student </w:t>
            </w:r>
          </w:p>
        </w:tc>
        <w:tc>
          <w:tcPr>
            <w:tcW w:w="941" w:type="dxa"/>
            <w:shd w:val="clear" w:color="auto" w:fill="auto"/>
            <w:vAlign w:val="bottom"/>
            <w:hideMark/>
          </w:tcPr>
          <w:p w14:paraId="12B58AAA"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w:t>
            </w:r>
          </w:p>
        </w:tc>
        <w:tc>
          <w:tcPr>
            <w:tcW w:w="1134" w:type="dxa"/>
            <w:shd w:val="clear" w:color="auto" w:fill="auto"/>
            <w:vAlign w:val="bottom"/>
            <w:hideMark/>
          </w:tcPr>
          <w:p w14:paraId="59955CA5"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2,1</w:t>
            </w:r>
          </w:p>
        </w:tc>
        <w:tc>
          <w:tcPr>
            <w:tcW w:w="1207" w:type="dxa"/>
            <w:shd w:val="clear" w:color="auto" w:fill="auto"/>
            <w:noWrap/>
            <w:vAlign w:val="bottom"/>
            <w:hideMark/>
          </w:tcPr>
          <w:p w14:paraId="52100B52"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 0</w:t>
            </w:r>
          </w:p>
        </w:tc>
      </w:tr>
      <w:tr w:rsidR="007176C4" w:rsidRPr="00BF6FB0" w14:paraId="7C991A8F" w14:textId="77777777" w:rsidTr="00942051">
        <w:trPr>
          <w:trHeight w:val="17"/>
        </w:trPr>
        <w:tc>
          <w:tcPr>
            <w:tcW w:w="5166" w:type="dxa"/>
            <w:shd w:val="clear" w:color="auto" w:fill="auto"/>
            <w:vAlign w:val="center"/>
            <w:hideMark/>
          </w:tcPr>
          <w:p w14:paraId="28CEBC12"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Retired </w:t>
            </w:r>
          </w:p>
        </w:tc>
        <w:tc>
          <w:tcPr>
            <w:tcW w:w="941" w:type="dxa"/>
            <w:shd w:val="clear" w:color="auto" w:fill="auto"/>
            <w:vAlign w:val="bottom"/>
            <w:hideMark/>
          </w:tcPr>
          <w:p w14:paraId="1E11B9BC"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11,8</w:t>
            </w:r>
          </w:p>
        </w:tc>
        <w:tc>
          <w:tcPr>
            <w:tcW w:w="1134" w:type="dxa"/>
            <w:shd w:val="clear" w:color="auto" w:fill="auto"/>
            <w:vAlign w:val="bottom"/>
            <w:hideMark/>
          </w:tcPr>
          <w:p w14:paraId="290F27CE"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10,2</w:t>
            </w:r>
          </w:p>
        </w:tc>
        <w:tc>
          <w:tcPr>
            <w:tcW w:w="1207" w:type="dxa"/>
            <w:shd w:val="clear" w:color="auto" w:fill="auto"/>
            <w:vAlign w:val="bottom"/>
            <w:hideMark/>
          </w:tcPr>
          <w:p w14:paraId="4576E0C1"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14,5</w:t>
            </w:r>
          </w:p>
        </w:tc>
      </w:tr>
      <w:tr w:rsidR="007176C4" w:rsidRPr="00BF6FB0" w14:paraId="78BC2E85" w14:textId="77777777" w:rsidTr="00942051">
        <w:trPr>
          <w:trHeight w:val="17"/>
        </w:trPr>
        <w:tc>
          <w:tcPr>
            <w:tcW w:w="5166" w:type="dxa"/>
            <w:shd w:val="clear" w:color="auto" w:fill="auto"/>
            <w:noWrap/>
            <w:vAlign w:val="center"/>
            <w:hideMark/>
          </w:tcPr>
          <w:p w14:paraId="189CE6F9"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Old, ill and disabled </w:t>
            </w:r>
          </w:p>
        </w:tc>
        <w:tc>
          <w:tcPr>
            <w:tcW w:w="941" w:type="dxa"/>
            <w:shd w:val="clear" w:color="auto" w:fill="auto"/>
            <w:vAlign w:val="bottom"/>
            <w:hideMark/>
          </w:tcPr>
          <w:p w14:paraId="56559E38"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17,9</w:t>
            </w:r>
          </w:p>
        </w:tc>
        <w:tc>
          <w:tcPr>
            <w:tcW w:w="1134" w:type="dxa"/>
            <w:shd w:val="clear" w:color="auto" w:fill="auto"/>
            <w:vAlign w:val="bottom"/>
            <w:hideMark/>
          </w:tcPr>
          <w:p w14:paraId="2DA3BA4A"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3,0</w:t>
            </w:r>
          </w:p>
        </w:tc>
        <w:tc>
          <w:tcPr>
            <w:tcW w:w="1207" w:type="dxa"/>
            <w:shd w:val="clear" w:color="auto" w:fill="auto"/>
            <w:vAlign w:val="bottom"/>
            <w:hideMark/>
          </w:tcPr>
          <w:p w14:paraId="7D2E6A97"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42,7</w:t>
            </w:r>
          </w:p>
        </w:tc>
      </w:tr>
      <w:tr w:rsidR="007176C4" w:rsidRPr="00BF6FB0" w14:paraId="38E3BAC8" w14:textId="77777777" w:rsidTr="00942051">
        <w:trPr>
          <w:trHeight w:val="17"/>
        </w:trPr>
        <w:tc>
          <w:tcPr>
            <w:tcW w:w="5166" w:type="dxa"/>
            <w:shd w:val="clear" w:color="auto" w:fill="auto"/>
            <w:noWrap/>
            <w:vAlign w:val="center"/>
            <w:hideMark/>
          </w:tcPr>
          <w:p w14:paraId="66519455"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Busy with household chores </w:t>
            </w:r>
          </w:p>
        </w:tc>
        <w:tc>
          <w:tcPr>
            <w:tcW w:w="941" w:type="dxa"/>
            <w:shd w:val="clear" w:color="auto" w:fill="auto"/>
            <w:vAlign w:val="bottom"/>
            <w:hideMark/>
          </w:tcPr>
          <w:p w14:paraId="62B46FFF"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43,2</w:t>
            </w:r>
          </w:p>
        </w:tc>
        <w:tc>
          <w:tcPr>
            <w:tcW w:w="1134" w:type="dxa"/>
            <w:shd w:val="clear" w:color="auto" w:fill="auto"/>
            <w:vAlign w:val="bottom"/>
            <w:hideMark/>
          </w:tcPr>
          <w:p w14:paraId="3F3971CA"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46,0</w:t>
            </w:r>
          </w:p>
        </w:tc>
        <w:tc>
          <w:tcPr>
            <w:tcW w:w="1207" w:type="dxa"/>
            <w:shd w:val="clear" w:color="auto" w:fill="auto"/>
            <w:vAlign w:val="bottom"/>
            <w:hideMark/>
          </w:tcPr>
          <w:p w14:paraId="19CF184B"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38,5</w:t>
            </w:r>
          </w:p>
        </w:tc>
      </w:tr>
      <w:tr w:rsidR="007176C4" w:rsidRPr="00BF6FB0" w14:paraId="070A00BB" w14:textId="77777777" w:rsidTr="00942051">
        <w:trPr>
          <w:trHeight w:val="17"/>
        </w:trPr>
        <w:tc>
          <w:tcPr>
            <w:tcW w:w="5166" w:type="dxa"/>
            <w:shd w:val="clear" w:color="auto" w:fill="auto"/>
            <w:noWrap/>
            <w:vAlign w:val="center"/>
            <w:hideMark/>
          </w:tcPr>
          <w:p w14:paraId="138153B7"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Other inactives </w:t>
            </w:r>
          </w:p>
        </w:tc>
        <w:tc>
          <w:tcPr>
            <w:tcW w:w="941" w:type="dxa"/>
            <w:shd w:val="clear" w:color="auto" w:fill="auto"/>
            <w:vAlign w:val="bottom"/>
            <w:hideMark/>
          </w:tcPr>
          <w:p w14:paraId="63754AC7"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0,9</w:t>
            </w:r>
          </w:p>
        </w:tc>
        <w:tc>
          <w:tcPr>
            <w:tcW w:w="1134" w:type="dxa"/>
            <w:shd w:val="clear" w:color="auto" w:fill="auto"/>
            <w:vAlign w:val="bottom"/>
            <w:hideMark/>
          </w:tcPr>
          <w:p w14:paraId="25C29015"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w:t>
            </w:r>
          </w:p>
        </w:tc>
        <w:tc>
          <w:tcPr>
            <w:tcW w:w="1207" w:type="dxa"/>
            <w:shd w:val="clear" w:color="auto" w:fill="auto"/>
            <w:vAlign w:val="bottom"/>
            <w:hideMark/>
          </w:tcPr>
          <w:p w14:paraId="341E3CA9"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0,7</w:t>
            </w:r>
          </w:p>
        </w:tc>
      </w:tr>
      <w:tr w:rsidR="007176C4" w:rsidRPr="00BF6FB0" w14:paraId="1F59E433" w14:textId="77777777" w:rsidTr="00942051">
        <w:trPr>
          <w:trHeight w:val="17"/>
        </w:trPr>
        <w:tc>
          <w:tcPr>
            <w:tcW w:w="5166" w:type="dxa"/>
            <w:shd w:val="clear" w:color="auto" w:fill="auto"/>
            <w:noWrap/>
            <w:vAlign w:val="center"/>
            <w:hideMark/>
          </w:tcPr>
          <w:p w14:paraId="25CAB78A" w14:textId="77777777" w:rsidR="007176C4" w:rsidRPr="00BF6FB0" w:rsidRDefault="007176C4" w:rsidP="007176C4">
            <w:pPr>
              <w:spacing w:after="0" w:line="240" w:lineRule="auto"/>
              <w:rPr>
                <w:rFonts w:eastAsia="Times New Roman" w:cs="Times New Roman"/>
                <w:sz w:val="20"/>
                <w:szCs w:val="20"/>
                <w:lang w:val="en-US"/>
              </w:rPr>
            </w:pPr>
            <w:r w:rsidRPr="00BF6FB0">
              <w:rPr>
                <w:rFonts w:eastAsia="Times New Roman" w:cs="Times New Roman"/>
                <w:sz w:val="20"/>
                <w:szCs w:val="20"/>
                <w:lang w:val="en-US"/>
              </w:rPr>
              <w:t>Toplam</w:t>
            </w:r>
          </w:p>
        </w:tc>
        <w:tc>
          <w:tcPr>
            <w:tcW w:w="941" w:type="dxa"/>
            <w:shd w:val="clear" w:color="auto" w:fill="auto"/>
            <w:vAlign w:val="bottom"/>
            <w:hideMark/>
          </w:tcPr>
          <w:p w14:paraId="6CEFE60C"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100,0</w:t>
            </w:r>
          </w:p>
        </w:tc>
        <w:tc>
          <w:tcPr>
            <w:tcW w:w="1134" w:type="dxa"/>
            <w:shd w:val="clear" w:color="auto" w:fill="auto"/>
            <w:vAlign w:val="bottom"/>
            <w:hideMark/>
          </w:tcPr>
          <w:p w14:paraId="4A594E0C"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100,0</w:t>
            </w:r>
          </w:p>
        </w:tc>
        <w:tc>
          <w:tcPr>
            <w:tcW w:w="1207" w:type="dxa"/>
            <w:shd w:val="clear" w:color="auto" w:fill="auto"/>
            <w:vAlign w:val="bottom"/>
            <w:hideMark/>
          </w:tcPr>
          <w:p w14:paraId="5F140D95" w14:textId="77777777" w:rsidR="007176C4" w:rsidRPr="00BF6FB0" w:rsidRDefault="007176C4" w:rsidP="007176C4">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100,0</w:t>
            </w:r>
          </w:p>
        </w:tc>
      </w:tr>
    </w:tbl>
    <w:p w14:paraId="56942E8D" w14:textId="77777777" w:rsidR="00F647B3" w:rsidRPr="00BF6FB0" w:rsidRDefault="00F647B3" w:rsidP="00F647B3">
      <w:pPr>
        <w:pStyle w:val="Caption"/>
        <w:rPr>
          <w:b w:val="0"/>
          <w:color w:val="auto"/>
          <w:lang w:val="en-US"/>
        </w:rPr>
      </w:pPr>
      <w:r w:rsidRPr="00BF6FB0">
        <w:rPr>
          <w:b w:val="0"/>
          <w:color w:val="auto"/>
          <w:lang w:val="en-US"/>
        </w:rPr>
        <w:t xml:space="preserve">Source: 2015 TurkStat Income and Living Conditions Survey; Betam </w:t>
      </w:r>
    </w:p>
    <w:p w14:paraId="0DCAAFA4" w14:textId="77777777" w:rsidR="006A3AE1" w:rsidRPr="00BF6FB0" w:rsidRDefault="000F2596" w:rsidP="00A01A58">
      <w:pPr>
        <w:jc w:val="both"/>
        <w:rPr>
          <w:rFonts w:cs="Arial"/>
          <w:lang w:val="en-US"/>
        </w:rPr>
      </w:pPr>
      <w:r w:rsidRPr="00BF6FB0">
        <w:rPr>
          <w:rFonts w:cs="Arial"/>
          <w:lang w:val="en-US"/>
        </w:rPr>
        <w:lastRenderedPageBreak/>
        <w:t>On the other hand</w:t>
      </w:r>
      <w:r w:rsidR="00DA0C24" w:rsidRPr="00BF6FB0">
        <w:rPr>
          <w:rFonts w:cs="Arial"/>
          <w:lang w:val="en-US"/>
        </w:rPr>
        <w:t xml:space="preserve">, </w:t>
      </w:r>
      <w:r w:rsidRPr="00BF6FB0">
        <w:rPr>
          <w:rFonts w:cs="Arial"/>
          <w:lang w:val="en-US"/>
        </w:rPr>
        <w:t>Table 7 shows that the female household heads, who are already employed, are predominantly wage and/or salary earners in non-agricultural sectors (78.1 percent). The ratio of employer or self-employed women is above 16 percent.</w:t>
      </w:r>
      <w:r w:rsidR="006A3AE1" w:rsidRPr="00BF6FB0">
        <w:rPr>
          <w:rFonts w:cs="Arial"/>
          <w:lang w:val="en-US"/>
        </w:rPr>
        <w:t xml:space="preserve"> </w:t>
      </w:r>
      <w:r w:rsidRPr="00BF6FB0">
        <w:rPr>
          <w:rFonts w:cs="Arial"/>
          <w:lang w:val="en-US"/>
        </w:rPr>
        <w:t>Besides,</w:t>
      </w:r>
      <w:r w:rsidR="006A3AE1" w:rsidRPr="00BF6FB0">
        <w:rPr>
          <w:rFonts w:cs="Arial"/>
          <w:lang w:val="en-US"/>
        </w:rPr>
        <w:t xml:space="preserve"> </w:t>
      </w:r>
      <w:r w:rsidRPr="00BF6FB0">
        <w:rPr>
          <w:rFonts w:cs="Arial"/>
          <w:lang w:val="en-US"/>
        </w:rPr>
        <w:t>women in agriculture are employed largely as self-employed (60.9 percent), unpaid family workers (18.1 percent) or causal workers (19.9 percent), as expected. As a result, female heads cannot have a regular income and they cannot benefit from social security services.</w:t>
      </w:r>
    </w:p>
    <w:p w14:paraId="33C0E6F1" w14:textId="77777777" w:rsidR="00A739E6" w:rsidRPr="00BF6FB0" w:rsidRDefault="00A739E6" w:rsidP="00A739E6">
      <w:pPr>
        <w:pStyle w:val="Caption"/>
        <w:keepNext/>
        <w:rPr>
          <w:color w:val="auto"/>
          <w:sz w:val="22"/>
          <w:szCs w:val="22"/>
          <w:lang w:val="en-US"/>
        </w:rPr>
      </w:pPr>
      <w:r w:rsidRPr="00BF6FB0">
        <w:rPr>
          <w:color w:val="auto"/>
          <w:sz w:val="22"/>
          <w:szCs w:val="22"/>
          <w:lang w:val="en-US"/>
        </w:rPr>
        <w:t xml:space="preserve">Table </w:t>
      </w:r>
      <w:r w:rsidRPr="00BF6FB0">
        <w:rPr>
          <w:color w:val="auto"/>
          <w:sz w:val="22"/>
          <w:szCs w:val="22"/>
          <w:lang w:val="en-US"/>
        </w:rPr>
        <w:fldChar w:fldCharType="begin"/>
      </w:r>
      <w:r w:rsidRPr="00BF6FB0">
        <w:rPr>
          <w:color w:val="auto"/>
          <w:sz w:val="22"/>
          <w:szCs w:val="22"/>
          <w:lang w:val="en-US"/>
        </w:rPr>
        <w:instrText xml:space="preserve"> SEQ Tablo \* ARABIC </w:instrText>
      </w:r>
      <w:r w:rsidRPr="00BF6FB0">
        <w:rPr>
          <w:color w:val="auto"/>
          <w:sz w:val="22"/>
          <w:szCs w:val="22"/>
          <w:lang w:val="en-US"/>
        </w:rPr>
        <w:fldChar w:fldCharType="separate"/>
      </w:r>
      <w:r w:rsidRPr="00BF6FB0">
        <w:rPr>
          <w:noProof/>
          <w:color w:val="auto"/>
          <w:sz w:val="22"/>
          <w:szCs w:val="22"/>
          <w:lang w:val="en-US"/>
        </w:rPr>
        <w:t>7</w:t>
      </w:r>
      <w:r w:rsidRPr="00BF6FB0">
        <w:rPr>
          <w:color w:val="auto"/>
          <w:sz w:val="22"/>
          <w:szCs w:val="22"/>
          <w:lang w:val="en-US"/>
        </w:rPr>
        <w:fldChar w:fldCharType="end"/>
      </w:r>
      <w:r w:rsidRPr="00BF6FB0">
        <w:rPr>
          <w:color w:val="auto"/>
          <w:sz w:val="22"/>
          <w:szCs w:val="22"/>
          <w:lang w:val="en-US"/>
        </w:rPr>
        <w:t xml:space="preserve">: The employment status of female household heads (2015) </w:t>
      </w:r>
    </w:p>
    <w:tbl>
      <w:tblPr>
        <w:tblW w:w="9128"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24"/>
        <w:gridCol w:w="1448"/>
        <w:gridCol w:w="1528"/>
        <w:gridCol w:w="1321"/>
        <w:gridCol w:w="1307"/>
      </w:tblGrid>
      <w:tr w:rsidR="00B56629" w:rsidRPr="00BF6FB0" w14:paraId="0552A999" w14:textId="77777777" w:rsidTr="00DC6D2C">
        <w:trPr>
          <w:trHeight w:val="60"/>
        </w:trPr>
        <w:tc>
          <w:tcPr>
            <w:tcW w:w="3524" w:type="dxa"/>
            <w:shd w:val="clear" w:color="auto" w:fill="auto"/>
            <w:noWrap/>
            <w:vAlign w:val="bottom"/>
            <w:hideMark/>
          </w:tcPr>
          <w:p w14:paraId="0A688684" w14:textId="77777777" w:rsidR="00B56629" w:rsidRPr="00BF6FB0" w:rsidRDefault="00B56629" w:rsidP="00B56629">
            <w:pPr>
              <w:spacing w:after="0" w:line="240" w:lineRule="auto"/>
              <w:jc w:val="center"/>
              <w:rPr>
                <w:rFonts w:ascii="Calibri" w:eastAsia="Times New Roman" w:hAnsi="Calibri" w:cs="Times New Roman"/>
                <w:color w:val="000000"/>
                <w:lang w:val="en-US"/>
              </w:rPr>
            </w:pPr>
            <w:r w:rsidRPr="00BF6FB0">
              <w:rPr>
                <w:rFonts w:ascii="Calibri" w:eastAsia="Times New Roman" w:hAnsi="Calibri" w:cs="Times New Roman"/>
                <w:color w:val="000000"/>
                <w:lang w:val="en-US"/>
              </w:rPr>
              <w:t> </w:t>
            </w:r>
          </w:p>
        </w:tc>
        <w:tc>
          <w:tcPr>
            <w:tcW w:w="2976" w:type="dxa"/>
            <w:gridSpan w:val="2"/>
            <w:shd w:val="clear" w:color="auto" w:fill="auto"/>
            <w:vAlign w:val="bottom"/>
            <w:hideMark/>
          </w:tcPr>
          <w:p w14:paraId="66FD3D0F" w14:textId="77777777" w:rsidR="00B56629" w:rsidRPr="00BF6FB0" w:rsidRDefault="00DC6D2C" w:rsidP="00B56629">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Non-agricultural sectors</w:t>
            </w:r>
          </w:p>
        </w:tc>
        <w:tc>
          <w:tcPr>
            <w:tcW w:w="2628" w:type="dxa"/>
            <w:gridSpan w:val="2"/>
            <w:shd w:val="clear" w:color="auto" w:fill="auto"/>
            <w:vAlign w:val="bottom"/>
            <w:hideMark/>
          </w:tcPr>
          <w:p w14:paraId="1C1C50C0" w14:textId="77777777" w:rsidR="00B56629" w:rsidRPr="00BF6FB0" w:rsidRDefault="00DC6D2C" w:rsidP="00B56629">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Agriculture</w:t>
            </w:r>
          </w:p>
        </w:tc>
      </w:tr>
      <w:tr w:rsidR="00DC6D2C" w:rsidRPr="00BF6FB0" w14:paraId="7687D1A2" w14:textId="77777777" w:rsidTr="00DC6D2C">
        <w:trPr>
          <w:trHeight w:val="244"/>
        </w:trPr>
        <w:tc>
          <w:tcPr>
            <w:tcW w:w="3524" w:type="dxa"/>
            <w:vMerge w:val="restart"/>
            <w:shd w:val="clear" w:color="auto" w:fill="auto"/>
            <w:noWrap/>
            <w:vAlign w:val="center"/>
            <w:hideMark/>
          </w:tcPr>
          <w:p w14:paraId="4F410FDF" w14:textId="77777777" w:rsidR="00DC6D2C" w:rsidRPr="00BF6FB0" w:rsidRDefault="00DC6D2C" w:rsidP="00DC6D2C">
            <w:pPr>
              <w:spacing w:after="0" w:line="240" w:lineRule="auto"/>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Employment Status</w:t>
            </w:r>
          </w:p>
        </w:tc>
        <w:tc>
          <w:tcPr>
            <w:tcW w:w="1448" w:type="dxa"/>
            <w:vMerge w:val="restart"/>
            <w:shd w:val="clear" w:color="auto" w:fill="auto"/>
            <w:vAlign w:val="bottom"/>
            <w:hideMark/>
          </w:tcPr>
          <w:p w14:paraId="0E0ACE2F"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528" w:type="dxa"/>
            <w:vMerge w:val="restart"/>
            <w:shd w:val="clear" w:color="auto" w:fill="auto"/>
            <w:vAlign w:val="bottom"/>
            <w:hideMark/>
          </w:tcPr>
          <w:p w14:paraId="4F949154"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c>
          <w:tcPr>
            <w:tcW w:w="1321" w:type="dxa"/>
            <w:vMerge w:val="restart"/>
            <w:shd w:val="clear" w:color="auto" w:fill="auto"/>
            <w:vAlign w:val="bottom"/>
            <w:hideMark/>
          </w:tcPr>
          <w:p w14:paraId="11981C75"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Number of heads (in thousands)</w:t>
            </w:r>
          </w:p>
        </w:tc>
        <w:tc>
          <w:tcPr>
            <w:tcW w:w="1307" w:type="dxa"/>
            <w:vMerge w:val="restart"/>
            <w:shd w:val="clear" w:color="auto" w:fill="auto"/>
            <w:vAlign w:val="bottom"/>
            <w:hideMark/>
          </w:tcPr>
          <w:p w14:paraId="13887F49"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w:t>
            </w:r>
          </w:p>
        </w:tc>
      </w:tr>
      <w:tr w:rsidR="00B56629" w:rsidRPr="00BF6FB0" w14:paraId="6CC23D14" w14:textId="77777777" w:rsidTr="00DC6D2C">
        <w:trPr>
          <w:trHeight w:val="509"/>
        </w:trPr>
        <w:tc>
          <w:tcPr>
            <w:tcW w:w="3524" w:type="dxa"/>
            <w:vMerge/>
            <w:vAlign w:val="center"/>
            <w:hideMark/>
          </w:tcPr>
          <w:p w14:paraId="538223F2" w14:textId="77777777" w:rsidR="00B56629" w:rsidRPr="00BF6FB0" w:rsidRDefault="00B56629" w:rsidP="00B56629">
            <w:pPr>
              <w:spacing w:after="0" w:line="240" w:lineRule="auto"/>
              <w:rPr>
                <w:rFonts w:ascii="Calibri" w:eastAsia="Times New Roman" w:hAnsi="Calibri" w:cs="Times New Roman"/>
                <w:b/>
                <w:bCs/>
                <w:color w:val="000000"/>
                <w:sz w:val="20"/>
                <w:szCs w:val="20"/>
                <w:lang w:val="en-US"/>
              </w:rPr>
            </w:pPr>
          </w:p>
        </w:tc>
        <w:tc>
          <w:tcPr>
            <w:tcW w:w="1448" w:type="dxa"/>
            <w:vMerge/>
            <w:vAlign w:val="center"/>
            <w:hideMark/>
          </w:tcPr>
          <w:p w14:paraId="42A9CA90" w14:textId="77777777" w:rsidR="00B56629" w:rsidRPr="00BF6FB0" w:rsidRDefault="00B56629" w:rsidP="00B56629">
            <w:pPr>
              <w:spacing w:after="0" w:line="240" w:lineRule="auto"/>
              <w:rPr>
                <w:rFonts w:ascii="Calibri" w:eastAsia="Times New Roman" w:hAnsi="Calibri" w:cs="Times New Roman"/>
                <w:b/>
                <w:bCs/>
                <w:color w:val="000000"/>
                <w:sz w:val="20"/>
                <w:szCs w:val="20"/>
                <w:lang w:val="en-US"/>
              </w:rPr>
            </w:pPr>
          </w:p>
        </w:tc>
        <w:tc>
          <w:tcPr>
            <w:tcW w:w="1528" w:type="dxa"/>
            <w:vMerge/>
            <w:vAlign w:val="center"/>
            <w:hideMark/>
          </w:tcPr>
          <w:p w14:paraId="06CCD361" w14:textId="77777777" w:rsidR="00B56629" w:rsidRPr="00BF6FB0" w:rsidRDefault="00B56629" w:rsidP="00B56629">
            <w:pPr>
              <w:spacing w:after="0" w:line="240" w:lineRule="auto"/>
              <w:rPr>
                <w:rFonts w:ascii="Calibri" w:eastAsia="Times New Roman" w:hAnsi="Calibri" w:cs="Times New Roman"/>
                <w:b/>
                <w:bCs/>
                <w:color w:val="000000"/>
                <w:sz w:val="20"/>
                <w:szCs w:val="20"/>
                <w:lang w:val="en-US"/>
              </w:rPr>
            </w:pPr>
          </w:p>
        </w:tc>
        <w:tc>
          <w:tcPr>
            <w:tcW w:w="1321" w:type="dxa"/>
            <w:vMerge/>
            <w:vAlign w:val="center"/>
            <w:hideMark/>
          </w:tcPr>
          <w:p w14:paraId="7AD5D447" w14:textId="77777777" w:rsidR="00B56629" w:rsidRPr="00BF6FB0" w:rsidRDefault="00B56629" w:rsidP="00B56629">
            <w:pPr>
              <w:spacing w:after="0" w:line="240" w:lineRule="auto"/>
              <w:rPr>
                <w:rFonts w:ascii="Calibri" w:eastAsia="Times New Roman" w:hAnsi="Calibri" w:cs="Times New Roman"/>
                <w:b/>
                <w:bCs/>
                <w:color w:val="000000"/>
                <w:sz w:val="20"/>
                <w:szCs w:val="20"/>
                <w:lang w:val="en-US"/>
              </w:rPr>
            </w:pPr>
          </w:p>
        </w:tc>
        <w:tc>
          <w:tcPr>
            <w:tcW w:w="1307" w:type="dxa"/>
            <w:vMerge/>
            <w:vAlign w:val="center"/>
            <w:hideMark/>
          </w:tcPr>
          <w:p w14:paraId="783D8FCA" w14:textId="77777777" w:rsidR="00B56629" w:rsidRPr="00BF6FB0" w:rsidRDefault="00B56629" w:rsidP="00B56629">
            <w:pPr>
              <w:spacing w:after="0" w:line="240" w:lineRule="auto"/>
              <w:rPr>
                <w:rFonts w:ascii="Calibri" w:eastAsia="Times New Roman" w:hAnsi="Calibri" w:cs="Times New Roman"/>
                <w:b/>
                <w:bCs/>
                <w:color w:val="000000"/>
                <w:sz w:val="20"/>
                <w:szCs w:val="20"/>
                <w:lang w:val="en-US"/>
              </w:rPr>
            </w:pPr>
          </w:p>
        </w:tc>
      </w:tr>
      <w:tr w:rsidR="00DC6D2C" w:rsidRPr="00BF6FB0" w14:paraId="31E2E2B7" w14:textId="77777777" w:rsidTr="00DC6D2C">
        <w:trPr>
          <w:trHeight w:val="15"/>
        </w:trPr>
        <w:tc>
          <w:tcPr>
            <w:tcW w:w="3524" w:type="dxa"/>
            <w:shd w:val="clear" w:color="auto" w:fill="auto"/>
            <w:noWrap/>
            <w:hideMark/>
          </w:tcPr>
          <w:p w14:paraId="72AE1C7A" w14:textId="77777777" w:rsidR="00DC6D2C" w:rsidRPr="00BF6FB0" w:rsidRDefault="00DC6D2C" w:rsidP="00DC6D2C">
            <w:pPr>
              <w:spacing w:after="0" w:line="240" w:lineRule="auto"/>
              <w:rPr>
                <w:rFonts w:eastAsia="Times New Roman" w:cs="Times New Roman"/>
                <w:sz w:val="20"/>
                <w:szCs w:val="20"/>
                <w:lang w:val="en-US"/>
              </w:rPr>
            </w:pPr>
            <w:r w:rsidRPr="00BF6FB0">
              <w:rPr>
                <w:rFonts w:eastAsia="Times New Roman" w:cs="Times New Roman"/>
                <w:sz w:val="20"/>
                <w:szCs w:val="20"/>
                <w:lang w:val="en-US"/>
              </w:rPr>
              <w:t>Wage and/or salary earners</w:t>
            </w:r>
          </w:p>
        </w:tc>
        <w:tc>
          <w:tcPr>
            <w:tcW w:w="1448" w:type="dxa"/>
            <w:shd w:val="clear" w:color="auto" w:fill="auto"/>
            <w:noWrap/>
            <w:hideMark/>
          </w:tcPr>
          <w:p w14:paraId="1C876A09"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630</w:t>
            </w:r>
          </w:p>
        </w:tc>
        <w:tc>
          <w:tcPr>
            <w:tcW w:w="1528" w:type="dxa"/>
            <w:shd w:val="clear" w:color="auto" w:fill="auto"/>
            <w:noWrap/>
            <w:hideMark/>
          </w:tcPr>
          <w:p w14:paraId="11FB9C89"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78,1</w:t>
            </w:r>
          </w:p>
        </w:tc>
        <w:tc>
          <w:tcPr>
            <w:tcW w:w="1321" w:type="dxa"/>
            <w:shd w:val="clear" w:color="auto" w:fill="auto"/>
            <w:noWrap/>
            <w:hideMark/>
          </w:tcPr>
          <w:p w14:paraId="7CB0EF42"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w:t>
            </w:r>
          </w:p>
        </w:tc>
        <w:tc>
          <w:tcPr>
            <w:tcW w:w="1307" w:type="dxa"/>
            <w:shd w:val="clear" w:color="auto" w:fill="auto"/>
            <w:noWrap/>
            <w:hideMark/>
          </w:tcPr>
          <w:p w14:paraId="2AD7BFB9"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1,2</w:t>
            </w:r>
          </w:p>
        </w:tc>
      </w:tr>
      <w:tr w:rsidR="00DC6D2C" w:rsidRPr="00BF6FB0" w14:paraId="4C392791" w14:textId="77777777" w:rsidTr="00DC6D2C">
        <w:trPr>
          <w:trHeight w:val="15"/>
        </w:trPr>
        <w:tc>
          <w:tcPr>
            <w:tcW w:w="3524" w:type="dxa"/>
            <w:shd w:val="clear" w:color="auto" w:fill="auto"/>
            <w:noWrap/>
            <w:hideMark/>
          </w:tcPr>
          <w:p w14:paraId="68205D65" w14:textId="77777777" w:rsidR="00DC6D2C" w:rsidRPr="00BF6FB0" w:rsidRDefault="00DC6D2C" w:rsidP="00DC6D2C">
            <w:pPr>
              <w:spacing w:after="0" w:line="240" w:lineRule="auto"/>
              <w:rPr>
                <w:rFonts w:eastAsia="Times New Roman" w:cs="Times New Roman"/>
                <w:sz w:val="20"/>
                <w:szCs w:val="20"/>
                <w:lang w:val="en-US"/>
              </w:rPr>
            </w:pPr>
            <w:r w:rsidRPr="00BF6FB0">
              <w:rPr>
                <w:rFonts w:eastAsia="Times New Roman" w:cs="Times New Roman"/>
                <w:sz w:val="20"/>
                <w:szCs w:val="20"/>
                <w:lang w:val="en-US"/>
              </w:rPr>
              <w:t>Causal workers</w:t>
            </w:r>
          </w:p>
        </w:tc>
        <w:tc>
          <w:tcPr>
            <w:tcW w:w="1448" w:type="dxa"/>
            <w:shd w:val="clear" w:color="auto" w:fill="auto"/>
            <w:noWrap/>
            <w:hideMark/>
          </w:tcPr>
          <w:p w14:paraId="3CABE081"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36</w:t>
            </w:r>
          </w:p>
        </w:tc>
        <w:tc>
          <w:tcPr>
            <w:tcW w:w="1528" w:type="dxa"/>
            <w:shd w:val="clear" w:color="auto" w:fill="auto"/>
            <w:noWrap/>
            <w:hideMark/>
          </w:tcPr>
          <w:p w14:paraId="28D09586"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4,5</w:t>
            </w:r>
          </w:p>
        </w:tc>
        <w:tc>
          <w:tcPr>
            <w:tcW w:w="1321" w:type="dxa"/>
            <w:shd w:val="clear" w:color="auto" w:fill="auto"/>
            <w:noWrap/>
            <w:hideMark/>
          </w:tcPr>
          <w:p w14:paraId="6504F54B"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25</w:t>
            </w:r>
          </w:p>
        </w:tc>
        <w:tc>
          <w:tcPr>
            <w:tcW w:w="1307" w:type="dxa"/>
            <w:shd w:val="clear" w:color="auto" w:fill="auto"/>
            <w:noWrap/>
            <w:hideMark/>
          </w:tcPr>
          <w:p w14:paraId="0A432042"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19,9</w:t>
            </w:r>
          </w:p>
        </w:tc>
      </w:tr>
      <w:tr w:rsidR="00DC6D2C" w:rsidRPr="00BF6FB0" w14:paraId="6C8F71C6" w14:textId="77777777" w:rsidTr="00DC6D2C">
        <w:trPr>
          <w:trHeight w:val="15"/>
        </w:trPr>
        <w:tc>
          <w:tcPr>
            <w:tcW w:w="3524" w:type="dxa"/>
            <w:shd w:val="clear" w:color="auto" w:fill="auto"/>
            <w:noWrap/>
            <w:hideMark/>
          </w:tcPr>
          <w:p w14:paraId="47AFCA3B" w14:textId="77777777" w:rsidR="00DC6D2C" w:rsidRPr="00BF6FB0" w:rsidRDefault="00DC6D2C" w:rsidP="00DC6D2C">
            <w:pPr>
              <w:spacing w:after="0" w:line="240" w:lineRule="auto"/>
              <w:rPr>
                <w:rFonts w:eastAsia="Times New Roman" w:cs="Times New Roman"/>
                <w:sz w:val="20"/>
                <w:szCs w:val="20"/>
                <w:lang w:val="en-US"/>
              </w:rPr>
            </w:pPr>
            <w:r w:rsidRPr="00BF6FB0">
              <w:rPr>
                <w:rFonts w:eastAsia="Times New Roman" w:cs="Times New Roman"/>
                <w:sz w:val="20"/>
                <w:szCs w:val="20"/>
                <w:lang w:val="en-US"/>
              </w:rPr>
              <w:t>Employer</w:t>
            </w:r>
          </w:p>
        </w:tc>
        <w:tc>
          <w:tcPr>
            <w:tcW w:w="1448" w:type="dxa"/>
            <w:shd w:val="clear" w:color="auto" w:fill="auto"/>
            <w:noWrap/>
            <w:hideMark/>
          </w:tcPr>
          <w:p w14:paraId="3DEE0A22"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34</w:t>
            </w:r>
          </w:p>
        </w:tc>
        <w:tc>
          <w:tcPr>
            <w:tcW w:w="1528" w:type="dxa"/>
            <w:shd w:val="clear" w:color="auto" w:fill="auto"/>
            <w:noWrap/>
            <w:hideMark/>
          </w:tcPr>
          <w:p w14:paraId="700785E0"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4,2</w:t>
            </w:r>
          </w:p>
        </w:tc>
        <w:tc>
          <w:tcPr>
            <w:tcW w:w="1321" w:type="dxa"/>
            <w:shd w:val="clear" w:color="auto" w:fill="auto"/>
            <w:noWrap/>
            <w:hideMark/>
          </w:tcPr>
          <w:p w14:paraId="6BA7E62C"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0</w:t>
            </w:r>
          </w:p>
        </w:tc>
        <w:tc>
          <w:tcPr>
            <w:tcW w:w="1307" w:type="dxa"/>
            <w:shd w:val="clear" w:color="auto" w:fill="auto"/>
            <w:noWrap/>
            <w:hideMark/>
          </w:tcPr>
          <w:p w14:paraId="2336134F"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0</w:t>
            </w:r>
          </w:p>
        </w:tc>
      </w:tr>
      <w:tr w:rsidR="00DC6D2C" w:rsidRPr="00BF6FB0" w14:paraId="6012559D" w14:textId="77777777" w:rsidTr="00DC6D2C">
        <w:trPr>
          <w:trHeight w:val="15"/>
        </w:trPr>
        <w:tc>
          <w:tcPr>
            <w:tcW w:w="3524" w:type="dxa"/>
            <w:shd w:val="clear" w:color="auto" w:fill="auto"/>
            <w:noWrap/>
            <w:hideMark/>
          </w:tcPr>
          <w:p w14:paraId="560C9BFC" w14:textId="77777777" w:rsidR="00DC6D2C" w:rsidRPr="00BF6FB0" w:rsidRDefault="00DC6D2C" w:rsidP="00DC6D2C">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Self-employed </w:t>
            </w:r>
          </w:p>
        </w:tc>
        <w:tc>
          <w:tcPr>
            <w:tcW w:w="1448" w:type="dxa"/>
            <w:shd w:val="clear" w:color="auto" w:fill="auto"/>
            <w:noWrap/>
            <w:hideMark/>
          </w:tcPr>
          <w:p w14:paraId="3CC8F17B"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98</w:t>
            </w:r>
          </w:p>
        </w:tc>
        <w:tc>
          <w:tcPr>
            <w:tcW w:w="1528" w:type="dxa"/>
            <w:shd w:val="clear" w:color="auto" w:fill="auto"/>
            <w:noWrap/>
            <w:hideMark/>
          </w:tcPr>
          <w:p w14:paraId="03E4DAD9"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12,1</w:t>
            </w:r>
          </w:p>
        </w:tc>
        <w:tc>
          <w:tcPr>
            <w:tcW w:w="1321" w:type="dxa"/>
            <w:shd w:val="clear" w:color="auto" w:fill="auto"/>
            <w:noWrap/>
            <w:hideMark/>
          </w:tcPr>
          <w:p w14:paraId="7DAC5E2A"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77</w:t>
            </w:r>
          </w:p>
        </w:tc>
        <w:tc>
          <w:tcPr>
            <w:tcW w:w="1307" w:type="dxa"/>
            <w:shd w:val="clear" w:color="auto" w:fill="auto"/>
            <w:noWrap/>
            <w:hideMark/>
          </w:tcPr>
          <w:p w14:paraId="58A57F52"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60,9</w:t>
            </w:r>
          </w:p>
        </w:tc>
      </w:tr>
      <w:tr w:rsidR="00DC6D2C" w:rsidRPr="00BF6FB0" w14:paraId="0CD9DCDD" w14:textId="77777777" w:rsidTr="00DC6D2C">
        <w:trPr>
          <w:trHeight w:val="15"/>
        </w:trPr>
        <w:tc>
          <w:tcPr>
            <w:tcW w:w="3524" w:type="dxa"/>
            <w:shd w:val="clear" w:color="auto" w:fill="auto"/>
            <w:noWrap/>
            <w:hideMark/>
          </w:tcPr>
          <w:p w14:paraId="3A6B464C" w14:textId="77777777" w:rsidR="00DC6D2C" w:rsidRPr="00BF6FB0" w:rsidRDefault="00DC6D2C" w:rsidP="00DC6D2C">
            <w:pPr>
              <w:spacing w:after="0" w:line="240" w:lineRule="auto"/>
              <w:rPr>
                <w:rFonts w:eastAsia="Times New Roman" w:cs="Times New Roman"/>
                <w:sz w:val="20"/>
                <w:szCs w:val="20"/>
                <w:lang w:val="en-US"/>
              </w:rPr>
            </w:pPr>
            <w:r w:rsidRPr="00BF6FB0">
              <w:rPr>
                <w:rFonts w:eastAsia="Times New Roman" w:cs="Times New Roman"/>
                <w:sz w:val="20"/>
                <w:szCs w:val="20"/>
                <w:lang w:val="en-US"/>
              </w:rPr>
              <w:t xml:space="preserve">Unpaid family workers </w:t>
            </w:r>
          </w:p>
        </w:tc>
        <w:tc>
          <w:tcPr>
            <w:tcW w:w="1448" w:type="dxa"/>
            <w:shd w:val="clear" w:color="auto" w:fill="auto"/>
            <w:noWrap/>
            <w:hideMark/>
          </w:tcPr>
          <w:p w14:paraId="4074986B"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w:t>
            </w:r>
          </w:p>
        </w:tc>
        <w:tc>
          <w:tcPr>
            <w:tcW w:w="1528" w:type="dxa"/>
            <w:shd w:val="clear" w:color="auto" w:fill="auto"/>
            <w:noWrap/>
            <w:hideMark/>
          </w:tcPr>
          <w:p w14:paraId="54080D4C"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w:t>
            </w:r>
          </w:p>
        </w:tc>
        <w:tc>
          <w:tcPr>
            <w:tcW w:w="1321" w:type="dxa"/>
            <w:shd w:val="clear" w:color="auto" w:fill="auto"/>
            <w:noWrap/>
            <w:hideMark/>
          </w:tcPr>
          <w:p w14:paraId="53F300F0"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22</w:t>
            </w:r>
          </w:p>
        </w:tc>
        <w:tc>
          <w:tcPr>
            <w:tcW w:w="1307" w:type="dxa"/>
            <w:shd w:val="clear" w:color="auto" w:fill="auto"/>
            <w:noWrap/>
            <w:hideMark/>
          </w:tcPr>
          <w:p w14:paraId="2C77D958"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18,1</w:t>
            </w:r>
          </w:p>
        </w:tc>
      </w:tr>
      <w:tr w:rsidR="00B56629" w:rsidRPr="00BF6FB0" w14:paraId="27917672" w14:textId="77777777" w:rsidTr="00DC6D2C">
        <w:trPr>
          <w:trHeight w:val="15"/>
        </w:trPr>
        <w:tc>
          <w:tcPr>
            <w:tcW w:w="3524" w:type="dxa"/>
            <w:shd w:val="clear" w:color="auto" w:fill="auto"/>
            <w:noWrap/>
            <w:hideMark/>
          </w:tcPr>
          <w:p w14:paraId="1CFAC03C" w14:textId="77777777" w:rsidR="00B56629" w:rsidRPr="00BF6FB0" w:rsidRDefault="00DC6D2C" w:rsidP="00B56629">
            <w:pPr>
              <w:spacing w:after="0" w:line="240" w:lineRule="auto"/>
              <w:rPr>
                <w:rFonts w:ascii="Calibri" w:eastAsia="Times New Roman" w:hAnsi="Calibri" w:cs="Times New Roman"/>
                <w:b/>
                <w:bCs/>
                <w:color w:val="000000"/>
                <w:sz w:val="20"/>
                <w:szCs w:val="20"/>
                <w:lang w:val="en-US"/>
              </w:rPr>
            </w:pPr>
            <w:r w:rsidRPr="00BF6FB0">
              <w:rPr>
                <w:rFonts w:eastAsia="Times New Roman" w:cs="Times New Roman"/>
                <w:b/>
                <w:bCs/>
                <w:sz w:val="20"/>
                <w:szCs w:val="20"/>
                <w:lang w:val="en-US"/>
              </w:rPr>
              <w:t>Total working female household heads</w:t>
            </w:r>
          </w:p>
        </w:tc>
        <w:tc>
          <w:tcPr>
            <w:tcW w:w="1448" w:type="dxa"/>
            <w:shd w:val="clear" w:color="auto" w:fill="auto"/>
            <w:noWrap/>
            <w:hideMark/>
          </w:tcPr>
          <w:p w14:paraId="5AAD8F3E" w14:textId="77777777" w:rsidR="00B56629" w:rsidRPr="00BF6FB0" w:rsidRDefault="00716D19" w:rsidP="00B56629">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806</w:t>
            </w:r>
          </w:p>
        </w:tc>
        <w:tc>
          <w:tcPr>
            <w:tcW w:w="1528" w:type="dxa"/>
            <w:shd w:val="clear" w:color="auto" w:fill="auto"/>
            <w:noWrap/>
            <w:hideMark/>
          </w:tcPr>
          <w:p w14:paraId="4F5D285F" w14:textId="77777777" w:rsidR="00B56629" w:rsidRPr="00BF6FB0" w:rsidRDefault="00B56629" w:rsidP="00B56629">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0</w:t>
            </w:r>
          </w:p>
        </w:tc>
        <w:tc>
          <w:tcPr>
            <w:tcW w:w="1321" w:type="dxa"/>
            <w:shd w:val="clear" w:color="auto" w:fill="auto"/>
            <w:noWrap/>
            <w:hideMark/>
          </w:tcPr>
          <w:p w14:paraId="43E29F1A" w14:textId="77777777" w:rsidR="00B56629" w:rsidRPr="00BF6FB0" w:rsidRDefault="0048748D" w:rsidP="00B56629">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126</w:t>
            </w:r>
          </w:p>
        </w:tc>
        <w:tc>
          <w:tcPr>
            <w:tcW w:w="1307" w:type="dxa"/>
            <w:shd w:val="clear" w:color="auto" w:fill="auto"/>
            <w:noWrap/>
            <w:hideMark/>
          </w:tcPr>
          <w:p w14:paraId="67FE7312" w14:textId="77777777" w:rsidR="00B56629" w:rsidRPr="00BF6FB0" w:rsidRDefault="00B56629" w:rsidP="00B56629">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100</w:t>
            </w:r>
            <w:r w:rsidR="00971D17" w:rsidRPr="00BF6FB0">
              <w:rPr>
                <w:rFonts w:ascii="Calibri" w:eastAsia="Times New Roman" w:hAnsi="Calibri" w:cs="Times New Roman"/>
                <w:color w:val="000000"/>
                <w:sz w:val="20"/>
                <w:szCs w:val="20"/>
                <w:lang w:val="en-US"/>
              </w:rPr>
              <w:t>,</w:t>
            </w:r>
            <w:r w:rsidRPr="00BF6FB0">
              <w:rPr>
                <w:rFonts w:ascii="Calibri" w:eastAsia="Times New Roman" w:hAnsi="Calibri" w:cs="Times New Roman"/>
                <w:color w:val="000000"/>
                <w:sz w:val="20"/>
                <w:szCs w:val="20"/>
                <w:lang w:val="en-US"/>
              </w:rPr>
              <w:t>0</w:t>
            </w:r>
          </w:p>
        </w:tc>
      </w:tr>
    </w:tbl>
    <w:p w14:paraId="1279C564" w14:textId="77777777" w:rsidR="00F647B3" w:rsidRPr="00BF6FB0" w:rsidRDefault="00F647B3" w:rsidP="00F647B3">
      <w:pPr>
        <w:pStyle w:val="Caption"/>
        <w:rPr>
          <w:b w:val="0"/>
          <w:color w:val="auto"/>
          <w:lang w:val="en-US"/>
        </w:rPr>
      </w:pPr>
      <w:bookmarkStart w:id="6" w:name="_Ref381807361"/>
      <w:r w:rsidRPr="00BF6FB0">
        <w:rPr>
          <w:b w:val="0"/>
          <w:color w:val="auto"/>
          <w:lang w:val="en-US"/>
        </w:rPr>
        <w:t xml:space="preserve">Source: 2015 TurkStat Income and Living Conditions Survey; Betam </w:t>
      </w:r>
    </w:p>
    <w:p w14:paraId="649635DD" w14:textId="77777777" w:rsidR="00DC2977" w:rsidRPr="00BF6FB0" w:rsidRDefault="00DC2977" w:rsidP="00DC2977">
      <w:pPr>
        <w:jc w:val="both"/>
        <w:rPr>
          <w:rFonts w:cs="Arial"/>
          <w:b/>
          <w:sz w:val="24"/>
          <w:szCs w:val="24"/>
          <w:lang w:val="en-US"/>
        </w:rPr>
      </w:pPr>
      <w:r w:rsidRPr="00BF6FB0">
        <w:rPr>
          <w:rFonts w:cs="Arial"/>
          <w:b/>
          <w:sz w:val="24"/>
          <w:szCs w:val="24"/>
          <w:lang w:val="en-US"/>
        </w:rPr>
        <w:t>West-East differentiation</w:t>
      </w:r>
    </w:p>
    <w:p w14:paraId="719D4363" w14:textId="5B070BD9" w:rsidR="00AA7E82" w:rsidRPr="00BF6FB0" w:rsidRDefault="000F2596" w:rsidP="00AA7E82">
      <w:pPr>
        <w:jc w:val="both"/>
        <w:rPr>
          <w:rFonts w:cs="Arial"/>
          <w:lang w:val="en-US"/>
        </w:rPr>
      </w:pPr>
      <w:r w:rsidRPr="00BF6FB0">
        <w:rPr>
          <w:rFonts w:cs="Arial"/>
          <w:lang w:val="en-US"/>
        </w:rPr>
        <w:t xml:space="preserve">The regional distribution of household heads is given in Table 8. </w:t>
      </w:r>
      <w:r w:rsidR="00AA7E82" w:rsidRPr="00BF6FB0">
        <w:rPr>
          <w:rFonts w:cs="Arial"/>
          <w:lang w:val="en-US"/>
        </w:rPr>
        <w:t>In Turkey, 18.2 percent of households have female head</w:t>
      </w:r>
      <w:r w:rsidR="007627EA">
        <w:rPr>
          <w:rFonts w:cs="Arial"/>
          <w:lang w:val="en-US"/>
        </w:rPr>
        <w:t>s</w:t>
      </w:r>
      <w:r w:rsidR="00F07645" w:rsidRPr="00BF6FB0">
        <w:rPr>
          <w:rFonts w:cs="Arial"/>
          <w:lang w:val="en-US"/>
        </w:rPr>
        <w:t>.</w:t>
      </w:r>
      <w:r w:rsidR="00CE1F4D" w:rsidRPr="00BF6FB0">
        <w:rPr>
          <w:rFonts w:cs="Arial"/>
          <w:lang w:val="en-US"/>
        </w:rPr>
        <w:t xml:space="preserve"> </w:t>
      </w:r>
      <w:r w:rsidR="00AA7E82" w:rsidRPr="00BF6FB0">
        <w:rPr>
          <w:rFonts w:cs="Arial"/>
          <w:lang w:val="en-US"/>
        </w:rPr>
        <w:t xml:space="preserve">Two regions </w:t>
      </w:r>
      <w:r w:rsidR="007627EA">
        <w:rPr>
          <w:rFonts w:cs="Arial"/>
          <w:lang w:val="en-US"/>
        </w:rPr>
        <w:t>with</w:t>
      </w:r>
      <w:r w:rsidR="00AA7E82" w:rsidRPr="00BF6FB0">
        <w:rPr>
          <w:rFonts w:cs="Arial"/>
          <w:lang w:val="en-US"/>
        </w:rPr>
        <w:t xml:space="preserve"> the highest share of female household heads are Istanbul ( 20.4 percent) and Aegean (20.2 percent). Moreover, </w:t>
      </w:r>
      <w:r w:rsidR="007627EA">
        <w:rPr>
          <w:rFonts w:cs="Arial"/>
          <w:lang w:val="en-US"/>
        </w:rPr>
        <w:t xml:space="preserve">the </w:t>
      </w:r>
      <w:r w:rsidR="00AA7E82" w:rsidRPr="00BF6FB0">
        <w:rPr>
          <w:rFonts w:cs="Arial"/>
          <w:lang w:val="en-US"/>
        </w:rPr>
        <w:t xml:space="preserve">shares of female-headed households in West Marmara, Mediterranean and East Black Sea Regions are higher than the overall average in Turkey. Finally, Central East Anatolia (12.1 percent) and Northeast Anatolia (13.4 percent) have the lowest ratios. </w:t>
      </w:r>
      <w:bookmarkEnd w:id="6"/>
    </w:p>
    <w:p w14:paraId="392F2094" w14:textId="77777777" w:rsidR="00A739E6" w:rsidRPr="00BF6FB0" w:rsidRDefault="00A739E6" w:rsidP="00AA7E82">
      <w:pPr>
        <w:jc w:val="both"/>
        <w:rPr>
          <w:rFonts w:cs="Arial"/>
          <w:b/>
          <w:lang w:val="en-US"/>
        </w:rPr>
      </w:pPr>
      <w:r w:rsidRPr="00BF6FB0">
        <w:rPr>
          <w:b/>
          <w:lang w:val="en-US"/>
        </w:rPr>
        <w:t xml:space="preserve">Table </w:t>
      </w:r>
      <w:r w:rsidRPr="00BF6FB0">
        <w:rPr>
          <w:b/>
          <w:lang w:val="en-US"/>
        </w:rPr>
        <w:fldChar w:fldCharType="begin"/>
      </w:r>
      <w:r w:rsidRPr="00BF6FB0">
        <w:rPr>
          <w:b/>
          <w:lang w:val="en-US"/>
        </w:rPr>
        <w:instrText xml:space="preserve"> SEQ Tablo \* ARABIC </w:instrText>
      </w:r>
      <w:r w:rsidRPr="00BF6FB0">
        <w:rPr>
          <w:b/>
          <w:lang w:val="en-US"/>
        </w:rPr>
        <w:fldChar w:fldCharType="separate"/>
      </w:r>
      <w:r w:rsidRPr="00BF6FB0">
        <w:rPr>
          <w:b/>
          <w:noProof/>
          <w:lang w:val="en-US"/>
        </w:rPr>
        <w:t>8</w:t>
      </w:r>
      <w:r w:rsidRPr="00BF6FB0">
        <w:rPr>
          <w:b/>
          <w:lang w:val="en-US"/>
        </w:rPr>
        <w:fldChar w:fldCharType="end"/>
      </w:r>
      <w:r w:rsidRPr="00BF6FB0">
        <w:rPr>
          <w:b/>
          <w:lang w:val="en-US"/>
        </w:rPr>
        <w:t xml:space="preserve">: The distribution of female and male household heads by regions (2015) </w:t>
      </w:r>
    </w:p>
    <w:tbl>
      <w:tblPr>
        <w:tblW w:w="920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267"/>
        <w:gridCol w:w="3014"/>
        <w:gridCol w:w="2039"/>
        <w:gridCol w:w="1882"/>
      </w:tblGrid>
      <w:tr w:rsidR="00DC6D2C" w:rsidRPr="00BF6FB0" w14:paraId="54408A67" w14:textId="77777777" w:rsidTr="00FD52A6">
        <w:trPr>
          <w:trHeight w:val="111"/>
        </w:trPr>
        <w:tc>
          <w:tcPr>
            <w:tcW w:w="2267" w:type="dxa"/>
            <w:shd w:val="clear" w:color="auto" w:fill="auto"/>
            <w:noWrap/>
            <w:hideMark/>
          </w:tcPr>
          <w:p w14:paraId="6001B218"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Regions</w:t>
            </w:r>
          </w:p>
          <w:p w14:paraId="3C1A24E0" w14:textId="77777777" w:rsidR="00DC6D2C" w:rsidRPr="00BF6FB0" w:rsidRDefault="00DC6D2C" w:rsidP="00DC6D2C">
            <w:pPr>
              <w:spacing w:after="0" w:line="240" w:lineRule="auto"/>
              <w:jc w:val="center"/>
              <w:rPr>
                <w:rFonts w:ascii="Calibri" w:eastAsia="Times New Roman" w:hAnsi="Calibri" w:cs="Times New Roman"/>
                <w:b/>
                <w:bCs/>
                <w:color w:val="000000"/>
                <w:sz w:val="20"/>
                <w:szCs w:val="20"/>
                <w:lang w:val="en-US"/>
              </w:rPr>
            </w:pPr>
          </w:p>
        </w:tc>
        <w:tc>
          <w:tcPr>
            <w:tcW w:w="3014" w:type="dxa"/>
            <w:shd w:val="clear" w:color="auto" w:fill="auto"/>
            <w:vAlign w:val="center"/>
            <w:hideMark/>
          </w:tcPr>
          <w:p w14:paraId="52057D44" w14:textId="77777777" w:rsidR="00DC6D2C" w:rsidRPr="00BF6FB0" w:rsidRDefault="00DC6D2C" w:rsidP="00DC6D2C">
            <w:pPr>
              <w:spacing w:after="0" w:line="240" w:lineRule="auto"/>
              <w:jc w:val="center"/>
              <w:rPr>
                <w:rFonts w:ascii="Calibri" w:eastAsia="Times New Roman" w:hAnsi="Calibri" w:cs="Calibri"/>
                <w:b/>
                <w:bCs/>
                <w:sz w:val="20"/>
                <w:szCs w:val="20"/>
                <w:lang w:val="en-US"/>
              </w:rPr>
            </w:pPr>
            <w:r w:rsidRPr="00BF6FB0">
              <w:rPr>
                <w:rFonts w:ascii="Calibri" w:eastAsia="Times New Roman" w:hAnsi="Calibri" w:cs="Calibri"/>
                <w:b/>
                <w:bCs/>
                <w:sz w:val="20"/>
                <w:szCs w:val="20"/>
                <w:lang w:val="en-US"/>
              </w:rPr>
              <w:t xml:space="preserve">The number of female household heads </w:t>
            </w:r>
          </w:p>
        </w:tc>
        <w:tc>
          <w:tcPr>
            <w:tcW w:w="2039" w:type="dxa"/>
            <w:shd w:val="clear" w:color="auto" w:fill="auto"/>
            <w:vAlign w:val="center"/>
            <w:hideMark/>
          </w:tcPr>
          <w:p w14:paraId="37A37604" w14:textId="77777777" w:rsidR="00DC6D2C" w:rsidRPr="00BF6FB0" w:rsidRDefault="00DC6D2C" w:rsidP="00DC6D2C">
            <w:pPr>
              <w:spacing w:after="0" w:line="240" w:lineRule="auto"/>
              <w:jc w:val="center"/>
              <w:rPr>
                <w:rFonts w:ascii="Calibri" w:eastAsia="Times New Roman" w:hAnsi="Calibri" w:cs="Calibri"/>
                <w:b/>
                <w:bCs/>
                <w:sz w:val="20"/>
                <w:szCs w:val="20"/>
                <w:lang w:val="en-US"/>
              </w:rPr>
            </w:pPr>
            <w:r w:rsidRPr="00BF6FB0">
              <w:rPr>
                <w:rFonts w:ascii="Calibri" w:eastAsia="Times New Roman" w:hAnsi="Calibri" w:cs="Calibri"/>
                <w:b/>
                <w:bCs/>
                <w:sz w:val="20"/>
                <w:szCs w:val="20"/>
                <w:lang w:val="en-US"/>
              </w:rPr>
              <w:t xml:space="preserve">The number of male household heads </w:t>
            </w:r>
          </w:p>
        </w:tc>
        <w:tc>
          <w:tcPr>
            <w:tcW w:w="1882" w:type="dxa"/>
            <w:shd w:val="clear" w:color="auto" w:fill="auto"/>
            <w:hideMark/>
          </w:tcPr>
          <w:p w14:paraId="14F348E7" w14:textId="77777777" w:rsidR="00DC6D2C" w:rsidRPr="00BF6FB0" w:rsidRDefault="00DC6D2C" w:rsidP="00DC6D2C">
            <w:pPr>
              <w:spacing w:after="0" w:line="240" w:lineRule="auto"/>
              <w:jc w:val="center"/>
              <w:rPr>
                <w:rFonts w:ascii="Calibri" w:eastAsia="Times New Roman" w:hAnsi="Calibri" w:cs="Calibri"/>
                <w:b/>
                <w:sz w:val="20"/>
                <w:szCs w:val="20"/>
                <w:lang w:val="en-US"/>
              </w:rPr>
            </w:pPr>
            <w:r w:rsidRPr="00BF6FB0">
              <w:rPr>
                <w:rFonts w:ascii="Calibri" w:eastAsia="Times New Roman" w:hAnsi="Calibri" w:cs="Calibri"/>
                <w:b/>
                <w:sz w:val="20"/>
                <w:szCs w:val="20"/>
                <w:lang w:val="en-US"/>
              </w:rPr>
              <w:t xml:space="preserve">The ratio of female household heads </w:t>
            </w:r>
          </w:p>
        </w:tc>
      </w:tr>
      <w:tr w:rsidR="00DC6D2C" w:rsidRPr="00BF6FB0" w14:paraId="1085D746" w14:textId="77777777" w:rsidTr="00FD52A6">
        <w:trPr>
          <w:trHeight w:val="111"/>
        </w:trPr>
        <w:tc>
          <w:tcPr>
            <w:tcW w:w="2267" w:type="dxa"/>
            <w:shd w:val="clear" w:color="auto" w:fill="auto"/>
            <w:hideMark/>
          </w:tcPr>
          <w:p w14:paraId="4B0A6C02"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Istanbul</w:t>
            </w:r>
          </w:p>
        </w:tc>
        <w:tc>
          <w:tcPr>
            <w:tcW w:w="3014" w:type="dxa"/>
            <w:shd w:val="clear" w:color="auto" w:fill="auto"/>
            <w:vAlign w:val="bottom"/>
            <w:hideMark/>
          </w:tcPr>
          <w:p w14:paraId="69DE535A"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859</w:t>
            </w:r>
          </w:p>
        </w:tc>
        <w:tc>
          <w:tcPr>
            <w:tcW w:w="2039" w:type="dxa"/>
            <w:shd w:val="clear" w:color="auto" w:fill="auto"/>
            <w:noWrap/>
            <w:vAlign w:val="bottom"/>
            <w:hideMark/>
          </w:tcPr>
          <w:p w14:paraId="1130A09B"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3342</w:t>
            </w:r>
          </w:p>
        </w:tc>
        <w:tc>
          <w:tcPr>
            <w:tcW w:w="1882" w:type="dxa"/>
            <w:shd w:val="clear" w:color="auto" w:fill="auto"/>
            <w:noWrap/>
            <w:vAlign w:val="bottom"/>
            <w:hideMark/>
          </w:tcPr>
          <w:p w14:paraId="118E05EC" w14:textId="55F71CEB"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20.</w:t>
            </w:r>
            <w:r w:rsidR="00DC6D2C" w:rsidRPr="00BF6FB0">
              <w:rPr>
                <w:rFonts w:ascii="Calibri" w:eastAsia="Times New Roman" w:hAnsi="Calibri" w:cs="Times New Roman"/>
                <w:color w:val="000000"/>
                <w:sz w:val="20"/>
                <w:szCs w:val="20"/>
                <w:lang w:val="en-US"/>
              </w:rPr>
              <w:t>4</w:t>
            </w:r>
          </w:p>
        </w:tc>
      </w:tr>
      <w:tr w:rsidR="00DC6D2C" w:rsidRPr="00BF6FB0" w14:paraId="16164A8D" w14:textId="77777777" w:rsidTr="00FD52A6">
        <w:trPr>
          <w:trHeight w:val="111"/>
        </w:trPr>
        <w:tc>
          <w:tcPr>
            <w:tcW w:w="2267" w:type="dxa"/>
            <w:shd w:val="clear" w:color="auto" w:fill="auto"/>
            <w:hideMark/>
          </w:tcPr>
          <w:p w14:paraId="79A0562B"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lastRenderedPageBreak/>
              <w:t>West Marmara</w:t>
            </w:r>
          </w:p>
        </w:tc>
        <w:tc>
          <w:tcPr>
            <w:tcW w:w="3014" w:type="dxa"/>
            <w:shd w:val="clear" w:color="auto" w:fill="auto"/>
            <w:vAlign w:val="bottom"/>
            <w:hideMark/>
          </w:tcPr>
          <w:p w14:paraId="1716A33D"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218</w:t>
            </w:r>
          </w:p>
        </w:tc>
        <w:tc>
          <w:tcPr>
            <w:tcW w:w="2039" w:type="dxa"/>
            <w:shd w:val="clear" w:color="auto" w:fill="auto"/>
            <w:noWrap/>
            <w:vAlign w:val="bottom"/>
            <w:hideMark/>
          </w:tcPr>
          <w:p w14:paraId="5A811920"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909</w:t>
            </w:r>
          </w:p>
        </w:tc>
        <w:tc>
          <w:tcPr>
            <w:tcW w:w="1882" w:type="dxa"/>
            <w:shd w:val="clear" w:color="auto" w:fill="auto"/>
            <w:noWrap/>
            <w:vAlign w:val="bottom"/>
            <w:hideMark/>
          </w:tcPr>
          <w:p w14:paraId="25ADC2C8" w14:textId="750F00C1"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19.</w:t>
            </w:r>
            <w:r w:rsidR="00DC6D2C" w:rsidRPr="00BF6FB0">
              <w:rPr>
                <w:rFonts w:ascii="Calibri" w:eastAsia="Times New Roman" w:hAnsi="Calibri" w:cs="Times New Roman"/>
                <w:color w:val="000000"/>
                <w:sz w:val="20"/>
                <w:szCs w:val="20"/>
                <w:lang w:val="en-US"/>
              </w:rPr>
              <w:t>3</w:t>
            </w:r>
          </w:p>
        </w:tc>
      </w:tr>
      <w:tr w:rsidR="00DC6D2C" w:rsidRPr="00BF6FB0" w14:paraId="016688C7" w14:textId="77777777" w:rsidTr="00FD52A6">
        <w:trPr>
          <w:trHeight w:val="111"/>
        </w:trPr>
        <w:tc>
          <w:tcPr>
            <w:tcW w:w="2267" w:type="dxa"/>
            <w:shd w:val="clear" w:color="auto" w:fill="auto"/>
            <w:hideMark/>
          </w:tcPr>
          <w:p w14:paraId="7036B92B"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Aegean </w:t>
            </w:r>
          </w:p>
        </w:tc>
        <w:tc>
          <w:tcPr>
            <w:tcW w:w="3014" w:type="dxa"/>
            <w:shd w:val="clear" w:color="auto" w:fill="auto"/>
            <w:vAlign w:val="bottom"/>
            <w:hideMark/>
          </w:tcPr>
          <w:p w14:paraId="7E6A9E6E"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677</w:t>
            </w:r>
          </w:p>
        </w:tc>
        <w:tc>
          <w:tcPr>
            <w:tcW w:w="2039" w:type="dxa"/>
            <w:shd w:val="clear" w:color="auto" w:fill="auto"/>
            <w:noWrap/>
            <w:vAlign w:val="bottom"/>
            <w:hideMark/>
          </w:tcPr>
          <w:p w14:paraId="5B4CCCE2"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2676</w:t>
            </w:r>
          </w:p>
        </w:tc>
        <w:tc>
          <w:tcPr>
            <w:tcW w:w="1882" w:type="dxa"/>
            <w:shd w:val="clear" w:color="auto" w:fill="auto"/>
            <w:noWrap/>
            <w:vAlign w:val="bottom"/>
            <w:hideMark/>
          </w:tcPr>
          <w:p w14:paraId="2C5CDBBC" w14:textId="2D3F9B51"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20.</w:t>
            </w:r>
            <w:r w:rsidR="00DC6D2C" w:rsidRPr="00BF6FB0">
              <w:rPr>
                <w:rFonts w:ascii="Calibri" w:eastAsia="Times New Roman" w:hAnsi="Calibri" w:cs="Times New Roman"/>
                <w:color w:val="000000"/>
                <w:sz w:val="20"/>
                <w:szCs w:val="20"/>
                <w:lang w:val="en-US"/>
              </w:rPr>
              <w:t>2</w:t>
            </w:r>
          </w:p>
        </w:tc>
      </w:tr>
      <w:tr w:rsidR="00DC6D2C" w:rsidRPr="00BF6FB0" w14:paraId="7DCFE430" w14:textId="77777777" w:rsidTr="00FD52A6">
        <w:trPr>
          <w:trHeight w:val="111"/>
        </w:trPr>
        <w:tc>
          <w:tcPr>
            <w:tcW w:w="2267" w:type="dxa"/>
            <w:shd w:val="clear" w:color="auto" w:fill="auto"/>
            <w:hideMark/>
          </w:tcPr>
          <w:p w14:paraId="5599E6B9"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East Marmara</w:t>
            </w:r>
          </w:p>
        </w:tc>
        <w:tc>
          <w:tcPr>
            <w:tcW w:w="3014" w:type="dxa"/>
            <w:shd w:val="clear" w:color="auto" w:fill="auto"/>
            <w:vAlign w:val="bottom"/>
            <w:hideMark/>
          </w:tcPr>
          <w:p w14:paraId="0C353C66"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361</w:t>
            </w:r>
          </w:p>
        </w:tc>
        <w:tc>
          <w:tcPr>
            <w:tcW w:w="2039" w:type="dxa"/>
            <w:shd w:val="clear" w:color="auto" w:fill="auto"/>
            <w:noWrap/>
            <w:vAlign w:val="bottom"/>
            <w:hideMark/>
          </w:tcPr>
          <w:p w14:paraId="715AD74A"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1776</w:t>
            </w:r>
          </w:p>
        </w:tc>
        <w:tc>
          <w:tcPr>
            <w:tcW w:w="1882" w:type="dxa"/>
            <w:shd w:val="clear" w:color="auto" w:fill="auto"/>
            <w:noWrap/>
            <w:vAlign w:val="bottom"/>
            <w:hideMark/>
          </w:tcPr>
          <w:p w14:paraId="4502219A" w14:textId="4713612A"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w:t>
            </w:r>
            <w:r w:rsidR="00DC6D2C" w:rsidRPr="00BF6FB0">
              <w:rPr>
                <w:rFonts w:ascii="Calibri" w:eastAsia="Times New Roman" w:hAnsi="Calibri" w:cs="Times New Roman"/>
                <w:color w:val="000000"/>
                <w:sz w:val="20"/>
                <w:szCs w:val="20"/>
                <w:lang w:val="en-US"/>
              </w:rPr>
              <w:t>9</w:t>
            </w:r>
          </w:p>
        </w:tc>
      </w:tr>
      <w:tr w:rsidR="00DC6D2C" w:rsidRPr="00BF6FB0" w14:paraId="48538DBA" w14:textId="77777777" w:rsidTr="00FD52A6">
        <w:trPr>
          <w:trHeight w:val="111"/>
        </w:trPr>
        <w:tc>
          <w:tcPr>
            <w:tcW w:w="2267" w:type="dxa"/>
            <w:shd w:val="clear" w:color="auto" w:fill="auto"/>
            <w:hideMark/>
          </w:tcPr>
          <w:p w14:paraId="2B71FE13"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West Anatolia</w:t>
            </w:r>
          </w:p>
        </w:tc>
        <w:tc>
          <w:tcPr>
            <w:tcW w:w="3014" w:type="dxa"/>
            <w:shd w:val="clear" w:color="auto" w:fill="auto"/>
            <w:vAlign w:val="bottom"/>
            <w:hideMark/>
          </w:tcPr>
          <w:p w14:paraId="4F2CE376"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371</w:t>
            </w:r>
          </w:p>
        </w:tc>
        <w:tc>
          <w:tcPr>
            <w:tcW w:w="2039" w:type="dxa"/>
            <w:shd w:val="clear" w:color="auto" w:fill="auto"/>
            <w:noWrap/>
            <w:vAlign w:val="bottom"/>
            <w:hideMark/>
          </w:tcPr>
          <w:p w14:paraId="081F076D"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1890</w:t>
            </w:r>
          </w:p>
        </w:tc>
        <w:tc>
          <w:tcPr>
            <w:tcW w:w="1882" w:type="dxa"/>
            <w:shd w:val="clear" w:color="auto" w:fill="auto"/>
            <w:noWrap/>
            <w:vAlign w:val="bottom"/>
            <w:hideMark/>
          </w:tcPr>
          <w:p w14:paraId="296CA71B" w14:textId="43B07241"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w:t>
            </w:r>
            <w:r w:rsidR="00DC6D2C" w:rsidRPr="00BF6FB0">
              <w:rPr>
                <w:rFonts w:ascii="Calibri" w:eastAsia="Times New Roman" w:hAnsi="Calibri" w:cs="Times New Roman"/>
                <w:color w:val="000000"/>
                <w:sz w:val="20"/>
                <w:szCs w:val="20"/>
                <w:lang w:val="en-US"/>
              </w:rPr>
              <w:t>4</w:t>
            </w:r>
          </w:p>
        </w:tc>
      </w:tr>
      <w:tr w:rsidR="00DC6D2C" w:rsidRPr="00BF6FB0" w14:paraId="20329556" w14:textId="77777777" w:rsidTr="00FD52A6">
        <w:trPr>
          <w:trHeight w:val="111"/>
        </w:trPr>
        <w:tc>
          <w:tcPr>
            <w:tcW w:w="2267" w:type="dxa"/>
            <w:shd w:val="clear" w:color="auto" w:fill="auto"/>
            <w:hideMark/>
          </w:tcPr>
          <w:p w14:paraId="4870E705"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Mediterranean </w:t>
            </w:r>
          </w:p>
        </w:tc>
        <w:tc>
          <w:tcPr>
            <w:tcW w:w="3014" w:type="dxa"/>
            <w:shd w:val="clear" w:color="auto" w:fill="auto"/>
            <w:vAlign w:val="bottom"/>
            <w:hideMark/>
          </w:tcPr>
          <w:p w14:paraId="2E5B8B7A"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575</w:t>
            </w:r>
          </w:p>
        </w:tc>
        <w:tc>
          <w:tcPr>
            <w:tcW w:w="2039" w:type="dxa"/>
            <w:shd w:val="clear" w:color="auto" w:fill="auto"/>
            <w:noWrap/>
            <w:vAlign w:val="bottom"/>
            <w:hideMark/>
          </w:tcPr>
          <w:p w14:paraId="090286F0"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2312</w:t>
            </w:r>
          </w:p>
        </w:tc>
        <w:tc>
          <w:tcPr>
            <w:tcW w:w="1882" w:type="dxa"/>
            <w:shd w:val="clear" w:color="auto" w:fill="auto"/>
            <w:noWrap/>
            <w:vAlign w:val="bottom"/>
            <w:hideMark/>
          </w:tcPr>
          <w:p w14:paraId="40FF60D5" w14:textId="45B28254"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19.</w:t>
            </w:r>
            <w:r w:rsidR="00DC6D2C" w:rsidRPr="00BF6FB0">
              <w:rPr>
                <w:rFonts w:ascii="Calibri" w:eastAsia="Times New Roman" w:hAnsi="Calibri" w:cs="Times New Roman"/>
                <w:color w:val="000000"/>
                <w:sz w:val="20"/>
                <w:szCs w:val="20"/>
                <w:lang w:val="en-US"/>
              </w:rPr>
              <w:t>9</w:t>
            </w:r>
          </w:p>
        </w:tc>
      </w:tr>
      <w:tr w:rsidR="00DC6D2C" w:rsidRPr="00BF6FB0" w14:paraId="6CF4A1AE" w14:textId="77777777" w:rsidTr="00FD52A6">
        <w:trPr>
          <w:trHeight w:val="111"/>
        </w:trPr>
        <w:tc>
          <w:tcPr>
            <w:tcW w:w="2267" w:type="dxa"/>
            <w:shd w:val="clear" w:color="auto" w:fill="auto"/>
            <w:hideMark/>
          </w:tcPr>
          <w:p w14:paraId="4F97C26F"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Central Anatolia </w:t>
            </w:r>
          </w:p>
        </w:tc>
        <w:tc>
          <w:tcPr>
            <w:tcW w:w="3014" w:type="dxa"/>
            <w:shd w:val="clear" w:color="auto" w:fill="auto"/>
            <w:vAlign w:val="bottom"/>
            <w:hideMark/>
          </w:tcPr>
          <w:p w14:paraId="0C0AED07"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168</w:t>
            </w:r>
          </w:p>
        </w:tc>
        <w:tc>
          <w:tcPr>
            <w:tcW w:w="2039" w:type="dxa"/>
            <w:shd w:val="clear" w:color="auto" w:fill="auto"/>
            <w:noWrap/>
            <w:vAlign w:val="bottom"/>
            <w:hideMark/>
          </w:tcPr>
          <w:p w14:paraId="1A33CAB6"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864</w:t>
            </w:r>
          </w:p>
        </w:tc>
        <w:tc>
          <w:tcPr>
            <w:tcW w:w="1882" w:type="dxa"/>
            <w:shd w:val="clear" w:color="auto" w:fill="auto"/>
            <w:noWrap/>
            <w:vAlign w:val="bottom"/>
            <w:hideMark/>
          </w:tcPr>
          <w:p w14:paraId="4FF45F30" w14:textId="3ADAF994"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w:t>
            </w:r>
            <w:r w:rsidR="00DC6D2C" w:rsidRPr="00BF6FB0">
              <w:rPr>
                <w:rFonts w:ascii="Calibri" w:eastAsia="Times New Roman" w:hAnsi="Calibri" w:cs="Times New Roman"/>
                <w:color w:val="000000"/>
                <w:sz w:val="20"/>
                <w:szCs w:val="20"/>
                <w:lang w:val="en-US"/>
              </w:rPr>
              <w:t>3</w:t>
            </w:r>
          </w:p>
        </w:tc>
      </w:tr>
      <w:tr w:rsidR="00DC6D2C" w:rsidRPr="00BF6FB0" w14:paraId="408A3B99" w14:textId="77777777" w:rsidTr="00FD52A6">
        <w:trPr>
          <w:trHeight w:val="111"/>
        </w:trPr>
        <w:tc>
          <w:tcPr>
            <w:tcW w:w="2267" w:type="dxa"/>
            <w:shd w:val="clear" w:color="auto" w:fill="auto"/>
            <w:hideMark/>
          </w:tcPr>
          <w:p w14:paraId="7FEB89F7"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West Black Sea </w:t>
            </w:r>
          </w:p>
        </w:tc>
        <w:tc>
          <w:tcPr>
            <w:tcW w:w="3014" w:type="dxa"/>
            <w:shd w:val="clear" w:color="auto" w:fill="auto"/>
            <w:vAlign w:val="bottom"/>
            <w:hideMark/>
          </w:tcPr>
          <w:p w14:paraId="0A18CF61"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203</w:t>
            </w:r>
          </w:p>
        </w:tc>
        <w:tc>
          <w:tcPr>
            <w:tcW w:w="2039" w:type="dxa"/>
            <w:shd w:val="clear" w:color="auto" w:fill="auto"/>
            <w:noWrap/>
            <w:vAlign w:val="bottom"/>
            <w:hideMark/>
          </w:tcPr>
          <w:p w14:paraId="74D87F72"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1069</w:t>
            </w:r>
          </w:p>
        </w:tc>
        <w:tc>
          <w:tcPr>
            <w:tcW w:w="1882" w:type="dxa"/>
            <w:shd w:val="clear" w:color="auto" w:fill="auto"/>
            <w:noWrap/>
            <w:vAlign w:val="bottom"/>
            <w:hideMark/>
          </w:tcPr>
          <w:p w14:paraId="309E35FF" w14:textId="4CEFC2EB"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w:t>
            </w:r>
            <w:r w:rsidR="00DC6D2C" w:rsidRPr="00BF6FB0">
              <w:rPr>
                <w:rFonts w:ascii="Calibri" w:eastAsia="Times New Roman" w:hAnsi="Calibri" w:cs="Times New Roman"/>
                <w:color w:val="000000"/>
                <w:sz w:val="20"/>
                <w:szCs w:val="20"/>
                <w:lang w:val="en-US"/>
              </w:rPr>
              <w:t>0</w:t>
            </w:r>
          </w:p>
        </w:tc>
      </w:tr>
      <w:tr w:rsidR="00DC6D2C" w:rsidRPr="00BF6FB0" w14:paraId="7786AA44" w14:textId="77777777" w:rsidTr="00FD52A6">
        <w:trPr>
          <w:trHeight w:val="111"/>
        </w:trPr>
        <w:tc>
          <w:tcPr>
            <w:tcW w:w="2267" w:type="dxa"/>
            <w:shd w:val="clear" w:color="auto" w:fill="auto"/>
            <w:hideMark/>
          </w:tcPr>
          <w:p w14:paraId="121D2CC2"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East Black Sea </w:t>
            </w:r>
          </w:p>
        </w:tc>
        <w:tc>
          <w:tcPr>
            <w:tcW w:w="3014" w:type="dxa"/>
            <w:shd w:val="clear" w:color="auto" w:fill="auto"/>
            <w:vAlign w:val="bottom"/>
            <w:hideMark/>
          </w:tcPr>
          <w:p w14:paraId="044ACF98"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140</w:t>
            </w:r>
          </w:p>
        </w:tc>
        <w:tc>
          <w:tcPr>
            <w:tcW w:w="2039" w:type="dxa"/>
            <w:shd w:val="clear" w:color="auto" w:fill="auto"/>
            <w:noWrap/>
            <w:vAlign w:val="bottom"/>
            <w:hideMark/>
          </w:tcPr>
          <w:p w14:paraId="450AA7C6"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610</w:t>
            </w:r>
          </w:p>
        </w:tc>
        <w:tc>
          <w:tcPr>
            <w:tcW w:w="1882" w:type="dxa"/>
            <w:shd w:val="clear" w:color="auto" w:fill="auto"/>
            <w:noWrap/>
            <w:vAlign w:val="bottom"/>
            <w:hideMark/>
          </w:tcPr>
          <w:p w14:paraId="44D3418D" w14:textId="44907F0D"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18.</w:t>
            </w:r>
            <w:r w:rsidR="00DC6D2C" w:rsidRPr="00BF6FB0">
              <w:rPr>
                <w:rFonts w:ascii="Calibri" w:eastAsia="Times New Roman" w:hAnsi="Calibri" w:cs="Times New Roman"/>
                <w:color w:val="000000"/>
                <w:sz w:val="20"/>
                <w:szCs w:val="20"/>
                <w:lang w:val="en-US"/>
              </w:rPr>
              <w:t>7</w:t>
            </w:r>
          </w:p>
        </w:tc>
      </w:tr>
      <w:tr w:rsidR="00DC6D2C" w:rsidRPr="00BF6FB0" w14:paraId="03E04E4A" w14:textId="77777777" w:rsidTr="00FD52A6">
        <w:trPr>
          <w:trHeight w:val="111"/>
        </w:trPr>
        <w:tc>
          <w:tcPr>
            <w:tcW w:w="2267" w:type="dxa"/>
            <w:shd w:val="clear" w:color="auto" w:fill="auto"/>
            <w:hideMark/>
          </w:tcPr>
          <w:p w14:paraId="043EF010"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Northeast Anatolia</w:t>
            </w:r>
          </w:p>
        </w:tc>
        <w:tc>
          <w:tcPr>
            <w:tcW w:w="3014" w:type="dxa"/>
            <w:shd w:val="clear" w:color="auto" w:fill="auto"/>
            <w:vAlign w:val="bottom"/>
            <w:hideMark/>
          </w:tcPr>
          <w:p w14:paraId="7D8C44F0"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63</w:t>
            </w:r>
          </w:p>
        </w:tc>
        <w:tc>
          <w:tcPr>
            <w:tcW w:w="2039" w:type="dxa"/>
            <w:shd w:val="clear" w:color="auto" w:fill="auto"/>
            <w:noWrap/>
            <w:vAlign w:val="bottom"/>
            <w:hideMark/>
          </w:tcPr>
          <w:p w14:paraId="093DB50F"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408</w:t>
            </w:r>
          </w:p>
        </w:tc>
        <w:tc>
          <w:tcPr>
            <w:tcW w:w="1882" w:type="dxa"/>
            <w:shd w:val="clear" w:color="auto" w:fill="auto"/>
            <w:noWrap/>
            <w:vAlign w:val="bottom"/>
            <w:hideMark/>
          </w:tcPr>
          <w:p w14:paraId="1F57BC52" w14:textId="6565FFF7"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13.</w:t>
            </w:r>
            <w:r w:rsidR="00DC6D2C" w:rsidRPr="00BF6FB0">
              <w:rPr>
                <w:rFonts w:ascii="Calibri" w:eastAsia="Times New Roman" w:hAnsi="Calibri" w:cs="Times New Roman"/>
                <w:color w:val="000000"/>
                <w:sz w:val="20"/>
                <w:szCs w:val="20"/>
                <w:lang w:val="en-US"/>
              </w:rPr>
              <w:t>4</w:t>
            </w:r>
          </w:p>
        </w:tc>
      </w:tr>
      <w:tr w:rsidR="00DC6D2C" w:rsidRPr="00BF6FB0" w14:paraId="2CC93BB1" w14:textId="77777777" w:rsidTr="00FD52A6">
        <w:trPr>
          <w:trHeight w:val="111"/>
        </w:trPr>
        <w:tc>
          <w:tcPr>
            <w:tcW w:w="2267" w:type="dxa"/>
            <w:shd w:val="clear" w:color="auto" w:fill="auto"/>
            <w:hideMark/>
          </w:tcPr>
          <w:p w14:paraId="4F281EB6"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Central East Anatolia </w:t>
            </w:r>
          </w:p>
        </w:tc>
        <w:tc>
          <w:tcPr>
            <w:tcW w:w="3014" w:type="dxa"/>
            <w:shd w:val="clear" w:color="auto" w:fill="auto"/>
            <w:vAlign w:val="bottom"/>
            <w:hideMark/>
          </w:tcPr>
          <w:p w14:paraId="512EFDF0"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95</w:t>
            </w:r>
          </w:p>
        </w:tc>
        <w:tc>
          <w:tcPr>
            <w:tcW w:w="2039" w:type="dxa"/>
            <w:shd w:val="clear" w:color="auto" w:fill="auto"/>
            <w:noWrap/>
            <w:vAlign w:val="bottom"/>
            <w:hideMark/>
          </w:tcPr>
          <w:p w14:paraId="12D0C784"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691</w:t>
            </w:r>
          </w:p>
        </w:tc>
        <w:tc>
          <w:tcPr>
            <w:tcW w:w="1882" w:type="dxa"/>
            <w:shd w:val="clear" w:color="auto" w:fill="auto"/>
            <w:noWrap/>
            <w:vAlign w:val="bottom"/>
            <w:hideMark/>
          </w:tcPr>
          <w:p w14:paraId="6E82D8EF" w14:textId="12EF7E77"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12.</w:t>
            </w:r>
            <w:r w:rsidR="00DC6D2C" w:rsidRPr="00BF6FB0">
              <w:rPr>
                <w:rFonts w:ascii="Calibri" w:eastAsia="Times New Roman" w:hAnsi="Calibri" w:cs="Times New Roman"/>
                <w:color w:val="000000"/>
                <w:sz w:val="20"/>
                <w:szCs w:val="20"/>
                <w:lang w:val="en-US"/>
              </w:rPr>
              <w:t>1</w:t>
            </w:r>
          </w:p>
        </w:tc>
      </w:tr>
      <w:tr w:rsidR="00DC6D2C" w:rsidRPr="00BF6FB0" w14:paraId="3E9E0682" w14:textId="77777777" w:rsidTr="00FD52A6">
        <w:trPr>
          <w:trHeight w:val="111"/>
        </w:trPr>
        <w:tc>
          <w:tcPr>
            <w:tcW w:w="2267" w:type="dxa"/>
            <w:shd w:val="clear" w:color="auto" w:fill="auto"/>
            <w:hideMark/>
          </w:tcPr>
          <w:p w14:paraId="3F03BA4F"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 xml:space="preserve">South East Anatolia </w:t>
            </w:r>
          </w:p>
        </w:tc>
        <w:tc>
          <w:tcPr>
            <w:tcW w:w="3014" w:type="dxa"/>
            <w:shd w:val="clear" w:color="auto" w:fill="auto"/>
            <w:vAlign w:val="bottom"/>
            <w:hideMark/>
          </w:tcPr>
          <w:p w14:paraId="0D0F4DB5"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238</w:t>
            </w:r>
          </w:p>
        </w:tc>
        <w:tc>
          <w:tcPr>
            <w:tcW w:w="2039" w:type="dxa"/>
            <w:shd w:val="clear" w:color="auto" w:fill="auto"/>
            <w:noWrap/>
            <w:vAlign w:val="bottom"/>
            <w:hideMark/>
          </w:tcPr>
          <w:p w14:paraId="1F24C68A"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1321</w:t>
            </w:r>
          </w:p>
        </w:tc>
        <w:tc>
          <w:tcPr>
            <w:tcW w:w="1882" w:type="dxa"/>
            <w:shd w:val="clear" w:color="auto" w:fill="auto"/>
            <w:noWrap/>
            <w:vAlign w:val="bottom"/>
            <w:hideMark/>
          </w:tcPr>
          <w:p w14:paraId="60E14EEF" w14:textId="30E3605F"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15.</w:t>
            </w:r>
            <w:r w:rsidR="00DC6D2C" w:rsidRPr="00BF6FB0">
              <w:rPr>
                <w:rFonts w:ascii="Calibri" w:eastAsia="Times New Roman" w:hAnsi="Calibri" w:cs="Times New Roman"/>
                <w:color w:val="000000"/>
                <w:sz w:val="20"/>
                <w:szCs w:val="20"/>
                <w:lang w:val="en-US"/>
              </w:rPr>
              <w:t>3</w:t>
            </w:r>
          </w:p>
        </w:tc>
      </w:tr>
      <w:tr w:rsidR="00DC6D2C" w:rsidRPr="00BF6FB0" w14:paraId="0AD3CD18" w14:textId="77777777" w:rsidTr="00FD52A6">
        <w:trPr>
          <w:trHeight w:val="208"/>
        </w:trPr>
        <w:tc>
          <w:tcPr>
            <w:tcW w:w="2267" w:type="dxa"/>
            <w:shd w:val="clear" w:color="auto" w:fill="auto"/>
            <w:hideMark/>
          </w:tcPr>
          <w:p w14:paraId="4F6C8157" w14:textId="77777777" w:rsidR="00DC6D2C" w:rsidRPr="00BF6FB0" w:rsidRDefault="00DC6D2C" w:rsidP="00DC6D2C">
            <w:pPr>
              <w:spacing w:after="0" w:line="240" w:lineRule="auto"/>
              <w:rPr>
                <w:rFonts w:ascii="Calibri" w:eastAsia="Times New Roman" w:hAnsi="Calibri" w:cs="Calibri"/>
                <w:sz w:val="20"/>
                <w:szCs w:val="20"/>
                <w:lang w:val="en-US"/>
              </w:rPr>
            </w:pPr>
            <w:r w:rsidRPr="00BF6FB0">
              <w:rPr>
                <w:rFonts w:ascii="Calibri" w:eastAsia="Times New Roman" w:hAnsi="Calibri" w:cs="Calibri"/>
                <w:sz w:val="20"/>
                <w:szCs w:val="20"/>
                <w:lang w:val="en-US"/>
              </w:rPr>
              <w:t>Total household heads (in thousands)</w:t>
            </w:r>
          </w:p>
        </w:tc>
        <w:tc>
          <w:tcPr>
            <w:tcW w:w="3014" w:type="dxa"/>
            <w:shd w:val="clear" w:color="auto" w:fill="auto"/>
            <w:vAlign w:val="bottom"/>
            <w:hideMark/>
          </w:tcPr>
          <w:p w14:paraId="10AAD7D3"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3968</w:t>
            </w:r>
          </w:p>
        </w:tc>
        <w:tc>
          <w:tcPr>
            <w:tcW w:w="2039" w:type="dxa"/>
            <w:shd w:val="clear" w:color="auto" w:fill="auto"/>
            <w:noWrap/>
            <w:vAlign w:val="bottom"/>
            <w:hideMark/>
          </w:tcPr>
          <w:p w14:paraId="05267EBD" w14:textId="77777777" w:rsidR="00DC6D2C" w:rsidRPr="00BF6FB0" w:rsidRDefault="00DC6D2C" w:rsidP="00DF5C74">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17868</w:t>
            </w:r>
          </w:p>
        </w:tc>
        <w:tc>
          <w:tcPr>
            <w:tcW w:w="1882" w:type="dxa"/>
            <w:shd w:val="clear" w:color="auto" w:fill="auto"/>
            <w:noWrap/>
            <w:vAlign w:val="bottom"/>
            <w:hideMark/>
          </w:tcPr>
          <w:p w14:paraId="30D8DE45" w14:textId="5700CA5F" w:rsidR="00DC6D2C" w:rsidRPr="00BF6FB0" w:rsidRDefault="00DF5C74" w:rsidP="00DF5C74">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18.</w:t>
            </w:r>
            <w:r w:rsidR="00DC6D2C" w:rsidRPr="00BF6FB0">
              <w:rPr>
                <w:rFonts w:ascii="Calibri" w:eastAsia="Times New Roman" w:hAnsi="Calibri" w:cs="Times New Roman"/>
                <w:color w:val="000000"/>
                <w:sz w:val="20"/>
                <w:szCs w:val="20"/>
                <w:lang w:val="en-US"/>
              </w:rPr>
              <w:t>2</w:t>
            </w:r>
          </w:p>
        </w:tc>
      </w:tr>
    </w:tbl>
    <w:p w14:paraId="7A6FC4E4" w14:textId="77777777" w:rsidR="00F647B3" w:rsidRPr="00BF6FB0" w:rsidRDefault="00F647B3" w:rsidP="00F647B3">
      <w:pPr>
        <w:pStyle w:val="Caption"/>
        <w:rPr>
          <w:b w:val="0"/>
          <w:color w:val="auto"/>
          <w:lang w:val="en-US"/>
        </w:rPr>
      </w:pPr>
      <w:r w:rsidRPr="00BF6FB0">
        <w:rPr>
          <w:b w:val="0"/>
          <w:color w:val="auto"/>
          <w:lang w:val="en-US"/>
        </w:rPr>
        <w:t xml:space="preserve">Source: 2015 TurkStat Income and Living Conditions Survey; Betam </w:t>
      </w:r>
    </w:p>
    <w:p w14:paraId="2CE1615B" w14:textId="77777777" w:rsidR="00B047D4" w:rsidRPr="00BF6FB0" w:rsidRDefault="00DC2977" w:rsidP="00B047D4">
      <w:pPr>
        <w:rPr>
          <w:b/>
          <w:sz w:val="24"/>
          <w:szCs w:val="24"/>
          <w:lang w:val="en-US"/>
        </w:rPr>
      </w:pPr>
      <w:r w:rsidRPr="00BF6FB0">
        <w:rPr>
          <w:b/>
          <w:sz w:val="24"/>
          <w:szCs w:val="24"/>
          <w:lang w:val="en-US"/>
        </w:rPr>
        <w:t>Approximately 40 percent of female-headed households are suffering from material deprivation</w:t>
      </w:r>
    </w:p>
    <w:p w14:paraId="5D60A3B8" w14:textId="4ADD83E2" w:rsidR="00FD52A6" w:rsidRPr="00BF6FB0" w:rsidRDefault="00FD52A6" w:rsidP="00FD52A6">
      <w:pPr>
        <w:jc w:val="both"/>
        <w:rPr>
          <w:lang w:val="en-US"/>
        </w:rPr>
      </w:pPr>
      <w:bookmarkStart w:id="7" w:name="_Ref381807612"/>
      <w:r w:rsidRPr="00BF6FB0">
        <w:rPr>
          <w:lang w:val="en-US"/>
        </w:rPr>
        <w:t xml:space="preserve">In this research brief, poverty is measured by the severe material deprivation defined by Eurostat. According to this measure, people who cannot afford at least four of the following items are severely materially deprived: (1) to pay their rent, mortgage or utility bills, (2) the keep their home adequately warm, (3) to </w:t>
      </w:r>
      <w:r w:rsidR="00C23EDF">
        <w:rPr>
          <w:lang w:val="en-US"/>
        </w:rPr>
        <w:t>cover</w:t>
      </w:r>
      <w:r w:rsidRPr="00BF6FB0">
        <w:rPr>
          <w:lang w:val="en-US"/>
        </w:rPr>
        <w:t xml:space="preserve"> unexpected expenses, (4) to eat a meal involving meat, chicken or fish every second day, (5) to afford a one-week annual holiday away from home, (6) a washing machine, (7) a color television, (8) a telephone (including mobile phone) or (9) a car.</w:t>
      </w:r>
    </w:p>
    <w:p w14:paraId="5F75A481" w14:textId="77777777" w:rsidR="001A7567" w:rsidRPr="00BF6FB0" w:rsidRDefault="00A739E6" w:rsidP="00A739E6">
      <w:pPr>
        <w:jc w:val="both"/>
        <w:rPr>
          <w:b/>
          <w:lang w:val="en-US"/>
        </w:rPr>
      </w:pPr>
      <w:r w:rsidRPr="00BF6FB0">
        <w:rPr>
          <w:b/>
          <w:lang w:val="en-US"/>
        </w:rPr>
        <w:t xml:space="preserve">Table </w:t>
      </w:r>
      <w:r w:rsidRPr="00BF6FB0">
        <w:rPr>
          <w:b/>
          <w:lang w:val="en-US"/>
        </w:rPr>
        <w:fldChar w:fldCharType="begin"/>
      </w:r>
      <w:r w:rsidRPr="00BF6FB0">
        <w:rPr>
          <w:b/>
          <w:lang w:val="en-US"/>
        </w:rPr>
        <w:instrText xml:space="preserve"> SEQ Tablo \* ARABIC </w:instrText>
      </w:r>
      <w:r w:rsidRPr="00BF6FB0">
        <w:rPr>
          <w:b/>
          <w:lang w:val="en-US"/>
        </w:rPr>
        <w:fldChar w:fldCharType="separate"/>
      </w:r>
      <w:r w:rsidRPr="00BF6FB0">
        <w:rPr>
          <w:b/>
          <w:noProof/>
          <w:lang w:val="en-US"/>
        </w:rPr>
        <w:t>9</w:t>
      </w:r>
      <w:r w:rsidRPr="00BF6FB0">
        <w:rPr>
          <w:b/>
          <w:lang w:val="en-US"/>
        </w:rPr>
        <w:fldChar w:fldCharType="end"/>
      </w:r>
      <w:bookmarkEnd w:id="7"/>
      <w:r w:rsidR="00675D44" w:rsidRPr="00BF6FB0">
        <w:rPr>
          <w:b/>
          <w:lang w:val="en-US"/>
        </w:rPr>
        <w:t xml:space="preserve">: Material deprivation in male </w:t>
      </w:r>
      <w:r w:rsidRPr="00BF6FB0">
        <w:rPr>
          <w:b/>
          <w:lang w:val="en-US"/>
        </w:rPr>
        <w:t>and female-</w:t>
      </w:r>
      <w:r w:rsidR="001A7567" w:rsidRPr="00BF6FB0">
        <w:rPr>
          <w:b/>
          <w:lang w:val="en-US"/>
        </w:rPr>
        <w:t>headed households</w:t>
      </w:r>
    </w:p>
    <w:tbl>
      <w:tblPr>
        <w:tblW w:w="6466" w:type="dxa"/>
        <w:tblInd w:w="59" w:type="dxa"/>
        <w:tblCellMar>
          <w:left w:w="70" w:type="dxa"/>
          <w:right w:w="70" w:type="dxa"/>
        </w:tblCellMar>
        <w:tblLook w:val="04A0" w:firstRow="1" w:lastRow="0" w:firstColumn="1" w:lastColumn="0" w:noHBand="0" w:noVBand="1"/>
      </w:tblPr>
      <w:tblGrid>
        <w:gridCol w:w="3825"/>
        <w:gridCol w:w="1110"/>
        <w:gridCol w:w="1531"/>
      </w:tblGrid>
      <w:tr w:rsidR="00F07645" w:rsidRPr="00BF6FB0" w14:paraId="62839AA0" w14:textId="77777777" w:rsidTr="00F647B3">
        <w:trPr>
          <w:trHeight w:val="18"/>
        </w:trPr>
        <w:tc>
          <w:tcPr>
            <w:tcW w:w="38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4E0D3" w14:textId="77777777" w:rsidR="00F07645" w:rsidRPr="00BF6FB0" w:rsidRDefault="00F07645" w:rsidP="00F07645">
            <w:pPr>
              <w:spacing w:after="0" w:line="240" w:lineRule="auto"/>
              <w:jc w:val="center"/>
              <w:rPr>
                <w:rFonts w:ascii="Calibri" w:eastAsia="Times New Roman" w:hAnsi="Calibri" w:cs="Times New Roman"/>
                <w:color w:val="000000"/>
                <w:lang w:val="en-US"/>
              </w:rPr>
            </w:pPr>
            <w:r w:rsidRPr="00BF6FB0">
              <w:rPr>
                <w:rFonts w:ascii="Calibri" w:eastAsia="Times New Roman" w:hAnsi="Calibri" w:cs="Times New Roman"/>
                <w:color w:val="000000"/>
                <w:lang w:val="en-US"/>
              </w:rPr>
              <w:t> </w:t>
            </w:r>
          </w:p>
        </w:tc>
        <w:tc>
          <w:tcPr>
            <w:tcW w:w="1110" w:type="dxa"/>
            <w:tcBorders>
              <w:top w:val="single" w:sz="8" w:space="0" w:color="auto"/>
              <w:left w:val="nil"/>
              <w:bottom w:val="single" w:sz="8" w:space="0" w:color="auto"/>
              <w:right w:val="single" w:sz="8" w:space="0" w:color="auto"/>
            </w:tcBorders>
            <w:shd w:val="clear" w:color="auto" w:fill="auto"/>
            <w:hideMark/>
          </w:tcPr>
          <w:p w14:paraId="6AA1D112" w14:textId="77777777" w:rsidR="00F07645" w:rsidRPr="00BF6FB0" w:rsidRDefault="00F07645" w:rsidP="00F07645">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Aile reisi kadın olan</w:t>
            </w:r>
          </w:p>
        </w:tc>
        <w:tc>
          <w:tcPr>
            <w:tcW w:w="1531" w:type="dxa"/>
            <w:tcBorders>
              <w:top w:val="single" w:sz="8" w:space="0" w:color="auto"/>
              <w:left w:val="nil"/>
              <w:bottom w:val="single" w:sz="8" w:space="0" w:color="auto"/>
              <w:right w:val="single" w:sz="8" w:space="0" w:color="auto"/>
            </w:tcBorders>
            <w:shd w:val="clear" w:color="auto" w:fill="auto"/>
            <w:hideMark/>
          </w:tcPr>
          <w:p w14:paraId="5CDE983F" w14:textId="77777777" w:rsidR="00F07645" w:rsidRPr="00BF6FB0" w:rsidRDefault="00F07645" w:rsidP="00F07645">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Aile reisi erkek olan</w:t>
            </w:r>
          </w:p>
        </w:tc>
      </w:tr>
      <w:tr w:rsidR="00D81EB3" w:rsidRPr="00BF6FB0" w14:paraId="5B1D7608" w14:textId="77777777" w:rsidTr="001A7567">
        <w:trPr>
          <w:trHeight w:val="18"/>
        </w:trPr>
        <w:tc>
          <w:tcPr>
            <w:tcW w:w="6466" w:type="dxa"/>
            <w:gridSpan w:val="3"/>
            <w:tcBorders>
              <w:top w:val="nil"/>
              <w:left w:val="single" w:sz="8" w:space="0" w:color="auto"/>
              <w:bottom w:val="single" w:sz="8" w:space="0" w:color="auto"/>
              <w:right w:val="single" w:sz="8" w:space="0" w:color="auto"/>
            </w:tcBorders>
            <w:shd w:val="clear" w:color="auto" w:fill="auto"/>
          </w:tcPr>
          <w:p w14:paraId="6DCFE1FC" w14:textId="77777777" w:rsidR="00D81EB3" w:rsidRPr="00BF6FB0" w:rsidRDefault="00D81EB3" w:rsidP="00D81EB3">
            <w:pPr>
              <w:spacing w:after="0" w:line="240" w:lineRule="auto"/>
              <w:jc w:val="center"/>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2015</w:t>
            </w:r>
          </w:p>
        </w:tc>
      </w:tr>
      <w:tr w:rsidR="00F07645" w:rsidRPr="00BF6FB0" w14:paraId="265F5DAF"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hideMark/>
          </w:tcPr>
          <w:p w14:paraId="144609EB" w14:textId="77777777" w:rsidR="00F07645" w:rsidRPr="00BF6FB0" w:rsidRDefault="00DC6D2C" w:rsidP="00F07645">
            <w:pPr>
              <w:spacing w:after="0" w:line="240" w:lineRule="auto"/>
              <w:rPr>
                <w:rFonts w:ascii="Calibri" w:eastAsia="Times New Roman" w:hAnsi="Calibri" w:cs="Times New Roman"/>
                <w:bCs/>
                <w:color w:val="000000"/>
                <w:sz w:val="20"/>
                <w:szCs w:val="20"/>
                <w:lang w:val="en-US"/>
              </w:rPr>
            </w:pPr>
            <w:r w:rsidRPr="00BF6FB0">
              <w:rPr>
                <w:rFonts w:ascii="Calibri" w:eastAsia="Times New Roman" w:hAnsi="Calibri" w:cs="Times New Roman"/>
                <w:bCs/>
                <w:color w:val="000000"/>
                <w:sz w:val="20"/>
                <w:szCs w:val="20"/>
                <w:lang w:val="en-US"/>
              </w:rPr>
              <w:t>Total number of households</w:t>
            </w:r>
            <w:r w:rsidR="00F07645" w:rsidRPr="00BF6FB0">
              <w:rPr>
                <w:rFonts w:ascii="Calibri" w:eastAsia="Times New Roman" w:hAnsi="Calibri" w:cs="Times New Roman"/>
                <w:bCs/>
                <w:color w:val="000000"/>
                <w:sz w:val="20"/>
                <w:szCs w:val="20"/>
                <w:lang w:val="en-US"/>
              </w:rPr>
              <w:t xml:space="preserve"> (bin)</w:t>
            </w:r>
          </w:p>
        </w:tc>
        <w:tc>
          <w:tcPr>
            <w:tcW w:w="1110" w:type="dxa"/>
            <w:tcBorders>
              <w:top w:val="nil"/>
              <w:left w:val="nil"/>
              <w:bottom w:val="single" w:sz="8" w:space="0" w:color="auto"/>
              <w:right w:val="single" w:sz="8" w:space="0" w:color="auto"/>
            </w:tcBorders>
            <w:shd w:val="clear" w:color="auto" w:fill="auto"/>
            <w:hideMark/>
          </w:tcPr>
          <w:p w14:paraId="5DF73D42" w14:textId="77777777" w:rsidR="00F07645" w:rsidRPr="00BF6FB0" w:rsidRDefault="00EC582D" w:rsidP="00F07645">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3968</w:t>
            </w:r>
          </w:p>
        </w:tc>
        <w:tc>
          <w:tcPr>
            <w:tcW w:w="1531" w:type="dxa"/>
            <w:tcBorders>
              <w:top w:val="nil"/>
              <w:left w:val="nil"/>
              <w:bottom w:val="single" w:sz="8" w:space="0" w:color="auto"/>
              <w:right w:val="single" w:sz="8" w:space="0" w:color="auto"/>
            </w:tcBorders>
            <w:shd w:val="clear" w:color="auto" w:fill="auto"/>
            <w:hideMark/>
          </w:tcPr>
          <w:p w14:paraId="70F5F25A" w14:textId="77777777" w:rsidR="00F07645" w:rsidRPr="00BF6FB0" w:rsidRDefault="00EC582D" w:rsidP="00F07645">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17868</w:t>
            </w:r>
          </w:p>
        </w:tc>
      </w:tr>
      <w:tr w:rsidR="00F07645" w:rsidRPr="00BF6FB0" w14:paraId="07166017"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hideMark/>
          </w:tcPr>
          <w:p w14:paraId="3399C722" w14:textId="77777777" w:rsidR="00F07645" w:rsidRPr="00BF6FB0" w:rsidRDefault="00DC6D2C" w:rsidP="00F07645">
            <w:pPr>
              <w:spacing w:after="0" w:line="240" w:lineRule="auto"/>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Number of poor households</w:t>
            </w:r>
            <w:r w:rsidR="00F07645" w:rsidRPr="00BF6FB0">
              <w:rPr>
                <w:rFonts w:ascii="Calibri" w:eastAsia="Times New Roman" w:hAnsi="Calibri" w:cs="Times New Roman"/>
                <w:color w:val="000000"/>
                <w:sz w:val="20"/>
                <w:szCs w:val="20"/>
                <w:lang w:val="en-US"/>
              </w:rPr>
              <w:t xml:space="preserve"> (bin)</w:t>
            </w:r>
          </w:p>
        </w:tc>
        <w:tc>
          <w:tcPr>
            <w:tcW w:w="1110" w:type="dxa"/>
            <w:tcBorders>
              <w:top w:val="nil"/>
              <w:left w:val="nil"/>
              <w:bottom w:val="single" w:sz="8" w:space="0" w:color="auto"/>
              <w:right w:val="single" w:sz="8" w:space="0" w:color="auto"/>
            </w:tcBorders>
            <w:shd w:val="clear" w:color="auto" w:fill="auto"/>
            <w:noWrap/>
            <w:hideMark/>
          </w:tcPr>
          <w:p w14:paraId="2D7944E9" w14:textId="77777777" w:rsidR="00F07645" w:rsidRPr="00BF6FB0" w:rsidRDefault="00EC582D" w:rsidP="00F07645">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1502</w:t>
            </w:r>
          </w:p>
        </w:tc>
        <w:tc>
          <w:tcPr>
            <w:tcW w:w="1531" w:type="dxa"/>
            <w:tcBorders>
              <w:top w:val="nil"/>
              <w:left w:val="nil"/>
              <w:bottom w:val="single" w:sz="8" w:space="0" w:color="auto"/>
              <w:right w:val="single" w:sz="8" w:space="0" w:color="auto"/>
            </w:tcBorders>
            <w:shd w:val="clear" w:color="auto" w:fill="auto"/>
            <w:noWrap/>
            <w:hideMark/>
          </w:tcPr>
          <w:p w14:paraId="20556528" w14:textId="77777777" w:rsidR="00F07645" w:rsidRPr="00BF6FB0" w:rsidRDefault="00EC582D" w:rsidP="00F07645">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4938</w:t>
            </w:r>
          </w:p>
        </w:tc>
      </w:tr>
      <w:tr w:rsidR="00F07645" w:rsidRPr="00BF6FB0" w14:paraId="7A302D70"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hideMark/>
          </w:tcPr>
          <w:p w14:paraId="0070FA72" w14:textId="77777777" w:rsidR="00F07645" w:rsidRPr="00BF6FB0" w:rsidRDefault="00DC6D2C" w:rsidP="00F07645">
            <w:pPr>
              <w:spacing w:after="0" w:line="240" w:lineRule="auto"/>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Poor household ratio</w:t>
            </w:r>
            <w:r w:rsidR="00F07645" w:rsidRPr="00BF6FB0">
              <w:rPr>
                <w:rFonts w:ascii="Calibri" w:eastAsia="Times New Roman" w:hAnsi="Calibri" w:cs="Times New Roman"/>
                <w:b/>
                <w:color w:val="000000"/>
                <w:sz w:val="20"/>
                <w:szCs w:val="20"/>
                <w:lang w:val="en-US"/>
              </w:rPr>
              <w:t xml:space="preserve"> (%)</w:t>
            </w:r>
          </w:p>
        </w:tc>
        <w:tc>
          <w:tcPr>
            <w:tcW w:w="1110" w:type="dxa"/>
            <w:tcBorders>
              <w:top w:val="nil"/>
              <w:left w:val="nil"/>
              <w:bottom w:val="single" w:sz="8" w:space="0" w:color="auto"/>
              <w:right w:val="single" w:sz="8" w:space="0" w:color="auto"/>
            </w:tcBorders>
            <w:shd w:val="clear" w:color="auto" w:fill="auto"/>
            <w:hideMark/>
          </w:tcPr>
          <w:p w14:paraId="0944A1B6" w14:textId="77777777" w:rsidR="00F07645" w:rsidRPr="00BF6FB0" w:rsidRDefault="009E1D98" w:rsidP="00F07645">
            <w:pPr>
              <w:spacing w:after="0" w:line="240" w:lineRule="auto"/>
              <w:jc w:val="right"/>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37,9</w:t>
            </w:r>
          </w:p>
        </w:tc>
        <w:tc>
          <w:tcPr>
            <w:tcW w:w="1531" w:type="dxa"/>
            <w:tcBorders>
              <w:top w:val="nil"/>
              <w:left w:val="nil"/>
              <w:bottom w:val="single" w:sz="8" w:space="0" w:color="auto"/>
              <w:right w:val="single" w:sz="8" w:space="0" w:color="auto"/>
            </w:tcBorders>
            <w:shd w:val="clear" w:color="auto" w:fill="auto"/>
            <w:hideMark/>
          </w:tcPr>
          <w:p w14:paraId="28FC82BC" w14:textId="77777777" w:rsidR="00F07645" w:rsidRPr="00BF6FB0" w:rsidRDefault="009E1D98" w:rsidP="00F07645">
            <w:pPr>
              <w:spacing w:after="0" w:line="240" w:lineRule="auto"/>
              <w:jc w:val="right"/>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27,7</w:t>
            </w:r>
          </w:p>
        </w:tc>
      </w:tr>
      <w:tr w:rsidR="00DC6D2C" w:rsidRPr="00BF6FB0" w14:paraId="590E788B"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vAlign w:val="center"/>
            <w:hideMark/>
          </w:tcPr>
          <w:p w14:paraId="254C20A8" w14:textId="77777777" w:rsidR="00DC6D2C" w:rsidRPr="00BF6FB0" w:rsidRDefault="00DC6D2C" w:rsidP="00DC6D2C">
            <w:pPr>
              <w:spacing w:after="0"/>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Total number of people (in thousands) </w:t>
            </w:r>
          </w:p>
        </w:tc>
        <w:tc>
          <w:tcPr>
            <w:tcW w:w="1110" w:type="dxa"/>
            <w:tcBorders>
              <w:top w:val="nil"/>
              <w:left w:val="nil"/>
              <w:bottom w:val="single" w:sz="8" w:space="0" w:color="auto"/>
              <w:right w:val="single" w:sz="8" w:space="0" w:color="auto"/>
            </w:tcBorders>
            <w:shd w:val="clear" w:color="auto" w:fill="auto"/>
            <w:hideMark/>
          </w:tcPr>
          <w:p w14:paraId="748D8BBE"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8886</w:t>
            </w:r>
          </w:p>
        </w:tc>
        <w:tc>
          <w:tcPr>
            <w:tcW w:w="1531" w:type="dxa"/>
            <w:tcBorders>
              <w:top w:val="nil"/>
              <w:left w:val="nil"/>
              <w:bottom w:val="single" w:sz="8" w:space="0" w:color="auto"/>
              <w:right w:val="single" w:sz="8" w:space="0" w:color="auto"/>
            </w:tcBorders>
            <w:shd w:val="clear" w:color="auto" w:fill="auto"/>
            <w:hideMark/>
          </w:tcPr>
          <w:p w14:paraId="7536F97F"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67471</w:t>
            </w:r>
          </w:p>
        </w:tc>
      </w:tr>
      <w:tr w:rsidR="00DC6D2C" w:rsidRPr="00BF6FB0" w14:paraId="030D1C51"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vAlign w:val="center"/>
            <w:hideMark/>
          </w:tcPr>
          <w:p w14:paraId="1B334CA2" w14:textId="77777777" w:rsidR="00DC6D2C" w:rsidRPr="00BF6FB0" w:rsidRDefault="00DC6D2C" w:rsidP="00DC6D2C">
            <w:pPr>
              <w:spacing w:after="0"/>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Number of poor people (in thousands) </w:t>
            </w:r>
          </w:p>
        </w:tc>
        <w:tc>
          <w:tcPr>
            <w:tcW w:w="1110" w:type="dxa"/>
            <w:tcBorders>
              <w:top w:val="nil"/>
              <w:left w:val="nil"/>
              <w:bottom w:val="single" w:sz="8" w:space="0" w:color="auto"/>
              <w:right w:val="single" w:sz="8" w:space="0" w:color="auto"/>
            </w:tcBorders>
            <w:shd w:val="clear" w:color="auto" w:fill="auto"/>
            <w:noWrap/>
            <w:hideMark/>
          </w:tcPr>
          <w:p w14:paraId="1A0F980E"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3297</w:t>
            </w:r>
          </w:p>
        </w:tc>
        <w:tc>
          <w:tcPr>
            <w:tcW w:w="1531" w:type="dxa"/>
            <w:tcBorders>
              <w:top w:val="nil"/>
              <w:left w:val="nil"/>
              <w:bottom w:val="single" w:sz="8" w:space="0" w:color="auto"/>
              <w:right w:val="single" w:sz="8" w:space="0" w:color="auto"/>
            </w:tcBorders>
            <w:shd w:val="clear" w:color="auto" w:fill="auto"/>
            <w:noWrap/>
            <w:hideMark/>
          </w:tcPr>
          <w:p w14:paraId="63490336"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19789</w:t>
            </w:r>
          </w:p>
        </w:tc>
      </w:tr>
      <w:tr w:rsidR="00DC6D2C" w:rsidRPr="00BF6FB0" w14:paraId="7D70B24B" w14:textId="77777777" w:rsidTr="00F647B3">
        <w:trPr>
          <w:trHeight w:val="18"/>
        </w:trPr>
        <w:tc>
          <w:tcPr>
            <w:tcW w:w="3825" w:type="dxa"/>
            <w:tcBorders>
              <w:top w:val="nil"/>
              <w:left w:val="single" w:sz="8" w:space="0" w:color="auto"/>
              <w:bottom w:val="single" w:sz="4" w:space="0" w:color="auto"/>
              <w:right w:val="single" w:sz="8" w:space="0" w:color="auto"/>
            </w:tcBorders>
            <w:shd w:val="clear" w:color="auto" w:fill="auto"/>
            <w:vAlign w:val="center"/>
            <w:hideMark/>
          </w:tcPr>
          <w:p w14:paraId="2903FFE8" w14:textId="77777777" w:rsidR="00DC6D2C" w:rsidRPr="00BF6FB0" w:rsidRDefault="00DC6D2C" w:rsidP="00DC6D2C">
            <w:pPr>
              <w:spacing w:after="0"/>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Poor people ratio (%) </w:t>
            </w:r>
          </w:p>
        </w:tc>
        <w:tc>
          <w:tcPr>
            <w:tcW w:w="1110" w:type="dxa"/>
            <w:tcBorders>
              <w:top w:val="nil"/>
              <w:left w:val="nil"/>
              <w:bottom w:val="single" w:sz="4" w:space="0" w:color="auto"/>
              <w:right w:val="single" w:sz="8" w:space="0" w:color="auto"/>
            </w:tcBorders>
            <w:shd w:val="clear" w:color="auto" w:fill="auto"/>
            <w:hideMark/>
          </w:tcPr>
          <w:p w14:paraId="197D2EC5"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37,1</w:t>
            </w:r>
          </w:p>
        </w:tc>
        <w:tc>
          <w:tcPr>
            <w:tcW w:w="1531" w:type="dxa"/>
            <w:tcBorders>
              <w:top w:val="nil"/>
              <w:left w:val="nil"/>
              <w:bottom w:val="single" w:sz="4" w:space="0" w:color="auto"/>
              <w:right w:val="single" w:sz="8" w:space="0" w:color="auto"/>
            </w:tcBorders>
            <w:shd w:val="clear" w:color="auto" w:fill="auto"/>
            <w:hideMark/>
          </w:tcPr>
          <w:p w14:paraId="7277EA9E"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29,4</w:t>
            </w:r>
          </w:p>
        </w:tc>
      </w:tr>
      <w:tr w:rsidR="00D81EB3" w:rsidRPr="00BF6FB0" w14:paraId="0CC2E2CD" w14:textId="77777777" w:rsidTr="001A7567">
        <w:trPr>
          <w:trHeight w:val="18"/>
        </w:trPr>
        <w:tc>
          <w:tcPr>
            <w:tcW w:w="6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F409" w14:textId="77777777" w:rsidR="00D81EB3" w:rsidRPr="00BF6FB0" w:rsidRDefault="00D81EB3" w:rsidP="00D81EB3">
            <w:pPr>
              <w:spacing w:after="0" w:line="240" w:lineRule="auto"/>
              <w:jc w:val="center"/>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2014</w:t>
            </w:r>
          </w:p>
        </w:tc>
      </w:tr>
      <w:tr w:rsidR="00DC6D2C" w:rsidRPr="00BF6FB0" w14:paraId="0B756E20" w14:textId="77777777" w:rsidTr="00F647B3">
        <w:trPr>
          <w:trHeight w:val="18"/>
        </w:trPr>
        <w:tc>
          <w:tcPr>
            <w:tcW w:w="3825" w:type="dxa"/>
            <w:tcBorders>
              <w:top w:val="single" w:sz="4" w:space="0" w:color="auto"/>
              <w:left w:val="single" w:sz="8" w:space="0" w:color="auto"/>
              <w:bottom w:val="single" w:sz="8" w:space="0" w:color="auto"/>
              <w:right w:val="single" w:sz="8" w:space="0" w:color="auto"/>
            </w:tcBorders>
            <w:shd w:val="clear" w:color="auto" w:fill="auto"/>
            <w:hideMark/>
          </w:tcPr>
          <w:p w14:paraId="2B838AAC" w14:textId="77777777" w:rsidR="00DC6D2C" w:rsidRPr="00BF6FB0" w:rsidRDefault="00DC6D2C" w:rsidP="00DC6D2C">
            <w:pPr>
              <w:spacing w:after="0" w:line="240" w:lineRule="auto"/>
              <w:rPr>
                <w:rFonts w:ascii="Calibri" w:eastAsia="Times New Roman" w:hAnsi="Calibri" w:cs="Times New Roman"/>
                <w:bCs/>
                <w:color w:val="000000"/>
                <w:sz w:val="20"/>
                <w:szCs w:val="20"/>
                <w:lang w:val="en-US"/>
              </w:rPr>
            </w:pPr>
            <w:r w:rsidRPr="00BF6FB0">
              <w:rPr>
                <w:rFonts w:ascii="Calibri" w:eastAsia="Times New Roman" w:hAnsi="Calibri" w:cs="Times New Roman"/>
                <w:bCs/>
                <w:color w:val="000000"/>
                <w:sz w:val="20"/>
                <w:szCs w:val="20"/>
                <w:lang w:val="en-US"/>
              </w:rPr>
              <w:t>Total number of households (bin)</w:t>
            </w:r>
          </w:p>
        </w:tc>
        <w:tc>
          <w:tcPr>
            <w:tcW w:w="1110" w:type="dxa"/>
            <w:tcBorders>
              <w:top w:val="single" w:sz="4" w:space="0" w:color="auto"/>
              <w:left w:val="nil"/>
              <w:bottom w:val="single" w:sz="8" w:space="0" w:color="auto"/>
              <w:right w:val="single" w:sz="8" w:space="0" w:color="auto"/>
            </w:tcBorders>
            <w:shd w:val="clear" w:color="auto" w:fill="auto"/>
            <w:hideMark/>
          </w:tcPr>
          <w:p w14:paraId="706BA4CD"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3744</w:t>
            </w:r>
          </w:p>
        </w:tc>
        <w:tc>
          <w:tcPr>
            <w:tcW w:w="1531" w:type="dxa"/>
            <w:tcBorders>
              <w:top w:val="single" w:sz="4" w:space="0" w:color="auto"/>
              <w:left w:val="nil"/>
              <w:bottom w:val="single" w:sz="8" w:space="0" w:color="auto"/>
              <w:right w:val="single" w:sz="8" w:space="0" w:color="auto"/>
            </w:tcBorders>
            <w:shd w:val="clear" w:color="auto" w:fill="auto"/>
            <w:hideMark/>
          </w:tcPr>
          <w:p w14:paraId="6C9E2EC7"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17636</w:t>
            </w:r>
          </w:p>
        </w:tc>
      </w:tr>
      <w:tr w:rsidR="00DC6D2C" w:rsidRPr="00BF6FB0" w14:paraId="62B805B2"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hideMark/>
          </w:tcPr>
          <w:p w14:paraId="330E6F68" w14:textId="77777777" w:rsidR="00DC6D2C" w:rsidRPr="00BF6FB0" w:rsidRDefault="00DC6D2C" w:rsidP="00DC6D2C">
            <w:pPr>
              <w:spacing w:after="0" w:line="240" w:lineRule="auto"/>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Number of poor households (bin)</w:t>
            </w:r>
          </w:p>
        </w:tc>
        <w:tc>
          <w:tcPr>
            <w:tcW w:w="1110" w:type="dxa"/>
            <w:tcBorders>
              <w:top w:val="nil"/>
              <w:left w:val="nil"/>
              <w:bottom w:val="single" w:sz="8" w:space="0" w:color="auto"/>
              <w:right w:val="single" w:sz="8" w:space="0" w:color="auto"/>
            </w:tcBorders>
            <w:shd w:val="clear" w:color="auto" w:fill="auto"/>
            <w:noWrap/>
            <w:hideMark/>
          </w:tcPr>
          <w:p w14:paraId="4BD4C1F2"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1162</w:t>
            </w:r>
          </w:p>
        </w:tc>
        <w:tc>
          <w:tcPr>
            <w:tcW w:w="1531" w:type="dxa"/>
            <w:tcBorders>
              <w:top w:val="nil"/>
              <w:left w:val="nil"/>
              <w:bottom w:val="single" w:sz="8" w:space="0" w:color="auto"/>
              <w:right w:val="single" w:sz="8" w:space="0" w:color="auto"/>
            </w:tcBorders>
            <w:shd w:val="clear" w:color="auto" w:fill="auto"/>
            <w:noWrap/>
            <w:hideMark/>
          </w:tcPr>
          <w:p w14:paraId="3C214099"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4618</w:t>
            </w:r>
          </w:p>
        </w:tc>
      </w:tr>
      <w:tr w:rsidR="00DC6D2C" w:rsidRPr="00BF6FB0" w14:paraId="6E9B7875"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hideMark/>
          </w:tcPr>
          <w:p w14:paraId="48BF6EE1" w14:textId="77777777" w:rsidR="00DC6D2C" w:rsidRPr="00BF6FB0" w:rsidRDefault="00DC6D2C" w:rsidP="00DC6D2C">
            <w:pPr>
              <w:spacing w:after="0" w:line="240" w:lineRule="auto"/>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Poor household ratio (%)</w:t>
            </w:r>
          </w:p>
        </w:tc>
        <w:tc>
          <w:tcPr>
            <w:tcW w:w="1110" w:type="dxa"/>
            <w:tcBorders>
              <w:top w:val="nil"/>
              <w:left w:val="nil"/>
              <w:bottom w:val="single" w:sz="8" w:space="0" w:color="auto"/>
              <w:right w:val="single" w:sz="8" w:space="0" w:color="auto"/>
            </w:tcBorders>
            <w:shd w:val="clear" w:color="auto" w:fill="auto"/>
            <w:hideMark/>
          </w:tcPr>
          <w:p w14:paraId="730D992F" w14:textId="77777777" w:rsidR="00DC6D2C" w:rsidRPr="00BF6FB0" w:rsidRDefault="00DC6D2C" w:rsidP="00DC6D2C">
            <w:pPr>
              <w:spacing w:after="0" w:line="240" w:lineRule="auto"/>
              <w:jc w:val="right"/>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31,0</w:t>
            </w:r>
          </w:p>
        </w:tc>
        <w:tc>
          <w:tcPr>
            <w:tcW w:w="1531" w:type="dxa"/>
            <w:tcBorders>
              <w:top w:val="nil"/>
              <w:left w:val="nil"/>
              <w:bottom w:val="single" w:sz="8" w:space="0" w:color="auto"/>
              <w:right w:val="single" w:sz="8" w:space="0" w:color="auto"/>
            </w:tcBorders>
            <w:shd w:val="clear" w:color="auto" w:fill="auto"/>
            <w:hideMark/>
          </w:tcPr>
          <w:p w14:paraId="6BBA8C0B" w14:textId="77777777" w:rsidR="00DC6D2C" w:rsidRPr="00BF6FB0" w:rsidRDefault="00DC6D2C" w:rsidP="00DC6D2C">
            <w:pPr>
              <w:spacing w:after="0" w:line="240" w:lineRule="auto"/>
              <w:jc w:val="right"/>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26,2</w:t>
            </w:r>
          </w:p>
        </w:tc>
      </w:tr>
      <w:tr w:rsidR="00DC6D2C" w:rsidRPr="00BF6FB0" w14:paraId="3A717B76"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vAlign w:val="center"/>
            <w:hideMark/>
          </w:tcPr>
          <w:p w14:paraId="5D690116" w14:textId="77777777" w:rsidR="00DC6D2C" w:rsidRPr="00BF6FB0" w:rsidRDefault="00DC6D2C" w:rsidP="00DC6D2C">
            <w:pPr>
              <w:spacing w:after="0"/>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lastRenderedPageBreak/>
              <w:t xml:space="preserve">Total number of people (in thousands) </w:t>
            </w:r>
          </w:p>
        </w:tc>
        <w:tc>
          <w:tcPr>
            <w:tcW w:w="1110" w:type="dxa"/>
            <w:tcBorders>
              <w:top w:val="nil"/>
              <w:left w:val="nil"/>
              <w:bottom w:val="single" w:sz="8" w:space="0" w:color="auto"/>
              <w:right w:val="single" w:sz="8" w:space="0" w:color="auto"/>
            </w:tcBorders>
            <w:shd w:val="clear" w:color="auto" w:fill="auto"/>
            <w:hideMark/>
          </w:tcPr>
          <w:p w14:paraId="205B8814"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8504</w:t>
            </w:r>
          </w:p>
        </w:tc>
        <w:tc>
          <w:tcPr>
            <w:tcW w:w="1531" w:type="dxa"/>
            <w:tcBorders>
              <w:top w:val="nil"/>
              <w:left w:val="nil"/>
              <w:bottom w:val="single" w:sz="8" w:space="0" w:color="auto"/>
              <w:right w:val="single" w:sz="8" w:space="0" w:color="auto"/>
            </w:tcBorders>
            <w:shd w:val="clear" w:color="auto" w:fill="auto"/>
            <w:hideMark/>
          </w:tcPr>
          <w:p w14:paraId="72802DFF"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67189</w:t>
            </w:r>
          </w:p>
        </w:tc>
      </w:tr>
      <w:tr w:rsidR="00DC6D2C" w:rsidRPr="00BF6FB0" w14:paraId="0EB1BA10" w14:textId="77777777" w:rsidTr="00F647B3">
        <w:trPr>
          <w:trHeight w:val="18"/>
        </w:trPr>
        <w:tc>
          <w:tcPr>
            <w:tcW w:w="3825" w:type="dxa"/>
            <w:tcBorders>
              <w:top w:val="nil"/>
              <w:left w:val="single" w:sz="8" w:space="0" w:color="auto"/>
              <w:bottom w:val="single" w:sz="8" w:space="0" w:color="auto"/>
              <w:right w:val="single" w:sz="8" w:space="0" w:color="auto"/>
            </w:tcBorders>
            <w:shd w:val="clear" w:color="auto" w:fill="auto"/>
            <w:vAlign w:val="center"/>
            <w:hideMark/>
          </w:tcPr>
          <w:p w14:paraId="2E9A2008" w14:textId="77777777" w:rsidR="00DC6D2C" w:rsidRPr="00BF6FB0" w:rsidRDefault="00DC6D2C" w:rsidP="00DC6D2C">
            <w:pPr>
              <w:spacing w:after="0"/>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Number of poor people (in thousands) </w:t>
            </w:r>
          </w:p>
        </w:tc>
        <w:tc>
          <w:tcPr>
            <w:tcW w:w="1110" w:type="dxa"/>
            <w:tcBorders>
              <w:top w:val="nil"/>
              <w:left w:val="nil"/>
              <w:bottom w:val="single" w:sz="8" w:space="0" w:color="auto"/>
              <w:right w:val="single" w:sz="8" w:space="0" w:color="auto"/>
            </w:tcBorders>
            <w:shd w:val="clear" w:color="auto" w:fill="auto"/>
            <w:noWrap/>
            <w:hideMark/>
          </w:tcPr>
          <w:p w14:paraId="69CB954A"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2841</w:t>
            </w:r>
          </w:p>
        </w:tc>
        <w:tc>
          <w:tcPr>
            <w:tcW w:w="1531" w:type="dxa"/>
            <w:tcBorders>
              <w:top w:val="nil"/>
              <w:left w:val="nil"/>
              <w:bottom w:val="single" w:sz="8" w:space="0" w:color="auto"/>
              <w:right w:val="single" w:sz="8" w:space="0" w:color="auto"/>
            </w:tcBorders>
            <w:shd w:val="clear" w:color="auto" w:fill="auto"/>
            <w:noWrap/>
            <w:hideMark/>
          </w:tcPr>
          <w:p w14:paraId="422B358A"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19374</w:t>
            </w:r>
          </w:p>
        </w:tc>
      </w:tr>
      <w:tr w:rsidR="00DC6D2C" w:rsidRPr="00BF6FB0" w14:paraId="73EE268D" w14:textId="77777777" w:rsidTr="00F647B3">
        <w:trPr>
          <w:trHeight w:val="60"/>
        </w:trPr>
        <w:tc>
          <w:tcPr>
            <w:tcW w:w="3825" w:type="dxa"/>
            <w:tcBorders>
              <w:top w:val="nil"/>
              <w:left w:val="single" w:sz="8" w:space="0" w:color="auto"/>
              <w:bottom w:val="single" w:sz="8" w:space="0" w:color="auto"/>
              <w:right w:val="single" w:sz="8" w:space="0" w:color="auto"/>
            </w:tcBorders>
            <w:shd w:val="clear" w:color="auto" w:fill="auto"/>
            <w:vAlign w:val="center"/>
            <w:hideMark/>
          </w:tcPr>
          <w:p w14:paraId="533BC3DD" w14:textId="77777777" w:rsidR="00DC6D2C" w:rsidRPr="00BF6FB0" w:rsidRDefault="00DC6D2C" w:rsidP="00DC6D2C">
            <w:pPr>
              <w:spacing w:after="0"/>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Poor people ratio (%) </w:t>
            </w:r>
          </w:p>
        </w:tc>
        <w:tc>
          <w:tcPr>
            <w:tcW w:w="1110" w:type="dxa"/>
            <w:tcBorders>
              <w:top w:val="nil"/>
              <w:left w:val="nil"/>
              <w:bottom w:val="single" w:sz="8" w:space="0" w:color="auto"/>
              <w:right w:val="single" w:sz="8" w:space="0" w:color="auto"/>
            </w:tcBorders>
            <w:shd w:val="clear" w:color="auto" w:fill="auto"/>
            <w:hideMark/>
          </w:tcPr>
          <w:p w14:paraId="36D5DD23"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33,4</w:t>
            </w:r>
          </w:p>
        </w:tc>
        <w:tc>
          <w:tcPr>
            <w:tcW w:w="1531" w:type="dxa"/>
            <w:tcBorders>
              <w:top w:val="nil"/>
              <w:left w:val="nil"/>
              <w:bottom w:val="single" w:sz="8" w:space="0" w:color="auto"/>
              <w:right w:val="single" w:sz="8" w:space="0" w:color="auto"/>
            </w:tcBorders>
            <w:shd w:val="clear" w:color="auto" w:fill="auto"/>
            <w:hideMark/>
          </w:tcPr>
          <w:p w14:paraId="4591581D" w14:textId="77777777" w:rsidR="00DC6D2C" w:rsidRPr="00BF6FB0" w:rsidRDefault="00DC6D2C" w:rsidP="00DC6D2C">
            <w:pPr>
              <w:spacing w:after="0" w:line="240" w:lineRule="auto"/>
              <w:jc w:val="right"/>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28,8</w:t>
            </w:r>
          </w:p>
        </w:tc>
      </w:tr>
    </w:tbl>
    <w:p w14:paraId="1249DD25" w14:textId="77777777" w:rsidR="00F647B3" w:rsidRPr="00BF6FB0" w:rsidRDefault="00F647B3" w:rsidP="00F647B3">
      <w:pPr>
        <w:pStyle w:val="Caption"/>
        <w:rPr>
          <w:b w:val="0"/>
          <w:color w:val="auto"/>
          <w:lang w:val="en-US"/>
        </w:rPr>
      </w:pPr>
      <w:r w:rsidRPr="00BF6FB0">
        <w:rPr>
          <w:b w:val="0"/>
          <w:color w:val="auto"/>
          <w:lang w:val="en-US"/>
        </w:rPr>
        <w:t xml:space="preserve">Source: 2015 TurkStat Income and Living Conditions Survey; Betam </w:t>
      </w:r>
    </w:p>
    <w:p w14:paraId="36B599E7" w14:textId="77777777" w:rsidR="00FD52A6" w:rsidRPr="00BF6FB0" w:rsidRDefault="00135B3C" w:rsidP="001A7567">
      <w:pPr>
        <w:jc w:val="both"/>
        <w:rPr>
          <w:color w:val="FF0000"/>
          <w:lang w:val="en-US"/>
        </w:rPr>
      </w:pPr>
      <w:bookmarkStart w:id="8" w:name="_Ref476213886"/>
      <w:r w:rsidRPr="00BF6FB0">
        <w:rPr>
          <w:lang w:val="en-US"/>
        </w:rPr>
        <w:t>In 2015, 23.1 million people (30.2</w:t>
      </w:r>
      <w:r w:rsidR="00FD52A6" w:rsidRPr="00BF6FB0">
        <w:rPr>
          <w:lang w:val="en-US"/>
        </w:rPr>
        <w:t xml:space="preserve"> percent) could not afford at least four of nine items mentioned above. Furthermore, material deprivation depends on the gender of household head and according to the data, material deprivation is more widespread among female-headed households. </w:t>
      </w:r>
      <w:r w:rsidRPr="00BF6FB0">
        <w:rPr>
          <w:lang w:val="en-US"/>
        </w:rPr>
        <w:t>More than 1.5</w:t>
      </w:r>
      <w:r w:rsidR="00FD52A6" w:rsidRPr="00BF6FB0">
        <w:rPr>
          <w:lang w:val="en-US"/>
        </w:rPr>
        <w:t xml:space="preserve"> million (</w:t>
      </w:r>
      <w:r w:rsidRPr="00BF6FB0">
        <w:rPr>
          <w:lang w:val="en-US"/>
        </w:rPr>
        <w:t>37.9 percent) of approximately 4</w:t>
      </w:r>
      <w:r w:rsidR="00FD52A6" w:rsidRPr="00BF6FB0">
        <w:rPr>
          <w:lang w:val="en-US"/>
        </w:rPr>
        <w:t xml:space="preserve"> million female-headed households are facing material depri</w:t>
      </w:r>
      <w:r w:rsidRPr="00BF6FB0">
        <w:rPr>
          <w:lang w:val="en-US"/>
        </w:rPr>
        <w:t>vation (Table 9). Among the 17.9</w:t>
      </w:r>
      <w:r w:rsidR="00FD52A6" w:rsidRPr="00BF6FB0">
        <w:rPr>
          <w:lang w:val="en-US"/>
        </w:rPr>
        <w:t xml:space="preserve"> million hous</w:t>
      </w:r>
      <w:r w:rsidRPr="00BF6FB0">
        <w:rPr>
          <w:lang w:val="en-US"/>
        </w:rPr>
        <w:t>eholds with male heads, about 4.9 million (27.7</w:t>
      </w:r>
      <w:r w:rsidR="00FD52A6" w:rsidRPr="00BF6FB0">
        <w:rPr>
          <w:lang w:val="en-US"/>
        </w:rPr>
        <w:t xml:space="preserve"> percent) live in material deprivation. A similar pattern emerges when we consider poverty from other point of view</w:t>
      </w:r>
      <w:r w:rsidRPr="00BF6FB0">
        <w:rPr>
          <w:lang w:val="en-US"/>
        </w:rPr>
        <w:t>. 23.1</w:t>
      </w:r>
      <w:r w:rsidR="00FD52A6" w:rsidRPr="00BF6FB0">
        <w:rPr>
          <w:lang w:val="en-US"/>
        </w:rPr>
        <w:t xml:space="preserve"> million people are living in material deprivation in Turkey</w:t>
      </w:r>
      <w:r w:rsidRPr="00BF6FB0">
        <w:rPr>
          <w:lang w:val="en-US"/>
        </w:rPr>
        <w:t>. 3.3</w:t>
      </w:r>
      <w:r w:rsidR="00FD52A6" w:rsidRPr="00BF6FB0">
        <w:rPr>
          <w:lang w:val="en-US"/>
        </w:rPr>
        <w:t xml:space="preserve"> million of them are living in female-</w:t>
      </w:r>
      <w:r w:rsidRPr="00BF6FB0">
        <w:rPr>
          <w:lang w:val="en-US"/>
        </w:rPr>
        <w:t>headed households and other 19.8</w:t>
      </w:r>
      <w:r w:rsidR="00FD52A6" w:rsidRPr="00BF6FB0">
        <w:rPr>
          <w:lang w:val="en-US"/>
        </w:rPr>
        <w:t xml:space="preserve"> million are living in male-head</w:t>
      </w:r>
      <w:r w:rsidRPr="00BF6FB0">
        <w:rPr>
          <w:lang w:val="en-US"/>
        </w:rPr>
        <w:t>ed households. In other words, 37.1</w:t>
      </w:r>
      <w:r w:rsidR="00FD52A6" w:rsidRPr="00BF6FB0">
        <w:rPr>
          <w:lang w:val="en-US"/>
        </w:rPr>
        <w:t xml:space="preserve"> percent of people living in</w:t>
      </w:r>
      <w:r w:rsidRPr="00BF6FB0">
        <w:rPr>
          <w:lang w:val="en-US"/>
        </w:rPr>
        <w:t xml:space="preserve"> female-headed households and 29.4</w:t>
      </w:r>
      <w:r w:rsidR="00FD52A6" w:rsidRPr="00BF6FB0">
        <w:rPr>
          <w:lang w:val="en-US"/>
        </w:rPr>
        <w:t xml:space="preserve"> percent of individuals living in male-headed households are poor.</w:t>
      </w:r>
      <w:r w:rsidR="00FD52A6" w:rsidRPr="00BF6FB0">
        <w:rPr>
          <w:color w:val="FF0000"/>
          <w:lang w:val="en-US"/>
        </w:rPr>
        <w:t xml:space="preserve"> </w:t>
      </w:r>
    </w:p>
    <w:p w14:paraId="6FDDF501" w14:textId="77777777" w:rsidR="002E4A06" w:rsidRPr="00BF6FB0" w:rsidRDefault="0015334A" w:rsidP="001A7567">
      <w:pPr>
        <w:jc w:val="both"/>
        <w:rPr>
          <w:lang w:val="en-US"/>
        </w:rPr>
      </w:pPr>
      <w:r w:rsidRPr="00BF6FB0">
        <w:rPr>
          <w:b/>
          <w:lang w:val="en-US"/>
        </w:rPr>
        <w:t>Table</w:t>
      </w:r>
      <w:r w:rsidR="002E4A06" w:rsidRPr="00BF6FB0">
        <w:rPr>
          <w:b/>
          <w:lang w:val="en-US"/>
        </w:rPr>
        <w:t xml:space="preserve"> </w:t>
      </w:r>
      <w:r w:rsidR="002E4A06" w:rsidRPr="00BF6FB0">
        <w:rPr>
          <w:b/>
          <w:lang w:val="en-US"/>
        </w:rPr>
        <w:fldChar w:fldCharType="begin"/>
      </w:r>
      <w:r w:rsidR="002E4A06" w:rsidRPr="00BF6FB0">
        <w:rPr>
          <w:b/>
          <w:lang w:val="en-US"/>
        </w:rPr>
        <w:instrText xml:space="preserve"> SEQ Tablo \* ARABIC </w:instrText>
      </w:r>
      <w:r w:rsidR="002E4A06" w:rsidRPr="00BF6FB0">
        <w:rPr>
          <w:b/>
          <w:lang w:val="en-US"/>
        </w:rPr>
        <w:fldChar w:fldCharType="separate"/>
      </w:r>
      <w:r w:rsidR="002E4A06" w:rsidRPr="00BF6FB0">
        <w:rPr>
          <w:b/>
          <w:lang w:val="en-US"/>
        </w:rPr>
        <w:t>10</w:t>
      </w:r>
      <w:r w:rsidR="002E4A06" w:rsidRPr="00BF6FB0">
        <w:rPr>
          <w:b/>
          <w:lang w:val="en-US"/>
        </w:rPr>
        <w:fldChar w:fldCharType="end"/>
      </w:r>
      <w:bookmarkEnd w:id="8"/>
      <w:r w:rsidR="001821CB" w:rsidRPr="00BF6FB0">
        <w:rPr>
          <w:b/>
          <w:lang w:val="en-US"/>
        </w:rPr>
        <w:t>:</w:t>
      </w:r>
      <w:r w:rsidR="002E4A06" w:rsidRPr="00BF6FB0">
        <w:rPr>
          <w:b/>
          <w:lang w:val="en-US"/>
        </w:rPr>
        <w:t xml:space="preserve"> </w:t>
      </w:r>
      <w:r w:rsidR="00FD342E" w:rsidRPr="00BF6FB0">
        <w:rPr>
          <w:b/>
          <w:lang w:val="en-US"/>
        </w:rPr>
        <w:t>Material deprivation rates</w:t>
      </w:r>
    </w:p>
    <w:tbl>
      <w:tblPr>
        <w:tblW w:w="5620" w:type="dxa"/>
        <w:tblInd w:w="75" w:type="dxa"/>
        <w:tblLayout w:type="fixed"/>
        <w:tblCellMar>
          <w:left w:w="70" w:type="dxa"/>
          <w:right w:w="70" w:type="dxa"/>
        </w:tblCellMar>
        <w:tblLook w:val="04A0" w:firstRow="1" w:lastRow="0" w:firstColumn="1" w:lastColumn="0" w:noHBand="0" w:noVBand="1"/>
      </w:tblPr>
      <w:tblGrid>
        <w:gridCol w:w="3121"/>
        <w:gridCol w:w="1249"/>
        <w:gridCol w:w="1250"/>
      </w:tblGrid>
      <w:tr w:rsidR="007337BC" w:rsidRPr="00BF6FB0" w14:paraId="2E1A8100" w14:textId="77777777" w:rsidTr="001A7567">
        <w:trPr>
          <w:trHeight w:val="260"/>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0925" w14:textId="77777777" w:rsidR="007337BC" w:rsidRPr="00BF6FB0" w:rsidRDefault="007337BC" w:rsidP="007337BC">
            <w:pPr>
              <w:spacing w:after="0" w:line="240" w:lineRule="auto"/>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C24ABED" w14:textId="77777777" w:rsidR="007337BC" w:rsidRPr="00BF6FB0" w:rsidRDefault="007337BC" w:rsidP="007337B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2014</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05E49AFD" w14:textId="77777777" w:rsidR="007337BC" w:rsidRPr="00BF6FB0" w:rsidRDefault="007337BC" w:rsidP="007337BC">
            <w:pPr>
              <w:spacing w:after="0" w:line="240" w:lineRule="auto"/>
              <w:jc w:val="center"/>
              <w:rPr>
                <w:rFonts w:ascii="Calibri" w:eastAsia="Times New Roman" w:hAnsi="Calibri" w:cs="Times New Roman"/>
                <w:b/>
                <w:bCs/>
                <w:color w:val="000000"/>
                <w:sz w:val="20"/>
                <w:szCs w:val="20"/>
                <w:lang w:val="en-US"/>
              </w:rPr>
            </w:pPr>
            <w:r w:rsidRPr="00BF6FB0">
              <w:rPr>
                <w:rFonts w:ascii="Calibri" w:eastAsia="Times New Roman" w:hAnsi="Calibri" w:cs="Times New Roman"/>
                <w:b/>
                <w:bCs/>
                <w:color w:val="000000"/>
                <w:sz w:val="20"/>
                <w:szCs w:val="20"/>
                <w:lang w:val="en-US"/>
              </w:rPr>
              <w:t>2015</w:t>
            </w:r>
          </w:p>
        </w:tc>
      </w:tr>
      <w:tr w:rsidR="001A7567" w:rsidRPr="00BF6FB0" w14:paraId="60F2ACAC"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49D3B378" w14:textId="77777777" w:rsidR="001A7567" w:rsidRPr="00BF6FB0" w:rsidRDefault="001A7567" w:rsidP="001A7567">
            <w:pPr>
              <w:spacing w:after="0" w:line="240" w:lineRule="auto"/>
              <w:jc w:val="both"/>
              <w:rPr>
                <w:rFonts w:ascii="Calibri" w:eastAsia="Times New Roman" w:hAnsi="Calibri" w:cs="Times New Roman"/>
                <w:b/>
                <w:bCs/>
                <w:sz w:val="20"/>
                <w:szCs w:val="20"/>
                <w:lang w:val="en-US"/>
              </w:rPr>
            </w:pPr>
            <w:r w:rsidRPr="00BF6FB0">
              <w:rPr>
                <w:rFonts w:ascii="Calibri" w:eastAsia="Times New Roman" w:hAnsi="Calibri" w:cs="Times New Roman"/>
                <w:b/>
                <w:bCs/>
                <w:sz w:val="20"/>
                <w:szCs w:val="20"/>
                <w:lang w:val="en-US"/>
              </w:rPr>
              <w:t xml:space="preserve">Severe material deprivation </w:t>
            </w:r>
          </w:p>
        </w:tc>
        <w:tc>
          <w:tcPr>
            <w:tcW w:w="1249" w:type="dxa"/>
            <w:tcBorders>
              <w:top w:val="nil"/>
              <w:left w:val="nil"/>
              <w:bottom w:val="single" w:sz="4" w:space="0" w:color="auto"/>
              <w:right w:val="single" w:sz="4" w:space="0" w:color="auto"/>
            </w:tcBorders>
            <w:shd w:val="clear" w:color="auto" w:fill="auto"/>
            <w:noWrap/>
            <w:vAlign w:val="center"/>
            <w:hideMark/>
          </w:tcPr>
          <w:p w14:paraId="5998CD99" w14:textId="77777777" w:rsidR="001A7567" w:rsidRPr="00BF6FB0" w:rsidRDefault="001A7567" w:rsidP="001A7567">
            <w:pPr>
              <w:spacing w:after="0" w:line="240" w:lineRule="auto"/>
              <w:jc w:val="center"/>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31,0</w:t>
            </w:r>
          </w:p>
        </w:tc>
        <w:tc>
          <w:tcPr>
            <w:tcW w:w="1250" w:type="dxa"/>
            <w:tcBorders>
              <w:top w:val="nil"/>
              <w:left w:val="nil"/>
              <w:bottom w:val="single" w:sz="4" w:space="0" w:color="auto"/>
              <w:right w:val="single" w:sz="4" w:space="0" w:color="auto"/>
            </w:tcBorders>
            <w:shd w:val="clear" w:color="auto" w:fill="auto"/>
            <w:noWrap/>
            <w:vAlign w:val="center"/>
            <w:hideMark/>
          </w:tcPr>
          <w:p w14:paraId="5614399A" w14:textId="77777777" w:rsidR="001A7567" w:rsidRPr="00BF6FB0" w:rsidRDefault="001A7567" w:rsidP="001A7567">
            <w:pPr>
              <w:spacing w:after="0" w:line="240" w:lineRule="auto"/>
              <w:jc w:val="center"/>
              <w:rPr>
                <w:rFonts w:ascii="Calibri" w:eastAsia="Times New Roman" w:hAnsi="Calibri" w:cs="Times New Roman"/>
                <w:b/>
                <w:color w:val="000000"/>
                <w:sz w:val="20"/>
                <w:szCs w:val="20"/>
                <w:lang w:val="en-US"/>
              </w:rPr>
            </w:pPr>
            <w:r w:rsidRPr="00BF6FB0">
              <w:rPr>
                <w:rFonts w:ascii="Calibri" w:eastAsia="Times New Roman" w:hAnsi="Calibri" w:cs="Times New Roman"/>
                <w:b/>
                <w:color w:val="000000"/>
                <w:sz w:val="20"/>
                <w:szCs w:val="20"/>
                <w:lang w:val="en-US"/>
              </w:rPr>
              <w:t>37,9</w:t>
            </w:r>
          </w:p>
        </w:tc>
      </w:tr>
      <w:tr w:rsidR="001A7567" w:rsidRPr="00BF6FB0" w14:paraId="66792080"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58D7399F"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Heating </w:t>
            </w:r>
          </w:p>
        </w:tc>
        <w:tc>
          <w:tcPr>
            <w:tcW w:w="1249" w:type="dxa"/>
            <w:tcBorders>
              <w:top w:val="nil"/>
              <w:left w:val="nil"/>
              <w:bottom w:val="single" w:sz="4" w:space="0" w:color="auto"/>
              <w:right w:val="single" w:sz="4" w:space="0" w:color="auto"/>
            </w:tcBorders>
            <w:shd w:val="clear" w:color="auto" w:fill="auto"/>
            <w:noWrap/>
            <w:vAlign w:val="center"/>
            <w:hideMark/>
          </w:tcPr>
          <w:p w14:paraId="53CA5B42"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20,6</w:t>
            </w:r>
          </w:p>
        </w:tc>
        <w:tc>
          <w:tcPr>
            <w:tcW w:w="1250" w:type="dxa"/>
            <w:tcBorders>
              <w:top w:val="nil"/>
              <w:left w:val="nil"/>
              <w:bottom w:val="single" w:sz="4" w:space="0" w:color="auto"/>
              <w:right w:val="single" w:sz="4" w:space="0" w:color="auto"/>
            </w:tcBorders>
            <w:shd w:val="clear" w:color="auto" w:fill="auto"/>
            <w:noWrap/>
            <w:vAlign w:val="center"/>
            <w:hideMark/>
          </w:tcPr>
          <w:p w14:paraId="151BCC4B"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26,9</w:t>
            </w:r>
          </w:p>
        </w:tc>
      </w:tr>
      <w:tr w:rsidR="001A7567" w:rsidRPr="00BF6FB0" w14:paraId="1EC43A26"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4FE0C4BC"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Unexpected financial expenses </w:t>
            </w:r>
          </w:p>
        </w:tc>
        <w:tc>
          <w:tcPr>
            <w:tcW w:w="1249" w:type="dxa"/>
            <w:tcBorders>
              <w:top w:val="nil"/>
              <w:left w:val="nil"/>
              <w:bottom w:val="single" w:sz="4" w:space="0" w:color="auto"/>
              <w:right w:val="single" w:sz="4" w:space="0" w:color="auto"/>
            </w:tcBorders>
            <w:shd w:val="clear" w:color="auto" w:fill="auto"/>
            <w:noWrap/>
            <w:vAlign w:val="center"/>
            <w:hideMark/>
          </w:tcPr>
          <w:p w14:paraId="7CE85242"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37,8</w:t>
            </w:r>
          </w:p>
        </w:tc>
        <w:tc>
          <w:tcPr>
            <w:tcW w:w="1250" w:type="dxa"/>
            <w:tcBorders>
              <w:top w:val="nil"/>
              <w:left w:val="nil"/>
              <w:bottom w:val="single" w:sz="4" w:space="0" w:color="auto"/>
              <w:right w:val="single" w:sz="4" w:space="0" w:color="auto"/>
            </w:tcBorders>
            <w:shd w:val="clear" w:color="auto" w:fill="auto"/>
            <w:noWrap/>
            <w:vAlign w:val="center"/>
            <w:hideMark/>
          </w:tcPr>
          <w:p w14:paraId="77A8B8BE"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45,6</w:t>
            </w:r>
          </w:p>
        </w:tc>
      </w:tr>
      <w:tr w:rsidR="001A7567" w:rsidRPr="00BF6FB0" w14:paraId="795227AC"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68F797A6"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Nutrition </w:t>
            </w:r>
          </w:p>
        </w:tc>
        <w:tc>
          <w:tcPr>
            <w:tcW w:w="1249" w:type="dxa"/>
            <w:tcBorders>
              <w:top w:val="nil"/>
              <w:left w:val="nil"/>
              <w:bottom w:val="single" w:sz="4" w:space="0" w:color="auto"/>
              <w:right w:val="single" w:sz="4" w:space="0" w:color="auto"/>
            </w:tcBorders>
            <w:shd w:val="clear" w:color="auto" w:fill="auto"/>
            <w:noWrap/>
            <w:vAlign w:val="center"/>
            <w:hideMark/>
          </w:tcPr>
          <w:p w14:paraId="7D819EF5"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38,3</w:t>
            </w:r>
          </w:p>
        </w:tc>
        <w:tc>
          <w:tcPr>
            <w:tcW w:w="1250" w:type="dxa"/>
            <w:tcBorders>
              <w:top w:val="nil"/>
              <w:left w:val="nil"/>
              <w:bottom w:val="single" w:sz="4" w:space="0" w:color="auto"/>
              <w:right w:val="single" w:sz="4" w:space="0" w:color="auto"/>
            </w:tcBorders>
            <w:shd w:val="clear" w:color="auto" w:fill="auto"/>
            <w:noWrap/>
            <w:vAlign w:val="center"/>
            <w:hideMark/>
          </w:tcPr>
          <w:p w14:paraId="70BC0D2B"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45,9</w:t>
            </w:r>
          </w:p>
        </w:tc>
      </w:tr>
      <w:tr w:rsidR="001A7567" w:rsidRPr="00BF6FB0" w14:paraId="22B38E8F"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5FC8F7D4"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One-week holiday away from home</w:t>
            </w:r>
          </w:p>
        </w:tc>
        <w:tc>
          <w:tcPr>
            <w:tcW w:w="1249" w:type="dxa"/>
            <w:tcBorders>
              <w:top w:val="nil"/>
              <w:left w:val="nil"/>
              <w:bottom w:val="single" w:sz="4" w:space="0" w:color="auto"/>
              <w:right w:val="single" w:sz="4" w:space="0" w:color="auto"/>
            </w:tcBorders>
            <w:shd w:val="clear" w:color="auto" w:fill="auto"/>
            <w:noWrap/>
            <w:vAlign w:val="center"/>
            <w:hideMark/>
          </w:tcPr>
          <w:p w14:paraId="3BD87415"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68,5</w:t>
            </w:r>
          </w:p>
        </w:tc>
        <w:tc>
          <w:tcPr>
            <w:tcW w:w="1250" w:type="dxa"/>
            <w:tcBorders>
              <w:top w:val="nil"/>
              <w:left w:val="nil"/>
              <w:bottom w:val="single" w:sz="4" w:space="0" w:color="auto"/>
              <w:right w:val="single" w:sz="4" w:space="0" w:color="auto"/>
            </w:tcBorders>
            <w:shd w:val="clear" w:color="auto" w:fill="auto"/>
            <w:noWrap/>
            <w:vAlign w:val="center"/>
            <w:hideMark/>
          </w:tcPr>
          <w:p w14:paraId="79EA0AF7"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72,3</w:t>
            </w:r>
          </w:p>
        </w:tc>
      </w:tr>
      <w:tr w:rsidR="001A7567" w:rsidRPr="00BF6FB0" w14:paraId="4967C4E5"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5D70BBEB"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Colour TV possession </w:t>
            </w:r>
          </w:p>
        </w:tc>
        <w:tc>
          <w:tcPr>
            <w:tcW w:w="1249" w:type="dxa"/>
            <w:tcBorders>
              <w:top w:val="nil"/>
              <w:left w:val="nil"/>
              <w:bottom w:val="single" w:sz="4" w:space="0" w:color="auto"/>
              <w:right w:val="single" w:sz="4" w:space="0" w:color="auto"/>
            </w:tcBorders>
            <w:shd w:val="clear" w:color="auto" w:fill="auto"/>
            <w:noWrap/>
            <w:vAlign w:val="center"/>
            <w:hideMark/>
          </w:tcPr>
          <w:p w14:paraId="48E61A82"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3,1</w:t>
            </w:r>
          </w:p>
        </w:tc>
        <w:tc>
          <w:tcPr>
            <w:tcW w:w="1250" w:type="dxa"/>
            <w:tcBorders>
              <w:top w:val="nil"/>
              <w:left w:val="nil"/>
              <w:bottom w:val="single" w:sz="4" w:space="0" w:color="auto"/>
              <w:right w:val="single" w:sz="4" w:space="0" w:color="auto"/>
            </w:tcBorders>
            <w:shd w:val="clear" w:color="auto" w:fill="auto"/>
            <w:noWrap/>
            <w:vAlign w:val="center"/>
            <w:hideMark/>
          </w:tcPr>
          <w:p w14:paraId="3E93DBE5"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3,2</w:t>
            </w:r>
          </w:p>
        </w:tc>
      </w:tr>
      <w:tr w:rsidR="001A7567" w:rsidRPr="00BF6FB0" w14:paraId="0FF663D0"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2CF963D4"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Washing machine possession</w:t>
            </w:r>
          </w:p>
        </w:tc>
        <w:tc>
          <w:tcPr>
            <w:tcW w:w="1249" w:type="dxa"/>
            <w:tcBorders>
              <w:top w:val="nil"/>
              <w:left w:val="nil"/>
              <w:bottom w:val="single" w:sz="4" w:space="0" w:color="auto"/>
              <w:right w:val="single" w:sz="4" w:space="0" w:color="auto"/>
            </w:tcBorders>
            <w:shd w:val="clear" w:color="auto" w:fill="auto"/>
            <w:noWrap/>
            <w:vAlign w:val="center"/>
            <w:hideMark/>
          </w:tcPr>
          <w:p w14:paraId="76777F4C"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5,3</w:t>
            </w:r>
          </w:p>
        </w:tc>
        <w:tc>
          <w:tcPr>
            <w:tcW w:w="1250" w:type="dxa"/>
            <w:tcBorders>
              <w:top w:val="nil"/>
              <w:left w:val="nil"/>
              <w:bottom w:val="single" w:sz="4" w:space="0" w:color="auto"/>
              <w:right w:val="single" w:sz="4" w:space="0" w:color="auto"/>
            </w:tcBorders>
            <w:shd w:val="clear" w:color="auto" w:fill="auto"/>
            <w:noWrap/>
            <w:vAlign w:val="center"/>
            <w:hideMark/>
          </w:tcPr>
          <w:p w14:paraId="615B8B28"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5,3</w:t>
            </w:r>
          </w:p>
        </w:tc>
      </w:tr>
      <w:tr w:rsidR="001A7567" w:rsidRPr="00BF6FB0" w14:paraId="15476362"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7A5FD3B6"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Car possession </w:t>
            </w:r>
          </w:p>
        </w:tc>
        <w:tc>
          <w:tcPr>
            <w:tcW w:w="1249" w:type="dxa"/>
            <w:tcBorders>
              <w:top w:val="nil"/>
              <w:left w:val="nil"/>
              <w:bottom w:val="single" w:sz="4" w:space="0" w:color="auto"/>
              <w:right w:val="single" w:sz="4" w:space="0" w:color="auto"/>
            </w:tcBorders>
            <w:shd w:val="clear" w:color="auto" w:fill="auto"/>
            <w:noWrap/>
            <w:vAlign w:val="center"/>
            <w:hideMark/>
          </w:tcPr>
          <w:p w14:paraId="4949F350"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42,1</w:t>
            </w:r>
          </w:p>
        </w:tc>
        <w:tc>
          <w:tcPr>
            <w:tcW w:w="1250" w:type="dxa"/>
            <w:tcBorders>
              <w:top w:val="nil"/>
              <w:left w:val="nil"/>
              <w:bottom w:val="single" w:sz="4" w:space="0" w:color="auto"/>
              <w:right w:val="single" w:sz="4" w:space="0" w:color="auto"/>
            </w:tcBorders>
            <w:shd w:val="clear" w:color="auto" w:fill="auto"/>
            <w:noWrap/>
            <w:vAlign w:val="center"/>
            <w:hideMark/>
          </w:tcPr>
          <w:p w14:paraId="35082A31"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44,0</w:t>
            </w:r>
          </w:p>
        </w:tc>
      </w:tr>
      <w:tr w:rsidR="001A7567" w:rsidRPr="00BF6FB0" w14:paraId="475A2484"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6EBC6850"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Telephone possession </w:t>
            </w:r>
          </w:p>
        </w:tc>
        <w:tc>
          <w:tcPr>
            <w:tcW w:w="1249" w:type="dxa"/>
            <w:tcBorders>
              <w:top w:val="nil"/>
              <w:left w:val="nil"/>
              <w:bottom w:val="single" w:sz="4" w:space="0" w:color="auto"/>
              <w:right w:val="single" w:sz="4" w:space="0" w:color="auto"/>
            </w:tcBorders>
            <w:shd w:val="clear" w:color="auto" w:fill="auto"/>
            <w:noWrap/>
            <w:vAlign w:val="center"/>
            <w:hideMark/>
          </w:tcPr>
          <w:p w14:paraId="4CFAAA5D"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2,9</w:t>
            </w:r>
          </w:p>
        </w:tc>
        <w:tc>
          <w:tcPr>
            <w:tcW w:w="1250" w:type="dxa"/>
            <w:tcBorders>
              <w:top w:val="nil"/>
              <w:left w:val="nil"/>
              <w:bottom w:val="single" w:sz="4" w:space="0" w:color="auto"/>
              <w:right w:val="single" w:sz="4" w:space="0" w:color="auto"/>
            </w:tcBorders>
            <w:shd w:val="clear" w:color="auto" w:fill="auto"/>
            <w:noWrap/>
            <w:vAlign w:val="center"/>
            <w:hideMark/>
          </w:tcPr>
          <w:p w14:paraId="4766A1CE"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2,0</w:t>
            </w:r>
          </w:p>
        </w:tc>
      </w:tr>
      <w:tr w:rsidR="001A7567" w:rsidRPr="00BF6FB0" w14:paraId="02D21471" w14:textId="77777777" w:rsidTr="001A7567">
        <w:trPr>
          <w:trHeight w:val="260"/>
        </w:trPr>
        <w:tc>
          <w:tcPr>
            <w:tcW w:w="3121" w:type="dxa"/>
            <w:tcBorders>
              <w:top w:val="nil"/>
              <w:left w:val="single" w:sz="4" w:space="0" w:color="auto"/>
              <w:bottom w:val="single" w:sz="4" w:space="0" w:color="auto"/>
              <w:right w:val="single" w:sz="4" w:space="0" w:color="auto"/>
            </w:tcBorders>
            <w:shd w:val="clear" w:color="auto" w:fill="auto"/>
            <w:noWrap/>
            <w:vAlign w:val="bottom"/>
            <w:hideMark/>
          </w:tcPr>
          <w:p w14:paraId="6837BD22" w14:textId="77777777" w:rsidR="001A7567" w:rsidRPr="00BF6FB0" w:rsidRDefault="001A7567" w:rsidP="001A7567">
            <w:pPr>
              <w:spacing w:after="0" w:line="240" w:lineRule="auto"/>
              <w:jc w:val="both"/>
              <w:rPr>
                <w:rFonts w:ascii="Calibri" w:eastAsia="Times New Roman" w:hAnsi="Calibri" w:cs="Times New Roman"/>
                <w:bCs/>
                <w:sz w:val="20"/>
                <w:szCs w:val="20"/>
                <w:lang w:val="en-US"/>
              </w:rPr>
            </w:pPr>
            <w:r w:rsidRPr="00BF6FB0">
              <w:rPr>
                <w:rFonts w:ascii="Calibri" w:eastAsia="Times New Roman" w:hAnsi="Calibri" w:cs="Times New Roman"/>
                <w:bCs/>
                <w:sz w:val="20"/>
                <w:szCs w:val="20"/>
                <w:lang w:val="en-US"/>
              </w:rPr>
              <w:t xml:space="preserve">Rent payments and bills </w:t>
            </w:r>
          </w:p>
        </w:tc>
        <w:tc>
          <w:tcPr>
            <w:tcW w:w="1249" w:type="dxa"/>
            <w:tcBorders>
              <w:top w:val="nil"/>
              <w:left w:val="nil"/>
              <w:bottom w:val="single" w:sz="4" w:space="0" w:color="auto"/>
              <w:right w:val="single" w:sz="4" w:space="0" w:color="auto"/>
            </w:tcBorders>
            <w:shd w:val="clear" w:color="auto" w:fill="auto"/>
            <w:noWrap/>
            <w:vAlign w:val="center"/>
            <w:hideMark/>
          </w:tcPr>
          <w:p w14:paraId="3D5FB1BF"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31,3</w:t>
            </w:r>
          </w:p>
        </w:tc>
        <w:tc>
          <w:tcPr>
            <w:tcW w:w="1250" w:type="dxa"/>
            <w:tcBorders>
              <w:top w:val="nil"/>
              <w:left w:val="nil"/>
              <w:bottom w:val="single" w:sz="4" w:space="0" w:color="auto"/>
              <w:right w:val="single" w:sz="4" w:space="0" w:color="auto"/>
            </w:tcBorders>
            <w:shd w:val="clear" w:color="auto" w:fill="auto"/>
            <w:noWrap/>
            <w:vAlign w:val="center"/>
            <w:hideMark/>
          </w:tcPr>
          <w:p w14:paraId="1B32B18C" w14:textId="77777777" w:rsidR="001A7567" w:rsidRPr="00BF6FB0" w:rsidRDefault="001A7567" w:rsidP="001A7567">
            <w:pPr>
              <w:spacing w:after="0" w:line="240" w:lineRule="auto"/>
              <w:jc w:val="center"/>
              <w:rPr>
                <w:rFonts w:ascii="Calibri" w:eastAsia="Times New Roman" w:hAnsi="Calibri" w:cs="Times New Roman"/>
                <w:color w:val="000000"/>
                <w:sz w:val="20"/>
                <w:szCs w:val="20"/>
                <w:lang w:val="en-US"/>
              </w:rPr>
            </w:pPr>
            <w:r w:rsidRPr="00BF6FB0">
              <w:rPr>
                <w:rFonts w:ascii="Calibri" w:eastAsia="Times New Roman" w:hAnsi="Calibri" w:cs="Times New Roman"/>
                <w:color w:val="000000"/>
                <w:sz w:val="20"/>
                <w:szCs w:val="20"/>
                <w:lang w:val="en-US"/>
              </w:rPr>
              <w:t>30,2</w:t>
            </w:r>
          </w:p>
        </w:tc>
      </w:tr>
    </w:tbl>
    <w:p w14:paraId="5066D897" w14:textId="77777777" w:rsidR="00F647B3" w:rsidRPr="00BF6FB0" w:rsidRDefault="00F647B3" w:rsidP="00F647B3">
      <w:pPr>
        <w:pStyle w:val="Caption"/>
        <w:rPr>
          <w:b w:val="0"/>
          <w:color w:val="auto"/>
          <w:lang w:val="en-US"/>
        </w:rPr>
      </w:pPr>
      <w:r w:rsidRPr="00BF6FB0">
        <w:rPr>
          <w:b w:val="0"/>
          <w:color w:val="auto"/>
          <w:lang w:val="en-US"/>
        </w:rPr>
        <w:t xml:space="preserve">Source: 2015 TurkStat Income and Living Conditions Survey; Betam </w:t>
      </w:r>
    </w:p>
    <w:p w14:paraId="148FF2C6" w14:textId="77777777" w:rsidR="00B46C01" w:rsidRPr="00BF6FB0" w:rsidRDefault="00B46C01" w:rsidP="00B46C01">
      <w:pPr>
        <w:rPr>
          <w:lang w:val="en-US"/>
        </w:rPr>
      </w:pPr>
      <w:r w:rsidRPr="00BF6FB0">
        <w:rPr>
          <w:lang w:val="en-US"/>
        </w:rPr>
        <w:t xml:space="preserve">In general, we observe an increase in severe material deprivation rates from 2014 to 2015. In male-headed households, severe material deprivation rate increased </w:t>
      </w:r>
      <w:r w:rsidRPr="00BF6FB0">
        <w:rPr>
          <w:lang w:val="en-US"/>
        </w:rPr>
        <w:lastRenderedPageBreak/>
        <w:t xml:space="preserve">from 26.2 percent to 27.7 percent while in female-headed households it increased from 31 percent to 37.9 percent. The data point out that severe material deprivation becomes more prevalent, especially in female-headed households. </w:t>
      </w:r>
    </w:p>
    <w:p w14:paraId="71615F35" w14:textId="2B9164AD" w:rsidR="0015334A" w:rsidRPr="00BF6FB0" w:rsidRDefault="0015334A" w:rsidP="0015334A">
      <w:pPr>
        <w:rPr>
          <w:lang w:val="en-US"/>
        </w:rPr>
      </w:pPr>
      <w:r w:rsidRPr="00BF6FB0">
        <w:rPr>
          <w:lang w:val="en-US"/>
        </w:rPr>
        <w:t xml:space="preserve">Table 10 shows how the </w:t>
      </w:r>
      <w:r w:rsidR="00504F44">
        <w:rPr>
          <w:lang w:val="en-US"/>
        </w:rPr>
        <w:t>items</w:t>
      </w:r>
      <w:r w:rsidRPr="00BF6FB0">
        <w:rPr>
          <w:lang w:val="en-US"/>
        </w:rPr>
        <w:t xml:space="preserve"> of severe material deprivation changed from 2014 to 2015. The data points out a </w:t>
      </w:r>
      <w:r w:rsidR="00E916AE">
        <w:rPr>
          <w:lang w:val="en-US"/>
        </w:rPr>
        <w:t>drastic</w:t>
      </w:r>
      <w:r w:rsidRPr="00BF6FB0">
        <w:rPr>
          <w:lang w:val="en-US"/>
        </w:rPr>
        <w:t xml:space="preserve"> increase for the female-headed household that can</w:t>
      </w:r>
      <w:r w:rsidR="00361597">
        <w:rPr>
          <w:lang w:val="en-US"/>
        </w:rPr>
        <w:t>not meet their protein needs or cover</w:t>
      </w:r>
      <w:r w:rsidRPr="00BF6FB0">
        <w:rPr>
          <w:lang w:val="en-US"/>
        </w:rPr>
        <w:t xml:space="preserve"> unexpected financial expenses. The ratio of female-headed household</w:t>
      </w:r>
      <w:r w:rsidR="00786B4D">
        <w:rPr>
          <w:lang w:val="en-US"/>
        </w:rPr>
        <w:t>s</w:t>
      </w:r>
      <w:r w:rsidRPr="00BF6FB0">
        <w:rPr>
          <w:lang w:val="en-US"/>
        </w:rPr>
        <w:t xml:space="preserve"> which cannot </w:t>
      </w:r>
      <w:r w:rsidR="00786B4D">
        <w:rPr>
          <w:lang w:val="en-US"/>
        </w:rPr>
        <w:t>cover</w:t>
      </w:r>
      <w:r w:rsidRPr="00BF6FB0">
        <w:rPr>
          <w:lang w:val="en-US"/>
        </w:rPr>
        <w:t xml:space="preserve"> their unexpected financial expenses increased from 37.8 percent to 45.6 percent whereas the ratio of households which cannot meet their weekly protein needs increased from 38.3 percent to 45.9 percent. In other words, almost half of female-headed households cannot cover their unexpected financial needs and weekly pr</w:t>
      </w:r>
      <w:r w:rsidR="005E0C91">
        <w:rPr>
          <w:lang w:val="en-US"/>
        </w:rPr>
        <w:t>otein needs. In addition</w:t>
      </w:r>
      <w:r w:rsidRPr="00BF6FB0">
        <w:rPr>
          <w:lang w:val="en-US"/>
        </w:rPr>
        <w:t xml:space="preserve">, the households </w:t>
      </w:r>
      <w:r w:rsidR="001B15CB">
        <w:rPr>
          <w:lang w:val="en-US"/>
        </w:rPr>
        <w:t>that cannot sufficiently heat</w:t>
      </w:r>
      <w:r w:rsidRPr="00BF6FB0">
        <w:rPr>
          <w:lang w:val="en-US"/>
        </w:rPr>
        <w:t xml:space="preserve"> their </w:t>
      </w:r>
      <w:r w:rsidR="00192CD9">
        <w:rPr>
          <w:lang w:val="en-US"/>
        </w:rPr>
        <w:t>home</w:t>
      </w:r>
      <w:r w:rsidR="001B15CB">
        <w:rPr>
          <w:lang w:val="en-US"/>
        </w:rPr>
        <w:t>s</w:t>
      </w:r>
      <w:r w:rsidRPr="00BF6FB0">
        <w:rPr>
          <w:lang w:val="en-US"/>
        </w:rPr>
        <w:t xml:space="preserve"> increased from 20.6 percent to 26.9 percent.</w:t>
      </w:r>
    </w:p>
    <w:p w14:paraId="3F8E66D2" w14:textId="77777777" w:rsidR="00DC2977" w:rsidRPr="00BF6FB0" w:rsidRDefault="00DC2977" w:rsidP="00DC2977">
      <w:pPr>
        <w:rPr>
          <w:b/>
          <w:sz w:val="24"/>
          <w:szCs w:val="24"/>
          <w:lang w:val="en-US"/>
        </w:rPr>
      </w:pPr>
      <w:r w:rsidRPr="00BF6FB0">
        <w:rPr>
          <w:b/>
          <w:sz w:val="24"/>
          <w:szCs w:val="24"/>
          <w:lang w:val="en-US"/>
        </w:rPr>
        <w:t xml:space="preserve">Two different profiles of female household heads </w:t>
      </w:r>
    </w:p>
    <w:p w14:paraId="550B55C9" w14:textId="4570CCDF" w:rsidR="00135B3C" w:rsidRPr="00BF6FB0" w:rsidRDefault="00CD3506" w:rsidP="00135B3C">
      <w:pPr>
        <w:jc w:val="both"/>
        <w:rPr>
          <w:lang w:val="en-US"/>
        </w:rPr>
      </w:pPr>
      <w:r>
        <w:rPr>
          <w:lang w:val="en-US"/>
        </w:rPr>
        <w:t>To sum up</w:t>
      </w:r>
      <w:r w:rsidR="00135B3C" w:rsidRPr="00BF6FB0">
        <w:rPr>
          <w:lang w:val="en-US"/>
        </w:rPr>
        <w:t xml:space="preserve">, two different profiles among female-headed households stand out. While one group consists of women that are relatively younger, highly educated, in wage employment in non-agricultural sectors, the other is characterized by relatively older and low-educated women. Even though for clearly different reasons, both groups of women have fewer children living with them. It easy to anticipate that the children of relatively older women are living in other households. For the group of relatively younger women, fertility rate is probably lower due to high material and emotional costs of raising children as a single parent. </w:t>
      </w:r>
    </w:p>
    <w:p w14:paraId="2EE6F582" w14:textId="5D29B60E" w:rsidR="003025C4" w:rsidRPr="00BF6FB0" w:rsidRDefault="00135B3C" w:rsidP="00135B3C">
      <w:pPr>
        <w:jc w:val="both"/>
        <w:rPr>
          <w:color w:val="FF0000"/>
          <w:lang w:val="en-US"/>
        </w:rPr>
      </w:pPr>
      <w:r w:rsidRPr="00BF6FB0">
        <w:rPr>
          <w:lang w:val="en-US"/>
        </w:rPr>
        <w:t xml:space="preserve">Regardless of the profile of the female head, material deprivation is more common among female-headed households. One of every female-headed households and </w:t>
      </w:r>
      <w:r w:rsidRPr="00BF6FB0">
        <w:rPr>
          <w:lang w:val="en-US"/>
        </w:rPr>
        <w:lastRenderedPageBreak/>
        <w:t xml:space="preserve">37.1 percent of people living in these households cannot </w:t>
      </w:r>
      <w:r w:rsidR="00B61B87">
        <w:rPr>
          <w:lang w:val="en-US"/>
        </w:rPr>
        <w:t>meet</w:t>
      </w:r>
      <w:r w:rsidRPr="00BF6FB0">
        <w:rPr>
          <w:lang w:val="en-US"/>
        </w:rPr>
        <w:t xml:space="preserve"> at least four o</w:t>
      </w:r>
      <w:r w:rsidR="00B61B87">
        <w:rPr>
          <w:lang w:val="en-US"/>
        </w:rPr>
        <w:t xml:space="preserve">f nine needs, </w:t>
      </w:r>
      <w:r w:rsidRPr="00BF6FB0">
        <w:rPr>
          <w:lang w:val="en-US"/>
        </w:rPr>
        <w:t xml:space="preserve">such as </w:t>
      </w:r>
      <w:r w:rsidR="00B61B87">
        <w:rPr>
          <w:lang w:val="en-US"/>
        </w:rPr>
        <w:t xml:space="preserve">covering </w:t>
      </w:r>
      <w:r w:rsidRPr="00BF6FB0">
        <w:rPr>
          <w:lang w:val="en-US"/>
        </w:rPr>
        <w:t xml:space="preserve">unexpected expenses, </w:t>
      </w:r>
      <w:r w:rsidR="00B61B87">
        <w:rPr>
          <w:lang w:val="en-US"/>
        </w:rPr>
        <w:t xml:space="preserve">paying </w:t>
      </w:r>
      <w:r w:rsidRPr="00BF6FB0">
        <w:rPr>
          <w:lang w:val="en-US"/>
        </w:rPr>
        <w:t xml:space="preserve">rent/utility bills, </w:t>
      </w:r>
      <w:r w:rsidR="00B61B87">
        <w:rPr>
          <w:lang w:val="en-US"/>
        </w:rPr>
        <w:t xml:space="preserve">affording </w:t>
      </w:r>
      <w:r w:rsidRPr="00BF6FB0">
        <w:rPr>
          <w:lang w:val="en-US"/>
        </w:rPr>
        <w:t>a meal with meat, chicken, fish or vegetarian equivalent every second day, heating to k</w:t>
      </w:r>
      <w:r w:rsidR="00B61B87">
        <w:rPr>
          <w:lang w:val="en-US"/>
        </w:rPr>
        <w:t>eep the home sufficiently warm,</w:t>
      </w:r>
      <w:r w:rsidRPr="00BF6FB0">
        <w:rPr>
          <w:lang w:val="en-US"/>
        </w:rPr>
        <w:t xml:space="preserve"> a car, a telephone, a color TV and a washing machine. These </w:t>
      </w:r>
      <w:r w:rsidR="00221745">
        <w:rPr>
          <w:lang w:val="en-US"/>
        </w:rPr>
        <w:t>shares</w:t>
      </w:r>
      <w:r w:rsidRPr="00BF6FB0">
        <w:rPr>
          <w:lang w:val="en-US"/>
        </w:rPr>
        <w:t xml:space="preserve"> are lower for male-headed households. Policies aiming to improve the relative status of female household heads will help foster gender equality and improve equality of opportunity for children who grow up in these households. In this respect, these policies ought to include components aiming to strengthen the labor market attachment of females.</w:t>
      </w:r>
      <w:r w:rsidRPr="00BF6FB0">
        <w:rPr>
          <w:color w:val="FF0000"/>
          <w:lang w:val="en-US"/>
        </w:rPr>
        <w:t xml:space="preserve">  </w:t>
      </w:r>
    </w:p>
    <w:sectPr w:rsidR="003025C4" w:rsidRPr="00BF6FB0" w:rsidSect="003341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D4F9" w14:textId="77777777" w:rsidR="00561B75" w:rsidRDefault="00561B75" w:rsidP="00B047D4">
      <w:pPr>
        <w:spacing w:after="0" w:line="240" w:lineRule="auto"/>
      </w:pPr>
      <w:r>
        <w:separator/>
      </w:r>
    </w:p>
  </w:endnote>
  <w:endnote w:type="continuationSeparator" w:id="0">
    <w:p w14:paraId="49AEFCC2" w14:textId="77777777" w:rsidR="00561B75" w:rsidRDefault="00561B75"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102"/>
      <w:docPartObj>
        <w:docPartGallery w:val="Page Numbers (Bottom of Page)"/>
        <w:docPartUnique/>
      </w:docPartObj>
    </w:sdtPr>
    <w:sdtEndPr/>
    <w:sdtContent>
      <w:p w14:paraId="00CECC9D" w14:textId="275D91C7" w:rsidR="00654E0E" w:rsidRDefault="00654E0E">
        <w:pPr>
          <w:pStyle w:val="Footer"/>
          <w:jc w:val="right"/>
        </w:pPr>
        <w:r>
          <w:fldChar w:fldCharType="begin"/>
        </w:r>
        <w:r>
          <w:instrText xml:space="preserve"> PAGE   \* MERGEFORMAT </w:instrText>
        </w:r>
        <w:r>
          <w:fldChar w:fldCharType="separate"/>
        </w:r>
        <w:r w:rsidR="00F100EC">
          <w:rPr>
            <w:noProof/>
          </w:rPr>
          <w:t>1</w:t>
        </w:r>
        <w:r>
          <w:rPr>
            <w:noProof/>
          </w:rPr>
          <w:fldChar w:fldCharType="end"/>
        </w:r>
      </w:p>
    </w:sdtContent>
  </w:sdt>
  <w:p w14:paraId="188C46A1" w14:textId="77777777" w:rsidR="00654E0E" w:rsidRDefault="00654E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7755" w14:textId="77777777" w:rsidR="00561B75" w:rsidRDefault="00561B75" w:rsidP="00B047D4">
      <w:pPr>
        <w:spacing w:after="0" w:line="240" w:lineRule="auto"/>
      </w:pPr>
      <w:r>
        <w:separator/>
      </w:r>
    </w:p>
  </w:footnote>
  <w:footnote w:type="continuationSeparator" w:id="0">
    <w:p w14:paraId="3721A56F" w14:textId="77777777" w:rsidR="00561B75" w:rsidRDefault="00561B75" w:rsidP="00B047D4">
      <w:pPr>
        <w:spacing w:after="0" w:line="240" w:lineRule="auto"/>
      </w:pPr>
      <w:r>
        <w:continuationSeparator/>
      </w:r>
    </w:p>
  </w:footnote>
  <w:footnote w:id="1">
    <w:p w14:paraId="2D01155C" w14:textId="77777777" w:rsidR="00654E0E" w:rsidRPr="00922E45" w:rsidRDefault="00654E0E"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Yrd. Doç. Dr. Gökçe Uysal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Pr>
          <w:rFonts w:asciiTheme="minorHAnsi" w:hAnsiTheme="minorHAnsi" w:cs="Arial"/>
          <w:sz w:val="18"/>
          <w:szCs w:val="18"/>
        </w:rPr>
        <w:t>, Deputy Director</w:t>
      </w:r>
      <w:r w:rsidRPr="00922E45">
        <w:rPr>
          <w:rFonts w:asciiTheme="minorHAnsi" w:hAnsiTheme="minorHAnsi" w:cs="Arial"/>
          <w:sz w:val="18"/>
          <w:szCs w:val="18"/>
        </w:rPr>
        <w:t xml:space="preserve">, </w:t>
      </w:r>
      <w:r>
        <w:rPr>
          <w:rFonts w:asciiTheme="minorHAnsi" w:hAnsiTheme="minorHAnsi" w:cs="Arial"/>
          <w:sz w:val="18"/>
          <w:szCs w:val="18"/>
        </w:rPr>
        <w:t>gokce.uysal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14:paraId="1D9D3893" w14:textId="77777777" w:rsidR="00654E0E" w:rsidRDefault="00654E0E"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Pr>
          <w:rFonts w:asciiTheme="minorHAnsi" w:hAnsiTheme="minorHAnsi" w:cs="Arial"/>
          <w:sz w:val="18"/>
          <w:szCs w:val="18"/>
        </w:rPr>
        <w:t>, Research Assistant, selin.koksal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p w14:paraId="33903293" w14:textId="77777777" w:rsidR="00654E0E" w:rsidRPr="00922E45" w:rsidRDefault="00654E0E"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4"/>
    <w:rsid w:val="000075E7"/>
    <w:rsid w:val="000149B2"/>
    <w:rsid w:val="00020248"/>
    <w:rsid w:val="000279DF"/>
    <w:rsid w:val="00030820"/>
    <w:rsid w:val="000335F8"/>
    <w:rsid w:val="00033938"/>
    <w:rsid w:val="00036A9C"/>
    <w:rsid w:val="000462C1"/>
    <w:rsid w:val="0004695D"/>
    <w:rsid w:val="000556D0"/>
    <w:rsid w:val="00064AB5"/>
    <w:rsid w:val="00064E0F"/>
    <w:rsid w:val="000715D4"/>
    <w:rsid w:val="00072205"/>
    <w:rsid w:val="00084432"/>
    <w:rsid w:val="00086B90"/>
    <w:rsid w:val="000871DC"/>
    <w:rsid w:val="00097E4C"/>
    <w:rsid w:val="000A128F"/>
    <w:rsid w:val="000A535B"/>
    <w:rsid w:val="000C050E"/>
    <w:rsid w:val="000C6C0F"/>
    <w:rsid w:val="000D44CB"/>
    <w:rsid w:val="000D477C"/>
    <w:rsid w:val="000D60A4"/>
    <w:rsid w:val="000E093E"/>
    <w:rsid w:val="000E3E2D"/>
    <w:rsid w:val="000E6369"/>
    <w:rsid w:val="000E7A4A"/>
    <w:rsid w:val="000F1E19"/>
    <w:rsid w:val="000F2596"/>
    <w:rsid w:val="00124419"/>
    <w:rsid w:val="001346D2"/>
    <w:rsid w:val="00135B3C"/>
    <w:rsid w:val="001370F7"/>
    <w:rsid w:val="001512F9"/>
    <w:rsid w:val="0015334A"/>
    <w:rsid w:val="001552F4"/>
    <w:rsid w:val="0016374B"/>
    <w:rsid w:val="0016636F"/>
    <w:rsid w:val="00173AA6"/>
    <w:rsid w:val="001806F1"/>
    <w:rsid w:val="001821CB"/>
    <w:rsid w:val="00182C69"/>
    <w:rsid w:val="00184CB9"/>
    <w:rsid w:val="001858C1"/>
    <w:rsid w:val="00190BEB"/>
    <w:rsid w:val="00192CD9"/>
    <w:rsid w:val="00193BE3"/>
    <w:rsid w:val="001A416A"/>
    <w:rsid w:val="001A4876"/>
    <w:rsid w:val="001A4B47"/>
    <w:rsid w:val="001A7567"/>
    <w:rsid w:val="001A79E3"/>
    <w:rsid w:val="001B15CB"/>
    <w:rsid w:val="001B2C62"/>
    <w:rsid w:val="001B30F8"/>
    <w:rsid w:val="001B475A"/>
    <w:rsid w:val="001B5AF6"/>
    <w:rsid w:val="001C16F7"/>
    <w:rsid w:val="001C280D"/>
    <w:rsid w:val="001C5DD0"/>
    <w:rsid w:val="001C61EC"/>
    <w:rsid w:val="001E4AA8"/>
    <w:rsid w:val="001F3CB9"/>
    <w:rsid w:val="001F5699"/>
    <w:rsid w:val="001F688B"/>
    <w:rsid w:val="002004F2"/>
    <w:rsid w:val="00204551"/>
    <w:rsid w:val="00207D67"/>
    <w:rsid w:val="002110B9"/>
    <w:rsid w:val="002118AE"/>
    <w:rsid w:val="00220C29"/>
    <w:rsid w:val="00221745"/>
    <w:rsid w:val="002329BB"/>
    <w:rsid w:val="00250E65"/>
    <w:rsid w:val="002524F5"/>
    <w:rsid w:val="002531A6"/>
    <w:rsid w:val="00256E87"/>
    <w:rsid w:val="0025739A"/>
    <w:rsid w:val="00261CE2"/>
    <w:rsid w:val="00261E33"/>
    <w:rsid w:val="002640C6"/>
    <w:rsid w:val="002705A3"/>
    <w:rsid w:val="0027177C"/>
    <w:rsid w:val="0027615A"/>
    <w:rsid w:val="00276C1C"/>
    <w:rsid w:val="00291F3F"/>
    <w:rsid w:val="00297843"/>
    <w:rsid w:val="002A2449"/>
    <w:rsid w:val="002A2E12"/>
    <w:rsid w:val="002A3995"/>
    <w:rsid w:val="002A4570"/>
    <w:rsid w:val="002A5C0B"/>
    <w:rsid w:val="002B278B"/>
    <w:rsid w:val="002B3684"/>
    <w:rsid w:val="002B3CA9"/>
    <w:rsid w:val="002C2A0F"/>
    <w:rsid w:val="002C5CDA"/>
    <w:rsid w:val="002D2152"/>
    <w:rsid w:val="002D2A29"/>
    <w:rsid w:val="002D3B84"/>
    <w:rsid w:val="002D4228"/>
    <w:rsid w:val="002E4A06"/>
    <w:rsid w:val="002E5AC9"/>
    <w:rsid w:val="002F33C8"/>
    <w:rsid w:val="003025C4"/>
    <w:rsid w:val="003041CB"/>
    <w:rsid w:val="003054FF"/>
    <w:rsid w:val="00314CD1"/>
    <w:rsid w:val="00321BF4"/>
    <w:rsid w:val="0033410A"/>
    <w:rsid w:val="00341957"/>
    <w:rsid w:val="00343F75"/>
    <w:rsid w:val="003452B4"/>
    <w:rsid w:val="00345B16"/>
    <w:rsid w:val="003461CA"/>
    <w:rsid w:val="00346C2D"/>
    <w:rsid w:val="0035187F"/>
    <w:rsid w:val="00357107"/>
    <w:rsid w:val="00361597"/>
    <w:rsid w:val="0037236D"/>
    <w:rsid w:val="00372D39"/>
    <w:rsid w:val="0038109C"/>
    <w:rsid w:val="00385AAD"/>
    <w:rsid w:val="00392FEE"/>
    <w:rsid w:val="003952AB"/>
    <w:rsid w:val="003A114E"/>
    <w:rsid w:val="003A77A9"/>
    <w:rsid w:val="003B0FC1"/>
    <w:rsid w:val="003B5EF0"/>
    <w:rsid w:val="003B6E80"/>
    <w:rsid w:val="003C31A2"/>
    <w:rsid w:val="003C3989"/>
    <w:rsid w:val="003C4726"/>
    <w:rsid w:val="003C5F63"/>
    <w:rsid w:val="003D3BED"/>
    <w:rsid w:val="003D495B"/>
    <w:rsid w:val="003E6C57"/>
    <w:rsid w:val="003F00E4"/>
    <w:rsid w:val="003F6A45"/>
    <w:rsid w:val="003F6C1A"/>
    <w:rsid w:val="00404149"/>
    <w:rsid w:val="004213D0"/>
    <w:rsid w:val="0043552F"/>
    <w:rsid w:val="004363C3"/>
    <w:rsid w:val="004465C3"/>
    <w:rsid w:val="0046006F"/>
    <w:rsid w:val="0046118F"/>
    <w:rsid w:val="00461BCE"/>
    <w:rsid w:val="004632E8"/>
    <w:rsid w:val="0046409E"/>
    <w:rsid w:val="0046631B"/>
    <w:rsid w:val="00466BE5"/>
    <w:rsid w:val="00473309"/>
    <w:rsid w:val="00476D01"/>
    <w:rsid w:val="004816FD"/>
    <w:rsid w:val="0048748D"/>
    <w:rsid w:val="00487D07"/>
    <w:rsid w:val="004903F9"/>
    <w:rsid w:val="00495849"/>
    <w:rsid w:val="004A10B5"/>
    <w:rsid w:val="004A1712"/>
    <w:rsid w:val="004A20AA"/>
    <w:rsid w:val="004A32F4"/>
    <w:rsid w:val="004B4866"/>
    <w:rsid w:val="004C3625"/>
    <w:rsid w:val="004C4EE3"/>
    <w:rsid w:val="004C681E"/>
    <w:rsid w:val="004E1C41"/>
    <w:rsid w:val="00504F44"/>
    <w:rsid w:val="005107E8"/>
    <w:rsid w:val="005126E6"/>
    <w:rsid w:val="00515450"/>
    <w:rsid w:val="005162B6"/>
    <w:rsid w:val="00516E15"/>
    <w:rsid w:val="00523BC8"/>
    <w:rsid w:val="00525B28"/>
    <w:rsid w:val="00527B96"/>
    <w:rsid w:val="005360CA"/>
    <w:rsid w:val="0054361C"/>
    <w:rsid w:val="00550830"/>
    <w:rsid w:val="0055583B"/>
    <w:rsid w:val="00561125"/>
    <w:rsid w:val="00561B75"/>
    <w:rsid w:val="00573386"/>
    <w:rsid w:val="00576CA7"/>
    <w:rsid w:val="00583F09"/>
    <w:rsid w:val="00586B0E"/>
    <w:rsid w:val="00586C44"/>
    <w:rsid w:val="00591965"/>
    <w:rsid w:val="005A0BD6"/>
    <w:rsid w:val="005A12F2"/>
    <w:rsid w:val="005A1850"/>
    <w:rsid w:val="005A71D1"/>
    <w:rsid w:val="005A73CF"/>
    <w:rsid w:val="005C40D6"/>
    <w:rsid w:val="005D0E9A"/>
    <w:rsid w:val="005D6168"/>
    <w:rsid w:val="005E0C91"/>
    <w:rsid w:val="005E0D31"/>
    <w:rsid w:val="005E1898"/>
    <w:rsid w:val="005F7F9C"/>
    <w:rsid w:val="00601C3C"/>
    <w:rsid w:val="0060482C"/>
    <w:rsid w:val="00605BE1"/>
    <w:rsid w:val="0062019B"/>
    <w:rsid w:val="0062288A"/>
    <w:rsid w:val="0062431B"/>
    <w:rsid w:val="0062464E"/>
    <w:rsid w:val="006257E6"/>
    <w:rsid w:val="006260D8"/>
    <w:rsid w:val="00631413"/>
    <w:rsid w:val="0063578B"/>
    <w:rsid w:val="006361E9"/>
    <w:rsid w:val="0065031F"/>
    <w:rsid w:val="00650695"/>
    <w:rsid w:val="006510B9"/>
    <w:rsid w:val="00654E0E"/>
    <w:rsid w:val="00656374"/>
    <w:rsid w:val="0065689C"/>
    <w:rsid w:val="00665C9D"/>
    <w:rsid w:val="00672D3A"/>
    <w:rsid w:val="00675D44"/>
    <w:rsid w:val="006769ED"/>
    <w:rsid w:val="006777BF"/>
    <w:rsid w:val="0068204E"/>
    <w:rsid w:val="006836CA"/>
    <w:rsid w:val="0069173E"/>
    <w:rsid w:val="00695D9A"/>
    <w:rsid w:val="006978AC"/>
    <w:rsid w:val="006A3AE1"/>
    <w:rsid w:val="006A4030"/>
    <w:rsid w:val="006A5438"/>
    <w:rsid w:val="006A5E7B"/>
    <w:rsid w:val="006A7F1E"/>
    <w:rsid w:val="006B0CB9"/>
    <w:rsid w:val="006B5434"/>
    <w:rsid w:val="006C3D04"/>
    <w:rsid w:val="006D182B"/>
    <w:rsid w:val="006D27BB"/>
    <w:rsid w:val="006D6600"/>
    <w:rsid w:val="006E33BD"/>
    <w:rsid w:val="006E7F3C"/>
    <w:rsid w:val="006F515E"/>
    <w:rsid w:val="00701934"/>
    <w:rsid w:val="007038FE"/>
    <w:rsid w:val="00713361"/>
    <w:rsid w:val="00716B7A"/>
    <w:rsid w:val="00716D19"/>
    <w:rsid w:val="007176C4"/>
    <w:rsid w:val="00720637"/>
    <w:rsid w:val="0072078A"/>
    <w:rsid w:val="00720E04"/>
    <w:rsid w:val="00722135"/>
    <w:rsid w:val="007337BC"/>
    <w:rsid w:val="00737A63"/>
    <w:rsid w:val="00742189"/>
    <w:rsid w:val="007538F3"/>
    <w:rsid w:val="007614EA"/>
    <w:rsid w:val="007627EA"/>
    <w:rsid w:val="00763162"/>
    <w:rsid w:val="007707E0"/>
    <w:rsid w:val="00777D30"/>
    <w:rsid w:val="00786B4D"/>
    <w:rsid w:val="00786E0F"/>
    <w:rsid w:val="00787249"/>
    <w:rsid w:val="00792D38"/>
    <w:rsid w:val="00796CAA"/>
    <w:rsid w:val="007971CD"/>
    <w:rsid w:val="007B0A85"/>
    <w:rsid w:val="007B20DD"/>
    <w:rsid w:val="007B31CB"/>
    <w:rsid w:val="007B5F7D"/>
    <w:rsid w:val="007C05FF"/>
    <w:rsid w:val="007C12C4"/>
    <w:rsid w:val="007C7C70"/>
    <w:rsid w:val="007D3342"/>
    <w:rsid w:val="007D5C7B"/>
    <w:rsid w:val="007D6F6E"/>
    <w:rsid w:val="007E2119"/>
    <w:rsid w:val="007E2646"/>
    <w:rsid w:val="007F4D89"/>
    <w:rsid w:val="008035EF"/>
    <w:rsid w:val="00806CCC"/>
    <w:rsid w:val="00813E0B"/>
    <w:rsid w:val="00817CDC"/>
    <w:rsid w:val="00830D8F"/>
    <w:rsid w:val="00847509"/>
    <w:rsid w:val="008504C6"/>
    <w:rsid w:val="00852B20"/>
    <w:rsid w:val="008844D4"/>
    <w:rsid w:val="008857EC"/>
    <w:rsid w:val="00886859"/>
    <w:rsid w:val="00886C87"/>
    <w:rsid w:val="00891DB3"/>
    <w:rsid w:val="00893540"/>
    <w:rsid w:val="008964C5"/>
    <w:rsid w:val="008A6D74"/>
    <w:rsid w:val="008A7F9B"/>
    <w:rsid w:val="008B1760"/>
    <w:rsid w:val="008B5327"/>
    <w:rsid w:val="008C33E7"/>
    <w:rsid w:val="008C40A8"/>
    <w:rsid w:val="008C55F2"/>
    <w:rsid w:val="008D17D8"/>
    <w:rsid w:val="008D1D6B"/>
    <w:rsid w:val="008D59B9"/>
    <w:rsid w:val="008E3533"/>
    <w:rsid w:val="008E35E7"/>
    <w:rsid w:val="008E4194"/>
    <w:rsid w:val="008F1CA1"/>
    <w:rsid w:val="008F25C5"/>
    <w:rsid w:val="009043D6"/>
    <w:rsid w:val="0091102D"/>
    <w:rsid w:val="00913B2C"/>
    <w:rsid w:val="00924B69"/>
    <w:rsid w:val="009262AD"/>
    <w:rsid w:val="00930359"/>
    <w:rsid w:val="00935A22"/>
    <w:rsid w:val="00941ADA"/>
    <w:rsid w:val="00942051"/>
    <w:rsid w:val="009444D3"/>
    <w:rsid w:val="00950943"/>
    <w:rsid w:val="00954303"/>
    <w:rsid w:val="009556B0"/>
    <w:rsid w:val="00962F3D"/>
    <w:rsid w:val="009656B2"/>
    <w:rsid w:val="0096787E"/>
    <w:rsid w:val="00970922"/>
    <w:rsid w:val="00971D17"/>
    <w:rsid w:val="00976BAE"/>
    <w:rsid w:val="00983A16"/>
    <w:rsid w:val="00985ABD"/>
    <w:rsid w:val="00991C75"/>
    <w:rsid w:val="0099663C"/>
    <w:rsid w:val="009A1D22"/>
    <w:rsid w:val="009B43B6"/>
    <w:rsid w:val="009B5206"/>
    <w:rsid w:val="009C001B"/>
    <w:rsid w:val="009C31C1"/>
    <w:rsid w:val="009C3EA7"/>
    <w:rsid w:val="009C4878"/>
    <w:rsid w:val="009C4BA8"/>
    <w:rsid w:val="009C7C42"/>
    <w:rsid w:val="009D385F"/>
    <w:rsid w:val="009E1995"/>
    <w:rsid w:val="009E1D98"/>
    <w:rsid w:val="009E391A"/>
    <w:rsid w:val="009F18EF"/>
    <w:rsid w:val="00A00597"/>
    <w:rsid w:val="00A01A58"/>
    <w:rsid w:val="00A06036"/>
    <w:rsid w:val="00A06732"/>
    <w:rsid w:val="00A1030B"/>
    <w:rsid w:val="00A20A2A"/>
    <w:rsid w:val="00A2428F"/>
    <w:rsid w:val="00A30575"/>
    <w:rsid w:val="00A316A6"/>
    <w:rsid w:val="00A31C9C"/>
    <w:rsid w:val="00A36AF9"/>
    <w:rsid w:val="00A4081F"/>
    <w:rsid w:val="00A41B0F"/>
    <w:rsid w:val="00A447B6"/>
    <w:rsid w:val="00A513B7"/>
    <w:rsid w:val="00A51D1E"/>
    <w:rsid w:val="00A52FDA"/>
    <w:rsid w:val="00A53CCE"/>
    <w:rsid w:val="00A61D91"/>
    <w:rsid w:val="00A67F0F"/>
    <w:rsid w:val="00A739E6"/>
    <w:rsid w:val="00A82C92"/>
    <w:rsid w:val="00A852D4"/>
    <w:rsid w:val="00A90C7A"/>
    <w:rsid w:val="00A9169F"/>
    <w:rsid w:val="00AA1988"/>
    <w:rsid w:val="00AA1E2D"/>
    <w:rsid w:val="00AA35CC"/>
    <w:rsid w:val="00AA7E82"/>
    <w:rsid w:val="00AB6214"/>
    <w:rsid w:val="00AB696C"/>
    <w:rsid w:val="00AC641F"/>
    <w:rsid w:val="00AD059E"/>
    <w:rsid w:val="00AD1638"/>
    <w:rsid w:val="00AD1D99"/>
    <w:rsid w:val="00AD20DB"/>
    <w:rsid w:val="00AD2282"/>
    <w:rsid w:val="00AD3779"/>
    <w:rsid w:val="00AD490C"/>
    <w:rsid w:val="00AE3962"/>
    <w:rsid w:val="00AE4AFA"/>
    <w:rsid w:val="00AE71C1"/>
    <w:rsid w:val="00AF103F"/>
    <w:rsid w:val="00AF33A3"/>
    <w:rsid w:val="00B047D4"/>
    <w:rsid w:val="00B07BB2"/>
    <w:rsid w:val="00B11C80"/>
    <w:rsid w:val="00B21E78"/>
    <w:rsid w:val="00B267DA"/>
    <w:rsid w:val="00B26E25"/>
    <w:rsid w:val="00B27805"/>
    <w:rsid w:val="00B31648"/>
    <w:rsid w:val="00B3674B"/>
    <w:rsid w:val="00B46C01"/>
    <w:rsid w:val="00B50406"/>
    <w:rsid w:val="00B53E2B"/>
    <w:rsid w:val="00B56629"/>
    <w:rsid w:val="00B60583"/>
    <w:rsid w:val="00B611DD"/>
    <w:rsid w:val="00B61B87"/>
    <w:rsid w:val="00B73A27"/>
    <w:rsid w:val="00B760D6"/>
    <w:rsid w:val="00B76A08"/>
    <w:rsid w:val="00B76CBE"/>
    <w:rsid w:val="00B8427C"/>
    <w:rsid w:val="00B87439"/>
    <w:rsid w:val="00B93A1A"/>
    <w:rsid w:val="00BA7039"/>
    <w:rsid w:val="00BB368B"/>
    <w:rsid w:val="00BC5A1F"/>
    <w:rsid w:val="00BD5DDB"/>
    <w:rsid w:val="00BE1627"/>
    <w:rsid w:val="00BE5A3E"/>
    <w:rsid w:val="00BF1974"/>
    <w:rsid w:val="00BF2841"/>
    <w:rsid w:val="00BF589F"/>
    <w:rsid w:val="00BF6FB0"/>
    <w:rsid w:val="00C006AD"/>
    <w:rsid w:val="00C02464"/>
    <w:rsid w:val="00C06ACA"/>
    <w:rsid w:val="00C06FAB"/>
    <w:rsid w:val="00C14E7A"/>
    <w:rsid w:val="00C23EDF"/>
    <w:rsid w:val="00C27A39"/>
    <w:rsid w:val="00C33F1C"/>
    <w:rsid w:val="00C37B1B"/>
    <w:rsid w:val="00C40E6E"/>
    <w:rsid w:val="00C54891"/>
    <w:rsid w:val="00C57C79"/>
    <w:rsid w:val="00C602D2"/>
    <w:rsid w:val="00C830CB"/>
    <w:rsid w:val="00C964BA"/>
    <w:rsid w:val="00C969FC"/>
    <w:rsid w:val="00C96F44"/>
    <w:rsid w:val="00CA0C79"/>
    <w:rsid w:val="00CB28ED"/>
    <w:rsid w:val="00CB4C45"/>
    <w:rsid w:val="00CD3506"/>
    <w:rsid w:val="00CD6710"/>
    <w:rsid w:val="00CE1F4D"/>
    <w:rsid w:val="00CF3073"/>
    <w:rsid w:val="00CF7BCF"/>
    <w:rsid w:val="00D011EE"/>
    <w:rsid w:val="00D16481"/>
    <w:rsid w:val="00D21B87"/>
    <w:rsid w:val="00D249E2"/>
    <w:rsid w:val="00D342BC"/>
    <w:rsid w:val="00D373AF"/>
    <w:rsid w:val="00D40568"/>
    <w:rsid w:val="00D427F7"/>
    <w:rsid w:val="00D435AA"/>
    <w:rsid w:val="00D462EF"/>
    <w:rsid w:val="00D50C57"/>
    <w:rsid w:val="00D53075"/>
    <w:rsid w:val="00D54215"/>
    <w:rsid w:val="00D55D62"/>
    <w:rsid w:val="00D578AE"/>
    <w:rsid w:val="00D61315"/>
    <w:rsid w:val="00D656DE"/>
    <w:rsid w:val="00D718C1"/>
    <w:rsid w:val="00D81EB3"/>
    <w:rsid w:val="00D835E0"/>
    <w:rsid w:val="00DA0C24"/>
    <w:rsid w:val="00DA65F5"/>
    <w:rsid w:val="00DB2ABE"/>
    <w:rsid w:val="00DB5D35"/>
    <w:rsid w:val="00DC1B9F"/>
    <w:rsid w:val="00DC2977"/>
    <w:rsid w:val="00DC6D2C"/>
    <w:rsid w:val="00DD3915"/>
    <w:rsid w:val="00DD61FF"/>
    <w:rsid w:val="00DE3345"/>
    <w:rsid w:val="00DE5F60"/>
    <w:rsid w:val="00DF0B98"/>
    <w:rsid w:val="00DF5C74"/>
    <w:rsid w:val="00E01ECD"/>
    <w:rsid w:val="00E04609"/>
    <w:rsid w:val="00E14193"/>
    <w:rsid w:val="00E20F1D"/>
    <w:rsid w:val="00E23EB5"/>
    <w:rsid w:val="00E274EC"/>
    <w:rsid w:val="00E554A8"/>
    <w:rsid w:val="00E569A9"/>
    <w:rsid w:val="00E600FB"/>
    <w:rsid w:val="00E63CEE"/>
    <w:rsid w:val="00E66BCE"/>
    <w:rsid w:val="00E7363C"/>
    <w:rsid w:val="00E779E3"/>
    <w:rsid w:val="00E80033"/>
    <w:rsid w:val="00E87B70"/>
    <w:rsid w:val="00E916AE"/>
    <w:rsid w:val="00E9399B"/>
    <w:rsid w:val="00EA1F48"/>
    <w:rsid w:val="00EA7474"/>
    <w:rsid w:val="00EC582D"/>
    <w:rsid w:val="00ED21D8"/>
    <w:rsid w:val="00ED2ACC"/>
    <w:rsid w:val="00ED52C9"/>
    <w:rsid w:val="00EE20E5"/>
    <w:rsid w:val="00EE242E"/>
    <w:rsid w:val="00EE67E6"/>
    <w:rsid w:val="00EE7976"/>
    <w:rsid w:val="00EF4454"/>
    <w:rsid w:val="00EF5AF0"/>
    <w:rsid w:val="00F01394"/>
    <w:rsid w:val="00F039FC"/>
    <w:rsid w:val="00F07645"/>
    <w:rsid w:val="00F100EC"/>
    <w:rsid w:val="00F32A74"/>
    <w:rsid w:val="00F43117"/>
    <w:rsid w:val="00F43C76"/>
    <w:rsid w:val="00F45E22"/>
    <w:rsid w:val="00F5231D"/>
    <w:rsid w:val="00F528BC"/>
    <w:rsid w:val="00F532CE"/>
    <w:rsid w:val="00F57BE0"/>
    <w:rsid w:val="00F647B3"/>
    <w:rsid w:val="00F64D78"/>
    <w:rsid w:val="00F77112"/>
    <w:rsid w:val="00F9078E"/>
    <w:rsid w:val="00F91F83"/>
    <w:rsid w:val="00F94233"/>
    <w:rsid w:val="00FA452A"/>
    <w:rsid w:val="00FB107F"/>
    <w:rsid w:val="00FB242B"/>
    <w:rsid w:val="00FC265E"/>
    <w:rsid w:val="00FC7671"/>
    <w:rsid w:val="00FC77A9"/>
    <w:rsid w:val="00FD2CA4"/>
    <w:rsid w:val="00FD342E"/>
    <w:rsid w:val="00FD52A6"/>
    <w:rsid w:val="00FE0834"/>
    <w:rsid w:val="00FF2A58"/>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8429"/>
  <w15:docId w15:val="{AA2C9AB0-504A-40FA-9D59-B3E4C994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5F42-4666-4263-BCB8-9E977DEA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merve.akgul</cp:lastModifiedBy>
  <cp:revision>2</cp:revision>
  <cp:lastPrinted>2016-03-07T07:33:00Z</cp:lastPrinted>
  <dcterms:created xsi:type="dcterms:W3CDTF">2017-05-05T07:27:00Z</dcterms:created>
  <dcterms:modified xsi:type="dcterms:W3CDTF">2017-05-05T07:27:00Z</dcterms:modified>
</cp:coreProperties>
</file>