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D62" w:rsidRPr="009529DA" w:rsidRDefault="00477D62" w:rsidP="00B50CC1">
                            <w:pPr>
                              <w:jc w:val="center"/>
                              <w:rPr>
                                <w:b/>
                                <w:sz w:val="40"/>
                                <w:szCs w:val="40"/>
                              </w:rPr>
                            </w:pPr>
                            <w:proofErr w:type="spellStart"/>
                            <w:r>
                              <w:rPr>
                                <w:b/>
                                <w:sz w:val="40"/>
                                <w:szCs w:val="40"/>
                              </w:rPr>
                              <w:t>Labor</w:t>
                            </w:r>
                            <w:proofErr w:type="spellEnd"/>
                            <w:r>
                              <w:rPr>
                                <w:b/>
                                <w:sz w:val="40"/>
                                <w:szCs w:val="40"/>
                              </w:rPr>
                              <w:t xml:space="preserve"> Market Outlook</w:t>
                            </w:r>
                            <w:r w:rsidRPr="009529DA">
                              <w:rPr>
                                <w:b/>
                                <w:sz w:val="40"/>
                                <w:szCs w:val="40"/>
                              </w:rPr>
                              <w:t>:</w:t>
                            </w:r>
                          </w:p>
                          <w:p w:rsidR="00477D62" w:rsidRPr="009529DA" w:rsidRDefault="00477D62" w:rsidP="00B50CC1">
                            <w:pPr>
                              <w:jc w:val="center"/>
                              <w:rPr>
                                <w:b/>
                                <w:sz w:val="40"/>
                                <w:szCs w:val="40"/>
                              </w:rPr>
                            </w:pPr>
                            <w:proofErr w:type="spellStart"/>
                            <w:r>
                              <w:rPr>
                                <w:b/>
                                <w:sz w:val="40"/>
                                <w:szCs w:val="40"/>
                              </w:rPr>
                              <w:t>February</w:t>
                            </w:r>
                            <w:proofErr w:type="spellEnd"/>
                            <w:r>
                              <w:rPr>
                                <w:b/>
                                <w:sz w:val="40"/>
                                <w:szCs w:val="40"/>
                              </w:rPr>
                              <w:t xml:space="preserve"> 2017</w:t>
                            </w:r>
                          </w:p>
                          <w:p w:rsidR="00477D62" w:rsidRPr="00526178" w:rsidRDefault="00477D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477D62" w:rsidRPr="009529DA" w:rsidRDefault="00477D62" w:rsidP="00B50CC1">
                      <w:pPr>
                        <w:jc w:val="center"/>
                        <w:rPr>
                          <w:b/>
                          <w:sz w:val="40"/>
                          <w:szCs w:val="40"/>
                        </w:rPr>
                      </w:pPr>
                      <w:r>
                        <w:rPr>
                          <w:b/>
                          <w:sz w:val="40"/>
                          <w:szCs w:val="40"/>
                        </w:rPr>
                        <w:t>Labor Market Outlook</w:t>
                      </w:r>
                      <w:r w:rsidRPr="009529DA">
                        <w:rPr>
                          <w:b/>
                          <w:sz w:val="40"/>
                          <w:szCs w:val="40"/>
                        </w:rPr>
                        <w:t>:</w:t>
                      </w:r>
                    </w:p>
                    <w:p w:rsidR="00477D62" w:rsidRPr="009529DA" w:rsidRDefault="00477D62" w:rsidP="00B50CC1">
                      <w:pPr>
                        <w:jc w:val="center"/>
                        <w:rPr>
                          <w:b/>
                          <w:sz w:val="40"/>
                          <w:szCs w:val="40"/>
                        </w:rPr>
                      </w:pPr>
                      <w:r>
                        <w:rPr>
                          <w:b/>
                          <w:sz w:val="40"/>
                          <w:szCs w:val="40"/>
                        </w:rPr>
                        <w:t>February 2017</w:t>
                      </w:r>
                    </w:p>
                    <w:p w:rsidR="00477D62" w:rsidRPr="00526178" w:rsidRDefault="00477D62"/>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5655311</wp:posOffset>
                </wp:positionH>
                <wp:positionV relativeFrom="paragraph">
                  <wp:posOffset>134620</wp:posOffset>
                </wp:positionV>
                <wp:extent cx="1143000"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D62" w:rsidRDefault="00477D62" w:rsidP="00C24EA0">
                            <w:pPr>
                              <w:rPr>
                                <w:color w:val="FFFFFF"/>
                                <w:sz w:val="22"/>
                                <w:szCs w:val="22"/>
                              </w:rPr>
                            </w:pPr>
                            <w:r w:rsidRPr="00AF5A90">
                              <w:rPr>
                                <w:color w:val="FFFFFF"/>
                                <w:sz w:val="22"/>
                                <w:szCs w:val="22"/>
                              </w:rPr>
                              <w:t xml:space="preserve"> </w:t>
                            </w:r>
                            <w:r>
                              <w:rPr>
                                <w:color w:val="FFFFFF"/>
                                <w:sz w:val="22"/>
                                <w:szCs w:val="22"/>
                              </w:rPr>
                              <w:t xml:space="preserve">15 </w:t>
                            </w:r>
                            <w:proofErr w:type="spellStart"/>
                            <w:r>
                              <w:rPr>
                                <w:color w:val="FFFFFF"/>
                                <w:sz w:val="22"/>
                                <w:szCs w:val="22"/>
                              </w:rPr>
                              <w:t>February</w:t>
                            </w:r>
                            <w:proofErr w:type="spellEnd"/>
                            <w:r>
                              <w:rPr>
                                <w:color w:val="FFFFFF"/>
                                <w:sz w:val="22"/>
                                <w:szCs w:val="22"/>
                              </w:rPr>
                              <w:t xml:space="preserve"> 2017</w:t>
                            </w:r>
                          </w:p>
                          <w:p w:rsidR="00477D62" w:rsidRPr="00AF5A90" w:rsidRDefault="00477D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 id="Text Box 4" o:spid="_x0000_s1027" type="#_x0000_t202" style="position:absolute;margin-left:445.3pt;margin-top:10.6pt;width:90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" stroked="f">
                <v:fill opacity="0"/>
                <v:textbox inset="0,0,0,0">
                  <w:txbxContent>
                    <w:p w:rsidR="00477D62" w:rsidRDefault="00477D62" w:rsidP="00C24EA0">
                      <w:pPr>
                        <w:rPr>
                          <w:color w:val="FFFFFF"/>
                          <w:sz w:val="22"/>
                          <w:szCs w:val="22"/>
                        </w:rPr>
                      </w:pPr>
                      <w:r w:rsidRPr="00AF5A90">
                        <w:rPr>
                          <w:color w:val="FFFFFF"/>
                          <w:sz w:val="22"/>
                          <w:szCs w:val="22"/>
                        </w:rPr>
                        <w:t xml:space="preserve"> </w:t>
                      </w:r>
                      <w:r>
                        <w:rPr>
                          <w:color w:val="FFFFFF"/>
                          <w:sz w:val="22"/>
                          <w:szCs w:val="22"/>
                        </w:rPr>
                        <w:t>15 February 2017</w:t>
                      </w:r>
                    </w:p>
                    <w:p w:rsidR="00477D62" w:rsidRPr="00AF5A90" w:rsidRDefault="00477D62"/>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382D43" w:rsidRDefault="005B2B80" w:rsidP="000132F9">
      <w:pPr>
        <w:spacing w:before="120"/>
        <w:jc w:val="center"/>
        <w:rPr>
          <w:rFonts w:ascii="Arial" w:hAnsi="Arial" w:cs="Arial"/>
          <w:b/>
          <w:bCs/>
          <w:lang w:val="en-US"/>
        </w:rPr>
      </w:pPr>
      <w:r w:rsidRPr="00382D43">
        <w:rPr>
          <w:rFonts w:ascii="Arial" w:hAnsi="Arial" w:cs="Arial"/>
          <w:b/>
          <w:bCs/>
          <w:lang w:val="en-US"/>
        </w:rPr>
        <w:t>UNEMPLOYMENT CONTINUES TO INCREASE</w:t>
      </w:r>
    </w:p>
    <w:p w:rsidR="00627BF7" w:rsidRPr="00382D43" w:rsidRDefault="00627BF7" w:rsidP="00627BF7">
      <w:pPr>
        <w:spacing w:before="120"/>
        <w:jc w:val="center"/>
        <w:rPr>
          <w:rFonts w:ascii="Arial" w:hAnsi="Arial" w:cs="Arial"/>
          <w:b/>
          <w:bCs/>
          <w:sz w:val="20"/>
          <w:szCs w:val="20"/>
          <w:lang w:val="en-US"/>
        </w:rPr>
      </w:pPr>
      <w:r w:rsidRPr="00382D43">
        <w:rPr>
          <w:rFonts w:ascii="Arial" w:hAnsi="Arial" w:cs="Arial"/>
          <w:b/>
          <w:bCs/>
          <w:sz w:val="20"/>
          <w:szCs w:val="20"/>
          <w:lang w:val="en-US"/>
        </w:rPr>
        <w:t xml:space="preserve">Seyfettin </w:t>
      </w:r>
      <w:proofErr w:type="spellStart"/>
      <w:r w:rsidRPr="00382D43">
        <w:rPr>
          <w:rFonts w:ascii="Arial" w:hAnsi="Arial" w:cs="Arial"/>
          <w:b/>
          <w:bCs/>
          <w:sz w:val="20"/>
          <w:szCs w:val="20"/>
          <w:lang w:val="en-US"/>
        </w:rPr>
        <w:t>Gürsel</w:t>
      </w:r>
      <w:proofErr w:type="spellEnd"/>
      <w:r w:rsidRPr="00382D43">
        <w:rPr>
          <w:rStyle w:val="FootnoteReference"/>
          <w:rFonts w:ascii="Arial" w:hAnsi="Arial" w:cs="Arial"/>
          <w:b/>
          <w:bCs/>
          <w:sz w:val="20"/>
          <w:szCs w:val="20"/>
          <w:lang w:val="en-US"/>
        </w:rPr>
        <w:footnoteReference w:customMarkFollows="1" w:id="1"/>
        <w:t>*</w:t>
      </w:r>
      <w:r w:rsidR="00F4670B" w:rsidRPr="00382D43">
        <w:rPr>
          <w:rFonts w:ascii="Arial" w:hAnsi="Arial" w:cs="Arial"/>
          <w:b/>
          <w:bCs/>
          <w:sz w:val="20"/>
          <w:szCs w:val="20"/>
          <w:lang w:val="en-US"/>
        </w:rPr>
        <w:t xml:space="preserve"> </w:t>
      </w:r>
      <w:proofErr w:type="spellStart"/>
      <w:r w:rsidR="0036101B" w:rsidRPr="00382D43">
        <w:rPr>
          <w:rFonts w:ascii="Arial" w:hAnsi="Arial" w:cs="Arial"/>
          <w:b/>
          <w:bCs/>
          <w:sz w:val="20"/>
          <w:szCs w:val="20"/>
          <w:lang w:val="en-US"/>
        </w:rPr>
        <w:t>Gökçe</w:t>
      </w:r>
      <w:proofErr w:type="spellEnd"/>
      <w:r w:rsidR="0036101B" w:rsidRPr="00382D43">
        <w:rPr>
          <w:rFonts w:ascii="Arial" w:hAnsi="Arial" w:cs="Arial"/>
          <w:b/>
          <w:bCs/>
          <w:sz w:val="20"/>
          <w:szCs w:val="20"/>
          <w:lang w:val="en-US"/>
        </w:rPr>
        <w:t xml:space="preserve"> Uysal</w:t>
      </w:r>
      <w:r w:rsidRPr="00382D43">
        <w:rPr>
          <w:rStyle w:val="FootnoteReference"/>
          <w:rFonts w:ascii="Arial" w:hAnsi="Arial" w:cs="Arial"/>
          <w:b/>
          <w:bCs/>
          <w:sz w:val="20"/>
          <w:szCs w:val="20"/>
          <w:lang w:val="en-US"/>
        </w:rPr>
        <w:footnoteReference w:customMarkFollows="1" w:id="2"/>
        <w:sym w:font="Symbol" w:char="F02A"/>
      </w:r>
      <w:r w:rsidRPr="00382D43">
        <w:rPr>
          <w:rStyle w:val="FootnoteReference"/>
          <w:rFonts w:ascii="Arial" w:hAnsi="Arial" w:cs="Arial"/>
          <w:b/>
          <w:bCs/>
          <w:sz w:val="20"/>
          <w:szCs w:val="20"/>
          <w:lang w:val="en-US"/>
        </w:rPr>
        <w:sym w:font="Symbol" w:char="F02A"/>
      </w:r>
      <w:r w:rsidRPr="00382D43">
        <w:rPr>
          <w:rFonts w:ascii="Arial" w:hAnsi="Arial" w:cs="Arial"/>
          <w:b/>
          <w:bCs/>
          <w:sz w:val="20"/>
          <w:szCs w:val="20"/>
          <w:lang w:val="en-US"/>
        </w:rPr>
        <w:t xml:space="preserve">  </w:t>
      </w:r>
      <w:r w:rsidR="0007046C">
        <w:rPr>
          <w:rFonts w:ascii="Arial" w:hAnsi="Arial" w:cs="Arial"/>
          <w:b/>
          <w:bCs/>
          <w:sz w:val="20"/>
          <w:szCs w:val="20"/>
          <w:lang w:val="en-US"/>
        </w:rPr>
        <w:t>and</w:t>
      </w:r>
      <w:r w:rsidRPr="00382D43">
        <w:rPr>
          <w:rFonts w:ascii="Arial" w:hAnsi="Arial" w:cs="Arial"/>
          <w:b/>
          <w:bCs/>
          <w:sz w:val="20"/>
          <w:szCs w:val="20"/>
          <w:lang w:val="en-US"/>
        </w:rPr>
        <w:t xml:space="preserve"> </w:t>
      </w:r>
      <w:r w:rsidR="000C05D7" w:rsidRPr="00382D43">
        <w:rPr>
          <w:rFonts w:ascii="Arial" w:hAnsi="Arial" w:cs="Arial"/>
          <w:b/>
          <w:bCs/>
          <w:sz w:val="20"/>
          <w:szCs w:val="20"/>
          <w:lang w:val="en-US"/>
        </w:rPr>
        <w:t xml:space="preserve">Selin </w:t>
      </w:r>
      <w:proofErr w:type="spellStart"/>
      <w:r w:rsidR="000C05D7" w:rsidRPr="00382D43">
        <w:rPr>
          <w:rFonts w:ascii="Arial" w:hAnsi="Arial" w:cs="Arial"/>
          <w:b/>
          <w:bCs/>
          <w:sz w:val="20"/>
          <w:szCs w:val="20"/>
          <w:lang w:val="en-US"/>
        </w:rPr>
        <w:t>Köksal</w:t>
      </w:r>
      <w:proofErr w:type="spellEnd"/>
      <w:r w:rsidRPr="00382D43">
        <w:rPr>
          <w:rStyle w:val="FootnoteReference"/>
          <w:rFonts w:ascii="Arial" w:hAnsi="Arial" w:cs="Arial"/>
          <w:b/>
          <w:bCs/>
          <w:sz w:val="20"/>
          <w:szCs w:val="20"/>
          <w:lang w:val="en-US"/>
        </w:rPr>
        <w:t xml:space="preserve"> </w:t>
      </w:r>
      <w:r w:rsidRPr="00382D43">
        <w:rPr>
          <w:rStyle w:val="FootnoteReference"/>
          <w:rFonts w:ascii="Arial" w:hAnsi="Arial" w:cs="Arial"/>
          <w:b/>
          <w:bCs/>
          <w:sz w:val="20"/>
          <w:szCs w:val="20"/>
          <w:lang w:val="en-US"/>
        </w:rPr>
        <w:footnoteReference w:customMarkFollows="1" w:id="3"/>
        <w:sym w:font="Symbol" w:char="F02A"/>
      </w:r>
      <w:r w:rsidRPr="00382D43">
        <w:rPr>
          <w:rStyle w:val="FootnoteReference"/>
          <w:rFonts w:ascii="Arial" w:hAnsi="Arial" w:cs="Arial"/>
          <w:b/>
          <w:bCs/>
          <w:sz w:val="20"/>
          <w:szCs w:val="20"/>
          <w:lang w:val="en-US"/>
        </w:rPr>
        <w:sym w:font="Symbol" w:char="F02A"/>
      </w:r>
      <w:r w:rsidRPr="00382D43">
        <w:rPr>
          <w:rStyle w:val="FootnoteReference"/>
          <w:rFonts w:ascii="Arial" w:hAnsi="Arial" w:cs="Arial"/>
          <w:b/>
          <w:bCs/>
          <w:sz w:val="20"/>
          <w:szCs w:val="20"/>
          <w:lang w:val="en-US"/>
        </w:rPr>
        <w:sym w:font="Symbol" w:char="F02A"/>
      </w:r>
    </w:p>
    <w:p w:rsidR="00DC4633" w:rsidRPr="00382D43" w:rsidRDefault="00DC4633" w:rsidP="00223B63">
      <w:pPr>
        <w:jc w:val="center"/>
        <w:rPr>
          <w:rFonts w:ascii="Arial" w:hAnsi="Arial" w:cs="Arial"/>
          <w:b/>
          <w:bCs/>
          <w:sz w:val="20"/>
          <w:szCs w:val="20"/>
          <w:lang w:val="en-US"/>
        </w:rPr>
      </w:pPr>
    </w:p>
    <w:p w:rsidR="00667FE8" w:rsidRPr="00382D43" w:rsidRDefault="005B2B80" w:rsidP="00223B63">
      <w:pPr>
        <w:jc w:val="center"/>
        <w:rPr>
          <w:rFonts w:ascii="Arial" w:hAnsi="Arial" w:cs="Arial"/>
          <w:b/>
          <w:bCs/>
          <w:sz w:val="20"/>
          <w:szCs w:val="20"/>
          <w:lang w:val="en-US"/>
        </w:rPr>
      </w:pPr>
      <w:r w:rsidRPr="00382D43">
        <w:rPr>
          <w:rFonts w:ascii="Arial" w:hAnsi="Arial" w:cs="Arial"/>
          <w:b/>
          <w:bCs/>
          <w:sz w:val="20"/>
          <w:szCs w:val="20"/>
          <w:lang w:val="en-US"/>
        </w:rPr>
        <w:t>Executive Summary</w:t>
      </w:r>
    </w:p>
    <w:p w:rsidR="00667FE8" w:rsidRPr="00382D43" w:rsidRDefault="00667FE8" w:rsidP="00A153B7">
      <w:pPr>
        <w:jc w:val="both"/>
        <w:rPr>
          <w:rFonts w:ascii="Arial" w:hAnsi="Arial" w:cs="Arial"/>
          <w:color w:val="FF0000"/>
          <w:sz w:val="20"/>
          <w:szCs w:val="20"/>
          <w:lang w:val="en-US"/>
        </w:rPr>
      </w:pPr>
    </w:p>
    <w:p w:rsidR="00452948" w:rsidRPr="00382D43" w:rsidRDefault="00477D62" w:rsidP="00D6029A">
      <w:pPr>
        <w:jc w:val="both"/>
        <w:rPr>
          <w:rFonts w:ascii="Arial" w:hAnsi="Arial" w:cs="Arial"/>
          <w:sz w:val="20"/>
          <w:szCs w:val="20"/>
          <w:lang w:val="en-US"/>
        </w:rPr>
      </w:pPr>
      <w:bookmarkStart w:id="0" w:name="_GoBack"/>
      <w:r w:rsidRPr="00382D43">
        <w:rPr>
          <w:rFonts w:ascii="Arial" w:hAnsi="Arial" w:cs="Arial"/>
          <w:sz w:val="20"/>
          <w:szCs w:val="20"/>
          <w:lang w:val="en-US"/>
        </w:rPr>
        <w:t>Seasonally adjusted labor market data show that nonagricultural unemployment rate increased by 0.2 points and reached 14.1 percent in the period of November 2016</w:t>
      </w:r>
      <w:r w:rsidR="003E1224" w:rsidRPr="00382D43">
        <w:rPr>
          <w:rFonts w:ascii="Arial" w:hAnsi="Arial" w:cs="Arial"/>
          <w:sz w:val="20"/>
          <w:szCs w:val="20"/>
          <w:lang w:val="en-US"/>
        </w:rPr>
        <w:t xml:space="preserve">. </w:t>
      </w:r>
      <w:r w:rsidRPr="00382D43">
        <w:rPr>
          <w:rFonts w:ascii="Arial" w:hAnsi="Arial" w:cs="Arial"/>
          <w:sz w:val="20"/>
          <w:szCs w:val="20"/>
          <w:lang w:val="en-US"/>
        </w:rPr>
        <w:t xml:space="preserve">The increase in employment </w:t>
      </w:r>
      <w:r w:rsidR="00A93DC0" w:rsidRPr="00382D43">
        <w:rPr>
          <w:rFonts w:ascii="Arial" w:hAnsi="Arial" w:cs="Arial"/>
          <w:sz w:val="20"/>
          <w:szCs w:val="20"/>
          <w:lang w:val="en-US"/>
        </w:rPr>
        <w:t>remained limited during the period of November 2016.  The number of people employed in agriculture, construction, services and industry increased by 5 thousand, 9 thousand, 21 thousand and 34 thousand, respectively. On the other hand, the nonagricultural labor force increased by 135 thousand and reached 25 million 710 thousand while the number of people employed in non-agricultural sectors grew by 65 thousand and increased to 22 million 85 thousand</w:t>
      </w:r>
      <w:r w:rsidR="00DA2B9D" w:rsidRPr="00382D43">
        <w:rPr>
          <w:rFonts w:ascii="Arial" w:hAnsi="Arial" w:cs="Arial"/>
          <w:sz w:val="20"/>
          <w:szCs w:val="20"/>
          <w:lang w:val="en-US"/>
        </w:rPr>
        <w:t>.</w:t>
      </w:r>
      <w:r w:rsidR="008439A9" w:rsidRPr="00382D43">
        <w:rPr>
          <w:rFonts w:ascii="Arial" w:hAnsi="Arial" w:cs="Arial"/>
          <w:sz w:val="20"/>
          <w:szCs w:val="20"/>
          <w:lang w:val="en-US"/>
        </w:rPr>
        <w:t xml:space="preserve"> As a result, the number of non-agricultural unemployed increased by 70 thousand and reached 3 million 625 thousand. </w:t>
      </w:r>
      <w:proofErr w:type="spellStart"/>
      <w:r w:rsidR="008439A9" w:rsidRPr="00382D43">
        <w:rPr>
          <w:rFonts w:ascii="Arial" w:hAnsi="Arial" w:cs="Arial"/>
          <w:sz w:val="20"/>
          <w:szCs w:val="20"/>
          <w:lang w:val="en-US"/>
        </w:rPr>
        <w:t>Betam’s</w:t>
      </w:r>
      <w:proofErr w:type="spellEnd"/>
      <w:r w:rsidR="008439A9" w:rsidRPr="00382D43">
        <w:rPr>
          <w:rFonts w:ascii="Arial" w:hAnsi="Arial" w:cs="Arial"/>
          <w:sz w:val="20"/>
          <w:szCs w:val="20"/>
          <w:lang w:val="en-US"/>
        </w:rPr>
        <w:t xml:space="preserve"> forecasting model predicts that the non-agricultural unemployment will remain constant at 14,1 percent level in the period of </w:t>
      </w:r>
      <w:r w:rsidR="00A74ED6">
        <w:rPr>
          <w:rFonts w:ascii="Arial" w:hAnsi="Arial" w:cs="Arial"/>
          <w:sz w:val="20"/>
          <w:szCs w:val="20"/>
          <w:lang w:val="en-US"/>
        </w:rPr>
        <w:t>December</w:t>
      </w:r>
      <w:r w:rsidR="00552486">
        <w:rPr>
          <w:rFonts w:ascii="Arial" w:hAnsi="Arial" w:cs="Arial"/>
          <w:sz w:val="20"/>
          <w:szCs w:val="20"/>
          <w:lang w:val="en-US"/>
        </w:rPr>
        <w:t xml:space="preserve"> 2016</w:t>
      </w:r>
      <w:r w:rsidR="008439A9" w:rsidRPr="00382D43">
        <w:rPr>
          <w:rFonts w:ascii="Arial" w:hAnsi="Arial" w:cs="Arial"/>
          <w:sz w:val="20"/>
          <w:szCs w:val="20"/>
          <w:lang w:val="en-US"/>
        </w:rPr>
        <w:t xml:space="preserve">. </w:t>
      </w:r>
    </w:p>
    <w:bookmarkEnd w:id="0"/>
    <w:p w:rsidR="009B7EDA" w:rsidRPr="00382D43" w:rsidRDefault="009B7EDA" w:rsidP="00D6029A">
      <w:pPr>
        <w:jc w:val="both"/>
        <w:rPr>
          <w:rFonts w:ascii="Arial" w:hAnsi="Arial" w:cs="Arial"/>
          <w:bCs/>
          <w:sz w:val="18"/>
          <w:szCs w:val="18"/>
          <w:lang w:val="en-US"/>
        </w:rPr>
      </w:pPr>
    </w:p>
    <w:p w:rsidR="00312F38" w:rsidRPr="00382D43" w:rsidRDefault="00477D62" w:rsidP="00224A7B">
      <w:pPr>
        <w:rPr>
          <w:rFonts w:ascii="Arial" w:hAnsi="Arial" w:cs="Arial"/>
          <w:b/>
          <w:bCs/>
          <w:sz w:val="22"/>
          <w:szCs w:val="22"/>
          <w:lang w:val="en-US"/>
        </w:rPr>
      </w:pPr>
      <w:r w:rsidRPr="00382D43">
        <w:rPr>
          <w:rFonts w:ascii="Arial" w:hAnsi="Arial" w:cs="Arial"/>
          <w:b/>
          <w:bCs/>
          <w:sz w:val="22"/>
          <w:szCs w:val="22"/>
          <w:lang w:val="en-US"/>
        </w:rPr>
        <w:t>Non-agricultural unemployment continues to increase</w:t>
      </w:r>
    </w:p>
    <w:p w:rsidR="00F35782" w:rsidRPr="00382D43" w:rsidRDefault="00F35782" w:rsidP="00224A7B">
      <w:pPr>
        <w:rPr>
          <w:rFonts w:ascii="Arial" w:hAnsi="Arial" w:cs="Arial"/>
          <w:b/>
          <w:bCs/>
          <w:color w:val="FF0000"/>
          <w:sz w:val="20"/>
          <w:szCs w:val="20"/>
          <w:highlight w:val="yellow"/>
          <w:lang w:val="en-US"/>
        </w:rPr>
      </w:pPr>
    </w:p>
    <w:p w:rsidR="008439A9" w:rsidRPr="00382D43" w:rsidRDefault="008439A9" w:rsidP="008439A9">
      <w:pPr>
        <w:jc w:val="both"/>
        <w:rPr>
          <w:rFonts w:ascii="Arial" w:hAnsi="Arial" w:cs="Arial"/>
          <w:sz w:val="20"/>
          <w:szCs w:val="20"/>
          <w:lang w:val="en-US"/>
        </w:rPr>
      </w:pPr>
      <w:r w:rsidRPr="00382D43">
        <w:rPr>
          <w:rFonts w:ascii="Arial" w:hAnsi="Arial" w:cs="Arial"/>
          <w:sz w:val="20"/>
          <w:szCs w:val="20"/>
          <w:lang w:val="en-US"/>
        </w:rPr>
        <w:t>According to the seasonally adjusted labor market data, non-agricultural labor force increased by 135 thousand and reached 25 million 710 thousand while non-agricultural employment increased 65 thousand and reached 22 million 85 thousand compared to the period of October 2016 (</w:t>
      </w:r>
      <w:r w:rsidRPr="00382D43">
        <w:rPr>
          <w:rFonts w:ascii="Arial" w:hAnsi="Arial" w:cs="Arial"/>
          <w:sz w:val="20"/>
          <w:szCs w:val="20"/>
          <w:lang w:val="en-US"/>
        </w:rPr>
        <w:fldChar w:fldCharType="begin"/>
      </w:r>
      <w:r w:rsidRPr="00382D43">
        <w:rPr>
          <w:rFonts w:ascii="Arial" w:hAnsi="Arial" w:cs="Arial"/>
          <w:sz w:val="20"/>
          <w:szCs w:val="20"/>
          <w:lang w:val="en-US"/>
        </w:rPr>
        <w:instrText xml:space="preserve"> REF _Ref472412190 \h  \* MERGEFORMAT </w:instrText>
      </w:r>
      <w:r w:rsidRPr="00382D43">
        <w:rPr>
          <w:rFonts w:ascii="Arial" w:hAnsi="Arial" w:cs="Arial"/>
          <w:sz w:val="20"/>
          <w:szCs w:val="20"/>
          <w:lang w:val="en-US"/>
        </w:rPr>
      </w:r>
      <w:r w:rsidRPr="00382D43">
        <w:rPr>
          <w:rFonts w:ascii="Arial" w:hAnsi="Arial" w:cs="Arial"/>
          <w:sz w:val="20"/>
          <w:szCs w:val="20"/>
          <w:lang w:val="en-US"/>
        </w:rPr>
        <w:fldChar w:fldCharType="separate"/>
      </w:r>
      <w:r w:rsidRPr="00382D43">
        <w:rPr>
          <w:rFonts w:ascii="Arial" w:hAnsi="Arial" w:cs="Arial"/>
          <w:sz w:val="20"/>
          <w:szCs w:val="20"/>
          <w:lang w:val="en-US"/>
        </w:rPr>
        <w:t>Figure 1</w:t>
      </w:r>
      <w:r w:rsidRPr="00382D43">
        <w:rPr>
          <w:rFonts w:ascii="Arial" w:hAnsi="Arial" w:cs="Arial"/>
          <w:sz w:val="20"/>
          <w:szCs w:val="20"/>
          <w:lang w:val="en-US"/>
        </w:rPr>
        <w:fldChar w:fldCharType="end"/>
      </w:r>
      <w:r w:rsidRPr="00382D43">
        <w:rPr>
          <w:rFonts w:ascii="Arial" w:hAnsi="Arial" w:cs="Arial"/>
          <w:sz w:val="20"/>
          <w:szCs w:val="20"/>
          <w:lang w:val="en-US"/>
        </w:rPr>
        <w:t>,</w:t>
      </w:r>
      <w:r w:rsidRPr="00382D43">
        <w:rPr>
          <w:rFonts w:ascii="Arial" w:hAnsi="Arial" w:cs="Arial"/>
          <w:sz w:val="20"/>
          <w:szCs w:val="20"/>
          <w:lang w:val="en-US"/>
        </w:rPr>
        <w:fldChar w:fldCharType="begin"/>
      </w:r>
      <w:r w:rsidRPr="00382D43">
        <w:rPr>
          <w:rFonts w:ascii="Arial" w:hAnsi="Arial" w:cs="Arial"/>
          <w:sz w:val="20"/>
          <w:szCs w:val="20"/>
          <w:lang w:val="en-US"/>
        </w:rPr>
        <w:instrText xml:space="preserve"> REF _Ref474941597 \h  \* MERGEFORMAT </w:instrText>
      </w:r>
      <w:r w:rsidRPr="00382D43">
        <w:rPr>
          <w:rFonts w:ascii="Arial" w:hAnsi="Arial" w:cs="Arial"/>
          <w:sz w:val="20"/>
          <w:szCs w:val="20"/>
          <w:lang w:val="en-US"/>
        </w:rPr>
      </w:r>
      <w:r w:rsidRPr="00382D43">
        <w:rPr>
          <w:rFonts w:ascii="Arial" w:hAnsi="Arial" w:cs="Arial"/>
          <w:sz w:val="20"/>
          <w:szCs w:val="20"/>
          <w:lang w:val="en-US"/>
        </w:rPr>
        <w:fldChar w:fldCharType="separate"/>
      </w:r>
      <w:r w:rsidRPr="00382D43">
        <w:rPr>
          <w:rFonts w:ascii="Arial" w:hAnsi="Arial" w:cs="Arial"/>
          <w:sz w:val="20"/>
          <w:szCs w:val="20"/>
          <w:lang w:val="en-US"/>
        </w:rPr>
        <w:t>Table 1</w:t>
      </w:r>
      <w:r w:rsidRPr="00382D43">
        <w:rPr>
          <w:rFonts w:ascii="Arial" w:hAnsi="Arial" w:cs="Arial"/>
          <w:sz w:val="20"/>
          <w:szCs w:val="20"/>
          <w:lang w:val="en-US"/>
        </w:rPr>
        <w:fldChar w:fldCharType="end"/>
      </w:r>
      <w:r w:rsidRPr="00382D43">
        <w:rPr>
          <w:rFonts w:ascii="Arial" w:hAnsi="Arial" w:cs="Arial"/>
          <w:sz w:val="20"/>
          <w:szCs w:val="20"/>
          <w:lang w:val="en-US"/>
        </w:rPr>
        <w:t>). The number of people unemployed in nonagricultural sectors increase 70 thousand and nonagricultural unemployment rate reached 14.1 percent. In the period of November 2016, we observe a strong increase in the number of unemployed due to the weak increase in the non-agricultural employment.</w:t>
      </w:r>
    </w:p>
    <w:p w:rsidR="0047742F" w:rsidRPr="00382D43" w:rsidRDefault="0047742F" w:rsidP="006E6D7B">
      <w:pPr>
        <w:jc w:val="both"/>
        <w:rPr>
          <w:rFonts w:ascii="Arial" w:hAnsi="Arial" w:cs="Arial"/>
          <w:sz w:val="20"/>
          <w:szCs w:val="20"/>
          <w:lang w:val="en-US"/>
        </w:rPr>
      </w:pPr>
    </w:p>
    <w:p w:rsidR="00477D62" w:rsidRPr="00382D43" w:rsidRDefault="00477D62" w:rsidP="00477D62">
      <w:pPr>
        <w:pStyle w:val="Caption"/>
        <w:rPr>
          <w:rFonts w:ascii="Arial" w:hAnsi="Arial" w:cs="Arial"/>
          <w:lang w:val="en-US"/>
        </w:rPr>
      </w:pPr>
      <w:bookmarkStart w:id="1" w:name="_Ref472412190"/>
      <w:r w:rsidRPr="00382D43">
        <w:rPr>
          <w:rFonts w:ascii="Arial" w:hAnsi="Arial" w:cs="Arial"/>
          <w:lang w:val="en-US"/>
        </w:rPr>
        <w:t xml:space="preserve">Figure </w:t>
      </w:r>
      <w:r w:rsidRPr="00382D43">
        <w:rPr>
          <w:rFonts w:ascii="Arial" w:hAnsi="Arial" w:cs="Arial"/>
          <w:lang w:val="en-US"/>
        </w:rPr>
        <w:fldChar w:fldCharType="begin"/>
      </w:r>
      <w:r w:rsidRPr="00382D43">
        <w:rPr>
          <w:rFonts w:ascii="Arial" w:hAnsi="Arial" w:cs="Arial"/>
          <w:lang w:val="en-US"/>
        </w:rPr>
        <w:instrText xml:space="preserve"> SEQ Figure \* ARABIC </w:instrText>
      </w:r>
      <w:r w:rsidRPr="00382D43">
        <w:rPr>
          <w:rFonts w:ascii="Arial" w:hAnsi="Arial" w:cs="Arial"/>
          <w:lang w:val="en-US"/>
        </w:rPr>
        <w:fldChar w:fldCharType="separate"/>
      </w:r>
      <w:r w:rsidRPr="00382D43">
        <w:rPr>
          <w:rFonts w:ascii="Arial" w:hAnsi="Arial" w:cs="Arial"/>
          <w:noProof/>
          <w:lang w:val="en-US"/>
        </w:rPr>
        <w:t>1</w:t>
      </w:r>
      <w:r w:rsidRPr="00382D43">
        <w:rPr>
          <w:rFonts w:ascii="Arial" w:hAnsi="Arial" w:cs="Arial"/>
          <w:lang w:val="en-US"/>
        </w:rPr>
        <w:fldChar w:fldCharType="end"/>
      </w:r>
      <w:bookmarkEnd w:id="1"/>
      <w:r w:rsidRPr="00382D43">
        <w:rPr>
          <w:rFonts w:ascii="Arial" w:hAnsi="Arial" w:cs="Arial"/>
          <w:lang w:val="en-US"/>
        </w:rPr>
        <w:t xml:space="preserve"> Seasonally adjusted non-agricultural labor force, employment, and unemployment</w:t>
      </w:r>
    </w:p>
    <w:p w:rsidR="006528F3" w:rsidRPr="00382D43" w:rsidRDefault="005730BC" w:rsidP="00224A7B">
      <w:pPr>
        <w:rPr>
          <w:lang w:val="en-US"/>
        </w:rPr>
      </w:pPr>
      <w:r w:rsidRPr="00382D43">
        <w:rPr>
          <w:noProof/>
          <w:lang w:eastAsia="tr-TR"/>
        </w:rPr>
        <w:drawing>
          <wp:inline distT="0" distB="0" distL="0" distR="0" wp14:anchorId="5C63FAF7" wp14:editId="029FB9D7">
            <wp:extent cx="5781675" cy="33227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076" cy="3328124"/>
                    </a:xfrm>
                    <a:prstGeom prst="rect">
                      <a:avLst/>
                    </a:prstGeom>
                    <a:noFill/>
                    <a:ln>
                      <a:noFill/>
                    </a:ln>
                  </pic:spPr>
                </pic:pic>
              </a:graphicData>
            </a:graphic>
          </wp:inline>
        </w:drawing>
      </w:r>
    </w:p>
    <w:p w:rsidR="003F1C67" w:rsidRPr="00382D43" w:rsidRDefault="005B2B80" w:rsidP="008439A9">
      <w:pPr>
        <w:rPr>
          <w:rFonts w:ascii="Arial" w:hAnsi="Arial" w:cs="Arial"/>
          <w:color w:val="FF0000"/>
          <w:sz w:val="18"/>
          <w:szCs w:val="18"/>
          <w:lang w:val="en-US"/>
        </w:rPr>
      </w:pPr>
      <w:r w:rsidRPr="00382D43">
        <w:rPr>
          <w:rFonts w:ascii="Arial" w:hAnsi="Arial" w:cs="Arial"/>
          <w:sz w:val="18"/>
          <w:szCs w:val="18"/>
          <w:lang w:val="en-US"/>
        </w:rPr>
        <w:t xml:space="preserve">Source: </w:t>
      </w:r>
      <w:proofErr w:type="spellStart"/>
      <w:r w:rsidRPr="00382D43">
        <w:rPr>
          <w:rFonts w:ascii="Arial" w:hAnsi="Arial" w:cs="Arial"/>
          <w:sz w:val="18"/>
          <w:szCs w:val="18"/>
          <w:lang w:val="en-US"/>
        </w:rPr>
        <w:t>Turkstat</w:t>
      </w:r>
      <w:proofErr w:type="spellEnd"/>
      <w:r w:rsidR="00667FE8" w:rsidRPr="00382D43">
        <w:rPr>
          <w:rFonts w:ascii="Arial" w:hAnsi="Arial" w:cs="Arial"/>
          <w:sz w:val="18"/>
          <w:szCs w:val="18"/>
          <w:lang w:val="en-US"/>
        </w:rPr>
        <w:t xml:space="preserve">, </w:t>
      </w:r>
      <w:r w:rsidR="00667FE8" w:rsidRPr="00382D43">
        <w:rPr>
          <w:rFonts w:ascii="Arial" w:hAnsi="Arial" w:cs="Arial"/>
          <w:bCs/>
          <w:sz w:val="18"/>
          <w:szCs w:val="18"/>
          <w:lang w:val="en-US"/>
        </w:rPr>
        <w:t>Betam</w:t>
      </w:r>
    </w:p>
    <w:p w:rsidR="008439A9" w:rsidRPr="00382D43" w:rsidRDefault="008439A9" w:rsidP="008439A9">
      <w:pPr>
        <w:rPr>
          <w:rFonts w:ascii="Arial" w:hAnsi="Arial" w:cs="Arial"/>
          <w:color w:val="FF0000"/>
          <w:sz w:val="18"/>
          <w:szCs w:val="18"/>
          <w:lang w:val="en-US"/>
        </w:rPr>
      </w:pPr>
      <w:r w:rsidRPr="00382D43">
        <w:rPr>
          <w:rFonts w:ascii="Arial" w:hAnsi="Arial" w:cs="Arial"/>
          <w:b/>
          <w:bCs/>
          <w:sz w:val="22"/>
          <w:szCs w:val="22"/>
          <w:lang w:val="en-US"/>
        </w:rPr>
        <w:lastRenderedPageBreak/>
        <w:t>Nonagricultural unemployment rate is expected to remain constant in the period of December</w:t>
      </w:r>
    </w:p>
    <w:p w:rsidR="001F03DC" w:rsidRPr="00382D43" w:rsidRDefault="001F03DC" w:rsidP="00224A7B">
      <w:pPr>
        <w:rPr>
          <w:rFonts w:ascii="Arial" w:hAnsi="Arial" w:cs="Arial"/>
          <w:color w:val="FF0000"/>
          <w:sz w:val="20"/>
          <w:szCs w:val="20"/>
          <w:lang w:val="en-US"/>
        </w:rPr>
      </w:pPr>
    </w:p>
    <w:p w:rsidR="003F1C67" w:rsidRPr="00382D43" w:rsidRDefault="008439A9" w:rsidP="003F1C67">
      <w:pPr>
        <w:jc w:val="both"/>
        <w:rPr>
          <w:rFonts w:ascii="Arial" w:hAnsi="Arial" w:cs="Arial"/>
          <w:bCs/>
          <w:sz w:val="20"/>
          <w:szCs w:val="20"/>
          <w:lang w:val="en-US"/>
        </w:rPr>
      </w:pPr>
      <w:proofErr w:type="spellStart"/>
      <w:r w:rsidRPr="00382D43">
        <w:rPr>
          <w:rFonts w:ascii="Arial" w:hAnsi="Arial" w:cs="Arial"/>
          <w:sz w:val="20"/>
          <w:szCs w:val="20"/>
          <w:lang w:val="en-US"/>
        </w:rPr>
        <w:t>Betam's</w:t>
      </w:r>
      <w:proofErr w:type="spellEnd"/>
      <w:r w:rsidRPr="00382D43">
        <w:rPr>
          <w:rFonts w:ascii="Arial" w:hAnsi="Arial" w:cs="Arial"/>
          <w:sz w:val="20"/>
          <w:szCs w:val="20"/>
          <w:lang w:val="en-US"/>
        </w:rPr>
        <w:t xml:space="preserve"> forecasting model had predicted that the seasonally adjusted nonagricultural unemployment rate would remain constant at the 13.9 percent level in November 2016. </w:t>
      </w:r>
      <w:r w:rsidR="003F1C67" w:rsidRPr="00382D43">
        <w:rPr>
          <w:rFonts w:ascii="Arial" w:hAnsi="Arial" w:cs="Arial"/>
          <w:sz w:val="20"/>
          <w:szCs w:val="20"/>
          <w:lang w:val="en-US"/>
        </w:rPr>
        <w:t xml:space="preserve">The non-agricultural unemployment rate in the period of November 2016 realized as 14.1 percent. </w:t>
      </w:r>
      <w:proofErr w:type="spellStart"/>
      <w:r w:rsidR="003F1C67" w:rsidRPr="00382D43">
        <w:rPr>
          <w:rFonts w:ascii="Arial" w:hAnsi="Arial" w:cs="Arial"/>
          <w:color w:val="000000" w:themeColor="text1"/>
          <w:sz w:val="20"/>
          <w:szCs w:val="20"/>
          <w:lang w:val="en-US"/>
        </w:rPr>
        <w:t>Betam’s</w:t>
      </w:r>
      <w:proofErr w:type="spellEnd"/>
      <w:r w:rsidR="003F1C67" w:rsidRPr="00382D43">
        <w:rPr>
          <w:rFonts w:ascii="Arial" w:hAnsi="Arial" w:cs="Arial"/>
          <w:color w:val="000000" w:themeColor="text1"/>
          <w:sz w:val="20"/>
          <w:szCs w:val="20"/>
          <w:lang w:val="en-US"/>
        </w:rPr>
        <w:t xml:space="preserve"> forecasting model predicts </w:t>
      </w:r>
      <w:r w:rsidR="008528AD">
        <w:rPr>
          <w:rFonts w:ascii="Arial" w:hAnsi="Arial" w:cs="Arial"/>
          <w:color w:val="000000" w:themeColor="text1"/>
          <w:sz w:val="20"/>
          <w:szCs w:val="20"/>
          <w:lang w:val="en-US"/>
        </w:rPr>
        <w:t xml:space="preserve">that </w:t>
      </w:r>
      <w:r w:rsidR="003F1C67" w:rsidRPr="00382D43">
        <w:rPr>
          <w:rFonts w:ascii="Arial" w:hAnsi="Arial" w:cs="Arial"/>
          <w:color w:val="000000" w:themeColor="text1"/>
          <w:sz w:val="20"/>
          <w:szCs w:val="20"/>
          <w:lang w:val="en-US"/>
        </w:rPr>
        <w:t>the seasonally adjusted nonagricultural unemployment will remain constant at 14.1 percent level</w:t>
      </w:r>
      <w:r w:rsidR="008528AD">
        <w:rPr>
          <w:rFonts w:ascii="Arial" w:hAnsi="Arial" w:cs="Arial"/>
          <w:color w:val="000000" w:themeColor="text1"/>
          <w:sz w:val="20"/>
          <w:szCs w:val="20"/>
          <w:lang w:val="en-US"/>
        </w:rPr>
        <w:t xml:space="preserve"> in </w:t>
      </w:r>
      <w:r w:rsidR="008528AD" w:rsidRPr="00382D43">
        <w:rPr>
          <w:rFonts w:ascii="Arial" w:hAnsi="Arial" w:cs="Arial"/>
          <w:color w:val="000000" w:themeColor="text1"/>
          <w:sz w:val="20"/>
          <w:szCs w:val="20"/>
          <w:lang w:val="en-US"/>
        </w:rPr>
        <w:t>December 2016</w:t>
      </w:r>
      <w:r w:rsidR="003F1C67" w:rsidRPr="00382D43">
        <w:rPr>
          <w:rFonts w:ascii="Arial" w:hAnsi="Arial" w:cs="Arial"/>
          <w:color w:val="000000" w:themeColor="text1"/>
          <w:sz w:val="20"/>
          <w:szCs w:val="20"/>
          <w:lang w:val="en-US"/>
        </w:rPr>
        <w:t>.</w:t>
      </w:r>
      <w:r w:rsidR="003F1C67" w:rsidRPr="00382D43">
        <w:rPr>
          <w:rFonts w:ascii="Arial" w:hAnsi="Arial" w:cs="Arial"/>
          <w:sz w:val="20"/>
          <w:szCs w:val="20"/>
          <w:lang w:val="en-US"/>
        </w:rPr>
        <w:t xml:space="preserve"> Forecasting model details are available on </w:t>
      </w:r>
      <w:proofErr w:type="spellStart"/>
      <w:r w:rsidR="003F1C67" w:rsidRPr="00382D43">
        <w:rPr>
          <w:rFonts w:ascii="Arial" w:hAnsi="Arial" w:cs="Arial"/>
          <w:sz w:val="20"/>
          <w:szCs w:val="20"/>
          <w:lang w:val="en-US"/>
        </w:rPr>
        <w:t>Betam's</w:t>
      </w:r>
      <w:proofErr w:type="spellEnd"/>
      <w:r w:rsidR="003F1C67" w:rsidRPr="00382D43">
        <w:rPr>
          <w:rFonts w:ascii="Arial" w:hAnsi="Arial" w:cs="Arial"/>
          <w:sz w:val="20"/>
          <w:szCs w:val="20"/>
          <w:lang w:val="en-US"/>
        </w:rPr>
        <w:t xml:space="preserve"> website.</w:t>
      </w:r>
      <w:r w:rsidR="003F1C67" w:rsidRPr="00382D43">
        <w:rPr>
          <w:rStyle w:val="FootnoteReference"/>
          <w:rFonts w:ascii="Arial" w:hAnsi="Arial" w:cs="Arial"/>
          <w:sz w:val="20"/>
          <w:szCs w:val="20"/>
          <w:lang w:val="en-US"/>
        </w:rPr>
        <w:footnoteReference w:id="4"/>
      </w:r>
      <w:r w:rsidR="003F1C67" w:rsidRPr="00382D43">
        <w:rPr>
          <w:rFonts w:ascii="Arial" w:hAnsi="Arial" w:cs="Arial"/>
          <w:sz w:val="20"/>
          <w:szCs w:val="20"/>
          <w:lang w:val="en-US"/>
        </w:rPr>
        <w:t xml:space="preserve"> Kariyer.net</w:t>
      </w:r>
      <w:r w:rsidR="003F1C67" w:rsidRPr="00382D43">
        <w:rPr>
          <w:rStyle w:val="FootnoteReference"/>
          <w:rFonts w:ascii="Arial" w:hAnsi="Arial" w:cs="Arial"/>
          <w:sz w:val="20"/>
          <w:szCs w:val="20"/>
          <w:lang w:val="en-US"/>
        </w:rPr>
        <w:footnoteReference w:id="5"/>
      </w:r>
      <w:r w:rsidR="003F1C67" w:rsidRPr="00382D43">
        <w:rPr>
          <w:rFonts w:ascii="Arial" w:hAnsi="Arial" w:cs="Arial"/>
          <w:sz w:val="20"/>
          <w:szCs w:val="20"/>
          <w:lang w:val="en-US"/>
        </w:rPr>
        <w:t xml:space="preserve"> application </w:t>
      </w:r>
      <w:r w:rsidR="003F1C67" w:rsidRPr="00382D43">
        <w:rPr>
          <w:rFonts w:ascii="Arial" w:hAnsi="Arial" w:cs="Arial"/>
          <w:bCs/>
          <w:sz w:val="20"/>
          <w:szCs w:val="20"/>
          <w:lang w:val="en-US"/>
        </w:rPr>
        <w:t xml:space="preserve">per vacancy series used in the Betam forecasting model is depicted in </w:t>
      </w:r>
      <w:r w:rsidR="003F1C67" w:rsidRPr="00382D43">
        <w:rPr>
          <w:rFonts w:ascii="Arial" w:hAnsi="Arial" w:cs="Arial"/>
          <w:bCs/>
          <w:sz w:val="20"/>
          <w:szCs w:val="20"/>
          <w:lang w:val="en-US"/>
        </w:rPr>
        <w:fldChar w:fldCharType="begin"/>
      </w:r>
      <w:r w:rsidR="003F1C67" w:rsidRPr="00382D43">
        <w:rPr>
          <w:rFonts w:ascii="Arial" w:hAnsi="Arial" w:cs="Arial"/>
          <w:bCs/>
          <w:sz w:val="20"/>
          <w:szCs w:val="20"/>
          <w:lang w:val="en-US"/>
        </w:rPr>
        <w:instrText xml:space="preserve"> REF _Ref464482098 \h  \* MERGEFORMAT </w:instrText>
      </w:r>
      <w:r w:rsidR="003F1C67" w:rsidRPr="00382D43">
        <w:rPr>
          <w:rFonts w:ascii="Arial" w:hAnsi="Arial" w:cs="Arial"/>
          <w:bCs/>
          <w:sz w:val="20"/>
          <w:szCs w:val="20"/>
          <w:lang w:val="en-US"/>
        </w:rPr>
      </w:r>
      <w:r w:rsidR="003F1C67" w:rsidRPr="00382D43">
        <w:rPr>
          <w:rFonts w:ascii="Arial" w:hAnsi="Arial" w:cs="Arial"/>
          <w:bCs/>
          <w:sz w:val="20"/>
          <w:szCs w:val="20"/>
          <w:lang w:val="en-US"/>
        </w:rPr>
        <w:fldChar w:fldCharType="separate"/>
      </w:r>
      <w:r w:rsidR="003F1C67" w:rsidRPr="00382D43">
        <w:rPr>
          <w:rFonts w:ascii="Arial" w:hAnsi="Arial" w:cs="Arial"/>
          <w:bCs/>
          <w:sz w:val="20"/>
          <w:szCs w:val="20"/>
          <w:lang w:val="en-US"/>
        </w:rPr>
        <w:t>Figure 1</w:t>
      </w:r>
      <w:r w:rsidR="003F1C67" w:rsidRPr="00382D43">
        <w:rPr>
          <w:rFonts w:ascii="Arial" w:hAnsi="Arial" w:cs="Arial"/>
          <w:bCs/>
          <w:sz w:val="20"/>
          <w:szCs w:val="20"/>
          <w:lang w:val="en-US"/>
        </w:rPr>
        <w:fldChar w:fldCharType="end"/>
      </w:r>
      <w:r w:rsidR="003F1C67" w:rsidRPr="00382D43">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w:t>
      </w:r>
      <w:proofErr w:type="spellStart"/>
      <w:r w:rsidR="003F1C67" w:rsidRPr="00382D43">
        <w:rPr>
          <w:rFonts w:ascii="Arial" w:hAnsi="Arial" w:cs="Arial"/>
          <w:bCs/>
          <w:sz w:val="20"/>
          <w:szCs w:val="20"/>
          <w:lang w:val="en-US"/>
        </w:rPr>
        <w:t>Betam's</w:t>
      </w:r>
      <w:proofErr w:type="spellEnd"/>
      <w:r w:rsidR="003F1C67" w:rsidRPr="00382D43">
        <w:rPr>
          <w:rFonts w:ascii="Arial" w:hAnsi="Arial" w:cs="Arial"/>
          <w:bCs/>
          <w:sz w:val="20"/>
          <w:szCs w:val="20"/>
          <w:lang w:val="en-US"/>
        </w:rPr>
        <w:t xml:space="preserve"> forecasting model predicts that seasonally adjusted nonagricultural unemployment rate will remain constant in the period of December 2016. </w:t>
      </w:r>
    </w:p>
    <w:p w:rsidR="003F1C67" w:rsidRPr="00382D43" w:rsidRDefault="003F1C67" w:rsidP="003F1C67">
      <w:pPr>
        <w:jc w:val="both"/>
        <w:rPr>
          <w:rFonts w:ascii="Arial" w:hAnsi="Arial" w:cs="Arial"/>
          <w:bCs/>
          <w:sz w:val="20"/>
          <w:szCs w:val="20"/>
          <w:lang w:val="en-US"/>
        </w:rPr>
      </w:pPr>
    </w:p>
    <w:p w:rsidR="00477D62" w:rsidRPr="00382D43" w:rsidRDefault="00477D62" w:rsidP="003F1C67">
      <w:pPr>
        <w:jc w:val="both"/>
        <w:rPr>
          <w:rFonts w:ascii="Arial" w:hAnsi="Arial" w:cs="Arial"/>
          <w:b/>
          <w:bCs/>
          <w:sz w:val="20"/>
          <w:szCs w:val="20"/>
          <w:lang w:val="en-US"/>
        </w:rPr>
      </w:pPr>
      <w:r w:rsidRPr="00382D43">
        <w:rPr>
          <w:rFonts w:ascii="Arial" w:hAnsi="Arial" w:cs="Arial"/>
          <w:b/>
          <w:bCs/>
          <w:sz w:val="20"/>
          <w:szCs w:val="20"/>
          <w:lang w:val="en-US"/>
        </w:rPr>
        <w:t xml:space="preserve">Figure </w:t>
      </w:r>
      <w:r w:rsidRPr="00382D43">
        <w:rPr>
          <w:rFonts w:ascii="Arial" w:hAnsi="Arial" w:cs="Arial"/>
          <w:b/>
          <w:bCs/>
          <w:sz w:val="20"/>
          <w:szCs w:val="20"/>
          <w:lang w:val="en-US"/>
        </w:rPr>
        <w:fldChar w:fldCharType="begin"/>
      </w:r>
      <w:r w:rsidRPr="00382D43">
        <w:rPr>
          <w:rFonts w:ascii="Arial" w:hAnsi="Arial" w:cs="Arial"/>
          <w:b/>
          <w:bCs/>
          <w:sz w:val="20"/>
          <w:szCs w:val="20"/>
          <w:lang w:val="en-US"/>
        </w:rPr>
        <w:instrText xml:space="preserve"> SEQ Figure \* ARABIC </w:instrText>
      </w:r>
      <w:r w:rsidRPr="00382D43">
        <w:rPr>
          <w:rFonts w:ascii="Arial" w:hAnsi="Arial" w:cs="Arial"/>
          <w:b/>
          <w:bCs/>
          <w:sz w:val="20"/>
          <w:szCs w:val="20"/>
          <w:lang w:val="en-US"/>
        </w:rPr>
        <w:fldChar w:fldCharType="separate"/>
      </w:r>
      <w:r w:rsidRPr="00382D43">
        <w:rPr>
          <w:rFonts w:ascii="Arial" w:hAnsi="Arial" w:cs="Arial"/>
          <w:b/>
          <w:bCs/>
          <w:sz w:val="20"/>
          <w:szCs w:val="20"/>
          <w:lang w:val="en-US"/>
        </w:rPr>
        <w:t>2</w:t>
      </w:r>
      <w:r w:rsidRPr="00382D43">
        <w:rPr>
          <w:rFonts w:ascii="Arial" w:hAnsi="Arial" w:cs="Arial"/>
          <w:b/>
          <w:bCs/>
          <w:sz w:val="20"/>
          <w:szCs w:val="20"/>
          <w:lang w:val="en-US"/>
        </w:rPr>
        <w:fldChar w:fldCharType="end"/>
      </w:r>
      <w:r w:rsidRPr="00382D43">
        <w:rPr>
          <w:rFonts w:ascii="Arial" w:hAnsi="Arial" w:cs="Arial"/>
          <w:b/>
          <w:bCs/>
          <w:sz w:val="20"/>
          <w:szCs w:val="20"/>
          <w:lang w:val="en-US"/>
        </w:rPr>
        <w:t xml:space="preserve"> Seasonally adjusted nonagricultural unemployment rate and application per vacancy</w:t>
      </w:r>
    </w:p>
    <w:p w:rsidR="005730BC" w:rsidRPr="00382D43" w:rsidRDefault="005730BC" w:rsidP="00224A7B">
      <w:pPr>
        <w:rPr>
          <w:rFonts w:ascii="Arial" w:hAnsi="Arial" w:cs="Arial"/>
          <w:sz w:val="18"/>
          <w:szCs w:val="18"/>
          <w:lang w:val="en-US"/>
        </w:rPr>
      </w:pPr>
      <w:r w:rsidRPr="00382D43">
        <w:rPr>
          <w:noProof/>
          <w:lang w:eastAsia="tr-TR"/>
        </w:rPr>
        <w:drawing>
          <wp:inline distT="0" distB="0" distL="0" distR="0" wp14:anchorId="44A913FE" wp14:editId="2570DB88">
            <wp:extent cx="6479540" cy="3980180"/>
            <wp:effectExtent l="0" t="0" r="0" b="12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7734" w:rsidRPr="00382D43" w:rsidRDefault="005730BC" w:rsidP="00224A7B">
      <w:pPr>
        <w:rPr>
          <w:color w:val="FF0000"/>
          <w:lang w:val="en-US"/>
        </w:rPr>
      </w:pPr>
      <w:r w:rsidRPr="00382D43">
        <w:rPr>
          <w:rFonts w:ascii="Arial" w:hAnsi="Arial" w:cs="Arial"/>
          <w:sz w:val="18"/>
          <w:szCs w:val="18"/>
          <w:lang w:val="en-US"/>
        </w:rPr>
        <w:t xml:space="preserve">Source: Kariyer.net, </w:t>
      </w:r>
      <w:proofErr w:type="spellStart"/>
      <w:r w:rsidRPr="00382D43">
        <w:rPr>
          <w:rFonts w:ascii="Arial" w:hAnsi="Arial" w:cs="Arial"/>
          <w:sz w:val="18"/>
          <w:szCs w:val="18"/>
          <w:lang w:val="en-US"/>
        </w:rPr>
        <w:t>Turkstat</w:t>
      </w:r>
      <w:proofErr w:type="spellEnd"/>
      <w:r w:rsidR="00667FE8" w:rsidRPr="00382D43">
        <w:rPr>
          <w:rFonts w:ascii="Arial" w:hAnsi="Arial" w:cs="Arial"/>
          <w:sz w:val="18"/>
          <w:szCs w:val="18"/>
          <w:lang w:val="en-US"/>
        </w:rPr>
        <w:t>, Betam</w:t>
      </w:r>
    </w:p>
    <w:p w:rsidR="009A44F5" w:rsidRPr="00382D43" w:rsidRDefault="009A44F5" w:rsidP="00224A7B">
      <w:pPr>
        <w:suppressAutoHyphens w:val="0"/>
        <w:rPr>
          <w:rFonts w:ascii="Arial" w:hAnsi="Arial" w:cs="Arial"/>
          <w:b/>
          <w:color w:val="FF0000"/>
          <w:sz w:val="22"/>
          <w:szCs w:val="22"/>
          <w:lang w:val="en-US"/>
        </w:rPr>
      </w:pPr>
    </w:p>
    <w:p w:rsidR="008A3F71" w:rsidRPr="00382D43" w:rsidRDefault="003F1C67" w:rsidP="00DD695A">
      <w:pPr>
        <w:suppressAutoHyphens w:val="0"/>
        <w:jc w:val="both"/>
        <w:rPr>
          <w:rFonts w:ascii="Arial" w:hAnsi="Arial" w:cs="Arial"/>
          <w:b/>
          <w:sz w:val="22"/>
          <w:szCs w:val="22"/>
          <w:lang w:val="en-US"/>
        </w:rPr>
      </w:pPr>
      <w:r w:rsidRPr="00382D43">
        <w:rPr>
          <w:rFonts w:ascii="Arial" w:hAnsi="Arial" w:cs="Arial"/>
          <w:b/>
          <w:sz w:val="22"/>
          <w:szCs w:val="22"/>
          <w:lang w:val="en-US"/>
        </w:rPr>
        <w:t>Sectoral employment increase remained insufficient</w:t>
      </w:r>
    </w:p>
    <w:p w:rsidR="00F86623" w:rsidRPr="00382D43" w:rsidRDefault="00F86623" w:rsidP="00DD695A">
      <w:pPr>
        <w:suppressAutoHyphens w:val="0"/>
        <w:jc w:val="both"/>
        <w:rPr>
          <w:rFonts w:ascii="Arial" w:hAnsi="Arial" w:cs="Arial"/>
          <w:bCs/>
          <w:color w:val="FF0000"/>
          <w:sz w:val="20"/>
          <w:szCs w:val="20"/>
          <w:highlight w:val="yellow"/>
          <w:lang w:val="en-US"/>
        </w:rPr>
      </w:pPr>
    </w:p>
    <w:p w:rsidR="00EF5104" w:rsidRPr="00382D43" w:rsidRDefault="003F1C67" w:rsidP="00F86623">
      <w:pPr>
        <w:suppressAutoHyphens w:val="0"/>
        <w:jc w:val="both"/>
        <w:rPr>
          <w:rFonts w:ascii="Arial" w:hAnsi="Arial" w:cs="Arial"/>
          <w:sz w:val="20"/>
          <w:szCs w:val="20"/>
          <w:vertAlign w:val="superscript"/>
          <w:lang w:val="en-US"/>
        </w:rPr>
      </w:pPr>
      <w:r w:rsidRPr="00382D43">
        <w:rPr>
          <w:rFonts w:ascii="Arial" w:hAnsi="Arial" w:cs="Arial"/>
          <w:bCs/>
          <w:color w:val="000000" w:themeColor="text1"/>
          <w:sz w:val="20"/>
          <w:szCs w:val="20"/>
          <w:lang w:val="en-US"/>
        </w:rPr>
        <w:t>According to seasonally adjusted sectoral labor market data, the number of people employed in construction, services and industry increased by 9 thousand, 21 thousand and 34 thousand, respectively (</w:t>
      </w:r>
      <w:r w:rsidRPr="00382D43">
        <w:rPr>
          <w:rFonts w:ascii="Arial" w:hAnsi="Arial" w:cs="Arial"/>
          <w:bCs/>
          <w:color w:val="000000" w:themeColor="text1"/>
          <w:sz w:val="20"/>
          <w:szCs w:val="20"/>
          <w:lang w:val="en-US"/>
        </w:rPr>
        <w:fldChar w:fldCharType="begin"/>
      </w:r>
      <w:r w:rsidRPr="00382D43">
        <w:rPr>
          <w:rFonts w:ascii="Arial" w:hAnsi="Arial" w:cs="Arial"/>
          <w:bCs/>
          <w:color w:val="000000" w:themeColor="text1"/>
          <w:sz w:val="20"/>
          <w:szCs w:val="20"/>
          <w:lang w:val="en-US"/>
        </w:rPr>
        <w:instrText xml:space="preserve"> REF _Ref472411377 \h  \* MERGEFORMAT </w:instrText>
      </w:r>
      <w:r w:rsidRPr="00382D43">
        <w:rPr>
          <w:rFonts w:ascii="Arial" w:hAnsi="Arial" w:cs="Arial"/>
          <w:bCs/>
          <w:color w:val="000000" w:themeColor="text1"/>
          <w:sz w:val="20"/>
          <w:szCs w:val="20"/>
          <w:lang w:val="en-US"/>
        </w:rPr>
      </w:r>
      <w:r w:rsidRPr="00382D43">
        <w:rPr>
          <w:rFonts w:ascii="Arial" w:hAnsi="Arial" w:cs="Arial"/>
          <w:bCs/>
          <w:color w:val="000000" w:themeColor="text1"/>
          <w:sz w:val="20"/>
          <w:szCs w:val="20"/>
          <w:lang w:val="en-US"/>
        </w:rPr>
        <w:fldChar w:fldCharType="separate"/>
      </w:r>
      <w:r w:rsidRPr="00382D43">
        <w:rPr>
          <w:rFonts w:ascii="Arial" w:hAnsi="Arial" w:cs="Arial"/>
          <w:bCs/>
          <w:color w:val="000000" w:themeColor="text1"/>
          <w:sz w:val="20"/>
          <w:szCs w:val="20"/>
          <w:lang w:val="en-US"/>
        </w:rPr>
        <w:t>Figure 3</w:t>
      </w:r>
      <w:r w:rsidRPr="00382D43">
        <w:rPr>
          <w:rFonts w:ascii="Arial" w:hAnsi="Arial" w:cs="Arial"/>
          <w:bCs/>
          <w:color w:val="000000" w:themeColor="text1"/>
          <w:sz w:val="20"/>
          <w:szCs w:val="20"/>
          <w:lang w:val="en-US"/>
        </w:rPr>
        <w:fldChar w:fldCharType="end"/>
      </w:r>
      <w:r w:rsidR="008F1D01" w:rsidRPr="00382D43">
        <w:rPr>
          <w:rFonts w:ascii="Arial" w:hAnsi="Arial" w:cs="Arial"/>
          <w:bCs/>
          <w:color w:val="000000" w:themeColor="text1"/>
          <w:sz w:val="20"/>
          <w:szCs w:val="20"/>
          <w:lang w:val="en-US"/>
        </w:rPr>
        <w:t>,</w:t>
      </w:r>
      <w:r w:rsidR="009D7F61" w:rsidRPr="00382D43">
        <w:rPr>
          <w:rFonts w:ascii="Arial" w:hAnsi="Arial" w:cs="Arial"/>
          <w:bCs/>
          <w:color w:val="000000" w:themeColor="text1"/>
          <w:sz w:val="20"/>
          <w:szCs w:val="20"/>
          <w:lang w:val="en-US"/>
        </w:rPr>
        <w:fldChar w:fldCharType="begin"/>
      </w:r>
      <w:r w:rsidR="009D7F61" w:rsidRPr="00382D43">
        <w:rPr>
          <w:rFonts w:ascii="Arial" w:hAnsi="Arial" w:cs="Arial"/>
          <w:bCs/>
          <w:color w:val="000000" w:themeColor="text1"/>
          <w:sz w:val="20"/>
          <w:szCs w:val="20"/>
          <w:lang w:val="en-US"/>
        </w:rPr>
        <w:instrText xml:space="preserve"> REF _Ref374950055 \h  \* MERGEFORMAT </w:instrText>
      </w:r>
      <w:r w:rsidR="009D7F61" w:rsidRPr="00382D43">
        <w:rPr>
          <w:rFonts w:ascii="Arial" w:hAnsi="Arial" w:cs="Arial"/>
          <w:bCs/>
          <w:color w:val="000000" w:themeColor="text1"/>
          <w:sz w:val="20"/>
          <w:szCs w:val="20"/>
          <w:lang w:val="en-US"/>
        </w:rPr>
      </w:r>
      <w:r w:rsidR="009D7F61" w:rsidRPr="00382D43">
        <w:rPr>
          <w:rFonts w:ascii="Arial" w:hAnsi="Arial" w:cs="Arial"/>
          <w:bCs/>
          <w:color w:val="000000" w:themeColor="text1"/>
          <w:sz w:val="20"/>
          <w:szCs w:val="20"/>
          <w:lang w:val="en-US"/>
        </w:rPr>
        <w:fldChar w:fldCharType="end"/>
      </w:r>
      <w:r w:rsidRPr="00382D43">
        <w:rPr>
          <w:rFonts w:ascii="Arial" w:hAnsi="Arial" w:cs="Arial"/>
          <w:bCs/>
          <w:color w:val="000000" w:themeColor="text1"/>
          <w:sz w:val="20"/>
          <w:szCs w:val="20"/>
          <w:lang w:val="en-US"/>
        </w:rPr>
        <w:t xml:space="preserve"> </w:t>
      </w:r>
      <w:r w:rsidRPr="00382D43">
        <w:rPr>
          <w:rFonts w:ascii="Arial" w:hAnsi="Arial" w:cs="Arial"/>
          <w:bCs/>
          <w:color w:val="000000" w:themeColor="text1"/>
          <w:sz w:val="20"/>
          <w:szCs w:val="20"/>
          <w:lang w:val="en-US"/>
        </w:rPr>
        <w:fldChar w:fldCharType="begin"/>
      </w:r>
      <w:r w:rsidRPr="00382D43">
        <w:rPr>
          <w:rFonts w:ascii="Arial" w:hAnsi="Arial" w:cs="Arial"/>
          <w:bCs/>
          <w:color w:val="000000" w:themeColor="text1"/>
          <w:sz w:val="20"/>
          <w:szCs w:val="20"/>
          <w:lang w:val="en-US"/>
        </w:rPr>
        <w:instrText xml:space="preserve"> REF _Ref472411395 \h  \* MERGEFORMAT </w:instrText>
      </w:r>
      <w:r w:rsidRPr="00382D43">
        <w:rPr>
          <w:rFonts w:ascii="Arial" w:hAnsi="Arial" w:cs="Arial"/>
          <w:bCs/>
          <w:color w:val="000000" w:themeColor="text1"/>
          <w:sz w:val="20"/>
          <w:szCs w:val="20"/>
          <w:lang w:val="en-US"/>
        </w:rPr>
      </w:r>
      <w:r w:rsidRPr="00382D43">
        <w:rPr>
          <w:rFonts w:ascii="Arial" w:hAnsi="Arial" w:cs="Arial"/>
          <w:bCs/>
          <w:color w:val="000000" w:themeColor="text1"/>
          <w:sz w:val="20"/>
          <w:szCs w:val="20"/>
          <w:lang w:val="en-US"/>
        </w:rPr>
        <w:fldChar w:fldCharType="separate"/>
      </w:r>
      <w:r w:rsidRPr="00382D43">
        <w:rPr>
          <w:rFonts w:ascii="Arial" w:hAnsi="Arial" w:cs="Arial"/>
          <w:bCs/>
          <w:color w:val="000000" w:themeColor="text1"/>
          <w:sz w:val="20"/>
          <w:szCs w:val="20"/>
          <w:lang w:val="en-US"/>
        </w:rPr>
        <w:t>Table 2</w:t>
      </w:r>
      <w:r w:rsidRPr="00382D43">
        <w:rPr>
          <w:rFonts w:ascii="Arial" w:hAnsi="Arial" w:cs="Arial"/>
          <w:bCs/>
          <w:color w:val="000000" w:themeColor="text1"/>
          <w:sz w:val="20"/>
          <w:szCs w:val="20"/>
          <w:lang w:val="en-US"/>
        </w:rPr>
        <w:fldChar w:fldCharType="end"/>
      </w:r>
      <w:r w:rsidR="008F1D01" w:rsidRPr="00382D43">
        <w:rPr>
          <w:rFonts w:ascii="Arial" w:hAnsi="Arial" w:cs="Arial"/>
          <w:bCs/>
          <w:color w:val="000000" w:themeColor="text1"/>
          <w:sz w:val="20"/>
          <w:szCs w:val="20"/>
          <w:lang w:val="en-US"/>
        </w:rPr>
        <w:t>)</w:t>
      </w:r>
      <w:r w:rsidR="008F1D01" w:rsidRPr="00382D43">
        <w:rPr>
          <w:rFonts w:ascii="Arial" w:hAnsi="Arial" w:cs="Arial"/>
          <w:sz w:val="20"/>
          <w:szCs w:val="20"/>
          <w:lang w:val="en-US"/>
        </w:rPr>
        <w:t>.</w:t>
      </w:r>
      <w:r w:rsidR="008F1D01" w:rsidRPr="00382D43">
        <w:rPr>
          <w:rFonts w:ascii="Arial" w:hAnsi="Arial" w:cs="Arial"/>
          <w:sz w:val="20"/>
          <w:szCs w:val="20"/>
          <w:vertAlign w:val="superscript"/>
          <w:lang w:val="en-US"/>
        </w:rPr>
        <w:footnoteReference w:id="6"/>
      </w:r>
      <w:r w:rsidR="00EF5104" w:rsidRPr="00382D43">
        <w:rPr>
          <w:rFonts w:ascii="Arial" w:hAnsi="Arial" w:cs="Arial"/>
          <w:sz w:val="20"/>
          <w:szCs w:val="20"/>
          <w:lang w:val="en-US"/>
        </w:rPr>
        <w:t xml:space="preserve"> </w:t>
      </w:r>
      <w:r w:rsidR="00354F40">
        <w:rPr>
          <w:rFonts w:ascii="Arial" w:hAnsi="Arial" w:cs="Arial"/>
          <w:sz w:val="20"/>
          <w:szCs w:val="20"/>
          <w:lang w:val="en-US"/>
        </w:rPr>
        <w:t>Even though there was</w:t>
      </w:r>
      <w:r w:rsidRPr="00382D43">
        <w:rPr>
          <w:rFonts w:ascii="Arial" w:hAnsi="Arial" w:cs="Arial"/>
          <w:sz w:val="20"/>
          <w:szCs w:val="20"/>
          <w:lang w:val="en-US"/>
        </w:rPr>
        <w:t xml:space="preserve"> a decline in the construction sector employment in the period of October</w:t>
      </w:r>
      <w:r w:rsidR="00354F40">
        <w:rPr>
          <w:rFonts w:ascii="Arial" w:hAnsi="Arial" w:cs="Arial"/>
          <w:sz w:val="20"/>
          <w:szCs w:val="20"/>
          <w:lang w:val="en-US"/>
        </w:rPr>
        <w:t xml:space="preserve"> 2016</w:t>
      </w:r>
      <w:r w:rsidRPr="00382D43">
        <w:rPr>
          <w:rFonts w:ascii="Arial" w:hAnsi="Arial" w:cs="Arial"/>
          <w:sz w:val="20"/>
          <w:szCs w:val="20"/>
          <w:lang w:val="en-US"/>
        </w:rPr>
        <w:t>, we observe a limited increase during this period. On the other hand,</w:t>
      </w:r>
      <w:r w:rsidR="00292CC4" w:rsidRPr="00382D43">
        <w:rPr>
          <w:rFonts w:ascii="Arial" w:hAnsi="Arial" w:cs="Arial"/>
          <w:sz w:val="20"/>
          <w:szCs w:val="20"/>
          <w:lang w:val="en-US"/>
        </w:rPr>
        <w:t xml:space="preserve"> in the period of Nove</w:t>
      </w:r>
      <w:r w:rsidR="00382D43">
        <w:rPr>
          <w:rFonts w:ascii="Arial" w:hAnsi="Arial" w:cs="Arial"/>
          <w:sz w:val="20"/>
          <w:szCs w:val="20"/>
          <w:lang w:val="en-US"/>
        </w:rPr>
        <w:t>mber 2016, we observe a weak</w:t>
      </w:r>
      <w:r w:rsidR="00292CC4" w:rsidRPr="00382D43">
        <w:rPr>
          <w:rFonts w:ascii="Arial" w:hAnsi="Arial" w:cs="Arial"/>
          <w:sz w:val="20"/>
          <w:szCs w:val="20"/>
          <w:lang w:val="en-US"/>
        </w:rPr>
        <w:t xml:space="preserve"> employment increase in services compared to the previous period. Overall, it is striking that the employment increase</w:t>
      </w:r>
      <w:r w:rsidR="00437678">
        <w:rPr>
          <w:rFonts w:ascii="Arial" w:hAnsi="Arial" w:cs="Arial"/>
          <w:sz w:val="20"/>
          <w:szCs w:val="20"/>
          <w:lang w:val="en-US"/>
        </w:rPr>
        <w:t>d</w:t>
      </w:r>
      <w:r w:rsidR="00292CC4" w:rsidRPr="00382D43">
        <w:rPr>
          <w:rFonts w:ascii="Arial" w:hAnsi="Arial" w:cs="Arial"/>
          <w:sz w:val="20"/>
          <w:szCs w:val="20"/>
          <w:lang w:val="en-US"/>
        </w:rPr>
        <w:t xml:space="preserve"> in all sectors</w:t>
      </w:r>
      <w:r w:rsidR="00437678">
        <w:rPr>
          <w:rFonts w:ascii="Arial" w:hAnsi="Arial" w:cs="Arial"/>
          <w:sz w:val="20"/>
          <w:szCs w:val="20"/>
          <w:lang w:val="en-US"/>
        </w:rPr>
        <w:t>, yet these increases</w:t>
      </w:r>
      <w:r w:rsidR="00292CC4" w:rsidRPr="00382D43">
        <w:rPr>
          <w:rFonts w:ascii="Arial" w:hAnsi="Arial" w:cs="Arial"/>
          <w:sz w:val="20"/>
          <w:szCs w:val="20"/>
          <w:lang w:val="en-US"/>
        </w:rPr>
        <w:t xml:space="preserve"> remained insufficient compared to the increase in </w:t>
      </w:r>
      <w:r w:rsidR="00701607">
        <w:rPr>
          <w:rFonts w:ascii="Arial" w:hAnsi="Arial" w:cs="Arial"/>
          <w:sz w:val="20"/>
          <w:szCs w:val="20"/>
          <w:lang w:val="en-US"/>
        </w:rPr>
        <w:t xml:space="preserve">the </w:t>
      </w:r>
      <w:r w:rsidR="00292CC4" w:rsidRPr="00382D43">
        <w:rPr>
          <w:rFonts w:ascii="Arial" w:hAnsi="Arial" w:cs="Arial"/>
          <w:sz w:val="20"/>
          <w:szCs w:val="20"/>
          <w:lang w:val="en-US"/>
        </w:rPr>
        <w:t>labor force.</w:t>
      </w:r>
      <w:r w:rsidR="00A240EB" w:rsidRPr="00382D43">
        <w:rPr>
          <w:rFonts w:ascii="Arial" w:hAnsi="Arial" w:cs="Arial"/>
          <w:sz w:val="20"/>
          <w:szCs w:val="20"/>
          <w:lang w:val="en-US"/>
        </w:rPr>
        <w:t xml:space="preserve"> </w:t>
      </w:r>
    </w:p>
    <w:p w:rsidR="00DD695A" w:rsidRPr="00382D43" w:rsidRDefault="00DD695A" w:rsidP="00C246EF">
      <w:pPr>
        <w:suppressAutoHyphens w:val="0"/>
        <w:rPr>
          <w:rFonts w:ascii="Arial" w:hAnsi="Arial" w:cs="Arial"/>
          <w:bCs/>
          <w:color w:val="FF0000"/>
          <w:sz w:val="20"/>
          <w:szCs w:val="20"/>
          <w:lang w:val="en-US"/>
        </w:rPr>
        <w:sectPr w:rsidR="00DD695A" w:rsidRPr="00382D43" w:rsidSect="0000377B">
          <w:footerReference w:type="default" r:id="rId11"/>
          <w:pgSz w:w="11905" w:h="16837"/>
          <w:pgMar w:top="1418" w:right="992" w:bottom="777" w:left="709" w:header="709" w:footer="709" w:gutter="0"/>
          <w:cols w:space="708"/>
          <w:docGrid w:linePitch="360"/>
        </w:sectPr>
      </w:pPr>
    </w:p>
    <w:p w:rsidR="005642E6" w:rsidRPr="00382D43" w:rsidRDefault="00477D62" w:rsidP="00477D62">
      <w:pPr>
        <w:pStyle w:val="Caption"/>
        <w:rPr>
          <w:lang w:val="en-US"/>
        </w:rPr>
      </w:pPr>
      <w:bookmarkStart w:id="2" w:name="_Ref472411377"/>
      <w:bookmarkStart w:id="3" w:name="_Ref374950067"/>
      <w:r w:rsidRPr="00382D43">
        <w:rPr>
          <w:rFonts w:ascii="Arial" w:hAnsi="Arial" w:cs="Arial"/>
          <w:lang w:val="en-US"/>
        </w:rPr>
        <w:lastRenderedPageBreak/>
        <w:t xml:space="preserve">Figure </w:t>
      </w:r>
      <w:r w:rsidRPr="00382D43">
        <w:rPr>
          <w:rFonts w:ascii="Arial" w:hAnsi="Arial" w:cs="Arial"/>
          <w:lang w:val="en-US"/>
        </w:rPr>
        <w:fldChar w:fldCharType="begin"/>
      </w:r>
      <w:r w:rsidRPr="00382D43">
        <w:rPr>
          <w:rFonts w:ascii="Arial" w:hAnsi="Arial" w:cs="Arial"/>
          <w:lang w:val="en-US"/>
        </w:rPr>
        <w:instrText xml:space="preserve"> SEQ Figure \* ARABIC </w:instrText>
      </w:r>
      <w:r w:rsidRPr="00382D43">
        <w:rPr>
          <w:rFonts w:ascii="Arial" w:hAnsi="Arial" w:cs="Arial"/>
          <w:lang w:val="en-US"/>
        </w:rPr>
        <w:fldChar w:fldCharType="separate"/>
      </w:r>
      <w:r w:rsidRPr="00382D43">
        <w:rPr>
          <w:rFonts w:ascii="Arial" w:hAnsi="Arial" w:cs="Arial"/>
          <w:noProof/>
          <w:lang w:val="en-US"/>
        </w:rPr>
        <w:t>3</w:t>
      </w:r>
      <w:r w:rsidRPr="00382D43">
        <w:rPr>
          <w:rFonts w:ascii="Arial" w:hAnsi="Arial" w:cs="Arial"/>
          <w:lang w:val="en-US"/>
        </w:rPr>
        <w:fldChar w:fldCharType="end"/>
      </w:r>
      <w:bookmarkEnd w:id="2"/>
      <w:r w:rsidRPr="00382D43">
        <w:rPr>
          <w:lang w:val="en-US"/>
        </w:rPr>
        <w:t xml:space="preserve"> </w:t>
      </w:r>
      <w:r w:rsidRPr="00382D43">
        <w:rPr>
          <w:rFonts w:ascii="Arial" w:hAnsi="Arial" w:cs="Arial"/>
          <w:lang w:val="en-US"/>
        </w:rPr>
        <w:t>Employment by sectors (in thousands)</w:t>
      </w:r>
      <w:bookmarkEnd w:id="3"/>
      <w:r w:rsidR="00C55ED6" w:rsidRPr="00382D43">
        <w:rPr>
          <w:rFonts w:ascii="Arial" w:hAnsi="Arial" w:cs="Arial"/>
          <w:b w:val="0"/>
          <w:bCs w:val="0"/>
          <w:lang w:val="en-US"/>
        </w:rPr>
        <w:t xml:space="preserve"> </w:t>
      </w:r>
    </w:p>
    <w:p w:rsidR="00B04467" w:rsidRPr="00382D43" w:rsidRDefault="005730BC" w:rsidP="00B04467">
      <w:pPr>
        <w:rPr>
          <w:lang w:val="en-US"/>
        </w:rPr>
      </w:pPr>
      <w:r w:rsidRPr="00382D43">
        <w:rPr>
          <w:noProof/>
          <w:lang w:eastAsia="tr-TR"/>
        </w:rPr>
        <w:drawing>
          <wp:inline distT="0" distB="0" distL="0" distR="0" wp14:anchorId="75A2BC3B" wp14:editId="7F1C1CBD">
            <wp:extent cx="8991600" cy="601807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3765" cy="6026213"/>
                    </a:xfrm>
                    <a:prstGeom prst="rect">
                      <a:avLst/>
                    </a:prstGeom>
                    <a:noFill/>
                    <a:ln>
                      <a:noFill/>
                    </a:ln>
                  </pic:spPr>
                </pic:pic>
              </a:graphicData>
            </a:graphic>
          </wp:inline>
        </w:drawing>
      </w:r>
    </w:p>
    <w:p w:rsidR="005B2B80" w:rsidRPr="00382D43" w:rsidRDefault="005B2B80" w:rsidP="005B2B80">
      <w:pPr>
        <w:rPr>
          <w:rFonts w:ascii="Arial" w:hAnsi="Arial" w:cs="Arial"/>
          <w:color w:val="FF0000"/>
          <w:sz w:val="18"/>
          <w:szCs w:val="18"/>
          <w:lang w:val="en-US"/>
        </w:rPr>
      </w:pPr>
      <w:bookmarkStart w:id="4" w:name="_Ref374950011"/>
      <w:bookmarkStart w:id="5" w:name="_Ref374950008"/>
      <w:r w:rsidRPr="00382D43">
        <w:rPr>
          <w:rFonts w:ascii="Arial" w:hAnsi="Arial" w:cs="Arial"/>
          <w:sz w:val="18"/>
          <w:szCs w:val="18"/>
          <w:lang w:val="en-US"/>
        </w:rPr>
        <w:t xml:space="preserve">Source: </w:t>
      </w:r>
      <w:proofErr w:type="spellStart"/>
      <w:r w:rsidRPr="00382D43">
        <w:rPr>
          <w:rFonts w:ascii="Arial" w:hAnsi="Arial" w:cs="Arial"/>
          <w:sz w:val="18"/>
          <w:szCs w:val="18"/>
          <w:lang w:val="en-US"/>
        </w:rPr>
        <w:t>Turkstat</w:t>
      </w:r>
      <w:proofErr w:type="spellEnd"/>
      <w:r w:rsidRPr="00382D43">
        <w:rPr>
          <w:rFonts w:ascii="Arial" w:hAnsi="Arial" w:cs="Arial"/>
          <w:sz w:val="18"/>
          <w:szCs w:val="18"/>
          <w:lang w:val="en-US"/>
        </w:rPr>
        <w:t xml:space="preserve">, </w:t>
      </w:r>
      <w:r w:rsidRPr="00382D43">
        <w:rPr>
          <w:rFonts w:ascii="Arial" w:hAnsi="Arial" w:cs="Arial"/>
          <w:bCs/>
          <w:sz w:val="18"/>
          <w:szCs w:val="18"/>
          <w:lang w:val="en-US"/>
        </w:rPr>
        <w:t>Betam</w:t>
      </w:r>
    </w:p>
    <w:p w:rsidR="005B2B80" w:rsidRPr="00382D43" w:rsidRDefault="005B2B80">
      <w:pPr>
        <w:suppressAutoHyphens w:val="0"/>
        <w:rPr>
          <w:rFonts w:ascii="Arial" w:hAnsi="Arial" w:cs="Arial"/>
          <w:b/>
          <w:sz w:val="22"/>
          <w:szCs w:val="22"/>
          <w:lang w:val="en-US"/>
        </w:rPr>
        <w:sectPr w:rsidR="005B2B80" w:rsidRPr="00382D43" w:rsidSect="005B2B80">
          <w:footerReference w:type="default" r:id="rId13"/>
          <w:pgSz w:w="16837" w:h="11905" w:orient="landscape"/>
          <w:pgMar w:top="720" w:right="720" w:bottom="720" w:left="720" w:header="709" w:footer="709" w:gutter="0"/>
          <w:cols w:space="708"/>
          <w:docGrid w:linePitch="360"/>
        </w:sectPr>
      </w:pPr>
    </w:p>
    <w:p w:rsidR="005B2B80" w:rsidRPr="00382D43" w:rsidRDefault="005B2B80">
      <w:pPr>
        <w:suppressAutoHyphens w:val="0"/>
        <w:rPr>
          <w:rFonts w:ascii="Arial" w:hAnsi="Arial" w:cs="Arial"/>
          <w:b/>
          <w:sz w:val="22"/>
          <w:szCs w:val="22"/>
          <w:lang w:val="en-US"/>
        </w:rPr>
      </w:pPr>
    </w:p>
    <w:p w:rsidR="005B2B80" w:rsidRPr="00382D43" w:rsidRDefault="005B2B80" w:rsidP="00714ADD">
      <w:pPr>
        <w:rPr>
          <w:rFonts w:ascii="Arial" w:hAnsi="Arial" w:cs="Arial"/>
          <w:b/>
          <w:sz w:val="22"/>
          <w:szCs w:val="22"/>
          <w:lang w:val="en-US"/>
        </w:rPr>
      </w:pPr>
    </w:p>
    <w:p w:rsidR="00714ADD" w:rsidRPr="00382D43" w:rsidRDefault="00292CC4" w:rsidP="00714ADD">
      <w:pPr>
        <w:rPr>
          <w:rFonts w:ascii="Arial" w:hAnsi="Arial" w:cs="Arial"/>
          <w:b/>
          <w:sz w:val="22"/>
          <w:szCs w:val="22"/>
          <w:lang w:val="en-US"/>
        </w:rPr>
      </w:pPr>
      <w:r w:rsidRPr="00382D43">
        <w:rPr>
          <w:rFonts w:ascii="Arial" w:hAnsi="Arial" w:cs="Arial"/>
          <w:b/>
          <w:sz w:val="22"/>
          <w:szCs w:val="22"/>
          <w:lang w:val="en-US"/>
        </w:rPr>
        <w:t>Strong increase in year-on-year unemployment</w:t>
      </w:r>
    </w:p>
    <w:p w:rsidR="00714ADD" w:rsidRPr="00382D43" w:rsidRDefault="00714ADD" w:rsidP="00714ADD">
      <w:pPr>
        <w:rPr>
          <w:rFonts w:ascii="Arial" w:hAnsi="Arial" w:cs="Arial"/>
          <w:color w:val="FF0000"/>
          <w:sz w:val="20"/>
          <w:szCs w:val="20"/>
          <w:highlight w:val="yellow"/>
          <w:lang w:val="en-US"/>
        </w:rPr>
      </w:pPr>
    </w:p>
    <w:p w:rsidR="00844481" w:rsidRPr="00382D43" w:rsidRDefault="00844481" w:rsidP="00844481">
      <w:pPr>
        <w:jc w:val="both"/>
        <w:rPr>
          <w:rFonts w:ascii="Arial" w:hAnsi="Arial" w:cs="Arial"/>
          <w:sz w:val="20"/>
          <w:szCs w:val="20"/>
          <w:lang w:val="en-US"/>
        </w:rPr>
      </w:pPr>
      <w:r w:rsidRPr="00382D43">
        <w:rPr>
          <w:rFonts w:ascii="Arial" w:hAnsi="Arial" w:cs="Arial"/>
          <w:color w:val="000000" w:themeColor="text1"/>
          <w:sz w:val="20"/>
          <w:szCs w:val="20"/>
          <w:lang w:val="en-US"/>
        </w:rPr>
        <w:t>From November 2015 to November 2016 the nonagricultural labor force increased by 1 million 119 thousand (4.6 percent) and nonagricultural employment increased by 492 thousand (2.3 percent) (</w:t>
      </w:r>
      <w:r w:rsidRPr="00382D43">
        <w:rPr>
          <w:rFonts w:ascii="Arial" w:hAnsi="Arial" w:cs="Arial"/>
          <w:color w:val="000000" w:themeColor="text1"/>
          <w:sz w:val="20"/>
          <w:szCs w:val="20"/>
          <w:lang w:val="en-US"/>
        </w:rPr>
        <w:fldChar w:fldCharType="begin"/>
      </w:r>
      <w:r w:rsidRPr="00382D43">
        <w:rPr>
          <w:rFonts w:ascii="Arial" w:hAnsi="Arial" w:cs="Arial"/>
          <w:color w:val="000000" w:themeColor="text1"/>
          <w:sz w:val="20"/>
          <w:szCs w:val="20"/>
          <w:lang w:val="en-US"/>
        </w:rPr>
        <w:instrText xml:space="preserve"> REF _Ref472410593 \h  \* MERGEFORMAT </w:instrText>
      </w:r>
      <w:r w:rsidRPr="00382D43">
        <w:rPr>
          <w:rFonts w:ascii="Arial" w:hAnsi="Arial" w:cs="Arial"/>
          <w:color w:val="000000" w:themeColor="text1"/>
          <w:sz w:val="20"/>
          <w:szCs w:val="20"/>
          <w:lang w:val="en-US"/>
        </w:rPr>
      </w:r>
      <w:r w:rsidRPr="00382D43">
        <w:rPr>
          <w:rFonts w:ascii="Arial" w:hAnsi="Arial" w:cs="Arial"/>
          <w:color w:val="000000" w:themeColor="text1"/>
          <w:sz w:val="20"/>
          <w:szCs w:val="20"/>
          <w:lang w:val="en-US"/>
        </w:rPr>
        <w:fldChar w:fldCharType="separate"/>
      </w:r>
      <w:r w:rsidRPr="00382D43">
        <w:rPr>
          <w:rFonts w:ascii="Arial" w:hAnsi="Arial" w:cs="Arial"/>
          <w:color w:val="000000" w:themeColor="text1"/>
          <w:sz w:val="20"/>
          <w:szCs w:val="20"/>
          <w:lang w:val="en-US"/>
        </w:rPr>
        <w:t>Figure 4</w:t>
      </w:r>
      <w:r w:rsidRPr="00382D43">
        <w:rPr>
          <w:rFonts w:ascii="Arial" w:hAnsi="Arial" w:cs="Arial"/>
          <w:color w:val="000000" w:themeColor="text1"/>
          <w:sz w:val="20"/>
          <w:szCs w:val="20"/>
          <w:lang w:val="en-US"/>
        </w:rPr>
        <w:fldChar w:fldCharType="end"/>
      </w:r>
      <w:r w:rsidRPr="00382D43">
        <w:rPr>
          <w:rFonts w:ascii="Arial" w:hAnsi="Arial" w:cs="Arial"/>
          <w:color w:val="000000" w:themeColor="text1"/>
          <w:sz w:val="20"/>
          <w:szCs w:val="20"/>
          <w:lang w:val="en-US"/>
        </w:rPr>
        <w:t>)</w:t>
      </w:r>
      <w:r w:rsidR="00760016" w:rsidRPr="00382D43">
        <w:rPr>
          <w:rFonts w:ascii="Arial" w:hAnsi="Arial" w:cs="Arial"/>
          <w:color w:val="000000" w:themeColor="text1"/>
          <w:sz w:val="20"/>
          <w:szCs w:val="20"/>
          <w:lang w:val="en-US"/>
        </w:rPr>
        <w:t>.</w:t>
      </w:r>
      <w:r w:rsidR="00760016" w:rsidRPr="00382D43">
        <w:rPr>
          <w:rFonts w:ascii="Arial" w:hAnsi="Arial" w:cs="Arial"/>
          <w:sz w:val="20"/>
          <w:szCs w:val="20"/>
          <w:lang w:val="en-US"/>
        </w:rPr>
        <w:t xml:space="preserve"> </w:t>
      </w:r>
      <w:r w:rsidRPr="00382D43">
        <w:rPr>
          <w:rFonts w:ascii="Arial" w:hAnsi="Arial" w:cs="Arial"/>
          <w:color w:val="000000" w:themeColor="text1"/>
          <w:sz w:val="20"/>
          <w:szCs w:val="20"/>
          <w:lang w:val="en-US"/>
        </w:rPr>
        <w:t>Thus, the number of non-agricultural unemployed increased by 627 thousand (20.6 percent) in the period of November 2016. We observe that the annual increase in non-agricultural employment has slowed down. Moreover, the annual increase in non-agricultural labor force is over 1 million 100 thousand. Parallel to these developments, the number of unemployed people in non-agricultural sectors exceeded 600 thousand in the period of November 2016.</w:t>
      </w:r>
    </w:p>
    <w:p w:rsidR="00BC1EE7" w:rsidRPr="00382D43" w:rsidRDefault="00BC1EE7" w:rsidP="00714ADD">
      <w:pPr>
        <w:jc w:val="both"/>
        <w:rPr>
          <w:rFonts w:ascii="Arial" w:hAnsi="Arial" w:cs="Arial"/>
          <w:b/>
          <w:color w:val="FF0000"/>
          <w:lang w:val="en-US"/>
        </w:rPr>
      </w:pPr>
    </w:p>
    <w:p w:rsidR="00714ADD" w:rsidRPr="00382D43" w:rsidRDefault="00477D62" w:rsidP="00714ADD">
      <w:pPr>
        <w:pStyle w:val="Caption"/>
        <w:keepNext/>
        <w:rPr>
          <w:rFonts w:ascii="Arial" w:hAnsi="Arial" w:cs="Arial"/>
          <w:lang w:val="en-US"/>
        </w:rPr>
      </w:pPr>
      <w:bookmarkStart w:id="6" w:name="_Ref472410593"/>
      <w:r w:rsidRPr="00382D43">
        <w:rPr>
          <w:rFonts w:ascii="Arial" w:hAnsi="Arial" w:cs="Arial"/>
          <w:bCs w:val="0"/>
          <w:lang w:val="en-US"/>
        </w:rPr>
        <w:t xml:space="preserve">Figure </w:t>
      </w:r>
      <w:r w:rsidRPr="00382D43">
        <w:rPr>
          <w:rFonts w:ascii="Arial" w:hAnsi="Arial" w:cs="Arial"/>
          <w:bCs w:val="0"/>
          <w:lang w:val="en-US"/>
        </w:rPr>
        <w:fldChar w:fldCharType="begin"/>
      </w:r>
      <w:r w:rsidRPr="00382D43">
        <w:rPr>
          <w:rFonts w:ascii="Arial" w:hAnsi="Arial" w:cs="Arial"/>
          <w:bCs w:val="0"/>
          <w:lang w:val="en-US"/>
        </w:rPr>
        <w:instrText xml:space="preserve"> SEQ Figure \* ARABIC </w:instrText>
      </w:r>
      <w:r w:rsidRPr="00382D43">
        <w:rPr>
          <w:rFonts w:ascii="Arial" w:hAnsi="Arial" w:cs="Arial"/>
          <w:bCs w:val="0"/>
          <w:lang w:val="en-US"/>
        </w:rPr>
        <w:fldChar w:fldCharType="separate"/>
      </w:r>
      <w:r w:rsidRPr="00382D43">
        <w:rPr>
          <w:rFonts w:ascii="Arial" w:hAnsi="Arial" w:cs="Arial"/>
          <w:bCs w:val="0"/>
          <w:noProof/>
          <w:lang w:val="en-US"/>
        </w:rPr>
        <w:t>4</w:t>
      </w:r>
      <w:r w:rsidRPr="00382D43">
        <w:rPr>
          <w:rFonts w:ascii="Arial" w:hAnsi="Arial" w:cs="Arial"/>
          <w:bCs w:val="0"/>
          <w:lang w:val="en-US"/>
        </w:rPr>
        <w:fldChar w:fldCharType="end"/>
      </w:r>
      <w:bookmarkEnd w:id="6"/>
      <w:r w:rsidRPr="00382D43">
        <w:rPr>
          <w:lang w:val="en-US"/>
        </w:rPr>
        <w:t xml:space="preserve"> </w:t>
      </w:r>
      <w:r w:rsidRPr="00382D43">
        <w:rPr>
          <w:rFonts w:ascii="Arial" w:hAnsi="Arial" w:cs="Arial"/>
          <w:bCs w:val="0"/>
          <w:lang w:val="en-US"/>
        </w:rPr>
        <w:t>Year-on-year changes in non-agricultural labor force, employment, and unemployment</w:t>
      </w:r>
    </w:p>
    <w:p w:rsidR="00714ADD" w:rsidRPr="00382D43" w:rsidRDefault="00714ADD" w:rsidP="00714ADD">
      <w:pPr>
        <w:rPr>
          <w:color w:val="FF0000"/>
          <w:lang w:val="en-US"/>
        </w:rPr>
      </w:pPr>
    </w:p>
    <w:p w:rsidR="00DD5C6A" w:rsidRPr="00382D43" w:rsidRDefault="005730BC" w:rsidP="00714ADD">
      <w:pPr>
        <w:rPr>
          <w:color w:val="FF0000"/>
          <w:lang w:val="en-US"/>
        </w:rPr>
      </w:pPr>
      <w:r w:rsidRPr="00382D43">
        <w:rPr>
          <w:noProof/>
          <w:lang w:eastAsia="tr-TR"/>
        </w:rPr>
        <w:drawing>
          <wp:inline distT="0" distB="0" distL="0" distR="0" wp14:anchorId="748781DB" wp14:editId="0D8DB0DD">
            <wp:extent cx="6645275" cy="4035592"/>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35592"/>
                    </a:xfrm>
                    <a:prstGeom prst="rect">
                      <a:avLst/>
                    </a:prstGeom>
                    <a:noFill/>
                    <a:ln>
                      <a:noFill/>
                    </a:ln>
                  </pic:spPr>
                </pic:pic>
              </a:graphicData>
            </a:graphic>
          </wp:inline>
        </w:drawing>
      </w:r>
    </w:p>
    <w:p w:rsidR="005B2B80" w:rsidRPr="00382D43" w:rsidRDefault="005B2B80" w:rsidP="005B2B80">
      <w:pPr>
        <w:rPr>
          <w:rFonts w:ascii="Arial" w:hAnsi="Arial" w:cs="Arial"/>
          <w:color w:val="FF0000"/>
          <w:sz w:val="18"/>
          <w:szCs w:val="18"/>
          <w:lang w:val="en-US"/>
        </w:rPr>
      </w:pPr>
      <w:r w:rsidRPr="00382D43">
        <w:rPr>
          <w:rFonts w:ascii="Arial" w:hAnsi="Arial" w:cs="Arial"/>
          <w:sz w:val="18"/>
          <w:szCs w:val="18"/>
          <w:lang w:val="en-US"/>
        </w:rPr>
        <w:t xml:space="preserve">Source: </w:t>
      </w:r>
      <w:proofErr w:type="spellStart"/>
      <w:r w:rsidRPr="00382D43">
        <w:rPr>
          <w:rFonts w:ascii="Arial" w:hAnsi="Arial" w:cs="Arial"/>
          <w:sz w:val="18"/>
          <w:szCs w:val="18"/>
          <w:lang w:val="en-US"/>
        </w:rPr>
        <w:t>Turkstat</w:t>
      </w:r>
      <w:proofErr w:type="spellEnd"/>
      <w:r w:rsidRPr="00382D43">
        <w:rPr>
          <w:rFonts w:ascii="Arial" w:hAnsi="Arial" w:cs="Arial"/>
          <w:sz w:val="18"/>
          <w:szCs w:val="18"/>
          <w:lang w:val="en-US"/>
        </w:rPr>
        <w:t xml:space="preserve">, </w:t>
      </w:r>
      <w:r w:rsidRPr="00382D43">
        <w:rPr>
          <w:rFonts w:ascii="Arial" w:hAnsi="Arial" w:cs="Arial"/>
          <w:bCs/>
          <w:sz w:val="18"/>
          <w:szCs w:val="18"/>
          <w:lang w:val="en-US"/>
        </w:rPr>
        <w:t>Betam</w:t>
      </w:r>
    </w:p>
    <w:p w:rsidR="00714ADD" w:rsidRPr="00382D43" w:rsidRDefault="00714ADD" w:rsidP="001314EB">
      <w:pPr>
        <w:pStyle w:val="Caption"/>
        <w:keepNext/>
        <w:rPr>
          <w:rFonts w:ascii="Arial" w:hAnsi="Arial" w:cs="Arial"/>
          <w:color w:val="FF0000"/>
          <w:lang w:val="en-US"/>
        </w:rPr>
      </w:pPr>
    </w:p>
    <w:p w:rsidR="008A312B" w:rsidRPr="00382D43" w:rsidRDefault="008A312B" w:rsidP="008A312B">
      <w:pPr>
        <w:rPr>
          <w:color w:val="FF0000"/>
          <w:lang w:val="en-US"/>
        </w:rPr>
      </w:pPr>
    </w:p>
    <w:p w:rsidR="00132059" w:rsidRPr="00382D43" w:rsidRDefault="00844481" w:rsidP="00CA1307">
      <w:pPr>
        <w:pStyle w:val="Caption"/>
        <w:keepNext/>
        <w:rPr>
          <w:rFonts w:ascii="Arial" w:hAnsi="Arial" w:cs="Arial"/>
          <w:sz w:val="22"/>
          <w:szCs w:val="22"/>
          <w:lang w:val="en-US"/>
        </w:rPr>
      </w:pPr>
      <w:r w:rsidRPr="00382D43">
        <w:rPr>
          <w:rFonts w:ascii="Arial" w:hAnsi="Arial" w:cs="Arial"/>
          <w:sz w:val="22"/>
          <w:szCs w:val="22"/>
          <w:lang w:val="en-US"/>
        </w:rPr>
        <w:t>Female unemployment continues to increase rapidly</w:t>
      </w:r>
    </w:p>
    <w:p w:rsidR="003C7602" w:rsidRPr="00382D43" w:rsidRDefault="003C7602" w:rsidP="00CA1307">
      <w:pPr>
        <w:jc w:val="both"/>
        <w:rPr>
          <w:rFonts w:ascii="Arial" w:hAnsi="Arial" w:cs="Arial"/>
          <w:color w:val="FF0000"/>
          <w:sz w:val="20"/>
          <w:szCs w:val="20"/>
          <w:highlight w:val="yellow"/>
          <w:lang w:val="en-US"/>
        </w:rPr>
      </w:pPr>
    </w:p>
    <w:p w:rsidR="00D32DAC" w:rsidRPr="00382D43" w:rsidRDefault="00D32DAC" w:rsidP="00D32DAC">
      <w:pPr>
        <w:jc w:val="both"/>
        <w:rPr>
          <w:rFonts w:ascii="Arial" w:hAnsi="Arial" w:cs="Arial"/>
          <w:sz w:val="20"/>
          <w:szCs w:val="20"/>
          <w:lang w:val="en-US"/>
        </w:rPr>
      </w:pPr>
      <w:proofErr w:type="spellStart"/>
      <w:r w:rsidRPr="00382D43">
        <w:rPr>
          <w:rFonts w:ascii="Arial" w:hAnsi="Arial" w:cs="Arial"/>
          <w:sz w:val="20"/>
          <w:szCs w:val="20"/>
          <w:lang w:val="en-US"/>
        </w:rPr>
        <w:t>Turkstat</w:t>
      </w:r>
      <w:proofErr w:type="spellEnd"/>
      <w:r w:rsidRPr="00382D43">
        <w:rPr>
          <w:rFonts w:ascii="Arial" w:hAnsi="Arial" w:cs="Arial"/>
          <w:sz w:val="20"/>
          <w:szCs w:val="20"/>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382D43">
        <w:rPr>
          <w:rFonts w:ascii="Arial" w:hAnsi="Arial" w:cs="Arial"/>
          <w:sz w:val="20"/>
          <w:szCs w:val="20"/>
          <w:lang w:val="en-US"/>
        </w:rPr>
        <w:t>Turkstat</w:t>
      </w:r>
      <w:proofErr w:type="spellEnd"/>
      <w:r w:rsidRPr="00382D43">
        <w:rPr>
          <w:rFonts w:ascii="Arial" w:hAnsi="Arial" w:cs="Arial"/>
          <w:sz w:val="20"/>
          <w:szCs w:val="20"/>
          <w:lang w:val="en-US"/>
        </w:rPr>
        <w:t xml:space="preserve"> is not providing back-casted series by gender. Therefore, female and male labor market statistics are not sufficiently long for the seasonal adjustment procedures. Under these circumstances, we use the year-on-year changes in male and female labor market statistics to study the latest developments in the labor market. Figure 5 shows yearly non-agricultural employment (dark colors), non-agricultural labor force (light colors) for males (green) and for females (purple).</w:t>
      </w:r>
    </w:p>
    <w:p w:rsidR="008A312B" w:rsidRPr="00382D43" w:rsidRDefault="008A312B" w:rsidP="00CA1307">
      <w:pPr>
        <w:jc w:val="both"/>
        <w:rPr>
          <w:rFonts w:ascii="Arial" w:hAnsi="Arial" w:cs="Arial"/>
          <w:color w:val="FF0000"/>
          <w:sz w:val="20"/>
          <w:szCs w:val="20"/>
          <w:lang w:val="en-US"/>
        </w:rPr>
      </w:pPr>
    </w:p>
    <w:p w:rsidR="000C5B31" w:rsidRPr="00382D43" w:rsidRDefault="000C5B31" w:rsidP="00CA1307">
      <w:pPr>
        <w:jc w:val="both"/>
        <w:rPr>
          <w:rFonts w:ascii="Arial" w:hAnsi="Arial" w:cs="Arial"/>
          <w:color w:val="FF0000"/>
          <w:sz w:val="20"/>
          <w:szCs w:val="20"/>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p>
    <w:p w:rsidR="00477D62" w:rsidRPr="00382D43" w:rsidRDefault="00477D62" w:rsidP="00477D62">
      <w:pPr>
        <w:pStyle w:val="Caption"/>
        <w:rPr>
          <w:rFonts w:ascii="Arial" w:hAnsi="Arial" w:cs="Arial"/>
          <w:lang w:val="en-US"/>
        </w:rPr>
      </w:pPr>
      <w:r w:rsidRPr="00382D43">
        <w:rPr>
          <w:rFonts w:ascii="Arial" w:hAnsi="Arial" w:cs="Arial"/>
          <w:lang w:val="en-US"/>
        </w:rPr>
        <w:t xml:space="preserve">Figure </w:t>
      </w:r>
      <w:r w:rsidRPr="00382D43">
        <w:rPr>
          <w:rFonts w:ascii="Arial" w:hAnsi="Arial" w:cs="Arial"/>
          <w:lang w:val="en-US"/>
        </w:rPr>
        <w:fldChar w:fldCharType="begin"/>
      </w:r>
      <w:r w:rsidRPr="00382D43">
        <w:rPr>
          <w:rFonts w:ascii="Arial" w:hAnsi="Arial" w:cs="Arial"/>
          <w:lang w:val="en-US"/>
        </w:rPr>
        <w:instrText xml:space="preserve"> SEQ Figure \* ARABIC </w:instrText>
      </w:r>
      <w:r w:rsidRPr="00382D43">
        <w:rPr>
          <w:rFonts w:ascii="Arial" w:hAnsi="Arial" w:cs="Arial"/>
          <w:lang w:val="en-US"/>
        </w:rPr>
        <w:fldChar w:fldCharType="separate"/>
      </w:r>
      <w:r w:rsidRPr="00382D43">
        <w:rPr>
          <w:rFonts w:ascii="Arial" w:hAnsi="Arial" w:cs="Arial"/>
          <w:lang w:val="en-US"/>
        </w:rPr>
        <w:t>5</w:t>
      </w:r>
      <w:r w:rsidRPr="00382D43">
        <w:rPr>
          <w:rFonts w:ascii="Arial" w:hAnsi="Arial" w:cs="Arial"/>
          <w:lang w:val="en-US"/>
        </w:rPr>
        <w:fldChar w:fldCharType="end"/>
      </w:r>
      <w:r w:rsidRPr="00382D43">
        <w:rPr>
          <w:lang w:val="en-US"/>
        </w:rPr>
        <w:t xml:space="preserve"> </w:t>
      </w:r>
      <w:r w:rsidRPr="00382D43">
        <w:rPr>
          <w:rFonts w:ascii="Arial" w:hAnsi="Arial" w:cs="Arial"/>
          <w:lang w:val="en-US"/>
        </w:rPr>
        <w:t>Year-on-year changes in nonagricultural labor force and employment by gender</w:t>
      </w:r>
    </w:p>
    <w:p w:rsidR="008A312B" w:rsidRPr="00382D43" w:rsidRDefault="005730BC" w:rsidP="008A312B">
      <w:pPr>
        <w:rPr>
          <w:color w:val="FF0000"/>
          <w:lang w:val="en-US"/>
        </w:rPr>
      </w:pPr>
      <w:r w:rsidRPr="00382D43">
        <w:rPr>
          <w:noProof/>
          <w:lang w:eastAsia="tr-TR"/>
        </w:rPr>
        <w:drawing>
          <wp:inline distT="0" distB="0" distL="0" distR="0" wp14:anchorId="0FC6BCF8" wp14:editId="564C2FCA">
            <wp:extent cx="6645275" cy="3102904"/>
            <wp:effectExtent l="0" t="0" r="317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275" cy="3102904"/>
                    </a:xfrm>
                    <a:prstGeom prst="rect">
                      <a:avLst/>
                    </a:prstGeom>
                    <a:noFill/>
                    <a:ln>
                      <a:noFill/>
                    </a:ln>
                  </pic:spPr>
                </pic:pic>
              </a:graphicData>
            </a:graphic>
          </wp:inline>
        </w:drawing>
      </w:r>
    </w:p>
    <w:p w:rsidR="005B2B80" w:rsidRPr="00382D43" w:rsidRDefault="005B2B80" w:rsidP="005B2B80">
      <w:pPr>
        <w:rPr>
          <w:rFonts w:ascii="Arial" w:hAnsi="Arial" w:cs="Arial"/>
          <w:color w:val="FF0000"/>
          <w:sz w:val="18"/>
          <w:szCs w:val="18"/>
          <w:lang w:val="en-US"/>
        </w:rPr>
      </w:pPr>
      <w:r w:rsidRPr="00382D43">
        <w:rPr>
          <w:rFonts w:ascii="Arial" w:hAnsi="Arial" w:cs="Arial"/>
          <w:sz w:val="18"/>
          <w:szCs w:val="18"/>
          <w:lang w:val="en-US"/>
        </w:rPr>
        <w:t xml:space="preserve">Source: </w:t>
      </w:r>
      <w:proofErr w:type="spellStart"/>
      <w:r w:rsidRPr="00382D43">
        <w:rPr>
          <w:rFonts w:ascii="Arial" w:hAnsi="Arial" w:cs="Arial"/>
          <w:sz w:val="18"/>
          <w:szCs w:val="18"/>
          <w:lang w:val="en-US"/>
        </w:rPr>
        <w:t>Turkstat</w:t>
      </w:r>
      <w:proofErr w:type="spellEnd"/>
      <w:r w:rsidRPr="00382D43">
        <w:rPr>
          <w:rFonts w:ascii="Arial" w:hAnsi="Arial" w:cs="Arial"/>
          <w:sz w:val="18"/>
          <w:szCs w:val="18"/>
          <w:lang w:val="en-US"/>
        </w:rPr>
        <w:t xml:space="preserve">, </w:t>
      </w:r>
      <w:r w:rsidRPr="00382D43">
        <w:rPr>
          <w:rFonts w:ascii="Arial" w:hAnsi="Arial" w:cs="Arial"/>
          <w:bCs/>
          <w:sz w:val="18"/>
          <w:szCs w:val="18"/>
          <w:lang w:val="en-US"/>
        </w:rPr>
        <w:t>Betam</w:t>
      </w:r>
    </w:p>
    <w:p w:rsidR="008A312B" w:rsidRPr="00382D43" w:rsidRDefault="008A312B" w:rsidP="008A312B">
      <w:pPr>
        <w:rPr>
          <w:rFonts w:ascii="Arial" w:hAnsi="Arial" w:cs="Arial"/>
          <w:color w:val="FF0000"/>
          <w:sz w:val="20"/>
          <w:szCs w:val="20"/>
          <w:lang w:val="en-US"/>
        </w:rPr>
      </w:pPr>
    </w:p>
    <w:p w:rsidR="00F80C7E" w:rsidRPr="00382D43" w:rsidRDefault="00236015" w:rsidP="00F80C7E">
      <w:pPr>
        <w:jc w:val="both"/>
        <w:rPr>
          <w:rFonts w:ascii="Arial" w:hAnsi="Arial" w:cs="Arial"/>
          <w:sz w:val="20"/>
          <w:szCs w:val="20"/>
          <w:lang w:val="en-US"/>
        </w:rPr>
      </w:pPr>
      <w:r w:rsidRPr="00382D43">
        <w:rPr>
          <w:rFonts w:ascii="Arial" w:hAnsi="Arial" w:cs="Arial"/>
          <w:color w:val="000000" w:themeColor="text1"/>
          <w:sz w:val="20"/>
          <w:szCs w:val="20"/>
          <w:lang w:val="en-US"/>
        </w:rPr>
        <w:t>In November 2016, nonagricultural female labor force and nonagricultural male labor force increased by 584 thousand and 526 thousand respectively compared to November 2015. On the other hand, nonagricultural male employment increased by 271 thousand whereas the increase in nonagricultural female employment was limited to 220 thousand. The number of non-agricultural unemployed women and men increased by 364 thousand and 255 thousand, respectively. Compared to November 2015, the non-agricultural male unemployment rate grew from 10.5 percent to 11.6 percent and the non-agricultural female unemployment rate rose from 17.3 percent to 21.0 percent</w:t>
      </w:r>
    </w:p>
    <w:p w:rsidR="008A312B" w:rsidRPr="00382D43" w:rsidRDefault="008A312B" w:rsidP="00CA1307">
      <w:pPr>
        <w:jc w:val="both"/>
        <w:rPr>
          <w:rFonts w:ascii="Arial" w:hAnsi="Arial" w:cs="Arial"/>
          <w:sz w:val="20"/>
          <w:szCs w:val="20"/>
          <w:lang w:val="en-US"/>
        </w:rPr>
      </w:pPr>
    </w:p>
    <w:p w:rsidR="00F80C7E" w:rsidRPr="00382D43" w:rsidRDefault="00F80C7E">
      <w:pPr>
        <w:suppressAutoHyphens w:val="0"/>
        <w:rPr>
          <w:rFonts w:ascii="Arial" w:hAnsi="Arial" w:cs="Arial"/>
          <w:b/>
          <w:bCs/>
          <w:sz w:val="20"/>
          <w:szCs w:val="20"/>
          <w:lang w:val="en-US"/>
        </w:rPr>
      </w:pPr>
      <w:bookmarkStart w:id="7" w:name="_Ref448480503"/>
      <w:r w:rsidRPr="00382D43">
        <w:rPr>
          <w:rFonts w:ascii="Arial" w:hAnsi="Arial" w:cs="Arial"/>
          <w:lang w:val="en-US"/>
        </w:rPr>
        <w:br w:type="page"/>
      </w:r>
    </w:p>
    <w:p w:rsidR="00477D62" w:rsidRPr="00382D43" w:rsidRDefault="00477D62" w:rsidP="00477D62">
      <w:pPr>
        <w:pStyle w:val="Caption"/>
        <w:rPr>
          <w:rFonts w:ascii="Arial" w:hAnsi="Arial" w:cs="Arial"/>
          <w:lang w:val="en-US"/>
        </w:rPr>
      </w:pPr>
      <w:bookmarkStart w:id="8" w:name="_Ref474941597"/>
      <w:bookmarkEnd w:id="4"/>
      <w:bookmarkEnd w:id="5"/>
      <w:bookmarkEnd w:id="7"/>
      <w:r w:rsidRPr="00382D43">
        <w:rPr>
          <w:rFonts w:ascii="Arial" w:hAnsi="Arial" w:cs="Arial"/>
          <w:lang w:val="en-US"/>
        </w:rPr>
        <w:lastRenderedPageBreak/>
        <w:t xml:space="preserve">Table </w:t>
      </w:r>
      <w:r w:rsidRPr="00382D43">
        <w:rPr>
          <w:rFonts w:ascii="Arial" w:hAnsi="Arial" w:cs="Arial"/>
          <w:lang w:val="en-US"/>
        </w:rPr>
        <w:fldChar w:fldCharType="begin"/>
      </w:r>
      <w:r w:rsidRPr="00382D43">
        <w:rPr>
          <w:rFonts w:ascii="Arial" w:hAnsi="Arial" w:cs="Arial"/>
          <w:lang w:val="en-US"/>
        </w:rPr>
        <w:instrText xml:space="preserve"> SEQ Table \* ARABIC </w:instrText>
      </w:r>
      <w:r w:rsidRPr="00382D43">
        <w:rPr>
          <w:rFonts w:ascii="Arial" w:hAnsi="Arial" w:cs="Arial"/>
          <w:lang w:val="en-US"/>
        </w:rPr>
        <w:fldChar w:fldCharType="separate"/>
      </w:r>
      <w:r w:rsidRPr="00382D43">
        <w:rPr>
          <w:rFonts w:ascii="Arial" w:hAnsi="Arial" w:cs="Arial"/>
          <w:noProof/>
          <w:lang w:val="en-US"/>
        </w:rPr>
        <w:t>1</w:t>
      </w:r>
      <w:r w:rsidRPr="00382D43">
        <w:rPr>
          <w:rFonts w:ascii="Arial" w:hAnsi="Arial" w:cs="Arial"/>
          <w:lang w:val="en-US"/>
        </w:rPr>
        <w:fldChar w:fldCharType="end"/>
      </w:r>
      <w:bookmarkEnd w:id="8"/>
      <w:r w:rsidRPr="00382D43">
        <w:rPr>
          <w:lang w:val="en-US"/>
        </w:rPr>
        <w:t xml:space="preserve"> </w:t>
      </w:r>
      <w:r w:rsidRPr="00382D43">
        <w:rPr>
          <w:rFonts w:ascii="Arial" w:hAnsi="Arial" w:cs="Arial"/>
          <w:lang w:val="en-US"/>
        </w:rPr>
        <w:t>Seasonally adjusted non-agricultural labor market indicators (in thousands)</w:t>
      </w:r>
    </w:p>
    <w:p w:rsidR="008439A9" w:rsidRPr="00382D43" w:rsidRDefault="008439A9" w:rsidP="008439A9">
      <w:pPr>
        <w:rPr>
          <w:lang w:val="en-US"/>
        </w:rPr>
      </w:pPr>
    </w:p>
    <w:tbl>
      <w:tblPr>
        <w:tblW w:w="9778" w:type="dxa"/>
        <w:tblCellMar>
          <w:left w:w="70" w:type="dxa"/>
          <w:right w:w="70" w:type="dxa"/>
        </w:tblCellMar>
        <w:tblLook w:val="04A0" w:firstRow="1" w:lastRow="0" w:firstColumn="1" w:lastColumn="0" w:noHBand="0" w:noVBand="1"/>
      </w:tblPr>
      <w:tblGrid>
        <w:gridCol w:w="1227"/>
        <w:gridCol w:w="1016"/>
        <w:gridCol w:w="1101"/>
        <w:gridCol w:w="1323"/>
        <w:gridCol w:w="1687"/>
        <w:gridCol w:w="1016"/>
        <w:gridCol w:w="1101"/>
        <w:gridCol w:w="1323"/>
      </w:tblGrid>
      <w:tr w:rsidR="005730BC" w:rsidRPr="00382D43" w:rsidTr="005730BC">
        <w:trPr>
          <w:trHeight w:val="285"/>
        </w:trPr>
        <w:tc>
          <w:tcPr>
            <w:tcW w:w="1227" w:type="dxa"/>
            <w:tcBorders>
              <w:top w:val="single" w:sz="8" w:space="0" w:color="auto"/>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 </w:t>
            </w:r>
          </w:p>
        </w:tc>
        <w:tc>
          <w:tcPr>
            <w:tcW w:w="1016" w:type="dxa"/>
            <w:tcBorders>
              <w:top w:val="single" w:sz="8" w:space="0" w:color="auto"/>
              <w:left w:val="nil"/>
              <w:bottom w:val="single" w:sz="8" w:space="0" w:color="auto"/>
              <w:right w:val="single" w:sz="4" w:space="0" w:color="C0C0C0"/>
            </w:tcBorders>
            <w:shd w:val="clear" w:color="auto" w:fill="auto"/>
            <w:vAlign w:val="bottom"/>
            <w:hideMark/>
          </w:tcPr>
          <w:p w:rsidR="005730BC" w:rsidRPr="00382D43" w:rsidRDefault="005730BC" w:rsidP="005730BC">
            <w:pPr>
              <w:suppressAutoHyphens w:val="0"/>
              <w:jc w:val="center"/>
              <w:rPr>
                <w:rFonts w:ascii="Arial" w:hAnsi="Arial" w:cs="Arial"/>
                <w:b/>
                <w:bCs/>
                <w:sz w:val="16"/>
                <w:szCs w:val="16"/>
                <w:lang w:val="en-US" w:eastAsia="tr-TR"/>
              </w:rPr>
            </w:pPr>
            <w:r w:rsidRPr="00382D43">
              <w:rPr>
                <w:rFonts w:ascii="Arial" w:hAnsi="Arial" w:cs="Arial"/>
                <w:b/>
                <w:bCs/>
                <w:sz w:val="16"/>
                <w:szCs w:val="16"/>
                <w:lang w:val="en-US" w:eastAsia="tr-TR"/>
              </w:rPr>
              <w:t>Labor force</w:t>
            </w:r>
          </w:p>
        </w:tc>
        <w:tc>
          <w:tcPr>
            <w:tcW w:w="1093" w:type="dxa"/>
            <w:tcBorders>
              <w:top w:val="single" w:sz="8" w:space="0" w:color="auto"/>
              <w:left w:val="nil"/>
              <w:bottom w:val="single" w:sz="8" w:space="0" w:color="auto"/>
              <w:right w:val="single" w:sz="4" w:space="0" w:color="C0C0C0"/>
            </w:tcBorders>
            <w:shd w:val="clear" w:color="auto" w:fill="auto"/>
            <w:vAlign w:val="bottom"/>
            <w:hideMark/>
          </w:tcPr>
          <w:p w:rsidR="005730BC" w:rsidRPr="00382D43" w:rsidRDefault="005730BC" w:rsidP="005730BC">
            <w:pPr>
              <w:suppressAutoHyphens w:val="0"/>
              <w:jc w:val="center"/>
              <w:rPr>
                <w:rFonts w:ascii="Arial" w:hAnsi="Arial" w:cs="Arial"/>
                <w:b/>
                <w:bCs/>
                <w:sz w:val="16"/>
                <w:szCs w:val="16"/>
                <w:lang w:val="en-US" w:eastAsia="tr-TR"/>
              </w:rPr>
            </w:pPr>
            <w:r w:rsidRPr="00382D43">
              <w:rPr>
                <w:rFonts w:ascii="Arial" w:hAnsi="Arial" w:cs="Arial"/>
                <w:b/>
                <w:bCs/>
                <w:sz w:val="16"/>
                <w:szCs w:val="16"/>
                <w:lang w:val="en-US" w:eastAsia="tr-TR"/>
              </w:rPr>
              <w:t>Employment</w:t>
            </w:r>
          </w:p>
        </w:tc>
        <w:tc>
          <w:tcPr>
            <w:tcW w:w="1323" w:type="dxa"/>
            <w:tcBorders>
              <w:top w:val="single" w:sz="8" w:space="0" w:color="auto"/>
              <w:left w:val="nil"/>
              <w:bottom w:val="single" w:sz="8" w:space="0" w:color="auto"/>
              <w:right w:val="single" w:sz="4" w:space="0" w:color="C0C0C0"/>
            </w:tcBorders>
            <w:shd w:val="clear" w:color="auto" w:fill="auto"/>
            <w:vAlign w:val="bottom"/>
            <w:hideMark/>
          </w:tcPr>
          <w:p w:rsidR="005730BC" w:rsidRPr="00382D43" w:rsidRDefault="005730BC" w:rsidP="005730BC">
            <w:pPr>
              <w:suppressAutoHyphens w:val="0"/>
              <w:jc w:val="center"/>
              <w:rPr>
                <w:rFonts w:ascii="Arial" w:hAnsi="Arial" w:cs="Arial"/>
                <w:b/>
                <w:bCs/>
                <w:sz w:val="16"/>
                <w:szCs w:val="16"/>
                <w:lang w:val="en-US" w:eastAsia="tr-TR"/>
              </w:rPr>
            </w:pPr>
            <w:r w:rsidRPr="00382D43">
              <w:rPr>
                <w:rFonts w:ascii="Arial" w:hAnsi="Arial" w:cs="Arial"/>
                <w:b/>
                <w:bCs/>
                <w:sz w:val="16"/>
                <w:szCs w:val="16"/>
                <w:lang w:val="en-US" w:eastAsia="tr-TR"/>
              </w:rPr>
              <w:t>Unemployment</w:t>
            </w:r>
          </w:p>
        </w:tc>
        <w:tc>
          <w:tcPr>
            <w:tcW w:w="1687" w:type="dxa"/>
            <w:tcBorders>
              <w:top w:val="single" w:sz="8" w:space="0" w:color="auto"/>
              <w:left w:val="nil"/>
              <w:bottom w:val="single" w:sz="8" w:space="0" w:color="auto"/>
              <w:right w:val="single" w:sz="8" w:space="0" w:color="auto"/>
            </w:tcBorders>
            <w:shd w:val="clear" w:color="auto" w:fill="auto"/>
            <w:vAlign w:val="bottom"/>
            <w:hideMark/>
          </w:tcPr>
          <w:p w:rsidR="005730BC" w:rsidRPr="00382D43" w:rsidRDefault="005730BC" w:rsidP="005730BC">
            <w:pPr>
              <w:suppressAutoHyphens w:val="0"/>
              <w:jc w:val="center"/>
              <w:rPr>
                <w:rFonts w:ascii="Arial" w:hAnsi="Arial" w:cs="Arial"/>
                <w:b/>
                <w:bCs/>
                <w:sz w:val="16"/>
                <w:szCs w:val="16"/>
                <w:lang w:val="en-US" w:eastAsia="tr-TR"/>
              </w:rPr>
            </w:pPr>
            <w:r w:rsidRPr="00382D43">
              <w:rPr>
                <w:rFonts w:ascii="Arial" w:hAnsi="Arial" w:cs="Arial"/>
                <w:b/>
                <w:bCs/>
                <w:sz w:val="16"/>
                <w:szCs w:val="16"/>
                <w:lang w:val="en-US" w:eastAsia="tr-TR"/>
              </w:rPr>
              <w:t>Unemployment rate</w:t>
            </w:r>
          </w:p>
        </w:tc>
        <w:tc>
          <w:tcPr>
            <w:tcW w:w="3432" w:type="dxa"/>
            <w:gridSpan w:val="3"/>
            <w:tcBorders>
              <w:top w:val="single" w:sz="8" w:space="0" w:color="auto"/>
              <w:left w:val="nil"/>
              <w:bottom w:val="single" w:sz="8" w:space="0" w:color="auto"/>
              <w:right w:val="single" w:sz="8" w:space="0" w:color="000000"/>
            </w:tcBorders>
            <w:shd w:val="clear" w:color="auto" w:fill="auto"/>
            <w:vAlign w:val="bottom"/>
            <w:hideMark/>
          </w:tcPr>
          <w:p w:rsidR="005730BC" w:rsidRPr="00382D43" w:rsidRDefault="005730BC" w:rsidP="005730BC">
            <w:pPr>
              <w:suppressAutoHyphens w:val="0"/>
              <w:jc w:val="center"/>
              <w:rPr>
                <w:rFonts w:ascii="Arial" w:hAnsi="Arial" w:cs="Arial"/>
                <w:b/>
                <w:bCs/>
                <w:sz w:val="16"/>
                <w:szCs w:val="16"/>
                <w:lang w:val="en-US" w:eastAsia="tr-TR"/>
              </w:rPr>
            </w:pPr>
            <w:r w:rsidRPr="00382D43">
              <w:rPr>
                <w:rFonts w:ascii="Arial" w:hAnsi="Arial" w:cs="Arial"/>
                <w:b/>
                <w:bCs/>
                <w:sz w:val="16"/>
                <w:szCs w:val="16"/>
                <w:lang w:val="en-US" w:eastAsia="tr-TR"/>
              </w:rPr>
              <w:t>Monthly changes</w:t>
            </w:r>
          </w:p>
        </w:tc>
      </w:tr>
      <w:tr w:rsidR="005730BC" w:rsidRPr="00382D43" w:rsidTr="005730BC">
        <w:trPr>
          <w:trHeight w:val="285"/>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October-13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21985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19589</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2396</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10,9%</w:t>
            </w:r>
          </w:p>
        </w:tc>
        <w:tc>
          <w:tcPr>
            <w:tcW w:w="1016" w:type="dxa"/>
            <w:tcBorders>
              <w:top w:val="nil"/>
              <w:left w:val="nil"/>
              <w:bottom w:val="nil"/>
              <w:right w:val="nil"/>
            </w:tcBorders>
            <w:shd w:val="clear" w:color="auto" w:fill="auto"/>
            <w:vAlign w:val="bottom"/>
            <w:hideMark/>
          </w:tcPr>
          <w:p w:rsidR="005730BC" w:rsidRPr="00382D43" w:rsidRDefault="005730BC" w:rsidP="005730BC">
            <w:pPr>
              <w:suppressAutoHyphens w:val="0"/>
              <w:jc w:val="center"/>
              <w:rPr>
                <w:rFonts w:ascii="Arial" w:hAnsi="Arial" w:cs="Arial"/>
                <w:b/>
                <w:bCs/>
                <w:sz w:val="16"/>
                <w:szCs w:val="16"/>
                <w:lang w:val="en-US" w:eastAsia="tr-TR"/>
              </w:rPr>
            </w:pPr>
            <w:r w:rsidRPr="00382D43">
              <w:rPr>
                <w:rFonts w:ascii="Arial" w:hAnsi="Arial" w:cs="Arial"/>
                <w:b/>
                <w:bCs/>
                <w:sz w:val="16"/>
                <w:szCs w:val="16"/>
                <w:lang w:val="en-US" w:eastAsia="tr-TR"/>
              </w:rPr>
              <w:t>Labor force</w:t>
            </w:r>
          </w:p>
        </w:tc>
        <w:tc>
          <w:tcPr>
            <w:tcW w:w="1093" w:type="dxa"/>
            <w:tcBorders>
              <w:top w:val="nil"/>
              <w:left w:val="nil"/>
              <w:bottom w:val="nil"/>
              <w:right w:val="nil"/>
            </w:tcBorders>
            <w:shd w:val="clear" w:color="auto" w:fill="auto"/>
            <w:vAlign w:val="bottom"/>
            <w:hideMark/>
          </w:tcPr>
          <w:p w:rsidR="005730BC" w:rsidRPr="00382D43" w:rsidRDefault="005730BC" w:rsidP="005730BC">
            <w:pPr>
              <w:suppressAutoHyphens w:val="0"/>
              <w:jc w:val="center"/>
              <w:rPr>
                <w:rFonts w:ascii="Arial" w:hAnsi="Arial" w:cs="Arial"/>
                <w:b/>
                <w:bCs/>
                <w:sz w:val="16"/>
                <w:szCs w:val="16"/>
                <w:lang w:val="en-US" w:eastAsia="tr-TR"/>
              </w:rPr>
            </w:pPr>
            <w:r w:rsidRPr="00382D43">
              <w:rPr>
                <w:rFonts w:ascii="Arial" w:hAnsi="Arial" w:cs="Arial"/>
                <w:b/>
                <w:bCs/>
                <w:sz w:val="16"/>
                <w:szCs w:val="16"/>
                <w:lang w:val="en-US" w:eastAsia="tr-TR"/>
              </w:rPr>
              <w:t>Employment</w:t>
            </w:r>
          </w:p>
        </w:tc>
        <w:tc>
          <w:tcPr>
            <w:tcW w:w="1323" w:type="dxa"/>
            <w:tcBorders>
              <w:top w:val="nil"/>
              <w:left w:val="nil"/>
              <w:bottom w:val="nil"/>
              <w:right w:val="single" w:sz="8" w:space="0" w:color="auto"/>
            </w:tcBorders>
            <w:shd w:val="clear" w:color="auto" w:fill="auto"/>
            <w:vAlign w:val="bottom"/>
            <w:hideMark/>
          </w:tcPr>
          <w:p w:rsidR="005730BC" w:rsidRPr="00382D43" w:rsidRDefault="005730BC" w:rsidP="005730BC">
            <w:pPr>
              <w:suppressAutoHyphens w:val="0"/>
              <w:jc w:val="center"/>
              <w:rPr>
                <w:rFonts w:ascii="Arial" w:hAnsi="Arial" w:cs="Arial"/>
                <w:b/>
                <w:bCs/>
                <w:sz w:val="16"/>
                <w:szCs w:val="16"/>
                <w:lang w:val="en-US" w:eastAsia="tr-TR"/>
              </w:rPr>
            </w:pPr>
            <w:r w:rsidRPr="00382D43">
              <w:rPr>
                <w:rFonts w:ascii="Arial" w:hAnsi="Arial" w:cs="Arial"/>
                <w:b/>
                <w:bCs/>
                <w:sz w:val="16"/>
                <w:szCs w:val="16"/>
                <w:lang w:val="en-US" w:eastAsia="tr-TR"/>
              </w:rPr>
              <w:t>Unemployment</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November-13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22003</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19583</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2420</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11,0%</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-6</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December-13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22250</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19825</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2425</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10,9%</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247</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242</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January-14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22525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20002</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2523</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11,2%</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274</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177</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97</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February-14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22806</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20252</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2554</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11,2%</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282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250</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32</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March-14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22952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20358</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2594</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106</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39</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April-14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23015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20391</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2624</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63</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33</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30</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May-14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23077</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20400</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2677</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62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June-14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23142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20388</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2754</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11,9%</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65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77</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July-14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23239</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20357</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2882</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97</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-31</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128</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August-14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23352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20480</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2872</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114</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123</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September-14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23535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20570</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2965</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183</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90</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93</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October-14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23687</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20726</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2961</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151</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156</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November-14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23692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20707</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2985</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December-14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23728</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20762</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2966</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36</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55</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January-15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23824</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20870</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2954</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96</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108</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February-15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23927</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20960</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2967</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103</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90</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March-15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23836</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20880</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2956</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-91</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-80</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April-15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23925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20982</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2943</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89</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102</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May-15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24080</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21094</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2986</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155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112</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43</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June-15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24130</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21114</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3016</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50</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30</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July-15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24203</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21226</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2977</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73</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112</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-39</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August-15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24154</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21183</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2971</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-49</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-43</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-6</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September-15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24349</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21378</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2971</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12,2%</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195</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0</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October-15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24474</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21439</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3035</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12,4%</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61</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64</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November-15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24587</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21563</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3024</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113</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124</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December-15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24605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21579</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3026</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16</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January-16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24655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21672</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2983</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12,1%</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50</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93</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-43</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February-16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24657</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21698</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2959</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12,0%</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26</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March-16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24794</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21868</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2926</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11,8%</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137</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170</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-33</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April-16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24942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21999</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2943</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11,8%</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149</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131</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May-16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25114</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22025</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3089</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172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26</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146</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June-16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25154</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21884</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3270</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13,0%</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40</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-141</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181</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July-16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25179</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21830</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3349</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13,3%</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79</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August-16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25209</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21806</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3403</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30</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-24</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September-16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25412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21981</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3431</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13,5%</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202</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175</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27</w:t>
            </w:r>
          </w:p>
        </w:tc>
      </w:tr>
      <w:tr w:rsidR="005730BC" w:rsidRPr="00382D43" w:rsidTr="005730BC">
        <w:trPr>
          <w:trHeight w:val="267"/>
        </w:trPr>
        <w:tc>
          <w:tcPr>
            <w:tcW w:w="122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October-16</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25575</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22020</w:t>
            </w:r>
          </w:p>
        </w:tc>
        <w:tc>
          <w:tcPr>
            <w:tcW w:w="132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3555</w:t>
            </w:r>
          </w:p>
        </w:tc>
        <w:tc>
          <w:tcPr>
            <w:tcW w:w="1687"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13,9%</w:t>
            </w:r>
          </w:p>
        </w:tc>
        <w:tc>
          <w:tcPr>
            <w:tcW w:w="101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163</w:t>
            </w:r>
          </w:p>
        </w:tc>
        <w:tc>
          <w:tcPr>
            <w:tcW w:w="1093"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39</w:t>
            </w:r>
          </w:p>
        </w:tc>
        <w:tc>
          <w:tcPr>
            <w:tcW w:w="1323"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124</w:t>
            </w:r>
          </w:p>
        </w:tc>
      </w:tr>
      <w:tr w:rsidR="005730BC" w:rsidRPr="00382D43" w:rsidTr="005730BC">
        <w:trPr>
          <w:trHeight w:val="285"/>
        </w:trPr>
        <w:tc>
          <w:tcPr>
            <w:tcW w:w="1227" w:type="dxa"/>
            <w:tcBorders>
              <w:top w:val="nil"/>
              <w:left w:val="single" w:sz="8" w:space="0" w:color="auto"/>
              <w:bottom w:val="single" w:sz="8" w:space="0" w:color="auto"/>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r w:rsidRPr="00382D43">
              <w:rPr>
                <w:rFonts w:ascii="Arial" w:hAnsi="Arial" w:cs="Arial"/>
                <w:b/>
                <w:bCs/>
                <w:sz w:val="16"/>
                <w:szCs w:val="16"/>
                <w:lang w:val="en-US" w:eastAsia="tr-TR"/>
              </w:rPr>
              <w:t>November-16</w:t>
            </w:r>
          </w:p>
        </w:tc>
        <w:tc>
          <w:tcPr>
            <w:tcW w:w="1016"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25710</w:t>
            </w:r>
          </w:p>
        </w:tc>
        <w:tc>
          <w:tcPr>
            <w:tcW w:w="1093"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22085</w:t>
            </w:r>
          </w:p>
        </w:tc>
        <w:tc>
          <w:tcPr>
            <w:tcW w:w="1323"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3625</w:t>
            </w:r>
          </w:p>
        </w:tc>
        <w:tc>
          <w:tcPr>
            <w:tcW w:w="1687" w:type="dxa"/>
            <w:tcBorders>
              <w:top w:val="nil"/>
              <w:left w:val="nil"/>
              <w:bottom w:val="single" w:sz="8" w:space="0" w:color="auto"/>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14,1%</w:t>
            </w:r>
          </w:p>
        </w:tc>
        <w:tc>
          <w:tcPr>
            <w:tcW w:w="1016"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135</w:t>
            </w:r>
          </w:p>
        </w:tc>
        <w:tc>
          <w:tcPr>
            <w:tcW w:w="1093"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65</w:t>
            </w:r>
          </w:p>
        </w:tc>
        <w:tc>
          <w:tcPr>
            <w:tcW w:w="1323" w:type="dxa"/>
            <w:tcBorders>
              <w:top w:val="nil"/>
              <w:left w:val="nil"/>
              <w:bottom w:val="single" w:sz="8" w:space="0" w:color="auto"/>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70</w:t>
            </w:r>
          </w:p>
        </w:tc>
      </w:tr>
    </w:tbl>
    <w:p w:rsidR="005730BC" w:rsidRPr="00382D43" w:rsidRDefault="005730BC" w:rsidP="005B2B80">
      <w:pPr>
        <w:rPr>
          <w:rFonts w:ascii="Arial" w:hAnsi="Arial" w:cs="Arial"/>
          <w:sz w:val="18"/>
          <w:szCs w:val="18"/>
          <w:lang w:val="en-US"/>
        </w:rPr>
      </w:pPr>
    </w:p>
    <w:p w:rsidR="005B2B80" w:rsidRPr="00382D43" w:rsidRDefault="005B2B80" w:rsidP="005B2B80">
      <w:pPr>
        <w:rPr>
          <w:rFonts w:ascii="Arial" w:hAnsi="Arial" w:cs="Arial"/>
          <w:color w:val="FF0000"/>
          <w:sz w:val="18"/>
          <w:szCs w:val="18"/>
          <w:lang w:val="en-US"/>
        </w:rPr>
      </w:pPr>
      <w:r w:rsidRPr="00382D43">
        <w:rPr>
          <w:rFonts w:ascii="Arial" w:hAnsi="Arial" w:cs="Arial"/>
          <w:sz w:val="18"/>
          <w:szCs w:val="18"/>
          <w:lang w:val="en-US"/>
        </w:rPr>
        <w:t xml:space="preserve">Source: </w:t>
      </w:r>
      <w:proofErr w:type="spellStart"/>
      <w:r w:rsidRPr="00382D43">
        <w:rPr>
          <w:rFonts w:ascii="Arial" w:hAnsi="Arial" w:cs="Arial"/>
          <w:sz w:val="18"/>
          <w:szCs w:val="18"/>
          <w:lang w:val="en-US"/>
        </w:rPr>
        <w:t>Turkstat</w:t>
      </w:r>
      <w:proofErr w:type="spellEnd"/>
      <w:r w:rsidRPr="00382D43">
        <w:rPr>
          <w:rFonts w:ascii="Arial" w:hAnsi="Arial" w:cs="Arial"/>
          <w:sz w:val="18"/>
          <w:szCs w:val="18"/>
          <w:lang w:val="en-US"/>
        </w:rPr>
        <w:t xml:space="preserve">, </w:t>
      </w:r>
      <w:r w:rsidRPr="00382D43">
        <w:rPr>
          <w:rFonts w:ascii="Arial" w:hAnsi="Arial" w:cs="Arial"/>
          <w:bCs/>
          <w:sz w:val="18"/>
          <w:szCs w:val="18"/>
          <w:lang w:val="en-US"/>
        </w:rPr>
        <w:t>Betam</w:t>
      </w:r>
    </w:p>
    <w:p w:rsidR="00667FE8" w:rsidRPr="00382D43" w:rsidRDefault="00667FE8" w:rsidP="00764346">
      <w:pPr>
        <w:rPr>
          <w:color w:val="FF0000"/>
          <w:sz w:val="20"/>
          <w:szCs w:val="20"/>
          <w:lang w:val="en-US"/>
        </w:rPr>
      </w:pPr>
    </w:p>
    <w:p w:rsidR="008A312B" w:rsidRPr="00382D43" w:rsidRDefault="008A312B">
      <w:pPr>
        <w:suppressAutoHyphens w:val="0"/>
        <w:rPr>
          <w:color w:val="FF0000"/>
          <w:sz w:val="20"/>
          <w:szCs w:val="20"/>
          <w:lang w:val="en-US"/>
        </w:rPr>
      </w:pPr>
      <w:r w:rsidRPr="00382D43">
        <w:rPr>
          <w:color w:val="FF0000"/>
          <w:sz w:val="20"/>
          <w:szCs w:val="20"/>
          <w:lang w:val="en-US"/>
        </w:rPr>
        <w:br w:type="page"/>
      </w:r>
    </w:p>
    <w:p w:rsidR="00667FE8" w:rsidRPr="00382D43" w:rsidRDefault="00667FE8" w:rsidP="00764346">
      <w:pPr>
        <w:rPr>
          <w:color w:val="FF0000"/>
          <w:sz w:val="20"/>
          <w:szCs w:val="20"/>
          <w:lang w:val="en-US"/>
        </w:rPr>
      </w:pPr>
    </w:p>
    <w:p w:rsidR="00477D62" w:rsidRPr="00382D43" w:rsidRDefault="00477D62" w:rsidP="00477D62">
      <w:pPr>
        <w:pStyle w:val="Caption"/>
        <w:rPr>
          <w:rFonts w:ascii="Arial" w:hAnsi="Arial" w:cs="Arial"/>
          <w:lang w:val="en-US"/>
        </w:rPr>
      </w:pPr>
      <w:bookmarkStart w:id="9" w:name="_Ref472411395"/>
      <w:r w:rsidRPr="00382D43">
        <w:rPr>
          <w:rFonts w:ascii="Arial" w:hAnsi="Arial" w:cs="Arial"/>
          <w:lang w:val="en-US"/>
        </w:rPr>
        <w:t xml:space="preserve">Table </w:t>
      </w:r>
      <w:r w:rsidRPr="00382D43">
        <w:rPr>
          <w:rFonts w:ascii="Arial" w:hAnsi="Arial" w:cs="Arial"/>
          <w:lang w:val="en-US"/>
        </w:rPr>
        <w:fldChar w:fldCharType="begin"/>
      </w:r>
      <w:r w:rsidRPr="00382D43">
        <w:rPr>
          <w:rFonts w:ascii="Arial" w:hAnsi="Arial" w:cs="Arial"/>
          <w:lang w:val="en-US"/>
        </w:rPr>
        <w:instrText xml:space="preserve"> SEQ Table \* ARABIC </w:instrText>
      </w:r>
      <w:r w:rsidRPr="00382D43">
        <w:rPr>
          <w:rFonts w:ascii="Arial" w:hAnsi="Arial" w:cs="Arial"/>
          <w:lang w:val="en-US"/>
        </w:rPr>
        <w:fldChar w:fldCharType="separate"/>
      </w:r>
      <w:r w:rsidRPr="00382D43">
        <w:rPr>
          <w:rFonts w:ascii="Arial" w:hAnsi="Arial" w:cs="Arial"/>
          <w:lang w:val="en-US"/>
        </w:rPr>
        <w:t>2</w:t>
      </w:r>
      <w:r w:rsidRPr="00382D43">
        <w:rPr>
          <w:rFonts w:ascii="Arial" w:hAnsi="Arial" w:cs="Arial"/>
          <w:lang w:val="en-US"/>
        </w:rPr>
        <w:fldChar w:fldCharType="end"/>
      </w:r>
      <w:bookmarkEnd w:id="9"/>
      <w:r w:rsidRPr="00382D43">
        <w:rPr>
          <w:lang w:val="en-US"/>
        </w:rPr>
        <w:t xml:space="preserve"> </w:t>
      </w:r>
      <w:r w:rsidRPr="00382D43">
        <w:rPr>
          <w:rFonts w:ascii="Arial" w:hAnsi="Arial" w:cs="Arial"/>
          <w:lang w:val="en-US"/>
        </w:rPr>
        <w:t>Seasonally adjusted employment by sectors (in thousands)</w:t>
      </w:r>
    </w:p>
    <w:p w:rsidR="008439A9" w:rsidRPr="00382D43" w:rsidRDefault="008439A9" w:rsidP="008439A9">
      <w:pPr>
        <w:rPr>
          <w:lang w:val="en-US"/>
        </w:rPr>
      </w:pPr>
    </w:p>
    <w:tbl>
      <w:tblPr>
        <w:tblW w:w="9049" w:type="dxa"/>
        <w:tblCellMar>
          <w:left w:w="70" w:type="dxa"/>
          <w:right w:w="70" w:type="dxa"/>
        </w:tblCellMar>
        <w:tblLook w:val="04A0" w:firstRow="1" w:lastRow="0" w:firstColumn="1" w:lastColumn="0" w:noHBand="0" w:noVBand="1"/>
      </w:tblPr>
      <w:tblGrid>
        <w:gridCol w:w="1177"/>
        <w:gridCol w:w="984"/>
        <w:gridCol w:w="984"/>
        <w:gridCol w:w="984"/>
        <w:gridCol w:w="984"/>
        <w:gridCol w:w="736"/>
        <w:gridCol w:w="1235"/>
        <w:gridCol w:w="778"/>
        <w:gridCol w:w="1187"/>
      </w:tblGrid>
      <w:tr w:rsidR="005730BC" w:rsidRPr="00382D43" w:rsidTr="005730BC">
        <w:trPr>
          <w:trHeight w:val="284"/>
        </w:trPr>
        <w:tc>
          <w:tcPr>
            <w:tcW w:w="1177" w:type="dxa"/>
            <w:tcBorders>
              <w:top w:val="single" w:sz="8" w:space="0" w:color="auto"/>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sz w:val="16"/>
                <w:szCs w:val="16"/>
                <w:lang w:val="en-US" w:eastAsia="tr-TR"/>
              </w:rPr>
            </w:pPr>
            <w:r w:rsidRPr="00382D43">
              <w:rPr>
                <w:rFonts w:ascii="Arial" w:hAnsi="Arial" w:cs="Arial"/>
                <w:sz w:val="16"/>
                <w:szCs w:val="16"/>
                <w:lang w:val="en-US" w:eastAsia="tr-TR"/>
              </w:rPr>
              <w:t> </w:t>
            </w:r>
          </w:p>
        </w:tc>
        <w:tc>
          <w:tcPr>
            <w:tcW w:w="984" w:type="dxa"/>
            <w:tcBorders>
              <w:top w:val="single" w:sz="8" w:space="0" w:color="auto"/>
              <w:left w:val="nil"/>
              <w:bottom w:val="single" w:sz="8" w:space="0" w:color="auto"/>
              <w:right w:val="nil"/>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proofErr w:type="spellStart"/>
            <w:r w:rsidRPr="00382D43">
              <w:rPr>
                <w:rFonts w:ascii="Arial" w:hAnsi="Arial" w:cs="Arial"/>
                <w:b/>
                <w:bCs/>
                <w:sz w:val="16"/>
                <w:szCs w:val="16"/>
                <w:lang w:val="en-US" w:eastAsia="tr-TR"/>
              </w:rPr>
              <w:t>Tarım</w:t>
            </w:r>
            <w:proofErr w:type="spellEnd"/>
          </w:p>
        </w:tc>
        <w:tc>
          <w:tcPr>
            <w:tcW w:w="984" w:type="dxa"/>
            <w:tcBorders>
              <w:top w:val="single" w:sz="8" w:space="0" w:color="auto"/>
              <w:left w:val="nil"/>
              <w:bottom w:val="single" w:sz="8" w:space="0" w:color="auto"/>
              <w:right w:val="nil"/>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proofErr w:type="spellStart"/>
            <w:r w:rsidRPr="00382D43">
              <w:rPr>
                <w:rFonts w:ascii="Arial" w:hAnsi="Arial" w:cs="Arial"/>
                <w:b/>
                <w:bCs/>
                <w:sz w:val="16"/>
                <w:szCs w:val="16"/>
                <w:lang w:val="en-US" w:eastAsia="tr-TR"/>
              </w:rPr>
              <w:t>Sanayi</w:t>
            </w:r>
            <w:proofErr w:type="spellEnd"/>
          </w:p>
        </w:tc>
        <w:tc>
          <w:tcPr>
            <w:tcW w:w="984" w:type="dxa"/>
            <w:tcBorders>
              <w:top w:val="single" w:sz="8" w:space="0" w:color="auto"/>
              <w:left w:val="nil"/>
              <w:bottom w:val="single" w:sz="8" w:space="0" w:color="auto"/>
              <w:right w:val="nil"/>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proofErr w:type="spellStart"/>
            <w:r w:rsidRPr="00382D43">
              <w:rPr>
                <w:rFonts w:ascii="Arial" w:hAnsi="Arial" w:cs="Arial"/>
                <w:b/>
                <w:bCs/>
                <w:sz w:val="16"/>
                <w:szCs w:val="16"/>
                <w:lang w:val="en-US" w:eastAsia="tr-TR"/>
              </w:rPr>
              <w:t>İnşaat</w:t>
            </w:r>
            <w:proofErr w:type="spellEnd"/>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proofErr w:type="spellStart"/>
            <w:r w:rsidRPr="00382D43">
              <w:rPr>
                <w:rFonts w:ascii="Arial" w:hAnsi="Arial" w:cs="Arial"/>
                <w:b/>
                <w:bCs/>
                <w:sz w:val="16"/>
                <w:szCs w:val="16"/>
                <w:lang w:val="en-US" w:eastAsia="tr-TR"/>
              </w:rPr>
              <w:t>Hizmetler</w:t>
            </w:r>
            <w:proofErr w:type="spellEnd"/>
          </w:p>
        </w:tc>
        <w:tc>
          <w:tcPr>
            <w:tcW w:w="393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730BC" w:rsidRPr="00382D43" w:rsidRDefault="005730BC" w:rsidP="005730BC">
            <w:pPr>
              <w:suppressAutoHyphens w:val="0"/>
              <w:jc w:val="center"/>
              <w:rPr>
                <w:rFonts w:ascii="Arial" w:hAnsi="Arial" w:cs="Arial"/>
                <w:b/>
                <w:bCs/>
                <w:sz w:val="16"/>
                <w:szCs w:val="16"/>
                <w:lang w:val="en-US" w:eastAsia="tr-TR"/>
              </w:rPr>
            </w:pPr>
            <w:proofErr w:type="spellStart"/>
            <w:r w:rsidRPr="00382D43">
              <w:rPr>
                <w:rFonts w:ascii="Arial" w:hAnsi="Arial" w:cs="Arial"/>
                <w:b/>
                <w:bCs/>
                <w:sz w:val="16"/>
                <w:szCs w:val="16"/>
                <w:lang w:val="en-US" w:eastAsia="tr-TR"/>
              </w:rPr>
              <w:t>Aylık</w:t>
            </w:r>
            <w:proofErr w:type="spellEnd"/>
            <w:r w:rsidRPr="00382D43">
              <w:rPr>
                <w:rFonts w:ascii="Arial" w:hAnsi="Arial" w:cs="Arial"/>
                <w:b/>
                <w:bCs/>
                <w:sz w:val="16"/>
                <w:szCs w:val="16"/>
                <w:lang w:val="en-US" w:eastAsia="tr-TR"/>
              </w:rPr>
              <w:t xml:space="preserve"> </w:t>
            </w:r>
            <w:proofErr w:type="spellStart"/>
            <w:r w:rsidRPr="00382D43">
              <w:rPr>
                <w:rFonts w:ascii="Arial" w:hAnsi="Arial" w:cs="Arial"/>
                <w:b/>
                <w:bCs/>
                <w:sz w:val="16"/>
                <w:szCs w:val="16"/>
                <w:lang w:val="en-US" w:eastAsia="tr-TR"/>
              </w:rPr>
              <w:t>değişimler</w:t>
            </w:r>
            <w:proofErr w:type="spellEnd"/>
          </w:p>
        </w:tc>
      </w:tr>
      <w:tr w:rsidR="005730BC" w:rsidRPr="00382D43" w:rsidTr="005730BC">
        <w:trPr>
          <w:trHeight w:val="284"/>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Ekim 13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5133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5090</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1860</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12643</w:t>
            </w:r>
          </w:p>
        </w:tc>
        <w:tc>
          <w:tcPr>
            <w:tcW w:w="736"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proofErr w:type="spellStart"/>
            <w:r w:rsidRPr="00382D43">
              <w:rPr>
                <w:rFonts w:ascii="Arial" w:hAnsi="Arial" w:cs="Arial"/>
                <w:b/>
                <w:bCs/>
                <w:sz w:val="16"/>
                <w:szCs w:val="16"/>
                <w:lang w:val="en-US" w:eastAsia="tr-TR"/>
              </w:rPr>
              <w:t>Tarım</w:t>
            </w:r>
            <w:proofErr w:type="spellEnd"/>
          </w:p>
        </w:tc>
        <w:tc>
          <w:tcPr>
            <w:tcW w:w="1235" w:type="dxa"/>
            <w:tcBorders>
              <w:top w:val="nil"/>
              <w:left w:val="nil"/>
              <w:bottom w:val="single" w:sz="8" w:space="0" w:color="auto"/>
              <w:right w:val="nil"/>
            </w:tcBorders>
            <w:shd w:val="clear" w:color="auto" w:fill="auto"/>
            <w:vAlign w:val="bottom"/>
            <w:hideMark/>
          </w:tcPr>
          <w:p w:rsidR="005730BC" w:rsidRPr="00382D43" w:rsidRDefault="005730BC" w:rsidP="005730BC">
            <w:pPr>
              <w:suppressAutoHyphens w:val="0"/>
              <w:rPr>
                <w:rFonts w:ascii="Arial" w:hAnsi="Arial" w:cs="Arial"/>
                <w:b/>
                <w:bCs/>
                <w:sz w:val="16"/>
                <w:szCs w:val="16"/>
                <w:lang w:val="en-US" w:eastAsia="tr-TR"/>
              </w:rPr>
            </w:pPr>
            <w:proofErr w:type="spellStart"/>
            <w:r w:rsidRPr="00382D43">
              <w:rPr>
                <w:rFonts w:ascii="Arial" w:hAnsi="Arial" w:cs="Arial"/>
                <w:b/>
                <w:bCs/>
                <w:sz w:val="16"/>
                <w:szCs w:val="16"/>
                <w:lang w:val="en-US" w:eastAsia="tr-TR"/>
              </w:rPr>
              <w:t>Sanayi</w:t>
            </w:r>
            <w:proofErr w:type="spellEnd"/>
          </w:p>
        </w:tc>
        <w:tc>
          <w:tcPr>
            <w:tcW w:w="778"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proofErr w:type="spellStart"/>
            <w:r w:rsidRPr="00382D43">
              <w:rPr>
                <w:rFonts w:ascii="Arial" w:hAnsi="Arial" w:cs="Arial"/>
                <w:b/>
                <w:bCs/>
                <w:sz w:val="16"/>
                <w:szCs w:val="16"/>
                <w:lang w:val="en-US" w:eastAsia="tr-TR"/>
              </w:rPr>
              <w:t>İnşaat</w:t>
            </w:r>
            <w:proofErr w:type="spellEnd"/>
          </w:p>
        </w:tc>
        <w:tc>
          <w:tcPr>
            <w:tcW w:w="1185" w:type="dxa"/>
            <w:tcBorders>
              <w:top w:val="nil"/>
              <w:left w:val="nil"/>
              <w:bottom w:val="single" w:sz="8" w:space="0" w:color="auto"/>
              <w:right w:val="single" w:sz="8" w:space="0" w:color="auto"/>
            </w:tcBorders>
            <w:shd w:val="clear" w:color="auto" w:fill="auto"/>
            <w:noWrap/>
            <w:vAlign w:val="bottom"/>
            <w:hideMark/>
          </w:tcPr>
          <w:p w:rsidR="005730BC" w:rsidRPr="00382D43" w:rsidRDefault="005730BC" w:rsidP="005730BC">
            <w:pPr>
              <w:suppressAutoHyphens w:val="0"/>
              <w:rPr>
                <w:rFonts w:ascii="Arial" w:hAnsi="Arial" w:cs="Arial"/>
                <w:b/>
                <w:bCs/>
                <w:sz w:val="16"/>
                <w:szCs w:val="16"/>
                <w:lang w:val="en-US" w:eastAsia="tr-TR"/>
              </w:rPr>
            </w:pPr>
            <w:proofErr w:type="spellStart"/>
            <w:r w:rsidRPr="00382D43">
              <w:rPr>
                <w:rFonts w:ascii="Arial" w:hAnsi="Arial" w:cs="Arial"/>
                <w:b/>
                <w:bCs/>
                <w:sz w:val="16"/>
                <w:szCs w:val="16"/>
                <w:lang w:val="en-US" w:eastAsia="tr-TR"/>
              </w:rPr>
              <w:t>Hizmetler</w:t>
            </w:r>
            <w:proofErr w:type="spellEnd"/>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Kasım</w:t>
            </w:r>
            <w:proofErr w:type="spellEnd"/>
            <w:r w:rsidRPr="00382D43">
              <w:rPr>
                <w:rFonts w:ascii="Arial" w:hAnsi="Arial" w:cs="Arial"/>
                <w:b/>
                <w:bCs/>
                <w:sz w:val="16"/>
                <w:szCs w:val="16"/>
                <w:lang w:val="en-US" w:eastAsia="tr-TR"/>
              </w:rPr>
              <w:t xml:space="preserve"> 13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5095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5064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1794</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12727</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-38</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-26</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-66</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84</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Aralık</w:t>
            </w:r>
            <w:proofErr w:type="spellEnd"/>
            <w:r w:rsidRPr="00382D43">
              <w:rPr>
                <w:rFonts w:ascii="Arial" w:hAnsi="Arial" w:cs="Arial"/>
                <w:b/>
                <w:bCs/>
                <w:sz w:val="16"/>
                <w:szCs w:val="16"/>
                <w:lang w:val="en-US" w:eastAsia="tr-TR"/>
              </w:rPr>
              <w:t xml:space="preserve"> 13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5055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5131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1893</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12804</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-40</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67</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99</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77</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Ocak</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5387</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5232</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1932</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12839</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332</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101</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39</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35</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Şubat</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5573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5359</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2012</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12883</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186</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127</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80</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44</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Mart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5606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5365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1957</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13038</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33</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-55</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155</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Nisan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5568</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5373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1895</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13123</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-38</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-62</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85</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Mayıs</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5568</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5364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1871</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13164</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0</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-9</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-24</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41</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Haziran</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5485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5332</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1828</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13226</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-83</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-32</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-43</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62</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Temmuz</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5396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5243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1816</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13295</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-89</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-89</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-12</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69</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Ağustos</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5331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5257</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1858</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13360</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-65</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14</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42</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65</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Eylül</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5329</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5306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1874</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13385</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49</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16</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25</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Ekim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5371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5353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1905</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13472</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42</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47</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31</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87</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Kasım</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5401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5273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1938</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13500</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30</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-80</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33</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28</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Aralık</w:t>
            </w:r>
            <w:proofErr w:type="spellEnd"/>
            <w:r w:rsidRPr="00382D43">
              <w:rPr>
                <w:rFonts w:ascii="Arial" w:hAnsi="Arial" w:cs="Arial"/>
                <w:b/>
                <w:bCs/>
                <w:sz w:val="16"/>
                <w:szCs w:val="16"/>
                <w:lang w:val="en-US" w:eastAsia="tr-TR"/>
              </w:rPr>
              <w:t xml:space="preserve"> 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5429</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5266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1934</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13565</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28</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-7</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65</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Ocak</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5445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5349</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1924</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13599</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16</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83</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34</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Şubat</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5311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5351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1876</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13735</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-134</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-48</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136</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Mart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5480</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5308</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1919</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13654</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169</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-43</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43</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-81</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Nisan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5498</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5326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1898</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13757</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18</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18</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-21</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103</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Mayıs</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5521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5404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1867</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13821</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23</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78</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-31</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64</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Haziran</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5546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5380</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1856</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13875</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25</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-24</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-11</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54</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Temmuz</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5496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5336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1911</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13974</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-50</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-44</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55</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99</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Ağustos</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5521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5252</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1921</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14004</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25</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-84</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30</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Eylül</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5520</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5327</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1937</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14109</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75</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16</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105</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Ekim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5444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5363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1955</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14121</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-76</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36</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18</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12</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Kasım</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5382</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5353</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1986</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14232</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-62</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31</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111</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Aralık</w:t>
            </w:r>
            <w:proofErr w:type="spellEnd"/>
            <w:r w:rsidRPr="00382D43">
              <w:rPr>
                <w:rFonts w:ascii="Arial" w:hAnsi="Arial" w:cs="Arial"/>
                <w:b/>
                <w:bCs/>
                <w:sz w:val="16"/>
                <w:szCs w:val="16"/>
                <w:lang w:val="en-US" w:eastAsia="tr-TR"/>
              </w:rPr>
              <w:t xml:space="preserve"> 15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5424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5311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1988</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14285</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42</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-42</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53</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Ocak</w:t>
            </w:r>
            <w:proofErr w:type="spellEnd"/>
            <w:r w:rsidRPr="00382D43">
              <w:rPr>
                <w:rFonts w:ascii="Arial" w:hAnsi="Arial" w:cs="Arial"/>
                <w:b/>
                <w:bCs/>
                <w:sz w:val="16"/>
                <w:szCs w:val="16"/>
                <w:lang w:val="en-US" w:eastAsia="tr-TR"/>
              </w:rPr>
              <w:t xml:space="preserve">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5414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5300</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2002</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14375</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-11</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14</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90</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Şubat</w:t>
            </w:r>
            <w:proofErr w:type="spellEnd"/>
            <w:r w:rsidRPr="00382D43">
              <w:rPr>
                <w:rFonts w:ascii="Arial" w:hAnsi="Arial" w:cs="Arial"/>
                <w:b/>
                <w:bCs/>
                <w:sz w:val="16"/>
                <w:szCs w:val="16"/>
                <w:lang w:val="en-US" w:eastAsia="tr-TR"/>
              </w:rPr>
              <w:t xml:space="preserve">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5405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5276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2017</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14409</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-9</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-24</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15</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34</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Mart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5379</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5295</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2055</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14522</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-26</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19</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38</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113</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Nisan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5341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5381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2058</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14562</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-38</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86</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40</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Mayıs</w:t>
            </w:r>
            <w:proofErr w:type="spellEnd"/>
            <w:r w:rsidRPr="00382D43">
              <w:rPr>
                <w:rFonts w:ascii="Arial" w:hAnsi="Arial" w:cs="Arial"/>
                <w:b/>
                <w:bCs/>
                <w:sz w:val="16"/>
                <w:szCs w:val="16"/>
                <w:lang w:val="en-US" w:eastAsia="tr-TR"/>
              </w:rPr>
              <w:t xml:space="preserve">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5292</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5386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2042</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14598</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-49</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-16</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36</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Haziran</w:t>
            </w:r>
            <w:proofErr w:type="spellEnd"/>
            <w:r w:rsidRPr="00382D43">
              <w:rPr>
                <w:rFonts w:ascii="Arial" w:hAnsi="Arial" w:cs="Arial"/>
                <w:b/>
                <w:bCs/>
                <w:sz w:val="16"/>
                <w:szCs w:val="16"/>
                <w:lang w:val="en-US" w:eastAsia="tr-TR"/>
              </w:rPr>
              <w:t xml:space="preserve">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5131</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5330</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1936</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14617</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-161</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-56</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-106</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19</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Temmuz</w:t>
            </w:r>
            <w:proofErr w:type="spellEnd"/>
            <w:r w:rsidRPr="00382D43">
              <w:rPr>
                <w:rFonts w:ascii="Arial" w:hAnsi="Arial" w:cs="Arial"/>
                <w:b/>
                <w:bCs/>
                <w:sz w:val="16"/>
                <w:szCs w:val="16"/>
                <w:lang w:val="en-US" w:eastAsia="tr-TR"/>
              </w:rPr>
              <w:t xml:space="preserve">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5204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5254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1937</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14638</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73</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-76</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21</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Ağustos</w:t>
            </w:r>
            <w:proofErr w:type="spellEnd"/>
            <w:r w:rsidRPr="00382D43">
              <w:rPr>
                <w:rFonts w:ascii="Arial" w:hAnsi="Arial" w:cs="Arial"/>
                <w:b/>
                <w:bCs/>
                <w:sz w:val="16"/>
                <w:szCs w:val="16"/>
                <w:lang w:val="en-US" w:eastAsia="tr-TR"/>
              </w:rPr>
              <w:t xml:space="preserve">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5257</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5224</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1927</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14653</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53</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-30</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-10</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15</w:t>
            </w:r>
          </w:p>
        </w:tc>
      </w:tr>
      <w:tr w:rsidR="005730BC" w:rsidRPr="00382D43" w:rsidTr="005730BC">
        <w:trPr>
          <w:trHeight w:val="266"/>
        </w:trPr>
        <w:tc>
          <w:tcPr>
            <w:tcW w:w="1177"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Eylül</w:t>
            </w:r>
            <w:proofErr w:type="spellEnd"/>
            <w:r w:rsidRPr="00382D43">
              <w:rPr>
                <w:rFonts w:ascii="Arial" w:hAnsi="Arial" w:cs="Arial"/>
                <w:b/>
                <w:bCs/>
                <w:sz w:val="16"/>
                <w:szCs w:val="16"/>
                <w:lang w:val="en-US" w:eastAsia="tr-TR"/>
              </w:rPr>
              <w:t xml:space="preserve"> 16</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5347</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5260</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2023</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14691</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90</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36</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96</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38</w:t>
            </w:r>
          </w:p>
        </w:tc>
      </w:tr>
      <w:tr w:rsidR="005730BC" w:rsidRPr="00382D43" w:rsidTr="005730BC">
        <w:trPr>
          <w:trHeight w:val="266"/>
        </w:trPr>
        <w:tc>
          <w:tcPr>
            <w:tcW w:w="1177"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r w:rsidRPr="00382D43">
              <w:rPr>
                <w:rFonts w:ascii="Arial" w:hAnsi="Arial" w:cs="Arial"/>
                <w:b/>
                <w:bCs/>
                <w:sz w:val="16"/>
                <w:szCs w:val="16"/>
                <w:lang w:val="en-US" w:eastAsia="tr-TR"/>
              </w:rPr>
              <w:t>Ekim 16</w:t>
            </w:r>
          </w:p>
        </w:tc>
        <w:tc>
          <w:tcPr>
            <w:tcW w:w="984"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5278</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5282</w:t>
            </w:r>
          </w:p>
        </w:tc>
        <w:tc>
          <w:tcPr>
            <w:tcW w:w="984" w:type="dxa"/>
            <w:tcBorders>
              <w:top w:val="nil"/>
              <w:left w:val="single" w:sz="8" w:space="0" w:color="auto"/>
              <w:bottom w:val="nil"/>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1982</w:t>
            </w:r>
          </w:p>
        </w:tc>
        <w:tc>
          <w:tcPr>
            <w:tcW w:w="984" w:type="dxa"/>
            <w:tcBorders>
              <w:top w:val="nil"/>
              <w:left w:val="single" w:sz="8" w:space="0" w:color="auto"/>
              <w:bottom w:val="nil"/>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14756</w:t>
            </w:r>
          </w:p>
        </w:tc>
        <w:tc>
          <w:tcPr>
            <w:tcW w:w="736"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-69</w:t>
            </w:r>
          </w:p>
        </w:tc>
        <w:tc>
          <w:tcPr>
            <w:tcW w:w="1235"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22</w:t>
            </w:r>
          </w:p>
        </w:tc>
        <w:tc>
          <w:tcPr>
            <w:tcW w:w="778" w:type="dxa"/>
            <w:tcBorders>
              <w:top w:val="nil"/>
              <w:left w:val="nil"/>
              <w:bottom w:val="nil"/>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-41</w:t>
            </w:r>
          </w:p>
        </w:tc>
        <w:tc>
          <w:tcPr>
            <w:tcW w:w="1185" w:type="dxa"/>
            <w:tcBorders>
              <w:top w:val="nil"/>
              <w:left w:val="nil"/>
              <w:bottom w:val="nil"/>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65</w:t>
            </w:r>
          </w:p>
        </w:tc>
      </w:tr>
      <w:tr w:rsidR="005730BC" w:rsidRPr="00382D43" w:rsidTr="005730BC">
        <w:trPr>
          <w:trHeight w:val="284"/>
        </w:trPr>
        <w:tc>
          <w:tcPr>
            <w:tcW w:w="1177" w:type="dxa"/>
            <w:tcBorders>
              <w:top w:val="nil"/>
              <w:left w:val="single" w:sz="8" w:space="0" w:color="auto"/>
              <w:bottom w:val="single" w:sz="8" w:space="0" w:color="auto"/>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b/>
                <w:bCs/>
                <w:sz w:val="16"/>
                <w:szCs w:val="16"/>
                <w:lang w:val="en-US" w:eastAsia="tr-TR"/>
              </w:rPr>
            </w:pPr>
            <w:proofErr w:type="spellStart"/>
            <w:r w:rsidRPr="00382D43">
              <w:rPr>
                <w:rFonts w:ascii="Arial" w:hAnsi="Arial" w:cs="Arial"/>
                <w:b/>
                <w:bCs/>
                <w:sz w:val="16"/>
                <w:szCs w:val="16"/>
                <w:lang w:val="en-US" w:eastAsia="tr-TR"/>
              </w:rPr>
              <w:t>Kasım</w:t>
            </w:r>
            <w:proofErr w:type="spellEnd"/>
            <w:r w:rsidRPr="00382D43">
              <w:rPr>
                <w:rFonts w:ascii="Arial" w:hAnsi="Arial" w:cs="Arial"/>
                <w:b/>
                <w:bCs/>
                <w:sz w:val="16"/>
                <w:szCs w:val="16"/>
                <w:lang w:val="en-US" w:eastAsia="tr-TR"/>
              </w:rPr>
              <w:t xml:space="preserve"> 16</w:t>
            </w:r>
          </w:p>
        </w:tc>
        <w:tc>
          <w:tcPr>
            <w:tcW w:w="984"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5283</w:t>
            </w:r>
          </w:p>
        </w:tc>
        <w:tc>
          <w:tcPr>
            <w:tcW w:w="984" w:type="dxa"/>
            <w:tcBorders>
              <w:top w:val="nil"/>
              <w:left w:val="single" w:sz="8" w:space="0" w:color="auto"/>
              <w:bottom w:val="single" w:sz="8" w:space="0" w:color="auto"/>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5316</w:t>
            </w:r>
          </w:p>
        </w:tc>
        <w:tc>
          <w:tcPr>
            <w:tcW w:w="984" w:type="dxa"/>
            <w:tcBorders>
              <w:top w:val="nil"/>
              <w:left w:val="single" w:sz="8" w:space="0" w:color="auto"/>
              <w:bottom w:val="single" w:sz="8" w:space="0" w:color="auto"/>
              <w:right w:val="nil"/>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1991</w:t>
            </w:r>
          </w:p>
        </w:tc>
        <w:tc>
          <w:tcPr>
            <w:tcW w:w="984" w:type="dxa"/>
            <w:tcBorders>
              <w:top w:val="nil"/>
              <w:left w:val="single" w:sz="8" w:space="0" w:color="auto"/>
              <w:bottom w:val="single" w:sz="8" w:space="0" w:color="auto"/>
              <w:right w:val="single" w:sz="8" w:space="0" w:color="auto"/>
            </w:tcBorders>
            <w:shd w:val="clear" w:color="auto" w:fill="auto"/>
            <w:noWrap/>
            <w:vAlign w:val="bottom"/>
            <w:hideMark/>
          </w:tcPr>
          <w:p w:rsidR="005730BC" w:rsidRPr="00382D43" w:rsidRDefault="005730BC" w:rsidP="005730BC">
            <w:pPr>
              <w:suppressAutoHyphens w:val="0"/>
              <w:jc w:val="center"/>
              <w:rPr>
                <w:rFonts w:ascii="Arial" w:hAnsi="Arial" w:cs="Arial"/>
                <w:sz w:val="16"/>
                <w:szCs w:val="16"/>
                <w:lang w:val="en-US" w:eastAsia="tr-TR"/>
              </w:rPr>
            </w:pPr>
            <w:r w:rsidRPr="00382D43">
              <w:rPr>
                <w:rFonts w:ascii="Arial" w:hAnsi="Arial" w:cs="Arial"/>
                <w:sz w:val="16"/>
                <w:szCs w:val="16"/>
                <w:lang w:val="en-US" w:eastAsia="tr-TR"/>
              </w:rPr>
              <w:t>14777</w:t>
            </w:r>
          </w:p>
        </w:tc>
        <w:tc>
          <w:tcPr>
            <w:tcW w:w="736"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5</w:t>
            </w:r>
          </w:p>
        </w:tc>
        <w:tc>
          <w:tcPr>
            <w:tcW w:w="1235"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34</w:t>
            </w:r>
          </w:p>
        </w:tc>
        <w:tc>
          <w:tcPr>
            <w:tcW w:w="778" w:type="dxa"/>
            <w:tcBorders>
              <w:top w:val="nil"/>
              <w:left w:val="nil"/>
              <w:bottom w:val="single" w:sz="8" w:space="0" w:color="auto"/>
              <w:right w:val="nil"/>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9</w:t>
            </w:r>
          </w:p>
        </w:tc>
        <w:tc>
          <w:tcPr>
            <w:tcW w:w="1185" w:type="dxa"/>
            <w:tcBorders>
              <w:top w:val="nil"/>
              <w:left w:val="nil"/>
              <w:bottom w:val="single" w:sz="8" w:space="0" w:color="auto"/>
              <w:right w:val="single" w:sz="8" w:space="0" w:color="auto"/>
            </w:tcBorders>
            <w:shd w:val="clear" w:color="auto" w:fill="auto"/>
            <w:noWrap/>
            <w:vAlign w:val="bottom"/>
            <w:hideMark/>
          </w:tcPr>
          <w:p w:rsidR="005730BC" w:rsidRPr="00382D43" w:rsidRDefault="005730BC" w:rsidP="005730BC">
            <w:pPr>
              <w:suppressAutoHyphens w:val="0"/>
              <w:jc w:val="right"/>
              <w:rPr>
                <w:rFonts w:ascii="Arial" w:hAnsi="Arial" w:cs="Arial"/>
                <w:sz w:val="16"/>
                <w:szCs w:val="16"/>
                <w:lang w:val="en-US" w:eastAsia="tr-TR"/>
              </w:rPr>
            </w:pPr>
            <w:r w:rsidRPr="00382D43">
              <w:rPr>
                <w:rFonts w:ascii="Arial" w:hAnsi="Arial" w:cs="Arial"/>
                <w:sz w:val="16"/>
                <w:szCs w:val="16"/>
                <w:lang w:val="en-US" w:eastAsia="tr-TR"/>
              </w:rPr>
              <w:t>21</w:t>
            </w:r>
          </w:p>
        </w:tc>
      </w:tr>
    </w:tbl>
    <w:p w:rsidR="005730BC" w:rsidRPr="00382D43" w:rsidRDefault="005730BC" w:rsidP="005B2B80">
      <w:pPr>
        <w:rPr>
          <w:rFonts w:ascii="Arial" w:hAnsi="Arial" w:cs="Arial"/>
          <w:sz w:val="18"/>
          <w:szCs w:val="18"/>
          <w:lang w:val="en-US"/>
        </w:rPr>
      </w:pPr>
    </w:p>
    <w:p w:rsidR="00714ADD" w:rsidRPr="00382D43" w:rsidRDefault="005B2B80" w:rsidP="009F39E3">
      <w:pPr>
        <w:rPr>
          <w:rFonts w:ascii="Arial" w:hAnsi="Arial" w:cs="Arial"/>
          <w:color w:val="FF0000"/>
          <w:sz w:val="18"/>
          <w:szCs w:val="18"/>
          <w:lang w:val="en-US"/>
        </w:rPr>
      </w:pPr>
      <w:r w:rsidRPr="00382D43">
        <w:rPr>
          <w:rFonts w:ascii="Arial" w:hAnsi="Arial" w:cs="Arial"/>
          <w:sz w:val="18"/>
          <w:szCs w:val="18"/>
          <w:lang w:val="en-US"/>
        </w:rPr>
        <w:t xml:space="preserve">Source: </w:t>
      </w:r>
      <w:proofErr w:type="spellStart"/>
      <w:r w:rsidRPr="00382D43">
        <w:rPr>
          <w:rFonts w:ascii="Arial" w:hAnsi="Arial" w:cs="Arial"/>
          <w:sz w:val="18"/>
          <w:szCs w:val="18"/>
          <w:lang w:val="en-US"/>
        </w:rPr>
        <w:t>Turkstat</w:t>
      </w:r>
      <w:proofErr w:type="spellEnd"/>
      <w:r w:rsidRPr="00382D43">
        <w:rPr>
          <w:rFonts w:ascii="Arial" w:hAnsi="Arial" w:cs="Arial"/>
          <w:sz w:val="18"/>
          <w:szCs w:val="18"/>
          <w:lang w:val="en-US"/>
        </w:rPr>
        <w:t xml:space="preserve">, </w:t>
      </w:r>
      <w:r w:rsidRPr="00382D43">
        <w:rPr>
          <w:rFonts w:ascii="Arial" w:hAnsi="Arial" w:cs="Arial"/>
          <w:bCs/>
          <w:sz w:val="18"/>
          <w:szCs w:val="18"/>
          <w:lang w:val="en-US"/>
        </w:rPr>
        <w:t>Betam</w:t>
      </w:r>
    </w:p>
    <w:p w:rsidR="00714ADD" w:rsidRPr="00382D43" w:rsidRDefault="00714ADD" w:rsidP="009F39E3">
      <w:pPr>
        <w:rPr>
          <w:rFonts w:ascii="Arial" w:hAnsi="Arial" w:cs="Arial"/>
          <w:b/>
          <w:bCs/>
          <w:color w:val="FF0000"/>
          <w:sz w:val="20"/>
          <w:szCs w:val="20"/>
          <w:lang w:val="en-US"/>
        </w:rPr>
      </w:pPr>
    </w:p>
    <w:p w:rsidR="00714ADD" w:rsidRPr="00382D43" w:rsidRDefault="00714ADD" w:rsidP="009F39E3">
      <w:pPr>
        <w:rPr>
          <w:rFonts w:ascii="Arial" w:hAnsi="Arial" w:cs="Arial"/>
          <w:b/>
          <w:bCs/>
          <w:color w:val="FF0000"/>
          <w:sz w:val="20"/>
          <w:szCs w:val="20"/>
          <w:lang w:val="en-US"/>
        </w:rPr>
      </w:pPr>
    </w:p>
    <w:p w:rsidR="00714ADD" w:rsidRPr="00382D43" w:rsidRDefault="00714ADD" w:rsidP="009F39E3">
      <w:pPr>
        <w:rPr>
          <w:rFonts w:ascii="Arial" w:hAnsi="Arial" w:cs="Arial"/>
          <w:b/>
          <w:bCs/>
          <w:color w:val="FF0000"/>
          <w:sz w:val="20"/>
          <w:szCs w:val="20"/>
          <w:lang w:val="en-US"/>
        </w:rPr>
      </w:pPr>
    </w:p>
    <w:p w:rsidR="00714ADD" w:rsidRPr="00382D43" w:rsidRDefault="00714ADD" w:rsidP="009F39E3">
      <w:pPr>
        <w:rPr>
          <w:rFonts w:ascii="Arial" w:hAnsi="Arial" w:cs="Arial"/>
          <w:b/>
          <w:bCs/>
          <w:color w:val="FF0000"/>
          <w:sz w:val="20"/>
          <w:szCs w:val="20"/>
          <w:lang w:val="en-US"/>
        </w:rPr>
      </w:pPr>
    </w:p>
    <w:p w:rsidR="00714ADD" w:rsidRPr="00382D43" w:rsidRDefault="00714ADD" w:rsidP="009F39E3">
      <w:pPr>
        <w:rPr>
          <w:rFonts w:ascii="Arial" w:hAnsi="Arial" w:cs="Arial"/>
          <w:b/>
          <w:bCs/>
          <w:color w:val="FF0000"/>
          <w:sz w:val="20"/>
          <w:szCs w:val="20"/>
          <w:lang w:val="en-US"/>
        </w:rPr>
      </w:pPr>
    </w:p>
    <w:p w:rsidR="00714ADD" w:rsidRPr="00382D43" w:rsidRDefault="00714ADD" w:rsidP="009F39E3">
      <w:pPr>
        <w:rPr>
          <w:rFonts w:ascii="Arial" w:hAnsi="Arial" w:cs="Arial"/>
          <w:b/>
          <w:bCs/>
          <w:color w:val="FF0000"/>
          <w:sz w:val="20"/>
          <w:szCs w:val="20"/>
          <w:lang w:val="en-US"/>
        </w:rPr>
      </w:pPr>
    </w:p>
    <w:p w:rsidR="00D63113" w:rsidRPr="00382D43" w:rsidRDefault="00D63113" w:rsidP="009F39E3">
      <w:pPr>
        <w:rPr>
          <w:rFonts w:ascii="Arial" w:hAnsi="Arial" w:cs="Arial"/>
          <w:b/>
          <w:bCs/>
          <w:color w:val="FF0000"/>
          <w:sz w:val="20"/>
          <w:szCs w:val="20"/>
          <w:lang w:val="en-US"/>
        </w:rPr>
      </w:pPr>
    </w:p>
    <w:sectPr w:rsidR="00D63113" w:rsidRPr="00382D43" w:rsidSect="005B2B80">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21" w:rsidRDefault="00540621">
      <w:r>
        <w:separator/>
      </w:r>
    </w:p>
  </w:endnote>
  <w:endnote w:type="continuationSeparator" w:id="0">
    <w:p w:rsidR="00540621" w:rsidRDefault="0054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62" w:rsidRPr="00282515" w:rsidRDefault="00477D6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7046C">
      <w:rPr>
        <w:rStyle w:val="PageNumber"/>
        <w:rFonts w:ascii="Arial" w:hAnsi="Arial" w:cs="Arial"/>
        <w:noProof/>
      </w:rPr>
      <w:t>2</w:t>
    </w:r>
    <w:r w:rsidRPr="00282515">
      <w:rPr>
        <w:rStyle w:val="PageNumber"/>
        <w:rFonts w:ascii="Arial" w:hAnsi="Arial" w:cs="Arial"/>
      </w:rPr>
      <w:fldChar w:fldCharType="end"/>
    </w:r>
  </w:p>
  <w:p w:rsidR="00477D62" w:rsidRDefault="00477D6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62" w:rsidRDefault="00477D6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46C">
      <w:rPr>
        <w:rStyle w:val="PageNumber"/>
        <w:noProof/>
      </w:rPr>
      <w:t>7</w:t>
    </w:r>
    <w:r>
      <w:rPr>
        <w:rStyle w:val="PageNumber"/>
      </w:rPr>
      <w:fldChar w:fldCharType="end"/>
    </w:r>
  </w:p>
  <w:p w:rsidR="00477D62" w:rsidRDefault="00477D62"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21" w:rsidRDefault="00540621">
      <w:r>
        <w:separator/>
      </w:r>
    </w:p>
  </w:footnote>
  <w:footnote w:type="continuationSeparator" w:id="0">
    <w:p w:rsidR="00540621" w:rsidRDefault="00540621">
      <w:r>
        <w:continuationSeparator/>
      </w:r>
    </w:p>
  </w:footnote>
  <w:footnote w:id="1">
    <w:p w:rsidR="00477D62" w:rsidRDefault="00477D62"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xml:space="preserve">, </w:t>
      </w:r>
      <w:proofErr w:type="spellStart"/>
      <w:r>
        <w:rPr>
          <w:rFonts w:ascii="Arial" w:hAnsi="Arial" w:cs="Arial"/>
          <w:sz w:val="16"/>
          <w:szCs w:val="16"/>
        </w:rPr>
        <w:t>Director</w:t>
      </w:r>
      <w:proofErr w:type="spellEnd"/>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477D62" w:rsidRDefault="00477D62"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proofErr w:type="spellStart"/>
      <w:r>
        <w:rPr>
          <w:rFonts w:ascii="Arial" w:hAnsi="Arial" w:cs="Arial"/>
          <w:sz w:val="16"/>
          <w:szCs w:val="16"/>
        </w:rPr>
        <w:t>Assc</w:t>
      </w:r>
      <w:proofErr w:type="spellEnd"/>
      <w:r>
        <w:rPr>
          <w:rFonts w:ascii="Arial" w:hAnsi="Arial" w:cs="Arial"/>
          <w:sz w:val="16"/>
          <w:szCs w:val="16"/>
        </w:rPr>
        <w:t xml:space="preserve">. Prof. Dr. Gökçe Uysal, Betam, </w:t>
      </w:r>
      <w:proofErr w:type="spellStart"/>
      <w:r>
        <w:rPr>
          <w:rFonts w:ascii="Arial" w:hAnsi="Arial" w:cs="Arial"/>
          <w:sz w:val="16"/>
          <w:szCs w:val="16"/>
        </w:rPr>
        <w:t>Deputy</w:t>
      </w:r>
      <w:proofErr w:type="spellEnd"/>
      <w:r>
        <w:rPr>
          <w:rFonts w:ascii="Arial" w:hAnsi="Arial" w:cs="Arial"/>
          <w:sz w:val="16"/>
          <w:szCs w:val="16"/>
        </w:rPr>
        <w:t xml:space="preserve"> </w:t>
      </w:r>
      <w:proofErr w:type="spellStart"/>
      <w:r>
        <w:rPr>
          <w:rFonts w:ascii="Arial" w:hAnsi="Arial" w:cs="Arial"/>
          <w:sz w:val="16"/>
          <w:szCs w:val="16"/>
        </w:rPr>
        <w:t>Director</w:t>
      </w:r>
      <w:proofErr w:type="spellEnd"/>
      <w:r>
        <w:rPr>
          <w:rFonts w:ascii="Arial" w:hAnsi="Arial" w:cs="Arial"/>
          <w:sz w:val="16"/>
          <w:szCs w:val="16"/>
        </w:rPr>
        <w:t>, gokce.uysal@eas.bau.edu.tr</w:t>
      </w:r>
    </w:p>
  </w:footnote>
  <w:footnote w:id="3">
    <w:p w:rsidR="00477D62" w:rsidRDefault="00477D62"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Selin Köksal, Betam, </w:t>
      </w:r>
      <w:proofErr w:type="spellStart"/>
      <w:r>
        <w:rPr>
          <w:rFonts w:ascii="Arial" w:hAnsi="Arial" w:cs="Arial"/>
          <w:sz w:val="16"/>
          <w:szCs w:val="16"/>
        </w:rPr>
        <w:t>Research</w:t>
      </w:r>
      <w:proofErr w:type="spellEnd"/>
      <w:r>
        <w:rPr>
          <w:rFonts w:ascii="Arial" w:hAnsi="Arial" w:cs="Arial"/>
          <w:sz w:val="16"/>
          <w:szCs w:val="16"/>
        </w:rPr>
        <w:t xml:space="preserve"> </w:t>
      </w:r>
      <w:proofErr w:type="spellStart"/>
      <w:r>
        <w:rPr>
          <w:rFonts w:ascii="Arial" w:hAnsi="Arial" w:cs="Arial"/>
          <w:sz w:val="16"/>
          <w:szCs w:val="16"/>
        </w:rPr>
        <w:t>Assistant</w:t>
      </w:r>
      <w:proofErr w:type="spellEnd"/>
      <w:r>
        <w:rPr>
          <w:rFonts w:ascii="Arial" w:hAnsi="Arial" w:cs="Arial"/>
          <w:sz w:val="16"/>
          <w:szCs w:val="16"/>
        </w:rPr>
        <w:t>,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477D62" w:rsidRDefault="00477D62" w:rsidP="00627BF7">
      <w:pPr>
        <w:pStyle w:val="FootnoteText"/>
        <w:rPr>
          <w:rFonts w:ascii="Arial" w:hAnsi="Arial" w:cs="Arial"/>
          <w:sz w:val="16"/>
          <w:szCs w:val="16"/>
        </w:rPr>
      </w:pPr>
    </w:p>
    <w:p w:rsidR="00477D62" w:rsidRDefault="00477D62" w:rsidP="00627BF7">
      <w:pPr>
        <w:pStyle w:val="FootnoteText"/>
        <w:rPr>
          <w:rFonts w:ascii="Arial" w:hAnsi="Arial" w:cs="Arial"/>
          <w:sz w:val="16"/>
          <w:szCs w:val="16"/>
        </w:rPr>
      </w:pPr>
    </w:p>
    <w:p w:rsidR="00477D62" w:rsidRDefault="00477D62" w:rsidP="00627BF7">
      <w:pPr>
        <w:pStyle w:val="FootnoteText"/>
      </w:pPr>
    </w:p>
    <w:p w:rsidR="00477D62" w:rsidRDefault="00477D62" w:rsidP="00627BF7">
      <w:pPr>
        <w:pStyle w:val="FootnoteText"/>
      </w:pPr>
    </w:p>
  </w:footnote>
  <w:footnote w:id="4">
    <w:p w:rsidR="003F1C67" w:rsidRPr="00AE5043" w:rsidRDefault="003F1C67" w:rsidP="003F1C67">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w:t>
      </w:r>
      <w:proofErr w:type="spellStart"/>
      <w:r w:rsidRPr="00AE5043">
        <w:rPr>
          <w:rFonts w:ascii="Arial" w:hAnsi="Arial" w:cs="Arial"/>
          <w:sz w:val="16"/>
          <w:szCs w:val="16"/>
          <w:lang w:val="en-US"/>
        </w:rPr>
        <w:t>Betam's</w:t>
      </w:r>
      <w:proofErr w:type="spellEnd"/>
      <w:r w:rsidRPr="00AE5043">
        <w:rPr>
          <w:rFonts w:ascii="Arial" w:hAnsi="Arial" w:cs="Arial"/>
          <w:sz w:val="16"/>
          <w:szCs w:val="16"/>
          <w:lang w:val="en-US"/>
        </w:rPr>
        <w:t xml:space="preserve"> forecasting model, please see Betam Research Brief 168 titled as "</w:t>
      </w:r>
      <w:proofErr w:type="gramStart"/>
      <w:r w:rsidRPr="00AE5043">
        <w:rPr>
          <w:rFonts w:ascii="Arial" w:hAnsi="Arial" w:cs="Arial"/>
          <w:sz w:val="16"/>
          <w:szCs w:val="16"/>
          <w:lang w:val="en-US"/>
        </w:rPr>
        <w:t xml:space="preserve">Kariyer.net </w:t>
      </w:r>
      <w:r>
        <w:rPr>
          <w:rFonts w:ascii="Arial" w:hAnsi="Arial" w:cs="Arial"/>
          <w:sz w:val="16"/>
          <w:szCs w:val="16"/>
          <w:lang w:val="en-US"/>
        </w:rPr>
        <w:t xml:space="preserve"> </w:t>
      </w:r>
      <w:proofErr w:type="spellStart"/>
      <w:r w:rsidRPr="00AE5043">
        <w:rPr>
          <w:rFonts w:ascii="Arial" w:hAnsi="Arial" w:cs="Arial"/>
          <w:sz w:val="16"/>
          <w:szCs w:val="16"/>
          <w:lang w:val="en-US"/>
        </w:rPr>
        <w:t>Verisiyle</w:t>
      </w:r>
      <w:proofErr w:type="spellEnd"/>
      <w:proofErr w:type="gramEnd"/>
      <w:r w:rsidRPr="00AE5043">
        <w:rPr>
          <w:rFonts w:ascii="Arial" w:hAnsi="Arial" w:cs="Arial"/>
          <w:sz w:val="16"/>
          <w:szCs w:val="16"/>
          <w:lang w:val="en-US"/>
        </w:rPr>
        <w:t xml:space="preserve"> </w:t>
      </w:r>
      <w:proofErr w:type="spellStart"/>
      <w:r w:rsidRPr="00AE5043">
        <w:rPr>
          <w:rFonts w:ascii="Arial" w:hAnsi="Arial" w:cs="Arial"/>
          <w:sz w:val="16"/>
          <w:szCs w:val="16"/>
          <w:lang w:val="en-US"/>
        </w:rPr>
        <w:t>Kısa</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Vadeli</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Tarım</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Dışı</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İşsizlik</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Tahmini</w:t>
      </w:r>
      <w:proofErr w:type="spellEnd"/>
      <w:r w:rsidRPr="00AE5043">
        <w:rPr>
          <w:rFonts w:ascii="Arial" w:hAnsi="Arial" w:cs="Arial"/>
          <w:sz w:val="16"/>
          <w:szCs w:val="16"/>
          <w:lang w:val="en-US"/>
        </w:rPr>
        <w:t xml:space="preserve">"  </w:t>
      </w:r>
    </w:p>
    <w:p w:rsidR="003F1C67" w:rsidRPr="00AE5043" w:rsidRDefault="00540621" w:rsidP="003F1C67">
      <w:pPr>
        <w:pStyle w:val="FootnoteText"/>
        <w:jc w:val="both"/>
        <w:rPr>
          <w:rFonts w:ascii="Arial" w:hAnsi="Arial" w:cs="Arial"/>
          <w:sz w:val="18"/>
          <w:szCs w:val="18"/>
          <w:lang w:val="en-US"/>
        </w:rPr>
      </w:pPr>
      <w:hyperlink r:id="rId1" w:history="1">
        <w:r w:rsidR="003F1C67" w:rsidRPr="00AE5043">
          <w:rPr>
            <w:rStyle w:val="Hyperlink"/>
            <w:rFonts w:ascii="Arial" w:hAnsi="Arial" w:cs="Arial"/>
            <w:sz w:val="16"/>
            <w:szCs w:val="16"/>
            <w:lang w:val="en-US"/>
          </w:rPr>
          <w:t>http://betam.bahcesehir.edu.tr/tr/2014/06/kariyer-net-verisiyle-kisa-vadeli-tarim-disi-issizlik-tahmini/</w:t>
        </w:r>
      </w:hyperlink>
      <w:r w:rsidR="003F1C67" w:rsidRPr="00AE5043">
        <w:rPr>
          <w:rFonts w:ascii="Arial" w:hAnsi="Arial" w:cs="Arial"/>
          <w:sz w:val="18"/>
          <w:szCs w:val="18"/>
          <w:lang w:val="en-US"/>
        </w:rPr>
        <w:t xml:space="preserve"> </w:t>
      </w:r>
    </w:p>
  </w:footnote>
  <w:footnote w:id="5">
    <w:p w:rsidR="003F1C67" w:rsidRPr="00AE5043" w:rsidRDefault="003F1C67" w:rsidP="003F1C67">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Betam has been calculating application per vacancy using series released by Kariyer.net for a while. Seasonal and calendar a</w:t>
      </w:r>
      <w:r>
        <w:rPr>
          <w:rFonts w:ascii="Arial" w:hAnsi="Arial" w:cs="Arial"/>
          <w:sz w:val="16"/>
          <w:szCs w:val="16"/>
          <w:lang w:val="en-US"/>
        </w:rPr>
        <w:t xml:space="preserve">djustment procedure is applied </w:t>
      </w:r>
      <w:r w:rsidRPr="00AE5043">
        <w:rPr>
          <w:rFonts w:ascii="Arial" w:hAnsi="Arial" w:cs="Arial"/>
          <w:sz w:val="16"/>
          <w:szCs w:val="16"/>
          <w:lang w:val="en-US"/>
        </w:rPr>
        <w:t xml:space="preserve">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AE5043">
        <w:rPr>
          <w:rFonts w:ascii="Arial" w:hAnsi="Arial" w:cs="Arial"/>
          <w:sz w:val="16"/>
          <w:szCs w:val="16"/>
          <w:lang w:val="en-US"/>
        </w:rPr>
        <w:t>TurkStat</w:t>
      </w:r>
      <w:proofErr w:type="spellEnd"/>
      <w:r w:rsidRPr="00AE5043">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6">
    <w:p w:rsidR="00477D62" w:rsidRPr="00220DA1" w:rsidRDefault="00477D62"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46C"/>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243"/>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0DD"/>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015"/>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2CC4"/>
    <w:rsid w:val="00293F35"/>
    <w:rsid w:val="00295CCD"/>
    <w:rsid w:val="002963EE"/>
    <w:rsid w:val="0029660A"/>
    <w:rsid w:val="00296CB5"/>
    <w:rsid w:val="002972A3"/>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4F40"/>
    <w:rsid w:val="003554D3"/>
    <w:rsid w:val="00355604"/>
    <w:rsid w:val="00355D9B"/>
    <w:rsid w:val="00356329"/>
    <w:rsid w:val="00357791"/>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2D43"/>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224"/>
    <w:rsid w:val="003E196A"/>
    <w:rsid w:val="003E28CA"/>
    <w:rsid w:val="003E299A"/>
    <w:rsid w:val="003E3B34"/>
    <w:rsid w:val="003E3F95"/>
    <w:rsid w:val="003E4081"/>
    <w:rsid w:val="003E420B"/>
    <w:rsid w:val="003E4283"/>
    <w:rsid w:val="003E4D91"/>
    <w:rsid w:val="003E5A50"/>
    <w:rsid w:val="003E6CC2"/>
    <w:rsid w:val="003F06E6"/>
    <w:rsid w:val="003F07E4"/>
    <w:rsid w:val="003F1865"/>
    <w:rsid w:val="003F1A07"/>
    <w:rsid w:val="003F1C6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678"/>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D62"/>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C41"/>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D46"/>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0621"/>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486"/>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0BC"/>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2B80"/>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607"/>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4FBF"/>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9A9"/>
    <w:rsid w:val="00843BDC"/>
    <w:rsid w:val="008440E4"/>
    <w:rsid w:val="00844481"/>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28AD"/>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1C5D"/>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AF5"/>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41F6"/>
    <w:rsid w:val="009E5F55"/>
    <w:rsid w:val="009E5FAF"/>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4ED6"/>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3DC0"/>
    <w:rsid w:val="00A940FB"/>
    <w:rsid w:val="00A94163"/>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425E"/>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285"/>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2DAC"/>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170"/>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087"/>
    <w:rsid w:val="00D95163"/>
    <w:rsid w:val="00D95270"/>
    <w:rsid w:val="00D95363"/>
    <w:rsid w:val="00D95447"/>
    <w:rsid w:val="00D97269"/>
    <w:rsid w:val="00D979A4"/>
    <w:rsid w:val="00DA0B22"/>
    <w:rsid w:val="00DA2B9D"/>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4C2B"/>
    <w:rsid w:val="00E9512F"/>
    <w:rsid w:val="00E9603F"/>
    <w:rsid w:val="00E960F1"/>
    <w:rsid w:val="00E9637B"/>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85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193BE"/>
  <w15:docId w15:val="{57BCFD76-4577-402D-BBE5-DEE25E88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267180">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30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304;&#351;g&#252;c&#252;%20G&#246;r&#252;n&#252;m\2017\02.2017\AN%20&#304;&#351;sizlik%20(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3962264150951E-2"/>
          <c:y val="6.6666840278229889E-2"/>
          <c:w val="0.79245283018867962"/>
          <c:h val="0.69955723534558201"/>
        </c:manualLayout>
      </c:layout>
      <c:lineChart>
        <c:grouping val="standard"/>
        <c:varyColors val="0"/>
        <c:ser>
          <c:idx val="1"/>
          <c:order val="0"/>
          <c:tx>
            <c:strRef>
              <c:f>kariyer.net!$E$2</c:f>
              <c:strCache>
                <c:ptCount val="1"/>
                <c:pt idx="0">
                  <c:v># applications per vacancy</c:v>
                </c:pt>
              </c:strCache>
            </c:strRef>
          </c:tx>
          <c:spPr>
            <a:ln w="25400">
              <a:solidFill>
                <a:srgbClr val="FF0000"/>
              </a:solidFill>
              <a:prstDash val="solid"/>
            </a:ln>
          </c:spPr>
          <c:marker>
            <c:symbol val="none"/>
          </c:marker>
          <c:cat>
            <c:numRef>
              <c:f>kariyer.net!$A$98:$A$146</c:f>
              <c:numCache>
                <c:formatCode>[$-41F]mmmm\ yy;@</c:formatCode>
                <c:ptCount val="49"/>
                <c:pt idx="0">
                  <c:v>41214</c:v>
                </c:pt>
                <c:pt idx="1">
                  <c:v>41244</c:v>
                </c:pt>
                <c:pt idx="2">
                  <c:v>41275</c:v>
                </c:pt>
                <c:pt idx="3">
                  <c:v>41306</c:v>
                </c:pt>
                <c:pt idx="4">
                  <c:v>41334</c:v>
                </c:pt>
                <c:pt idx="5">
                  <c:v>41365</c:v>
                </c:pt>
                <c:pt idx="6">
                  <c:v>41395</c:v>
                </c:pt>
                <c:pt idx="7">
                  <c:v>41426</c:v>
                </c:pt>
                <c:pt idx="8">
                  <c:v>41456</c:v>
                </c:pt>
                <c:pt idx="9">
                  <c:v>41487</c:v>
                </c:pt>
                <c:pt idx="10">
                  <c:v>41518</c:v>
                </c:pt>
                <c:pt idx="11">
                  <c:v>41548</c:v>
                </c:pt>
                <c:pt idx="12">
                  <c:v>41579</c:v>
                </c:pt>
                <c:pt idx="13">
                  <c:v>41609</c:v>
                </c:pt>
                <c:pt idx="14">
                  <c:v>41640</c:v>
                </c:pt>
                <c:pt idx="15">
                  <c:v>41671</c:v>
                </c:pt>
                <c:pt idx="16">
                  <c:v>41699</c:v>
                </c:pt>
                <c:pt idx="17">
                  <c:v>41730</c:v>
                </c:pt>
                <c:pt idx="18">
                  <c:v>41760</c:v>
                </c:pt>
                <c:pt idx="19">
                  <c:v>41791</c:v>
                </c:pt>
                <c:pt idx="20">
                  <c:v>41821</c:v>
                </c:pt>
                <c:pt idx="21">
                  <c:v>41852</c:v>
                </c:pt>
                <c:pt idx="22">
                  <c:v>41883</c:v>
                </c:pt>
                <c:pt idx="23">
                  <c:v>41913</c:v>
                </c:pt>
                <c:pt idx="24">
                  <c:v>41944</c:v>
                </c:pt>
                <c:pt idx="25">
                  <c:v>41974</c:v>
                </c:pt>
                <c:pt idx="26">
                  <c:v>42005</c:v>
                </c:pt>
                <c:pt idx="27">
                  <c:v>42036</c:v>
                </c:pt>
                <c:pt idx="28">
                  <c:v>42064</c:v>
                </c:pt>
                <c:pt idx="29">
                  <c:v>42095</c:v>
                </c:pt>
                <c:pt idx="30">
                  <c:v>42125</c:v>
                </c:pt>
                <c:pt idx="31">
                  <c:v>42156</c:v>
                </c:pt>
                <c:pt idx="32">
                  <c:v>42186</c:v>
                </c:pt>
                <c:pt idx="33">
                  <c:v>42217</c:v>
                </c:pt>
                <c:pt idx="34">
                  <c:v>42248</c:v>
                </c:pt>
                <c:pt idx="35">
                  <c:v>42278</c:v>
                </c:pt>
                <c:pt idx="36">
                  <c:v>42309</c:v>
                </c:pt>
                <c:pt idx="37">
                  <c:v>42339</c:v>
                </c:pt>
                <c:pt idx="38">
                  <c:v>42370</c:v>
                </c:pt>
                <c:pt idx="39">
                  <c:v>42401</c:v>
                </c:pt>
                <c:pt idx="40">
                  <c:v>42430</c:v>
                </c:pt>
                <c:pt idx="41">
                  <c:v>42461</c:v>
                </c:pt>
                <c:pt idx="42">
                  <c:v>42491</c:v>
                </c:pt>
                <c:pt idx="43">
                  <c:v>42522</c:v>
                </c:pt>
                <c:pt idx="44">
                  <c:v>42552</c:v>
                </c:pt>
                <c:pt idx="45">
                  <c:v>42583</c:v>
                </c:pt>
                <c:pt idx="46">
                  <c:v>42614</c:v>
                </c:pt>
                <c:pt idx="47">
                  <c:v>42644</c:v>
                </c:pt>
                <c:pt idx="48">
                  <c:v>42675</c:v>
                </c:pt>
              </c:numCache>
            </c:numRef>
          </c:cat>
          <c:val>
            <c:numRef>
              <c:f>kariyer.net!$E$98:$E$146</c:f>
              <c:numCache>
                <c:formatCode>0</c:formatCode>
                <c:ptCount val="49"/>
                <c:pt idx="0">
                  <c:v>97.79367246278197</c:v>
                </c:pt>
                <c:pt idx="1">
                  <c:v>101.84161462585617</c:v>
                </c:pt>
                <c:pt idx="2">
                  <c:v>106.485783684677</c:v>
                </c:pt>
                <c:pt idx="3">
                  <c:v>104.16712353986304</c:v>
                </c:pt>
                <c:pt idx="4">
                  <c:v>103.07880160235457</c:v>
                </c:pt>
                <c:pt idx="5">
                  <c:v>97.802037299545447</c:v>
                </c:pt>
                <c:pt idx="6">
                  <c:v>101.53538661390746</c:v>
                </c:pt>
                <c:pt idx="7">
                  <c:v>95.353785436264047</c:v>
                </c:pt>
                <c:pt idx="8">
                  <c:v>110.39267173291277</c:v>
                </c:pt>
                <c:pt idx="9">
                  <c:v>95.492390532716442</c:v>
                </c:pt>
                <c:pt idx="10">
                  <c:v>102.11315391560224</c:v>
                </c:pt>
                <c:pt idx="11">
                  <c:v>95.968359632917711</c:v>
                </c:pt>
                <c:pt idx="12">
                  <c:v>96.617318201334854</c:v>
                </c:pt>
                <c:pt idx="13">
                  <c:v>94.007009698790299</c:v>
                </c:pt>
                <c:pt idx="14">
                  <c:v>93.161639375639552</c:v>
                </c:pt>
                <c:pt idx="15">
                  <c:v>90.604512644433626</c:v>
                </c:pt>
                <c:pt idx="16">
                  <c:v>90.640243291043106</c:v>
                </c:pt>
                <c:pt idx="17">
                  <c:v>100.36598458873804</c:v>
                </c:pt>
                <c:pt idx="18">
                  <c:v>101.94114533760903</c:v>
                </c:pt>
                <c:pt idx="19">
                  <c:v>99.332661288482868</c:v>
                </c:pt>
                <c:pt idx="20">
                  <c:v>107.44076130949642</c:v>
                </c:pt>
                <c:pt idx="21">
                  <c:v>107.31066832351473</c:v>
                </c:pt>
                <c:pt idx="22">
                  <c:v>109.73739772642857</c:v>
                </c:pt>
                <c:pt idx="23">
                  <c:v>105.87173136007186</c:v>
                </c:pt>
                <c:pt idx="24">
                  <c:v>115.57262643190064</c:v>
                </c:pt>
                <c:pt idx="25">
                  <c:v>123.41651033482778</c:v>
                </c:pt>
                <c:pt idx="26">
                  <c:v>123.28313041453458</c:v>
                </c:pt>
                <c:pt idx="27">
                  <c:v>126.91812535073119</c:v>
                </c:pt>
                <c:pt idx="28">
                  <c:v>130.77080580211063</c:v>
                </c:pt>
                <c:pt idx="29">
                  <c:v>131.17337967695281</c:v>
                </c:pt>
                <c:pt idx="30">
                  <c:v>127.40994328271319</c:v>
                </c:pt>
                <c:pt idx="31">
                  <c:v>135.35560269971461</c:v>
                </c:pt>
                <c:pt idx="32">
                  <c:v>135.15043842034294</c:v>
                </c:pt>
                <c:pt idx="33">
                  <c:v>128.51305161379827</c:v>
                </c:pt>
                <c:pt idx="34">
                  <c:v>129.67903910220329</c:v>
                </c:pt>
                <c:pt idx="35">
                  <c:v>128.80256340447798</c:v>
                </c:pt>
                <c:pt idx="36">
                  <c:v>131.07063723736331</c:v>
                </c:pt>
                <c:pt idx="37">
                  <c:v>125.38951857729707</c:v>
                </c:pt>
                <c:pt idx="38">
                  <c:v>129.02695569898984</c:v>
                </c:pt>
                <c:pt idx="39">
                  <c:v>137.620756944872</c:v>
                </c:pt>
                <c:pt idx="40">
                  <c:v>137.39258643465655</c:v>
                </c:pt>
                <c:pt idx="41">
                  <c:v>131.56103567492451</c:v>
                </c:pt>
                <c:pt idx="42">
                  <c:v>136.8885594498152</c:v>
                </c:pt>
                <c:pt idx="43">
                  <c:v>144.67804669717054</c:v>
                </c:pt>
                <c:pt idx="44">
                  <c:v>141.71837406432255</c:v>
                </c:pt>
                <c:pt idx="45">
                  <c:v>164.14858044355012</c:v>
                </c:pt>
                <c:pt idx="46">
                  <c:v>165.18171065195057</c:v>
                </c:pt>
                <c:pt idx="47">
                  <c:v>180.22411083943234</c:v>
                </c:pt>
                <c:pt idx="48">
                  <c:v>177.44782935654123</c:v>
                </c:pt>
              </c:numCache>
            </c:numRef>
          </c:val>
          <c:smooth val="0"/>
          <c:extLst>
            <c:ext xmlns:c16="http://schemas.microsoft.com/office/drawing/2014/chart" uri="{C3380CC4-5D6E-409C-BE32-E72D297353CC}">
              <c16:uniqueId val="{00000000-71F7-4AD3-8E56-4981D719DEB9}"/>
            </c:ext>
          </c:extLst>
        </c:ser>
        <c:dLbls>
          <c:showLegendKey val="0"/>
          <c:showVal val="0"/>
          <c:showCatName val="0"/>
          <c:showSerName val="0"/>
          <c:showPercent val="0"/>
          <c:showBubbleSize val="0"/>
        </c:dLbls>
        <c:marker val="1"/>
        <c:smooth val="0"/>
        <c:axId val="169751792"/>
        <c:axId val="1"/>
      </c:lineChart>
      <c:lineChart>
        <c:grouping val="standard"/>
        <c:varyColors val="0"/>
        <c:ser>
          <c:idx val="0"/>
          <c:order val="1"/>
          <c:tx>
            <c:strRef>
              <c:f>kariyer.net!$D$2</c:f>
              <c:strCache>
                <c:ptCount val="1"/>
                <c:pt idx="0">
                  <c:v>NA unemployment rate</c:v>
                </c:pt>
              </c:strCache>
            </c:strRef>
          </c:tx>
          <c:spPr>
            <a:ln w="38100">
              <a:solidFill>
                <a:srgbClr val="000000"/>
              </a:solidFill>
              <a:prstDash val="solid"/>
            </a:ln>
          </c:spPr>
          <c:marker>
            <c:symbol val="none"/>
          </c:marker>
          <c:cat>
            <c:numRef>
              <c:f>kariyer.net!$A$98:$A$146</c:f>
              <c:numCache>
                <c:formatCode>[$-41F]mmmm\ yy;@</c:formatCode>
                <c:ptCount val="49"/>
                <c:pt idx="0">
                  <c:v>41214</c:v>
                </c:pt>
                <c:pt idx="1">
                  <c:v>41244</c:v>
                </c:pt>
                <c:pt idx="2">
                  <c:v>41275</c:v>
                </c:pt>
                <c:pt idx="3">
                  <c:v>41306</c:v>
                </c:pt>
                <c:pt idx="4">
                  <c:v>41334</c:v>
                </c:pt>
                <c:pt idx="5">
                  <c:v>41365</c:v>
                </c:pt>
                <c:pt idx="6">
                  <c:v>41395</c:v>
                </c:pt>
                <c:pt idx="7">
                  <c:v>41426</c:v>
                </c:pt>
                <c:pt idx="8">
                  <c:v>41456</c:v>
                </c:pt>
                <c:pt idx="9">
                  <c:v>41487</c:v>
                </c:pt>
                <c:pt idx="10">
                  <c:v>41518</c:v>
                </c:pt>
                <c:pt idx="11">
                  <c:v>41548</c:v>
                </c:pt>
                <c:pt idx="12">
                  <c:v>41579</c:v>
                </c:pt>
                <c:pt idx="13">
                  <c:v>41609</c:v>
                </c:pt>
                <c:pt idx="14">
                  <c:v>41640</c:v>
                </c:pt>
                <c:pt idx="15">
                  <c:v>41671</c:v>
                </c:pt>
                <c:pt idx="16">
                  <c:v>41699</c:v>
                </c:pt>
                <c:pt idx="17">
                  <c:v>41730</c:v>
                </c:pt>
                <c:pt idx="18">
                  <c:v>41760</c:v>
                </c:pt>
                <c:pt idx="19">
                  <c:v>41791</c:v>
                </c:pt>
                <c:pt idx="20">
                  <c:v>41821</c:v>
                </c:pt>
                <c:pt idx="21">
                  <c:v>41852</c:v>
                </c:pt>
                <c:pt idx="22">
                  <c:v>41883</c:v>
                </c:pt>
                <c:pt idx="23">
                  <c:v>41913</c:v>
                </c:pt>
                <c:pt idx="24">
                  <c:v>41944</c:v>
                </c:pt>
                <c:pt idx="25">
                  <c:v>41974</c:v>
                </c:pt>
                <c:pt idx="26">
                  <c:v>42005</c:v>
                </c:pt>
                <c:pt idx="27">
                  <c:v>42036</c:v>
                </c:pt>
                <c:pt idx="28">
                  <c:v>42064</c:v>
                </c:pt>
                <c:pt idx="29">
                  <c:v>42095</c:v>
                </c:pt>
                <c:pt idx="30">
                  <c:v>42125</c:v>
                </c:pt>
                <c:pt idx="31">
                  <c:v>42156</c:v>
                </c:pt>
                <c:pt idx="32">
                  <c:v>42186</c:v>
                </c:pt>
                <c:pt idx="33">
                  <c:v>42217</c:v>
                </c:pt>
                <c:pt idx="34">
                  <c:v>42248</c:v>
                </c:pt>
                <c:pt idx="35">
                  <c:v>42278</c:v>
                </c:pt>
                <c:pt idx="36">
                  <c:v>42309</c:v>
                </c:pt>
                <c:pt idx="37">
                  <c:v>42339</c:v>
                </c:pt>
                <c:pt idx="38">
                  <c:v>42370</c:v>
                </c:pt>
                <c:pt idx="39">
                  <c:v>42401</c:v>
                </c:pt>
                <c:pt idx="40">
                  <c:v>42430</c:v>
                </c:pt>
                <c:pt idx="41">
                  <c:v>42461</c:v>
                </c:pt>
                <c:pt idx="42">
                  <c:v>42491</c:v>
                </c:pt>
                <c:pt idx="43">
                  <c:v>42522</c:v>
                </c:pt>
                <c:pt idx="44">
                  <c:v>42552</c:v>
                </c:pt>
                <c:pt idx="45">
                  <c:v>42583</c:v>
                </c:pt>
                <c:pt idx="46">
                  <c:v>42614</c:v>
                </c:pt>
                <c:pt idx="47">
                  <c:v>42644</c:v>
                </c:pt>
                <c:pt idx="48">
                  <c:v>42675</c:v>
                </c:pt>
              </c:numCache>
            </c:numRef>
          </c:cat>
          <c:val>
            <c:numRef>
              <c:f>kariyer.net!$D$98:$D$144</c:f>
              <c:numCache>
                <c:formatCode>0.0</c:formatCode>
                <c:ptCount val="47"/>
                <c:pt idx="0">
                  <c:v>10.6</c:v>
                </c:pt>
                <c:pt idx="1">
                  <c:v>10.8</c:v>
                </c:pt>
                <c:pt idx="2">
                  <c:v>10.7</c:v>
                </c:pt>
                <c:pt idx="3">
                  <c:v>10.7</c:v>
                </c:pt>
                <c:pt idx="4">
                  <c:v>10.9</c:v>
                </c:pt>
                <c:pt idx="5">
                  <c:v>11</c:v>
                </c:pt>
                <c:pt idx="6">
                  <c:v>10.9</c:v>
                </c:pt>
                <c:pt idx="7">
                  <c:v>10.7</c:v>
                </c:pt>
                <c:pt idx="8">
                  <c:v>11</c:v>
                </c:pt>
                <c:pt idx="9">
                  <c:v>11.2</c:v>
                </c:pt>
                <c:pt idx="10">
                  <c:v>11.2</c:v>
                </c:pt>
                <c:pt idx="11">
                  <c:v>10.9</c:v>
                </c:pt>
                <c:pt idx="12">
                  <c:v>11</c:v>
                </c:pt>
                <c:pt idx="13">
                  <c:v>10.9</c:v>
                </c:pt>
                <c:pt idx="14">
                  <c:v>11.2</c:v>
                </c:pt>
                <c:pt idx="15">
                  <c:v>11.2</c:v>
                </c:pt>
                <c:pt idx="16">
                  <c:v>11.3</c:v>
                </c:pt>
                <c:pt idx="17">
                  <c:v>11.4</c:v>
                </c:pt>
                <c:pt idx="18">
                  <c:v>11.6</c:v>
                </c:pt>
                <c:pt idx="19">
                  <c:v>11.9</c:v>
                </c:pt>
                <c:pt idx="20">
                  <c:v>12.4</c:v>
                </c:pt>
                <c:pt idx="21">
                  <c:v>12.3</c:v>
                </c:pt>
                <c:pt idx="22">
                  <c:v>12.6</c:v>
                </c:pt>
                <c:pt idx="23">
                  <c:v>12.5</c:v>
                </c:pt>
                <c:pt idx="24">
                  <c:v>12.6</c:v>
                </c:pt>
                <c:pt idx="25">
                  <c:v>12.5</c:v>
                </c:pt>
                <c:pt idx="26">
                  <c:v>12.4</c:v>
                </c:pt>
                <c:pt idx="27">
                  <c:v>12.4</c:v>
                </c:pt>
                <c:pt idx="28">
                  <c:v>12.4</c:v>
                </c:pt>
                <c:pt idx="29">
                  <c:v>12.3</c:v>
                </c:pt>
                <c:pt idx="30">
                  <c:v>12.4</c:v>
                </c:pt>
                <c:pt idx="31">
                  <c:v>12.5</c:v>
                </c:pt>
                <c:pt idx="32">
                  <c:v>12.3</c:v>
                </c:pt>
                <c:pt idx="33">
                  <c:v>12.3</c:v>
                </c:pt>
                <c:pt idx="34">
                  <c:v>12.2</c:v>
                </c:pt>
                <c:pt idx="35">
                  <c:v>12.4</c:v>
                </c:pt>
                <c:pt idx="36">
                  <c:v>12.3</c:v>
                </c:pt>
                <c:pt idx="37">
                  <c:v>12.3</c:v>
                </c:pt>
                <c:pt idx="38">
                  <c:v>12.1</c:v>
                </c:pt>
                <c:pt idx="39">
                  <c:v>12</c:v>
                </c:pt>
                <c:pt idx="40">
                  <c:v>11.8</c:v>
                </c:pt>
                <c:pt idx="41">
                  <c:v>11.8</c:v>
                </c:pt>
                <c:pt idx="42">
                  <c:v>12.3</c:v>
                </c:pt>
                <c:pt idx="43">
                  <c:v>13</c:v>
                </c:pt>
                <c:pt idx="44">
                  <c:v>13.3</c:v>
                </c:pt>
                <c:pt idx="45" formatCode="General">
                  <c:v>13.5</c:v>
                </c:pt>
                <c:pt idx="46" formatCode="General">
                  <c:v>13.5</c:v>
                </c:pt>
              </c:numCache>
            </c:numRef>
          </c:val>
          <c:smooth val="0"/>
          <c:extLst>
            <c:ext xmlns:c16="http://schemas.microsoft.com/office/drawing/2014/chart" uri="{C3380CC4-5D6E-409C-BE32-E72D297353CC}">
              <c16:uniqueId val="{00000001-71F7-4AD3-8E56-4981D719DEB9}"/>
            </c:ext>
          </c:extLst>
        </c:ser>
        <c:dLbls>
          <c:showLegendKey val="0"/>
          <c:showVal val="0"/>
          <c:showCatName val="0"/>
          <c:showSerName val="0"/>
          <c:showPercent val="0"/>
          <c:showBubbleSize val="0"/>
        </c:dLbls>
        <c:marker val="1"/>
        <c:smooth val="0"/>
        <c:axId val="3"/>
        <c:axId val="4"/>
      </c:lineChart>
      <c:catAx>
        <c:axId val="169751792"/>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0"/>
        <c:lblAlgn val="ctr"/>
        <c:lblOffset val="100"/>
        <c:tickLblSkip val="2"/>
        <c:tickMarkSkip val="2"/>
        <c:noMultiLvlLbl val="0"/>
      </c:catAx>
      <c:valAx>
        <c:axId val="1"/>
        <c:scaling>
          <c:orientation val="minMax"/>
          <c:max val="200"/>
          <c:min val="70"/>
        </c:scaling>
        <c:delete val="0"/>
        <c:axPos val="l"/>
        <c:title>
          <c:tx>
            <c:rich>
              <a:bodyPr/>
              <a:lstStyle/>
              <a:p>
                <a:pPr>
                  <a:defRPr sz="1000" b="1" i="0" u="none" strike="noStrike" baseline="0">
                    <a:solidFill>
                      <a:srgbClr val="000000"/>
                    </a:solidFill>
                    <a:latin typeface="Arial"/>
                    <a:ea typeface="Arial"/>
                    <a:cs typeface="Arial"/>
                  </a:defRPr>
                </a:pPr>
                <a:r>
                  <a:rPr lang="tr-TR"/>
                  <a:t># applications per vacancy</a:t>
                </a:r>
              </a:p>
            </c:rich>
          </c:tx>
          <c:layout>
            <c:manualLayout>
              <c:xMode val="edge"/>
              <c:yMode val="edge"/>
              <c:x val="7.256935624982361E-3"/>
              <c:y val="0.17066730991230036"/>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69751792"/>
        <c:crosses val="autoZero"/>
        <c:crossBetween val="midCat"/>
        <c:majorUnit val="10"/>
      </c:valAx>
      <c:dateAx>
        <c:axId val="3"/>
        <c:scaling>
          <c:orientation val="minMax"/>
        </c:scaling>
        <c:delete val="1"/>
        <c:axPos val="b"/>
        <c:numFmt formatCode="[$-41F]mmmm\ yy;@" sourceLinked="1"/>
        <c:majorTickMark val="out"/>
        <c:minorTickMark val="none"/>
        <c:tickLblPos val="nextTo"/>
        <c:crossAx val="4"/>
        <c:crosses val="autoZero"/>
        <c:auto val="1"/>
        <c:lblOffset val="100"/>
        <c:baseTimeUnit val="months"/>
      </c:dateAx>
      <c:valAx>
        <c:axId val="4"/>
        <c:scaling>
          <c:orientation val="minMax"/>
          <c:max val="14.5"/>
          <c:min val="9.5"/>
        </c:scaling>
        <c:delete val="0"/>
        <c:axPos val="r"/>
        <c:title>
          <c:tx>
            <c:rich>
              <a:bodyPr/>
              <a:lstStyle/>
              <a:p>
                <a:pPr>
                  <a:defRPr sz="1000" b="1" i="0" u="none" strike="noStrike" baseline="0">
                    <a:solidFill>
                      <a:srgbClr val="000000"/>
                    </a:solidFill>
                    <a:latin typeface="Arial"/>
                    <a:ea typeface="Arial"/>
                    <a:cs typeface="Arial"/>
                  </a:defRPr>
                </a:pPr>
                <a:r>
                  <a:rPr lang="tr-TR"/>
                  <a:t>NA unemployment rate</a:t>
                </a:r>
              </a:p>
            </c:rich>
          </c:tx>
          <c:layout>
            <c:manualLayout>
              <c:xMode val="edge"/>
              <c:yMode val="edge"/>
              <c:x val="0.94629893037563861"/>
              <c:y val="0.1920005513534003"/>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
        <c:crosses val="max"/>
        <c:crossBetween val="midCat"/>
        <c:majorUnit val="0.5"/>
      </c:valAx>
      <c:spPr>
        <a:solidFill>
          <a:srgbClr val="FFFFFF"/>
        </a:solidFill>
        <a:ln w="25400">
          <a:noFill/>
        </a:ln>
      </c:spPr>
    </c:plotArea>
    <c:legend>
      <c:legendPos val="r"/>
      <c:layout>
        <c:manualLayout>
          <c:xMode val="edge"/>
          <c:yMode val="edge"/>
          <c:x val="8.9985465526486605E-2"/>
          <c:y val="0.88266900991861796"/>
          <c:w val="0.79390427003076236"/>
          <c:h val="0.1013337009022669"/>
        </c:manualLayout>
      </c:layout>
      <c:overlay val="0"/>
      <c:spPr>
        <a:solidFill>
          <a:srgbClr val="FFFFFF"/>
        </a:solidFill>
        <a:ln w="25400">
          <a:noFill/>
        </a:ln>
      </c:spPr>
      <c:txPr>
        <a:bodyPr/>
        <a:lstStyle/>
        <a:p>
          <a:pPr>
            <a:defRPr sz="735"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0.92603</cdr:x>
      <cdr:y>0.92625</cdr:y>
    </cdr:from>
    <cdr:to>
      <cdr:x>0.94031</cdr:x>
      <cdr:y>0.92625</cdr:y>
    </cdr:to>
    <cdr:pic>
      <cdr:nvPicPr>
        <cdr:cNvPr id="142337" name="Picture 1025" descr="betamlogo_kucuk"/>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787803" y="3270260"/>
          <a:ext cx="739997" cy="265818"/>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0E82-A6A1-4CFF-BE0F-8A4C6700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1547</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2017-02-15T09:25:00Z</cp:lastPrinted>
  <dcterms:created xsi:type="dcterms:W3CDTF">2017-02-17T11:58:00Z</dcterms:created>
  <dcterms:modified xsi:type="dcterms:W3CDTF">2017-02-17T11:59:00Z</dcterms:modified>
</cp:coreProperties>
</file>