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07" w:rsidRDefault="00FF01EF">
      <w:r>
        <w:rPr>
          <w:rFonts w:ascii="Times New Roman" w:hAnsi="Times New Roman" w:cs="Times New Roman"/>
          <w:sz w:val="24"/>
          <w:szCs w:val="24"/>
          <w:lang w:val="tr-TR" w:eastAsia="tr-TR"/>
        </w:rPr>
        <mc:AlternateContent>
          <mc:Choice Requires="wps">
            <w:drawing>
              <wp:anchor distT="0" distB="0" distL="114935" distR="114935" simplePos="0" relativeHeight="251663360" behindDoc="0" locked="0" layoutInCell="1" allowOverlap="1">
                <wp:simplePos x="0" y="0"/>
                <wp:positionH relativeFrom="page">
                  <wp:posOffset>6057900</wp:posOffset>
                </wp:positionH>
                <wp:positionV relativeFrom="paragraph">
                  <wp:posOffset>195580</wp:posOffset>
                </wp:positionV>
                <wp:extent cx="1478280" cy="299085"/>
                <wp:effectExtent l="0" t="0" r="0" b="0"/>
                <wp:wrapNone/>
                <wp:docPr id="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D3E" w:rsidRDefault="00877D3E" w:rsidP="00A548FA">
                            <w:pPr>
                              <w:pStyle w:val="NormalWeb"/>
                              <w:spacing w:before="0" w:beforeAutospacing="0" w:after="200" w:afterAutospacing="0" w:line="276" w:lineRule="auto"/>
                              <w:jc w:val="center"/>
                            </w:pPr>
                            <w:r>
                              <w:rPr>
                                <w:rFonts w:ascii="Calibri" w:eastAsia="Calibri" w:hAnsi="Calibri"/>
                                <w:b/>
                                <w:bCs/>
                                <w:color w:val="FFFFFF"/>
                                <w:sz w:val="22"/>
                                <w:szCs w:val="22"/>
                              </w:rPr>
                              <w:t xml:space="preserve"> </w:t>
                            </w:r>
                            <w:r w:rsidR="00111148">
                              <w:rPr>
                                <w:rFonts w:ascii="Calibri" w:eastAsia="Calibri" w:hAnsi="Calibri"/>
                                <w:b/>
                                <w:bCs/>
                                <w:color w:val="FFFFFF"/>
                                <w:sz w:val="22"/>
                                <w:szCs w:val="22"/>
                              </w:rPr>
                              <w:t>3</w:t>
                            </w:r>
                            <w:r>
                              <w:rPr>
                                <w:rFonts w:ascii="Calibri" w:eastAsia="Calibri" w:hAnsi="Calibri"/>
                                <w:b/>
                                <w:bCs/>
                                <w:color w:val="FFFFFF"/>
                                <w:sz w:val="22"/>
                                <w:szCs w:val="22"/>
                              </w:rPr>
                              <w:t xml:space="preserve"> </w:t>
                            </w:r>
                            <w:r w:rsidR="00111148">
                              <w:rPr>
                                <w:rFonts w:ascii="Calibri" w:eastAsia="Calibri" w:hAnsi="Calibri"/>
                                <w:b/>
                                <w:bCs/>
                                <w:color w:val="FFFFFF"/>
                                <w:sz w:val="22"/>
                                <w:szCs w:val="22"/>
                              </w:rPr>
                              <w:t>Ocak</w:t>
                            </w:r>
                            <w:r>
                              <w:rPr>
                                <w:rFonts w:ascii="Calibri" w:eastAsia="Calibri" w:hAnsi="Calibri"/>
                                <w:b/>
                                <w:bCs/>
                                <w:color w:val="FFFFFF"/>
                                <w:sz w:val="22"/>
                                <w:szCs w:val="22"/>
                              </w:rPr>
                              <w:t xml:space="preserve"> 201</w:t>
                            </w:r>
                            <w:r w:rsidR="00111148">
                              <w:rPr>
                                <w:rFonts w:ascii="Calibri" w:eastAsia="Calibri" w:hAnsi="Calibri"/>
                                <w:b/>
                                <w:bCs/>
                                <w:color w:val="FFFFFF"/>
                                <w:sz w:val="22"/>
                                <w:szCs w:val="2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5" o:spid="_x0000_s1026" type="#_x0000_t202" style="position:absolute;margin-left:477pt;margin-top:15.4pt;width:116.4pt;height:23.55pt;z-index:25166336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" stroked="f">
                <v:fill opacity="0"/>
                <v:textbox inset="0,0,0,0">
                  <w:txbxContent>
                    <w:p w:rsidR="00877D3E" w:rsidRDefault="00877D3E" w:rsidP="00A548FA">
                      <w:pPr>
                        <w:pStyle w:val="NormalWeb"/>
                        <w:spacing w:before="0" w:beforeAutospacing="0" w:after="200" w:afterAutospacing="0" w:line="276" w:lineRule="auto"/>
                        <w:jc w:val="center"/>
                      </w:pPr>
                      <w:r>
                        <w:rPr>
                          <w:rFonts w:ascii="Calibri" w:eastAsia="Calibri" w:hAnsi="Calibri"/>
                          <w:b/>
                          <w:bCs/>
                          <w:color w:val="FFFFFF"/>
                          <w:sz w:val="22"/>
                          <w:szCs w:val="22"/>
                        </w:rPr>
                        <w:t xml:space="preserve"> </w:t>
                      </w:r>
                      <w:r w:rsidR="00111148">
                        <w:rPr>
                          <w:rFonts w:ascii="Calibri" w:eastAsia="Calibri" w:hAnsi="Calibri"/>
                          <w:b/>
                          <w:bCs/>
                          <w:color w:val="FFFFFF"/>
                          <w:sz w:val="22"/>
                          <w:szCs w:val="22"/>
                        </w:rPr>
                        <w:t>3</w:t>
                      </w:r>
                      <w:r>
                        <w:rPr>
                          <w:rFonts w:ascii="Calibri" w:eastAsia="Calibri" w:hAnsi="Calibri"/>
                          <w:b/>
                          <w:bCs/>
                          <w:color w:val="FFFFFF"/>
                          <w:sz w:val="22"/>
                          <w:szCs w:val="22"/>
                        </w:rPr>
                        <w:t xml:space="preserve"> </w:t>
                      </w:r>
                      <w:r w:rsidR="00111148">
                        <w:rPr>
                          <w:rFonts w:ascii="Calibri" w:eastAsia="Calibri" w:hAnsi="Calibri"/>
                          <w:b/>
                          <w:bCs/>
                          <w:color w:val="FFFFFF"/>
                          <w:sz w:val="22"/>
                          <w:szCs w:val="22"/>
                        </w:rPr>
                        <w:t>Ocak</w:t>
                      </w:r>
                      <w:r>
                        <w:rPr>
                          <w:rFonts w:ascii="Calibri" w:eastAsia="Calibri" w:hAnsi="Calibri"/>
                          <w:b/>
                          <w:bCs/>
                          <w:color w:val="FFFFFF"/>
                          <w:sz w:val="22"/>
                          <w:szCs w:val="22"/>
                        </w:rPr>
                        <w:t xml:space="preserve"> 201</w:t>
                      </w:r>
                      <w:r w:rsidR="00111148">
                        <w:rPr>
                          <w:rFonts w:ascii="Calibri" w:eastAsia="Calibri" w:hAnsi="Calibri"/>
                          <w:b/>
                          <w:bCs/>
                          <w:color w:val="FFFFFF"/>
                          <w:sz w:val="22"/>
                          <w:szCs w:val="22"/>
                        </w:rPr>
                        <w:t>7</w:t>
                      </w:r>
                    </w:p>
                  </w:txbxContent>
                </v:textbox>
                <w10:wrap anchorx="page"/>
              </v:shape>
            </w:pict>
          </mc:Fallback>
        </mc:AlternateContent>
      </w:r>
      <w:r>
        <w:rPr>
          <w:lang w:val="tr-TR" w:eastAsia="tr-TR"/>
        </w:rPr>
        <mc:AlternateContent>
          <mc:Choice Requires="wps">
            <w:drawing>
              <wp:anchor distT="0" distB="0" distL="114935" distR="114935" simplePos="0" relativeHeight="251661312" behindDoc="0" locked="0" layoutInCell="1" allowOverlap="1">
                <wp:simplePos x="0" y="0"/>
                <wp:positionH relativeFrom="column">
                  <wp:posOffset>1793875</wp:posOffset>
                </wp:positionH>
                <wp:positionV relativeFrom="paragraph">
                  <wp:posOffset>-499745</wp:posOffset>
                </wp:positionV>
                <wp:extent cx="3963670" cy="466725"/>
                <wp:effectExtent l="0" t="0" r="0" b="0"/>
                <wp:wrapNone/>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D3E" w:rsidRPr="00200D68" w:rsidRDefault="00877D3E" w:rsidP="00B967E8">
                            <w:pPr>
                              <w:rPr>
                                <w:b/>
                              </w:rPr>
                            </w:pPr>
                            <w:r>
                              <w:rPr>
                                <w:rFonts w:ascii="Times New Roman" w:hAnsi="Times New Roman"/>
                                <w:b/>
                                <w:sz w:val="52"/>
                                <w:szCs w:val="52"/>
                              </w:rPr>
                              <w:t xml:space="preserve">Araştırma Notu </w:t>
                            </w:r>
                            <w:r w:rsidRPr="00200D68">
                              <w:rPr>
                                <w:rFonts w:ascii="Times New Roman" w:hAnsi="Times New Roman"/>
                                <w:b/>
                                <w:sz w:val="52"/>
                                <w:szCs w:val="52"/>
                              </w:rPr>
                              <w:t>1</w:t>
                            </w:r>
                            <w:r w:rsidR="00111148">
                              <w:rPr>
                                <w:rFonts w:ascii="Times New Roman" w:hAnsi="Times New Roman"/>
                                <w:b/>
                                <w:sz w:val="52"/>
                                <w:szCs w:val="52"/>
                              </w:rPr>
                              <w:t>7</w:t>
                            </w:r>
                            <w:r w:rsidRPr="00200D68">
                              <w:rPr>
                                <w:rFonts w:ascii="Times New Roman" w:hAnsi="Times New Roman"/>
                                <w:b/>
                                <w:sz w:val="52"/>
                                <w:szCs w:val="52"/>
                              </w:rPr>
                              <w:t>/</w:t>
                            </w:r>
                            <w:r>
                              <w:rPr>
                                <w:rFonts w:ascii="Times New Roman" w:hAnsi="Times New Roman"/>
                                <w:b/>
                                <w:sz w:val="52"/>
                                <w:szCs w:val="52"/>
                              </w:rPr>
                              <w:t>20</w:t>
                            </w:r>
                            <w:r w:rsidR="00E02AB8">
                              <w:rPr>
                                <w:rFonts w:ascii="Times New Roman" w:hAnsi="Times New Roman"/>
                                <w:b/>
                                <w:sz w:val="52"/>
                                <w:szCs w:val="5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Metin Kutusu 3" o:spid="_x0000_s1027" type="#_x0000_t202" style="position:absolute;margin-left:141.25pt;margin-top:-39.35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" stroked="f">
                <v:fill opacity="0"/>
                <v:textbox inset="0,0,0,0">
                  <w:txbxContent>
                    <w:p w:rsidR="00877D3E" w:rsidRPr="00200D68" w:rsidRDefault="00877D3E" w:rsidP="00B967E8">
                      <w:pPr>
                        <w:rPr>
                          <w:b/>
                        </w:rPr>
                      </w:pPr>
                      <w:r>
                        <w:rPr>
                          <w:rFonts w:ascii="Times New Roman" w:hAnsi="Times New Roman"/>
                          <w:b/>
                          <w:sz w:val="52"/>
                          <w:szCs w:val="52"/>
                        </w:rPr>
                        <w:t xml:space="preserve">Araştırma Notu </w:t>
                      </w:r>
                      <w:r w:rsidRPr="00200D68">
                        <w:rPr>
                          <w:rFonts w:ascii="Times New Roman" w:hAnsi="Times New Roman"/>
                          <w:b/>
                          <w:sz w:val="52"/>
                          <w:szCs w:val="52"/>
                        </w:rPr>
                        <w:t>1</w:t>
                      </w:r>
                      <w:r w:rsidR="00111148">
                        <w:rPr>
                          <w:rFonts w:ascii="Times New Roman" w:hAnsi="Times New Roman"/>
                          <w:b/>
                          <w:sz w:val="52"/>
                          <w:szCs w:val="52"/>
                        </w:rPr>
                        <w:t>7</w:t>
                      </w:r>
                      <w:r w:rsidRPr="00200D68">
                        <w:rPr>
                          <w:rFonts w:ascii="Times New Roman" w:hAnsi="Times New Roman"/>
                          <w:b/>
                          <w:sz w:val="52"/>
                          <w:szCs w:val="52"/>
                        </w:rPr>
                        <w:t>/</w:t>
                      </w:r>
                      <w:r>
                        <w:rPr>
                          <w:rFonts w:ascii="Times New Roman" w:hAnsi="Times New Roman"/>
                          <w:b/>
                          <w:sz w:val="52"/>
                          <w:szCs w:val="52"/>
                        </w:rPr>
                        <w:t>20</w:t>
                      </w:r>
                      <w:r w:rsidR="00E02AB8">
                        <w:rPr>
                          <w:rFonts w:ascii="Times New Roman" w:hAnsi="Times New Roman"/>
                          <w:b/>
                          <w:sz w:val="52"/>
                          <w:szCs w:val="52"/>
                        </w:rPr>
                        <w:t>4</w:t>
                      </w:r>
                    </w:p>
                  </w:txbxContent>
                </v:textbox>
              </v:shape>
            </w:pict>
          </mc:Fallback>
        </mc:AlternateContent>
      </w:r>
      <w:r w:rsidR="00B967E8" w:rsidRPr="001D402E">
        <w:rPr>
          <w:lang w:val="tr-TR" w:eastAsia="tr-TR"/>
        </w:rPr>
        <w:drawing>
          <wp:anchor distT="0" distB="0" distL="114300" distR="114300" simplePos="0" relativeHeight="251658240" behindDoc="1" locked="0" layoutInCell="1" allowOverlap="1">
            <wp:simplePos x="0" y="0"/>
            <wp:positionH relativeFrom="column">
              <wp:posOffset>-885825</wp:posOffset>
            </wp:positionH>
            <wp:positionV relativeFrom="paragraph">
              <wp:posOffset>-895350</wp:posOffset>
            </wp:positionV>
            <wp:extent cx="7543800" cy="1419225"/>
            <wp:effectExtent l="0" t="0" r="0" b="0"/>
            <wp:wrapNone/>
            <wp:docPr id="3"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543800" cy="1419225"/>
                    </a:xfrm>
                    <a:prstGeom prst="rect">
                      <a:avLst/>
                    </a:prstGeom>
                    <a:noFill/>
                  </pic:spPr>
                </pic:pic>
              </a:graphicData>
            </a:graphic>
          </wp:anchor>
        </w:drawing>
      </w:r>
    </w:p>
    <w:p w:rsidR="00054B07" w:rsidRPr="00054B07" w:rsidRDefault="00054B07" w:rsidP="00054B07"/>
    <w:p w:rsidR="00054B07" w:rsidRDefault="00ED2CFF" w:rsidP="00B508A6">
      <w:pPr>
        <w:spacing w:before="120" w:after="120"/>
        <w:jc w:val="center"/>
        <w:rPr>
          <w:rFonts w:cs="Arial"/>
          <w:b/>
          <w:bCs/>
          <w:sz w:val="28"/>
          <w:szCs w:val="28"/>
        </w:rPr>
      </w:pPr>
      <w:r>
        <w:rPr>
          <w:rFonts w:cs="Arial"/>
          <w:b/>
          <w:bCs/>
          <w:sz w:val="28"/>
          <w:szCs w:val="28"/>
        </w:rPr>
        <w:t xml:space="preserve">KAPSAYICI BÜYÜMENİN </w:t>
      </w:r>
      <w:r w:rsidR="00442AE3" w:rsidRPr="00B87CC7">
        <w:rPr>
          <w:rFonts w:cs="Arial"/>
          <w:b/>
          <w:bCs/>
          <w:sz w:val="28"/>
          <w:szCs w:val="28"/>
        </w:rPr>
        <w:t>KARŞILIĞI</w:t>
      </w:r>
      <w:r>
        <w:rPr>
          <w:rFonts w:cs="Arial"/>
          <w:b/>
          <w:bCs/>
          <w:sz w:val="28"/>
          <w:szCs w:val="28"/>
        </w:rPr>
        <w:t>: DÜŞEN HANEHALKI TASARRUF ORANI</w:t>
      </w:r>
    </w:p>
    <w:p w:rsidR="00054B07" w:rsidRDefault="00054B07" w:rsidP="00054B07">
      <w:pPr>
        <w:spacing w:before="120"/>
        <w:jc w:val="center"/>
        <w:rPr>
          <w:rFonts w:cs="Arial"/>
          <w:b/>
          <w:bCs/>
          <w:sz w:val="20"/>
          <w:szCs w:val="20"/>
        </w:rPr>
      </w:pPr>
      <w:r>
        <w:rPr>
          <w:rFonts w:cs="Arial"/>
          <w:b/>
          <w:bCs/>
          <w:sz w:val="20"/>
          <w:szCs w:val="20"/>
        </w:rPr>
        <w:t>Seyfettin Gürsel</w:t>
      </w:r>
      <w:r>
        <w:rPr>
          <w:rStyle w:val="FootnoteReference"/>
        </w:rPr>
        <w:footnoteReference w:customMarkFollows="1" w:id="1"/>
        <w:t>*</w:t>
      </w:r>
      <w:r>
        <w:rPr>
          <w:rFonts w:cs="Arial"/>
          <w:b/>
          <w:bCs/>
          <w:sz w:val="20"/>
          <w:szCs w:val="20"/>
        </w:rPr>
        <w:t xml:space="preserve"> Gökçe Uysal</w:t>
      </w:r>
      <w:r>
        <w:rPr>
          <w:rStyle w:val="FootnoteReference"/>
        </w:rPr>
        <w:footnoteReference w:customMarkFollows="1" w:id="2"/>
        <w:sym w:font="Symbol" w:char="002A"/>
      </w:r>
      <w:r>
        <w:rPr>
          <w:rStyle w:val="FootnoteReference"/>
        </w:rPr>
        <w:sym w:font="Symbol" w:char="002A"/>
      </w:r>
      <w:r>
        <w:rPr>
          <w:rFonts w:cs="Arial"/>
          <w:b/>
          <w:bCs/>
          <w:sz w:val="20"/>
          <w:szCs w:val="20"/>
        </w:rPr>
        <w:t xml:space="preserve"> ve  Melike Kökkızıl</w:t>
      </w:r>
      <w:r>
        <w:rPr>
          <w:rStyle w:val="FootnoteReference"/>
        </w:rPr>
        <w:footnoteReference w:customMarkFollows="1" w:id="3"/>
        <w:sym w:font="Symbol" w:char="002A"/>
      </w:r>
      <w:r>
        <w:rPr>
          <w:rStyle w:val="FootnoteReference"/>
        </w:rPr>
        <w:sym w:font="Symbol" w:char="002A"/>
      </w:r>
      <w:r>
        <w:rPr>
          <w:rStyle w:val="FootnoteReference"/>
        </w:rPr>
        <w:sym w:font="Symbol" w:char="002A"/>
      </w:r>
    </w:p>
    <w:p w:rsidR="00054B07" w:rsidRDefault="00054B07" w:rsidP="00054B07">
      <w:pPr>
        <w:jc w:val="center"/>
        <w:rPr>
          <w:b/>
        </w:rPr>
      </w:pPr>
      <w:r>
        <w:rPr>
          <w:b/>
        </w:rPr>
        <w:t>Yönetici Özeti</w:t>
      </w:r>
    </w:p>
    <w:p w:rsidR="009A0724" w:rsidRDefault="00A600E3" w:rsidP="00054B07">
      <w:pPr>
        <w:jc w:val="both"/>
        <w:rPr>
          <w:lang w:val="tr-TR"/>
        </w:rPr>
      </w:pPr>
      <w:bookmarkStart w:id="0" w:name="_GoBack"/>
      <w:r w:rsidRPr="00B87CC7">
        <w:t xml:space="preserve">Hane Halkı Bütçe Anketleri (HBA) verilerinde </w:t>
      </w:r>
      <w:r w:rsidR="00627AD3" w:rsidRPr="00B87CC7">
        <w:t>Türkiye’de</w:t>
      </w:r>
      <w:r w:rsidR="00627AD3">
        <w:t xml:space="preserve"> </w:t>
      </w:r>
      <w:r w:rsidR="006330B7">
        <w:t>hane</w:t>
      </w:r>
      <w:r w:rsidR="00FA4016">
        <w:t xml:space="preserve"> </w:t>
      </w:r>
      <w:r w:rsidR="006330B7">
        <w:t>halkı tasarruflarının</w:t>
      </w:r>
      <w:r w:rsidR="00054B07">
        <w:t xml:space="preserve"> </w:t>
      </w:r>
      <w:r w:rsidR="00627AD3">
        <w:t xml:space="preserve">2003-2014 döneminde </w:t>
      </w:r>
      <w:r w:rsidR="00054B07">
        <w:t>yüzde 13,7’den yüzde 6,8’e düş</w:t>
      </w:r>
      <w:r w:rsidR="006330B7">
        <w:t>tüğü</w:t>
      </w:r>
      <w:r w:rsidR="00627AD3">
        <w:t xml:space="preserve"> </w:t>
      </w:r>
      <w:r w:rsidR="00FA4016">
        <w:t xml:space="preserve">ve bu düşüşün neredeyse tüm gelir dilimlerinde gerçekleştiği </w:t>
      </w:r>
      <w:r w:rsidR="00627AD3">
        <w:t>görülmektedir</w:t>
      </w:r>
      <w:r w:rsidR="00FA4016">
        <w:t>. Hane halkı tasarruflarındaki gerilemeler</w:t>
      </w:r>
      <w:r w:rsidR="006330B7">
        <w:t xml:space="preserve"> esasen</w:t>
      </w:r>
      <w:r w:rsidR="00F627A0">
        <w:t xml:space="preserve"> </w:t>
      </w:r>
      <w:r w:rsidR="00054B07">
        <w:rPr>
          <w:lang w:val="tr-TR"/>
        </w:rPr>
        <w:t>dayanıklı tüketi</w:t>
      </w:r>
      <w:r w:rsidR="006330B7">
        <w:rPr>
          <w:lang w:val="tr-TR"/>
        </w:rPr>
        <w:t xml:space="preserve">m mallarına yönelik </w:t>
      </w:r>
      <w:r w:rsidR="006330B7" w:rsidRPr="00B87CC7">
        <w:rPr>
          <w:lang w:val="tr-TR"/>
        </w:rPr>
        <w:t>harcamalardaki artıştan kayna</w:t>
      </w:r>
      <w:r w:rsidR="00FA4016" w:rsidRPr="00B87CC7">
        <w:rPr>
          <w:lang w:val="tr-TR"/>
        </w:rPr>
        <w:t>klanmaktadır</w:t>
      </w:r>
      <w:r w:rsidR="006330B7" w:rsidRPr="00B87CC7">
        <w:rPr>
          <w:lang w:val="tr-TR"/>
        </w:rPr>
        <w:t xml:space="preserve">. </w:t>
      </w:r>
      <w:r w:rsidR="00730189" w:rsidRPr="00B87CC7">
        <w:rPr>
          <w:lang w:val="tr-TR"/>
        </w:rPr>
        <w:t>Veriler d</w:t>
      </w:r>
      <w:r w:rsidR="00054B07" w:rsidRPr="00B87CC7">
        <w:rPr>
          <w:lang w:val="tr-TR"/>
        </w:rPr>
        <w:t>ayanıklı tüketimin hane gelirindeki ortalama payı</w:t>
      </w:r>
      <w:r w:rsidRPr="00B87CC7">
        <w:rPr>
          <w:lang w:val="tr-TR"/>
        </w:rPr>
        <w:t>nın</w:t>
      </w:r>
      <w:r w:rsidR="00054B07" w:rsidRPr="00B87CC7">
        <w:rPr>
          <w:lang w:val="tr-TR"/>
        </w:rPr>
        <w:t xml:space="preserve"> 2005 yılında yüzde 10,8 iken 2014’te yüzde 14,6’ya yüksel</w:t>
      </w:r>
      <w:r w:rsidR="00730189" w:rsidRPr="00B87CC7">
        <w:rPr>
          <w:lang w:val="tr-TR"/>
        </w:rPr>
        <w:t>diğini ortaya koymaktadır</w:t>
      </w:r>
      <w:r w:rsidR="00F4301E" w:rsidRPr="00B87CC7">
        <w:rPr>
          <w:lang w:val="tr-TR"/>
        </w:rPr>
        <w:t xml:space="preserve">. Özellikle ikinci el otomobil ve mobilya harcamalarında önemli artışlar gözlemlenmektedir. </w:t>
      </w:r>
      <w:r w:rsidR="00054B07" w:rsidRPr="00B87CC7">
        <w:rPr>
          <w:lang w:val="tr-TR"/>
        </w:rPr>
        <w:t xml:space="preserve">İkinci el otomobilin dayanıklı tüketim </w:t>
      </w:r>
      <w:r w:rsidR="0059027F" w:rsidRPr="00B87CC7">
        <w:rPr>
          <w:lang w:val="tr-TR"/>
        </w:rPr>
        <w:t xml:space="preserve">harcamasının </w:t>
      </w:r>
      <w:r w:rsidR="00BD4C0E" w:rsidRPr="00B87CC7">
        <w:rPr>
          <w:lang w:val="tr-TR"/>
        </w:rPr>
        <w:t xml:space="preserve">içerisindeki payı 2005’te </w:t>
      </w:r>
      <w:r w:rsidR="00054B07" w:rsidRPr="00B87CC7">
        <w:rPr>
          <w:lang w:val="tr-TR"/>
        </w:rPr>
        <w:t>yüzde 6,6</w:t>
      </w:r>
      <w:r w:rsidR="00BD4C0E" w:rsidRPr="00B87CC7">
        <w:rPr>
          <w:lang w:val="tr-TR"/>
        </w:rPr>
        <w:t xml:space="preserve"> iken 2014’te</w:t>
      </w:r>
      <w:r w:rsidR="00054B07" w:rsidRPr="00B87CC7">
        <w:rPr>
          <w:lang w:val="tr-TR"/>
        </w:rPr>
        <w:t xml:space="preserve"> yüzde 38,4’e çıkmıştır.</w:t>
      </w:r>
      <w:r w:rsidR="00B579A1" w:rsidRPr="00B87CC7">
        <w:rPr>
          <w:lang w:val="tr-TR"/>
        </w:rPr>
        <w:t xml:space="preserve"> </w:t>
      </w:r>
      <w:r w:rsidR="0011664E" w:rsidRPr="00B87CC7">
        <w:rPr>
          <w:lang w:val="tr-TR"/>
        </w:rPr>
        <w:t>Genel olarak bu tüketim mallarındaki harcama artışının her bir hanenin yaptığı harcamanın artmasından ziyade daha çok</w:t>
      </w:r>
      <w:r w:rsidR="00F4301E" w:rsidRPr="00B87CC7">
        <w:rPr>
          <w:lang w:val="tr-TR"/>
        </w:rPr>
        <w:t xml:space="preserve"> sayıda</w:t>
      </w:r>
      <w:r w:rsidR="0011664E" w:rsidRPr="00B87CC7">
        <w:rPr>
          <w:lang w:val="tr-TR"/>
        </w:rPr>
        <w:t xml:space="preserve"> hanenin bu harcamaları yapabilir hale gelmesinden kaynaklandığı anlaşılmaktadır. </w:t>
      </w:r>
      <w:r w:rsidR="00054B07" w:rsidRPr="00B87CC7">
        <w:rPr>
          <w:lang w:val="tr-TR"/>
        </w:rPr>
        <w:t>Bu durum kapsayıcı büyümenin bir göstergesi olmakla birlikte g</w:t>
      </w:r>
      <w:r w:rsidR="00BD4C0E" w:rsidRPr="00B87CC7">
        <w:rPr>
          <w:lang w:val="tr-TR"/>
        </w:rPr>
        <w:t>elir artışına rağmen tasarruflar</w:t>
      </w:r>
      <w:r w:rsidR="00054B07" w:rsidRPr="00B87CC7">
        <w:rPr>
          <w:lang w:val="tr-TR"/>
        </w:rPr>
        <w:t xml:space="preserve">daki düşüşün </w:t>
      </w:r>
      <w:r w:rsidRPr="00B87CC7">
        <w:rPr>
          <w:lang w:val="tr-TR"/>
        </w:rPr>
        <w:t xml:space="preserve">de </w:t>
      </w:r>
      <w:r w:rsidR="00054B07" w:rsidRPr="00B87CC7">
        <w:rPr>
          <w:lang w:val="tr-TR"/>
        </w:rPr>
        <w:t>bir nedenidir.</w:t>
      </w:r>
      <w:r w:rsidR="007E3FFE" w:rsidRPr="00B87CC7">
        <w:rPr>
          <w:lang w:val="tr-TR"/>
        </w:rPr>
        <w:t xml:space="preserve"> Kapsayıcı büyümenin bir göstergesi olması açısından dayanıklı tüketim mallarının yaygınlaşması sevindirici olmakla birlikte </w:t>
      </w:r>
      <w:r w:rsidR="00667F57" w:rsidRPr="00B87CC7">
        <w:rPr>
          <w:lang w:val="tr-TR"/>
        </w:rPr>
        <w:t xml:space="preserve">kronik olarak </w:t>
      </w:r>
      <w:r w:rsidR="007E3FFE" w:rsidRPr="00B87CC7">
        <w:rPr>
          <w:lang w:val="tr-TR"/>
        </w:rPr>
        <w:t>cari açık veren bir ekonomisi olan Türkiye’nin hane halkı tasarruflarının düşmüş olması endişe vericidir.</w:t>
      </w:r>
      <w:r w:rsidR="007E3FFE">
        <w:rPr>
          <w:lang w:val="tr-TR"/>
        </w:rPr>
        <w:t xml:space="preserve"> </w:t>
      </w:r>
    </w:p>
    <w:bookmarkEnd w:id="0"/>
    <w:p w:rsidR="00054B07" w:rsidRPr="00AA1BBA" w:rsidRDefault="00054B07" w:rsidP="00054B07">
      <w:pPr>
        <w:rPr>
          <w:b/>
          <w:sz w:val="24"/>
          <w:szCs w:val="24"/>
          <w:lang w:val="tr-TR"/>
        </w:rPr>
      </w:pPr>
      <w:r w:rsidRPr="00AA1BBA">
        <w:rPr>
          <w:b/>
          <w:sz w:val="24"/>
          <w:szCs w:val="24"/>
          <w:lang w:val="tr-TR"/>
        </w:rPr>
        <w:t>Düşen tasaruflar, artan dayanaklı tüketim malı harcamaları</w:t>
      </w:r>
    </w:p>
    <w:p w:rsidR="000A423A" w:rsidRDefault="00054B07" w:rsidP="00054B07">
      <w:pPr>
        <w:rPr>
          <w:lang w:val="tr-TR"/>
        </w:rPr>
      </w:pPr>
      <w:r>
        <w:rPr>
          <w:lang w:val="tr-TR"/>
        </w:rPr>
        <w:t>Hanehalkı tasarruflarının 2003-2014 dönemindekini seyrini ve farklı gelir gruplarındaki eğilimlerini inceleyen iki araştırma notu yayımladık</w:t>
      </w:r>
      <w:r w:rsidR="005A6BE5">
        <w:rPr>
          <w:lang w:val="tr-TR"/>
        </w:rPr>
        <w:t xml:space="preserve"> </w:t>
      </w:r>
      <w:r>
        <w:rPr>
          <w:lang w:val="tr-TR"/>
        </w:rPr>
        <w:t>(Betam Araştırma Notu (16/197) ve Betam Araştırma Notu(16/200)</w:t>
      </w:r>
      <w:r w:rsidR="005A6BE5">
        <w:rPr>
          <w:lang w:val="tr-TR"/>
        </w:rPr>
        <w:t>)</w:t>
      </w:r>
      <w:r>
        <w:rPr>
          <w:lang w:val="tr-TR"/>
        </w:rPr>
        <w:t xml:space="preserve">. Bu </w:t>
      </w:r>
      <w:r w:rsidR="005A6BE5">
        <w:rPr>
          <w:lang w:val="tr-TR"/>
        </w:rPr>
        <w:t>çalışmalarda</w:t>
      </w:r>
      <w:r>
        <w:rPr>
          <w:lang w:val="tr-TR"/>
        </w:rPr>
        <w:t xml:space="preserve"> ortaya çıkan bulgu</w:t>
      </w:r>
      <w:r w:rsidR="00B95FC0">
        <w:rPr>
          <w:lang w:val="tr-TR"/>
        </w:rPr>
        <w:t>ları kısaca özetlemek gerekirse</w:t>
      </w:r>
      <w:r>
        <w:rPr>
          <w:lang w:val="tr-TR"/>
        </w:rPr>
        <w:t xml:space="preserve"> 2003-2014 döneminde hanehalkı tasarruflarında ciddi düşüş (yüzde 13,7’den yüzde 6,8’e) g</w:t>
      </w:r>
      <w:r w:rsidR="009708EB">
        <w:rPr>
          <w:lang w:val="tr-TR"/>
        </w:rPr>
        <w:t xml:space="preserve">erçekleştiği görülmektedir. Bu </w:t>
      </w:r>
      <w:r>
        <w:rPr>
          <w:lang w:val="tr-TR"/>
        </w:rPr>
        <w:t xml:space="preserve">düşüşün pozitif tasarrufa sahip hanelerin </w:t>
      </w:r>
      <w:r w:rsidR="006A3A49">
        <w:rPr>
          <w:lang w:val="tr-TR"/>
        </w:rPr>
        <w:t xml:space="preserve">oranının </w:t>
      </w:r>
      <w:r>
        <w:rPr>
          <w:lang w:val="tr-TR"/>
        </w:rPr>
        <w:t xml:space="preserve">azalmasından ve tasarruf yapan hanelerin tasarruflarındaki gerilemeden kaynaklandığı görülmektedir. Harcamalara yakından bakıldığında ise hanelerin dayanıklı tüketim mallarına yönelik harcamalarını gelir artışlarından daha hızlı arttırdığı gözlemlenmektedir.  Tasarruf tanımı dayanıklı tüketim malı harcamalarını içerecek şekilde genişletidiğinde ise ülke genelinde hane tasarruf oranında 2008 yılına kadar </w:t>
      </w:r>
      <w:r w:rsidR="00E345EF">
        <w:rPr>
          <w:lang w:val="tr-TR"/>
        </w:rPr>
        <w:t xml:space="preserve">yüzde 20’den 16,7’ye </w:t>
      </w:r>
      <w:r>
        <w:rPr>
          <w:lang w:val="tr-TR"/>
        </w:rPr>
        <w:t>sınırlı bir dü</w:t>
      </w:r>
      <w:r w:rsidR="00E345EF">
        <w:rPr>
          <w:lang w:val="tr-TR"/>
        </w:rPr>
        <w:t>şüş görülmekte</w:t>
      </w:r>
      <w:r w:rsidR="00BA7A04">
        <w:rPr>
          <w:lang w:val="tr-TR"/>
        </w:rPr>
        <w:t>dir. A</w:t>
      </w:r>
      <w:r>
        <w:rPr>
          <w:lang w:val="tr-TR"/>
        </w:rPr>
        <w:t>rdından gelen yükselişle birlikte bu oran 20</w:t>
      </w:r>
      <w:r w:rsidR="00E345EF">
        <w:rPr>
          <w:lang w:val="tr-TR"/>
        </w:rPr>
        <w:t>14 yılında yüzde 21,2’ye çıkmaktadır</w:t>
      </w:r>
      <w:r>
        <w:rPr>
          <w:lang w:val="tr-TR"/>
        </w:rPr>
        <w:t xml:space="preserve">. Diğer ifadeyle tasarruf tutarındaki düşüş dayanıklı tüketim mallarına yönelik harcama artışı ile </w:t>
      </w:r>
      <w:r w:rsidR="0048776C">
        <w:rPr>
          <w:lang w:val="tr-TR"/>
        </w:rPr>
        <w:t>eşzamanlı gözlemlenmektedir</w:t>
      </w:r>
      <w:r>
        <w:rPr>
          <w:lang w:val="tr-TR"/>
        </w:rPr>
        <w:t>.</w:t>
      </w:r>
      <w:r w:rsidR="000A423A">
        <w:rPr>
          <w:lang w:val="tr-TR"/>
        </w:rPr>
        <w:t xml:space="preserve"> </w:t>
      </w:r>
    </w:p>
    <w:p w:rsidR="00054B07" w:rsidRDefault="000A423A" w:rsidP="00054B07">
      <w:pPr>
        <w:rPr>
          <w:lang w:val="tr-TR"/>
        </w:rPr>
      </w:pPr>
      <w:r>
        <w:rPr>
          <w:lang w:val="tr-TR"/>
        </w:rPr>
        <w:t>Farklı gelir dilimlerinde</w:t>
      </w:r>
      <w:r w:rsidR="000E237A">
        <w:rPr>
          <w:lang w:val="tr-TR"/>
        </w:rPr>
        <w:t>ki</w:t>
      </w:r>
      <w:r>
        <w:rPr>
          <w:lang w:val="tr-TR"/>
        </w:rPr>
        <w:t xml:space="preserve"> hanelerin tasarruf eğilimleri incelendiğinde tasarrufun tüm gelir gruplarında azaldığı ve bunun dayanıklı tüketim mallarına yapılan harcamalardan</w:t>
      </w:r>
      <w:r w:rsidR="00B862BA">
        <w:rPr>
          <w:lang w:val="tr-TR"/>
        </w:rPr>
        <w:t xml:space="preserve"> kaynaklandığı</w:t>
      </w:r>
      <w:r>
        <w:rPr>
          <w:lang w:val="tr-TR"/>
        </w:rPr>
        <w:t xml:space="preserve"> görülmektedir.</w:t>
      </w:r>
      <w:r w:rsidRPr="000A423A">
        <w:rPr>
          <w:lang w:val="tr-TR"/>
        </w:rPr>
        <w:t xml:space="preserve"> </w:t>
      </w:r>
      <w:r>
        <w:rPr>
          <w:lang w:val="tr-TR"/>
        </w:rPr>
        <w:t>Bu araştırma notunda, Hanehalkı Bütçe Anketi mikro verisetleri kullanılarak 2005-2014</w:t>
      </w:r>
      <w:r>
        <w:rPr>
          <w:rStyle w:val="FootnoteReference"/>
        </w:rPr>
        <w:footnoteReference w:id="4"/>
      </w:r>
      <w:r>
        <w:rPr>
          <w:lang w:val="tr-TR"/>
        </w:rPr>
        <w:t xml:space="preserve"> döneminde </w:t>
      </w:r>
      <w:r>
        <w:rPr>
          <w:lang w:val="tr-TR"/>
        </w:rPr>
        <w:lastRenderedPageBreak/>
        <w:t xml:space="preserve">görülen dayanıklı tüketimdeki artışın boyutu gelir grubuna göre incelenecek ve buna neden olan ürünlerin tüketimi gelir gruplarına göre ortaya konulacaktır. </w:t>
      </w:r>
    </w:p>
    <w:p w:rsidR="00F36592" w:rsidRDefault="00F36592" w:rsidP="00054B07">
      <w:pPr>
        <w:rPr>
          <w:lang w:val="tr-TR"/>
        </w:rPr>
      </w:pPr>
      <w:r>
        <w:rPr>
          <w:lang w:val="tr-TR"/>
        </w:rPr>
        <w:t>Dayanıklı tüketim malları ve buna yönelik harcamalar için Eurostat’ın belirlediği tanım</w:t>
      </w:r>
      <w:r w:rsidR="00AF08C2">
        <w:rPr>
          <w:lang w:val="tr-TR"/>
        </w:rPr>
        <w:t xml:space="preserve"> kullanılmaktadır</w:t>
      </w:r>
      <w:r>
        <w:rPr>
          <w:lang w:val="tr-TR"/>
        </w:rPr>
        <w:t>. Bu tanımda çeşitli ev ve ev-dışı akti</w:t>
      </w:r>
      <w:r w:rsidR="00C40D06">
        <w:rPr>
          <w:lang w:val="tr-TR"/>
        </w:rPr>
        <w:t xml:space="preserve">viteler için kullanılan </w:t>
      </w:r>
      <w:r>
        <w:rPr>
          <w:lang w:val="tr-TR"/>
        </w:rPr>
        <w:t>ürün sınıfları şunlardır: mobilya, halılar ve diğer yer döşemeleri, buzdolabı ve dondurucular, çamaşır makineleri ile çamaşır kurutma makineleri ve bulaşık makineleri, fırınlar, ısıtıcılar ve klimalar, temizlik ekipmanları, dikiş ve örme makineleri, hanehalklarının kullandığı diğer temel cihazlar, birinci el  otomobil, ikinci el otomobil, motosiklet, bisiklet, telefon ve faks ekipmanları, seslerin alınmasına, kaydedilmesine veya çoğaltılmasına ilişkin ekipmanlar, TV setleri ile video-kaset çalar ve teypler, fotografik ve sinematografik ekipmanlar, optik aletler, veri işlem ekipmanları, ev dışındaki eğlenceye yönelik başlıca dayanıklı mallar ve evde eğlenceye yönelik dayanıklı malları</w:t>
      </w:r>
      <w:r>
        <w:rPr>
          <w:rStyle w:val="FootnoteReference"/>
          <w:lang w:val="tr-TR"/>
        </w:rPr>
        <w:footnoteReference w:id="5"/>
      </w:r>
      <w:r>
        <w:rPr>
          <w:lang w:val="tr-TR"/>
        </w:rPr>
        <w:t>.</w:t>
      </w:r>
      <w:r w:rsidR="000A423A" w:rsidRPr="000A423A">
        <w:rPr>
          <w:lang w:val="tr-TR"/>
        </w:rPr>
        <w:t xml:space="preserve"> </w:t>
      </w:r>
      <w:r w:rsidR="000A423A">
        <w:rPr>
          <w:lang w:val="tr-TR"/>
        </w:rPr>
        <w:t>Dayanıklı tüketim mallarına yönelik harcamanın hanen</w:t>
      </w:r>
      <w:r w:rsidR="00960B48">
        <w:rPr>
          <w:lang w:val="tr-TR"/>
        </w:rPr>
        <w:t>in aylık gelire oranını hesaplanır</w:t>
      </w:r>
      <w:r w:rsidR="000A423A">
        <w:rPr>
          <w:lang w:val="tr-TR"/>
        </w:rPr>
        <w:t>ken, her bir hanenin toplam ilgili harcamasının aylık gelire oranı hesaplanmış</w:t>
      </w:r>
      <w:r w:rsidR="007062D5">
        <w:rPr>
          <w:lang w:val="tr-TR"/>
        </w:rPr>
        <w:t xml:space="preserve"> ve hane gelirinin</w:t>
      </w:r>
      <w:r w:rsidR="00A608C2">
        <w:rPr>
          <w:lang w:val="tr-TR"/>
        </w:rPr>
        <w:t xml:space="preserve"> toplam gelire oranının</w:t>
      </w:r>
      <w:r w:rsidR="007062D5">
        <w:rPr>
          <w:lang w:val="tr-TR"/>
        </w:rPr>
        <w:t xml:space="preserve"> ağırlık olarak kullanıldığı bir ağırlıklı ortalama hesaplanmıştır. </w:t>
      </w:r>
    </w:p>
    <w:p w:rsidR="00054B07" w:rsidRPr="00AA1BBA" w:rsidRDefault="00054B07" w:rsidP="00054B07">
      <w:pPr>
        <w:rPr>
          <w:b/>
          <w:strike/>
          <w:sz w:val="24"/>
          <w:szCs w:val="24"/>
          <w:lang w:val="tr-TR"/>
        </w:rPr>
      </w:pPr>
      <w:r w:rsidRPr="00AA1BBA">
        <w:rPr>
          <w:b/>
          <w:sz w:val="24"/>
          <w:szCs w:val="24"/>
          <w:lang w:val="tr-TR"/>
        </w:rPr>
        <w:t xml:space="preserve">Dayanıklı tüketim malında en yüksek harcama otomobil ve mobilyada </w:t>
      </w:r>
    </w:p>
    <w:p w:rsidR="00054B07" w:rsidRDefault="006F26F7" w:rsidP="00054B07">
      <w:pPr>
        <w:rPr>
          <w:lang w:val="tr-TR"/>
        </w:rPr>
      </w:pPr>
      <w:r>
        <w:fldChar w:fldCharType="begin"/>
      </w:r>
      <w:r>
        <w:instrText xml:space="preserve"> REF _Ref466379578 \h  \* MERGEFORMAT </w:instrText>
      </w:r>
      <w:r>
        <w:fldChar w:fldCharType="separate"/>
      </w:r>
      <w:r w:rsidR="00054B07">
        <w:rPr>
          <w:lang w:val="tr-TR"/>
        </w:rPr>
        <w:t>Tablo 1</w:t>
      </w:r>
      <w:r>
        <w:fldChar w:fldCharType="end"/>
      </w:r>
      <w:r w:rsidR="0024001B">
        <w:rPr>
          <w:lang w:val="tr-TR"/>
        </w:rPr>
        <w:t xml:space="preserve">’de </w:t>
      </w:r>
      <w:r w:rsidR="00054B07">
        <w:rPr>
          <w:lang w:val="tr-TR"/>
        </w:rPr>
        <w:t xml:space="preserve">aylık </w:t>
      </w:r>
      <w:r w:rsidR="0024001B">
        <w:rPr>
          <w:lang w:val="tr-TR"/>
        </w:rPr>
        <w:t xml:space="preserve">dayanıklı tüketim malları </w:t>
      </w:r>
      <w:r w:rsidR="00054B07">
        <w:rPr>
          <w:lang w:val="tr-TR"/>
        </w:rPr>
        <w:t>harcama</w:t>
      </w:r>
      <w:r w:rsidR="0024001B">
        <w:rPr>
          <w:lang w:val="tr-TR"/>
        </w:rPr>
        <w:t>ları</w:t>
      </w:r>
      <w:r w:rsidR="00054B07">
        <w:rPr>
          <w:lang w:val="tr-TR"/>
        </w:rPr>
        <w:t xml:space="preserve">nın gelire oranı verilmektedir. </w:t>
      </w:r>
      <w:r w:rsidR="004E073C">
        <w:rPr>
          <w:lang w:val="tr-TR"/>
        </w:rPr>
        <w:t>Ortalama hane reel gelirinin 2005-2014 döneminde yüzde 24,6 buna karşılık hane harcamasının yüzde 25,5 arttığı gözlemlenmektedir (</w:t>
      </w:r>
      <w:r>
        <w:fldChar w:fldCharType="begin"/>
      </w:r>
      <w:r>
        <w:instrText xml:space="preserve"> REF _Ref466379578 \h  \* MERGEFORMAT </w:instrText>
      </w:r>
      <w:r>
        <w:fldChar w:fldCharType="separate"/>
      </w:r>
      <w:r w:rsidR="004E073C" w:rsidRPr="00F36592">
        <w:rPr>
          <w:lang w:val="tr-TR"/>
        </w:rPr>
        <w:t>Tablo 1</w:t>
      </w:r>
      <w:r>
        <w:fldChar w:fldCharType="end"/>
      </w:r>
      <w:r w:rsidR="004E073C">
        <w:rPr>
          <w:lang w:val="tr-TR"/>
        </w:rPr>
        <w:t xml:space="preserve">). </w:t>
      </w:r>
      <w:r w:rsidR="00D23DBF">
        <w:rPr>
          <w:lang w:val="tr-TR"/>
        </w:rPr>
        <w:t xml:space="preserve">Dayanıklı tüketim mallarına yapılan aylık ortalama harcama miktarı 2005’ten 2014’e yüzde 68,6 artmıştır. </w:t>
      </w:r>
      <w:r w:rsidR="00EE1BAF">
        <w:rPr>
          <w:lang w:val="tr-TR"/>
        </w:rPr>
        <w:t>Dayanıklı tüketim malları</w:t>
      </w:r>
      <w:r w:rsidR="00D23DBF">
        <w:rPr>
          <w:lang w:val="tr-TR"/>
        </w:rPr>
        <w:t xml:space="preserve"> için </w:t>
      </w:r>
      <w:r w:rsidR="00EE1BAF">
        <w:rPr>
          <w:lang w:val="tr-TR"/>
        </w:rPr>
        <w:t xml:space="preserve">ortalama 2005 yılında (2014 fiyatlarıyla) 271 TL </w:t>
      </w:r>
      <w:r w:rsidR="00D23DBF">
        <w:rPr>
          <w:lang w:val="tr-TR"/>
        </w:rPr>
        <w:t xml:space="preserve">harcanıyorken 2014 yılında 457 TL harcanmaktadır. </w:t>
      </w:r>
      <w:r w:rsidR="009267A5">
        <w:rPr>
          <w:lang w:val="tr-TR"/>
        </w:rPr>
        <w:t>Bu durum d</w:t>
      </w:r>
      <w:r w:rsidR="004E073C">
        <w:rPr>
          <w:lang w:val="tr-TR"/>
        </w:rPr>
        <w:t>ayanıklı tüketim mallarına yönelik harcamaların hem hane gelirine göre hem de hane h</w:t>
      </w:r>
      <w:r w:rsidR="009267A5">
        <w:rPr>
          <w:lang w:val="tr-TR"/>
        </w:rPr>
        <w:t xml:space="preserve">arcamasına göre </w:t>
      </w:r>
      <w:r w:rsidR="009267A5" w:rsidRPr="00B87CC7">
        <w:rPr>
          <w:lang w:val="tr-TR"/>
        </w:rPr>
        <w:t xml:space="preserve">daha </w:t>
      </w:r>
      <w:r w:rsidR="00D64A0D" w:rsidRPr="00B87CC7">
        <w:rPr>
          <w:lang w:val="tr-TR"/>
        </w:rPr>
        <w:t>hızlı</w:t>
      </w:r>
      <w:r w:rsidR="00D64A0D">
        <w:rPr>
          <w:lang w:val="tr-TR"/>
        </w:rPr>
        <w:t xml:space="preserve"> </w:t>
      </w:r>
      <w:r w:rsidR="009267A5">
        <w:rPr>
          <w:lang w:val="tr-TR"/>
        </w:rPr>
        <w:t>arttığını göstermektedir</w:t>
      </w:r>
      <w:r w:rsidR="004E073C">
        <w:rPr>
          <w:lang w:val="tr-TR"/>
        </w:rPr>
        <w:t xml:space="preserve">. </w:t>
      </w:r>
      <w:bookmarkStart w:id="1" w:name="_Ref466371691"/>
      <w:r w:rsidR="004A2399">
        <w:fldChar w:fldCharType="begin"/>
      </w:r>
      <w:r w:rsidR="002F38DE" w:rsidRPr="009145BA">
        <w:rPr>
          <w:lang w:val="tr-TR"/>
        </w:rPr>
        <w:instrText xml:space="preserve"> REF _Ref466379578 \h  \* MERGEFORMAT </w:instrText>
      </w:r>
      <w:r w:rsidR="004A2399">
        <w:fldChar w:fldCharType="separate"/>
      </w:r>
      <w:r w:rsidR="00054B07">
        <w:rPr>
          <w:lang w:val="tr-TR"/>
        </w:rPr>
        <w:t>Tablo 1</w:t>
      </w:r>
      <w:r w:rsidR="004A2399">
        <w:fldChar w:fldCharType="end"/>
      </w:r>
      <w:r w:rsidR="00DA1C8F">
        <w:t>’</w:t>
      </w:r>
      <w:r w:rsidR="00906E6D">
        <w:t xml:space="preserve">deki verilere göre </w:t>
      </w:r>
      <w:r w:rsidR="00054B07">
        <w:rPr>
          <w:lang w:val="tr-TR"/>
        </w:rPr>
        <w:t xml:space="preserve">2005 yılında dayanıklı tüketime yönelik harcamalar hane gelirinin yüzde 10,8’ini kapsamakta iken 2014’te </w:t>
      </w:r>
      <w:r w:rsidR="00622217">
        <w:rPr>
          <w:lang w:val="tr-TR"/>
        </w:rPr>
        <w:t>bu pay</w:t>
      </w:r>
      <w:r w:rsidR="00054B07">
        <w:rPr>
          <w:lang w:val="tr-TR"/>
        </w:rPr>
        <w:t xml:space="preserve"> y</w:t>
      </w:r>
      <w:r w:rsidR="00906E6D">
        <w:rPr>
          <w:lang w:val="tr-TR"/>
        </w:rPr>
        <w:t>üzde 14,6’ya kadar genişlemektedir</w:t>
      </w:r>
      <w:r w:rsidR="00054B07">
        <w:rPr>
          <w:lang w:val="tr-TR"/>
        </w:rPr>
        <w:t>.</w:t>
      </w:r>
    </w:p>
    <w:p w:rsidR="00F64F0B" w:rsidRDefault="00F64F0B" w:rsidP="00F64F0B">
      <w:pPr>
        <w:pStyle w:val="Caption"/>
        <w:keepNext/>
        <w:rPr>
          <w:b/>
          <w:i w:val="0"/>
          <w:color w:val="auto"/>
          <w:sz w:val="22"/>
          <w:szCs w:val="22"/>
          <w:lang w:val="tr-TR"/>
        </w:rPr>
      </w:pPr>
      <w:bookmarkStart w:id="2" w:name="_Ref466379578"/>
      <w:r>
        <w:rPr>
          <w:b/>
          <w:i w:val="0"/>
          <w:color w:val="auto"/>
          <w:sz w:val="22"/>
          <w:szCs w:val="22"/>
          <w:lang w:val="tr-TR"/>
        </w:rPr>
        <w:t xml:space="preserve">Tablo </w:t>
      </w:r>
      <w:r w:rsidR="004A2399">
        <w:fldChar w:fldCharType="begin"/>
      </w:r>
      <w:r>
        <w:rPr>
          <w:b/>
          <w:i w:val="0"/>
          <w:color w:val="auto"/>
          <w:sz w:val="22"/>
          <w:szCs w:val="22"/>
          <w:lang w:val="tr-TR"/>
        </w:rPr>
        <w:instrText xml:space="preserve"> SEQ Tablo \* ARABIC </w:instrText>
      </w:r>
      <w:r w:rsidR="004A2399">
        <w:fldChar w:fldCharType="separate"/>
      </w:r>
      <w:r>
        <w:rPr>
          <w:b/>
          <w:i w:val="0"/>
          <w:color w:val="auto"/>
          <w:sz w:val="22"/>
          <w:szCs w:val="22"/>
          <w:lang w:val="tr-TR"/>
        </w:rPr>
        <w:t>1</w:t>
      </w:r>
      <w:r w:rsidR="004A2399">
        <w:fldChar w:fldCharType="end"/>
      </w:r>
      <w:bookmarkEnd w:id="2"/>
      <w:r>
        <w:rPr>
          <w:b/>
          <w:i w:val="0"/>
          <w:color w:val="auto"/>
          <w:sz w:val="22"/>
          <w:szCs w:val="22"/>
          <w:lang w:val="tr-TR"/>
        </w:rPr>
        <w:t xml:space="preserve"> Dayanıklı tüketim harcamalarının gelir içindeki ortalama payı*</w:t>
      </w:r>
    </w:p>
    <w:tbl>
      <w:tblPr>
        <w:tblStyle w:val="NormalTablo1"/>
        <w:tblW w:w="8434" w:type="dxa"/>
        <w:tblInd w:w="0" w:type="dxa"/>
        <w:tblBorders>
          <w:top w:val="single" w:sz="8" w:space="0" w:color="D9D9D9"/>
          <w:left w:val="single" w:sz="8" w:space="0" w:color="D9D9D9"/>
          <w:bottom w:val="single" w:sz="8" w:space="0" w:color="D9D9D9"/>
          <w:right w:val="single" w:sz="8" w:space="0" w:color="D9D9D9"/>
          <w:insideH w:val="single" w:sz="6" w:space="0" w:color="D9D9D9"/>
          <w:insideV w:val="single" w:sz="6" w:space="0" w:color="D9D9D9"/>
        </w:tblBorders>
        <w:tblCellMar>
          <w:left w:w="70" w:type="dxa"/>
          <w:right w:w="70" w:type="dxa"/>
        </w:tblCellMar>
        <w:tblLook w:val="04A0" w:firstRow="1" w:lastRow="0" w:firstColumn="1" w:lastColumn="0" w:noHBand="0" w:noVBand="1"/>
      </w:tblPr>
      <w:tblGrid>
        <w:gridCol w:w="2197"/>
        <w:gridCol w:w="1075"/>
        <w:gridCol w:w="1129"/>
        <w:gridCol w:w="970"/>
        <w:gridCol w:w="1418"/>
        <w:gridCol w:w="1645"/>
      </w:tblGrid>
      <w:tr w:rsidR="00F64F0B" w:rsidRPr="009145BA" w:rsidTr="00877D3E">
        <w:trPr>
          <w:trHeight w:val="707"/>
        </w:trPr>
        <w:tc>
          <w:tcPr>
            <w:tcW w:w="2197" w:type="dxa"/>
            <w:tcBorders>
              <w:top w:val="single" w:sz="8" w:space="0" w:color="D9D9D9"/>
              <w:left w:val="single" w:sz="8" w:space="0" w:color="D9D9D9"/>
              <w:bottom w:val="single" w:sz="6" w:space="0" w:color="D9D9D9"/>
              <w:right w:val="single" w:sz="6" w:space="0" w:color="D9D9D9"/>
            </w:tcBorders>
            <w:noWrap/>
            <w:vAlign w:val="center"/>
            <w:hideMark/>
          </w:tcPr>
          <w:p w:rsidR="00F64F0B" w:rsidRDefault="00F64F0B" w:rsidP="00877D3E">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 </w:t>
            </w:r>
          </w:p>
        </w:tc>
        <w:tc>
          <w:tcPr>
            <w:tcW w:w="992" w:type="dxa"/>
            <w:tcBorders>
              <w:top w:val="single" w:sz="8" w:space="0" w:color="D9D9D9"/>
              <w:left w:val="single" w:sz="6" w:space="0" w:color="D9D9D9"/>
              <w:bottom w:val="single" w:sz="6" w:space="0" w:color="D9D9D9"/>
              <w:right w:val="single" w:sz="6" w:space="0" w:color="D9D9D9"/>
            </w:tcBorders>
            <w:hideMark/>
          </w:tcPr>
          <w:p w:rsidR="00F64F0B" w:rsidRDefault="00F64F0B" w:rsidP="00877D3E">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Reel dayanıklı tüketim harcaması</w:t>
            </w:r>
          </w:p>
        </w:tc>
        <w:tc>
          <w:tcPr>
            <w:tcW w:w="1134" w:type="dxa"/>
            <w:tcBorders>
              <w:top w:val="single" w:sz="8" w:space="0" w:color="D9D9D9"/>
              <w:left w:val="single" w:sz="6" w:space="0" w:color="D9D9D9"/>
              <w:bottom w:val="single" w:sz="6" w:space="0" w:color="D9D9D9"/>
              <w:right w:val="single" w:sz="6" w:space="0" w:color="D9D9D9"/>
            </w:tcBorders>
            <w:hideMark/>
          </w:tcPr>
          <w:p w:rsidR="00F64F0B" w:rsidRDefault="00F64F0B" w:rsidP="00877D3E">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Toplam tüketim harcaması</w:t>
            </w:r>
          </w:p>
        </w:tc>
        <w:tc>
          <w:tcPr>
            <w:tcW w:w="992" w:type="dxa"/>
            <w:tcBorders>
              <w:top w:val="single" w:sz="8" w:space="0" w:color="D9D9D9"/>
              <w:left w:val="single" w:sz="6" w:space="0" w:color="D9D9D9"/>
              <w:bottom w:val="single" w:sz="6" w:space="0" w:color="D9D9D9"/>
              <w:right w:val="single" w:sz="6" w:space="0" w:color="D9D9D9"/>
            </w:tcBorders>
            <w:hideMark/>
          </w:tcPr>
          <w:p w:rsidR="00F64F0B" w:rsidRDefault="00F64F0B" w:rsidP="00877D3E">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Reel hane geliri</w:t>
            </w:r>
          </w:p>
        </w:tc>
        <w:tc>
          <w:tcPr>
            <w:tcW w:w="1418" w:type="dxa"/>
            <w:tcBorders>
              <w:top w:val="single" w:sz="8" w:space="0" w:color="D9D9D9"/>
              <w:left w:val="single" w:sz="6" w:space="0" w:color="D9D9D9"/>
              <w:bottom w:val="single" w:sz="6" w:space="0" w:color="D9D9D9"/>
              <w:right w:val="single" w:sz="6" w:space="0" w:color="D9D9D9"/>
            </w:tcBorders>
            <w:noWrap/>
            <w:vAlign w:val="center"/>
            <w:hideMark/>
          </w:tcPr>
          <w:p w:rsidR="00F64F0B" w:rsidRDefault="00F64F0B" w:rsidP="00877D3E">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Dayanıklı Tüketim Harcaması / Hane Geliri</w:t>
            </w:r>
          </w:p>
        </w:tc>
        <w:tc>
          <w:tcPr>
            <w:tcW w:w="1701" w:type="dxa"/>
            <w:tcBorders>
              <w:top w:val="single" w:sz="8" w:space="0" w:color="D9D9D9"/>
              <w:left w:val="single" w:sz="6" w:space="0" w:color="D9D9D9"/>
              <w:bottom w:val="single" w:sz="6" w:space="0" w:color="D9D9D9"/>
              <w:right w:val="single" w:sz="8" w:space="0" w:color="D9D9D9"/>
            </w:tcBorders>
            <w:vAlign w:val="center"/>
            <w:hideMark/>
          </w:tcPr>
          <w:p w:rsidR="00F64F0B" w:rsidRDefault="00F64F0B" w:rsidP="00877D3E">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Dayanıklı Tüketim Harcaması / Hane Harcaması</w:t>
            </w:r>
          </w:p>
        </w:tc>
      </w:tr>
      <w:tr w:rsidR="00F64F0B" w:rsidTr="00877D3E">
        <w:trPr>
          <w:trHeight w:val="348"/>
        </w:trPr>
        <w:tc>
          <w:tcPr>
            <w:tcW w:w="2197" w:type="dxa"/>
            <w:tcBorders>
              <w:top w:val="single" w:sz="6" w:space="0" w:color="D9D9D9"/>
              <w:left w:val="single" w:sz="8" w:space="0" w:color="D9D9D9"/>
              <w:bottom w:val="single" w:sz="6" w:space="0" w:color="D9D9D9"/>
              <w:right w:val="single" w:sz="6" w:space="0" w:color="D9D9D9"/>
            </w:tcBorders>
            <w:noWrap/>
            <w:vAlign w:val="center"/>
            <w:hideMark/>
          </w:tcPr>
          <w:p w:rsidR="00F64F0B" w:rsidRDefault="00F64F0B" w:rsidP="00877D3E">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2005</w:t>
            </w:r>
          </w:p>
        </w:tc>
        <w:tc>
          <w:tcPr>
            <w:tcW w:w="992" w:type="dxa"/>
            <w:tcBorders>
              <w:top w:val="single" w:sz="6" w:space="0" w:color="D9D9D9"/>
              <w:left w:val="single" w:sz="6" w:space="0" w:color="D9D9D9"/>
              <w:bottom w:val="single" w:sz="6" w:space="0" w:color="D9D9D9"/>
              <w:right w:val="single" w:sz="6" w:space="0" w:color="D9D9D9"/>
            </w:tcBorders>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271,3</w:t>
            </w:r>
          </w:p>
        </w:tc>
        <w:tc>
          <w:tcPr>
            <w:tcW w:w="1134" w:type="dxa"/>
            <w:tcBorders>
              <w:top w:val="single" w:sz="6" w:space="0" w:color="D9D9D9"/>
              <w:left w:val="single" w:sz="6" w:space="0" w:color="D9D9D9"/>
              <w:bottom w:val="single" w:sz="6" w:space="0" w:color="D9D9D9"/>
              <w:right w:val="single" w:sz="6" w:space="0" w:color="D9D9D9"/>
            </w:tcBorders>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2330,4</w:t>
            </w:r>
          </w:p>
        </w:tc>
        <w:tc>
          <w:tcPr>
            <w:tcW w:w="992" w:type="dxa"/>
            <w:tcBorders>
              <w:top w:val="single" w:sz="6" w:space="0" w:color="D9D9D9"/>
              <w:left w:val="single" w:sz="6" w:space="0" w:color="D9D9D9"/>
              <w:bottom w:val="single" w:sz="6" w:space="0" w:color="D9D9D9"/>
              <w:right w:val="single" w:sz="6" w:space="0" w:color="D9D9D9"/>
            </w:tcBorders>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2519,2</w:t>
            </w:r>
          </w:p>
        </w:tc>
        <w:tc>
          <w:tcPr>
            <w:tcW w:w="1418" w:type="dxa"/>
            <w:tcBorders>
              <w:top w:val="single" w:sz="6" w:space="0" w:color="D9D9D9"/>
              <w:left w:val="single" w:sz="6" w:space="0" w:color="D9D9D9"/>
              <w:bottom w:val="single" w:sz="6" w:space="0" w:color="D9D9D9"/>
              <w:right w:val="single" w:sz="6" w:space="0" w:color="D9D9D9"/>
            </w:tcBorders>
            <w:noWrap/>
            <w:vAlign w:val="center"/>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%10,8</w:t>
            </w:r>
          </w:p>
        </w:tc>
        <w:tc>
          <w:tcPr>
            <w:tcW w:w="1701" w:type="dxa"/>
            <w:tcBorders>
              <w:top w:val="single" w:sz="6" w:space="0" w:color="D9D9D9"/>
              <w:left w:val="single" w:sz="6" w:space="0" w:color="D9D9D9"/>
              <w:bottom w:val="single" w:sz="6" w:space="0" w:color="D9D9D9"/>
              <w:right w:val="single" w:sz="8" w:space="0" w:color="D9D9D9"/>
            </w:tcBorders>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%11,6</w:t>
            </w:r>
          </w:p>
        </w:tc>
      </w:tr>
      <w:tr w:rsidR="00F64F0B" w:rsidTr="00877D3E">
        <w:trPr>
          <w:trHeight w:val="305"/>
        </w:trPr>
        <w:tc>
          <w:tcPr>
            <w:tcW w:w="2197" w:type="dxa"/>
            <w:tcBorders>
              <w:top w:val="single" w:sz="6" w:space="0" w:color="D9D9D9"/>
              <w:left w:val="single" w:sz="8" w:space="0" w:color="D9D9D9"/>
              <w:bottom w:val="single" w:sz="6" w:space="0" w:color="D9D9D9"/>
              <w:right w:val="single" w:sz="6" w:space="0" w:color="D9D9D9"/>
            </w:tcBorders>
            <w:noWrap/>
            <w:vAlign w:val="center"/>
            <w:hideMark/>
          </w:tcPr>
          <w:p w:rsidR="00F64F0B" w:rsidRDefault="00F64F0B" w:rsidP="00877D3E">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2014</w:t>
            </w:r>
          </w:p>
        </w:tc>
        <w:tc>
          <w:tcPr>
            <w:tcW w:w="992" w:type="dxa"/>
            <w:tcBorders>
              <w:top w:val="single" w:sz="6" w:space="0" w:color="D9D9D9"/>
              <w:left w:val="single" w:sz="6" w:space="0" w:color="D9D9D9"/>
              <w:bottom w:val="single" w:sz="6" w:space="0" w:color="D9D9D9"/>
              <w:right w:val="single" w:sz="6" w:space="0" w:color="D9D9D9"/>
            </w:tcBorders>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457,3</w:t>
            </w:r>
          </w:p>
        </w:tc>
        <w:tc>
          <w:tcPr>
            <w:tcW w:w="1134" w:type="dxa"/>
            <w:tcBorders>
              <w:top w:val="single" w:sz="6" w:space="0" w:color="D9D9D9"/>
              <w:left w:val="single" w:sz="6" w:space="0" w:color="D9D9D9"/>
              <w:bottom w:val="single" w:sz="6" w:space="0" w:color="D9D9D9"/>
              <w:right w:val="single" w:sz="6" w:space="0" w:color="D9D9D9"/>
            </w:tcBorders>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2925,7</w:t>
            </w:r>
          </w:p>
        </w:tc>
        <w:tc>
          <w:tcPr>
            <w:tcW w:w="992" w:type="dxa"/>
            <w:tcBorders>
              <w:top w:val="single" w:sz="6" w:space="0" w:color="D9D9D9"/>
              <w:left w:val="single" w:sz="6" w:space="0" w:color="D9D9D9"/>
              <w:bottom w:val="single" w:sz="6" w:space="0" w:color="D9D9D9"/>
              <w:right w:val="single" w:sz="6" w:space="0" w:color="D9D9D9"/>
            </w:tcBorders>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3137,9</w:t>
            </w:r>
          </w:p>
        </w:tc>
        <w:tc>
          <w:tcPr>
            <w:tcW w:w="1418" w:type="dxa"/>
            <w:tcBorders>
              <w:top w:val="single" w:sz="6" w:space="0" w:color="D9D9D9"/>
              <w:left w:val="single" w:sz="6" w:space="0" w:color="D9D9D9"/>
              <w:bottom w:val="single" w:sz="6" w:space="0" w:color="D9D9D9"/>
              <w:right w:val="single" w:sz="6" w:space="0" w:color="D9D9D9"/>
            </w:tcBorders>
            <w:noWrap/>
            <w:vAlign w:val="center"/>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%14,6</w:t>
            </w:r>
          </w:p>
        </w:tc>
        <w:tc>
          <w:tcPr>
            <w:tcW w:w="1701" w:type="dxa"/>
            <w:tcBorders>
              <w:top w:val="single" w:sz="6" w:space="0" w:color="D9D9D9"/>
              <w:left w:val="single" w:sz="6" w:space="0" w:color="D9D9D9"/>
              <w:bottom w:val="single" w:sz="6" w:space="0" w:color="D9D9D9"/>
              <w:right w:val="single" w:sz="8" w:space="0" w:color="D9D9D9"/>
            </w:tcBorders>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%15,6</w:t>
            </w:r>
          </w:p>
        </w:tc>
      </w:tr>
      <w:tr w:rsidR="00F64F0B" w:rsidTr="00877D3E">
        <w:trPr>
          <w:trHeight w:val="305"/>
        </w:trPr>
        <w:tc>
          <w:tcPr>
            <w:tcW w:w="2197" w:type="dxa"/>
            <w:tcBorders>
              <w:top w:val="single" w:sz="6" w:space="0" w:color="D9D9D9"/>
              <w:left w:val="single" w:sz="8" w:space="0" w:color="D9D9D9"/>
              <w:bottom w:val="single" w:sz="8" w:space="0" w:color="D9D9D9"/>
              <w:right w:val="single" w:sz="6" w:space="0" w:color="D9D9D9"/>
            </w:tcBorders>
            <w:noWrap/>
            <w:vAlign w:val="bottom"/>
            <w:hideMark/>
          </w:tcPr>
          <w:p w:rsidR="00F64F0B" w:rsidRDefault="00F64F0B" w:rsidP="00877D3E">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2005-2014 artış oranı</w:t>
            </w:r>
          </w:p>
        </w:tc>
        <w:tc>
          <w:tcPr>
            <w:tcW w:w="992" w:type="dxa"/>
            <w:tcBorders>
              <w:top w:val="single" w:sz="6" w:space="0" w:color="D9D9D9"/>
              <w:left w:val="single" w:sz="6" w:space="0" w:color="D9D9D9"/>
              <w:bottom w:val="single" w:sz="8" w:space="0" w:color="D9D9D9"/>
              <w:right w:val="single" w:sz="6" w:space="0" w:color="D9D9D9"/>
            </w:tcBorders>
            <w:vAlign w:val="bottom"/>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%68,6</w:t>
            </w:r>
          </w:p>
        </w:tc>
        <w:tc>
          <w:tcPr>
            <w:tcW w:w="1134" w:type="dxa"/>
            <w:tcBorders>
              <w:top w:val="single" w:sz="6" w:space="0" w:color="D9D9D9"/>
              <w:left w:val="single" w:sz="6" w:space="0" w:color="D9D9D9"/>
              <w:bottom w:val="single" w:sz="8" w:space="0" w:color="D9D9D9"/>
              <w:right w:val="single" w:sz="6" w:space="0" w:color="D9D9D9"/>
            </w:tcBorders>
            <w:vAlign w:val="bottom"/>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%25,5</w:t>
            </w:r>
          </w:p>
        </w:tc>
        <w:tc>
          <w:tcPr>
            <w:tcW w:w="992" w:type="dxa"/>
            <w:tcBorders>
              <w:top w:val="single" w:sz="6" w:space="0" w:color="D9D9D9"/>
              <w:left w:val="single" w:sz="6" w:space="0" w:color="D9D9D9"/>
              <w:bottom w:val="single" w:sz="8" w:space="0" w:color="D9D9D9"/>
              <w:right w:val="single" w:sz="6" w:space="0" w:color="D9D9D9"/>
            </w:tcBorders>
            <w:vAlign w:val="bottom"/>
            <w:hideMark/>
          </w:tcPr>
          <w:p w:rsidR="00F64F0B" w:rsidRDefault="00F64F0B" w:rsidP="00877D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%24,6</w:t>
            </w:r>
          </w:p>
        </w:tc>
        <w:tc>
          <w:tcPr>
            <w:tcW w:w="1418" w:type="dxa"/>
            <w:tcBorders>
              <w:top w:val="single" w:sz="6" w:space="0" w:color="D9D9D9"/>
              <w:left w:val="single" w:sz="6" w:space="0" w:color="D9D9D9"/>
              <w:bottom w:val="single" w:sz="8" w:space="0" w:color="D9D9D9"/>
              <w:right w:val="single" w:sz="6" w:space="0" w:color="D9D9D9"/>
            </w:tcBorders>
            <w:noWrap/>
            <w:vAlign w:val="bottom"/>
          </w:tcPr>
          <w:p w:rsidR="00F64F0B" w:rsidRDefault="00F64F0B" w:rsidP="00877D3E">
            <w:pPr>
              <w:spacing w:after="0" w:line="240" w:lineRule="auto"/>
              <w:jc w:val="right"/>
              <w:rPr>
                <w:rFonts w:ascii="Calibri" w:eastAsia="Times New Roman" w:hAnsi="Calibri" w:cs="Times New Roman"/>
                <w:noProof w:val="0"/>
                <w:color w:val="000000"/>
                <w:lang w:val="tr-TR" w:eastAsia="tr-TR"/>
              </w:rPr>
            </w:pPr>
          </w:p>
        </w:tc>
        <w:tc>
          <w:tcPr>
            <w:tcW w:w="1701" w:type="dxa"/>
            <w:tcBorders>
              <w:top w:val="single" w:sz="6" w:space="0" w:color="D9D9D9"/>
              <w:left w:val="single" w:sz="6" w:space="0" w:color="D9D9D9"/>
              <w:bottom w:val="single" w:sz="8" w:space="0" w:color="D9D9D9"/>
              <w:right w:val="single" w:sz="8" w:space="0" w:color="D9D9D9"/>
            </w:tcBorders>
            <w:vAlign w:val="bottom"/>
          </w:tcPr>
          <w:p w:rsidR="00F64F0B" w:rsidRDefault="00F64F0B" w:rsidP="00877D3E">
            <w:pPr>
              <w:spacing w:after="0" w:line="240" w:lineRule="auto"/>
              <w:jc w:val="right"/>
              <w:rPr>
                <w:rFonts w:ascii="Calibri" w:eastAsia="Times New Roman" w:hAnsi="Calibri" w:cs="Times New Roman"/>
                <w:noProof w:val="0"/>
                <w:color w:val="000000"/>
                <w:lang w:val="tr-TR" w:eastAsia="tr-TR"/>
              </w:rPr>
            </w:pPr>
          </w:p>
        </w:tc>
      </w:tr>
    </w:tbl>
    <w:p w:rsidR="00F64F0B" w:rsidRDefault="00F64F0B" w:rsidP="00F64F0B">
      <w:pPr>
        <w:spacing w:after="0"/>
        <w:rPr>
          <w:rFonts w:cs="Arial"/>
          <w:sz w:val="20"/>
          <w:szCs w:val="20"/>
          <w:lang w:val="tr-TR"/>
        </w:rPr>
      </w:pPr>
      <w:r>
        <w:rPr>
          <w:rFonts w:cs="Arial"/>
          <w:sz w:val="20"/>
          <w:szCs w:val="20"/>
          <w:lang w:val="tr-TR"/>
        </w:rPr>
        <w:t>Kaynak: 2005 ve 2014 Hanehalkı Bütçe Anketi kesit mikro verisetleri; Betam hesaplamaları</w:t>
      </w:r>
    </w:p>
    <w:p w:rsidR="00F64F0B" w:rsidRDefault="00F64F0B" w:rsidP="00F64F0B">
      <w:pPr>
        <w:spacing w:line="240" w:lineRule="auto"/>
        <w:rPr>
          <w:rFonts w:cs="Arial"/>
          <w:sz w:val="20"/>
          <w:szCs w:val="20"/>
          <w:lang w:val="tr-TR"/>
        </w:rPr>
      </w:pPr>
      <w:r>
        <w:rPr>
          <w:rFonts w:cs="Arial"/>
          <w:sz w:val="20"/>
          <w:szCs w:val="20"/>
          <w:lang w:val="tr-TR"/>
        </w:rPr>
        <w:t>* Fiyatlar 2014 yılı tüketici fiyatlarına göre düzeltilmiştir.</w:t>
      </w:r>
    </w:p>
    <w:p w:rsidR="00F64F0B" w:rsidRDefault="00F64F0B" w:rsidP="00054B07">
      <w:pPr>
        <w:rPr>
          <w:lang w:val="tr-TR"/>
        </w:rPr>
      </w:pPr>
    </w:p>
    <w:p w:rsidR="00AA1BBA" w:rsidRDefault="00AA1BBA" w:rsidP="00054B07">
      <w:pPr>
        <w:rPr>
          <w:lang w:val="tr-TR"/>
        </w:rPr>
      </w:pPr>
    </w:p>
    <w:p w:rsidR="00054B07" w:rsidRDefault="00054B07" w:rsidP="00054B07">
      <w:pPr>
        <w:rPr>
          <w:rFonts w:cs="Arial"/>
          <w:sz w:val="20"/>
          <w:szCs w:val="20"/>
          <w:lang w:val="tr-TR"/>
        </w:rPr>
      </w:pPr>
      <w:bookmarkStart w:id="3" w:name="_Ref466387308"/>
      <w:bookmarkEnd w:id="1"/>
      <w:r>
        <w:rPr>
          <w:b/>
          <w:lang w:val="tr-TR"/>
        </w:rPr>
        <w:lastRenderedPageBreak/>
        <w:t xml:space="preserve">Şekil </w:t>
      </w:r>
      <w:r w:rsidR="004A2399">
        <w:fldChar w:fldCharType="begin"/>
      </w:r>
      <w:r>
        <w:rPr>
          <w:b/>
          <w:lang w:val="tr-TR"/>
        </w:rPr>
        <w:instrText xml:space="preserve"> SEQ Şekil \* ARABIC </w:instrText>
      </w:r>
      <w:r w:rsidR="004A2399">
        <w:fldChar w:fldCharType="separate"/>
      </w:r>
      <w:r>
        <w:rPr>
          <w:b/>
          <w:lang w:val="tr-TR"/>
        </w:rPr>
        <w:t>1</w:t>
      </w:r>
      <w:r w:rsidR="004A2399">
        <w:fldChar w:fldCharType="end"/>
      </w:r>
      <w:bookmarkEnd w:id="3"/>
      <w:r>
        <w:rPr>
          <w:b/>
          <w:lang w:val="tr-TR"/>
        </w:rPr>
        <w:t xml:space="preserve"> 2005 ve 2014 yıllarında dayanıklı tüketim mallarına yapılan harcamaların aylık harcamadaki payları</w:t>
      </w:r>
      <w:r>
        <w:rPr>
          <w:lang w:val="tr-TR" w:eastAsia="tr-TR"/>
        </w:rPr>
        <w:drawing>
          <wp:inline distT="0" distB="0" distL="0" distR="0">
            <wp:extent cx="5762625" cy="3705225"/>
            <wp:effectExtent l="0" t="0" r="0" b="0"/>
            <wp:docPr id="1"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Arial"/>
          <w:sz w:val="20"/>
          <w:szCs w:val="20"/>
          <w:lang w:val="tr-TR"/>
        </w:rPr>
        <w:t>Kaynak: 2005 ve 2014 Hanehalkı Bütçe Anketi kesit mikro verisetleri; Betam hesaplamaları</w:t>
      </w:r>
      <w:r w:rsidR="004A2399">
        <w:rPr>
          <w:rFonts w:cs="Arial"/>
          <w:lang w:val="tr-TR"/>
        </w:rPr>
        <w:fldChar w:fldCharType="begin"/>
      </w:r>
      <w:r>
        <w:rPr>
          <w:rFonts w:cs="Arial"/>
          <w:lang w:val="tr-TR"/>
        </w:rPr>
        <w:instrText xml:space="preserve"> REF _Ref466387308 \h  \* MERGEFORMAT </w:instrText>
      </w:r>
      <w:r w:rsidR="004A2399">
        <w:rPr>
          <w:rFonts w:cs="Arial"/>
          <w:lang w:val="tr-TR"/>
        </w:rPr>
      </w:r>
      <w:r w:rsidR="004A2399">
        <w:rPr>
          <w:rFonts w:cs="Arial"/>
          <w:lang w:val="tr-TR"/>
        </w:rPr>
        <w:fldChar w:fldCharType="separate"/>
      </w:r>
    </w:p>
    <w:p w:rsidR="00054B07" w:rsidRDefault="00054B07" w:rsidP="00054B07">
      <w:pPr>
        <w:rPr>
          <w:rFonts w:cs="Arial"/>
          <w:lang w:val="tr-TR"/>
        </w:rPr>
      </w:pPr>
      <w:r>
        <w:rPr>
          <w:lang w:val="tr-TR"/>
        </w:rPr>
        <w:t>Şekil 1</w:t>
      </w:r>
      <w:r w:rsidR="004A2399">
        <w:rPr>
          <w:rFonts w:cs="Arial"/>
          <w:lang w:val="tr-TR"/>
        </w:rPr>
        <w:fldChar w:fldCharType="end"/>
      </w:r>
      <w:r>
        <w:rPr>
          <w:rFonts w:cs="Arial"/>
          <w:lang w:val="tr-TR"/>
        </w:rPr>
        <w:t xml:space="preserve">’de dayanıklı tüketim grubunda yer alan malların toplam hane harcamasındaki ortalama payları 2005 ve 2014 </w:t>
      </w:r>
      <w:r>
        <w:rPr>
          <w:rFonts w:cs="Arial"/>
          <w:color w:val="C00000"/>
          <w:lang w:val="tr-TR"/>
        </w:rPr>
        <w:t xml:space="preserve"> </w:t>
      </w:r>
      <w:r>
        <w:rPr>
          <w:rFonts w:cs="Arial"/>
          <w:lang w:val="tr-TR"/>
        </w:rPr>
        <w:t>yılları karşılaştırılarak verilmektedir</w:t>
      </w:r>
      <w:r>
        <w:rPr>
          <w:rStyle w:val="FootnoteReference"/>
          <w:rFonts w:cs="Arial"/>
          <w:lang w:val="tr-TR"/>
        </w:rPr>
        <w:footnoteReference w:id="6"/>
      </w:r>
      <w:r w:rsidR="00922B2F">
        <w:rPr>
          <w:rFonts w:cs="Arial"/>
          <w:lang w:val="tr-TR"/>
        </w:rPr>
        <w:t xml:space="preserve">. 2014’te </w:t>
      </w:r>
      <w:r w:rsidR="004A0DFA">
        <w:rPr>
          <w:rFonts w:cs="Arial"/>
          <w:lang w:val="tr-TR"/>
        </w:rPr>
        <w:t>hanelerin</w:t>
      </w:r>
      <w:r>
        <w:rPr>
          <w:rFonts w:cs="Arial"/>
          <w:lang w:val="tr-TR"/>
        </w:rPr>
        <w:t xml:space="preserve"> aylık </w:t>
      </w:r>
      <w:r w:rsidR="00922B2F">
        <w:rPr>
          <w:rFonts w:cs="Arial"/>
          <w:lang w:val="tr-TR"/>
        </w:rPr>
        <w:t>h</w:t>
      </w:r>
      <w:r>
        <w:rPr>
          <w:rFonts w:cs="Arial"/>
          <w:lang w:val="tr-TR"/>
        </w:rPr>
        <w:t>arcamasında en yüksek paya sahip olan ürünler sırasıyla ikinci el otomobil, mobilyalar ve birinci el otomobildir. 2005 yılında hane harcamasının ortalamada yüzde 0,3’üne denk gelen</w:t>
      </w:r>
      <w:r w:rsidR="00922B2F">
        <w:rPr>
          <w:rFonts w:cs="Arial"/>
          <w:lang w:val="tr-TR"/>
        </w:rPr>
        <w:t xml:space="preserve"> ikinci el otomobil satın alımı için yapılan harcama </w:t>
      </w:r>
      <w:r>
        <w:rPr>
          <w:rFonts w:cs="Arial"/>
          <w:lang w:val="tr-TR"/>
        </w:rPr>
        <w:t>2014’te yüzde 3,2’ye sıçramıştır. Mobilyaların hane harcamasındaki payı ise yüzde 1,2’den yüzde 1,7’ye çıkmıştır. Birinci el otomobil satın alımı için yapılan aylık harcamanın toplam harcamadaki ortalama payı yüzde 1,1’den yüzde 0,9’a düşmüştür.</w:t>
      </w:r>
      <w:r w:rsidR="00F03490">
        <w:rPr>
          <w:rFonts w:cs="Arial"/>
          <w:lang w:val="tr-TR"/>
        </w:rPr>
        <w:t xml:space="preserve"> Diğer dayanıklı tüketim ürünlerinin harcama payında</w:t>
      </w:r>
      <w:r w:rsidR="003412ED">
        <w:rPr>
          <w:rFonts w:cs="Arial"/>
          <w:lang w:val="tr-TR"/>
        </w:rPr>
        <w:t>ki</w:t>
      </w:r>
      <w:r w:rsidR="00F03490">
        <w:rPr>
          <w:rFonts w:cs="Arial"/>
          <w:lang w:val="tr-TR"/>
        </w:rPr>
        <w:t xml:space="preserve"> </w:t>
      </w:r>
      <w:r w:rsidR="003412ED">
        <w:rPr>
          <w:rFonts w:cs="Arial"/>
          <w:lang w:val="tr-TR"/>
        </w:rPr>
        <w:t>değişiklikler daha sınırlıdır</w:t>
      </w:r>
      <w:r w:rsidR="00F03490">
        <w:rPr>
          <w:rFonts w:cs="Arial"/>
          <w:lang w:val="tr-TR"/>
        </w:rPr>
        <w:t>.</w:t>
      </w:r>
    </w:p>
    <w:p w:rsidR="00054B07" w:rsidRDefault="006F26F7" w:rsidP="00054B07">
      <w:pPr>
        <w:rPr>
          <w:lang w:val="tr-TR"/>
        </w:rPr>
      </w:pPr>
      <w:r>
        <w:fldChar w:fldCharType="begin"/>
      </w:r>
      <w:r>
        <w:instrText xml:space="preserve"> REF _Ref466381039 \h  \* MERGEFORMAT </w:instrText>
      </w:r>
      <w:r>
        <w:fldChar w:fldCharType="separate"/>
      </w:r>
      <w:r w:rsidR="00054B07">
        <w:rPr>
          <w:lang w:val="tr-TR"/>
        </w:rPr>
        <w:t>Tablo 2</w:t>
      </w:r>
      <w:r>
        <w:fldChar w:fldCharType="end"/>
      </w:r>
      <w:r w:rsidR="00054B07">
        <w:rPr>
          <w:lang w:val="tr-TR"/>
        </w:rPr>
        <w:t>’de</w:t>
      </w:r>
      <w:r w:rsidR="005F55FB">
        <w:rPr>
          <w:lang w:val="tr-TR"/>
        </w:rPr>
        <w:t xml:space="preserve"> 2005 ve 2014 yılları için toplam</w:t>
      </w:r>
      <w:r w:rsidR="00054B07">
        <w:rPr>
          <w:lang w:val="tr-TR"/>
        </w:rPr>
        <w:t xml:space="preserve"> dayanık</w:t>
      </w:r>
      <w:r w:rsidR="005B00AC">
        <w:rPr>
          <w:lang w:val="tr-TR"/>
        </w:rPr>
        <w:t xml:space="preserve">lı tüketim harcamalarının </w:t>
      </w:r>
      <w:r w:rsidR="005F55FB">
        <w:rPr>
          <w:lang w:val="tr-TR"/>
        </w:rPr>
        <w:t xml:space="preserve">harcama kalemlerine göre </w:t>
      </w:r>
      <w:r w:rsidR="005B00AC">
        <w:rPr>
          <w:lang w:val="tr-TR"/>
        </w:rPr>
        <w:t>dağılımı verilmektedir</w:t>
      </w:r>
      <w:r w:rsidR="00054B07">
        <w:rPr>
          <w:lang w:val="tr-TR"/>
        </w:rPr>
        <w:t xml:space="preserve">. </w:t>
      </w:r>
      <w:r w:rsidR="00A1639D" w:rsidRPr="009145BA">
        <w:rPr>
          <w:lang w:val="tr-TR"/>
        </w:rPr>
        <w:t>Veriler</w:t>
      </w:r>
      <w:r w:rsidR="0036625E">
        <w:rPr>
          <w:lang w:val="tr-TR"/>
        </w:rPr>
        <w:t xml:space="preserve"> dayanıklı tüketim harcamalarının </w:t>
      </w:r>
      <w:r w:rsidR="00054B07">
        <w:rPr>
          <w:lang w:val="tr-TR"/>
        </w:rPr>
        <w:t xml:space="preserve">başlıca üç dayanıklı tüketim malında (yeni otomobil, ikinci el otomobil ve mobilya) yoğunlaştığı ortaya koymaktadır. </w:t>
      </w:r>
      <w:r w:rsidR="000E2261">
        <w:rPr>
          <w:lang w:val="tr-TR"/>
        </w:rPr>
        <w:t xml:space="preserve">Dolayısıyla yeni otomobil, ikinci el otomobil ve mobilya harcamaları dayanıklı tüketim malları içerisinde harcama açısından hane bütçesinde en yüksek paya sahip üç kalem olarak ortaya çıkmaktadır. </w:t>
      </w:r>
    </w:p>
    <w:p w:rsidR="00D22DA3" w:rsidRPr="009D2E23" w:rsidRDefault="009D2E23" w:rsidP="00054B07">
      <w:pPr>
        <w:rPr>
          <w:lang w:val="tr-TR"/>
        </w:rPr>
      </w:pPr>
      <w:r>
        <w:rPr>
          <w:lang w:val="tr-TR"/>
        </w:rPr>
        <w:t>Y</w:t>
      </w:r>
      <w:r>
        <w:rPr>
          <w:rFonts w:cs="Arial"/>
          <w:lang w:val="tr-TR"/>
        </w:rPr>
        <w:t xml:space="preserve">eni otomobil satın alımının payının 2005’te yüzde 34,3’ten 2014’te yüzde 17,6’a düşerek ikinci sıraya gerilediği görülmektedir. </w:t>
      </w:r>
      <w:r>
        <w:rPr>
          <w:lang w:val="tr-TR"/>
        </w:rPr>
        <w:t>İ</w:t>
      </w:r>
      <w:r w:rsidR="00D22DA3" w:rsidRPr="001B4E4A">
        <w:rPr>
          <w:lang w:val="tr-TR"/>
        </w:rPr>
        <w:t xml:space="preserve">kinci el otomobil  alımına yönelik harcamaların toplam </w:t>
      </w:r>
      <w:r>
        <w:rPr>
          <w:lang w:val="tr-TR"/>
        </w:rPr>
        <w:t xml:space="preserve">dayanıklı tüketim </w:t>
      </w:r>
      <w:r>
        <w:rPr>
          <w:lang w:val="tr-TR"/>
        </w:rPr>
        <w:lastRenderedPageBreak/>
        <w:t xml:space="preserve">malı </w:t>
      </w:r>
      <w:r w:rsidR="00D22DA3" w:rsidRPr="001B4E4A">
        <w:rPr>
          <w:lang w:val="tr-TR"/>
        </w:rPr>
        <w:t>harcamalar</w:t>
      </w:r>
      <w:r>
        <w:rPr>
          <w:lang w:val="tr-TR"/>
        </w:rPr>
        <w:t>ın</w:t>
      </w:r>
      <w:r w:rsidR="00D22DA3" w:rsidRPr="001B4E4A">
        <w:rPr>
          <w:lang w:val="tr-TR"/>
        </w:rPr>
        <w:t xml:space="preserve">daki payı </w:t>
      </w:r>
      <w:r w:rsidR="007555A3">
        <w:rPr>
          <w:lang w:val="tr-TR"/>
        </w:rPr>
        <w:t xml:space="preserve">ise </w:t>
      </w:r>
      <w:r w:rsidR="00631E15">
        <w:rPr>
          <w:lang w:val="tr-TR"/>
        </w:rPr>
        <w:t>2005’te yüzde 6</w:t>
      </w:r>
      <w:r w:rsidR="00955552">
        <w:rPr>
          <w:lang w:val="tr-TR"/>
        </w:rPr>
        <w:t>,</w:t>
      </w:r>
      <w:r w:rsidR="00631E15">
        <w:rPr>
          <w:lang w:val="tr-TR"/>
        </w:rPr>
        <w:t>6</w:t>
      </w:r>
      <w:r w:rsidR="0017306D">
        <w:rPr>
          <w:lang w:val="tr-TR"/>
        </w:rPr>
        <w:t>’</w:t>
      </w:r>
      <w:r w:rsidR="00631E15">
        <w:rPr>
          <w:lang w:val="tr-TR"/>
        </w:rPr>
        <w:t xml:space="preserve">dan </w:t>
      </w:r>
      <w:r w:rsidR="00D22DA3" w:rsidRPr="001B4E4A">
        <w:rPr>
          <w:lang w:val="tr-TR"/>
        </w:rPr>
        <w:t>, 2014’te yüzde 38,4’e çıkmıştır.</w:t>
      </w:r>
      <w:r w:rsidR="00D22DA3">
        <w:rPr>
          <w:lang w:val="tr-TR"/>
        </w:rPr>
        <w:t xml:space="preserve"> </w:t>
      </w:r>
      <w:r w:rsidR="00D22DA3" w:rsidRPr="001B4E4A">
        <w:rPr>
          <w:lang w:val="tr-TR"/>
        </w:rPr>
        <w:t>Diğer ifadeyle,</w:t>
      </w:r>
      <w:r w:rsidR="00D22DA3">
        <w:rPr>
          <w:b/>
          <w:color w:val="FF0000"/>
          <w:lang w:val="tr-TR"/>
        </w:rPr>
        <w:t xml:space="preserve"> </w:t>
      </w:r>
      <w:r w:rsidR="00D22DA3" w:rsidRPr="001B4E4A">
        <w:rPr>
          <w:lang w:val="tr-TR"/>
        </w:rPr>
        <w:t xml:space="preserve">2005 yılında üçüncü sırada yer </w:t>
      </w:r>
      <w:r w:rsidR="00D22DA3">
        <w:rPr>
          <w:lang w:val="tr-TR"/>
        </w:rPr>
        <w:t>alan ikinci el otomobil alımı en üst sıra</w:t>
      </w:r>
      <w:r w:rsidR="00D22DA3" w:rsidRPr="00246033">
        <w:rPr>
          <w:lang w:val="tr-TR"/>
        </w:rPr>
        <w:t xml:space="preserve">ya yükselmiştir. </w:t>
      </w:r>
      <w:r w:rsidR="00C37B25" w:rsidRPr="00246033">
        <w:rPr>
          <w:lang w:val="tr-TR"/>
        </w:rPr>
        <w:t xml:space="preserve">Mobilyalara ayrılan pay ise aynı dönemde yüzde 14,7’den yüzde 13,2’ye gerilemiştir. </w:t>
      </w:r>
      <w:r w:rsidR="00246033" w:rsidRPr="00246033">
        <w:rPr>
          <w:rFonts w:cs="Arial"/>
          <w:lang w:val="tr-TR"/>
        </w:rPr>
        <w:t>Ancak toplam dayanıklı tüketim harcamaları içindeki payın azalmasının yapılan harcama miktarının reel olarak azaldığı anlamına gelmediği unutulmamalıdır.</w:t>
      </w:r>
      <w:r w:rsidR="00246033">
        <w:rPr>
          <w:rFonts w:cs="Arial"/>
          <w:lang w:val="tr-TR"/>
        </w:rPr>
        <w:t xml:space="preserve"> </w:t>
      </w:r>
      <w:r w:rsidR="00B33884">
        <w:rPr>
          <w:rFonts w:cs="Arial"/>
          <w:lang w:val="tr-TR"/>
        </w:rPr>
        <w:t xml:space="preserve">Bu konu aşağıda tartışılacaktır. </w:t>
      </w:r>
    </w:p>
    <w:p w:rsidR="00054B07" w:rsidRDefault="00054B07" w:rsidP="00054B07">
      <w:pPr>
        <w:pStyle w:val="Caption"/>
        <w:keepNext/>
        <w:rPr>
          <w:b/>
          <w:i w:val="0"/>
          <w:color w:val="auto"/>
          <w:sz w:val="22"/>
          <w:szCs w:val="22"/>
          <w:lang w:val="tr-TR"/>
        </w:rPr>
      </w:pPr>
      <w:bookmarkStart w:id="4" w:name="_Ref466381039"/>
      <w:r>
        <w:rPr>
          <w:b/>
          <w:i w:val="0"/>
          <w:color w:val="auto"/>
          <w:sz w:val="22"/>
          <w:szCs w:val="22"/>
          <w:lang w:val="tr-TR"/>
        </w:rPr>
        <w:t xml:space="preserve">Tablo </w:t>
      </w:r>
      <w:r w:rsidR="004A2399">
        <w:fldChar w:fldCharType="begin"/>
      </w:r>
      <w:r>
        <w:rPr>
          <w:b/>
          <w:i w:val="0"/>
          <w:color w:val="auto"/>
          <w:sz w:val="22"/>
          <w:szCs w:val="22"/>
          <w:lang w:val="tr-TR"/>
        </w:rPr>
        <w:instrText xml:space="preserve"> SEQ Tablo \* ARABIC </w:instrText>
      </w:r>
      <w:r w:rsidR="004A2399">
        <w:fldChar w:fldCharType="separate"/>
      </w:r>
      <w:r w:rsidR="00AD6EF0">
        <w:rPr>
          <w:b/>
          <w:i w:val="0"/>
          <w:color w:val="auto"/>
          <w:sz w:val="22"/>
          <w:szCs w:val="22"/>
          <w:lang w:val="tr-TR"/>
        </w:rPr>
        <w:t>2</w:t>
      </w:r>
      <w:r w:rsidR="004A2399">
        <w:fldChar w:fldCharType="end"/>
      </w:r>
      <w:bookmarkEnd w:id="4"/>
      <w:r>
        <w:rPr>
          <w:b/>
          <w:i w:val="0"/>
          <w:color w:val="auto"/>
          <w:sz w:val="22"/>
          <w:szCs w:val="22"/>
          <w:lang w:val="tr-TR"/>
        </w:rPr>
        <w:t xml:space="preserve"> Tüketim gruplarına yapılan harcamaların dayanıklı tüketim malı harcamalarındaki payının karşılaştırması</w:t>
      </w:r>
      <w:r>
        <w:rPr>
          <w:rStyle w:val="FootnoteReference"/>
          <w:b/>
          <w:i w:val="0"/>
          <w:color w:val="auto"/>
          <w:sz w:val="22"/>
          <w:szCs w:val="22"/>
          <w:lang w:val="tr-TR"/>
        </w:rPr>
        <w:footnoteReference w:id="7"/>
      </w:r>
      <w:r w:rsidR="002748F8">
        <w:rPr>
          <w:b/>
          <w:i w:val="0"/>
          <w:color w:val="auto"/>
          <w:sz w:val="22"/>
          <w:szCs w:val="22"/>
          <w:lang w:val="tr-TR"/>
        </w:rPr>
        <w:t>, (%)</w:t>
      </w:r>
    </w:p>
    <w:tbl>
      <w:tblPr>
        <w:tblStyle w:val="NormalTablo1"/>
        <w:tblW w:w="0" w:type="auto"/>
        <w:jc w:val="cente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3754"/>
        <w:gridCol w:w="658"/>
        <w:gridCol w:w="4159"/>
        <w:gridCol w:w="641"/>
      </w:tblGrid>
      <w:tr w:rsidR="00054B07" w:rsidTr="00054B07">
        <w:trPr>
          <w:trHeight w:val="535"/>
          <w:jc w:val="center"/>
        </w:trPr>
        <w:tc>
          <w:tcPr>
            <w:tcW w:w="0" w:type="auto"/>
            <w:gridSpan w:val="2"/>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2748F8">
            <w:pPr>
              <w:spacing w:after="0" w:line="240" w:lineRule="auto"/>
              <w:jc w:val="center"/>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 xml:space="preserve">2005 </w:t>
            </w:r>
          </w:p>
        </w:tc>
        <w:tc>
          <w:tcPr>
            <w:tcW w:w="0" w:type="auto"/>
            <w:gridSpan w:val="2"/>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center"/>
            <w:hideMark/>
          </w:tcPr>
          <w:p w:rsidR="00054B07" w:rsidRDefault="00054B07" w:rsidP="002748F8">
            <w:pPr>
              <w:spacing w:after="0" w:line="240" w:lineRule="auto"/>
              <w:jc w:val="center"/>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 xml:space="preserve">2014 </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Yeni otomobil satın alımı</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34,3</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İkinci el otomobil satın alımı</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38,4</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Mobilyalar</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14,7</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Yeni otomobil satın alımı</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17,6</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İkinci el otomobil satın alımı</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6,6</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Mobilyalar</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13,2</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Ev içi tekstil ürünleri</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6,2</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Telefon ve telefaks ekipmanları</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4,0</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Televizyon setleri, video-kasetçalar ve teypler</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4,9</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Televizyon setleri, video-kasetçalar ve teypler</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3,8</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Telefon ve telefaks ekipmanları</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4,7</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Ev içi tekstil</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3,7</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 xml:space="preserve">Buzdolapları ve dondurucular </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4,3</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Buzdolabı ve dondurucular</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3,0</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Halı ve diğer yer döşemeleri</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3,4</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Isıtıcılar, klimalar</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2,3</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Isıtıcılar, klimalar</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2,9</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Yedek parçalar ve aksesuarlar</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2,0</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Veri işlem ekipmanları</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2,0</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Cam ve kristal eşyalar</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1,6</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Mutfak ve evde kullanılan gereçler</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2,0</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Veri işlem ekipmanları</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1,5</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Cam ve kristal eşyalar</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1,8</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Halı ve diğer yer döşemeleri</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1,5</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Yedek parçalar ve aksesuarlar</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1,4</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Mutfak ve evde kullanılan gereçler</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1,4</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Küçük aletler ve çeşitli aksesuarlar</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1,3</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Elektrikli küçük ev aletleri</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Diğer dayanıklılar</w:t>
            </w:r>
          </w:p>
        </w:tc>
        <w:tc>
          <w:tcPr>
            <w:tcW w:w="6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9,7</w:t>
            </w:r>
          </w:p>
        </w:tc>
        <w:tc>
          <w:tcPr>
            <w:tcW w:w="416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 xml:space="preserve">Diğer dayanıklılar </w:t>
            </w:r>
          </w:p>
        </w:tc>
        <w:tc>
          <w:tcPr>
            <w:tcW w:w="6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5,0</w:t>
            </w:r>
          </w:p>
        </w:tc>
      </w:tr>
      <w:tr w:rsidR="00054B07" w:rsidTr="00054B07">
        <w:trPr>
          <w:trHeight w:val="280"/>
          <w:jc w:val="center"/>
        </w:trPr>
        <w:tc>
          <w:tcPr>
            <w:tcW w:w="3756" w:type="dxa"/>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Dayanıklı Tüketim Malları</w:t>
            </w:r>
          </w:p>
        </w:tc>
        <w:tc>
          <w:tcPr>
            <w:tcW w:w="658"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100,0</w:t>
            </w:r>
          </w:p>
        </w:tc>
        <w:tc>
          <w:tcPr>
            <w:tcW w:w="4161"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Dayanıklı Tüketim Malları</w:t>
            </w:r>
          </w:p>
        </w:tc>
        <w:tc>
          <w:tcPr>
            <w:tcW w:w="637"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noWrap/>
            <w:vAlign w:val="bottom"/>
            <w:hideMark/>
          </w:tcPr>
          <w:p w:rsidR="00054B07" w:rsidRDefault="00054B07">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100,0</w:t>
            </w:r>
          </w:p>
        </w:tc>
      </w:tr>
    </w:tbl>
    <w:p w:rsidR="00054B07" w:rsidRDefault="00054B07" w:rsidP="00054B07">
      <w:pPr>
        <w:rPr>
          <w:rFonts w:cs="Arial"/>
          <w:sz w:val="20"/>
          <w:szCs w:val="20"/>
          <w:lang w:val="tr-TR"/>
        </w:rPr>
      </w:pPr>
      <w:r>
        <w:rPr>
          <w:rFonts w:cs="Arial"/>
          <w:sz w:val="20"/>
          <w:szCs w:val="20"/>
          <w:lang w:val="tr-TR"/>
        </w:rPr>
        <w:t>Kaynak: 2005 ve 2014 Hanehalkı Bütçe Anketi kesit mikro verisetleri; Betam hesaplamaları</w:t>
      </w:r>
    </w:p>
    <w:p w:rsidR="00D90EA4" w:rsidRPr="00AA1BBA" w:rsidRDefault="00F53167" w:rsidP="00054B07">
      <w:pPr>
        <w:rPr>
          <w:rFonts w:cs="Arial"/>
          <w:b/>
          <w:sz w:val="24"/>
          <w:szCs w:val="24"/>
          <w:lang w:val="tr-TR"/>
        </w:rPr>
      </w:pPr>
      <w:r w:rsidRPr="00AA1BBA">
        <w:rPr>
          <w:rFonts w:cs="Arial"/>
          <w:b/>
          <w:sz w:val="24"/>
          <w:szCs w:val="24"/>
          <w:lang w:val="tr-TR"/>
        </w:rPr>
        <w:t>Otomobil ve mobilya harcamalarında gelir gruplarına göre gelişmeler</w:t>
      </w:r>
    </w:p>
    <w:p w:rsidR="00054B07" w:rsidRDefault="00054B07" w:rsidP="005E6FA4">
      <w:pPr>
        <w:rPr>
          <w:rFonts w:cs="Arial"/>
          <w:lang w:val="tr-TR"/>
        </w:rPr>
      </w:pPr>
      <w:r>
        <w:rPr>
          <w:rFonts w:cs="Arial"/>
          <w:lang w:val="tr-TR"/>
        </w:rPr>
        <w:t>Veriler</w:t>
      </w:r>
      <w:r w:rsidR="005E6FA4">
        <w:rPr>
          <w:rFonts w:cs="Arial"/>
          <w:lang w:val="tr-TR"/>
        </w:rPr>
        <w:t xml:space="preserve"> hane tasarruflarının dayanıklı </w:t>
      </w:r>
      <w:r>
        <w:rPr>
          <w:rFonts w:cs="Arial"/>
          <w:lang w:val="tr-TR"/>
        </w:rPr>
        <w:t>tüketim malı harcamalarına kaydığını</w:t>
      </w:r>
      <w:r w:rsidR="005E6FA4">
        <w:rPr>
          <w:rFonts w:cs="Arial"/>
          <w:lang w:val="tr-TR"/>
        </w:rPr>
        <w:t xml:space="preserve">, bu bağlamda özellikle </w:t>
      </w:r>
      <w:r>
        <w:rPr>
          <w:rFonts w:cs="Arial"/>
          <w:lang w:val="tr-TR"/>
        </w:rPr>
        <w:t>mobilya, yeni otom</w:t>
      </w:r>
      <w:r w:rsidR="00D90EA4">
        <w:rPr>
          <w:rFonts w:cs="Arial"/>
          <w:lang w:val="tr-TR"/>
        </w:rPr>
        <w:t>o</w:t>
      </w:r>
      <w:r>
        <w:rPr>
          <w:rFonts w:cs="Arial"/>
          <w:lang w:val="tr-TR"/>
        </w:rPr>
        <w:t>bil ve ikinci el otomobil</w:t>
      </w:r>
      <w:r w:rsidR="005E6FA4">
        <w:rPr>
          <w:rFonts w:cs="Arial"/>
          <w:lang w:val="tr-TR"/>
        </w:rPr>
        <w:t xml:space="preserve"> harcamalarının önemli olduğunu ortaya koymaktadır. </w:t>
      </w:r>
      <w:r>
        <w:rPr>
          <w:rFonts w:cs="Arial"/>
          <w:lang w:val="tr-TR"/>
        </w:rPr>
        <w:t>Bu dönem içerisinde özellikle ikinci el otomobil harcamalarında önemli bir artış gözlemlenmektedir</w:t>
      </w:r>
      <w:r w:rsidR="005E6FA4">
        <w:rPr>
          <w:rFonts w:cs="Arial"/>
          <w:lang w:val="tr-TR"/>
        </w:rPr>
        <w:t>. Dayanıklı tüketim harcamalarının hane gelirleri içindeki payının artmasının iki ana nedeni olabilir:</w:t>
      </w:r>
      <w:r>
        <w:rPr>
          <w:rFonts w:cs="Arial"/>
          <w:lang w:val="tr-TR"/>
        </w:rPr>
        <w:t xml:space="preserve"> daha çok</w:t>
      </w:r>
      <w:r w:rsidR="005E6FA4">
        <w:rPr>
          <w:rFonts w:cs="Arial"/>
          <w:lang w:val="tr-TR"/>
        </w:rPr>
        <w:t xml:space="preserve"> sayıda hane tarafından harcama</w:t>
      </w:r>
      <w:r>
        <w:rPr>
          <w:rFonts w:cs="Arial"/>
          <w:lang w:val="tr-TR"/>
        </w:rPr>
        <w:t xml:space="preserve"> yapılıyor olabilir, </w:t>
      </w:r>
      <w:r w:rsidR="005E6FA4">
        <w:rPr>
          <w:rFonts w:cs="Arial"/>
          <w:lang w:val="tr-TR"/>
        </w:rPr>
        <w:t>ya da her bi hanenin yaptığı harcamada</w:t>
      </w:r>
      <w:r w:rsidR="00FB663E">
        <w:rPr>
          <w:rFonts w:cs="Arial"/>
          <w:lang w:val="tr-TR"/>
        </w:rPr>
        <w:t xml:space="preserve"> </w:t>
      </w:r>
      <w:r>
        <w:rPr>
          <w:rFonts w:cs="Arial"/>
          <w:lang w:val="tr-TR"/>
        </w:rPr>
        <w:t xml:space="preserve">artış olabilir. </w:t>
      </w:r>
      <w:r w:rsidRPr="009216D7">
        <w:rPr>
          <w:rFonts w:cs="Arial"/>
          <w:lang w:val="tr-TR"/>
        </w:rPr>
        <w:t xml:space="preserve">Artışın </w:t>
      </w:r>
      <w:r w:rsidR="00A6010D" w:rsidRPr="009216D7">
        <w:rPr>
          <w:rFonts w:cs="Arial"/>
          <w:lang w:val="tr-TR"/>
        </w:rPr>
        <w:t xml:space="preserve">bu açıdan </w:t>
      </w:r>
      <w:r w:rsidRPr="009216D7">
        <w:rPr>
          <w:rFonts w:cs="Arial"/>
          <w:lang w:val="tr-TR"/>
        </w:rPr>
        <w:t xml:space="preserve">kaynaklarını incelemek için </w:t>
      </w:r>
      <w:r w:rsidR="007C1645" w:rsidRPr="009216D7">
        <w:rPr>
          <w:rFonts w:cs="Arial"/>
          <w:lang w:val="tr-TR"/>
        </w:rPr>
        <w:t>harcamaların büyük kısmını oluşturan</w:t>
      </w:r>
      <w:r w:rsidRPr="009216D7">
        <w:rPr>
          <w:rFonts w:cs="Arial"/>
          <w:lang w:val="tr-TR"/>
        </w:rPr>
        <w:t xml:space="preserve"> ikinci el otomobil, mobilya ve yeni otomobile </w:t>
      </w:r>
      <w:r w:rsidR="00A6010D" w:rsidRPr="009216D7">
        <w:rPr>
          <w:rFonts w:cs="Arial"/>
          <w:lang w:val="tr-TR"/>
        </w:rPr>
        <w:t>odaklanabiliriz</w:t>
      </w:r>
      <w:r w:rsidRPr="009216D7">
        <w:rPr>
          <w:rFonts w:cs="Arial"/>
          <w:lang w:val="tr-TR"/>
        </w:rPr>
        <w:t>.</w:t>
      </w:r>
    </w:p>
    <w:p w:rsidR="00054B07" w:rsidRPr="005B6246" w:rsidRDefault="00054B07" w:rsidP="00054B07">
      <w:pPr>
        <w:rPr>
          <w:b/>
          <w:i/>
          <w:lang w:val="tr-TR"/>
        </w:rPr>
      </w:pPr>
      <w:r w:rsidRPr="005B6246">
        <w:rPr>
          <w:b/>
          <w:i/>
          <w:lang w:val="tr-TR"/>
        </w:rPr>
        <w:t>Düşük gelir</w:t>
      </w:r>
      <w:r w:rsidR="001D0D72" w:rsidRPr="005B6246">
        <w:rPr>
          <w:b/>
          <w:i/>
          <w:lang w:val="tr-TR"/>
        </w:rPr>
        <w:t>li kesimler arasında otomobil harcamaları yaygınlaşıyor</w:t>
      </w:r>
    </w:p>
    <w:p w:rsidR="00B45DD7" w:rsidRPr="00141889" w:rsidRDefault="006F26F7" w:rsidP="00326889">
      <w:pPr>
        <w:rPr>
          <w:lang w:val="tr-TR"/>
        </w:rPr>
      </w:pPr>
      <w:r>
        <w:fldChar w:fldCharType="begin"/>
      </w:r>
      <w:r>
        <w:instrText xml:space="preserve"> REF _Ref470083058 \h  \* MERGEFORMAT </w:instrText>
      </w:r>
      <w:r>
        <w:fldChar w:fldCharType="separate"/>
      </w:r>
      <w:r w:rsidR="00054B07" w:rsidRPr="009145BA">
        <w:rPr>
          <w:lang w:val="tr-TR"/>
        </w:rPr>
        <w:t>Tablo 3</w:t>
      </w:r>
      <w:r>
        <w:fldChar w:fldCharType="end"/>
      </w:r>
      <w:r w:rsidR="00054B07" w:rsidRPr="000B16BA">
        <w:rPr>
          <w:lang w:val="tr-TR"/>
        </w:rPr>
        <w:t>‘te gelir gruplarına göre ikinci otomobil harcamaları</w:t>
      </w:r>
      <w:r w:rsidR="00D653E5">
        <w:rPr>
          <w:lang w:val="tr-TR"/>
        </w:rPr>
        <w:t xml:space="preserve"> incelenmektedir. İ</w:t>
      </w:r>
      <w:r w:rsidR="00B66EF5" w:rsidRPr="00B66EF5">
        <w:rPr>
          <w:lang w:val="tr-TR"/>
        </w:rPr>
        <w:t xml:space="preserve">lk </w:t>
      </w:r>
      <w:r w:rsidR="00326889">
        <w:rPr>
          <w:lang w:val="tr-TR"/>
        </w:rPr>
        <w:t xml:space="preserve">sütunda yüzde 20’lik gelir dilimleri için ikinci el otomobil harcamasının payları verilmektedir. Bu ortalamanın içerisinde hem ikinci el otomobil harcaması yapan haneler hem de yapmayan haneler bulunmaktaıdr. İkinci </w:t>
      </w:r>
      <w:r w:rsidR="00326889">
        <w:rPr>
          <w:lang w:val="tr-TR"/>
        </w:rPr>
        <w:lastRenderedPageBreak/>
        <w:t>sütünd</w:t>
      </w:r>
      <w:r w:rsidR="00877D3E">
        <w:rPr>
          <w:lang w:val="tr-TR"/>
        </w:rPr>
        <w:t>a</w:t>
      </w:r>
      <w:r w:rsidR="00326889">
        <w:rPr>
          <w:lang w:val="tr-TR"/>
        </w:rPr>
        <w:t xml:space="preserve"> farklı gelir dilimleri için ikinci el otomobil harcaması yapan hanelerin sayısının toplam hane sayısına oranı verilmektedir. Son sütunda ise</w:t>
      </w:r>
      <w:r w:rsidR="00B45DD7" w:rsidRPr="00141889">
        <w:rPr>
          <w:lang w:val="tr-TR"/>
        </w:rPr>
        <w:t xml:space="preserve"> sadece ikinci el otomobil harcaması </w:t>
      </w:r>
      <w:r w:rsidR="00326889">
        <w:rPr>
          <w:lang w:val="tr-TR"/>
        </w:rPr>
        <w:t xml:space="preserve">yapmış </w:t>
      </w:r>
      <w:r w:rsidR="00B45DD7" w:rsidRPr="00141889">
        <w:rPr>
          <w:lang w:val="tr-TR"/>
        </w:rPr>
        <w:t xml:space="preserve">olan hanelerin </w:t>
      </w:r>
      <w:r w:rsidR="00326889">
        <w:rPr>
          <w:lang w:val="tr-TR"/>
        </w:rPr>
        <w:t xml:space="preserve">ikinci el otomobil harcamalarının payı hesaplanmıştır. </w:t>
      </w:r>
    </w:p>
    <w:p w:rsidR="00054B07" w:rsidRPr="009145BA" w:rsidRDefault="00054B07" w:rsidP="00054B07">
      <w:pPr>
        <w:pStyle w:val="Caption"/>
        <w:keepNext/>
        <w:rPr>
          <w:b/>
          <w:i w:val="0"/>
          <w:color w:val="auto"/>
          <w:sz w:val="22"/>
          <w:szCs w:val="22"/>
          <w:lang w:val="tr-TR"/>
        </w:rPr>
      </w:pPr>
      <w:bookmarkStart w:id="5" w:name="_Ref470272426"/>
      <w:r w:rsidRPr="009145BA">
        <w:rPr>
          <w:b/>
          <w:i w:val="0"/>
          <w:color w:val="auto"/>
          <w:sz w:val="22"/>
          <w:szCs w:val="22"/>
          <w:lang w:val="tr-TR"/>
        </w:rPr>
        <w:t xml:space="preserve">Tablo </w:t>
      </w:r>
      <w:r w:rsidR="004A2399">
        <w:rPr>
          <w:b/>
          <w:i w:val="0"/>
          <w:color w:val="auto"/>
          <w:sz w:val="22"/>
          <w:szCs w:val="22"/>
        </w:rPr>
        <w:fldChar w:fldCharType="begin"/>
      </w:r>
      <w:r w:rsidRPr="009145BA">
        <w:rPr>
          <w:b/>
          <w:i w:val="0"/>
          <w:color w:val="auto"/>
          <w:sz w:val="22"/>
          <w:szCs w:val="22"/>
          <w:lang w:val="tr-TR"/>
        </w:rPr>
        <w:instrText xml:space="preserve"> SEQ Tablo \* ARABIC </w:instrText>
      </w:r>
      <w:r w:rsidR="004A2399">
        <w:rPr>
          <w:b/>
          <w:i w:val="0"/>
          <w:color w:val="auto"/>
          <w:sz w:val="22"/>
          <w:szCs w:val="22"/>
        </w:rPr>
        <w:fldChar w:fldCharType="separate"/>
      </w:r>
      <w:r w:rsidR="00AD6EF0" w:rsidRPr="009145BA">
        <w:rPr>
          <w:b/>
          <w:i w:val="0"/>
          <w:color w:val="auto"/>
          <w:sz w:val="22"/>
          <w:szCs w:val="22"/>
          <w:lang w:val="tr-TR"/>
        </w:rPr>
        <w:t>3</w:t>
      </w:r>
      <w:r w:rsidR="004A2399">
        <w:rPr>
          <w:b/>
          <w:i w:val="0"/>
          <w:color w:val="auto"/>
          <w:sz w:val="22"/>
          <w:szCs w:val="22"/>
        </w:rPr>
        <w:fldChar w:fldCharType="end"/>
      </w:r>
      <w:bookmarkEnd w:id="5"/>
      <w:r w:rsidRPr="009145BA">
        <w:rPr>
          <w:b/>
          <w:i w:val="0"/>
          <w:color w:val="auto"/>
          <w:sz w:val="22"/>
          <w:szCs w:val="22"/>
          <w:lang w:val="tr-TR"/>
        </w:rPr>
        <w:t xml:space="preserve"> Gelir gruplarına göre ikinci el otomobil harcamasının incelenmesi</w:t>
      </w:r>
      <w:r w:rsidR="00F7110D" w:rsidRPr="009145BA">
        <w:rPr>
          <w:b/>
          <w:i w:val="0"/>
          <w:color w:val="auto"/>
          <w:sz w:val="22"/>
          <w:szCs w:val="22"/>
          <w:lang w:val="tr-TR"/>
        </w:rPr>
        <w:t>, (%)</w:t>
      </w:r>
    </w:p>
    <w:tbl>
      <w:tblPr>
        <w:tblStyle w:val="NormalTablo1"/>
        <w:tblW w:w="8825"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1519"/>
        <w:gridCol w:w="1094"/>
        <w:gridCol w:w="1094"/>
        <w:gridCol w:w="952"/>
        <w:gridCol w:w="952"/>
        <w:gridCol w:w="1607"/>
        <w:gridCol w:w="1607"/>
      </w:tblGrid>
      <w:tr w:rsidR="00A47119" w:rsidRPr="009145BA" w:rsidTr="00F90D7A">
        <w:trPr>
          <w:trHeight w:val="725"/>
        </w:trPr>
        <w:tc>
          <w:tcPr>
            <w:tcW w:w="0" w:type="auto"/>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vAlign w:val="bottom"/>
            <w:hideMark/>
          </w:tcPr>
          <w:p w:rsidR="00054B07" w:rsidRDefault="00054B07" w:rsidP="005A6BE5">
            <w:pPr>
              <w:rPr>
                <w:rFonts w:cs="Times New Roman"/>
                <w:noProof w:val="0"/>
                <w:lang w:val="tr-TR"/>
              </w:rPr>
            </w:pPr>
          </w:p>
        </w:tc>
        <w:tc>
          <w:tcPr>
            <w:tcW w:w="0" w:type="auto"/>
            <w:gridSpan w:val="2"/>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bottom"/>
            <w:hideMark/>
          </w:tcPr>
          <w:p w:rsidR="00054B07" w:rsidRDefault="00A47119" w:rsidP="005A6BE5">
            <w:pPr>
              <w:spacing w:after="0" w:line="240" w:lineRule="auto"/>
              <w:jc w:val="right"/>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İkinci</w:t>
            </w:r>
            <w:r w:rsidR="00054B07">
              <w:rPr>
                <w:rFonts w:ascii="Calibri" w:eastAsia="Times New Roman" w:hAnsi="Calibri" w:cs="Times New Roman"/>
                <w:b/>
                <w:noProof w:val="0"/>
                <w:color w:val="000000"/>
                <w:lang w:val="tr-TR" w:eastAsia="tr-TR"/>
              </w:rPr>
              <w:t xml:space="preserve"> el otomobil harcamasının payı</w:t>
            </w:r>
          </w:p>
        </w:tc>
        <w:tc>
          <w:tcPr>
            <w:tcW w:w="0" w:type="auto"/>
            <w:gridSpan w:val="2"/>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bottom"/>
            <w:hideMark/>
          </w:tcPr>
          <w:p w:rsidR="00054B07" w:rsidRDefault="00054B07" w:rsidP="005A6BE5">
            <w:pPr>
              <w:spacing w:after="0" w:line="240" w:lineRule="auto"/>
              <w:jc w:val="right"/>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Harcama yapan hanelerin oranı</w:t>
            </w:r>
          </w:p>
        </w:tc>
        <w:tc>
          <w:tcPr>
            <w:tcW w:w="0" w:type="auto"/>
            <w:gridSpan w:val="2"/>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vAlign w:val="bottom"/>
            <w:hideMark/>
          </w:tcPr>
          <w:p w:rsidR="00054B07" w:rsidRDefault="00054B07" w:rsidP="00A47119">
            <w:pPr>
              <w:spacing w:after="0" w:line="240" w:lineRule="auto"/>
              <w:jc w:val="right"/>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 xml:space="preserve">Harcama yapan haneler için </w:t>
            </w:r>
            <w:r w:rsidR="00A47119">
              <w:rPr>
                <w:rFonts w:ascii="Calibri" w:eastAsia="Times New Roman" w:hAnsi="Calibri" w:cs="Times New Roman"/>
                <w:b/>
                <w:noProof w:val="0"/>
                <w:color w:val="000000"/>
                <w:lang w:val="tr-TR" w:eastAsia="tr-TR"/>
              </w:rPr>
              <w:t>ikinci</w:t>
            </w:r>
            <w:r>
              <w:rPr>
                <w:rFonts w:ascii="Calibri" w:eastAsia="Times New Roman" w:hAnsi="Calibri" w:cs="Times New Roman"/>
                <w:b/>
                <w:noProof w:val="0"/>
                <w:color w:val="000000"/>
                <w:lang w:val="tr-TR" w:eastAsia="tr-TR"/>
              </w:rPr>
              <w:t xml:space="preserve"> el otomobil harcamasının payı</w:t>
            </w:r>
          </w:p>
        </w:tc>
      </w:tr>
      <w:tr w:rsidR="00A47119" w:rsidTr="00F90D7A">
        <w:trPr>
          <w:trHeight w:val="337"/>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5A6BE5">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 </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2005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2014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2005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2014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2005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2014</w:t>
            </w:r>
          </w:p>
        </w:tc>
      </w:tr>
      <w:tr w:rsidR="00A47119" w:rsidTr="00F90D7A">
        <w:trPr>
          <w:trHeight w:val="337"/>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1. %20'lik dilim</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0,0 </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36,1</w:t>
            </w:r>
          </w:p>
        </w:tc>
      </w:tr>
      <w:tr w:rsidR="00A47119" w:rsidTr="00F90D7A">
        <w:trPr>
          <w:trHeight w:val="337"/>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2.%20'lik dilim</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42,3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34,0</w:t>
            </w:r>
          </w:p>
        </w:tc>
      </w:tr>
      <w:tr w:rsidR="00A47119" w:rsidTr="00F90D7A">
        <w:trPr>
          <w:trHeight w:val="337"/>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3.%20'lik dilim</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9,6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44,6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35,6</w:t>
            </w:r>
          </w:p>
        </w:tc>
      </w:tr>
      <w:tr w:rsidR="00A47119" w:rsidTr="00F90D7A">
        <w:trPr>
          <w:trHeight w:val="337"/>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4.%20'lik dilim</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38,8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35,2</w:t>
            </w:r>
          </w:p>
        </w:tc>
      </w:tr>
      <w:tr w:rsidR="00A47119" w:rsidTr="00F90D7A">
        <w:trPr>
          <w:trHeight w:val="337"/>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5.%20'lik dilim</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37,6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38,0</w:t>
            </w:r>
          </w:p>
        </w:tc>
      </w:tr>
      <w:tr w:rsidR="00A47119" w:rsidTr="00F90D7A">
        <w:trPr>
          <w:trHeight w:val="337"/>
        </w:trPr>
        <w:tc>
          <w:tcPr>
            <w:tcW w:w="0" w:type="auto"/>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Toplam</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0,3</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3,2</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0,9</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9,0</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39,4</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vAlign w:val="center"/>
            <w:hideMark/>
          </w:tcPr>
          <w:p w:rsidR="00054B07" w:rsidRDefault="00054B07" w:rsidP="005A6BE5">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eastAsia="tr-TR"/>
              </w:rPr>
              <w:t>36,0</w:t>
            </w:r>
          </w:p>
        </w:tc>
      </w:tr>
    </w:tbl>
    <w:p w:rsidR="00054B07" w:rsidRDefault="00054B07" w:rsidP="00054B07">
      <w:pPr>
        <w:rPr>
          <w:lang w:val="tr-TR"/>
        </w:rPr>
      </w:pPr>
      <w:r>
        <w:rPr>
          <w:rFonts w:cs="Arial"/>
          <w:sz w:val="20"/>
          <w:szCs w:val="20"/>
          <w:lang w:val="tr-TR"/>
        </w:rPr>
        <w:t>Kaynak: 2005 ve 2014 Hanehalkı Bütçe Anketi kesit mikro verisetleri; Betam hesaplamaları</w:t>
      </w:r>
    </w:p>
    <w:p w:rsidR="00A47119" w:rsidRPr="00A57A42" w:rsidRDefault="00054B07" w:rsidP="00C34FD8">
      <w:pPr>
        <w:rPr>
          <w:lang w:val="tr-TR"/>
        </w:rPr>
      </w:pPr>
      <w:r>
        <w:rPr>
          <w:lang w:val="tr-TR"/>
        </w:rPr>
        <w:t xml:space="preserve">İkinci otomobil harcamasının hane harcamasındaki payı Türkiye genelinde </w:t>
      </w:r>
      <w:r w:rsidR="00F87FD4">
        <w:rPr>
          <w:lang w:val="tr-TR"/>
        </w:rPr>
        <w:t xml:space="preserve">2005’te </w:t>
      </w:r>
      <w:r>
        <w:rPr>
          <w:lang w:val="tr-TR"/>
        </w:rPr>
        <w:t xml:space="preserve">yüzde 0,3’ten </w:t>
      </w:r>
      <w:r w:rsidR="00F87FD4">
        <w:rPr>
          <w:lang w:val="tr-TR"/>
        </w:rPr>
        <w:t xml:space="preserve"> 2014’te </w:t>
      </w:r>
      <w:r>
        <w:rPr>
          <w:lang w:val="tr-TR"/>
        </w:rPr>
        <w:t xml:space="preserve">yüzde 3,2’ye yükselmiştir. Bu artış belli </w:t>
      </w:r>
      <w:r w:rsidR="001333FA">
        <w:rPr>
          <w:lang w:val="tr-TR"/>
        </w:rPr>
        <w:t xml:space="preserve">bir </w:t>
      </w:r>
      <w:r w:rsidR="00652BE4">
        <w:rPr>
          <w:lang w:val="tr-TR"/>
        </w:rPr>
        <w:t xml:space="preserve">gelir grubundan kaynaklanmamakta, </w:t>
      </w:r>
      <w:r>
        <w:rPr>
          <w:lang w:val="tr-TR"/>
        </w:rPr>
        <w:t>tüm gelir dilimlerin</w:t>
      </w:r>
      <w:r w:rsidR="00652BE4">
        <w:rPr>
          <w:lang w:val="tr-TR"/>
        </w:rPr>
        <w:t xml:space="preserve">de gözlemlenmektedir. </w:t>
      </w:r>
      <w:r>
        <w:rPr>
          <w:lang w:val="tr-TR"/>
        </w:rPr>
        <w:t xml:space="preserve">En düşük gelir diliminde yer alan hanelerin toplam harcamalarından ikinci el otomobil için ayırdıkları pay yüzde 0,0 iken 2014’te yüzde 1,8’e yükselmiştir. </w:t>
      </w:r>
      <w:r w:rsidR="00306A83">
        <w:rPr>
          <w:lang w:val="tr-TR"/>
        </w:rPr>
        <w:t>Bu artışlara paralel olarak</w:t>
      </w:r>
      <w:r w:rsidR="00B521E1">
        <w:rPr>
          <w:lang w:val="tr-TR"/>
        </w:rPr>
        <w:t xml:space="preserve"> </w:t>
      </w:r>
      <w:r w:rsidR="00C34FD8">
        <w:rPr>
          <w:rFonts w:cs="Arial"/>
          <w:lang w:val="tr-TR"/>
        </w:rPr>
        <w:t>2014 yılı</w:t>
      </w:r>
      <w:r w:rsidR="00367834">
        <w:rPr>
          <w:rFonts w:cs="Arial"/>
          <w:lang w:val="tr-TR"/>
        </w:rPr>
        <w:t>nda</w:t>
      </w:r>
      <w:r w:rsidR="00C34FD8">
        <w:rPr>
          <w:rFonts w:cs="Arial"/>
          <w:lang w:val="tr-TR"/>
        </w:rPr>
        <w:t xml:space="preserve"> ikinci el otomobil satın alan hanelerin </w:t>
      </w:r>
      <w:r w:rsidR="00B45DD7">
        <w:rPr>
          <w:rFonts w:cs="Arial"/>
          <w:lang w:val="tr-TR"/>
        </w:rPr>
        <w:t>oranında</w:t>
      </w:r>
      <w:r w:rsidR="00C34FD8">
        <w:rPr>
          <w:rFonts w:cs="Arial"/>
          <w:lang w:val="tr-TR"/>
        </w:rPr>
        <w:t xml:space="preserve"> </w:t>
      </w:r>
      <w:r w:rsidR="00367834">
        <w:rPr>
          <w:rFonts w:cs="Arial"/>
          <w:lang w:val="tr-TR"/>
        </w:rPr>
        <w:t xml:space="preserve">2005 yılına kıyasla </w:t>
      </w:r>
      <w:r w:rsidR="00C34FD8">
        <w:rPr>
          <w:rFonts w:cs="Arial"/>
          <w:lang w:val="tr-TR"/>
        </w:rPr>
        <w:t xml:space="preserve">ciddi bir artış </w:t>
      </w:r>
      <w:r w:rsidR="00C34FD8" w:rsidRPr="00B87CC7">
        <w:rPr>
          <w:rFonts w:cs="Arial"/>
          <w:lang w:val="tr-TR"/>
        </w:rPr>
        <w:t>gözlemlenmektedir. 2005’te iki</w:t>
      </w:r>
      <w:r w:rsidR="00DF4D63" w:rsidRPr="00B87CC7">
        <w:rPr>
          <w:rFonts w:cs="Arial"/>
          <w:lang w:val="tr-TR"/>
        </w:rPr>
        <w:t>n</w:t>
      </w:r>
      <w:r w:rsidR="00C34FD8" w:rsidRPr="00B87CC7">
        <w:rPr>
          <w:rFonts w:cs="Arial"/>
          <w:lang w:val="tr-TR"/>
        </w:rPr>
        <w:t>ci el otomobil harcaması yapan hanelerin payı yüzde 0,9 iken 2014’te yüzde 9’</w:t>
      </w:r>
      <w:r w:rsidR="00B45DD7" w:rsidRPr="00B87CC7">
        <w:rPr>
          <w:rFonts w:cs="Arial"/>
          <w:lang w:val="tr-TR"/>
        </w:rPr>
        <w:t>dur</w:t>
      </w:r>
      <w:r w:rsidR="00C34FD8" w:rsidRPr="00B87CC7">
        <w:rPr>
          <w:rFonts w:cs="Arial"/>
          <w:lang w:val="tr-TR"/>
        </w:rPr>
        <w:t xml:space="preserve">. </w:t>
      </w:r>
      <w:r w:rsidR="0009698C" w:rsidRPr="00B87CC7">
        <w:rPr>
          <w:rFonts w:cs="Arial"/>
          <w:lang w:val="tr-TR"/>
        </w:rPr>
        <w:t xml:space="preserve">Gelir seviyesi en düşük yüzde 20’lik dilimde dahi ikinci el otomobil harcaması yapan hanelerin oranı </w:t>
      </w:r>
      <w:r w:rsidR="00877D3E" w:rsidRPr="00B87CC7">
        <w:rPr>
          <w:rFonts w:cs="Arial"/>
          <w:lang w:val="tr-TR"/>
        </w:rPr>
        <w:t xml:space="preserve">sıfırdan </w:t>
      </w:r>
      <w:r w:rsidR="0009698C" w:rsidRPr="00B87CC7">
        <w:rPr>
          <w:rFonts w:cs="Arial"/>
          <w:lang w:val="tr-TR"/>
        </w:rPr>
        <w:t xml:space="preserve">yüzde 5,1’e yükselmiştir. </w:t>
      </w:r>
      <w:r w:rsidR="00AD5F0E" w:rsidRPr="00B87CC7">
        <w:rPr>
          <w:rFonts w:cs="Arial"/>
          <w:lang w:val="tr-TR"/>
        </w:rPr>
        <w:t xml:space="preserve"> </w:t>
      </w:r>
      <w:r w:rsidR="00024AE1" w:rsidRPr="00B87CC7">
        <w:rPr>
          <w:rFonts w:cs="Arial"/>
          <w:lang w:val="tr-TR"/>
        </w:rPr>
        <w:t xml:space="preserve">Veriler ikinci el otomobil harcamasının gelir içindeki payının </w:t>
      </w:r>
      <w:r w:rsidR="00437ABC" w:rsidRPr="00B87CC7">
        <w:rPr>
          <w:rFonts w:cs="Arial"/>
          <w:lang w:val="tr-TR"/>
        </w:rPr>
        <w:t>yüzde 39,4’ten yüzde</w:t>
      </w:r>
      <w:r w:rsidR="00437ABC">
        <w:rPr>
          <w:rFonts w:cs="Arial"/>
          <w:lang w:val="tr-TR"/>
        </w:rPr>
        <w:t xml:space="preserve"> 36’ya düştüğünü ortaya koymaktadır. </w:t>
      </w:r>
      <w:r w:rsidR="00F90D7A">
        <w:rPr>
          <w:rFonts w:cs="Arial"/>
          <w:lang w:val="tr-TR"/>
        </w:rPr>
        <w:t xml:space="preserve">Farklı gelir gruplarına göre ikinci el otomobil harcamasının payı incelendiğinde en yüksek ve en düşük gelir grubu haricindeki tüm gelir </w:t>
      </w:r>
      <w:r w:rsidR="00716DC3">
        <w:rPr>
          <w:rFonts w:cs="Arial"/>
          <w:lang w:val="tr-TR"/>
        </w:rPr>
        <w:t>gruplarının harcama pa</w:t>
      </w:r>
      <w:r w:rsidR="00847216">
        <w:rPr>
          <w:rFonts w:cs="Arial"/>
          <w:lang w:val="tr-TR"/>
        </w:rPr>
        <w:t>ylarının düştüğü görülmektedir.</w:t>
      </w:r>
      <w:r w:rsidR="00E4273B">
        <w:rPr>
          <w:rFonts w:cs="Arial"/>
          <w:lang w:val="tr-TR"/>
        </w:rPr>
        <w:t xml:space="preserve"> Kısaca özetlemek gerekirse 2005</w:t>
      </w:r>
      <w:r w:rsidR="00A57A42">
        <w:rPr>
          <w:rFonts w:cs="Arial"/>
          <w:lang w:val="tr-TR"/>
        </w:rPr>
        <w:t>’</w:t>
      </w:r>
      <w:r w:rsidR="00E4273B">
        <w:rPr>
          <w:rFonts w:cs="Arial"/>
          <w:lang w:val="tr-TR"/>
        </w:rPr>
        <w:t>ten 2014</w:t>
      </w:r>
      <w:r w:rsidR="00A57A42">
        <w:rPr>
          <w:rFonts w:cs="Arial"/>
          <w:lang w:val="tr-TR"/>
        </w:rPr>
        <w:t xml:space="preserve">’e daha fazla hane ikinci el otomobil harcaması yapmıştır. Buna karşın hane başına yapılan ikinci el otomobil harcamalarında düşüş görülmektedir. </w:t>
      </w:r>
    </w:p>
    <w:p w:rsidR="00A47119" w:rsidRPr="009145BA" w:rsidRDefault="00A47119" w:rsidP="00A47119">
      <w:pPr>
        <w:pStyle w:val="Caption"/>
        <w:keepNext/>
        <w:rPr>
          <w:b/>
          <w:i w:val="0"/>
          <w:color w:val="auto"/>
          <w:sz w:val="22"/>
          <w:szCs w:val="22"/>
          <w:lang w:val="tr-TR"/>
        </w:rPr>
      </w:pPr>
      <w:bookmarkStart w:id="6" w:name="_Ref470272399"/>
      <w:r w:rsidRPr="009145BA">
        <w:rPr>
          <w:b/>
          <w:i w:val="0"/>
          <w:color w:val="auto"/>
          <w:sz w:val="22"/>
          <w:szCs w:val="22"/>
          <w:lang w:val="tr-TR"/>
        </w:rPr>
        <w:t xml:space="preserve">Tablo </w:t>
      </w:r>
      <w:r w:rsidR="004A2399" w:rsidRPr="00765A0A">
        <w:rPr>
          <w:b/>
          <w:i w:val="0"/>
          <w:color w:val="auto"/>
          <w:sz w:val="22"/>
          <w:szCs w:val="22"/>
        </w:rPr>
        <w:fldChar w:fldCharType="begin"/>
      </w:r>
      <w:r w:rsidRPr="009145BA">
        <w:rPr>
          <w:b/>
          <w:i w:val="0"/>
          <w:color w:val="auto"/>
          <w:sz w:val="22"/>
          <w:szCs w:val="22"/>
          <w:lang w:val="tr-TR"/>
        </w:rPr>
        <w:instrText xml:space="preserve"> SEQ Tablo \* ARABIC </w:instrText>
      </w:r>
      <w:r w:rsidR="004A2399" w:rsidRPr="00765A0A">
        <w:rPr>
          <w:b/>
          <w:i w:val="0"/>
          <w:color w:val="auto"/>
          <w:sz w:val="22"/>
          <w:szCs w:val="22"/>
        </w:rPr>
        <w:fldChar w:fldCharType="separate"/>
      </w:r>
      <w:r w:rsidR="00AD6EF0" w:rsidRPr="009145BA">
        <w:rPr>
          <w:b/>
          <w:i w:val="0"/>
          <w:color w:val="auto"/>
          <w:sz w:val="22"/>
          <w:szCs w:val="22"/>
          <w:lang w:val="tr-TR"/>
        </w:rPr>
        <w:t>4</w:t>
      </w:r>
      <w:r w:rsidR="004A2399" w:rsidRPr="00765A0A">
        <w:rPr>
          <w:b/>
          <w:i w:val="0"/>
          <w:color w:val="auto"/>
          <w:sz w:val="22"/>
          <w:szCs w:val="22"/>
        </w:rPr>
        <w:fldChar w:fldCharType="end"/>
      </w:r>
      <w:bookmarkEnd w:id="6"/>
      <w:r w:rsidR="000653C6" w:rsidRPr="009145BA">
        <w:rPr>
          <w:b/>
          <w:i w:val="0"/>
          <w:color w:val="auto"/>
          <w:sz w:val="22"/>
          <w:szCs w:val="22"/>
          <w:lang w:val="tr-TR"/>
        </w:rPr>
        <w:t xml:space="preserve"> </w:t>
      </w:r>
      <w:r w:rsidR="00586F35" w:rsidRPr="009145BA">
        <w:rPr>
          <w:b/>
          <w:i w:val="0"/>
          <w:color w:val="auto"/>
          <w:sz w:val="22"/>
          <w:szCs w:val="22"/>
          <w:lang w:val="tr-TR"/>
        </w:rPr>
        <w:t>Gelir gruplarına göre yeni otomobil harcamasının incelenmesi, (%)</w:t>
      </w:r>
    </w:p>
    <w:tbl>
      <w:tblPr>
        <w:tblW w:w="8450" w:type="dxa"/>
        <w:tblInd w:w="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1584"/>
        <w:gridCol w:w="789"/>
        <w:gridCol w:w="1019"/>
        <w:gridCol w:w="961"/>
        <w:gridCol w:w="961"/>
        <w:gridCol w:w="1568"/>
        <w:gridCol w:w="1568"/>
      </w:tblGrid>
      <w:tr w:rsidR="00A47119" w:rsidRPr="00A47119" w:rsidTr="00586F35">
        <w:trPr>
          <w:trHeight w:val="542"/>
        </w:trPr>
        <w:tc>
          <w:tcPr>
            <w:tcW w:w="1583" w:type="dxa"/>
            <w:shd w:val="clear" w:color="auto" w:fill="auto"/>
            <w:noWrap/>
            <w:vAlign w:val="bottom"/>
            <w:hideMark/>
          </w:tcPr>
          <w:p w:rsidR="00A47119" w:rsidRPr="00A47119" w:rsidRDefault="00A47119" w:rsidP="00A47119">
            <w:pPr>
              <w:spacing w:after="0" w:line="240" w:lineRule="auto"/>
              <w:rPr>
                <w:rFonts w:ascii="Calibri" w:eastAsia="Times New Roman" w:hAnsi="Calibri" w:cs="Times New Roman"/>
                <w:noProof w:val="0"/>
                <w:color w:val="000000"/>
                <w:lang w:val="tr-TR" w:eastAsia="tr-TR"/>
              </w:rPr>
            </w:pPr>
          </w:p>
        </w:tc>
        <w:tc>
          <w:tcPr>
            <w:tcW w:w="1808" w:type="dxa"/>
            <w:gridSpan w:val="2"/>
            <w:shd w:val="clear" w:color="auto" w:fill="auto"/>
            <w:vAlign w:val="bottom"/>
            <w:hideMark/>
          </w:tcPr>
          <w:p w:rsidR="00A47119" w:rsidRPr="00A47119" w:rsidRDefault="00A47119" w:rsidP="00A47119">
            <w:pPr>
              <w:spacing w:after="0" w:line="240" w:lineRule="auto"/>
              <w:jc w:val="right"/>
              <w:rPr>
                <w:rFonts w:ascii="Calibri" w:eastAsia="Times New Roman" w:hAnsi="Calibri" w:cs="Times New Roman"/>
                <w:b/>
                <w:noProof w:val="0"/>
                <w:color w:val="000000"/>
                <w:lang w:val="tr-TR" w:eastAsia="tr-TR"/>
              </w:rPr>
            </w:pPr>
            <w:r w:rsidRPr="00A47119">
              <w:rPr>
                <w:rFonts w:ascii="Calibri" w:eastAsia="Times New Roman" w:hAnsi="Calibri" w:cs="Times New Roman"/>
                <w:b/>
                <w:noProof w:val="0"/>
                <w:color w:val="000000"/>
                <w:lang w:val="tr-TR" w:eastAsia="tr-TR"/>
              </w:rPr>
              <w:t>Yeni otomobil harcamasının payı</w:t>
            </w:r>
          </w:p>
        </w:tc>
        <w:tc>
          <w:tcPr>
            <w:tcW w:w="0" w:type="auto"/>
            <w:gridSpan w:val="2"/>
            <w:shd w:val="clear" w:color="auto" w:fill="auto"/>
            <w:vAlign w:val="bottom"/>
            <w:hideMark/>
          </w:tcPr>
          <w:p w:rsidR="00A47119" w:rsidRPr="00A47119" w:rsidRDefault="00A47119" w:rsidP="00A47119">
            <w:pPr>
              <w:spacing w:after="0" w:line="240" w:lineRule="auto"/>
              <w:jc w:val="right"/>
              <w:rPr>
                <w:rFonts w:ascii="Calibri" w:eastAsia="Times New Roman" w:hAnsi="Calibri" w:cs="Times New Roman"/>
                <w:b/>
                <w:noProof w:val="0"/>
                <w:color w:val="000000"/>
                <w:lang w:val="tr-TR" w:eastAsia="tr-TR"/>
              </w:rPr>
            </w:pPr>
            <w:r w:rsidRPr="00A47119">
              <w:rPr>
                <w:rFonts w:ascii="Calibri" w:eastAsia="Times New Roman" w:hAnsi="Calibri" w:cs="Times New Roman"/>
                <w:b/>
                <w:noProof w:val="0"/>
                <w:color w:val="000000"/>
                <w:lang w:val="tr-TR" w:eastAsia="tr-TR"/>
              </w:rPr>
              <w:t>Harcama yapan hanelerin oranı</w:t>
            </w:r>
          </w:p>
        </w:tc>
        <w:tc>
          <w:tcPr>
            <w:tcW w:w="0" w:type="auto"/>
            <w:gridSpan w:val="2"/>
            <w:shd w:val="clear" w:color="auto" w:fill="auto"/>
            <w:vAlign w:val="bottom"/>
            <w:hideMark/>
          </w:tcPr>
          <w:p w:rsidR="00A47119" w:rsidRPr="00A47119" w:rsidRDefault="00A47119" w:rsidP="00A47119">
            <w:pPr>
              <w:spacing w:after="0" w:line="240" w:lineRule="auto"/>
              <w:jc w:val="right"/>
              <w:rPr>
                <w:rFonts w:ascii="Calibri" w:eastAsia="Times New Roman" w:hAnsi="Calibri" w:cs="Times New Roman"/>
                <w:b/>
                <w:noProof w:val="0"/>
                <w:color w:val="000000"/>
                <w:lang w:val="tr-TR" w:eastAsia="tr-TR"/>
              </w:rPr>
            </w:pPr>
            <w:r w:rsidRPr="00A47119">
              <w:rPr>
                <w:rFonts w:ascii="Calibri" w:eastAsia="Times New Roman" w:hAnsi="Calibri" w:cs="Times New Roman"/>
                <w:b/>
                <w:noProof w:val="0"/>
                <w:color w:val="000000"/>
                <w:lang w:val="tr-TR" w:eastAsia="tr-TR"/>
              </w:rPr>
              <w:t>Harcama yapan haneler için yeni otomobil harcamasının payı</w:t>
            </w:r>
          </w:p>
        </w:tc>
      </w:tr>
      <w:tr w:rsidR="00A47119" w:rsidRPr="00A47119" w:rsidTr="00586F35">
        <w:trPr>
          <w:trHeight w:val="324"/>
        </w:trPr>
        <w:tc>
          <w:tcPr>
            <w:tcW w:w="1583" w:type="dxa"/>
            <w:shd w:val="clear" w:color="auto" w:fill="auto"/>
            <w:noWrap/>
            <w:vAlign w:val="bottom"/>
            <w:hideMark/>
          </w:tcPr>
          <w:p w:rsidR="00A47119" w:rsidRPr="00A47119" w:rsidRDefault="00A47119" w:rsidP="00A47119">
            <w:pPr>
              <w:spacing w:after="0" w:line="240" w:lineRule="auto"/>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 </w:t>
            </w:r>
          </w:p>
        </w:tc>
        <w:tc>
          <w:tcPr>
            <w:tcW w:w="789" w:type="dxa"/>
            <w:shd w:val="clear" w:color="auto" w:fill="auto"/>
            <w:noWrap/>
            <w:vAlign w:val="bottom"/>
            <w:hideMark/>
          </w:tcPr>
          <w:p w:rsidR="00A47119" w:rsidRPr="00A47119" w:rsidRDefault="00A47119" w:rsidP="00A47119">
            <w:pPr>
              <w:spacing w:after="0" w:line="240" w:lineRule="auto"/>
              <w:jc w:val="right"/>
              <w:rPr>
                <w:rFonts w:ascii="Calibri" w:eastAsia="Times New Roman" w:hAnsi="Calibri" w:cs="Times New Roman"/>
                <w:b/>
                <w:bCs/>
                <w:noProof w:val="0"/>
                <w:color w:val="000000"/>
                <w:lang w:val="tr-TR" w:eastAsia="tr-TR"/>
              </w:rPr>
            </w:pPr>
            <w:r w:rsidRPr="00A47119">
              <w:rPr>
                <w:rFonts w:ascii="Calibri" w:eastAsia="Times New Roman" w:hAnsi="Calibri" w:cs="Times New Roman"/>
                <w:b/>
                <w:bCs/>
                <w:noProof w:val="0"/>
                <w:color w:val="000000"/>
                <w:lang w:val="tr-TR" w:eastAsia="tr-TR"/>
              </w:rPr>
              <w:t>2005</w:t>
            </w:r>
          </w:p>
        </w:tc>
        <w:tc>
          <w:tcPr>
            <w:tcW w:w="0" w:type="auto"/>
            <w:shd w:val="clear" w:color="auto" w:fill="auto"/>
            <w:noWrap/>
            <w:vAlign w:val="bottom"/>
            <w:hideMark/>
          </w:tcPr>
          <w:p w:rsidR="00A47119" w:rsidRPr="00A47119" w:rsidRDefault="00A47119" w:rsidP="00A47119">
            <w:pPr>
              <w:spacing w:after="0" w:line="240" w:lineRule="auto"/>
              <w:jc w:val="right"/>
              <w:rPr>
                <w:rFonts w:ascii="Calibri" w:eastAsia="Times New Roman" w:hAnsi="Calibri" w:cs="Times New Roman"/>
                <w:b/>
                <w:bCs/>
                <w:noProof w:val="0"/>
                <w:color w:val="000000"/>
                <w:lang w:val="tr-TR" w:eastAsia="tr-TR"/>
              </w:rPr>
            </w:pPr>
            <w:r w:rsidRPr="00A47119">
              <w:rPr>
                <w:rFonts w:ascii="Calibri" w:eastAsia="Times New Roman" w:hAnsi="Calibri" w:cs="Times New Roman"/>
                <w:b/>
                <w:bCs/>
                <w:noProof w:val="0"/>
                <w:color w:val="000000"/>
                <w:lang w:val="tr-TR" w:eastAsia="tr-TR"/>
              </w:rPr>
              <w:t>2014</w:t>
            </w:r>
          </w:p>
        </w:tc>
        <w:tc>
          <w:tcPr>
            <w:tcW w:w="0" w:type="auto"/>
            <w:shd w:val="clear" w:color="auto" w:fill="auto"/>
            <w:noWrap/>
            <w:vAlign w:val="bottom"/>
            <w:hideMark/>
          </w:tcPr>
          <w:p w:rsidR="00A47119" w:rsidRPr="00A47119" w:rsidRDefault="00A47119" w:rsidP="00A47119">
            <w:pPr>
              <w:spacing w:after="0" w:line="240" w:lineRule="auto"/>
              <w:jc w:val="right"/>
              <w:rPr>
                <w:rFonts w:ascii="Calibri" w:eastAsia="Times New Roman" w:hAnsi="Calibri" w:cs="Times New Roman"/>
                <w:b/>
                <w:bCs/>
                <w:noProof w:val="0"/>
                <w:color w:val="000000"/>
                <w:lang w:val="tr-TR" w:eastAsia="tr-TR"/>
              </w:rPr>
            </w:pPr>
            <w:r w:rsidRPr="00A47119">
              <w:rPr>
                <w:rFonts w:ascii="Calibri" w:eastAsia="Times New Roman" w:hAnsi="Calibri" w:cs="Times New Roman"/>
                <w:b/>
                <w:bCs/>
                <w:noProof w:val="0"/>
                <w:color w:val="000000"/>
                <w:lang w:val="tr-TR" w:eastAsia="tr-TR"/>
              </w:rPr>
              <w:t>2005</w:t>
            </w:r>
          </w:p>
        </w:tc>
        <w:tc>
          <w:tcPr>
            <w:tcW w:w="0" w:type="auto"/>
            <w:shd w:val="clear" w:color="auto" w:fill="auto"/>
            <w:noWrap/>
            <w:vAlign w:val="bottom"/>
            <w:hideMark/>
          </w:tcPr>
          <w:p w:rsidR="00A47119" w:rsidRPr="00A47119" w:rsidRDefault="00A47119" w:rsidP="00A47119">
            <w:pPr>
              <w:spacing w:after="0" w:line="240" w:lineRule="auto"/>
              <w:jc w:val="right"/>
              <w:rPr>
                <w:rFonts w:ascii="Calibri" w:eastAsia="Times New Roman" w:hAnsi="Calibri" w:cs="Times New Roman"/>
                <w:b/>
                <w:bCs/>
                <w:noProof w:val="0"/>
                <w:color w:val="000000"/>
                <w:lang w:val="tr-TR" w:eastAsia="tr-TR"/>
              </w:rPr>
            </w:pPr>
            <w:r w:rsidRPr="00A47119">
              <w:rPr>
                <w:rFonts w:ascii="Calibri" w:eastAsia="Times New Roman" w:hAnsi="Calibri" w:cs="Times New Roman"/>
                <w:b/>
                <w:bCs/>
                <w:noProof w:val="0"/>
                <w:color w:val="000000"/>
                <w:lang w:val="tr-TR" w:eastAsia="tr-TR"/>
              </w:rPr>
              <w:t>2014</w:t>
            </w:r>
          </w:p>
        </w:tc>
        <w:tc>
          <w:tcPr>
            <w:tcW w:w="0" w:type="auto"/>
            <w:shd w:val="clear" w:color="auto" w:fill="auto"/>
            <w:noWrap/>
            <w:vAlign w:val="bottom"/>
            <w:hideMark/>
          </w:tcPr>
          <w:p w:rsidR="00A47119" w:rsidRPr="00A47119" w:rsidRDefault="00A47119" w:rsidP="00A47119">
            <w:pPr>
              <w:spacing w:after="0" w:line="240" w:lineRule="auto"/>
              <w:jc w:val="right"/>
              <w:rPr>
                <w:rFonts w:ascii="Calibri" w:eastAsia="Times New Roman" w:hAnsi="Calibri" w:cs="Times New Roman"/>
                <w:b/>
                <w:bCs/>
                <w:noProof w:val="0"/>
                <w:color w:val="000000"/>
                <w:lang w:val="tr-TR" w:eastAsia="tr-TR"/>
              </w:rPr>
            </w:pPr>
            <w:r w:rsidRPr="00A47119">
              <w:rPr>
                <w:rFonts w:ascii="Calibri" w:eastAsia="Times New Roman" w:hAnsi="Calibri" w:cs="Times New Roman"/>
                <w:b/>
                <w:bCs/>
                <w:noProof w:val="0"/>
                <w:color w:val="000000"/>
                <w:lang w:val="tr-TR" w:eastAsia="tr-TR"/>
              </w:rPr>
              <w:t>2005</w:t>
            </w:r>
          </w:p>
        </w:tc>
        <w:tc>
          <w:tcPr>
            <w:tcW w:w="0" w:type="auto"/>
            <w:shd w:val="clear" w:color="auto" w:fill="auto"/>
            <w:noWrap/>
            <w:vAlign w:val="bottom"/>
            <w:hideMark/>
          </w:tcPr>
          <w:p w:rsidR="00A47119" w:rsidRPr="00A47119" w:rsidRDefault="00A47119" w:rsidP="00A47119">
            <w:pPr>
              <w:spacing w:after="0" w:line="240" w:lineRule="auto"/>
              <w:jc w:val="right"/>
              <w:rPr>
                <w:rFonts w:ascii="Calibri" w:eastAsia="Times New Roman" w:hAnsi="Calibri" w:cs="Times New Roman"/>
                <w:b/>
                <w:bCs/>
                <w:noProof w:val="0"/>
                <w:color w:val="000000"/>
                <w:lang w:val="tr-TR" w:eastAsia="tr-TR"/>
              </w:rPr>
            </w:pPr>
            <w:r w:rsidRPr="00A47119">
              <w:rPr>
                <w:rFonts w:ascii="Calibri" w:eastAsia="Times New Roman" w:hAnsi="Calibri" w:cs="Times New Roman"/>
                <w:b/>
                <w:bCs/>
                <w:noProof w:val="0"/>
                <w:color w:val="000000"/>
                <w:lang w:val="tr-TR" w:eastAsia="tr-TR"/>
              </w:rPr>
              <w:t>2014</w:t>
            </w:r>
          </w:p>
        </w:tc>
      </w:tr>
      <w:tr w:rsidR="00A47119" w:rsidRPr="00A47119" w:rsidTr="00586F35">
        <w:trPr>
          <w:trHeight w:val="324"/>
        </w:trPr>
        <w:tc>
          <w:tcPr>
            <w:tcW w:w="1583" w:type="dxa"/>
            <w:shd w:val="clear" w:color="auto" w:fill="auto"/>
            <w:noWrap/>
            <w:vAlign w:val="bottom"/>
            <w:hideMark/>
          </w:tcPr>
          <w:p w:rsidR="00A47119" w:rsidRPr="00A47119" w:rsidRDefault="000409BD" w:rsidP="00A47119">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1.</w:t>
            </w:r>
            <w:r w:rsidR="00A47119" w:rsidRPr="00A47119">
              <w:rPr>
                <w:rFonts w:ascii="Calibri" w:eastAsia="Times New Roman" w:hAnsi="Calibri" w:cs="Times New Roman"/>
                <w:b/>
                <w:bCs/>
                <w:noProof w:val="0"/>
                <w:color w:val="000000"/>
                <w:lang w:val="tr-TR" w:eastAsia="tr-TR"/>
              </w:rPr>
              <w:t>%20'lik dilim</w:t>
            </w:r>
          </w:p>
        </w:tc>
        <w:tc>
          <w:tcPr>
            <w:tcW w:w="789" w:type="dxa"/>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0,1</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0,2</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eastAsia="tr-TR"/>
              </w:rPr>
              <w:t>0</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eastAsia="tr-TR"/>
              </w:rPr>
              <w:t>64,6</w:t>
            </w:r>
          </w:p>
        </w:tc>
      </w:tr>
      <w:tr w:rsidR="00A47119" w:rsidRPr="00A47119" w:rsidTr="00586F35">
        <w:trPr>
          <w:trHeight w:val="324"/>
        </w:trPr>
        <w:tc>
          <w:tcPr>
            <w:tcW w:w="1583" w:type="dxa"/>
            <w:shd w:val="clear" w:color="auto" w:fill="auto"/>
            <w:noWrap/>
            <w:vAlign w:val="bottom"/>
            <w:hideMark/>
          </w:tcPr>
          <w:p w:rsidR="00A47119" w:rsidRPr="00A47119" w:rsidRDefault="00A47119" w:rsidP="00A47119">
            <w:pPr>
              <w:spacing w:after="0" w:line="240" w:lineRule="auto"/>
              <w:rPr>
                <w:rFonts w:ascii="Calibri" w:eastAsia="Times New Roman" w:hAnsi="Calibri" w:cs="Times New Roman"/>
                <w:b/>
                <w:bCs/>
                <w:noProof w:val="0"/>
                <w:color w:val="000000"/>
                <w:lang w:val="tr-TR" w:eastAsia="tr-TR"/>
              </w:rPr>
            </w:pPr>
            <w:r w:rsidRPr="00A47119">
              <w:rPr>
                <w:rFonts w:ascii="Calibri" w:eastAsia="Times New Roman" w:hAnsi="Calibri" w:cs="Times New Roman"/>
                <w:b/>
                <w:bCs/>
                <w:noProof w:val="0"/>
                <w:color w:val="000000"/>
                <w:lang w:val="tr-TR" w:eastAsia="tr-TR"/>
              </w:rPr>
              <w:t>2.%20'lik dilim</w:t>
            </w:r>
          </w:p>
        </w:tc>
        <w:tc>
          <w:tcPr>
            <w:tcW w:w="789" w:type="dxa"/>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0,3</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0,5</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eastAsia="tr-TR"/>
              </w:rPr>
              <w:t>0</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eastAsia="tr-TR"/>
              </w:rPr>
              <w:t>61,3</w:t>
            </w:r>
          </w:p>
        </w:tc>
      </w:tr>
      <w:tr w:rsidR="00A47119" w:rsidRPr="00A47119" w:rsidTr="00586F35">
        <w:trPr>
          <w:trHeight w:val="324"/>
        </w:trPr>
        <w:tc>
          <w:tcPr>
            <w:tcW w:w="1583" w:type="dxa"/>
            <w:shd w:val="clear" w:color="auto" w:fill="auto"/>
            <w:noWrap/>
            <w:vAlign w:val="bottom"/>
            <w:hideMark/>
          </w:tcPr>
          <w:p w:rsidR="00A47119" w:rsidRPr="00A47119" w:rsidRDefault="00A47119" w:rsidP="00A47119">
            <w:pPr>
              <w:spacing w:after="0" w:line="240" w:lineRule="auto"/>
              <w:rPr>
                <w:rFonts w:ascii="Calibri" w:eastAsia="Times New Roman" w:hAnsi="Calibri" w:cs="Times New Roman"/>
                <w:b/>
                <w:bCs/>
                <w:noProof w:val="0"/>
                <w:color w:val="000000"/>
                <w:lang w:val="tr-TR" w:eastAsia="tr-TR"/>
              </w:rPr>
            </w:pPr>
            <w:r w:rsidRPr="00A47119">
              <w:rPr>
                <w:rFonts w:ascii="Calibri" w:eastAsia="Times New Roman" w:hAnsi="Calibri" w:cs="Times New Roman"/>
                <w:b/>
                <w:bCs/>
                <w:noProof w:val="0"/>
                <w:color w:val="000000"/>
                <w:lang w:val="tr-TR" w:eastAsia="tr-TR"/>
              </w:rPr>
              <w:t>3.%20'lik dilim</w:t>
            </w:r>
          </w:p>
        </w:tc>
        <w:tc>
          <w:tcPr>
            <w:tcW w:w="789" w:type="dxa"/>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0,5</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0,5</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0,7</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0,9</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eastAsia="tr-TR"/>
              </w:rPr>
              <w:t>66,5</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eastAsia="tr-TR"/>
              </w:rPr>
              <w:t>59,4</w:t>
            </w:r>
          </w:p>
        </w:tc>
      </w:tr>
      <w:tr w:rsidR="00A47119" w:rsidRPr="00A47119" w:rsidTr="00586F35">
        <w:trPr>
          <w:trHeight w:val="324"/>
        </w:trPr>
        <w:tc>
          <w:tcPr>
            <w:tcW w:w="1583" w:type="dxa"/>
            <w:shd w:val="clear" w:color="auto" w:fill="auto"/>
            <w:noWrap/>
            <w:vAlign w:val="bottom"/>
            <w:hideMark/>
          </w:tcPr>
          <w:p w:rsidR="00A47119" w:rsidRPr="00A47119" w:rsidRDefault="00A47119" w:rsidP="00A47119">
            <w:pPr>
              <w:spacing w:after="0" w:line="240" w:lineRule="auto"/>
              <w:rPr>
                <w:rFonts w:ascii="Calibri" w:eastAsia="Times New Roman" w:hAnsi="Calibri" w:cs="Times New Roman"/>
                <w:b/>
                <w:bCs/>
                <w:noProof w:val="0"/>
                <w:color w:val="000000"/>
                <w:lang w:val="tr-TR" w:eastAsia="tr-TR"/>
              </w:rPr>
            </w:pPr>
            <w:r w:rsidRPr="00A47119">
              <w:rPr>
                <w:rFonts w:ascii="Calibri" w:eastAsia="Times New Roman" w:hAnsi="Calibri" w:cs="Times New Roman"/>
                <w:b/>
                <w:bCs/>
                <w:noProof w:val="0"/>
                <w:color w:val="000000"/>
                <w:lang w:val="tr-TR" w:eastAsia="tr-TR"/>
              </w:rPr>
              <w:t>4.%20'lik dilim</w:t>
            </w:r>
          </w:p>
        </w:tc>
        <w:tc>
          <w:tcPr>
            <w:tcW w:w="789" w:type="dxa"/>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0,7</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0,9</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1,2</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1,5</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eastAsia="tr-TR"/>
              </w:rPr>
              <w:t>61,1</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eastAsia="tr-TR"/>
              </w:rPr>
              <w:t>58,3</w:t>
            </w:r>
          </w:p>
        </w:tc>
      </w:tr>
      <w:tr w:rsidR="00A47119" w:rsidRPr="00A47119" w:rsidTr="00586F35">
        <w:trPr>
          <w:trHeight w:val="324"/>
        </w:trPr>
        <w:tc>
          <w:tcPr>
            <w:tcW w:w="1583" w:type="dxa"/>
            <w:shd w:val="clear" w:color="auto" w:fill="auto"/>
            <w:noWrap/>
            <w:vAlign w:val="bottom"/>
            <w:hideMark/>
          </w:tcPr>
          <w:p w:rsidR="00A47119" w:rsidRPr="00A47119" w:rsidRDefault="00A47119" w:rsidP="00A47119">
            <w:pPr>
              <w:spacing w:after="0" w:line="240" w:lineRule="auto"/>
              <w:rPr>
                <w:rFonts w:ascii="Calibri" w:eastAsia="Times New Roman" w:hAnsi="Calibri" w:cs="Times New Roman"/>
                <w:b/>
                <w:bCs/>
                <w:noProof w:val="0"/>
                <w:color w:val="000000"/>
                <w:lang w:val="tr-TR" w:eastAsia="tr-TR"/>
              </w:rPr>
            </w:pPr>
            <w:r w:rsidRPr="00A47119">
              <w:rPr>
                <w:rFonts w:ascii="Calibri" w:eastAsia="Times New Roman" w:hAnsi="Calibri" w:cs="Times New Roman"/>
                <w:b/>
                <w:bCs/>
                <w:noProof w:val="0"/>
                <w:color w:val="000000"/>
                <w:lang w:val="tr-TR" w:eastAsia="tr-TR"/>
              </w:rPr>
              <w:t>5.%20'lik dilim</w:t>
            </w:r>
          </w:p>
        </w:tc>
        <w:tc>
          <w:tcPr>
            <w:tcW w:w="789" w:type="dxa"/>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4</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2,2</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6,8</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4,2</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eastAsia="tr-TR"/>
              </w:rPr>
              <w:t>58</w:t>
            </w:r>
            <w:r w:rsidR="00E543DB">
              <w:rPr>
                <w:rFonts w:ascii="Calibri" w:eastAsia="Times New Roman" w:hAnsi="Calibri" w:cs="Times New Roman"/>
                <w:noProof w:val="0"/>
                <w:color w:val="000000"/>
                <w:lang w:eastAsia="tr-TR"/>
              </w:rPr>
              <w:t>,0</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eastAsia="tr-TR"/>
              </w:rPr>
              <w:t>52,7</w:t>
            </w:r>
          </w:p>
        </w:tc>
      </w:tr>
      <w:tr w:rsidR="00A47119" w:rsidRPr="00A47119" w:rsidTr="00586F35">
        <w:trPr>
          <w:trHeight w:val="324"/>
        </w:trPr>
        <w:tc>
          <w:tcPr>
            <w:tcW w:w="1583" w:type="dxa"/>
            <w:shd w:val="clear" w:color="auto" w:fill="auto"/>
            <w:noWrap/>
            <w:vAlign w:val="bottom"/>
            <w:hideMark/>
          </w:tcPr>
          <w:p w:rsidR="00A47119" w:rsidRPr="00A47119" w:rsidRDefault="00A47119" w:rsidP="00A47119">
            <w:pPr>
              <w:spacing w:after="0" w:line="240" w:lineRule="auto"/>
              <w:rPr>
                <w:rFonts w:ascii="Calibri" w:eastAsia="Times New Roman" w:hAnsi="Calibri" w:cs="Times New Roman"/>
                <w:b/>
                <w:bCs/>
                <w:noProof w:val="0"/>
                <w:color w:val="000000"/>
                <w:lang w:val="tr-TR" w:eastAsia="tr-TR"/>
              </w:rPr>
            </w:pPr>
            <w:r w:rsidRPr="00A47119">
              <w:rPr>
                <w:rFonts w:ascii="Calibri" w:eastAsia="Times New Roman" w:hAnsi="Calibri" w:cs="Times New Roman"/>
                <w:b/>
                <w:bCs/>
                <w:noProof w:val="0"/>
                <w:color w:val="000000"/>
                <w:lang w:val="tr-TR" w:eastAsia="tr-TR"/>
              </w:rPr>
              <w:t>Toplam</w:t>
            </w:r>
          </w:p>
        </w:tc>
        <w:tc>
          <w:tcPr>
            <w:tcW w:w="789" w:type="dxa"/>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1,1</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0,9</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1,9</w:t>
            </w:r>
          </w:p>
        </w:tc>
        <w:tc>
          <w:tcPr>
            <w:tcW w:w="0" w:type="auto"/>
            <w:shd w:val="clear" w:color="auto" w:fill="auto"/>
            <w:noWrap/>
            <w:vAlign w:val="bottom"/>
            <w:hideMark/>
          </w:tcPr>
          <w:p w:rsidR="00A47119" w:rsidRPr="00A47119" w:rsidRDefault="00A47119" w:rsidP="00E543DB">
            <w:pPr>
              <w:spacing w:after="0" w:line="240" w:lineRule="auto"/>
              <w:jc w:val="right"/>
              <w:rPr>
                <w:rFonts w:ascii="Calibri" w:eastAsia="Times New Roman" w:hAnsi="Calibri" w:cs="Times New Roman"/>
                <w:noProof w:val="0"/>
                <w:color w:val="000000"/>
                <w:lang w:val="tr-TR" w:eastAsia="tr-TR"/>
              </w:rPr>
            </w:pPr>
            <w:r w:rsidRPr="00A47119">
              <w:rPr>
                <w:rFonts w:ascii="Calibri" w:eastAsia="Times New Roman" w:hAnsi="Calibri" w:cs="Times New Roman"/>
                <w:noProof w:val="0"/>
                <w:color w:val="000000"/>
                <w:lang w:val="tr-TR" w:eastAsia="tr-TR"/>
              </w:rPr>
              <w:t>1,6</w:t>
            </w:r>
          </w:p>
        </w:tc>
        <w:tc>
          <w:tcPr>
            <w:tcW w:w="0" w:type="auto"/>
            <w:shd w:val="clear" w:color="auto" w:fill="auto"/>
            <w:noWrap/>
            <w:vAlign w:val="bottom"/>
            <w:hideMark/>
          </w:tcPr>
          <w:p w:rsidR="00A47119" w:rsidRPr="00A47119" w:rsidRDefault="00E543DB" w:rsidP="00E543DB">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59,2</w:t>
            </w:r>
          </w:p>
        </w:tc>
        <w:tc>
          <w:tcPr>
            <w:tcW w:w="0" w:type="auto"/>
            <w:shd w:val="clear" w:color="auto" w:fill="auto"/>
            <w:noWrap/>
            <w:vAlign w:val="bottom"/>
            <w:hideMark/>
          </w:tcPr>
          <w:p w:rsidR="00A47119" w:rsidRPr="00A47119" w:rsidRDefault="00E543DB" w:rsidP="00E543DB">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55,3</w:t>
            </w:r>
          </w:p>
        </w:tc>
      </w:tr>
    </w:tbl>
    <w:p w:rsidR="00397AB8" w:rsidRDefault="00397AB8" w:rsidP="00397AB8">
      <w:pPr>
        <w:rPr>
          <w:lang w:val="tr-TR"/>
        </w:rPr>
      </w:pPr>
      <w:r>
        <w:rPr>
          <w:rFonts w:cs="Arial"/>
          <w:sz w:val="20"/>
          <w:szCs w:val="20"/>
          <w:lang w:val="tr-TR"/>
        </w:rPr>
        <w:t>Kaynak: 2005 ve 2014 Hanehalkı Bütçe Anketi kesit mikro verisetleri; Betam hesaplamaları</w:t>
      </w:r>
    </w:p>
    <w:p w:rsidR="005C7E5B" w:rsidRPr="008967FC" w:rsidRDefault="006F26F7" w:rsidP="005C7E5B">
      <w:pPr>
        <w:rPr>
          <w:lang w:val="tr-TR"/>
        </w:rPr>
      </w:pPr>
      <w:r>
        <w:fldChar w:fldCharType="begin"/>
      </w:r>
      <w:r>
        <w:instrText xml:space="preserve"> REF _Ref470272399 \h  \* MERGEFORMAT </w:instrText>
      </w:r>
      <w:r>
        <w:fldChar w:fldCharType="separate"/>
      </w:r>
      <w:r w:rsidR="0038718F" w:rsidRPr="00141889">
        <w:rPr>
          <w:lang w:val="tr-TR"/>
        </w:rPr>
        <w:t>Tablo 4</w:t>
      </w:r>
      <w:r>
        <w:fldChar w:fldCharType="end"/>
      </w:r>
      <w:r w:rsidR="00EF0926" w:rsidRPr="00141889">
        <w:rPr>
          <w:lang w:val="tr-TR"/>
        </w:rPr>
        <w:t xml:space="preserve">’te </w:t>
      </w:r>
      <w:r w:rsidR="00F56921" w:rsidRPr="00141889">
        <w:rPr>
          <w:lang w:val="tr-TR"/>
        </w:rPr>
        <w:t xml:space="preserve">gelir gruplarına göre </w:t>
      </w:r>
      <w:r w:rsidR="00EF0926" w:rsidRPr="00141889">
        <w:rPr>
          <w:lang w:val="tr-TR"/>
        </w:rPr>
        <w:t xml:space="preserve">yeni otomobil harcamasının toplam hane harcamasındaki payı ve harcama yapan haneler incelenmektedir. </w:t>
      </w:r>
      <w:r w:rsidR="001C4EBC" w:rsidRPr="00141889">
        <w:rPr>
          <w:lang w:val="tr-TR"/>
        </w:rPr>
        <w:t xml:space="preserve">Yeni otomobil satın alan hanelerin Türkiye genelindeki </w:t>
      </w:r>
      <w:r w:rsidR="001C4EBC" w:rsidRPr="00141889">
        <w:rPr>
          <w:lang w:val="tr-TR"/>
        </w:rPr>
        <w:lastRenderedPageBreak/>
        <w:t xml:space="preserve">oranında bir miktar düşüşün yaşandığı görülmektedir. </w:t>
      </w:r>
      <w:r w:rsidR="004022F7" w:rsidRPr="00141889">
        <w:rPr>
          <w:lang w:val="tr-TR"/>
        </w:rPr>
        <w:t xml:space="preserve">2005’te hanelerin yüzde 1,9’u yeni otomobil için harcama yapıyor iken </w:t>
      </w:r>
      <w:r w:rsidR="004022F7" w:rsidRPr="0050078B">
        <w:rPr>
          <w:lang w:val="tr-TR"/>
        </w:rPr>
        <w:t>2014’te harcama yapan hanelerin oranı yüzde 1,6’</w:t>
      </w:r>
      <w:r w:rsidR="00BF4E12" w:rsidRPr="0050078B">
        <w:rPr>
          <w:lang w:val="tr-TR"/>
        </w:rPr>
        <w:t xml:space="preserve">ya düşmüştür. Genel anlamda düşüş yaşanmasına rağmen, en yüksek gelir dilimi haricinde diğer kesimlerde yeni otomobil harcaması yapan hanelerin </w:t>
      </w:r>
      <w:r w:rsidR="00877D3E" w:rsidRPr="0050078B">
        <w:rPr>
          <w:lang w:val="tr-TR"/>
        </w:rPr>
        <w:t xml:space="preserve">hem soranı hem de harcamalar içindeki payları </w:t>
      </w:r>
      <w:r w:rsidR="00BF4E12" w:rsidRPr="0050078B">
        <w:rPr>
          <w:lang w:val="tr-TR"/>
        </w:rPr>
        <w:t xml:space="preserve">artmıştır. </w:t>
      </w:r>
      <w:r w:rsidR="002966C3" w:rsidRPr="0050078B">
        <w:rPr>
          <w:rFonts w:cs="Arial"/>
          <w:lang w:val="tr-TR"/>
        </w:rPr>
        <w:t xml:space="preserve">Yeni otomobil satın alan hanelerin yeni otomobil için harcamalarından ayırdıkları pay en düşük %40’lık grup hariç </w:t>
      </w:r>
      <w:r w:rsidR="00B80DC1" w:rsidRPr="0050078B">
        <w:rPr>
          <w:rFonts w:cs="Arial"/>
          <w:lang w:val="tr-TR"/>
        </w:rPr>
        <w:t xml:space="preserve">2005 yılına kıyasla </w:t>
      </w:r>
      <w:r w:rsidR="00877D3E" w:rsidRPr="0050078B">
        <w:rPr>
          <w:rFonts w:cs="Arial"/>
          <w:lang w:val="tr-TR"/>
        </w:rPr>
        <w:t>azalmıştır</w:t>
      </w:r>
      <w:r w:rsidR="00B87CC7" w:rsidRPr="0050078B">
        <w:rPr>
          <w:rFonts w:cs="Arial"/>
          <w:lang w:val="tr-TR"/>
        </w:rPr>
        <w:t xml:space="preserve">. </w:t>
      </w:r>
      <w:r w:rsidR="00877D3E" w:rsidRPr="0050078B">
        <w:rPr>
          <w:rFonts w:cs="Arial"/>
          <w:lang w:val="tr-TR"/>
        </w:rPr>
        <w:t>Ancak</w:t>
      </w:r>
      <w:r w:rsidR="00877D3E" w:rsidRPr="00B87CC7">
        <w:rPr>
          <w:rFonts w:cs="Arial"/>
          <w:lang w:val="tr-TR"/>
        </w:rPr>
        <w:t xml:space="preserve"> gelirlerde </w:t>
      </w:r>
      <w:r w:rsidR="009E5864" w:rsidRPr="00B87CC7">
        <w:rPr>
          <w:rFonts w:cs="Arial"/>
          <w:lang w:val="tr-TR"/>
        </w:rPr>
        <w:t>yüksek artışın gerçekleştiği bu dönemde yeni otomibile yapılan toplam harcamanın reel olarak arttığı unutulmamalıdır.</w:t>
      </w:r>
      <w:r w:rsidR="009E5864">
        <w:rPr>
          <w:rFonts w:cs="Arial"/>
          <w:lang w:val="tr-TR"/>
        </w:rPr>
        <w:t xml:space="preserve"> </w:t>
      </w:r>
    </w:p>
    <w:p w:rsidR="00A136E9" w:rsidRPr="005B6246" w:rsidRDefault="00A136E9" w:rsidP="005C7E5B">
      <w:pPr>
        <w:rPr>
          <w:rFonts w:cs="Arial"/>
          <w:b/>
          <w:i/>
          <w:iCs/>
          <w:lang w:val="tr-TR"/>
        </w:rPr>
      </w:pPr>
      <w:r w:rsidRPr="005B6246">
        <w:rPr>
          <w:rFonts w:cs="Arial"/>
          <w:b/>
          <w:i/>
          <w:lang w:val="tr-TR"/>
        </w:rPr>
        <w:t xml:space="preserve">Mobilya </w:t>
      </w:r>
      <w:r w:rsidR="00B95854" w:rsidRPr="005B6246">
        <w:rPr>
          <w:rFonts w:cs="Arial"/>
          <w:b/>
          <w:i/>
          <w:lang w:val="tr-TR"/>
        </w:rPr>
        <w:t>harcaması yapan hane oranı artıyor</w:t>
      </w:r>
    </w:p>
    <w:p w:rsidR="00A136E9" w:rsidRDefault="006F26F7" w:rsidP="00A136E9">
      <w:pPr>
        <w:rPr>
          <w:rFonts w:cs="Arial"/>
          <w:lang w:val="tr-TR"/>
        </w:rPr>
      </w:pPr>
      <w:r>
        <w:fldChar w:fldCharType="begin"/>
      </w:r>
      <w:r>
        <w:instrText xml:space="preserve"> REF _Ref470272409 \h  \* MERGEFORMAT </w:instrText>
      </w:r>
      <w:r>
        <w:fldChar w:fldCharType="separate"/>
      </w:r>
      <w:r w:rsidR="0038718F" w:rsidRPr="00141889">
        <w:rPr>
          <w:lang w:val="tr-TR"/>
        </w:rPr>
        <w:t>Tablo 5</w:t>
      </w:r>
      <w:r>
        <w:fldChar w:fldCharType="end"/>
      </w:r>
      <w:r w:rsidR="003619D1">
        <w:rPr>
          <w:lang w:val="tr-TR"/>
        </w:rPr>
        <w:t>’teki verilere göre mobilya</w:t>
      </w:r>
      <w:r w:rsidR="00FB4F2B" w:rsidRPr="00141889">
        <w:rPr>
          <w:lang w:val="tr-TR"/>
        </w:rPr>
        <w:t xml:space="preserve"> harcaması yapan hanelerin oranı 2005’te yüzde 12,1 iken 2014’te yüzde 32,1’e ulaşmıştır. Gelir gruplarına göre harcama yapan hanelerin oranı incelendiğinde her gelir grubunda ciddi artışların olduğu gözlemlenmektedir. 2005 yılında en </w:t>
      </w:r>
      <w:r w:rsidR="007908D2" w:rsidRPr="00141889">
        <w:rPr>
          <w:lang w:val="tr-TR"/>
        </w:rPr>
        <w:t>düşük</w:t>
      </w:r>
      <w:r w:rsidR="00FB4F2B" w:rsidRPr="00141889">
        <w:rPr>
          <w:lang w:val="tr-TR"/>
        </w:rPr>
        <w:t xml:space="preserve"> gelir</w:t>
      </w:r>
      <w:r w:rsidR="007908D2" w:rsidRPr="00141889">
        <w:rPr>
          <w:lang w:val="tr-TR"/>
        </w:rPr>
        <w:t>li</w:t>
      </w:r>
      <w:r w:rsidR="00FB4F2B" w:rsidRPr="00141889">
        <w:rPr>
          <w:lang w:val="tr-TR"/>
        </w:rPr>
        <w:t xml:space="preserve"> hanelerin sadece yüzde 4,8’i mobilya için harcama yapabiliyor iken 2014’te bu gruptaki pay y</w:t>
      </w:r>
      <w:r w:rsidR="00C75C05" w:rsidRPr="00141889">
        <w:rPr>
          <w:lang w:val="tr-TR"/>
        </w:rPr>
        <w:t>ü</w:t>
      </w:r>
      <w:r w:rsidR="00FB4F2B" w:rsidRPr="00141889">
        <w:rPr>
          <w:lang w:val="tr-TR"/>
        </w:rPr>
        <w:t>zde 16,7’</w:t>
      </w:r>
      <w:r w:rsidR="00263295" w:rsidRPr="00141889">
        <w:rPr>
          <w:lang w:val="tr-TR"/>
        </w:rPr>
        <w:t>ye yükselmiştir.</w:t>
      </w:r>
      <w:r w:rsidR="00D1520C" w:rsidRPr="00141889">
        <w:rPr>
          <w:lang w:val="tr-TR"/>
        </w:rPr>
        <w:t xml:space="preserve"> Gelir seviyesinin yükselmesi ile beraber mobilya için h</w:t>
      </w:r>
      <w:r w:rsidR="00D312FF" w:rsidRPr="00141889">
        <w:rPr>
          <w:lang w:val="tr-TR"/>
        </w:rPr>
        <w:t>arcama yapan hanelerin oranı artmaktadır ve en yüksek gelir grubundaki pay 2014’te yüzde 42,6’ya ulaşmıştır</w:t>
      </w:r>
      <w:r w:rsidR="00D312FF">
        <w:rPr>
          <w:rFonts w:cs="Arial"/>
          <w:lang w:val="tr-TR"/>
        </w:rPr>
        <w:t>.</w:t>
      </w:r>
    </w:p>
    <w:p w:rsidR="00053455" w:rsidRPr="00F96253" w:rsidRDefault="00F96253" w:rsidP="00A136E9">
      <w:pPr>
        <w:rPr>
          <w:rFonts w:cs="Arial"/>
          <w:strike/>
          <w:color w:val="FF0000"/>
          <w:lang w:val="tr-TR"/>
        </w:rPr>
      </w:pPr>
      <w:r w:rsidRPr="00B87CC7">
        <w:rPr>
          <w:rFonts w:cs="Arial"/>
          <w:lang w:val="tr-TR"/>
        </w:rPr>
        <w:t>Bununla birlikte h</w:t>
      </w:r>
      <w:r w:rsidR="00A35AF7">
        <w:rPr>
          <w:rFonts w:cs="Arial"/>
          <w:lang w:val="tr-TR"/>
        </w:rPr>
        <w:t>aneler</w:t>
      </w:r>
      <w:r w:rsidRPr="00B87CC7">
        <w:rPr>
          <w:rFonts w:cs="Arial"/>
          <w:lang w:val="tr-TR"/>
        </w:rPr>
        <w:t xml:space="preserve">in </w:t>
      </w:r>
      <w:r w:rsidR="00D312FF" w:rsidRPr="00B87CC7">
        <w:rPr>
          <w:rFonts w:cs="Arial"/>
          <w:lang w:val="tr-TR"/>
        </w:rPr>
        <w:t xml:space="preserve">mobilya harcaması için hane </w:t>
      </w:r>
      <w:r w:rsidR="00414A02" w:rsidRPr="00B87CC7">
        <w:rPr>
          <w:rFonts w:cs="Arial"/>
          <w:lang w:val="tr-TR"/>
        </w:rPr>
        <w:t>bütçelerinden</w:t>
      </w:r>
      <w:r w:rsidR="00D312FF" w:rsidRPr="00B87CC7">
        <w:rPr>
          <w:rFonts w:cs="Arial"/>
          <w:lang w:val="tr-TR"/>
        </w:rPr>
        <w:t xml:space="preserve"> daha az pay ayır</w:t>
      </w:r>
      <w:r w:rsidRPr="00B87CC7">
        <w:rPr>
          <w:rFonts w:cs="Arial"/>
          <w:lang w:val="tr-TR"/>
        </w:rPr>
        <w:t>dıkları gözlemlenmektedir</w:t>
      </w:r>
      <w:r w:rsidR="00D312FF" w:rsidRPr="00B87CC7">
        <w:rPr>
          <w:rFonts w:cs="Arial"/>
          <w:lang w:val="tr-TR"/>
        </w:rPr>
        <w:t xml:space="preserve">. </w:t>
      </w:r>
      <w:r w:rsidR="00035A95" w:rsidRPr="00B87CC7">
        <w:rPr>
          <w:rFonts w:cs="Arial"/>
          <w:lang w:val="tr-TR"/>
        </w:rPr>
        <w:t>2005 yılında mobilya satın alımı için harcama yapan hanelerin bütçelerinden ayırdığı pay ortalama yüzde 10 iken, 2014 yılında bunun iç</w:t>
      </w:r>
      <w:r w:rsidR="00A90B6C" w:rsidRPr="00B87CC7">
        <w:rPr>
          <w:rFonts w:cs="Arial"/>
          <w:lang w:val="tr-TR"/>
        </w:rPr>
        <w:t>in ayırdıkları pay yüzde 5,4’e gerilemiştir</w:t>
      </w:r>
      <w:r w:rsidR="00035A95" w:rsidRPr="00B87CC7">
        <w:rPr>
          <w:rFonts w:cs="Arial"/>
          <w:lang w:val="tr-TR"/>
        </w:rPr>
        <w:t xml:space="preserve">. </w:t>
      </w:r>
      <w:r w:rsidR="00053455" w:rsidRPr="00B87CC7">
        <w:rPr>
          <w:rFonts w:cs="Arial"/>
          <w:lang w:val="tr-TR"/>
        </w:rPr>
        <w:t>Bu durum mobilya kaleminde görülen harcama artışın</w:t>
      </w:r>
      <w:r w:rsidR="00E60EE0" w:rsidRPr="00B87CC7">
        <w:rPr>
          <w:rFonts w:cs="Arial"/>
          <w:lang w:val="tr-TR"/>
        </w:rPr>
        <w:t>ın</w:t>
      </w:r>
      <w:r w:rsidR="00F84189" w:rsidRPr="00B87CC7">
        <w:rPr>
          <w:rFonts w:cs="Arial"/>
          <w:lang w:val="tr-TR"/>
        </w:rPr>
        <w:t xml:space="preserve"> </w:t>
      </w:r>
      <w:r w:rsidR="00053455" w:rsidRPr="00B87CC7">
        <w:rPr>
          <w:rFonts w:cs="Arial"/>
          <w:lang w:val="tr-TR"/>
        </w:rPr>
        <w:t>tüm gelir gruplarında mobilya satın alan hanelerin oranında ciddi bir artış olması</w:t>
      </w:r>
      <w:r w:rsidRPr="00B87CC7">
        <w:rPr>
          <w:rFonts w:cs="Arial"/>
          <w:lang w:val="tr-TR"/>
        </w:rPr>
        <w:t>nd</w:t>
      </w:r>
      <w:r w:rsidR="00B87CC7">
        <w:rPr>
          <w:rFonts w:cs="Arial"/>
          <w:lang w:val="tr-TR"/>
        </w:rPr>
        <w:t>an kaynaklandığı anlaşıl</w:t>
      </w:r>
      <w:r w:rsidR="00B87CC7" w:rsidRPr="001766F5">
        <w:rPr>
          <w:rFonts w:cs="Arial"/>
          <w:lang w:val="tr-TR"/>
        </w:rPr>
        <w:t xml:space="preserve">maktadır. </w:t>
      </w:r>
      <w:r w:rsidR="006F7C8F">
        <w:rPr>
          <w:rFonts w:cs="Arial"/>
          <w:lang w:val="tr-TR"/>
        </w:rPr>
        <w:t>Bu bulgular m</w:t>
      </w:r>
      <w:r w:rsidRPr="001766F5">
        <w:rPr>
          <w:rFonts w:cs="Arial"/>
          <w:lang w:val="tr-TR"/>
        </w:rPr>
        <w:t>obilyanın gelir esnekliğinin biri</w:t>
      </w:r>
      <w:r w:rsidR="006F7C8F">
        <w:rPr>
          <w:rFonts w:cs="Arial"/>
          <w:lang w:val="tr-TR"/>
        </w:rPr>
        <w:t>mden küçük olabileceğine işaret etmektedir</w:t>
      </w:r>
      <w:r w:rsidRPr="001766F5">
        <w:rPr>
          <w:rFonts w:cs="Arial"/>
          <w:lang w:val="tr-TR"/>
        </w:rPr>
        <w:t>. Artan gelirler sayesinde daha çok sayıd</w:t>
      </w:r>
      <w:r w:rsidR="003322D1" w:rsidRPr="001766F5">
        <w:rPr>
          <w:rFonts w:cs="Arial"/>
          <w:lang w:val="tr-TR"/>
        </w:rPr>
        <w:t>a hane mobilya harcaması yaptığı</w:t>
      </w:r>
      <w:r w:rsidRPr="001766F5">
        <w:rPr>
          <w:rFonts w:cs="Arial"/>
          <w:lang w:val="tr-TR"/>
        </w:rPr>
        <w:t xml:space="preserve"> ama toplamda haneler</w:t>
      </w:r>
      <w:r w:rsidR="003322D1" w:rsidRPr="001766F5">
        <w:rPr>
          <w:rFonts w:cs="Arial"/>
          <w:lang w:val="tr-TR"/>
        </w:rPr>
        <w:t>in</w:t>
      </w:r>
      <w:r w:rsidRPr="001766F5">
        <w:rPr>
          <w:rFonts w:cs="Arial"/>
          <w:lang w:val="tr-TR"/>
        </w:rPr>
        <w:t xml:space="preserve"> artan gelirlerinin göreli olarak daha az bi</w:t>
      </w:r>
      <w:r w:rsidR="003322D1" w:rsidRPr="001766F5">
        <w:rPr>
          <w:rFonts w:cs="Arial"/>
          <w:lang w:val="tr-TR"/>
        </w:rPr>
        <w:t>r kısmını mobilyaya harcadıkları görülmektedir</w:t>
      </w:r>
      <w:r w:rsidRPr="001766F5">
        <w:rPr>
          <w:rFonts w:cs="Arial"/>
          <w:lang w:val="tr-TR"/>
        </w:rPr>
        <w:t xml:space="preserve">. </w:t>
      </w:r>
    </w:p>
    <w:p w:rsidR="00D0441D" w:rsidRPr="00AD6EF0" w:rsidRDefault="00D0441D" w:rsidP="00D0441D">
      <w:pPr>
        <w:pStyle w:val="Caption"/>
        <w:keepNext/>
        <w:rPr>
          <w:b/>
          <w:i w:val="0"/>
          <w:color w:val="auto"/>
          <w:sz w:val="22"/>
          <w:szCs w:val="22"/>
        </w:rPr>
      </w:pPr>
      <w:bookmarkStart w:id="7" w:name="_Ref470272409"/>
      <w:r w:rsidRPr="00F96253">
        <w:rPr>
          <w:b/>
          <w:i w:val="0"/>
          <w:color w:val="auto"/>
          <w:sz w:val="22"/>
          <w:szCs w:val="22"/>
          <w:lang w:val="tr-TR"/>
        </w:rPr>
        <w:t xml:space="preserve">Tablo </w:t>
      </w:r>
      <w:r w:rsidR="004A2399" w:rsidRPr="00AD6EF0">
        <w:rPr>
          <w:b/>
          <w:i w:val="0"/>
          <w:color w:val="auto"/>
          <w:sz w:val="22"/>
          <w:szCs w:val="22"/>
        </w:rPr>
        <w:fldChar w:fldCharType="begin"/>
      </w:r>
      <w:r w:rsidRPr="00F96253">
        <w:rPr>
          <w:b/>
          <w:i w:val="0"/>
          <w:color w:val="auto"/>
          <w:sz w:val="22"/>
          <w:szCs w:val="22"/>
          <w:lang w:val="tr-TR"/>
        </w:rPr>
        <w:instrText xml:space="preserve"> SEQ Tablo \* ARABIC </w:instrText>
      </w:r>
      <w:r w:rsidR="004A2399" w:rsidRPr="00AD6EF0">
        <w:rPr>
          <w:b/>
          <w:i w:val="0"/>
          <w:color w:val="auto"/>
          <w:sz w:val="22"/>
          <w:szCs w:val="22"/>
        </w:rPr>
        <w:fldChar w:fldCharType="separate"/>
      </w:r>
      <w:r w:rsidRPr="00F96253">
        <w:rPr>
          <w:b/>
          <w:i w:val="0"/>
          <w:color w:val="auto"/>
          <w:sz w:val="22"/>
          <w:szCs w:val="22"/>
          <w:lang w:val="tr-TR"/>
        </w:rPr>
        <w:t>5</w:t>
      </w:r>
      <w:r w:rsidR="004A2399" w:rsidRPr="00AD6EF0">
        <w:rPr>
          <w:b/>
          <w:i w:val="0"/>
          <w:color w:val="auto"/>
          <w:sz w:val="22"/>
          <w:szCs w:val="22"/>
        </w:rPr>
        <w:fldChar w:fldCharType="end"/>
      </w:r>
      <w:bookmarkEnd w:id="7"/>
      <w:r w:rsidRPr="00F96253">
        <w:rPr>
          <w:b/>
          <w:i w:val="0"/>
          <w:color w:val="auto"/>
          <w:sz w:val="22"/>
          <w:szCs w:val="22"/>
          <w:lang w:val="tr-TR"/>
        </w:rPr>
        <w:t xml:space="preserve"> Gelir gruplarına göre mobilya harcamasının incele</w:t>
      </w:r>
      <w:r>
        <w:rPr>
          <w:b/>
          <w:i w:val="0"/>
          <w:color w:val="auto"/>
          <w:sz w:val="22"/>
          <w:szCs w:val="22"/>
        </w:rPr>
        <w:t>nmesi, (%)</w:t>
      </w:r>
    </w:p>
    <w:tbl>
      <w:tblPr>
        <w:tblW w:w="0" w:type="auto"/>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CellMar>
          <w:left w:w="70" w:type="dxa"/>
          <w:right w:w="70" w:type="dxa"/>
        </w:tblCellMar>
        <w:tblLook w:val="04A0" w:firstRow="1" w:lastRow="0" w:firstColumn="1" w:lastColumn="0" w:noHBand="0" w:noVBand="1"/>
      </w:tblPr>
      <w:tblGrid>
        <w:gridCol w:w="1560"/>
        <w:gridCol w:w="1134"/>
        <w:gridCol w:w="850"/>
        <w:gridCol w:w="1276"/>
        <w:gridCol w:w="992"/>
        <w:gridCol w:w="1559"/>
        <w:gridCol w:w="1771"/>
      </w:tblGrid>
      <w:tr w:rsidR="00D0441D" w:rsidRPr="00DF1DCF" w:rsidTr="00877D3E">
        <w:trPr>
          <w:trHeight w:val="315"/>
        </w:trPr>
        <w:tc>
          <w:tcPr>
            <w:tcW w:w="1560" w:type="dxa"/>
            <w:shd w:val="clear" w:color="auto" w:fill="auto"/>
            <w:noWrap/>
            <w:vAlign w:val="bottom"/>
            <w:hideMark/>
          </w:tcPr>
          <w:p w:rsidR="00D0441D" w:rsidRPr="00DF1DCF" w:rsidRDefault="00D0441D" w:rsidP="00877D3E">
            <w:pPr>
              <w:spacing w:after="0" w:line="240" w:lineRule="auto"/>
              <w:rPr>
                <w:rFonts w:ascii="Times New Roman" w:eastAsia="Times New Roman" w:hAnsi="Times New Roman" w:cs="Times New Roman"/>
                <w:noProof w:val="0"/>
                <w:sz w:val="24"/>
                <w:szCs w:val="24"/>
                <w:lang w:val="tr-TR" w:eastAsia="tr-TR"/>
              </w:rPr>
            </w:pPr>
          </w:p>
        </w:tc>
        <w:tc>
          <w:tcPr>
            <w:tcW w:w="1984" w:type="dxa"/>
            <w:gridSpan w:val="2"/>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b/>
                <w:noProof w:val="0"/>
                <w:color w:val="000000"/>
                <w:lang w:val="tr-TR" w:eastAsia="tr-TR"/>
              </w:rPr>
            </w:pPr>
            <w:r w:rsidRPr="00DF1DCF">
              <w:rPr>
                <w:rFonts w:ascii="Calibri" w:eastAsia="Times New Roman" w:hAnsi="Calibri" w:cs="Times New Roman"/>
                <w:b/>
                <w:noProof w:val="0"/>
                <w:color w:val="000000"/>
                <w:lang w:val="tr-TR" w:eastAsia="tr-TR"/>
              </w:rPr>
              <w:t>Mobilya harcamasının payı</w:t>
            </w:r>
          </w:p>
        </w:tc>
        <w:tc>
          <w:tcPr>
            <w:tcW w:w="2268" w:type="dxa"/>
            <w:gridSpan w:val="2"/>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b/>
                <w:noProof w:val="0"/>
                <w:color w:val="000000"/>
                <w:lang w:val="tr-TR" w:eastAsia="tr-TR"/>
              </w:rPr>
            </w:pPr>
            <w:r w:rsidRPr="00DF1DCF">
              <w:rPr>
                <w:rFonts w:ascii="Calibri" w:eastAsia="Times New Roman" w:hAnsi="Calibri" w:cs="Times New Roman"/>
                <w:b/>
                <w:noProof w:val="0"/>
                <w:color w:val="000000"/>
                <w:lang w:val="tr-TR" w:eastAsia="tr-TR"/>
              </w:rPr>
              <w:t>Harcama yapan hanelerin oranı</w:t>
            </w:r>
          </w:p>
        </w:tc>
        <w:tc>
          <w:tcPr>
            <w:tcW w:w="3330" w:type="dxa"/>
            <w:gridSpan w:val="2"/>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b/>
                <w:noProof w:val="0"/>
                <w:color w:val="000000"/>
                <w:lang w:val="tr-TR" w:eastAsia="tr-TR"/>
              </w:rPr>
            </w:pPr>
            <w:r w:rsidRPr="00DF1DCF">
              <w:rPr>
                <w:rFonts w:ascii="Calibri" w:eastAsia="Times New Roman" w:hAnsi="Calibri" w:cs="Times New Roman"/>
                <w:b/>
                <w:noProof w:val="0"/>
                <w:color w:val="000000"/>
                <w:lang w:val="tr-TR" w:eastAsia="tr-TR"/>
              </w:rPr>
              <w:t>Harcama yapan haneler için mobilya harcamasının payı</w:t>
            </w:r>
          </w:p>
        </w:tc>
      </w:tr>
      <w:tr w:rsidR="00D0441D" w:rsidRPr="00DF1DCF" w:rsidTr="00877D3E">
        <w:trPr>
          <w:trHeight w:val="315"/>
        </w:trPr>
        <w:tc>
          <w:tcPr>
            <w:tcW w:w="1560" w:type="dxa"/>
            <w:shd w:val="clear" w:color="auto" w:fill="auto"/>
            <w:noWrap/>
            <w:vAlign w:val="bottom"/>
            <w:hideMark/>
          </w:tcPr>
          <w:p w:rsidR="00D0441D" w:rsidRPr="00DF1DCF" w:rsidRDefault="00D0441D" w:rsidP="00877D3E">
            <w:pPr>
              <w:spacing w:after="0" w:line="240" w:lineRule="auto"/>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 </w:t>
            </w:r>
          </w:p>
        </w:tc>
        <w:tc>
          <w:tcPr>
            <w:tcW w:w="1134"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b/>
                <w:bCs/>
                <w:noProof w:val="0"/>
                <w:color w:val="000000"/>
                <w:lang w:val="tr-TR" w:eastAsia="tr-TR"/>
              </w:rPr>
            </w:pPr>
            <w:r w:rsidRPr="00DF1DCF">
              <w:rPr>
                <w:rFonts w:ascii="Calibri" w:eastAsia="Times New Roman" w:hAnsi="Calibri" w:cs="Times New Roman"/>
                <w:b/>
                <w:bCs/>
                <w:noProof w:val="0"/>
                <w:color w:val="000000"/>
                <w:lang w:val="tr-TR" w:eastAsia="tr-TR"/>
              </w:rPr>
              <w:t>2005</w:t>
            </w:r>
          </w:p>
        </w:tc>
        <w:tc>
          <w:tcPr>
            <w:tcW w:w="850"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b/>
                <w:bCs/>
                <w:noProof w:val="0"/>
                <w:color w:val="000000"/>
                <w:lang w:val="tr-TR" w:eastAsia="tr-TR"/>
              </w:rPr>
            </w:pPr>
            <w:r w:rsidRPr="00DF1DCF">
              <w:rPr>
                <w:rFonts w:ascii="Calibri" w:eastAsia="Times New Roman" w:hAnsi="Calibri" w:cs="Times New Roman"/>
                <w:b/>
                <w:bCs/>
                <w:noProof w:val="0"/>
                <w:color w:val="000000"/>
                <w:lang w:val="tr-TR" w:eastAsia="tr-TR"/>
              </w:rPr>
              <w:t>2014</w:t>
            </w:r>
          </w:p>
        </w:tc>
        <w:tc>
          <w:tcPr>
            <w:tcW w:w="1276"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b/>
                <w:bCs/>
                <w:noProof w:val="0"/>
                <w:color w:val="000000"/>
                <w:lang w:val="tr-TR" w:eastAsia="tr-TR"/>
              </w:rPr>
            </w:pPr>
            <w:r w:rsidRPr="00DF1DCF">
              <w:rPr>
                <w:rFonts w:ascii="Calibri" w:eastAsia="Times New Roman" w:hAnsi="Calibri" w:cs="Times New Roman"/>
                <w:b/>
                <w:bCs/>
                <w:noProof w:val="0"/>
                <w:color w:val="000000"/>
                <w:lang w:val="tr-TR" w:eastAsia="tr-TR"/>
              </w:rPr>
              <w:t>2005</w:t>
            </w:r>
          </w:p>
        </w:tc>
        <w:tc>
          <w:tcPr>
            <w:tcW w:w="992"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b/>
                <w:bCs/>
                <w:noProof w:val="0"/>
                <w:color w:val="000000"/>
                <w:lang w:val="tr-TR" w:eastAsia="tr-TR"/>
              </w:rPr>
            </w:pPr>
            <w:r w:rsidRPr="00DF1DCF">
              <w:rPr>
                <w:rFonts w:ascii="Calibri" w:eastAsia="Times New Roman" w:hAnsi="Calibri" w:cs="Times New Roman"/>
                <w:b/>
                <w:bCs/>
                <w:noProof w:val="0"/>
                <w:color w:val="000000"/>
                <w:lang w:val="tr-TR" w:eastAsia="tr-TR"/>
              </w:rPr>
              <w:t>2014</w:t>
            </w:r>
          </w:p>
        </w:tc>
        <w:tc>
          <w:tcPr>
            <w:tcW w:w="1559"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b/>
                <w:bCs/>
                <w:noProof w:val="0"/>
                <w:color w:val="000000"/>
                <w:lang w:val="tr-TR" w:eastAsia="tr-TR"/>
              </w:rPr>
            </w:pPr>
            <w:r w:rsidRPr="00DF1DCF">
              <w:rPr>
                <w:rFonts w:ascii="Calibri" w:eastAsia="Times New Roman" w:hAnsi="Calibri" w:cs="Times New Roman"/>
                <w:b/>
                <w:bCs/>
                <w:noProof w:val="0"/>
                <w:color w:val="000000"/>
                <w:lang w:val="tr-TR" w:eastAsia="tr-TR"/>
              </w:rPr>
              <w:t>2005</w:t>
            </w:r>
          </w:p>
        </w:tc>
        <w:tc>
          <w:tcPr>
            <w:tcW w:w="1771"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b/>
                <w:bCs/>
                <w:noProof w:val="0"/>
                <w:color w:val="000000"/>
                <w:lang w:val="tr-TR" w:eastAsia="tr-TR"/>
              </w:rPr>
            </w:pPr>
            <w:r w:rsidRPr="00DF1DCF">
              <w:rPr>
                <w:rFonts w:ascii="Calibri" w:eastAsia="Times New Roman" w:hAnsi="Calibri" w:cs="Times New Roman"/>
                <w:b/>
                <w:bCs/>
                <w:noProof w:val="0"/>
                <w:color w:val="000000"/>
                <w:lang w:val="tr-TR" w:eastAsia="tr-TR"/>
              </w:rPr>
              <w:t>2014</w:t>
            </w:r>
          </w:p>
        </w:tc>
      </w:tr>
      <w:tr w:rsidR="00D0441D" w:rsidRPr="00DF1DCF" w:rsidTr="00877D3E">
        <w:trPr>
          <w:trHeight w:val="315"/>
        </w:trPr>
        <w:tc>
          <w:tcPr>
            <w:tcW w:w="1560" w:type="dxa"/>
            <w:shd w:val="clear" w:color="auto" w:fill="auto"/>
            <w:noWrap/>
            <w:vAlign w:val="bottom"/>
            <w:hideMark/>
          </w:tcPr>
          <w:p w:rsidR="00D0441D" w:rsidRPr="00DF1DCF" w:rsidRDefault="00D0441D" w:rsidP="00877D3E">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1.</w:t>
            </w:r>
            <w:r w:rsidRPr="00DF1DCF">
              <w:rPr>
                <w:rFonts w:ascii="Calibri" w:eastAsia="Times New Roman" w:hAnsi="Calibri" w:cs="Times New Roman"/>
                <w:b/>
                <w:bCs/>
                <w:noProof w:val="0"/>
                <w:color w:val="000000"/>
                <w:lang w:val="tr-TR" w:eastAsia="tr-TR"/>
              </w:rPr>
              <w:t>%20'lik dilim</w:t>
            </w:r>
          </w:p>
        </w:tc>
        <w:tc>
          <w:tcPr>
            <w:tcW w:w="1134"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0,4</w:t>
            </w:r>
          </w:p>
        </w:tc>
        <w:tc>
          <w:tcPr>
            <w:tcW w:w="850"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1,1</w:t>
            </w:r>
          </w:p>
        </w:tc>
        <w:tc>
          <w:tcPr>
            <w:tcW w:w="1276"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4,8</w:t>
            </w:r>
          </w:p>
        </w:tc>
        <w:tc>
          <w:tcPr>
            <w:tcW w:w="992"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16,7</w:t>
            </w:r>
          </w:p>
        </w:tc>
        <w:tc>
          <w:tcPr>
            <w:tcW w:w="1559"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8,3</w:t>
            </w:r>
          </w:p>
        </w:tc>
        <w:tc>
          <w:tcPr>
            <w:tcW w:w="1771"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6,5</w:t>
            </w:r>
          </w:p>
        </w:tc>
      </w:tr>
      <w:tr w:rsidR="00D0441D" w:rsidRPr="00DF1DCF" w:rsidTr="00877D3E">
        <w:trPr>
          <w:trHeight w:val="315"/>
        </w:trPr>
        <w:tc>
          <w:tcPr>
            <w:tcW w:w="1560" w:type="dxa"/>
            <w:shd w:val="clear" w:color="auto" w:fill="auto"/>
            <w:noWrap/>
            <w:vAlign w:val="bottom"/>
            <w:hideMark/>
          </w:tcPr>
          <w:p w:rsidR="00D0441D" w:rsidRPr="00DF1DCF" w:rsidRDefault="00D0441D" w:rsidP="00877D3E">
            <w:pPr>
              <w:spacing w:after="0" w:line="240" w:lineRule="auto"/>
              <w:rPr>
                <w:rFonts w:ascii="Calibri" w:eastAsia="Times New Roman" w:hAnsi="Calibri" w:cs="Times New Roman"/>
                <w:b/>
                <w:bCs/>
                <w:noProof w:val="0"/>
                <w:color w:val="000000"/>
                <w:lang w:val="tr-TR" w:eastAsia="tr-TR"/>
              </w:rPr>
            </w:pPr>
            <w:r w:rsidRPr="00DF1DCF">
              <w:rPr>
                <w:rFonts w:ascii="Calibri" w:eastAsia="Times New Roman" w:hAnsi="Calibri" w:cs="Times New Roman"/>
                <w:b/>
                <w:bCs/>
                <w:noProof w:val="0"/>
                <w:color w:val="000000"/>
                <w:lang w:val="tr-TR" w:eastAsia="tr-TR"/>
              </w:rPr>
              <w:t>2.%20'lik dilim</w:t>
            </w:r>
          </w:p>
        </w:tc>
        <w:tc>
          <w:tcPr>
            <w:tcW w:w="1134"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1,2</w:t>
            </w:r>
          </w:p>
        </w:tc>
        <w:tc>
          <w:tcPr>
            <w:tcW w:w="850"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1,4</w:t>
            </w:r>
          </w:p>
        </w:tc>
        <w:tc>
          <w:tcPr>
            <w:tcW w:w="1276"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10,1</w:t>
            </w:r>
          </w:p>
        </w:tc>
        <w:tc>
          <w:tcPr>
            <w:tcW w:w="992"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26</w:t>
            </w:r>
          </w:p>
        </w:tc>
        <w:tc>
          <w:tcPr>
            <w:tcW w:w="1559"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11,5</w:t>
            </w:r>
          </w:p>
        </w:tc>
        <w:tc>
          <w:tcPr>
            <w:tcW w:w="1771"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5,3</w:t>
            </w:r>
          </w:p>
        </w:tc>
      </w:tr>
      <w:tr w:rsidR="00D0441D" w:rsidRPr="00DF1DCF" w:rsidTr="00877D3E">
        <w:trPr>
          <w:trHeight w:val="315"/>
        </w:trPr>
        <w:tc>
          <w:tcPr>
            <w:tcW w:w="1560" w:type="dxa"/>
            <w:shd w:val="clear" w:color="auto" w:fill="auto"/>
            <w:noWrap/>
            <w:vAlign w:val="bottom"/>
            <w:hideMark/>
          </w:tcPr>
          <w:p w:rsidR="00D0441D" w:rsidRPr="00DF1DCF" w:rsidRDefault="00D0441D" w:rsidP="00877D3E">
            <w:pPr>
              <w:spacing w:after="0" w:line="240" w:lineRule="auto"/>
              <w:rPr>
                <w:rFonts w:ascii="Calibri" w:eastAsia="Times New Roman" w:hAnsi="Calibri" w:cs="Times New Roman"/>
                <w:b/>
                <w:bCs/>
                <w:noProof w:val="0"/>
                <w:color w:val="000000"/>
                <w:lang w:val="tr-TR" w:eastAsia="tr-TR"/>
              </w:rPr>
            </w:pPr>
            <w:r w:rsidRPr="00DF1DCF">
              <w:rPr>
                <w:rFonts w:ascii="Calibri" w:eastAsia="Times New Roman" w:hAnsi="Calibri" w:cs="Times New Roman"/>
                <w:b/>
                <w:bCs/>
                <w:noProof w:val="0"/>
                <w:color w:val="000000"/>
                <w:lang w:val="tr-TR" w:eastAsia="tr-TR"/>
              </w:rPr>
              <w:t>3.%20'lik dilim</w:t>
            </w:r>
          </w:p>
        </w:tc>
        <w:tc>
          <w:tcPr>
            <w:tcW w:w="1134"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1,2</w:t>
            </w:r>
          </w:p>
        </w:tc>
        <w:tc>
          <w:tcPr>
            <w:tcW w:w="850"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1,9</w:t>
            </w:r>
          </w:p>
        </w:tc>
        <w:tc>
          <w:tcPr>
            <w:tcW w:w="1276"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11,4</w:t>
            </w:r>
          </w:p>
        </w:tc>
        <w:tc>
          <w:tcPr>
            <w:tcW w:w="992"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33,4</w:t>
            </w:r>
          </w:p>
        </w:tc>
        <w:tc>
          <w:tcPr>
            <w:tcW w:w="1559"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10,6</w:t>
            </w:r>
          </w:p>
        </w:tc>
        <w:tc>
          <w:tcPr>
            <w:tcW w:w="1771"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5,6</w:t>
            </w:r>
          </w:p>
        </w:tc>
      </w:tr>
      <w:tr w:rsidR="00D0441D" w:rsidRPr="00DF1DCF" w:rsidTr="00877D3E">
        <w:trPr>
          <w:trHeight w:val="315"/>
        </w:trPr>
        <w:tc>
          <w:tcPr>
            <w:tcW w:w="1560" w:type="dxa"/>
            <w:shd w:val="clear" w:color="auto" w:fill="auto"/>
            <w:noWrap/>
            <w:vAlign w:val="bottom"/>
            <w:hideMark/>
          </w:tcPr>
          <w:p w:rsidR="00D0441D" w:rsidRPr="00DF1DCF" w:rsidRDefault="00D0441D" w:rsidP="00877D3E">
            <w:pPr>
              <w:spacing w:after="0" w:line="240" w:lineRule="auto"/>
              <w:rPr>
                <w:rFonts w:ascii="Calibri" w:eastAsia="Times New Roman" w:hAnsi="Calibri" w:cs="Times New Roman"/>
                <w:b/>
                <w:bCs/>
                <w:noProof w:val="0"/>
                <w:color w:val="000000"/>
                <w:lang w:val="tr-TR" w:eastAsia="tr-TR"/>
              </w:rPr>
            </w:pPr>
            <w:r w:rsidRPr="00DF1DCF">
              <w:rPr>
                <w:rFonts w:ascii="Calibri" w:eastAsia="Times New Roman" w:hAnsi="Calibri" w:cs="Times New Roman"/>
                <w:b/>
                <w:bCs/>
                <w:noProof w:val="0"/>
                <w:color w:val="000000"/>
                <w:lang w:val="tr-TR" w:eastAsia="tr-TR"/>
              </w:rPr>
              <w:t>4.%20'lik dilim</w:t>
            </w:r>
          </w:p>
        </w:tc>
        <w:tc>
          <w:tcPr>
            <w:tcW w:w="1134"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1,4</w:t>
            </w:r>
          </w:p>
        </w:tc>
        <w:tc>
          <w:tcPr>
            <w:tcW w:w="850"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2</w:t>
            </w:r>
          </w:p>
        </w:tc>
        <w:tc>
          <w:tcPr>
            <w:tcW w:w="1276"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14,3</w:t>
            </w:r>
          </w:p>
        </w:tc>
        <w:tc>
          <w:tcPr>
            <w:tcW w:w="992"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37,3</w:t>
            </w:r>
          </w:p>
        </w:tc>
        <w:tc>
          <w:tcPr>
            <w:tcW w:w="1559"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9,9</w:t>
            </w:r>
          </w:p>
        </w:tc>
        <w:tc>
          <w:tcPr>
            <w:tcW w:w="1771"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5,4</w:t>
            </w:r>
          </w:p>
        </w:tc>
      </w:tr>
      <w:tr w:rsidR="00D0441D" w:rsidRPr="00DF1DCF" w:rsidTr="00877D3E">
        <w:trPr>
          <w:trHeight w:val="315"/>
        </w:trPr>
        <w:tc>
          <w:tcPr>
            <w:tcW w:w="1560" w:type="dxa"/>
            <w:shd w:val="clear" w:color="auto" w:fill="auto"/>
            <w:noWrap/>
            <w:vAlign w:val="bottom"/>
            <w:hideMark/>
          </w:tcPr>
          <w:p w:rsidR="00D0441D" w:rsidRPr="00DF1DCF" w:rsidRDefault="00D0441D" w:rsidP="00877D3E">
            <w:pPr>
              <w:spacing w:after="0" w:line="240" w:lineRule="auto"/>
              <w:rPr>
                <w:rFonts w:ascii="Calibri" w:eastAsia="Times New Roman" w:hAnsi="Calibri" w:cs="Times New Roman"/>
                <w:b/>
                <w:bCs/>
                <w:noProof w:val="0"/>
                <w:color w:val="000000"/>
                <w:lang w:val="tr-TR" w:eastAsia="tr-TR"/>
              </w:rPr>
            </w:pPr>
            <w:r w:rsidRPr="00DF1DCF">
              <w:rPr>
                <w:rFonts w:ascii="Calibri" w:eastAsia="Times New Roman" w:hAnsi="Calibri" w:cs="Times New Roman"/>
                <w:b/>
                <w:bCs/>
                <w:noProof w:val="0"/>
                <w:color w:val="000000"/>
                <w:lang w:val="tr-TR" w:eastAsia="tr-TR"/>
              </w:rPr>
              <w:t>5.%20'lik dilim</w:t>
            </w:r>
          </w:p>
        </w:tc>
        <w:tc>
          <w:tcPr>
            <w:tcW w:w="1134"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1,7</w:t>
            </w:r>
          </w:p>
        </w:tc>
        <w:tc>
          <w:tcPr>
            <w:tcW w:w="850"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2,1</w:t>
            </w:r>
          </w:p>
        </w:tc>
        <w:tc>
          <w:tcPr>
            <w:tcW w:w="1276"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18,2</w:t>
            </w:r>
          </w:p>
        </w:tc>
        <w:tc>
          <w:tcPr>
            <w:tcW w:w="992"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42,6</w:t>
            </w:r>
          </w:p>
        </w:tc>
        <w:tc>
          <w:tcPr>
            <w:tcW w:w="1559"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9,4</w:t>
            </w:r>
          </w:p>
        </w:tc>
        <w:tc>
          <w:tcPr>
            <w:tcW w:w="1771"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5</w:t>
            </w:r>
            <w:r w:rsidR="00044CAA">
              <w:rPr>
                <w:rFonts w:ascii="Calibri" w:eastAsia="Times New Roman" w:hAnsi="Calibri" w:cs="Times New Roman"/>
                <w:noProof w:val="0"/>
                <w:color w:val="000000"/>
                <w:lang w:eastAsia="tr-TR"/>
              </w:rPr>
              <w:t>,0</w:t>
            </w:r>
          </w:p>
        </w:tc>
      </w:tr>
      <w:tr w:rsidR="00D0441D" w:rsidRPr="00DF1DCF" w:rsidTr="00877D3E">
        <w:trPr>
          <w:trHeight w:val="315"/>
        </w:trPr>
        <w:tc>
          <w:tcPr>
            <w:tcW w:w="1560" w:type="dxa"/>
            <w:shd w:val="clear" w:color="auto" w:fill="auto"/>
            <w:noWrap/>
            <w:vAlign w:val="bottom"/>
            <w:hideMark/>
          </w:tcPr>
          <w:p w:rsidR="00D0441D" w:rsidRPr="00DF1DCF" w:rsidRDefault="00D0441D" w:rsidP="00877D3E">
            <w:pPr>
              <w:spacing w:after="0" w:line="240" w:lineRule="auto"/>
              <w:rPr>
                <w:rFonts w:ascii="Calibri" w:eastAsia="Times New Roman" w:hAnsi="Calibri" w:cs="Times New Roman"/>
                <w:b/>
                <w:bCs/>
                <w:noProof w:val="0"/>
                <w:color w:val="000000"/>
                <w:lang w:val="tr-TR" w:eastAsia="tr-TR"/>
              </w:rPr>
            </w:pPr>
            <w:r w:rsidRPr="00DF1DCF">
              <w:rPr>
                <w:rFonts w:ascii="Calibri" w:eastAsia="Times New Roman" w:hAnsi="Calibri" w:cs="Times New Roman"/>
                <w:b/>
                <w:bCs/>
                <w:noProof w:val="0"/>
                <w:color w:val="000000"/>
                <w:lang w:val="tr-TR" w:eastAsia="tr-TR"/>
              </w:rPr>
              <w:t>Toplam</w:t>
            </w:r>
          </w:p>
        </w:tc>
        <w:tc>
          <w:tcPr>
            <w:tcW w:w="1134"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1,2</w:t>
            </w:r>
          </w:p>
        </w:tc>
        <w:tc>
          <w:tcPr>
            <w:tcW w:w="850"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1,7</w:t>
            </w:r>
          </w:p>
        </w:tc>
        <w:tc>
          <w:tcPr>
            <w:tcW w:w="1276"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12,1</w:t>
            </w:r>
          </w:p>
        </w:tc>
        <w:tc>
          <w:tcPr>
            <w:tcW w:w="992" w:type="dxa"/>
            <w:shd w:val="clear" w:color="auto" w:fill="auto"/>
            <w:noWrap/>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val="tr-TR" w:eastAsia="tr-TR"/>
              </w:rPr>
              <w:t>32,1</w:t>
            </w:r>
          </w:p>
        </w:tc>
        <w:tc>
          <w:tcPr>
            <w:tcW w:w="1559" w:type="dxa"/>
            <w:shd w:val="clear" w:color="auto" w:fill="auto"/>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10</w:t>
            </w:r>
          </w:p>
        </w:tc>
        <w:tc>
          <w:tcPr>
            <w:tcW w:w="1771" w:type="dxa"/>
            <w:shd w:val="clear" w:color="auto" w:fill="auto"/>
            <w:vAlign w:val="bottom"/>
            <w:hideMark/>
          </w:tcPr>
          <w:p w:rsidR="00D0441D" w:rsidRPr="00DF1DCF" w:rsidRDefault="00D0441D" w:rsidP="00877D3E">
            <w:pPr>
              <w:spacing w:after="0" w:line="240" w:lineRule="auto"/>
              <w:jc w:val="right"/>
              <w:rPr>
                <w:rFonts w:ascii="Calibri" w:eastAsia="Times New Roman" w:hAnsi="Calibri" w:cs="Times New Roman"/>
                <w:noProof w:val="0"/>
                <w:color w:val="000000"/>
                <w:lang w:val="tr-TR" w:eastAsia="tr-TR"/>
              </w:rPr>
            </w:pPr>
            <w:r w:rsidRPr="00DF1DCF">
              <w:rPr>
                <w:rFonts w:ascii="Calibri" w:eastAsia="Times New Roman" w:hAnsi="Calibri" w:cs="Times New Roman"/>
                <w:noProof w:val="0"/>
                <w:color w:val="000000"/>
                <w:lang w:eastAsia="tr-TR"/>
              </w:rPr>
              <w:t>5,4</w:t>
            </w:r>
          </w:p>
        </w:tc>
      </w:tr>
    </w:tbl>
    <w:p w:rsidR="00D0441D" w:rsidRDefault="00D0441D" w:rsidP="00D0441D">
      <w:pPr>
        <w:rPr>
          <w:rFonts w:cs="Arial"/>
          <w:sz w:val="20"/>
          <w:szCs w:val="20"/>
          <w:lang w:val="tr-TR"/>
        </w:rPr>
      </w:pPr>
      <w:r>
        <w:rPr>
          <w:rFonts w:cs="Arial"/>
          <w:sz w:val="20"/>
          <w:szCs w:val="20"/>
          <w:lang w:val="tr-TR"/>
        </w:rPr>
        <w:t>Kaynak: 2005 ve 2014 Hanehalkı Bütçe Anketi kesit mikro verisetleri; Betam hesaplamaları</w:t>
      </w:r>
    </w:p>
    <w:p w:rsidR="00417ABA" w:rsidRPr="0003645A" w:rsidRDefault="0003645A">
      <w:pPr>
        <w:rPr>
          <w:b/>
          <w:sz w:val="24"/>
          <w:szCs w:val="24"/>
          <w:lang w:val="tr-TR"/>
        </w:rPr>
      </w:pPr>
      <w:r w:rsidRPr="00101AC4">
        <w:rPr>
          <w:b/>
          <w:sz w:val="24"/>
          <w:szCs w:val="24"/>
          <w:lang w:val="tr-TR"/>
        </w:rPr>
        <w:t>Sonuç olarak</w:t>
      </w:r>
    </w:p>
    <w:p w:rsidR="004C02F7" w:rsidRDefault="00417ABA">
      <w:pPr>
        <w:rPr>
          <w:lang w:val="tr-TR"/>
        </w:rPr>
        <w:sectPr w:rsidR="004C02F7" w:rsidSect="00133D9F">
          <w:footerReference w:type="default" r:id="rId10"/>
          <w:pgSz w:w="11906" w:h="16838"/>
          <w:pgMar w:top="1417" w:right="1417" w:bottom="1417" w:left="1417" w:header="708" w:footer="708" w:gutter="0"/>
          <w:cols w:space="708"/>
          <w:docGrid w:linePitch="360"/>
        </w:sectPr>
      </w:pPr>
      <w:r w:rsidRPr="00450437">
        <w:rPr>
          <w:lang w:val="tr-TR"/>
        </w:rPr>
        <w:t xml:space="preserve">HBA verileri kullanılarak yapılan analiz </w:t>
      </w:r>
      <w:r w:rsidR="006A54FE" w:rsidRPr="00450437">
        <w:rPr>
          <w:lang w:val="tr-TR"/>
        </w:rPr>
        <w:t>2005</w:t>
      </w:r>
      <w:r w:rsidR="007035F0" w:rsidRPr="00450437">
        <w:rPr>
          <w:lang w:val="tr-TR"/>
        </w:rPr>
        <w:t>-2014 yıll</w:t>
      </w:r>
      <w:r w:rsidR="004C02F7" w:rsidRPr="00450437">
        <w:rPr>
          <w:lang w:val="tr-TR"/>
        </w:rPr>
        <w:t>arı arasında hanehalkı tasarruf oranlarında gözlemlenen düşüşün büyük kısmı</w:t>
      </w:r>
      <w:r w:rsidR="00503A4D" w:rsidRPr="00450437">
        <w:rPr>
          <w:lang w:val="tr-TR"/>
        </w:rPr>
        <w:t>nın</w:t>
      </w:r>
      <w:r w:rsidR="004C02F7" w:rsidRPr="00450437">
        <w:rPr>
          <w:lang w:val="tr-TR"/>
        </w:rPr>
        <w:t xml:space="preserve"> dayanıklı tüketim mallarına yapılan harcamalar</w:t>
      </w:r>
      <w:r w:rsidRPr="00450437">
        <w:rPr>
          <w:lang w:val="tr-TR"/>
        </w:rPr>
        <w:t>daki</w:t>
      </w:r>
      <w:r w:rsidR="00E02AB8" w:rsidRPr="00450437">
        <w:rPr>
          <w:lang w:val="tr-TR"/>
        </w:rPr>
        <w:t xml:space="preserve"> </w:t>
      </w:r>
      <w:r w:rsidRPr="00450437">
        <w:rPr>
          <w:lang w:val="tr-TR"/>
        </w:rPr>
        <w:t xml:space="preserve">artıştan </w:t>
      </w:r>
      <w:r w:rsidR="004C02F7" w:rsidRPr="00450437">
        <w:rPr>
          <w:lang w:val="tr-TR"/>
        </w:rPr>
        <w:t xml:space="preserve">kaynaklandığını ortaya koymaktadır. </w:t>
      </w:r>
      <w:r w:rsidRPr="00450437">
        <w:rPr>
          <w:lang w:val="tr-TR"/>
        </w:rPr>
        <w:t xml:space="preserve">Bu harcamaların üçte </w:t>
      </w:r>
      <w:r w:rsidR="00F4259D">
        <w:rPr>
          <w:lang w:val="tr-TR"/>
        </w:rPr>
        <w:t>ikisinden</w:t>
      </w:r>
      <w:r w:rsidRPr="00450437">
        <w:rPr>
          <w:lang w:val="tr-TR"/>
        </w:rPr>
        <w:t xml:space="preserve"> fazlasını ikinci el otomobil, yeni otomobil ve mobilya harcamaları oluşturmaktadır.</w:t>
      </w:r>
      <w:r>
        <w:rPr>
          <w:lang w:val="tr-TR"/>
        </w:rPr>
        <w:t xml:space="preserve">  </w:t>
      </w:r>
      <w:r w:rsidR="001E63B7" w:rsidRPr="00450437">
        <w:rPr>
          <w:lang w:val="tr-TR"/>
        </w:rPr>
        <w:t xml:space="preserve">Bu üç </w:t>
      </w:r>
      <w:r w:rsidR="00FC4DD2">
        <w:rPr>
          <w:lang w:val="tr-TR"/>
        </w:rPr>
        <w:t xml:space="preserve">harcama grubuna odaklanarak </w:t>
      </w:r>
      <w:r w:rsidR="007E0197" w:rsidRPr="00450437">
        <w:rPr>
          <w:lang w:val="tr-TR"/>
        </w:rPr>
        <w:t xml:space="preserve">yapılan ayrıntılı harcama dökümleri </w:t>
      </w:r>
      <w:r w:rsidR="0003645A" w:rsidRPr="00450437">
        <w:rPr>
          <w:lang w:val="tr-TR"/>
        </w:rPr>
        <w:t xml:space="preserve">genelde artışın </w:t>
      </w:r>
      <w:r w:rsidR="00DA3FD6" w:rsidRPr="00450437">
        <w:rPr>
          <w:lang w:val="tr-TR"/>
        </w:rPr>
        <w:t xml:space="preserve">her bir hanenin yaptığı harcamanın artmasından ziyade daha çok </w:t>
      </w:r>
      <w:r w:rsidR="006A54FE" w:rsidRPr="00450437">
        <w:rPr>
          <w:lang w:val="tr-TR"/>
        </w:rPr>
        <w:t>sayı</w:t>
      </w:r>
      <w:r w:rsidR="00C55BC0" w:rsidRPr="00450437">
        <w:rPr>
          <w:lang w:val="tr-TR"/>
        </w:rPr>
        <w:t xml:space="preserve">da </w:t>
      </w:r>
      <w:r w:rsidR="00DA3FD6" w:rsidRPr="00450437">
        <w:rPr>
          <w:lang w:val="tr-TR"/>
        </w:rPr>
        <w:t>hanenin bu harcamaları yapabilir hale gelmesinden kaynaklandığı</w:t>
      </w:r>
      <w:r w:rsidR="006F213C">
        <w:rPr>
          <w:lang w:val="tr-TR"/>
        </w:rPr>
        <w:t>nı</w:t>
      </w:r>
      <w:r w:rsidR="00DA3FD6" w:rsidRPr="00450437">
        <w:rPr>
          <w:lang w:val="tr-TR"/>
        </w:rPr>
        <w:t xml:space="preserve"> </w:t>
      </w:r>
      <w:r w:rsidR="0003645A" w:rsidRPr="00450437">
        <w:rPr>
          <w:lang w:val="tr-TR"/>
        </w:rPr>
        <w:t>göstermektedir</w:t>
      </w:r>
      <w:r w:rsidR="00E02AB8" w:rsidRPr="00450437">
        <w:rPr>
          <w:lang w:val="tr-TR"/>
        </w:rPr>
        <w:t>.</w:t>
      </w:r>
      <w:r w:rsidR="00DA3FD6">
        <w:rPr>
          <w:lang w:val="tr-TR"/>
        </w:rPr>
        <w:t xml:space="preserve"> </w:t>
      </w:r>
      <w:r w:rsidR="00DA3FD6">
        <w:rPr>
          <w:lang w:val="tr-TR"/>
        </w:rPr>
        <w:lastRenderedPageBreak/>
        <w:t xml:space="preserve">Bu dönem içerisinde gerek </w:t>
      </w:r>
      <w:r w:rsidR="006A73BC">
        <w:rPr>
          <w:lang w:val="tr-TR"/>
        </w:rPr>
        <w:t xml:space="preserve">reel hane </w:t>
      </w:r>
      <w:r w:rsidR="00DA3FD6">
        <w:rPr>
          <w:lang w:val="tr-TR"/>
        </w:rPr>
        <w:t>gelirin</w:t>
      </w:r>
      <w:r w:rsidR="006A73BC">
        <w:rPr>
          <w:lang w:val="tr-TR"/>
        </w:rPr>
        <w:t>in</w:t>
      </w:r>
      <w:r w:rsidR="00DA3FD6">
        <w:rPr>
          <w:lang w:val="tr-TR"/>
        </w:rPr>
        <w:t xml:space="preserve"> yüzde </w:t>
      </w:r>
      <w:r w:rsidR="008171BB">
        <w:rPr>
          <w:lang w:val="tr-TR"/>
        </w:rPr>
        <w:t xml:space="preserve">25 </w:t>
      </w:r>
      <w:r w:rsidR="00DA3FD6">
        <w:rPr>
          <w:lang w:val="tr-TR"/>
        </w:rPr>
        <w:t>artması gerekse ödeme biçimindeki kolaylıklar hanelerin artan gelirlerinden daha fazlasını uzun dönemde tüketebilecekleri dayanıklı tüketim malların</w:t>
      </w:r>
      <w:r w:rsidR="00BB565A">
        <w:rPr>
          <w:lang w:val="tr-TR"/>
        </w:rPr>
        <w:t>a yöneltmesi ile sonuçlanmıştır</w:t>
      </w:r>
      <w:r w:rsidR="00E904EE">
        <w:rPr>
          <w:lang w:val="tr-TR"/>
        </w:rPr>
        <w:t>.</w:t>
      </w:r>
    </w:p>
    <w:p w:rsidR="00054B07" w:rsidRPr="00054B07" w:rsidRDefault="00054B07" w:rsidP="001D0A3E">
      <w:pPr>
        <w:pStyle w:val="Caption"/>
        <w:keepNext/>
        <w:spacing w:after="0"/>
        <w:rPr>
          <w:b/>
          <w:i w:val="0"/>
          <w:color w:val="auto"/>
          <w:sz w:val="22"/>
          <w:szCs w:val="22"/>
        </w:rPr>
      </w:pPr>
      <w:r w:rsidRPr="00054B07">
        <w:rPr>
          <w:b/>
          <w:i w:val="0"/>
          <w:color w:val="auto"/>
          <w:sz w:val="22"/>
          <w:szCs w:val="22"/>
        </w:rPr>
        <w:lastRenderedPageBreak/>
        <w:t xml:space="preserve">Ek </w:t>
      </w:r>
      <w:r w:rsidR="004A2399" w:rsidRPr="00054B07">
        <w:rPr>
          <w:b/>
          <w:i w:val="0"/>
          <w:color w:val="auto"/>
          <w:sz w:val="22"/>
          <w:szCs w:val="22"/>
        </w:rPr>
        <w:fldChar w:fldCharType="begin"/>
      </w:r>
      <w:r w:rsidRPr="00054B07">
        <w:rPr>
          <w:b/>
          <w:i w:val="0"/>
          <w:color w:val="auto"/>
          <w:sz w:val="22"/>
          <w:szCs w:val="22"/>
        </w:rPr>
        <w:instrText xml:space="preserve"> SEQ Ek \* ARABIC </w:instrText>
      </w:r>
      <w:r w:rsidR="004A2399" w:rsidRPr="00054B07">
        <w:rPr>
          <w:b/>
          <w:i w:val="0"/>
          <w:color w:val="auto"/>
          <w:sz w:val="22"/>
          <w:szCs w:val="22"/>
        </w:rPr>
        <w:fldChar w:fldCharType="separate"/>
      </w:r>
      <w:r w:rsidR="00262893">
        <w:rPr>
          <w:b/>
          <w:i w:val="0"/>
          <w:color w:val="auto"/>
          <w:sz w:val="22"/>
          <w:szCs w:val="22"/>
        </w:rPr>
        <w:t>1</w:t>
      </w:r>
      <w:r w:rsidR="004A2399" w:rsidRPr="00054B07">
        <w:rPr>
          <w:b/>
          <w:i w:val="0"/>
          <w:color w:val="auto"/>
          <w:sz w:val="22"/>
          <w:szCs w:val="22"/>
        </w:rPr>
        <w:fldChar w:fldCharType="end"/>
      </w:r>
      <w:r w:rsidRPr="00054B07">
        <w:rPr>
          <w:b/>
          <w:i w:val="0"/>
          <w:color w:val="auto"/>
          <w:sz w:val="22"/>
          <w:szCs w:val="22"/>
        </w:rPr>
        <w:t xml:space="preserve"> </w:t>
      </w:r>
      <w:r w:rsidR="00101AC4">
        <w:rPr>
          <w:b/>
          <w:i w:val="0"/>
          <w:color w:val="auto"/>
          <w:sz w:val="22"/>
          <w:szCs w:val="22"/>
        </w:rPr>
        <w:t xml:space="preserve">İkinci </w:t>
      </w:r>
      <w:r>
        <w:rPr>
          <w:b/>
          <w:i w:val="0"/>
          <w:color w:val="auto"/>
          <w:sz w:val="22"/>
          <w:szCs w:val="22"/>
        </w:rPr>
        <w:t>el otomobil harcaması/hane harcaması (tüm haneler), (%)</w:t>
      </w:r>
    </w:p>
    <w:tbl>
      <w:tblPr>
        <w:tblStyle w:val="NormalTablo1"/>
        <w:tblW w:w="0" w:type="auto"/>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587"/>
        <w:gridCol w:w="1468"/>
        <w:gridCol w:w="1468"/>
        <w:gridCol w:w="1468"/>
        <w:gridCol w:w="1468"/>
        <w:gridCol w:w="1468"/>
        <w:gridCol w:w="827"/>
      </w:tblGrid>
      <w:tr w:rsidR="00054B07" w:rsidTr="00054B07">
        <w:trPr>
          <w:trHeight w:val="300"/>
        </w:trPr>
        <w:tc>
          <w:tcPr>
            <w:tcW w:w="0" w:type="auto"/>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rPr>
                <w:rFonts w:cs="Times New Roman"/>
                <w:noProof w:val="0"/>
                <w:lang w:val="tr-TR"/>
              </w:rPr>
            </w:pP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409BD"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1.</w:t>
            </w:r>
            <w:r w:rsidR="00054B07">
              <w:rPr>
                <w:rFonts w:ascii="Calibri" w:eastAsia="Times New Roman" w:hAnsi="Calibri" w:cs="Times New Roman"/>
                <w:b/>
                <w:noProof w:val="0"/>
                <w:color w:val="000000"/>
                <w:lang w:val="tr-TR" w:eastAsia="tr-TR"/>
              </w:rPr>
              <w:t>%20'lik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3.%20'lik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4.%20'lik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5.%20'lik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Toplam</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0,3</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0,4</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0,6</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1,5</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1,7</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2,2</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2,6</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3,0</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3,0</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2014</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1,8</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2,3</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3,4</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4,2</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4,0</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3,2</w:t>
            </w:r>
          </w:p>
        </w:tc>
      </w:tr>
    </w:tbl>
    <w:p w:rsidR="00054B07" w:rsidRPr="00054B07" w:rsidRDefault="00054B07" w:rsidP="001D0A3E">
      <w:pPr>
        <w:pStyle w:val="Caption"/>
        <w:keepNext/>
        <w:spacing w:after="0"/>
        <w:rPr>
          <w:i w:val="0"/>
          <w:color w:val="auto"/>
          <w:sz w:val="22"/>
          <w:szCs w:val="22"/>
        </w:rPr>
      </w:pPr>
      <w:r>
        <w:rPr>
          <w:rFonts w:cs="Arial"/>
          <w:i w:val="0"/>
          <w:color w:val="auto"/>
          <w:sz w:val="20"/>
          <w:szCs w:val="20"/>
          <w:lang w:val="tr-TR"/>
        </w:rPr>
        <w:t>Kaynak: 2005-2014 Hanehalkı Bütçe Anketi kesit mikro verisetleri; Betam hesaplamaları</w:t>
      </w:r>
    </w:p>
    <w:p w:rsidR="00376286" w:rsidRDefault="00376286" w:rsidP="001D0A3E">
      <w:pPr>
        <w:pStyle w:val="Caption"/>
        <w:keepNext/>
        <w:spacing w:after="0"/>
        <w:rPr>
          <w:b/>
          <w:i w:val="0"/>
          <w:color w:val="auto"/>
          <w:sz w:val="22"/>
          <w:szCs w:val="22"/>
        </w:rPr>
      </w:pPr>
    </w:p>
    <w:p w:rsidR="00054B07" w:rsidRPr="00054B07" w:rsidRDefault="00054B07" w:rsidP="001D0A3E">
      <w:pPr>
        <w:pStyle w:val="Caption"/>
        <w:keepNext/>
        <w:spacing w:after="0"/>
        <w:rPr>
          <w:b/>
          <w:i w:val="0"/>
          <w:color w:val="auto"/>
          <w:sz w:val="22"/>
          <w:szCs w:val="22"/>
        </w:rPr>
      </w:pPr>
      <w:r w:rsidRPr="00054B07">
        <w:rPr>
          <w:b/>
          <w:i w:val="0"/>
          <w:color w:val="auto"/>
          <w:sz w:val="22"/>
          <w:szCs w:val="22"/>
        </w:rPr>
        <w:t xml:space="preserve">Ek </w:t>
      </w:r>
      <w:r w:rsidR="004A2399" w:rsidRPr="00054B07">
        <w:rPr>
          <w:b/>
          <w:i w:val="0"/>
          <w:color w:val="auto"/>
          <w:sz w:val="22"/>
          <w:szCs w:val="22"/>
        </w:rPr>
        <w:fldChar w:fldCharType="begin"/>
      </w:r>
      <w:r w:rsidRPr="00054B07">
        <w:rPr>
          <w:b/>
          <w:i w:val="0"/>
          <w:color w:val="auto"/>
          <w:sz w:val="22"/>
          <w:szCs w:val="22"/>
        </w:rPr>
        <w:instrText xml:space="preserve"> SEQ Ek \* ARABIC </w:instrText>
      </w:r>
      <w:r w:rsidR="004A2399" w:rsidRPr="00054B07">
        <w:rPr>
          <w:b/>
          <w:i w:val="0"/>
          <w:color w:val="auto"/>
          <w:sz w:val="22"/>
          <w:szCs w:val="22"/>
        </w:rPr>
        <w:fldChar w:fldCharType="separate"/>
      </w:r>
      <w:r w:rsidR="00262893">
        <w:rPr>
          <w:b/>
          <w:i w:val="0"/>
          <w:color w:val="auto"/>
          <w:sz w:val="22"/>
          <w:szCs w:val="22"/>
        </w:rPr>
        <w:t>2</w:t>
      </w:r>
      <w:r w:rsidR="004A2399" w:rsidRPr="00054B07">
        <w:rPr>
          <w:b/>
          <w:i w:val="0"/>
          <w:color w:val="auto"/>
          <w:sz w:val="22"/>
          <w:szCs w:val="22"/>
        </w:rPr>
        <w:fldChar w:fldCharType="end"/>
      </w:r>
      <w:r w:rsidRPr="00054B07">
        <w:rPr>
          <w:b/>
          <w:i w:val="0"/>
          <w:color w:val="auto"/>
          <w:sz w:val="22"/>
          <w:szCs w:val="22"/>
        </w:rPr>
        <w:t xml:space="preserve"> </w:t>
      </w:r>
      <w:r>
        <w:rPr>
          <w:b/>
          <w:i w:val="0"/>
          <w:color w:val="auto"/>
          <w:sz w:val="22"/>
          <w:szCs w:val="22"/>
        </w:rPr>
        <w:t>İkinci el otomobil alanların yüzde 20’lik gelir gruplarının içindeki payları, (%)</w:t>
      </w:r>
    </w:p>
    <w:tbl>
      <w:tblPr>
        <w:tblStyle w:val="NormalTablo1"/>
        <w:tblW w:w="0" w:type="auto"/>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587"/>
        <w:gridCol w:w="1468"/>
        <w:gridCol w:w="1468"/>
        <w:gridCol w:w="1468"/>
        <w:gridCol w:w="1468"/>
        <w:gridCol w:w="1468"/>
        <w:gridCol w:w="827"/>
      </w:tblGrid>
      <w:tr w:rsidR="00054B07" w:rsidTr="00054B07">
        <w:trPr>
          <w:trHeight w:val="300"/>
        </w:trPr>
        <w:tc>
          <w:tcPr>
            <w:tcW w:w="0" w:type="auto"/>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rPr>
                <w:rFonts w:cs="Times New Roman"/>
                <w:noProof w:val="0"/>
                <w:lang w:val="tr-TR"/>
              </w:rPr>
            </w:pP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409BD"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1.</w:t>
            </w:r>
            <w:r w:rsidR="00054B07">
              <w:rPr>
                <w:rFonts w:ascii="Calibri" w:eastAsia="Times New Roman" w:hAnsi="Calibri" w:cs="Times New Roman"/>
                <w:b/>
                <w:noProof w:val="0"/>
                <w:color w:val="000000"/>
                <w:lang w:val="tr-TR" w:eastAsia="tr-TR"/>
              </w:rPr>
              <w:t>%20'lik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3.%20'lik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4.%20'lik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5.%20'lik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Toplam</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0,9</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1,4</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4,1</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8,7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5,2</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7,1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9,1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9,7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6,5</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8,4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7,8</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7,1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8,7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8,7</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8,8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12,0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8,7</w:t>
            </w:r>
          </w:p>
        </w:tc>
      </w:tr>
      <w:tr w:rsidR="00054B07" w:rsidTr="00054B07">
        <w:trPr>
          <w:trHeight w:val="300"/>
        </w:trPr>
        <w:tc>
          <w:tcPr>
            <w:tcW w:w="0" w:type="auto"/>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2014</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5,1</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6,9</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9,6</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11,8</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10,6</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9,0</w:t>
            </w:r>
          </w:p>
        </w:tc>
      </w:tr>
    </w:tbl>
    <w:p w:rsidR="00054B07" w:rsidRPr="00054B07" w:rsidRDefault="00054B07" w:rsidP="00054B07">
      <w:pPr>
        <w:pStyle w:val="Caption"/>
        <w:keepNext/>
        <w:rPr>
          <w:i w:val="0"/>
          <w:color w:val="auto"/>
          <w:sz w:val="22"/>
          <w:szCs w:val="22"/>
        </w:rPr>
      </w:pPr>
      <w:r>
        <w:rPr>
          <w:rFonts w:cs="Arial"/>
          <w:i w:val="0"/>
          <w:color w:val="auto"/>
          <w:sz w:val="20"/>
          <w:szCs w:val="20"/>
          <w:lang w:val="tr-TR"/>
        </w:rPr>
        <w:t>Kaynak: 2005-2014 Hanehalkı Bütçe Anketi kesit mikro verisetleri; Betam hesaplamaları</w:t>
      </w:r>
    </w:p>
    <w:p w:rsidR="00054B07" w:rsidRPr="00054B07" w:rsidRDefault="00054B07" w:rsidP="001D0A3E">
      <w:pPr>
        <w:spacing w:after="0"/>
        <w:rPr>
          <w:b/>
          <w:lang w:val="tr-TR"/>
        </w:rPr>
      </w:pPr>
      <w:r w:rsidRPr="00054B07">
        <w:rPr>
          <w:b/>
          <w:lang w:val="tr-TR"/>
        </w:rPr>
        <w:t xml:space="preserve">Ek </w:t>
      </w:r>
      <w:r w:rsidR="004A2399" w:rsidRPr="00054B07">
        <w:rPr>
          <w:b/>
          <w:lang w:val="tr-TR"/>
        </w:rPr>
        <w:fldChar w:fldCharType="begin"/>
      </w:r>
      <w:r w:rsidRPr="00054B07">
        <w:rPr>
          <w:b/>
          <w:lang w:val="tr-TR"/>
        </w:rPr>
        <w:instrText xml:space="preserve"> SEQ Ek \* ARABIC </w:instrText>
      </w:r>
      <w:r w:rsidR="004A2399" w:rsidRPr="00054B07">
        <w:rPr>
          <w:b/>
          <w:lang w:val="tr-TR"/>
        </w:rPr>
        <w:fldChar w:fldCharType="separate"/>
      </w:r>
      <w:r w:rsidR="00262893">
        <w:rPr>
          <w:b/>
          <w:lang w:val="tr-TR"/>
        </w:rPr>
        <w:t>3</w:t>
      </w:r>
      <w:r w:rsidR="004A2399" w:rsidRPr="00054B07">
        <w:rPr>
          <w:b/>
          <w:lang w:val="tr-TR"/>
        </w:rPr>
        <w:fldChar w:fldCharType="end"/>
      </w:r>
      <w:r w:rsidRPr="00054B07">
        <w:rPr>
          <w:b/>
          <w:lang w:val="tr-TR"/>
        </w:rPr>
        <w:t xml:space="preserve"> </w:t>
      </w:r>
      <w:r>
        <w:rPr>
          <w:b/>
          <w:lang w:val="tr-TR"/>
        </w:rPr>
        <w:t>İkinci el otomobil harcaması/hane harcaması (satın alanlar), (%)</w:t>
      </w:r>
    </w:p>
    <w:tbl>
      <w:tblPr>
        <w:tblStyle w:val="NormalTablo1"/>
        <w:tblW w:w="0" w:type="auto"/>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587"/>
        <w:gridCol w:w="1468"/>
        <w:gridCol w:w="1468"/>
        <w:gridCol w:w="1468"/>
        <w:gridCol w:w="1468"/>
        <w:gridCol w:w="1468"/>
        <w:gridCol w:w="827"/>
      </w:tblGrid>
      <w:tr w:rsidR="00054B07" w:rsidTr="00054B07">
        <w:trPr>
          <w:trHeight w:val="304"/>
        </w:trPr>
        <w:tc>
          <w:tcPr>
            <w:tcW w:w="0" w:type="auto"/>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rPr>
                <w:rFonts w:cs="Times New Roman"/>
                <w:noProof w:val="0"/>
                <w:lang w:val="tr-TR"/>
              </w:rPr>
            </w:pP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 xml:space="preserve">1.%20'lik dilim  </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 xml:space="preserve">2.%20'lik dilim  </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 xml:space="preserve">3.%20'lik dilim  </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 xml:space="preserve">4.%20'lik dilim  </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 xml:space="preserve">5.%20'lik dilim    </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054B07" w:rsidRDefault="00054B07" w:rsidP="001D0A3E">
            <w:pPr>
              <w:spacing w:after="0" w:line="240" w:lineRule="auto"/>
              <w:jc w:val="right"/>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Toplam</w:t>
            </w:r>
          </w:p>
        </w:tc>
      </w:tr>
      <w:tr w:rsidR="00054B07" w:rsidTr="00054B07">
        <w:trPr>
          <w:trHeight w:val="304"/>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rPr>
              <w:t>0,0 </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42,3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44,6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38,8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37,6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054B07" w:rsidRDefault="00054B07" w:rsidP="001D0A3E">
            <w:pPr>
              <w:spacing w:after="0" w:line="240" w:lineRule="auto"/>
              <w:jc w:val="right"/>
              <w:rPr>
                <w:rFonts w:ascii="Calibri" w:hAnsi="Calibri"/>
                <w:color w:val="000000"/>
              </w:rPr>
            </w:pPr>
            <w:r>
              <w:rPr>
                <w:rFonts w:ascii="Calibri" w:hAnsi="Calibri"/>
                <w:color w:val="000000"/>
              </w:rPr>
              <w:t>39,4</w:t>
            </w:r>
          </w:p>
        </w:tc>
      </w:tr>
      <w:tr w:rsidR="00054B07" w:rsidTr="00054B07">
        <w:trPr>
          <w:trHeight w:val="304"/>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30,4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37,4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36,5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38,3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43,4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054B07" w:rsidRDefault="00054B07" w:rsidP="001D0A3E">
            <w:pPr>
              <w:spacing w:after="0" w:line="240" w:lineRule="auto"/>
              <w:jc w:val="right"/>
              <w:rPr>
                <w:rFonts w:ascii="Calibri" w:hAnsi="Calibri"/>
                <w:color w:val="000000"/>
              </w:rPr>
            </w:pPr>
            <w:r>
              <w:rPr>
                <w:rFonts w:ascii="Calibri" w:hAnsi="Calibri"/>
                <w:color w:val="000000"/>
              </w:rPr>
              <w:t>39,9</w:t>
            </w:r>
          </w:p>
        </w:tc>
      </w:tr>
      <w:tr w:rsidR="00054B07" w:rsidTr="00054B07">
        <w:trPr>
          <w:trHeight w:val="304"/>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41,5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48,0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48,1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41,5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43,4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054B07" w:rsidRDefault="00054B07" w:rsidP="001D0A3E">
            <w:pPr>
              <w:spacing w:after="0" w:line="240" w:lineRule="auto"/>
              <w:jc w:val="right"/>
              <w:rPr>
                <w:rFonts w:ascii="Calibri" w:hAnsi="Calibri"/>
                <w:color w:val="000000"/>
              </w:rPr>
            </w:pPr>
            <w:r>
              <w:rPr>
                <w:rFonts w:ascii="Calibri" w:hAnsi="Calibri"/>
                <w:color w:val="000000"/>
              </w:rPr>
              <w:t>44,5</w:t>
            </w:r>
          </w:p>
        </w:tc>
      </w:tr>
      <w:tr w:rsidR="00054B07" w:rsidTr="00054B07">
        <w:trPr>
          <w:trHeight w:val="304"/>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37,9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35,9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36,1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35,7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35,8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054B07" w:rsidRDefault="00054B07" w:rsidP="001D0A3E">
            <w:pPr>
              <w:spacing w:after="0" w:line="240" w:lineRule="auto"/>
              <w:jc w:val="right"/>
              <w:rPr>
                <w:rFonts w:ascii="Calibri" w:hAnsi="Calibri"/>
                <w:color w:val="000000"/>
              </w:rPr>
            </w:pPr>
            <w:r>
              <w:rPr>
                <w:rFonts w:ascii="Calibri" w:hAnsi="Calibri"/>
                <w:color w:val="000000"/>
              </w:rPr>
              <w:t>36,0</w:t>
            </w:r>
          </w:p>
        </w:tc>
      </w:tr>
      <w:tr w:rsidR="00054B07" w:rsidTr="00054B07">
        <w:trPr>
          <w:trHeight w:val="304"/>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28,3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34,9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31,4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32,3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35,2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054B07" w:rsidRDefault="00054B07" w:rsidP="001D0A3E">
            <w:pPr>
              <w:spacing w:after="0" w:line="240" w:lineRule="auto"/>
              <w:jc w:val="right"/>
              <w:rPr>
                <w:rFonts w:ascii="Calibri" w:hAnsi="Calibri"/>
                <w:color w:val="000000"/>
              </w:rPr>
            </w:pPr>
            <w:r>
              <w:rPr>
                <w:rFonts w:ascii="Calibri" w:hAnsi="Calibri"/>
                <w:color w:val="000000"/>
              </w:rPr>
              <w:t>33,3</w:t>
            </w:r>
          </w:p>
        </w:tc>
      </w:tr>
      <w:tr w:rsidR="00054B07" w:rsidTr="00054B07">
        <w:trPr>
          <w:trHeight w:val="304"/>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30,6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32,6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33,5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32,6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34,3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054B07" w:rsidRDefault="00054B07" w:rsidP="001D0A3E">
            <w:pPr>
              <w:spacing w:after="0" w:line="240" w:lineRule="auto"/>
              <w:jc w:val="right"/>
              <w:rPr>
                <w:rFonts w:ascii="Calibri" w:hAnsi="Calibri"/>
                <w:color w:val="000000"/>
              </w:rPr>
            </w:pPr>
            <w:r>
              <w:rPr>
                <w:rFonts w:ascii="Calibri" w:hAnsi="Calibri"/>
                <w:color w:val="000000"/>
              </w:rPr>
              <w:t>33,2</w:t>
            </w:r>
          </w:p>
        </w:tc>
      </w:tr>
      <w:tr w:rsidR="00054B07" w:rsidTr="00054B07">
        <w:trPr>
          <w:trHeight w:val="304"/>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31,4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34,7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33,9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33,7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33,6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054B07" w:rsidRDefault="00054B07" w:rsidP="001D0A3E">
            <w:pPr>
              <w:spacing w:after="0" w:line="240" w:lineRule="auto"/>
              <w:jc w:val="right"/>
              <w:rPr>
                <w:rFonts w:ascii="Calibri" w:hAnsi="Calibri"/>
                <w:color w:val="000000"/>
              </w:rPr>
            </w:pPr>
            <w:r>
              <w:rPr>
                <w:rFonts w:ascii="Calibri" w:hAnsi="Calibri"/>
                <w:color w:val="000000"/>
              </w:rPr>
              <w:t>33,7</w:t>
            </w:r>
          </w:p>
        </w:tc>
      </w:tr>
      <w:tr w:rsidR="00054B07" w:rsidTr="00054B07">
        <w:trPr>
          <w:trHeight w:val="304"/>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37,9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32,5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35,0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34,3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34,9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054B07" w:rsidRDefault="00054B07" w:rsidP="001D0A3E">
            <w:pPr>
              <w:spacing w:after="0" w:line="240" w:lineRule="auto"/>
              <w:jc w:val="right"/>
              <w:rPr>
                <w:rFonts w:ascii="Calibri" w:hAnsi="Calibri"/>
                <w:color w:val="000000"/>
              </w:rPr>
            </w:pPr>
            <w:r>
              <w:rPr>
                <w:rFonts w:ascii="Calibri" w:hAnsi="Calibri"/>
                <w:color w:val="000000"/>
              </w:rPr>
              <w:t>34,6</w:t>
            </w:r>
          </w:p>
        </w:tc>
      </w:tr>
      <w:tr w:rsidR="00054B07" w:rsidTr="00054B07">
        <w:trPr>
          <w:trHeight w:val="304"/>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34,9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31,4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36,0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35,1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32,6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054B07" w:rsidRDefault="00054B07" w:rsidP="001D0A3E">
            <w:pPr>
              <w:spacing w:after="0" w:line="240" w:lineRule="auto"/>
              <w:jc w:val="right"/>
              <w:rPr>
                <w:rFonts w:ascii="Calibri" w:hAnsi="Calibri"/>
                <w:color w:val="000000"/>
              </w:rPr>
            </w:pPr>
            <w:r>
              <w:rPr>
                <w:rFonts w:ascii="Calibri" w:hAnsi="Calibri"/>
                <w:color w:val="000000"/>
              </w:rPr>
              <w:t>34,0</w:t>
            </w:r>
          </w:p>
        </w:tc>
      </w:tr>
      <w:tr w:rsidR="00054B07" w:rsidTr="00054B07">
        <w:trPr>
          <w:trHeight w:val="304"/>
        </w:trPr>
        <w:tc>
          <w:tcPr>
            <w:tcW w:w="0" w:type="auto"/>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2014</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36,1</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34,0</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35,6</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35,2</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054B07" w:rsidRDefault="00054B07"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38,0</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hideMark/>
          </w:tcPr>
          <w:p w:rsidR="00054B07" w:rsidRDefault="00054B07" w:rsidP="001D0A3E">
            <w:pPr>
              <w:spacing w:after="0" w:line="240" w:lineRule="auto"/>
              <w:jc w:val="right"/>
              <w:rPr>
                <w:rFonts w:ascii="Calibri" w:hAnsi="Calibri"/>
                <w:color w:val="000000"/>
              </w:rPr>
            </w:pPr>
            <w:r>
              <w:rPr>
                <w:rFonts w:ascii="Calibri" w:hAnsi="Calibri"/>
                <w:color w:val="000000"/>
              </w:rPr>
              <w:t>36,0</w:t>
            </w:r>
          </w:p>
        </w:tc>
      </w:tr>
    </w:tbl>
    <w:p w:rsidR="00054B07" w:rsidRDefault="00054B07" w:rsidP="00054B07">
      <w:pPr>
        <w:pStyle w:val="Caption"/>
        <w:keepNext/>
        <w:rPr>
          <w:i w:val="0"/>
          <w:color w:val="auto"/>
          <w:sz w:val="22"/>
          <w:szCs w:val="22"/>
        </w:rPr>
      </w:pPr>
      <w:r>
        <w:rPr>
          <w:rFonts w:cs="Arial"/>
          <w:i w:val="0"/>
          <w:color w:val="auto"/>
          <w:sz w:val="20"/>
          <w:szCs w:val="20"/>
          <w:lang w:val="tr-TR"/>
        </w:rPr>
        <w:t>Kaynak: 2005-2014 Hanehalkı Bütçe Anketi kesit mikro verisetleri; Betam hesaplamaları</w:t>
      </w:r>
    </w:p>
    <w:p w:rsidR="00054B07" w:rsidRDefault="00054B07">
      <w:r>
        <w:br w:type="page"/>
      </w:r>
    </w:p>
    <w:p w:rsidR="0045752A" w:rsidRPr="0045752A" w:rsidRDefault="0045752A" w:rsidP="001D0A3E">
      <w:pPr>
        <w:pStyle w:val="Caption"/>
        <w:keepNext/>
        <w:spacing w:after="0"/>
        <w:rPr>
          <w:b/>
          <w:i w:val="0"/>
          <w:iCs w:val="0"/>
          <w:color w:val="auto"/>
          <w:sz w:val="22"/>
          <w:szCs w:val="22"/>
          <w:lang w:val="tr-TR"/>
        </w:rPr>
      </w:pPr>
      <w:r w:rsidRPr="0045752A">
        <w:rPr>
          <w:b/>
          <w:i w:val="0"/>
          <w:iCs w:val="0"/>
          <w:color w:val="auto"/>
          <w:sz w:val="22"/>
          <w:szCs w:val="22"/>
          <w:lang w:val="tr-TR"/>
        </w:rPr>
        <w:lastRenderedPageBreak/>
        <w:t xml:space="preserve">Ek </w:t>
      </w:r>
      <w:r w:rsidR="004A2399" w:rsidRPr="0045752A">
        <w:rPr>
          <w:b/>
          <w:i w:val="0"/>
          <w:iCs w:val="0"/>
          <w:color w:val="auto"/>
          <w:sz w:val="22"/>
          <w:szCs w:val="22"/>
          <w:lang w:val="tr-TR"/>
        </w:rPr>
        <w:fldChar w:fldCharType="begin"/>
      </w:r>
      <w:r w:rsidRPr="0045752A">
        <w:rPr>
          <w:b/>
          <w:i w:val="0"/>
          <w:iCs w:val="0"/>
          <w:color w:val="auto"/>
          <w:sz w:val="22"/>
          <w:szCs w:val="22"/>
          <w:lang w:val="tr-TR"/>
        </w:rPr>
        <w:instrText xml:space="preserve"> SEQ Ek \* ARABIC </w:instrText>
      </w:r>
      <w:r w:rsidR="004A2399" w:rsidRPr="0045752A">
        <w:rPr>
          <w:b/>
          <w:i w:val="0"/>
          <w:iCs w:val="0"/>
          <w:color w:val="auto"/>
          <w:sz w:val="22"/>
          <w:szCs w:val="22"/>
          <w:lang w:val="tr-TR"/>
        </w:rPr>
        <w:fldChar w:fldCharType="separate"/>
      </w:r>
      <w:r w:rsidR="00262893">
        <w:rPr>
          <w:b/>
          <w:i w:val="0"/>
          <w:iCs w:val="0"/>
          <w:color w:val="auto"/>
          <w:sz w:val="22"/>
          <w:szCs w:val="22"/>
          <w:lang w:val="tr-TR"/>
        </w:rPr>
        <w:t>4</w:t>
      </w:r>
      <w:r w:rsidR="004A2399" w:rsidRPr="0045752A">
        <w:rPr>
          <w:b/>
          <w:i w:val="0"/>
          <w:iCs w:val="0"/>
          <w:color w:val="auto"/>
          <w:sz w:val="22"/>
          <w:szCs w:val="22"/>
          <w:lang w:val="tr-TR"/>
        </w:rPr>
        <w:fldChar w:fldCharType="end"/>
      </w:r>
      <w:r w:rsidRPr="0045752A">
        <w:rPr>
          <w:b/>
          <w:i w:val="0"/>
          <w:iCs w:val="0"/>
          <w:color w:val="auto"/>
          <w:sz w:val="22"/>
          <w:szCs w:val="22"/>
          <w:lang w:val="tr-TR"/>
        </w:rPr>
        <w:t xml:space="preserve"> Yeni otomobil harcaması/hane harcaması (tüm haneler)</w:t>
      </w:r>
      <w:r w:rsidR="00BC0040">
        <w:rPr>
          <w:b/>
          <w:i w:val="0"/>
          <w:iCs w:val="0"/>
          <w:color w:val="auto"/>
          <w:sz w:val="22"/>
          <w:szCs w:val="22"/>
          <w:lang w:val="tr-TR"/>
        </w:rPr>
        <w:t>, (%)</w:t>
      </w:r>
    </w:p>
    <w:tbl>
      <w:tblPr>
        <w:tblStyle w:val="NormalTablo1"/>
        <w:tblW w:w="0" w:type="auto"/>
        <w:tblInd w:w="7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left w:w="70" w:type="dxa"/>
          <w:right w:w="70" w:type="dxa"/>
        </w:tblCellMar>
        <w:tblLook w:val="04A0" w:firstRow="1" w:lastRow="0" w:firstColumn="1" w:lastColumn="0" w:noHBand="0" w:noVBand="1"/>
      </w:tblPr>
      <w:tblGrid>
        <w:gridCol w:w="587"/>
        <w:gridCol w:w="1468"/>
        <w:gridCol w:w="1468"/>
        <w:gridCol w:w="1468"/>
        <w:gridCol w:w="1468"/>
        <w:gridCol w:w="1468"/>
        <w:gridCol w:w="827"/>
      </w:tblGrid>
      <w:tr w:rsidR="0045752A" w:rsidTr="00E543DB">
        <w:trPr>
          <w:trHeight w:val="375"/>
        </w:trPr>
        <w:tc>
          <w:tcPr>
            <w:tcW w:w="0" w:type="auto"/>
            <w:tcBorders>
              <w:top w:val="single" w:sz="4" w:space="0" w:color="F2F2F2" w:themeColor="background1" w:themeShade="F2"/>
              <w:left w:val="single" w:sz="4"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rPr>
                <w:rFonts w:cs="Times New Roman"/>
                <w:noProof w:val="0"/>
                <w:lang w:val="tr-TR"/>
              </w:rPr>
            </w:pPr>
          </w:p>
        </w:tc>
        <w:tc>
          <w:tcPr>
            <w:tcW w:w="0" w:type="auto"/>
            <w:tcBorders>
              <w:top w:val="single" w:sz="4"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0409BD"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1.</w:t>
            </w:r>
            <w:r w:rsidR="0045752A">
              <w:rPr>
                <w:rFonts w:ascii="Calibri" w:eastAsia="Times New Roman" w:hAnsi="Calibri" w:cs="Times New Roman"/>
                <w:b/>
                <w:noProof w:val="0"/>
                <w:color w:val="000000"/>
                <w:lang w:val="tr-TR" w:eastAsia="tr-TR"/>
              </w:rPr>
              <w:t>%20'lik dilim</w:t>
            </w:r>
          </w:p>
        </w:tc>
        <w:tc>
          <w:tcPr>
            <w:tcW w:w="0" w:type="auto"/>
            <w:tcBorders>
              <w:top w:val="single" w:sz="4"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2.%20'lik dilim</w:t>
            </w:r>
          </w:p>
        </w:tc>
        <w:tc>
          <w:tcPr>
            <w:tcW w:w="0" w:type="auto"/>
            <w:tcBorders>
              <w:top w:val="single" w:sz="4"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3.%20'lik dilim</w:t>
            </w:r>
          </w:p>
        </w:tc>
        <w:tc>
          <w:tcPr>
            <w:tcW w:w="0" w:type="auto"/>
            <w:tcBorders>
              <w:top w:val="single" w:sz="4"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4.%20'lik dilim</w:t>
            </w:r>
          </w:p>
        </w:tc>
        <w:tc>
          <w:tcPr>
            <w:tcW w:w="0" w:type="auto"/>
            <w:tcBorders>
              <w:top w:val="single" w:sz="4"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5.%20'lik dilim</w:t>
            </w:r>
          </w:p>
        </w:tc>
        <w:tc>
          <w:tcPr>
            <w:tcW w:w="0" w:type="auto"/>
            <w:tcBorders>
              <w:top w:val="single" w:sz="4" w:space="0" w:color="F2F2F2" w:themeColor="background1" w:themeShade="F2"/>
              <w:left w:val="single" w:sz="6" w:space="0" w:color="F2F2F2" w:themeColor="background1" w:themeShade="F2"/>
              <w:bottom w:val="single" w:sz="6" w:space="0" w:color="F2F2F2" w:themeColor="background1" w:themeShade="F2"/>
              <w:right w:val="single" w:sz="4"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Toplam</w:t>
            </w:r>
          </w:p>
        </w:tc>
      </w:tr>
      <w:tr w:rsidR="0045752A" w:rsidTr="00E543DB">
        <w:trPr>
          <w:trHeight w:val="300"/>
        </w:trPr>
        <w:tc>
          <w:tcPr>
            <w:tcW w:w="0" w:type="auto"/>
            <w:tcBorders>
              <w:top w:val="single" w:sz="6" w:space="0" w:color="F2F2F2" w:themeColor="background1" w:themeShade="F2"/>
              <w:left w:val="single" w:sz="4"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2005</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4"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r>
      <w:tr w:rsidR="0045752A" w:rsidTr="00E543DB">
        <w:trPr>
          <w:trHeight w:val="300"/>
        </w:trPr>
        <w:tc>
          <w:tcPr>
            <w:tcW w:w="0" w:type="auto"/>
            <w:tcBorders>
              <w:top w:val="single" w:sz="6" w:space="0" w:color="F2F2F2" w:themeColor="background1" w:themeShade="F2"/>
              <w:left w:val="single" w:sz="4"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2006</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4"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r>
      <w:tr w:rsidR="0045752A" w:rsidTr="00E543DB">
        <w:trPr>
          <w:trHeight w:val="300"/>
        </w:trPr>
        <w:tc>
          <w:tcPr>
            <w:tcW w:w="0" w:type="auto"/>
            <w:tcBorders>
              <w:top w:val="single" w:sz="6" w:space="0" w:color="F2F2F2" w:themeColor="background1" w:themeShade="F2"/>
              <w:left w:val="single" w:sz="4"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2007</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4"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r>
      <w:tr w:rsidR="0045752A" w:rsidTr="00E543DB">
        <w:trPr>
          <w:trHeight w:val="300"/>
        </w:trPr>
        <w:tc>
          <w:tcPr>
            <w:tcW w:w="0" w:type="auto"/>
            <w:tcBorders>
              <w:top w:val="single" w:sz="6" w:space="0" w:color="F2F2F2" w:themeColor="background1" w:themeShade="F2"/>
              <w:left w:val="single" w:sz="4"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2008</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4"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8</w:t>
            </w:r>
          </w:p>
        </w:tc>
      </w:tr>
      <w:tr w:rsidR="0045752A" w:rsidTr="00E543DB">
        <w:trPr>
          <w:trHeight w:val="300"/>
        </w:trPr>
        <w:tc>
          <w:tcPr>
            <w:tcW w:w="0" w:type="auto"/>
            <w:tcBorders>
              <w:top w:val="single" w:sz="6" w:space="0" w:color="F2F2F2" w:themeColor="background1" w:themeShade="F2"/>
              <w:left w:val="single" w:sz="4"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2009</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4"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r>
      <w:tr w:rsidR="0045752A" w:rsidTr="00E543DB">
        <w:trPr>
          <w:trHeight w:val="300"/>
        </w:trPr>
        <w:tc>
          <w:tcPr>
            <w:tcW w:w="0" w:type="auto"/>
            <w:tcBorders>
              <w:top w:val="single" w:sz="6" w:space="0" w:color="F2F2F2" w:themeColor="background1" w:themeShade="F2"/>
              <w:left w:val="single" w:sz="4"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2010</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4"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r>
      <w:tr w:rsidR="0045752A" w:rsidTr="00E543DB">
        <w:trPr>
          <w:trHeight w:val="300"/>
        </w:trPr>
        <w:tc>
          <w:tcPr>
            <w:tcW w:w="0" w:type="auto"/>
            <w:tcBorders>
              <w:top w:val="single" w:sz="6" w:space="0" w:color="F2F2F2" w:themeColor="background1" w:themeShade="F2"/>
              <w:left w:val="single" w:sz="4"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2011</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4"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r>
      <w:tr w:rsidR="0045752A" w:rsidTr="00E543DB">
        <w:trPr>
          <w:trHeight w:val="300"/>
        </w:trPr>
        <w:tc>
          <w:tcPr>
            <w:tcW w:w="0" w:type="auto"/>
            <w:tcBorders>
              <w:top w:val="single" w:sz="6" w:space="0" w:color="F2F2F2" w:themeColor="background1" w:themeShade="F2"/>
              <w:left w:val="single" w:sz="4"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2012</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4"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r>
      <w:tr w:rsidR="0045752A" w:rsidTr="00E543DB">
        <w:trPr>
          <w:trHeight w:val="300"/>
        </w:trPr>
        <w:tc>
          <w:tcPr>
            <w:tcW w:w="0" w:type="auto"/>
            <w:tcBorders>
              <w:top w:val="single" w:sz="6" w:space="0" w:color="F2F2F2" w:themeColor="background1" w:themeShade="F2"/>
              <w:left w:val="single" w:sz="4"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2013</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8</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F2F2F2" w:themeColor="background1" w:themeShade="F2"/>
              <w:left w:val="single" w:sz="6" w:space="0" w:color="F2F2F2" w:themeColor="background1" w:themeShade="F2"/>
              <w:bottom w:val="single" w:sz="6" w:space="0" w:color="F2F2F2" w:themeColor="background1" w:themeShade="F2"/>
              <w:right w:val="single" w:sz="4"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r>
      <w:tr w:rsidR="0045752A" w:rsidTr="00E543DB">
        <w:trPr>
          <w:trHeight w:val="300"/>
        </w:trPr>
        <w:tc>
          <w:tcPr>
            <w:tcW w:w="0" w:type="auto"/>
            <w:tcBorders>
              <w:top w:val="single" w:sz="6" w:space="0" w:color="F2F2F2" w:themeColor="background1" w:themeShade="F2"/>
              <w:left w:val="single" w:sz="4" w:space="0" w:color="F2F2F2" w:themeColor="background1" w:themeShade="F2"/>
              <w:bottom w:val="single" w:sz="4"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2014</w:t>
            </w:r>
          </w:p>
        </w:tc>
        <w:tc>
          <w:tcPr>
            <w:tcW w:w="0" w:type="auto"/>
            <w:tcBorders>
              <w:top w:val="single" w:sz="6" w:space="0" w:color="F2F2F2" w:themeColor="background1" w:themeShade="F2"/>
              <w:left w:val="single" w:sz="6" w:space="0" w:color="F2F2F2" w:themeColor="background1" w:themeShade="F2"/>
              <w:bottom w:val="single" w:sz="4"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F2F2F2" w:themeColor="background1" w:themeShade="F2"/>
              <w:left w:val="single" w:sz="6" w:space="0" w:color="F2F2F2" w:themeColor="background1" w:themeShade="F2"/>
              <w:bottom w:val="single" w:sz="4"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F2F2F2" w:themeColor="background1" w:themeShade="F2"/>
              <w:left w:val="single" w:sz="6" w:space="0" w:color="F2F2F2" w:themeColor="background1" w:themeShade="F2"/>
              <w:bottom w:val="single" w:sz="4"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F2F2F2" w:themeColor="background1" w:themeShade="F2"/>
              <w:left w:val="single" w:sz="6" w:space="0" w:color="F2F2F2" w:themeColor="background1" w:themeShade="F2"/>
              <w:bottom w:val="single" w:sz="4"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F2F2F2" w:themeColor="background1" w:themeShade="F2"/>
              <w:left w:val="single" w:sz="6" w:space="0" w:color="F2F2F2" w:themeColor="background1" w:themeShade="F2"/>
              <w:bottom w:val="single" w:sz="4" w:space="0" w:color="F2F2F2" w:themeColor="background1" w:themeShade="F2"/>
              <w:right w:val="single" w:sz="6"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F2F2F2" w:themeColor="background1" w:themeShade="F2"/>
              <w:left w:val="single" w:sz="6" w:space="0" w:color="F2F2F2" w:themeColor="background1" w:themeShade="F2"/>
              <w:bottom w:val="single" w:sz="4" w:space="0" w:color="F2F2F2" w:themeColor="background1" w:themeShade="F2"/>
              <w:right w:val="single" w:sz="4" w:space="0" w:color="F2F2F2" w:themeColor="background1" w:themeShade="F2"/>
            </w:tcBorders>
            <w:noWrap/>
            <w:vAlign w:val="bottom"/>
            <w:hideMark/>
          </w:tcPr>
          <w:p w:rsidR="0045752A" w:rsidRDefault="0045752A"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r>
    </w:tbl>
    <w:p w:rsidR="00054B07" w:rsidRPr="0048770C" w:rsidRDefault="0045752A" w:rsidP="001D0A3E">
      <w:pPr>
        <w:pStyle w:val="Caption"/>
        <w:keepNext/>
        <w:spacing w:after="0"/>
        <w:rPr>
          <w:i w:val="0"/>
          <w:color w:val="auto"/>
          <w:sz w:val="22"/>
          <w:szCs w:val="22"/>
        </w:rPr>
      </w:pPr>
      <w:r>
        <w:rPr>
          <w:rFonts w:cs="Arial"/>
          <w:i w:val="0"/>
          <w:color w:val="auto"/>
          <w:sz w:val="20"/>
          <w:szCs w:val="20"/>
          <w:lang w:val="tr-TR"/>
        </w:rPr>
        <w:t>Kaynak: 2005-2014 Hanehalkı Bütçe Anketi kesit mikro verisetleri; Betam hesaplamaları</w:t>
      </w:r>
    </w:p>
    <w:p w:rsidR="00376286" w:rsidRDefault="00376286" w:rsidP="001D0A3E">
      <w:pPr>
        <w:pStyle w:val="Caption"/>
        <w:keepNext/>
        <w:spacing w:after="0"/>
        <w:rPr>
          <w:b/>
          <w:i w:val="0"/>
          <w:iCs w:val="0"/>
          <w:color w:val="auto"/>
          <w:sz w:val="22"/>
          <w:szCs w:val="22"/>
          <w:lang w:val="tr-TR"/>
        </w:rPr>
      </w:pPr>
    </w:p>
    <w:p w:rsidR="0048770C" w:rsidRPr="0048770C" w:rsidRDefault="0048770C" w:rsidP="001D0A3E">
      <w:pPr>
        <w:pStyle w:val="Caption"/>
        <w:keepNext/>
        <w:spacing w:after="0"/>
        <w:rPr>
          <w:b/>
          <w:i w:val="0"/>
          <w:iCs w:val="0"/>
          <w:color w:val="auto"/>
          <w:sz w:val="22"/>
          <w:szCs w:val="22"/>
          <w:lang w:val="tr-TR"/>
        </w:rPr>
      </w:pPr>
      <w:r w:rsidRPr="0048770C">
        <w:rPr>
          <w:b/>
          <w:i w:val="0"/>
          <w:iCs w:val="0"/>
          <w:color w:val="auto"/>
          <w:sz w:val="22"/>
          <w:szCs w:val="22"/>
          <w:lang w:val="tr-TR"/>
        </w:rPr>
        <w:t xml:space="preserve">Ek </w:t>
      </w:r>
      <w:r w:rsidR="004A2399" w:rsidRPr="0048770C">
        <w:rPr>
          <w:b/>
          <w:i w:val="0"/>
          <w:iCs w:val="0"/>
          <w:color w:val="auto"/>
          <w:sz w:val="22"/>
          <w:szCs w:val="22"/>
          <w:lang w:val="tr-TR"/>
        </w:rPr>
        <w:fldChar w:fldCharType="begin"/>
      </w:r>
      <w:r w:rsidRPr="0048770C">
        <w:rPr>
          <w:b/>
          <w:i w:val="0"/>
          <w:iCs w:val="0"/>
          <w:color w:val="auto"/>
          <w:sz w:val="22"/>
          <w:szCs w:val="22"/>
          <w:lang w:val="tr-TR"/>
        </w:rPr>
        <w:instrText xml:space="preserve"> SEQ Ek \* ARABIC </w:instrText>
      </w:r>
      <w:r w:rsidR="004A2399" w:rsidRPr="0048770C">
        <w:rPr>
          <w:b/>
          <w:i w:val="0"/>
          <w:iCs w:val="0"/>
          <w:color w:val="auto"/>
          <w:sz w:val="22"/>
          <w:szCs w:val="22"/>
          <w:lang w:val="tr-TR"/>
        </w:rPr>
        <w:fldChar w:fldCharType="separate"/>
      </w:r>
      <w:r w:rsidR="00262893">
        <w:rPr>
          <w:b/>
          <w:i w:val="0"/>
          <w:iCs w:val="0"/>
          <w:color w:val="auto"/>
          <w:sz w:val="22"/>
          <w:szCs w:val="22"/>
          <w:lang w:val="tr-TR"/>
        </w:rPr>
        <w:t>5</w:t>
      </w:r>
      <w:r w:rsidR="004A2399" w:rsidRPr="0048770C">
        <w:rPr>
          <w:b/>
          <w:i w:val="0"/>
          <w:iCs w:val="0"/>
          <w:color w:val="auto"/>
          <w:sz w:val="22"/>
          <w:szCs w:val="22"/>
          <w:lang w:val="tr-TR"/>
        </w:rPr>
        <w:fldChar w:fldCharType="end"/>
      </w:r>
      <w:r>
        <w:rPr>
          <w:b/>
          <w:i w:val="0"/>
          <w:iCs w:val="0"/>
          <w:color w:val="auto"/>
          <w:sz w:val="22"/>
          <w:szCs w:val="22"/>
          <w:lang w:val="tr-TR"/>
        </w:rPr>
        <w:t xml:space="preserve"> </w:t>
      </w:r>
      <w:r>
        <w:rPr>
          <w:b/>
          <w:i w:val="0"/>
          <w:color w:val="auto"/>
          <w:sz w:val="22"/>
          <w:szCs w:val="22"/>
        </w:rPr>
        <w:t>Yeni otomobil alanların gelir gruplarının içindeki payları</w:t>
      </w:r>
      <w:r w:rsidR="00BC0040">
        <w:rPr>
          <w:b/>
          <w:i w:val="0"/>
          <w:color w:val="auto"/>
          <w:sz w:val="22"/>
          <w:szCs w:val="22"/>
        </w:rPr>
        <w:t>, (%)</w:t>
      </w:r>
    </w:p>
    <w:tbl>
      <w:tblPr>
        <w:tblStyle w:val="NormalTablo1"/>
        <w:tblW w:w="0" w:type="auto"/>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587"/>
        <w:gridCol w:w="1468"/>
        <w:gridCol w:w="1468"/>
        <w:gridCol w:w="1468"/>
        <w:gridCol w:w="1468"/>
        <w:gridCol w:w="1468"/>
        <w:gridCol w:w="827"/>
      </w:tblGrid>
      <w:tr w:rsidR="0048770C" w:rsidTr="00E543DB">
        <w:trPr>
          <w:trHeight w:val="312"/>
        </w:trPr>
        <w:tc>
          <w:tcPr>
            <w:tcW w:w="0" w:type="auto"/>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rPr>
                <w:rFonts w:cs="Times New Roman"/>
                <w:noProof w:val="0"/>
                <w:lang w:val="tr-TR"/>
              </w:rPr>
            </w:pP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0409BD"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1.</w:t>
            </w:r>
            <w:r w:rsidR="0048770C">
              <w:rPr>
                <w:rFonts w:ascii="Calibri" w:eastAsia="Times New Roman" w:hAnsi="Calibri" w:cs="Times New Roman"/>
                <w:b/>
                <w:noProof w:val="0"/>
                <w:color w:val="000000"/>
                <w:lang w:val="tr-TR" w:eastAsia="tr-TR"/>
              </w:rPr>
              <w:t>%20'lik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3.%20'lik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4.%20'lik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5.%20'lik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Toplam</w:t>
            </w:r>
          </w:p>
        </w:tc>
      </w:tr>
      <w:tr w:rsidR="0048770C" w:rsidTr="0048770C">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r>
      <w:tr w:rsidR="0048770C" w:rsidTr="0048770C">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r>
      <w:tr w:rsidR="0048770C" w:rsidTr="0048770C">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r>
      <w:tr w:rsidR="0048770C" w:rsidTr="0048770C">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r>
      <w:tr w:rsidR="0048770C" w:rsidTr="0048770C">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r>
      <w:tr w:rsidR="0048770C" w:rsidTr="0048770C">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r>
      <w:tr w:rsidR="0048770C" w:rsidTr="0048770C">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r>
      <w:tr w:rsidR="0048770C" w:rsidTr="0048770C">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r>
      <w:tr w:rsidR="0048770C" w:rsidTr="0048770C">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r>
      <w:tr w:rsidR="0048770C" w:rsidTr="0048770C">
        <w:trPr>
          <w:trHeight w:val="300"/>
        </w:trPr>
        <w:tc>
          <w:tcPr>
            <w:tcW w:w="0" w:type="auto"/>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2014</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noWrap/>
            <w:vAlign w:val="bottom"/>
            <w:hideMark/>
          </w:tcPr>
          <w:p w:rsidR="0048770C" w:rsidRDefault="0048770C"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BC0040">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r>
    </w:tbl>
    <w:p w:rsidR="0048770C" w:rsidRPr="0048770C" w:rsidRDefault="0048770C" w:rsidP="001D0A3E">
      <w:pPr>
        <w:pStyle w:val="Caption"/>
        <w:keepNext/>
        <w:spacing w:after="0"/>
        <w:rPr>
          <w:i w:val="0"/>
          <w:color w:val="auto"/>
          <w:sz w:val="22"/>
          <w:szCs w:val="22"/>
        </w:rPr>
      </w:pPr>
      <w:r>
        <w:rPr>
          <w:rFonts w:cs="Arial"/>
          <w:i w:val="0"/>
          <w:color w:val="auto"/>
          <w:sz w:val="20"/>
          <w:szCs w:val="20"/>
          <w:lang w:val="tr-TR"/>
        </w:rPr>
        <w:t>Kaynak: 2005-2014 Hanehalkı Bütçe Anketi kesit mikro verisetleri; Betam hesaplamaları</w:t>
      </w:r>
    </w:p>
    <w:p w:rsidR="00376286" w:rsidRDefault="00376286" w:rsidP="001D0A3E">
      <w:pPr>
        <w:spacing w:after="0"/>
        <w:rPr>
          <w:rFonts w:cs="Arial"/>
          <w:b/>
          <w:lang w:val="tr-TR"/>
        </w:rPr>
      </w:pPr>
    </w:p>
    <w:p w:rsidR="00010623" w:rsidRPr="00010623" w:rsidRDefault="00010623" w:rsidP="001D0A3E">
      <w:pPr>
        <w:spacing w:after="0"/>
        <w:rPr>
          <w:rFonts w:cs="Arial"/>
          <w:b/>
          <w:lang w:val="tr-TR"/>
        </w:rPr>
      </w:pPr>
      <w:r w:rsidRPr="00010623">
        <w:rPr>
          <w:rFonts w:cs="Arial"/>
          <w:b/>
          <w:lang w:val="tr-TR"/>
        </w:rPr>
        <w:t xml:space="preserve">Ek </w:t>
      </w:r>
      <w:r w:rsidR="004A2399" w:rsidRPr="00010623">
        <w:rPr>
          <w:rFonts w:cs="Arial"/>
          <w:b/>
          <w:lang w:val="tr-TR"/>
        </w:rPr>
        <w:fldChar w:fldCharType="begin"/>
      </w:r>
      <w:r w:rsidRPr="00010623">
        <w:rPr>
          <w:rFonts w:cs="Arial"/>
          <w:b/>
          <w:lang w:val="tr-TR"/>
        </w:rPr>
        <w:instrText xml:space="preserve"> SEQ Ek \* ARABIC </w:instrText>
      </w:r>
      <w:r w:rsidR="004A2399" w:rsidRPr="00010623">
        <w:rPr>
          <w:rFonts w:cs="Arial"/>
          <w:b/>
          <w:lang w:val="tr-TR"/>
        </w:rPr>
        <w:fldChar w:fldCharType="separate"/>
      </w:r>
      <w:r w:rsidR="00262893">
        <w:rPr>
          <w:rFonts w:cs="Arial"/>
          <w:b/>
          <w:lang w:val="tr-TR"/>
        </w:rPr>
        <w:t>6</w:t>
      </w:r>
      <w:r w:rsidR="004A2399" w:rsidRPr="00010623">
        <w:rPr>
          <w:rFonts w:cs="Arial"/>
          <w:b/>
          <w:lang w:val="tr-TR"/>
        </w:rPr>
        <w:fldChar w:fldCharType="end"/>
      </w:r>
      <w:r w:rsidRPr="00010623">
        <w:rPr>
          <w:rFonts w:cs="Arial"/>
          <w:b/>
          <w:lang w:val="tr-TR"/>
        </w:rPr>
        <w:t xml:space="preserve"> </w:t>
      </w:r>
      <w:r>
        <w:rPr>
          <w:rFonts w:cs="Arial"/>
          <w:b/>
          <w:lang w:val="tr-TR"/>
        </w:rPr>
        <w:t>Yeni otomobil harcaması/hane harcaması(satın alanlar)</w:t>
      </w:r>
      <w:r w:rsidR="00BC0040">
        <w:rPr>
          <w:rFonts w:cs="Arial"/>
          <w:b/>
          <w:lang w:val="tr-TR"/>
        </w:rPr>
        <w:t xml:space="preserve">, </w:t>
      </w:r>
      <w:r>
        <w:rPr>
          <w:rFonts w:cs="Arial"/>
          <w:b/>
          <w:lang w:val="tr-TR"/>
        </w:rPr>
        <w:t>(%)</w:t>
      </w:r>
    </w:p>
    <w:tbl>
      <w:tblPr>
        <w:tblStyle w:val="NormalTablo1"/>
        <w:tblW w:w="0" w:type="auto"/>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587"/>
        <w:gridCol w:w="1468"/>
        <w:gridCol w:w="1468"/>
        <w:gridCol w:w="1468"/>
        <w:gridCol w:w="1468"/>
        <w:gridCol w:w="1468"/>
        <w:gridCol w:w="827"/>
      </w:tblGrid>
      <w:tr w:rsidR="00E543DB" w:rsidTr="00E543DB">
        <w:trPr>
          <w:trHeight w:val="350"/>
        </w:trPr>
        <w:tc>
          <w:tcPr>
            <w:tcW w:w="0" w:type="auto"/>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jc w:val="center"/>
              <w:rPr>
                <w:rFonts w:cs="Times New Roman"/>
                <w:noProof w:val="0"/>
                <w:lang w:val="tr-TR"/>
              </w:rPr>
            </w:pP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center"/>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1.%20'lik dilim</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center"/>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2.%20'lik dilim</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center"/>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3.%20'lik dilim</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center"/>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4.%20'lik dilim</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E543DB" w:rsidRDefault="00E543DB" w:rsidP="001D0A3E">
            <w:pPr>
              <w:spacing w:after="0" w:line="240" w:lineRule="auto"/>
              <w:jc w:val="center"/>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5.%20'lik dilim</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543DB" w:rsidRDefault="00E543DB" w:rsidP="001D0A3E">
            <w:pPr>
              <w:spacing w:after="0" w:line="240" w:lineRule="auto"/>
              <w:jc w:val="center"/>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Toplam</w:t>
            </w:r>
          </w:p>
        </w:tc>
      </w:tr>
      <w:tr w:rsidR="00E543DB" w:rsidTr="00E543DB">
        <w:trPr>
          <w:trHeight w:val="312"/>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0,0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0,0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66,5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61,1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58,0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543DB" w:rsidRDefault="00E543DB" w:rsidP="001D0A3E">
            <w:pPr>
              <w:spacing w:after="0" w:line="240" w:lineRule="auto"/>
              <w:jc w:val="right"/>
              <w:rPr>
                <w:rFonts w:ascii="Calibri" w:hAnsi="Calibri"/>
                <w:color w:val="000000"/>
              </w:rPr>
            </w:pPr>
            <w:r>
              <w:rPr>
                <w:rFonts w:ascii="Calibri" w:hAnsi="Calibri"/>
                <w:color w:val="000000"/>
              </w:rPr>
              <w:t>59,2</w:t>
            </w:r>
          </w:p>
        </w:tc>
      </w:tr>
      <w:tr w:rsidR="00E543DB" w:rsidTr="00E543DB">
        <w:trPr>
          <w:trHeight w:val="312"/>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63,2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68,5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58,6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66,1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56,4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543DB" w:rsidRDefault="00E543DB" w:rsidP="001D0A3E">
            <w:pPr>
              <w:spacing w:after="0" w:line="240" w:lineRule="auto"/>
              <w:jc w:val="right"/>
              <w:rPr>
                <w:rFonts w:ascii="Calibri" w:hAnsi="Calibri"/>
                <w:color w:val="000000"/>
              </w:rPr>
            </w:pPr>
            <w:r>
              <w:rPr>
                <w:rFonts w:ascii="Calibri" w:hAnsi="Calibri"/>
                <w:color w:val="000000"/>
              </w:rPr>
              <w:t>58,6</w:t>
            </w:r>
          </w:p>
        </w:tc>
      </w:tr>
      <w:tr w:rsidR="00E543DB" w:rsidTr="00E543DB">
        <w:trPr>
          <w:trHeight w:val="312"/>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0,0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55,2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61,6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59,4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56,9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543DB" w:rsidRDefault="00E543DB" w:rsidP="001D0A3E">
            <w:pPr>
              <w:spacing w:after="0" w:line="240" w:lineRule="auto"/>
              <w:jc w:val="right"/>
              <w:rPr>
                <w:rFonts w:ascii="Calibri" w:hAnsi="Calibri"/>
                <w:color w:val="000000"/>
              </w:rPr>
            </w:pPr>
            <w:r>
              <w:rPr>
                <w:rFonts w:ascii="Calibri" w:hAnsi="Calibri"/>
                <w:color w:val="000000"/>
              </w:rPr>
              <w:t>57,8</w:t>
            </w:r>
          </w:p>
        </w:tc>
      </w:tr>
      <w:tr w:rsidR="00E543DB" w:rsidTr="00E543DB">
        <w:trPr>
          <w:trHeight w:val="312"/>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0,0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65,1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61,3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59,6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48,9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543DB" w:rsidRDefault="00E543DB" w:rsidP="001D0A3E">
            <w:pPr>
              <w:spacing w:after="0" w:line="240" w:lineRule="auto"/>
              <w:jc w:val="right"/>
              <w:rPr>
                <w:rFonts w:ascii="Calibri" w:hAnsi="Calibri"/>
                <w:color w:val="000000"/>
              </w:rPr>
            </w:pPr>
            <w:r>
              <w:rPr>
                <w:rFonts w:ascii="Calibri" w:hAnsi="Calibri"/>
                <w:color w:val="000000"/>
              </w:rPr>
              <w:t>52,6</w:t>
            </w:r>
          </w:p>
        </w:tc>
      </w:tr>
      <w:tr w:rsidR="00E543DB" w:rsidTr="00E543DB">
        <w:trPr>
          <w:trHeight w:val="312"/>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0,0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63,4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63,6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58,7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48,8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543DB" w:rsidRDefault="00E543DB" w:rsidP="001D0A3E">
            <w:pPr>
              <w:spacing w:after="0" w:line="240" w:lineRule="auto"/>
              <w:jc w:val="right"/>
              <w:rPr>
                <w:rFonts w:ascii="Calibri" w:hAnsi="Calibri"/>
                <w:color w:val="000000"/>
              </w:rPr>
            </w:pPr>
            <w:r>
              <w:rPr>
                <w:rFonts w:ascii="Calibri" w:hAnsi="Calibri"/>
                <w:color w:val="000000"/>
              </w:rPr>
              <w:t>51,9</w:t>
            </w:r>
          </w:p>
        </w:tc>
      </w:tr>
      <w:tr w:rsidR="00E543DB" w:rsidTr="00E543DB">
        <w:trPr>
          <w:trHeight w:val="312"/>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0,0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57,2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52,5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54,8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48,1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543DB" w:rsidRDefault="00E543DB" w:rsidP="001D0A3E">
            <w:pPr>
              <w:spacing w:after="0" w:line="240" w:lineRule="auto"/>
              <w:jc w:val="right"/>
              <w:rPr>
                <w:rFonts w:ascii="Calibri" w:hAnsi="Calibri"/>
                <w:color w:val="000000"/>
              </w:rPr>
            </w:pPr>
            <w:r>
              <w:rPr>
                <w:rFonts w:ascii="Calibri" w:hAnsi="Calibri"/>
                <w:color w:val="000000"/>
              </w:rPr>
              <w:t>49,9</w:t>
            </w:r>
          </w:p>
        </w:tc>
      </w:tr>
      <w:tr w:rsidR="00E543DB" w:rsidTr="00E543DB">
        <w:trPr>
          <w:trHeight w:val="312"/>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62,5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58,1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lang w:val="tr-TR" w:eastAsia="tr-TR"/>
              </w:rPr>
            </w:pPr>
            <w:r>
              <w:rPr>
                <w:rFonts w:ascii="Calibri" w:hAnsi="Calibri"/>
              </w:rPr>
              <w:t>63,8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58,1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48,9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543DB" w:rsidRDefault="00E543DB" w:rsidP="001D0A3E">
            <w:pPr>
              <w:spacing w:after="0" w:line="240" w:lineRule="auto"/>
              <w:jc w:val="right"/>
              <w:rPr>
                <w:rFonts w:ascii="Calibri" w:hAnsi="Calibri"/>
                <w:color w:val="000000"/>
              </w:rPr>
            </w:pPr>
            <w:r>
              <w:rPr>
                <w:rFonts w:ascii="Calibri" w:hAnsi="Calibri"/>
                <w:color w:val="000000"/>
              </w:rPr>
              <w:t>52,7</w:t>
            </w:r>
          </w:p>
        </w:tc>
      </w:tr>
      <w:tr w:rsidR="00E543DB" w:rsidTr="00E543DB">
        <w:trPr>
          <w:trHeight w:val="312"/>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52,2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61,6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60,7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58,6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48,9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543DB" w:rsidRDefault="00E543DB" w:rsidP="001D0A3E">
            <w:pPr>
              <w:spacing w:after="0" w:line="240" w:lineRule="auto"/>
              <w:jc w:val="right"/>
              <w:rPr>
                <w:rFonts w:ascii="Calibri" w:hAnsi="Calibri"/>
                <w:color w:val="000000"/>
              </w:rPr>
            </w:pPr>
            <w:r>
              <w:rPr>
                <w:rFonts w:ascii="Calibri" w:hAnsi="Calibri"/>
                <w:color w:val="000000"/>
              </w:rPr>
              <w:t>52,1</w:t>
            </w:r>
          </w:p>
        </w:tc>
      </w:tr>
      <w:tr w:rsidR="00E543DB" w:rsidTr="00E543DB">
        <w:trPr>
          <w:trHeight w:val="312"/>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69,3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56,7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51,0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55,0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48,4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543DB" w:rsidRDefault="00E543DB" w:rsidP="001D0A3E">
            <w:pPr>
              <w:spacing w:after="0" w:line="240" w:lineRule="auto"/>
              <w:jc w:val="right"/>
              <w:rPr>
                <w:rFonts w:ascii="Calibri" w:hAnsi="Calibri"/>
                <w:color w:val="000000"/>
              </w:rPr>
            </w:pPr>
            <w:r>
              <w:rPr>
                <w:rFonts w:ascii="Calibri" w:hAnsi="Calibri"/>
                <w:color w:val="000000"/>
              </w:rPr>
              <w:t>50,3</w:t>
            </w:r>
          </w:p>
        </w:tc>
      </w:tr>
      <w:tr w:rsidR="00E543DB" w:rsidTr="00E543DB">
        <w:trPr>
          <w:trHeight w:val="312"/>
        </w:trPr>
        <w:tc>
          <w:tcPr>
            <w:tcW w:w="0" w:type="auto"/>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2014</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64,6</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61,3</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59,4</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58,3</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E543DB" w:rsidRDefault="00E543DB"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52,7</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E543DB" w:rsidRDefault="00E543DB" w:rsidP="001D0A3E">
            <w:pPr>
              <w:spacing w:after="0" w:line="240" w:lineRule="auto"/>
              <w:jc w:val="right"/>
              <w:rPr>
                <w:rFonts w:ascii="Calibri" w:hAnsi="Calibri"/>
                <w:color w:val="000000"/>
              </w:rPr>
            </w:pPr>
            <w:r>
              <w:rPr>
                <w:rFonts w:ascii="Calibri" w:hAnsi="Calibri"/>
                <w:color w:val="000000"/>
              </w:rPr>
              <w:t>55,3</w:t>
            </w:r>
          </w:p>
        </w:tc>
      </w:tr>
    </w:tbl>
    <w:p w:rsidR="00010623" w:rsidRPr="0048770C" w:rsidRDefault="00010623" w:rsidP="00010623">
      <w:pPr>
        <w:pStyle w:val="Caption"/>
        <w:keepNext/>
        <w:rPr>
          <w:i w:val="0"/>
          <w:color w:val="auto"/>
          <w:sz w:val="22"/>
          <w:szCs w:val="22"/>
        </w:rPr>
      </w:pPr>
      <w:r>
        <w:rPr>
          <w:rFonts w:cs="Arial"/>
          <w:i w:val="0"/>
          <w:color w:val="auto"/>
          <w:sz w:val="20"/>
          <w:szCs w:val="20"/>
          <w:lang w:val="tr-TR"/>
        </w:rPr>
        <w:t>Kaynak: 2005-2014 Hanehalkı Bütçe Anketi kesit mikro verisetleri; Betam hesaplamaları</w:t>
      </w:r>
    </w:p>
    <w:p w:rsidR="00116ED6" w:rsidRDefault="00116ED6">
      <w:r>
        <w:br w:type="page"/>
      </w:r>
    </w:p>
    <w:p w:rsidR="006926F6" w:rsidRPr="00262893" w:rsidRDefault="006926F6" w:rsidP="001D0A3E">
      <w:pPr>
        <w:spacing w:after="0"/>
        <w:rPr>
          <w:b/>
        </w:rPr>
      </w:pPr>
      <w:r w:rsidRPr="00262893">
        <w:rPr>
          <w:b/>
        </w:rPr>
        <w:lastRenderedPageBreak/>
        <w:t xml:space="preserve">Ek </w:t>
      </w:r>
      <w:r w:rsidR="004A2399" w:rsidRPr="00262893">
        <w:rPr>
          <w:b/>
        </w:rPr>
        <w:fldChar w:fldCharType="begin"/>
      </w:r>
      <w:r w:rsidRPr="00262893">
        <w:rPr>
          <w:b/>
        </w:rPr>
        <w:instrText xml:space="preserve"> SEQ Ek \* ARABIC </w:instrText>
      </w:r>
      <w:r w:rsidR="004A2399" w:rsidRPr="00262893">
        <w:rPr>
          <w:b/>
        </w:rPr>
        <w:fldChar w:fldCharType="separate"/>
      </w:r>
      <w:r w:rsidR="00262893" w:rsidRPr="00262893">
        <w:rPr>
          <w:b/>
        </w:rPr>
        <w:t>7</w:t>
      </w:r>
      <w:r w:rsidR="004A2399" w:rsidRPr="00262893">
        <w:rPr>
          <w:b/>
        </w:rPr>
        <w:fldChar w:fldCharType="end"/>
      </w:r>
      <w:r w:rsidRPr="00262893">
        <w:rPr>
          <w:b/>
        </w:rPr>
        <w:t xml:space="preserve"> Mobilya harcaması /hane harcaması (tüm haneler), (%)</w:t>
      </w:r>
    </w:p>
    <w:tbl>
      <w:tblPr>
        <w:tblStyle w:val="NormalTablo1"/>
        <w:tblW w:w="0" w:type="auto"/>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587"/>
        <w:gridCol w:w="1468"/>
        <w:gridCol w:w="1468"/>
        <w:gridCol w:w="1468"/>
        <w:gridCol w:w="1468"/>
        <w:gridCol w:w="1468"/>
        <w:gridCol w:w="827"/>
      </w:tblGrid>
      <w:tr w:rsidR="006926F6" w:rsidTr="006926F6">
        <w:trPr>
          <w:trHeight w:val="300"/>
        </w:trPr>
        <w:tc>
          <w:tcPr>
            <w:tcW w:w="0" w:type="auto"/>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rPr>
                <w:rFonts w:cs="Times New Roman"/>
                <w:noProof w:val="0"/>
                <w:lang w:val="tr-TR"/>
              </w:rPr>
            </w:pP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0409BD"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1.</w:t>
            </w:r>
            <w:r w:rsidR="006926F6">
              <w:rPr>
                <w:rFonts w:ascii="Calibri" w:eastAsia="Times New Roman" w:hAnsi="Calibri" w:cs="Times New Roman"/>
                <w:b/>
                <w:noProof w:val="0"/>
                <w:color w:val="000000"/>
                <w:lang w:val="tr-TR" w:eastAsia="tr-TR"/>
              </w:rPr>
              <w:t>%20'lik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3.%20'lik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4.%20'lik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5.%20'lik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Toplam</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2014</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r>
    </w:tbl>
    <w:p w:rsidR="006926F6" w:rsidRDefault="006926F6" w:rsidP="006926F6">
      <w:pPr>
        <w:rPr>
          <w:rFonts w:cs="Arial"/>
          <w:sz w:val="20"/>
          <w:szCs w:val="20"/>
          <w:lang w:val="tr-TR"/>
        </w:rPr>
      </w:pPr>
      <w:r>
        <w:rPr>
          <w:rFonts w:cs="Arial"/>
          <w:sz w:val="20"/>
          <w:szCs w:val="20"/>
          <w:lang w:val="tr-TR"/>
        </w:rPr>
        <w:t>Kaynak: 2005-2014 Hanehalkı Bütçe Anketi kesit mikro verisetleri; Betam hesaplamaları</w:t>
      </w:r>
    </w:p>
    <w:p w:rsidR="006926F6" w:rsidRPr="009145BA" w:rsidRDefault="006926F6" w:rsidP="001D0A3E">
      <w:pPr>
        <w:spacing w:after="0"/>
        <w:rPr>
          <w:b/>
          <w:i/>
          <w:lang w:val="tr-TR"/>
        </w:rPr>
      </w:pPr>
      <w:r w:rsidRPr="009145BA">
        <w:rPr>
          <w:b/>
          <w:lang w:val="tr-TR"/>
        </w:rPr>
        <w:t xml:space="preserve">Ek </w:t>
      </w:r>
      <w:r w:rsidR="004A2399" w:rsidRPr="006926F6">
        <w:rPr>
          <w:b/>
        </w:rPr>
        <w:fldChar w:fldCharType="begin"/>
      </w:r>
      <w:r w:rsidRPr="009145BA">
        <w:rPr>
          <w:b/>
          <w:lang w:val="tr-TR"/>
        </w:rPr>
        <w:instrText xml:space="preserve"> SEQ Ek \* ARABIC </w:instrText>
      </w:r>
      <w:r w:rsidR="004A2399" w:rsidRPr="006926F6">
        <w:rPr>
          <w:b/>
        </w:rPr>
        <w:fldChar w:fldCharType="separate"/>
      </w:r>
      <w:r w:rsidR="00262893" w:rsidRPr="009145BA">
        <w:rPr>
          <w:b/>
          <w:lang w:val="tr-TR"/>
        </w:rPr>
        <w:t>8</w:t>
      </w:r>
      <w:r w:rsidR="004A2399" w:rsidRPr="006926F6">
        <w:rPr>
          <w:b/>
        </w:rPr>
        <w:fldChar w:fldCharType="end"/>
      </w:r>
      <w:r w:rsidRPr="009145BA">
        <w:rPr>
          <w:b/>
          <w:lang w:val="tr-TR"/>
        </w:rPr>
        <w:t xml:space="preserve"> Mobilya alanların yüzde 20’lik gelir gruplarının içindeki payları</w:t>
      </w:r>
    </w:p>
    <w:tbl>
      <w:tblPr>
        <w:tblStyle w:val="NormalTablo1"/>
        <w:tblW w:w="0" w:type="auto"/>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587"/>
        <w:gridCol w:w="1468"/>
        <w:gridCol w:w="1468"/>
        <w:gridCol w:w="1468"/>
        <w:gridCol w:w="1468"/>
        <w:gridCol w:w="1468"/>
        <w:gridCol w:w="827"/>
      </w:tblGrid>
      <w:tr w:rsidR="006926F6" w:rsidTr="006926F6">
        <w:trPr>
          <w:trHeight w:val="300"/>
        </w:trPr>
        <w:tc>
          <w:tcPr>
            <w:tcW w:w="0" w:type="auto"/>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rPr>
                <w:rFonts w:cs="Times New Roman"/>
                <w:noProof w:val="0"/>
                <w:lang w:val="tr-TR"/>
              </w:rPr>
            </w:pP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0409BD"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1.</w:t>
            </w:r>
            <w:r w:rsidR="006926F6">
              <w:rPr>
                <w:rFonts w:ascii="Calibri" w:eastAsia="Times New Roman" w:hAnsi="Calibri" w:cs="Times New Roman"/>
                <w:b/>
                <w:noProof w:val="0"/>
                <w:color w:val="000000"/>
                <w:lang w:val="tr-TR" w:eastAsia="tr-TR"/>
              </w:rPr>
              <w:t>%20'lik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3.%20'lik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4.%20'lik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5.%20'lik dilim</w:t>
            </w:r>
          </w:p>
        </w:tc>
        <w:tc>
          <w:tcPr>
            <w:tcW w:w="0" w:type="auto"/>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Toplam</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14</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18</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13</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13</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18</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7</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14</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17</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17</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25</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28</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34</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24</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13</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25</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37</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26</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15</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26</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33</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28</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16</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23</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34</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40</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29</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2012</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16</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9</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29</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35</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29</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2013</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18</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27</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5</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31</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8</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38</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44</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8</w:t>
            </w:r>
          </w:p>
        </w:tc>
      </w:tr>
      <w:tr w:rsidR="006926F6" w:rsidTr="006926F6">
        <w:trPr>
          <w:trHeight w:val="300"/>
        </w:trPr>
        <w:tc>
          <w:tcPr>
            <w:tcW w:w="0" w:type="auto"/>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2014</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16</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7</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26</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0</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33</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4</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37</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3</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6</w:t>
            </w:r>
          </w:p>
        </w:tc>
        <w:tc>
          <w:tcPr>
            <w:tcW w:w="0" w:type="auto"/>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noWrap/>
            <w:vAlign w:val="bottom"/>
            <w:hideMark/>
          </w:tcPr>
          <w:p w:rsidR="006926F6" w:rsidRDefault="006926F6" w:rsidP="001D0A3E">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32</w:t>
            </w:r>
            <w:r w:rsidR="00691EE1">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1</w:t>
            </w:r>
          </w:p>
        </w:tc>
      </w:tr>
    </w:tbl>
    <w:p w:rsidR="0048770C" w:rsidRPr="00BA0714" w:rsidRDefault="00BA0714" w:rsidP="00BA0714">
      <w:pPr>
        <w:rPr>
          <w:rFonts w:cs="Arial"/>
          <w:sz w:val="20"/>
          <w:szCs w:val="20"/>
          <w:lang w:val="tr-TR"/>
        </w:rPr>
      </w:pPr>
      <w:r>
        <w:rPr>
          <w:rFonts w:cs="Arial"/>
          <w:sz w:val="20"/>
          <w:szCs w:val="20"/>
          <w:lang w:val="tr-TR"/>
        </w:rPr>
        <w:t>Kaynak: 2005-2014 Hanehalkı Bütçe Anketi kesit mikro verisetleri; Betam hesaplamaları</w:t>
      </w:r>
    </w:p>
    <w:p w:rsidR="00262893" w:rsidRPr="009145BA" w:rsidRDefault="00262893" w:rsidP="001D0A3E">
      <w:pPr>
        <w:spacing w:after="0"/>
        <w:rPr>
          <w:b/>
          <w:lang w:val="fr-FR"/>
        </w:rPr>
      </w:pPr>
      <w:r w:rsidRPr="009145BA">
        <w:rPr>
          <w:b/>
          <w:lang w:val="fr-FR"/>
        </w:rPr>
        <w:t xml:space="preserve">Ek </w:t>
      </w:r>
      <w:r w:rsidR="004A2399" w:rsidRPr="00262893">
        <w:rPr>
          <w:b/>
        </w:rPr>
        <w:fldChar w:fldCharType="begin"/>
      </w:r>
      <w:r w:rsidRPr="009145BA">
        <w:rPr>
          <w:b/>
          <w:lang w:val="fr-FR"/>
        </w:rPr>
        <w:instrText xml:space="preserve"> SEQ Ek \* ARABIC </w:instrText>
      </w:r>
      <w:r w:rsidR="004A2399" w:rsidRPr="00262893">
        <w:rPr>
          <w:b/>
        </w:rPr>
        <w:fldChar w:fldCharType="separate"/>
      </w:r>
      <w:r w:rsidRPr="009145BA">
        <w:rPr>
          <w:b/>
          <w:lang w:val="fr-FR"/>
        </w:rPr>
        <w:t>9</w:t>
      </w:r>
      <w:r w:rsidR="004A2399" w:rsidRPr="00262893">
        <w:rPr>
          <w:b/>
        </w:rPr>
        <w:fldChar w:fldCharType="end"/>
      </w:r>
      <w:r w:rsidRPr="009145BA">
        <w:rPr>
          <w:b/>
          <w:lang w:val="fr-FR"/>
        </w:rPr>
        <w:t xml:space="preserve"> Gelir grubuna göre hane gelirinde mobilya harcamasının payı (%)</w:t>
      </w:r>
    </w:p>
    <w:tbl>
      <w:tblPr>
        <w:tblStyle w:val="NormalTablo1"/>
        <w:tblW w:w="0" w:type="auto"/>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587"/>
        <w:gridCol w:w="1468"/>
        <w:gridCol w:w="1468"/>
        <w:gridCol w:w="1468"/>
        <w:gridCol w:w="1468"/>
        <w:gridCol w:w="1468"/>
        <w:gridCol w:w="827"/>
      </w:tblGrid>
      <w:tr w:rsidR="003177D8" w:rsidTr="005B643E">
        <w:trPr>
          <w:trHeight w:val="204"/>
        </w:trPr>
        <w:tc>
          <w:tcPr>
            <w:tcW w:w="0" w:type="auto"/>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rPr>
                <w:rFonts w:cs="Times New Roman"/>
                <w:noProof w:val="0"/>
                <w:lang w:val="tr-TR"/>
              </w:rPr>
            </w:pP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center"/>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1.%20'lik dilim</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center"/>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2.%20'lik dilim</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center"/>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3.%20'lik dilim</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center"/>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4.%20'lik dilim</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3177D8" w:rsidRDefault="003177D8" w:rsidP="001D0A3E">
            <w:pPr>
              <w:spacing w:after="0" w:line="240" w:lineRule="auto"/>
              <w:jc w:val="center"/>
              <w:rPr>
                <w:rFonts w:ascii="Calibri" w:eastAsia="Times New Roman" w:hAnsi="Calibri" w:cs="Times New Roman"/>
                <w:b/>
                <w:noProof w:val="0"/>
                <w:color w:val="000000"/>
                <w:lang w:val="tr-TR" w:eastAsia="tr-TR"/>
              </w:rPr>
            </w:pPr>
            <w:r>
              <w:rPr>
                <w:rFonts w:ascii="Calibri" w:eastAsia="Times New Roman" w:hAnsi="Calibri" w:cs="Times New Roman"/>
                <w:b/>
                <w:bCs/>
                <w:noProof w:val="0"/>
                <w:color w:val="000000"/>
                <w:lang w:val="tr-TR" w:eastAsia="tr-TR"/>
              </w:rPr>
              <w:t>5.%20'lik dilim</w:t>
            </w:r>
          </w:p>
        </w:tc>
        <w:tc>
          <w:tcPr>
            <w:tcW w:w="0" w:type="auto"/>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177D8" w:rsidRDefault="003177D8" w:rsidP="001D0A3E">
            <w:pPr>
              <w:spacing w:after="0" w:line="240" w:lineRule="auto"/>
              <w:jc w:val="center"/>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Toplam</w:t>
            </w:r>
          </w:p>
        </w:tc>
      </w:tr>
      <w:tr w:rsidR="003177D8" w:rsidTr="00E543DB">
        <w:trPr>
          <w:trHeight w:val="308"/>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8,3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11,5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10,6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9,9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9,4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177D8" w:rsidRDefault="00E543DB" w:rsidP="001D0A3E">
            <w:pPr>
              <w:spacing w:after="0" w:line="240" w:lineRule="auto"/>
              <w:jc w:val="right"/>
              <w:rPr>
                <w:rFonts w:ascii="Calibri" w:hAnsi="Calibri"/>
                <w:color w:val="000000"/>
              </w:rPr>
            </w:pPr>
            <w:r>
              <w:rPr>
                <w:rFonts w:ascii="Calibri" w:hAnsi="Calibri"/>
                <w:color w:val="000000"/>
              </w:rPr>
              <w:t>10,0</w:t>
            </w:r>
          </w:p>
        </w:tc>
      </w:tr>
      <w:tr w:rsidR="003177D8" w:rsidTr="00E543DB">
        <w:trPr>
          <w:trHeight w:val="308"/>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9,0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10,7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10,4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10,2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7,5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177D8" w:rsidRDefault="00E543DB" w:rsidP="001D0A3E">
            <w:pPr>
              <w:spacing w:after="0" w:line="240" w:lineRule="auto"/>
              <w:jc w:val="right"/>
              <w:rPr>
                <w:rFonts w:ascii="Calibri" w:hAnsi="Calibri"/>
                <w:color w:val="000000"/>
              </w:rPr>
            </w:pPr>
            <w:r>
              <w:rPr>
                <w:rFonts w:ascii="Calibri" w:hAnsi="Calibri"/>
                <w:color w:val="000000"/>
              </w:rPr>
              <w:t>9,4</w:t>
            </w:r>
          </w:p>
        </w:tc>
      </w:tr>
      <w:tr w:rsidR="003177D8" w:rsidTr="00E543DB">
        <w:trPr>
          <w:trHeight w:val="308"/>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11,7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9,4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9,5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9,2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6,9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177D8" w:rsidRDefault="00E543DB" w:rsidP="001D0A3E">
            <w:pPr>
              <w:spacing w:after="0" w:line="240" w:lineRule="auto"/>
              <w:jc w:val="right"/>
              <w:rPr>
                <w:rFonts w:ascii="Calibri" w:hAnsi="Calibri"/>
                <w:color w:val="000000"/>
              </w:rPr>
            </w:pPr>
            <w:r>
              <w:rPr>
                <w:rFonts w:ascii="Calibri" w:hAnsi="Calibri"/>
                <w:color w:val="000000"/>
              </w:rPr>
              <w:t>8,7</w:t>
            </w:r>
          </w:p>
        </w:tc>
      </w:tr>
      <w:tr w:rsidR="003177D8" w:rsidTr="00E543DB">
        <w:trPr>
          <w:trHeight w:val="308"/>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6,3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5,5</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177D8" w:rsidRDefault="00E543DB" w:rsidP="001D0A3E">
            <w:pPr>
              <w:spacing w:after="0" w:line="240" w:lineRule="auto"/>
              <w:jc w:val="right"/>
              <w:rPr>
                <w:rFonts w:ascii="Calibri" w:hAnsi="Calibri"/>
                <w:color w:val="000000"/>
              </w:rPr>
            </w:pPr>
            <w:r>
              <w:rPr>
                <w:rFonts w:ascii="Calibri" w:hAnsi="Calibri"/>
                <w:color w:val="000000"/>
              </w:rPr>
              <w:t>5,1</w:t>
            </w:r>
          </w:p>
        </w:tc>
      </w:tr>
      <w:tr w:rsidR="003177D8" w:rsidTr="00E543DB">
        <w:trPr>
          <w:trHeight w:val="308"/>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2009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177D8" w:rsidRDefault="00E543DB" w:rsidP="001D0A3E">
            <w:pPr>
              <w:spacing w:after="0" w:line="240" w:lineRule="auto"/>
              <w:jc w:val="right"/>
              <w:rPr>
                <w:rFonts w:ascii="Calibri" w:hAnsi="Calibri"/>
                <w:color w:val="000000"/>
              </w:rPr>
            </w:pPr>
            <w:r>
              <w:rPr>
                <w:rFonts w:ascii="Calibri" w:hAnsi="Calibri"/>
                <w:color w:val="000000"/>
              </w:rPr>
              <w:t>5,0</w:t>
            </w:r>
          </w:p>
        </w:tc>
      </w:tr>
      <w:tr w:rsidR="003177D8" w:rsidTr="00E543DB">
        <w:trPr>
          <w:trHeight w:val="308"/>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5,0</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177D8" w:rsidRDefault="00E543DB" w:rsidP="001D0A3E">
            <w:pPr>
              <w:spacing w:after="0" w:line="240" w:lineRule="auto"/>
              <w:jc w:val="right"/>
              <w:rPr>
                <w:rFonts w:ascii="Calibri" w:hAnsi="Calibri"/>
                <w:color w:val="000000"/>
              </w:rPr>
            </w:pPr>
            <w:r>
              <w:rPr>
                <w:rFonts w:ascii="Calibri" w:hAnsi="Calibri"/>
                <w:color w:val="000000"/>
              </w:rPr>
              <w:t>5,0</w:t>
            </w:r>
          </w:p>
        </w:tc>
      </w:tr>
      <w:tr w:rsidR="003177D8" w:rsidTr="00E543DB">
        <w:trPr>
          <w:trHeight w:val="308"/>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5,6</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177D8" w:rsidRDefault="00E543DB" w:rsidP="001D0A3E">
            <w:pPr>
              <w:spacing w:after="0" w:line="240" w:lineRule="auto"/>
              <w:jc w:val="right"/>
              <w:rPr>
                <w:rFonts w:ascii="Calibri" w:hAnsi="Calibri"/>
                <w:color w:val="000000"/>
              </w:rPr>
            </w:pPr>
            <w:r>
              <w:rPr>
                <w:rFonts w:ascii="Calibri" w:hAnsi="Calibri"/>
                <w:color w:val="000000"/>
              </w:rPr>
              <w:t>5,3</w:t>
            </w:r>
          </w:p>
        </w:tc>
      </w:tr>
      <w:tr w:rsidR="003177D8" w:rsidTr="00E543DB">
        <w:trPr>
          <w:trHeight w:val="308"/>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2012</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5,4</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4,9</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177D8" w:rsidRDefault="00E543DB" w:rsidP="001D0A3E">
            <w:pPr>
              <w:spacing w:after="0" w:line="240" w:lineRule="auto"/>
              <w:jc w:val="right"/>
              <w:rPr>
                <w:rFonts w:ascii="Calibri" w:hAnsi="Calibri"/>
                <w:color w:val="000000"/>
              </w:rPr>
            </w:pPr>
            <w:r>
              <w:rPr>
                <w:rFonts w:ascii="Calibri" w:hAnsi="Calibri"/>
                <w:color w:val="000000"/>
              </w:rPr>
              <w:t>5,3</w:t>
            </w:r>
          </w:p>
        </w:tc>
      </w:tr>
      <w:tr w:rsidR="003177D8" w:rsidTr="00E543DB">
        <w:trPr>
          <w:trHeight w:val="308"/>
        </w:trPr>
        <w:tc>
          <w:tcPr>
            <w:tcW w:w="0" w:type="auto"/>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5,7</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5,3</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5,1</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4,8</w:t>
            </w:r>
          </w:p>
        </w:tc>
        <w:tc>
          <w:tcPr>
            <w:tcW w:w="0" w:type="auto"/>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3177D8" w:rsidRDefault="00E543DB" w:rsidP="001D0A3E">
            <w:pPr>
              <w:spacing w:after="0" w:line="240" w:lineRule="auto"/>
              <w:jc w:val="right"/>
              <w:rPr>
                <w:rFonts w:ascii="Calibri" w:hAnsi="Calibri"/>
                <w:color w:val="000000"/>
              </w:rPr>
            </w:pPr>
            <w:r>
              <w:rPr>
                <w:rFonts w:ascii="Calibri" w:hAnsi="Calibri"/>
                <w:color w:val="000000"/>
              </w:rPr>
              <w:t>5,0</w:t>
            </w:r>
          </w:p>
        </w:tc>
      </w:tr>
      <w:tr w:rsidR="003177D8" w:rsidTr="00E543DB">
        <w:trPr>
          <w:trHeight w:val="308"/>
        </w:trPr>
        <w:tc>
          <w:tcPr>
            <w:tcW w:w="0" w:type="auto"/>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rPr>
                <w:rFonts w:ascii="Calibri" w:eastAsia="Times New Roman" w:hAnsi="Calibri" w:cs="Times New Roman"/>
                <w:b/>
                <w:noProof w:val="0"/>
                <w:color w:val="000000"/>
                <w:lang w:val="tr-TR" w:eastAsia="tr-TR"/>
              </w:rPr>
            </w:pPr>
            <w:r>
              <w:rPr>
                <w:rFonts w:ascii="Calibri" w:eastAsia="Times New Roman" w:hAnsi="Calibri" w:cs="Times New Roman"/>
                <w:b/>
                <w:noProof w:val="0"/>
                <w:color w:val="000000"/>
                <w:lang w:val="tr-TR" w:eastAsia="tr-TR"/>
              </w:rPr>
              <w:t>2014</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6,5</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5,3</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5,6</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5,4</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3177D8" w:rsidRDefault="003177D8" w:rsidP="001D0A3E">
            <w:pPr>
              <w:spacing w:after="0" w:line="240" w:lineRule="auto"/>
              <w:jc w:val="right"/>
              <w:rPr>
                <w:rFonts w:ascii="Calibri" w:eastAsia="Times New Roman" w:hAnsi="Calibri" w:cs="Times New Roman"/>
                <w:noProof w:val="0"/>
                <w:color w:val="000000"/>
                <w:lang w:val="tr-TR" w:eastAsia="tr-TR"/>
              </w:rPr>
            </w:pPr>
            <w:r>
              <w:rPr>
                <w:rFonts w:ascii="Calibri" w:hAnsi="Calibri"/>
                <w:color w:val="000000"/>
              </w:rPr>
              <w:t>5,0</w:t>
            </w:r>
          </w:p>
        </w:tc>
        <w:tc>
          <w:tcPr>
            <w:tcW w:w="0" w:type="auto"/>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3177D8" w:rsidRDefault="00E543DB" w:rsidP="001D0A3E">
            <w:pPr>
              <w:spacing w:after="0" w:line="240" w:lineRule="auto"/>
              <w:jc w:val="right"/>
              <w:rPr>
                <w:rFonts w:ascii="Calibri" w:hAnsi="Calibri"/>
                <w:color w:val="000000"/>
              </w:rPr>
            </w:pPr>
            <w:r>
              <w:rPr>
                <w:rFonts w:ascii="Calibri" w:hAnsi="Calibri"/>
                <w:color w:val="000000"/>
              </w:rPr>
              <w:t>5,4</w:t>
            </w:r>
          </w:p>
        </w:tc>
      </w:tr>
    </w:tbl>
    <w:p w:rsidR="00BA0714" w:rsidRDefault="00BA0714" w:rsidP="001D0A3E">
      <w:pPr>
        <w:spacing w:after="0"/>
        <w:rPr>
          <w:rFonts w:cs="Arial"/>
          <w:sz w:val="20"/>
          <w:szCs w:val="20"/>
          <w:lang w:val="tr-TR"/>
        </w:rPr>
      </w:pPr>
      <w:r>
        <w:rPr>
          <w:rFonts w:cs="Arial"/>
          <w:sz w:val="20"/>
          <w:szCs w:val="20"/>
          <w:lang w:val="tr-TR"/>
        </w:rPr>
        <w:t>Kaynak: 2005-2014 Hanehalkı Bütçe Anketi kesit mikro verisetleri; Betam hesaplamaları</w:t>
      </w:r>
    </w:p>
    <w:sectPr w:rsidR="00BA0714" w:rsidSect="00133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98" w:rsidRDefault="00287A98" w:rsidP="00054B07">
      <w:pPr>
        <w:spacing w:after="0" w:line="240" w:lineRule="auto"/>
      </w:pPr>
      <w:r>
        <w:separator/>
      </w:r>
    </w:p>
  </w:endnote>
  <w:endnote w:type="continuationSeparator" w:id="0">
    <w:p w:rsidR="00287A98" w:rsidRDefault="00287A98" w:rsidP="0005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42288"/>
      <w:docPartObj>
        <w:docPartGallery w:val="Page Numbers (Bottom of Page)"/>
        <w:docPartUnique/>
      </w:docPartObj>
    </w:sdtPr>
    <w:sdtEndPr/>
    <w:sdtContent>
      <w:p w:rsidR="00C9141C" w:rsidRDefault="004A2399">
        <w:pPr>
          <w:pStyle w:val="Footer"/>
          <w:jc w:val="right"/>
        </w:pPr>
        <w:r>
          <w:fldChar w:fldCharType="begin"/>
        </w:r>
        <w:r w:rsidR="00C9141C">
          <w:instrText xml:space="preserve"> PAGE   \* MERGEFORMAT </w:instrText>
        </w:r>
        <w:r>
          <w:fldChar w:fldCharType="separate"/>
        </w:r>
        <w:r w:rsidR="00CB33EB">
          <w:t>1</w:t>
        </w:r>
        <w:r>
          <w:fldChar w:fldCharType="end"/>
        </w:r>
      </w:p>
    </w:sdtContent>
  </w:sdt>
  <w:p w:rsidR="00C9141C" w:rsidRDefault="00C91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98" w:rsidRDefault="00287A98" w:rsidP="00054B07">
      <w:pPr>
        <w:spacing w:after="0" w:line="240" w:lineRule="auto"/>
      </w:pPr>
      <w:r>
        <w:separator/>
      </w:r>
    </w:p>
  </w:footnote>
  <w:footnote w:type="continuationSeparator" w:id="0">
    <w:p w:rsidR="00287A98" w:rsidRDefault="00287A98" w:rsidP="00054B07">
      <w:pPr>
        <w:spacing w:after="0" w:line="240" w:lineRule="auto"/>
      </w:pPr>
      <w:r>
        <w:continuationSeparator/>
      </w:r>
    </w:p>
  </w:footnote>
  <w:footnote w:id="1">
    <w:p w:rsidR="00877D3E" w:rsidRDefault="00877D3E" w:rsidP="00054B07">
      <w:pPr>
        <w:pStyle w:val="FootnoteText"/>
      </w:pPr>
      <w:r>
        <w:rPr>
          <w:rStyle w:val="FootnoteReference"/>
        </w:rPr>
        <w:t>*</w:t>
      </w:r>
      <w:r>
        <w:rPr>
          <w:rFonts w:cs="Arial"/>
        </w:rPr>
        <w:t xml:space="preserve">Prof. Dr. Seyfettin Gürsel, Betam, Direktör, </w:t>
      </w:r>
      <w:hyperlink r:id="rId1" w:history="1">
        <w:r>
          <w:rPr>
            <w:rStyle w:val="Hyperlink"/>
            <w:rFonts w:cs="Arial"/>
          </w:rPr>
          <w:t>seyfettin.gursel@eas.bau.edu.tr</w:t>
        </w:r>
      </w:hyperlink>
    </w:p>
  </w:footnote>
  <w:footnote w:id="2">
    <w:p w:rsidR="00877D3E" w:rsidRDefault="00877D3E" w:rsidP="00054B07">
      <w:pPr>
        <w:pStyle w:val="FootnoteText"/>
      </w:pPr>
      <w:r>
        <w:rPr>
          <w:rStyle w:val="FootnoteReference"/>
        </w:rPr>
        <w:sym w:font="Symbol" w:char="002A"/>
      </w:r>
      <w:r>
        <w:rPr>
          <w:rStyle w:val="FootnoteReference"/>
        </w:rPr>
        <w:sym w:font="Symbol" w:char="002A"/>
      </w:r>
      <w:r>
        <w:rPr>
          <w:rFonts w:cs="Arial"/>
        </w:rPr>
        <w:t xml:space="preserve"> Yrd. Doç. Dr. Gökçe Uysal, Betam, Direktör Yardımcısı, </w:t>
      </w:r>
      <w:hyperlink r:id="rId2" w:history="1">
        <w:r>
          <w:rPr>
            <w:rStyle w:val="Hyperlink"/>
            <w:rFonts w:cs="Arial"/>
          </w:rPr>
          <w:t>gokce.uysal@eas.bau.edu.tr</w:t>
        </w:r>
      </w:hyperlink>
    </w:p>
  </w:footnote>
  <w:footnote w:id="3">
    <w:p w:rsidR="00877D3E" w:rsidRDefault="00877D3E" w:rsidP="00054B07">
      <w:pPr>
        <w:pStyle w:val="FootnoteText"/>
      </w:pPr>
      <w:r>
        <w:rPr>
          <w:rStyle w:val="FootnoteReference"/>
        </w:rPr>
        <w:sym w:font="Symbol" w:char="002A"/>
      </w:r>
      <w:r>
        <w:rPr>
          <w:rStyle w:val="FootnoteReference"/>
        </w:rPr>
        <w:sym w:font="Symbol" w:char="002A"/>
      </w:r>
      <w:r>
        <w:rPr>
          <w:rStyle w:val="FootnoteReference"/>
        </w:rPr>
        <w:sym w:font="Symbol" w:char="002A"/>
      </w:r>
      <w:r>
        <w:rPr>
          <w:rFonts w:cs="Arial"/>
        </w:rPr>
        <w:t xml:space="preserve">Melike Kökkızıl, Betam, Araştırma Görevlisi, </w:t>
      </w:r>
      <w:hyperlink r:id="rId3" w:history="1">
        <w:r>
          <w:rPr>
            <w:rStyle w:val="Hyperlink"/>
            <w:rFonts w:cs="Arial"/>
          </w:rPr>
          <w:t>melike.kokkizil@eas.bau.edu.tr</w:t>
        </w:r>
      </w:hyperlink>
    </w:p>
  </w:footnote>
  <w:footnote w:id="4">
    <w:p w:rsidR="00877D3E" w:rsidRDefault="00877D3E" w:rsidP="00387A09">
      <w:pPr>
        <w:spacing w:after="0" w:line="240" w:lineRule="auto"/>
        <w:jc w:val="both"/>
        <w:rPr>
          <w:rFonts w:cs="Arial"/>
          <w:sz w:val="20"/>
          <w:szCs w:val="20"/>
          <w:lang w:val="tr-TR"/>
        </w:rPr>
      </w:pPr>
      <w:r>
        <w:rPr>
          <w:rStyle w:val="FootnoteReference"/>
        </w:rPr>
        <w:footnoteRef/>
      </w:r>
      <w:r w:rsidR="00F94DC0">
        <w:rPr>
          <w:rFonts w:cs="Arial"/>
          <w:sz w:val="20"/>
          <w:szCs w:val="20"/>
          <w:lang w:val="tr-TR"/>
        </w:rPr>
        <w:t xml:space="preserve">Hanehalkı </w:t>
      </w:r>
      <w:r>
        <w:rPr>
          <w:rFonts w:cs="Arial"/>
          <w:sz w:val="20"/>
          <w:szCs w:val="20"/>
          <w:lang w:val="tr-TR"/>
        </w:rPr>
        <w:t xml:space="preserve">Bütçe Anketi’nin 2003 ve 2004 yıllarındaki anketleri diğer kullandığımız </w:t>
      </w:r>
      <w:r w:rsidRPr="00EA4896">
        <w:rPr>
          <w:rFonts w:cs="Arial"/>
          <w:sz w:val="20"/>
          <w:szCs w:val="20"/>
          <w:lang w:val="tr-TR"/>
        </w:rPr>
        <w:t>verisetlerine kıyasla örneklem tasarımında ciddi farklılıklar bulunmaktadır. Bu önemli farklılıklar bütçe anketinin alt kırılımlardan elde edilen verileri ciddi anlamda bozmaktadır. Farklı gelir grubundaki hanelerin dayanıklı tüketimine yönelik</w:t>
      </w:r>
      <w:r>
        <w:rPr>
          <w:rFonts w:cs="Arial"/>
          <w:sz w:val="20"/>
          <w:szCs w:val="20"/>
          <w:lang w:val="tr-TR"/>
        </w:rPr>
        <w:t xml:space="preserve"> harcamalarına odaklandığımız bu çalışmada 2003 ve 2004 yıllarını çalışmanın dışında bırakılmıştır.</w:t>
      </w:r>
    </w:p>
  </w:footnote>
  <w:footnote w:id="5">
    <w:p w:rsidR="00877D3E" w:rsidRDefault="00877D3E" w:rsidP="00F36592">
      <w:pPr>
        <w:pStyle w:val="FootnoteText"/>
        <w:rPr>
          <w:lang w:val="tr-TR"/>
        </w:rPr>
      </w:pPr>
      <w:r>
        <w:rPr>
          <w:rStyle w:val="FootnoteReference"/>
        </w:rPr>
        <w:footnoteRef/>
      </w:r>
      <w:r w:rsidRPr="009145BA">
        <w:rPr>
          <w:lang w:val="tr-TR"/>
        </w:rPr>
        <w:t xml:space="preserve"> </w:t>
      </w:r>
      <w:r>
        <w:rPr>
          <w:lang w:val="tr-TR"/>
        </w:rPr>
        <w:t>Dayanıklı tüketim mallarına yönelik aylık harcama için anket ayını içine alan son bir yıl içinde yapılan harcamaların aylık ortalama değeri TÜİK tarafından hesaplanmaktadır.</w:t>
      </w:r>
    </w:p>
  </w:footnote>
  <w:footnote w:id="6">
    <w:p w:rsidR="00877D3E" w:rsidRDefault="00877D3E" w:rsidP="00054B07">
      <w:pPr>
        <w:jc w:val="both"/>
        <w:rPr>
          <w:sz w:val="20"/>
          <w:szCs w:val="20"/>
          <w:lang w:val="tr-TR"/>
        </w:rPr>
      </w:pPr>
      <w:r>
        <w:rPr>
          <w:rStyle w:val="FootnoteReference"/>
        </w:rPr>
        <w:footnoteRef/>
      </w:r>
      <w:r w:rsidR="006F26F7">
        <w:fldChar w:fldCharType="begin"/>
      </w:r>
      <w:r w:rsidR="006F26F7">
        <w:instrText xml:space="preserve"> REF _Ref466387308 \h  \* MERGEFORMAT </w:instrText>
      </w:r>
      <w:r w:rsidR="006F26F7">
        <w:fldChar w:fldCharType="separate"/>
      </w:r>
      <w:r>
        <w:rPr>
          <w:sz w:val="20"/>
          <w:szCs w:val="20"/>
          <w:lang w:val="tr-TR"/>
        </w:rPr>
        <w:t>Şekil 1</w:t>
      </w:r>
      <w:r w:rsidR="006F26F7">
        <w:fldChar w:fldCharType="end"/>
      </w:r>
      <w:r>
        <w:rPr>
          <w:sz w:val="20"/>
          <w:szCs w:val="20"/>
          <w:lang w:val="tr-TR"/>
        </w:rPr>
        <w:t>’de mo</w:t>
      </w:r>
      <w:r>
        <w:rPr>
          <w:rFonts w:cs="Arial"/>
          <w:sz w:val="20"/>
          <w:szCs w:val="20"/>
          <w:lang w:val="tr-TR"/>
        </w:rPr>
        <w:t>bilya ile yer döşeme onarımı, dikiş ve örme makineleri, hanehalkının kullandığı diğer temel cihazlar, çatal-bıçak takımı, sofra takımı ve gümüş takımlar, cam eşyaların, sofra takımlarının ve diğer ev gereçlerinin onarımı, başlıca alet ve ekipmanlar, bisikletler, ses cihazları, optik aletler, ev dışındaki eğlenceye yönelik başlıca dayanıklı mallar, müzik aletleri, ev içi eğlenceye yönelik diğer dayanıklı mallar ve spor ekipmanlarının hane tüketimindeki payı 2005’te ve 2014’te yüzde 0,0 olduğu için grafikten çıkarılmıştır.</w:t>
      </w:r>
      <w:r>
        <w:rPr>
          <w:rFonts w:cs="Arial"/>
          <w:lang w:val="tr-TR"/>
        </w:rPr>
        <w:t xml:space="preserve"> </w:t>
      </w:r>
    </w:p>
  </w:footnote>
  <w:footnote w:id="7">
    <w:p w:rsidR="00877D3E" w:rsidRDefault="00877D3E" w:rsidP="00054B07">
      <w:pPr>
        <w:pStyle w:val="FootnoteText"/>
        <w:rPr>
          <w:lang w:val="tr-TR"/>
        </w:rPr>
      </w:pPr>
      <w:r>
        <w:rPr>
          <w:rStyle w:val="FootnoteReference"/>
        </w:rPr>
        <w:footnoteRef/>
      </w:r>
      <w:r w:rsidRPr="009145BA">
        <w:rPr>
          <w:lang w:val="tr-TR"/>
        </w:rPr>
        <w:t>Dayanıklı tüketim malları en yüksek paya sahip olandan en az paya sahip olana doğru sıralanmış ve yüzde 1’den fazla paya sahip olan ürünler listelenmiştir. Ortalama payı hesaplarken her bir hanenin yaptığı harcama tutarı esas alınmış, bu ürüne dair harcaması bulunmuyor ise 0 olarak kabul edilmiştir.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E8"/>
    <w:rsid w:val="00003CC9"/>
    <w:rsid w:val="000057B7"/>
    <w:rsid w:val="00010623"/>
    <w:rsid w:val="0001178B"/>
    <w:rsid w:val="000231F4"/>
    <w:rsid w:val="00024AE1"/>
    <w:rsid w:val="00030E86"/>
    <w:rsid w:val="00035A95"/>
    <w:rsid w:val="0003645A"/>
    <w:rsid w:val="000367A9"/>
    <w:rsid w:val="000409BD"/>
    <w:rsid w:val="00044CAA"/>
    <w:rsid w:val="00053455"/>
    <w:rsid w:val="00053C6D"/>
    <w:rsid w:val="00054B07"/>
    <w:rsid w:val="00054DF4"/>
    <w:rsid w:val="000568BE"/>
    <w:rsid w:val="00056C6A"/>
    <w:rsid w:val="00057E9B"/>
    <w:rsid w:val="00063841"/>
    <w:rsid w:val="000653C6"/>
    <w:rsid w:val="00073ACB"/>
    <w:rsid w:val="00075AA8"/>
    <w:rsid w:val="00076343"/>
    <w:rsid w:val="0008204E"/>
    <w:rsid w:val="00082388"/>
    <w:rsid w:val="00083891"/>
    <w:rsid w:val="00084B7C"/>
    <w:rsid w:val="000852DF"/>
    <w:rsid w:val="00091CCA"/>
    <w:rsid w:val="00094429"/>
    <w:rsid w:val="0009698C"/>
    <w:rsid w:val="000A423A"/>
    <w:rsid w:val="000B0EDA"/>
    <w:rsid w:val="000B16BA"/>
    <w:rsid w:val="000B30BA"/>
    <w:rsid w:val="000B37B0"/>
    <w:rsid w:val="000B3EE8"/>
    <w:rsid w:val="000B45CD"/>
    <w:rsid w:val="000B52D7"/>
    <w:rsid w:val="000C7316"/>
    <w:rsid w:val="000E0C38"/>
    <w:rsid w:val="000E2261"/>
    <w:rsid w:val="000E237A"/>
    <w:rsid w:val="000E24E4"/>
    <w:rsid w:val="001005D5"/>
    <w:rsid w:val="001019A3"/>
    <w:rsid w:val="00101AC4"/>
    <w:rsid w:val="00106851"/>
    <w:rsid w:val="00111148"/>
    <w:rsid w:val="00114D5A"/>
    <w:rsid w:val="0011664E"/>
    <w:rsid w:val="00116B00"/>
    <w:rsid w:val="00116ED6"/>
    <w:rsid w:val="00123024"/>
    <w:rsid w:val="0012329A"/>
    <w:rsid w:val="00131A0C"/>
    <w:rsid w:val="00131AB2"/>
    <w:rsid w:val="001333FA"/>
    <w:rsid w:val="00133D9F"/>
    <w:rsid w:val="00141889"/>
    <w:rsid w:val="00162E75"/>
    <w:rsid w:val="00164ADC"/>
    <w:rsid w:val="0017306D"/>
    <w:rsid w:val="001766F5"/>
    <w:rsid w:val="00183462"/>
    <w:rsid w:val="00184133"/>
    <w:rsid w:val="00192C37"/>
    <w:rsid w:val="001945A1"/>
    <w:rsid w:val="001B206C"/>
    <w:rsid w:val="001B247B"/>
    <w:rsid w:val="001B4E4A"/>
    <w:rsid w:val="001C4EBC"/>
    <w:rsid w:val="001C77DC"/>
    <w:rsid w:val="001D0A3E"/>
    <w:rsid w:val="001D0D72"/>
    <w:rsid w:val="001D16A8"/>
    <w:rsid w:val="001D4D1F"/>
    <w:rsid w:val="001D5D7B"/>
    <w:rsid w:val="001E5772"/>
    <w:rsid w:val="001E63B7"/>
    <w:rsid w:val="001F6D9B"/>
    <w:rsid w:val="001F7FE5"/>
    <w:rsid w:val="00203580"/>
    <w:rsid w:val="0021197C"/>
    <w:rsid w:val="00214BF2"/>
    <w:rsid w:val="002167D1"/>
    <w:rsid w:val="002237C5"/>
    <w:rsid w:val="00227EF0"/>
    <w:rsid w:val="00236A7C"/>
    <w:rsid w:val="0024001B"/>
    <w:rsid w:val="00242A8F"/>
    <w:rsid w:val="00246033"/>
    <w:rsid w:val="00262893"/>
    <w:rsid w:val="00263295"/>
    <w:rsid w:val="002653B6"/>
    <w:rsid w:val="00267F74"/>
    <w:rsid w:val="0027138E"/>
    <w:rsid w:val="00271440"/>
    <w:rsid w:val="002748F8"/>
    <w:rsid w:val="002753E4"/>
    <w:rsid w:val="002757B3"/>
    <w:rsid w:val="00281D24"/>
    <w:rsid w:val="00287A98"/>
    <w:rsid w:val="00290F3D"/>
    <w:rsid w:val="00291DB3"/>
    <w:rsid w:val="002923AA"/>
    <w:rsid w:val="002966C3"/>
    <w:rsid w:val="002A2BB8"/>
    <w:rsid w:val="002A51A1"/>
    <w:rsid w:val="002B1103"/>
    <w:rsid w:val="002B6163"/>
    <w:rsid w:val="002C12B1"/>
    <w:rsid w:val="002D02A3"/>
    <w:rsid w:val="002E1FDD"/>
    <w:rsid w:val="002E764C"/>
    <w:rsid w:val="002F38DE"/>
    <w:rsid w:val="00301551"/>
    <w:rsid w:val="00303B6D"/>
    <w:rsid w:val="00306A83"/>
    <w:rsid w:val="00307A13"/>
    <w:rsid w:val="003137CA"/>
    <w:rsid w:val="003177D8"/>
    <w:rsid w:val="00325B2C"/>
    <w:rsid w:val="00326889"/>
    <w:rsid w:val="00330ABF"/>
    <w:rsid w:val="003322D1"/>
    <w:rsid w:val="003342EC"/>
    <w:rsid w:val="00334F1B"/>
    <w:rsid w:val="003412ED"/>
    <w:rsid w:val="0034153D"/>
    <w:rsid w:val="00341A64"/>
    <w:rsid w:val="003434A6"/>
    <w:rsid w:val="00345301"/>
    <w:rsid w:val="00350D1D"/>
    <w:rsid w:val="003537AB"/>
    <w:rsid w:val="00356769"/>
    <w:rsid w:val="003619D1"/>
    <w:rsid w:val="0036625E"/>
    <w:rsid w:val="00367834"/>
    <w:rsid w:val="00375760"/>
    <w:rsid w:val="00376286"/>
    <w:rsid w:val="00381FD6"/>
    <w:rsid w:val="00386F9E"/>
    <w:rsid w:val="0038718F"/>
    <w:rsid w:val="00387A09"/>
    <w:rsid w:val="00395125"/>
    <w:rsid w:val="00397AB8"/>
    <w:rsid w:val="003A06D0"/>
    <w:rsid w:val="003A213B"/>
    <w:rsid w:val="003A216C"/>
    <w:rsid w:val="003A258A"/>
    <w:rsid w:val="003B3639"/>
    <w:rsid w:val="003B769F"/>
    <w:rsid w:val="003D457A"/>
    <w:rsid w:val="0040149C"/>
    <w:rsid w:val="004022F7"/>
    <w:rsid w:val="00413FC8"/>
    <w:rsid w:val="00414A02"/>
    <w:rsid w:val="00416743"/>
    <w:rsid w:val="004178AF"/>
    <w:rsid w:val="00417ABA"/>
    <w:rsid w:val="00420D12"/>
    <w:rsid w:val="00422C83"/>
    <w:rsid w:val="004335D8"/>
    <w:rsid w:val="00437351"/>
    <w:rsid w:val="00437ABC"/>
    <w:rsid w:val="0044014C"/>
    <w:rsid w:val="0044048E"/>
    <w:rsid w:val="00442AE3"/>
    <w:rsid w:val="00445506"/>
    <w:rsid w:val="00446505"/>
    <w:rsid w:val="0044779F"/>
    <w:rsid w:val="00450437"/>
    <w:rsid w:val="00452581"/>
    <w:rsid w:val="00455DF1"/>
    <w:rsid w:val="00456758"/>
    <w:rsid w:val="00456D74"/>
    <w:rsid w:val="0045752A"/>
    <w:rsid w:val="00461572"/>
    <w:rsid w:val="00470A43"/>
    <w:rsid w:val="004743A8"/>
    <w:rsid w:val="004748D4"/>
    <w:rsid w:val="00486443"/>
    <w:rsid w:val="0048770C"/>
    <w:rsid w:val="0048776C"/>
    <w:rsid w:val="00491BA0"/>
    <w:rsid w:val="004A0BE9"/>
    <w:rsid w:val="004A0DFA"/>
    <w:rsid w:val="004A19AD"/>
    <w:rsid w:val="004A2399"/>
    <w:rsid w:val="004B0971"/>
    <w:rsid w:val="004C02F7"/>
    <w:rsid w:val="004C51AA"/>
    <w:rsid w:val="004C77E5"/>
    <w:rsid w:val="004D22E0"/>
    <w:rsid w:val="004D4D62"/>
    <w:rsid w:val="004E0412"/>
    <w:rsid w:val="004E073C"/>
    <w:rsid w:val="004F01BC"/>
    <w:rsid w:val="004F0614"/>
    <w:rsid w:val="004F173C"/>
    <w:rsid w:val="004F2666"/>
    <w:rsid w:val="004F429A"/>
    <w:rsid w:val="0050078B"/>
    <w:rsid w:val="00502FC0"/>
    <w:rsid w:val="00503A4D"/>
    <w:rsid w:val="00503D43"/>
    <w:rsid w:val="00503EE4"/>
    <w:rsid w:val="00503FF5"/>
    <w:rsid w:val="00514DE6"/>
    <w:rsid w:val="005151E1"/>
    <w:rsid w:val="00516498"/>
    <w:rsid w:val="00520542"/>
    <w:rsid w:val="0052314A"/>
    <w:rsid w:val="005249EA"/>
    <w:rsid w:val="00526C24"/>
    <w:rsid w:val="00531AC3"/>
    <w:rsid w:val="005366B9"/>
    <w:rsid w:val="00540F6E"/>
    <w:rsid w:val="00541B9F"/>
    <w:rsid w:val="005469C9"/>
    <w:rsid w:val="005765FA"/>
    <w:rsid w:val="00582190"/>
    <w:rsid w:val="00586F35"/>
    <w:rsid w:val="0059027F"/>
    <w:rsid w:val="00594A70"/>
    <w:rsid w:val="005956FD"/>
    <w:rsid w:val="005A0F9B"/>
    <w:rsid w:val="005A50F2"/>
    <w:rsid w:val="005A6BE5"/>
    <w:rsid w:val="005B0014"/>
    <w:rsid w:val="005B00AC"/>
    <w:rsid w:val="005B6246"/>
    <w:rsid w:val="005B643E"/>
    <w:rsid w:val="005B7B2C"/>
    <w:rsid w:val="005C00B1"/>
    <w:rsid w:val="005C7E5B"/>
    <w:rsid w:val="005D099B"/>
    <w:rsid w:val="005E3134"/>
    <w:rsid w:val="005E6FA4"/>
    <w:rsid w:val="005F22A6"/>
    <w:rsid w:val="005F55FB"/>
    <w:rsid w:val="0060188B"/>
    <w:rsid w:val="00606A0E"/>
    <w:rsid w:val="00612B0F"/>
    <w:rsid w:val="00616AC3"/>
    <w:rsid w:val="00622217"/>
    <w:rsid w:val="00627AD3"/>
    <w:rsid w:val="00631E15"/>
    <w:rsid w:val="006330B7"/>
    <w:rsid w:val="0063341F"/>
    <w:rsid w:val="00644CF9"/>
    <w:rsid w:val="00652BE4"/>
    <w:rsid w:val="00655343"/>
    <w:rsid w:val="006605BA"/>
    <w:rsid w:val="0066200A"/>
    <w:rsid w:val="00667F57"/>
    <w:rsid w:val="00675D0F"/>
    <w:rsid w:val="00677C29"/>
    <w:rsid w:val="00682F59"/>
    <w:rsid w:val="00691CAB"/>
    <w:rsid w:val="00691EE1"/>
    <w:rsid w:val="006926F6"/>
    <w:rsid w:val="00694C08"/>
    <w:rsid w:val="00695891"/>
    <w:rsid w:val="006A3A49"/>
    <w:rsid w:val="006A54FE"/>
    <w:rsid w:val="006A73BC"/>
    <w:rsid w:val="006B116C"/>
    <w:rsid w:val="006C01D6"/>
    <w:rsid w:val="006C4364"/>
    <w:rsid w:val="006C533A"/>
    <w:rsid w:val="006D51AE"/>
    <w:rsid w:val="006D7E5F"/>
    <w:rsid w:val="006E706A"/>
    <w:rsid w:val="006F213C"/>
    <w:rsid w:val="006F26F7"/>
    <w:rsid w:val="006F4D5D"/>
    <w:rsid w:val="006F7C8F"/>
    <w:rsid w:val="00700019"/>
    <w:rsid w:val="00700399"/>
    <w:rsid w:val="0070302C"/>
    <w:rsid w:val="00703167"/>
    <w:rsid w:val="007032C1"/>
    <w:rsid w:val="007035F0"/>
    <w:rsid w:val="007062D5"/>
    <w:rsid w:val="007132E5"/>
    <w:rsid w:val="00716DC3"/>
    <w:rsid w:val="00717542"/>
    <w:rsid w:val="00730189"/>
    <w:rsid w:val="0075424A"/>
    <w:rsid w:val="007555A3"/>
    <w:rsid w:val="00765A0A"/>
    <w:rsid w:val="00782AE1"/>
    <w:rsid w:val="007845C0"/>
    <w:rsid w:val="0078469B"/>
    <w:rsid w:val="00786682"/>
    <w:rsid w:val="007908D2"/>
    <w:rsid w:val="007922D7"/>
    <w:rsid w:val="0079305F"/>
    <w:rsid w:val="00797CF3"/>
    <w:rsid w:val="007A4EDB"/>
    <w:rsid w:val="007B5BA8"/>
    <w:rsid w:val="007B76D0"/>
    <w:rsid w:val="007C1645"/>
    <w:rsid w:val="007C6233"/>
    <w:rsid w:val="007D0EA2"/>
    <w:rsid w:val="007D4575"/>
    <w:rsid w:val="007D6CB5"/>
    <w:rsid w:val="007D7B40"/>
    <w:rsid w:val="007E0197"/>
    <w:rsid w:val="007E3FFE"/>
    <w:rsid w:val="007F1353"/>
    <w:rsid w:val="007F5EA6"/>
    <w:rsid w:val="007F7352"/>
    <w:rsid w:val="007F7C3A"/>
    <w:rsid w:val="008171BB"/>
    <w:rsid w:val="00836511"/>
    <w:rsid w:val="00836FFA"/>
    <w:rsid w:val="00837093"/>
    <w:rsid w:val="0084346D"/>
    <w:rsid w:val="00847216"/>
    <w:rsid w:val="00854582"/>
    <w:rsid w:val="00855948"/>
    <w:rsid w:val="00873480"/>
    <w:rsid w:val="00877D3E"/>
    <w:rsid w:val="00880FE5"/>
    <w:rsid w:val="00890247"/>
    <w:rsid w:val="00891895"/>
    <w:rsid w:val="00892039"/>
    <w:rsid w:val="0089318F"/>
    <w:rsid w:val="0089441F"/>
    <w:rsid w:val="008962CB"/>
    <w:rsid w:val="008967FC"/>
    <w:rsid w:val="008A2C7E"/>
    <w:rsid w:val="008A518B"/>
    <w:rsid w:val="008A5AC1"/>
    <w:rsid w:val="008B5DE9"/>
    <w:rsid w:val="008C28E2"/>
    <w:rsid w:val="008C5640"/>
    <w:rsid w:val="008C79CD"/>
    <w:rsid w:val="008D4522"/>
    <w:rsid w:val="008D5C48"/>
    <w:rsid w:val="008E11F4"/>
    <w:rsid w:val="008F4276"/>
    <w:rsid w:val="00906E6D"/>
    <w:rsid w:val="009112B9"/>
    <w:rsid w:val="009145BA"/>
    <w:rsid w:val="00915CE5"/>
    <w:rsid w:val="009216D7"/>
    <w:rsid w:val="00922B2F"/>
    <w:rsid w:val="00923063"/>
    <w:rsid w:val="00925BE4"/>
    <w:rsid w:val="009267A5"/>
    <w:rsid w:val="00927067"/>
    <w:rsid w:val="0093072F"/>
    <w:rsid w:val="00934A6D"/>
    <w:rsid w:val="00946555"/>
    <w:rsid w:val="00953338"/>
    <w:rsid w:val="00955552"/>
    <w:rsid w:val="009562E8"/>
    <w:rsid w:val="0095741F"/>
    <w:rsid w:val="00960B48"/>
    <w:rsid w:val="00960B52"/>
    <w:rsid w:val="009649D6"/>
    <w:rsid w:val="00964C07"/>
    <w:rsid w:val="00965F86"/>
    <w:rsid w:val="009708EB"/>
    <w:rsid w:val="00972CDC"/>
    <w:rsid w:val="00983373"/>
    <w:rsid w:val="00987050"/>
    <w:rsid w:val="0099013F"/>
    <w:rsid w:val="0099288B"/>
    <w:rsid w:val="009A0724"/>
    <w:rsid w:val="009A1CC6"/>
    <w:rsid w:val="009A6A79"/>
    <w:rsid w:val="009B4EEB"/>
    <w:rsid w:val="009C2A37"/>
    <w:rsid w:val="009C543E"/>
    <w:rsid w:val="009D2E23"/>
    <w:rsid w:val="009D3B6E"/>
    <w:rsid w:val="009E0136"/>
    <w:rsid w:val="009E1ABE"/>
    <w:rsid w:val="009E5864"/>
    <w:rsid w:val="009E74F4"/>
    <w:rsid w:val="009F61F6"/>
    <w:rsid w:val="00A04872"/>
    <w:rsid w:val="00A136E9"/>
    <w:rsid w:val="00A14AAC"/>
    <w:rsid w:val="00A1639D"/>
    <w:rsid w:val="00A16F39"/>
    <w:rsid w:val="00A21BA4"/>
    <w:rsid w:val="00A320DA"/>
    <w:rsid w:val="00A35AF7"/>
    <w:rsid w:val="00A37CB4"/>
    <w:rsid w:val="00A40170"/>
    <w:rsid w:val="00A45CAA"/>
    <w:rsid w:val="00A47119"/>
    <w:rsid w:val="00A476D9"/>
    <w:rsid w:val="00A548FA"/>
    <w:rsid w:val="00A57A42"/>
    <w:rsid w:val="00A600E3"/>
    <w:rsid w:val="00A6010D"/>
    <w:rsid w:val="00A608C2"/>
    <w:rsid w:val="00A62A68"/>
    <w:rsid w:val="00A639F1"/>
    <w:rsid w:val="00A65928"/>
    <w:rsid w:val="00A761F4"/>
    <w:rsid w:val="00A81735"/>
    <w:rsid w:val="00A90B6C"/>
    <w:rsid w:val="00A91FB7"/>
    <w:rsid w:val="00A925E0"/>
    <w:rsid w:val="00A92741"/>
    <w:rsid w:val="00A92E26"/>
    <w:rsid w:val="00A95120"/>
    <w:rsid w:val="00AA1BBA"/>
    <w:rsid w:val="00AA3CB4"/>
    <w:rsid w:val="00AD126E"/>
    <w:rsid w:val="00AD1944"/>
    <w:rsid w:val="00AD5F0E"/>
    <w:rsid w:val="00AD6EF0"/>
    <w:rsid w:val="00AE2F52"/>
    <w:rsid w:val="00AE3049"/>
    <w:rsid w:val="00AE661A"/>
    <w:rsid w:val="00AE6D17"/>
    <w:rsid w:val="00AE7AAF"/>
    <w:rsid w:val="00AF08C2"/>
    <w:rsid w:val="00AF2703"/>
    <w:rsid w:val="00B00169"/>
    <w:rsid w:val="00B04145"/>
    <w:rsid w:val="00B04DAF"/>
    <w:rsid w:val="00B154C0"/>
    <w:rsid w:val="00B154EF"/>
    <w:rsid w:val="00B21025"/>
    <w:rsid w:val="00B248E5"/>
    <w:rsid w:val="00B24B1F"/>
    <w:rsid w:val="00B266A2"/>
    <w:rsid w:val="00B33884"/>
    <w:rsid w:val="00B36406"/>
    <w:rsid w:val="00B37212"/>
    <w:rsid w:val="00B37C9E"/>
    <w:rsid w:val="00B37EE2"/>
    <w:rsid w:val="00B405F6"/>
    <w:rsid w:val="00B4102F"/>
    <w:rsid w:val="00B45DD7"/>
    <w:rsid w:val="00B508A6"/>
    <w:rsid w:val="00B521E1"/>
    <w:rsid w:val="00B55522"/>
    <w:rsid w:val="00B579A1"/>
    <w:rsid w:val="00B601EF"/>
    <w:rsid w:val="00B606A7"/>
    <w:rsid w:val="00B66EF5"/>
    <w:rsid w:val="00B76ECE"/>
    <w:rsid w:val="00B77BF7"/>
    <w:rsid w:val="00B8071C"/>
    <w:rsid w:val="00B80DC1"/>
    <w:rsid w:val="00B81358"/>
    <w:rsid w:val="00B82B20"/>
    <w:rsid w:val="00B8563E"/>
    <w:rsid w:val="00B862BA"/>
    <w:rsid w:val="00B87CC7"/>
    <w:rsid w:val="00B919A8"/>
    <w:rsid w:val="00B93935"/>
    <w:rsid w:val="00B95854"/>
    <w:rsid w:val="00B95FC0"/>
    <w:rsid w:val="00B967E8"/>
    <w:rsid w:val="00B96CC7"/>
    <w:rsid w:val="00BA0714"/>
    <w:rsid w:val="00BA0C83"/>
    <w:rsid w:val="00BA73B9"/>
    <w:rsid w:val="00BA7A04"/>
    <w:rsid w:val="00BB346F"/>
    <w:rsid w:val="00BB565A"/>
    <w:rsid w:val="00BC0040"/>
    <w:rsid w:val="00BC7C3D"/>
    <w:rsid w:val="00BD31C6"/>
    <w:rsid w:val="00BD4C0E"/>
    <w:rsid w:val="00BD596C"/>
    <w:rsid w:val="00BF25F3"/>
    <w:rsid w:val="00BF4E12"/>
    <w:rsid w:val="00BF6C09"/>
    <w:rsid w:val="00C01CB4"/>
    <w:rsid w:val="00C04E5F"/>
    <w:rsid w:val="00C07229"/>
    <w:rsid w:val="00C1206A"/>
    <w:rsid w:val="00C34FD8"/>
    <w:rsid w:val="00C37B25"/>
    <w:rsid w:val="00C40CE9"/>
    <w:rsid w:val="00C40D06"/>
    <w:rsid w:val="00C443C3"/>
    <w:rsid w:val="00C50FBA"/>
    <w:rsid w:val="00C52FE5"/>
    <w:rsid w:val="00C55BC0"/>
    <w:rsid w:val="00C61A06"/>
    <w:rsid w:val="00C67205"/>
    <w:rsid w:val="00C70919"/>
    <w:rsid w:val="00C75C05"/>
    <w:rsid w:val="00C811D1"/>
    <w:rsid w:val="00C9141C"/>
    <w:rsid w:val="00CB0FCB"/>
    <w:rsid w:val="00CB33EB"/>
    <w:rsid w:val="00CB71B8"/>
    <w:rsid w:val="00CC3F5D"/>
    <w:rsid w:val="00CD6109"/>
    <w:rsid w:val="00CD74E2"/>
    <w:rsid w:val="00CE1D80"/>
    <w:rsid w:val="00CE310C"/>
    <w:rsid w:val="00CE315B"/>
    <w:rsid w:val="00CE4DF7"/>
    <w:rsid w:val="00CE6A53"/>
    <w:rsid w:val="00CF0EE9"/>
    <w:rsid w:val="00CF1A0C"/>
    <w:rsid w:val="00CF5BB3"/>
    <w:rsid w:val="00CF6B07"/>
    <w:rsid w:val="00D0202B"/>
    <w:rsid w:val="00D03BFE"/>
    <w:rsid w:val="00D03F14"/>
    <w:rsid w:val="00D0441D"/>
    <w:rsid w:val="00D06A28"/>
    <w:rsid w:val="00D12BD8"/>
    <w:rsid w:val="00D13377"/>
    <w:rsid w:val="00D1520C"/>
    <w:rsid w:val="00D22DA3"/>
    <w:rsid w:val="00D23DBF"/>
    <w:rsid w:val="00D312FF"/>
    <w:rsid w:val="00D37535"/>
    <w:rsid w:val="00D50DFF"/>
    <w:rsid w:val="00D53C36"/>
    <w:rsid w:val="00D60157"/>
    <w:rsid w:val="00D64A0D"/>
    <w:rsid w:val="00D653E5"/>
    <w:rsid w:val="00D6616E"/>
    <w:rsid w:val="00D71BBD"/>
    <w:rsid w:val="00D71D0C"/>
    <w:rsid w:val="00D73E12"/>
    <w:rsid w:val="00D758EF"/>
    <w:rsid w:val="00D760C2"/>
    <w:rsid w:val="00D76662"/>
    <w:rsid w:val="00D90EA4"/>
    <w:rsid w:val="00DA1C8F"/>
    <w:rsid w:val="00DA3FD6"/>
    <w:rsid w:val="00DA6AE9"/>
    <w:rsid w:val="00DA6F7E"/>
    <w:rsid w:val="00DC52C7"/>
    <w:rsid w:val="00DC6015"/>
    <w:rsid w:val="00DC609E"/>
    <w:rsid w:val="00DD1D7D"/>
    <w:rsid w:val="00DD607F"/>
    <w:rsid w:val="00DD77D9"/>
    <w:rsid w:val="00DD7CEB"/>
    <w:rsid w:val="00DE7004"/>
    <w:rsid w:val="00DF0D28"/>
    <w:rsid w:val="00DF1DCF"/>
    <w:rsid w:val="00DF2881"/>
    <w:rsid w:val="00DF4D63"/>
    <w:rsid w:val="00E02AB8"/>
    <w:rsid w:val="00E16582"/>
    <w:rsid w:val="00E20BCC"/>
    <w:rsid w:val="00E23BCC"/>
    <w:rsid w:val="00E345EF"/>
    <w:rsid w:val="00E36BA4"/>
    <w:rsid w:val="00E41CB7"/>
    <w:rsid w:val="00E4273B"/>
    <w:rsid w:val="00E543DB"/>
    <w:rsid w:val="00E54761"/>
    <w:rsid w:val="00E56743"/>
    <w:rsid w:val="00E56FD1"/>
    <w:rsid w:val="00E60EE0"/>
    <w:rsid w:val="00E6588D"/>
    <w:rsid w:val="00E670B6"/>
    <w:rsid w:val="00E6796E"/>
    <w:rsid w:val="00E73AE2"/>
    <w:rsid w:val="00E77613"/>
    <w:rsid w:val="00E77988"/>
    <w:rsid w:val="00E904EE"/>
    <w:rsid w:val="00E96807"/>
    <w:rsid w:val="00EA0749"/>
    <w:rsid w:val="00EA4896"/>
    <w:rsid w:val="00EA7754"/>
    <w:rsid w:val="00EB45F8"/>
    <w:rsid w:val="00EB70C4"/>
    <w:rsid w:val="00EC09F9"/>
    <w:rsid w:val="00EC128A"/>
    <w:rsid w:val="00EC1DE4"/>
    <w:rsid w:val="00EC2C6F"/>
    <w:rsid w:val="00EC740B"/>
    <w:rsid w:val="00EC7FE6"/>
    <w:rsid w:val="00ED2CFF"/>
    <w:rsid w:val="00ED2D87"/>
    <w:rsid w:val="00EE1BAF"/>
    <w:rsid w:val="00EE3976"/>
    <w:rsid w:val="00EE577F"/>
    <w:rsid w:val="00EE6E34"/>
    <w:rsid w:val="00EF0926"/>
    <w:rsid w:val="00EF3794"/>
    <w:rsid w:val="00EF6100"/>
    <w:rsid w:val="00EF6627"/>
    <w:rsid w:val="00F03490"/>
    <w:rsid w:val="00F048FF"/>
    <w:rsid w:val="00F05EE6"/>
    <w:rsid w:val="00F1522D"/>
    <w:rsid w:val="00F169AF"/>
    <w:rsid w:val="00F33444"/>
    <w:rsid w:val="00F36592"/>
    <w:rsid w:val="00F3778E"/>
    <w:rsid w:val="00F4259D"/>
    <w:rsid w:val="00F4301E"/>
    <w:rsid w:val="00F53167"/>
    <w:rsid w:val="00F536A5"/>
    <w:rsid w:val="00F56765"/>
    <w:rsid w:val="00F56921"/>
    <w:rsid w:val="00F621AD"/>
    <w:rsid w:val="00F627A0"/>
    <w:rsid w:val="00F64883"/>
    <w:rsid w:val="00F64F0B"/>
    <w:rsid w:val="00F667AF"/>
    <w:rsid w:val="00F70EEE"/>
    <w:rsid w:val="00F7110D"/>
    <w:rsid w:val="00F76160"/>
    <w:rsid w:val="00F80666"/>
    <w:rsid w:val="00F829D2"/>
    <w:rsid w:val="00F83CE1"/>
    <w:rsid w:val="00F84189"/>
    <w:rsid w:val="00F87FD4"/>
    <w:rsid w:val="00F90D7A"/>
    <w:rsid w:val="00F9191F"/>
    <w:rsid w:val="00F94DC0"/>
    <w:rsid w:val="00F96253"/>
    <w:rsid w:val="00FA4016"/>
    <w:rsid w:val="00FB0236"/>
    <w:rsid w:val="00FB1B5F"/>
    <w:rsid w:val="00FB4F2B"/>
    <w:rsid w:val="00FB6000"/>
    <w:rsid w:val="00FB663E"/>
    <w:rsid w:val="00FC3982"/>
    <w:rsid w:val="00FC4DD2"/>
    <w:rsid w:val="00FD2C79"/>
    <w:rsid w:val="00FE1AFB"/>
    <w:rsid w:val="00FF01EF"/>
    <w:rsid w:val="00FF07F3"/>
    <w:rsid w:val="00FF3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07"/>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B07"/>
    <w:rPr>
      <w:color w:val="0000FF" w:themeColor="hyperlink"/>
      <w:u w:val="single"/>
    </w:rPr>
  </w:style>
  <w:style w:type="paragraph" w:styleId="FootnoteText">
    <w:name w:val="footnote text"/>
    <w:basedOn w:val="Normal"/>
    <w:link w:val="FootnoteTextChar"/>
    <w:uiPriority w:val="99"/>
    <w:semiHidden/>
    <w:unhideWhenUsed/>
    <w:rsid w:val="00054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B07"/>
    <w:rPr>
      <w:noProof/>
      <w:sz w:val="20"/>
      <w:szCs w:val="20"/>
      <w:lang w:val="en-US"/>
    </w:rPr>
  </w:style>
  <w:style w:type="paragraph" w:styleId="Caption">
    <w:name w:val="caption"/>
    <w:basedOn w:val="Normal"/>
    <w:next w:val="Normal"/>
    <w:uiPriority w:val="35"/>
    <w:unhideWhenUsed/>
    <w:qFormat/>
    <w:rsid w:val="00054B07"/>
    <w:pPr>
      <w:spacing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054B07"/>
    <w:rPr>
      <w:vertAlign w:val="superscript"/>
    </w:rPr>
  </w:style>
  <w:style w:type="table" w:customStyle="1" w:styleId="NormalTablo1">
    <w:name w:val="Normal Tablo1"/>
    <w:uiPriority w:val="99"/>
    <w:semiHidden/>
    <w:rsid w:val="00054B07"/>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B07"/>
    <w:rPr>
      <w:rFonts w:ascii="Tahoma" w:hAnsi="Tahoma" w:cs="Tahoma"/>
      <w:noProof/>
      <w:sz w:val="16"/>
      <w:szCs w:val="16"/>
      <w:lang w:val="en-US"/>
    </w:rPr>
  </w:style>
  <w:style w:type="paragraph" w:styleId="NormalWeb">
    <w:name w:val="Normal (Web)"/>
    <w:basedOn w:val="Normal"/>
    <w:uiPriority w:val="99"/>
    <w:semiHidden/>
    <w:unhideWhenUsed/>
    <w:rsid w:val="00A548FA"/>
    <w:pPr>
      <w:spacing w:before="100" w:beforeAutospacing="1" w:after="100" w:afterAutospacing="1" w:line="240" w:lineRule="auto"/>
    </w:pPr>
    <w:rPr>
      <w:rFonts w:ascii="Times New Roman" w:eastAsiaTheme="minorEastAsia" w:hAnsi="Times New Roman" w:cs="Times New Roman"/>
      <w:noProof w:val="0"/>
      <w:sz w:val="24"/>
      <w:szCs w:val="24"/>
      <w:lang w:val="tr-TR" w:eastAsia="tr-TR"/>
    </w:rPr>
  </w:style>
  <w:style w:type="paragraph" w:styleId="Header">
    <w:name w:val="header"/>
    <w:basedOn w:val="Normal"/>
    <w:link w:val="HeaderChar"/>
    <w:uiPriority w:val="99"/>
    <w:unhideWhenUsed/>
    <w:rsid w:val="00C9141C"/>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141C"/>
    <w:rPr>
      <w:noProof/>
      <w:lang w:val="en-US"/>
    </w:rPr>
  </w:style>
  <w:style w:type="paragraph" w:styleId="Footer">
    <w:name w:val="footer"/>
    <w:basedOn w:val="Normal"/>
    <w:link w:val="FooterChar"/>
    <w:uiPriority w:val="99"/>
    <w:unhideWhenUsed/>
    <w:rsid w:val="00C9141C"/>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141C"/>
    <w:rPr>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07"/>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B07"/>
    <w:rPr>
      <w:color w:val="0000FF" w:themeColor="hyperlink"/>
      <w:u w:val="single"/>
    </w:rPr>
  </w:style>
  <w:style w:type="paragraph" w:styleId="FootnoteText">
    <w:name w:val="footnote text"/>
    <w:basedOn w:val="Normal"/>
    <w:link w:val="FootnoteTextChar"/>
    <w:uiPriority w:val="99"/>
    <w:semiHidden/>
    <w:unhideWhenUsed/>
    <w:rsid w:val="00054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B07"/>
    <w:rPr>
      <w:noProof/>
      <w:sz w:val="20"/>
      <w:szCs w:val="20"/>
      <w:lang w:val="en-US"/>
    </w:rPr>
  </w:style>
  <w:style w:type="paragraph" w:styleId="Caption">
    <w:name w:val="caption"/>
    <w:basedOn w:val="Normal"/>
    <w:next w:val="Normal"/>
    <w:uiPriority w:val="35"/>
    <w:unhideWhenUsed/>
    <w:qFormat/>
    <w:rsid w:val="00054B07"/>
    <w:pPr>
      <w:spacing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054B07"/>
    <w:rPr>
      <w:vertAlign w:val="superscript"/>
    </w:rPr>
  </w:style>
  <w:style w:type="table" w:customStyle="1" w:styleId="NormalTablo1">
    <w:name w:val="Normal Tablo1"/>
    <w:uiPriority w:val="99"/>
    <w:semiHidden/>
    <w:rsid w:val="00054B07"/>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B07"/>
    <w:rPr>
      <w:rFonts w:ascii="Tahoma" w:hAnsi="Tahoma" w:cs="Tahoma"/>
      <w:noProof/>
      <w:sz w:val="16"/>
      <w:szCs w:val="16"/>
      <w:lang w:val="en-US"/>
    </w:rPr>
  </w:style>
  <w:style w:type="paragraph" w:styleId="NormalWeb">
    <w:name w:val="Normal (Web)"/>
    <w:basedOn w:val="Normal"/>
    <w:uiPriority w:val="99"/>
    <w:semiHidden/>
    <w:unhideWhenUsed/>
    <w:rsid w:val="00A548FA"/>
    <w:pPr>
      <w:spacing w:before="100" w:beforeAutospacing="1" w:after="100" w:afterAutospacing="1" w:line="240" w:lineRule="auto"/>
    </w:pPr>
    <w:rPr>
      <w:rFonts w:ascii="Times New Roman" w:eastAsiaTheme="minorEastAsia" w:hAnsi="Times New Roman" w:cs="Times New Roman"/>
      <w:noProof w:val="0"/>
      <w:sz w:val="24"/>
      <w:szCs w:val="24"/>
      <w:lang w:val="tr-TR" w:eastAsia="tr-TR"/>
    </w:rPr>
  </w:style>
  <w:style w:type="paragraph" w:styleId="Header">
    <w:name w:val="header"/>
    <w:basedOn w:val="Normal"/>
    <w:link w:val="HeaderChar"/>
    <w:uiPriority w:val="99"/>
    <w:unhideWhenUsed/>
    <w:rsid w:val="00C9141C"/>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141C"/>
    <w:rPr>
      <w:noProof/>
      <w:lang w:val="en-US"/>
    </w:rPr>
  </w:style>
  <w:style w:type="paragraph" w:styleId="Footer">
    <w:name w:val="footer"/>
    <w:basedOn w:val="Normal"/>
    <w:link w:val="FooterChar"/>
    <w:uiPriority w:val="99"/>
    <w:unhideWhenUsed/>
    <w:rsid w:val="00C9141C"/>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141C"/>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246">
      <w:bodyDiv w:val="1"/>
      <w:marLeft w:val="0"/>
      <w:marRight w:val="0"/>
      <w:marTop w:val="0"/>
      <w:marBottom w:val="0"/>
      <w:divBdr>
        <w:top w:val="none" w:sz="0" w:space="0" w:color="auto"/>
        <w:left w:val="none" w:sz="0" w:space="0" w:color="auto"/>
        <w:bottom w:val="none" w:sz="0" w:space="0" w:color="auto"/>
        <w:right w:val="none" w:sz="0" w:space="0" w:color="auto"/>
      </w:divBdr>
    </w:div>
    <w:div w:id="50619431">
      <w:bodyDiv w:val="1"/>
      <w:marLeft w:val="0"/>
      <w:marRight w:val="0"/>
      <w:marTop w:val="0"/>
      <w:marBottom w:val="0"/>
      <w:divBdr>
        <w:top w:val="none" w:sz="0" w:space="0" w:color="auto"/>
        <w:left w:val="none" w:sz="0" w:space="0" w:color="auto"/>
        <w:bottom w:val="none" w:sz="0" w:space="0" w:color="auto"/>
        <w:right w:val="none" w:sz="0" w:space="0" w:color="auto"/>
      </w:divBdr>
    </w:div>
    <w:div w:id="277687018">
      <w:bodyDiv w:val="1"/>
      <w:marLeft w:val="0"/>
      <w:marRight w:val="0"/>
      <w:marTop w:val="0"/>
      <w:marBottom w:val="0"/>
      <w:divBdr>
        <w:top w:val="none" w:sz="0" w:space="0" w:color="auto"/>
        <w:left w:val="none" w:sz="0" w:space="0" w:color="auto"/>
        <w:bottom w:val="none" w:sz="0" w:space="0" w:color="auto"/>
        <w:right w:val="none" w:sz="0" w:space="0" w:color="auto"/>
      </w:divBdr>
    </w:div>
    <w:div w:id="322704469">
      <w:bodyDiv w:val="1"/>
      <w:marLeft w:val="0"/>
      <w:marRight w:val="0"/>
      <w:marTop w:val="0"/>
      <w:marBottom w:val="0"/>
      <w:divBdr>
        <w:top w:val="none" w:sz="0" w:space="0" w:color="auto"/>
        <w:left w:val="none" w:sz="0" w:space="0" w:color="auto"/>
        <w:bottom w:val="none" w:sz="0" w:space="0" w:color="auto"/>
        <w:right w:val="none" w:sz="0" w:space="0" w:color="auto"/>
      </w:divBdr>
    </w:div>
    <w:div w:id="400257153">
      <w:bodyDiv w:val="1"/>
      <w:marLeft w:val="0"/>
      <w:marRight w:val="0"/>
      <w:marTop w:val="0"/>
      <w:marBottom w:val="0"/>
      <w:divBdr>
        <w:top w:val="none" w:sz="0" w:space="0" w:color="auto"/>
        <w:left w:val="none" w:sz="0" w:space="0" w:color="auto"/>
        <w:bottom w:val="none" w:sz="0" w:space="0" w:color="auto"/>
        <w:right w:val="none" w:sz="0" w:space="0" w:color="auto"/>
      </w:divBdr>
    </w:div>
    <w:div w:id="457456097">
      <w:bodyDiv w:val="1"/>
      <w:marLeft w:val="0"/>
      <w:marRight w:val="0"/>
      <w:marTop w:val="0"/>
      <w:marBottom w:val="0"/>
      <w:divBdr>
        <w:top w:val="none" w:sz="0" w:space="0" w:color="auto"/>
        <w:left w:val="none" w:sz="0" w:space="0" w:color="auto"/>
        <w:bottom w:val="none" w:sz="0" w:space="0" w:color="auto"/>
        <w:right w:val="none" w:sz="0" w:space="0" w:color="auto"/>
      </w:divBdr>
    </w:div>
    <w:div w:id="522327266">
      <w:bodyDiv w:val="1"/>
      <w:marLeft w:val="0"/>
      <w:marRight w:val="0"/>
      <w:marTop w:val="0"/>
      <w:marBottom w:val="0"/>
      <w:divBdr>
        <w:top w:val="none" w:sz="0" w:space="0" w:color="auto"/>
        <w:left w:val="none" w:sz="0" w:space="0" w:color="auto"/>
        <w:bottom w:val="none" w:sz="0" w:space="0" w:color="auto"/>
        <w:right w:val="none" w:sz="0" w:space="0" w:color="auto"/>
      </w:divBdr>
    </w:div>
    <w:div w:id="599488272">
      <w:bodyDiv w:val="1"/>
      <w:marLeft w:val="0"/>
      <w:marRight w:val="0"/>
      <w:marTop w:val="0"/>
      <w:marBottom w:val="0"/>
      <w:divBdr>
        <w:top w:val="none" w:sz="0" w:space="0" w:color="auto"/>
        <w:left w:val="none" w:sz="0" w:space="0" w:color="auto"/>
        <w:bottom w:val="none" w:sz="0" w:space="0" w:color="auto"/>
        <w:right w:val="none" w:sz="0" w:space="0" w:color="auto"/>
      </w:divBdr>
    </w:div>
    <w:div w:id="835190854">
      <w:bodyDiv w:val="1"/>
      <w:marLeft w:val="0"/>
      <w:marRight w:val="0"/>
      <w:marTop w:val="0"/>
      <w:marBottom w:val="0"/>
      <w:divBdr>
        <w:top w:val="none" w:sz="0" w:space="0" w:color="auto"/>
        <w:left w:val="none" w:sz="0" w:space="0" w:color="auto"/>
        <w:bottom w:val="none" w:sz="0" w:space="0" w:color="auto"/>
        <w:right w:val="none" w:sz="0" w:space="0" w:color="auto"/>
      </w:divBdr>
    </w:div>
    <w:div w:id="892812847">
      <w:bodyDiv w:val="1"/>
      <w:marLeft w:val="0"/>
      <w:marRight w:val="0"/>
      <w:marTop w:val="0"/>
      <w:marBottom w:val="0"/>
      <w:divBdr>
        <w:top w:val="none" w:sz="0" w:space="0" w:color="auto"/>
        <w:left w:val="none" w:sz="0" w:space="0" w:color="auto"/>
        <w:bottom w:val="none" w:sz="0" w:space="0" w:color="auto"/>
        <w:right w:val="none" w:sz="0" w:space="0" w:color="auto"/>
      </w:divBdr>
    </w:div>
    <w:div w:id="1004209480">
      <w:bodyDiv w:val="1"/>
      <w:marLeft w:val="0"/>
      <w:marRight w:val="0"/>
      <w:marTop w:val="0"/>
      <w:marBottom w:val="0"/>
      <w:divBdr>
        <w:top w:val="none" w:sz="0" w:space="0" w:color="auto"/>
        <w:left w:val="none" w:sz="0" w:space="0" w:color="auto"/>
        <w:bottom w:val="none" w:sz="0" w:space="0" w:color="auto"/>
        <w:right w:val="none" w:sz="0" w:space="0" w:color="auto"/>
      </w:divBdr>
    </w:div>
    <w:div w:id="1072237006">
      <w:bodyDiv w:val="1"/>
      <w:marLeft w:val="0"/>
      <w:marRight w:val="0"/>
      <w:marTop w:val="0"/>
      <w:marBottom w:val="0"/>
      <w:divBdr>
        <w:top w:val="none" w:sz="0" w:space="0" w:color="auto"/>
        <w:left w:val="none" w:sz="0" w:space="0" w:color="auto"/>
        <w:bottom w:val="none" w:sz="0" w:space="0" w:color="auto"/>
        <w:right w:val="none" w:sz="0" w:space="0" w:color="auto"/>
      </w:divBdr>
    </w:div>
    <w:div w:id="1090807926">
      <w:bodyDiv w:val="1"/>
      <w:marLeft w:val="0"/>
      <w:marRight w:val="0"/>
      <w:marTop w:val="0"/>
      <w:marBottom w:val="0"/>
      <w:divBdr>
        <w:top w:val="none" w:sz="0" w:space="0" w:color="auto"/>
        <w:left w:val="none" w:sz="0" w:space="0" w:color="auto"/>
        <w:bottom w:val="none" w:sz="0" w:space="0" w:color="auto"/>
        <w:right w:val="none" w:sz="0" w:space="0" w:color="auto"/>
      </w:divBdr>
    </w:div>
    <w:div w:id="1137647247">
      <w:bodyDiv w:val="1"/>
      <w:marLeft w:val="0"/>
      <w:marRight w:val="0"/>
      <w:marTop w:val="0"/>
      <w:marBottom w:val="0"/>
      <w:divBdr>
        <w:top w:val="none" w:sz="0" w:space="0" w:color="auto"/>
        <w:left w:val="none" w:sz="0" w:space="0" w:color="auto"/>
        <w:bottom w:val="none" w:sz="0" w:space="0" w:color="auto"/>
        <w:right w:val="none" w:sz="0" w:space="0" w:color="auto"/>
      </w:divBdr>
    </w:div>
    <w:div w:id="1218127748">
      <w:bodyDiv w:val="1"/>
      <w:marLeft w:val="0"/>
      <w:marRight w:val="0"/>
      <w:marTop w:val="0"/>
      <w:marBottom w:val="0"/>
      <w:divBdr>
        <w:top w:val="none" w:sz="0" w:space="0" w:color="auto"/>
        <w:left w:val="none" w:sz="0" w:space="0" w:color="auto"/>
        <w:bottom w:val="none" w:sz="0" w:space="0" w:color="auto"/>
        <w:right w:val="none" w:sz="0" w:space="0" w:color="auto"/>
      </w:divBdr>
    </w:div>
    <w:div w:id="1408110038">
      <w:bodyDiv w:val="1"/>
      <w:marLeft w:val="0"/>
      <w:marRight w:val="0"/>
      <w:marTop w:val="0"/>
      <w:marBottom w:val="0"/>
      <w:divBdr>
        <w:top w:val="none" w:sz="0" w:space="0" w:color="auto"/>
        <w:left w:val="none" w:sz="0" w:space="0" w:color="auto"/>
        <w:bottom w:val="none" w:sz="0" w:space="0" w:color="auto"/>
        <w:right w:val="none" w:sz="0" w:space="0" w:color="auto"/>
      </w:divBdr>
    </w:div>
    <w:div w:id="1728451542">
      <w:bodyDiv w:val="1"/>
      <w:marLeft w:val="0"/>
      <w:marRight w:val="0"/>
      <w:marTop w:val="0"/>
      <w:marBottom w:val="0"/>
      <w:divBdr>
        <w:top w:val="none" w:sz="0" w:space="0" w:color="auto"/>
        <w:left w:val="none" w:sz="0" w:space="0" w:color="auto"/>
        <w:bottom w:val="none" w:sz="0" w:space="0" w:color="auto"/>
        <w:right w:val="none" w:sz="0" w:space="0" w:color="auto"/>
      </w:divBdr>
    </w:div>
    <w:div w:id="1756321433">
      <w:bodyDiv w:val="1"/>
      <w:marLeft w:val="0"/>
      <w:marRight w:val="0"/>
      <w:marTop w:val="0"/>
      <w:marBottom w:val="0"/>
      <w:divBdr>
        <w:top w:val="none" w:sz="0" w:space="0" w:color="auto"/>
        <w:left w:val="none" w:sz="0" w:space="0" w:color="auto"/>
        <w:bottom w:val="none" w:sz="0" w:space="0" w:color="auto"/>
        <w:right w:val="none" w:sz="0" w:space="0" w:color="auto"/>
      </w:divBdr>
    </w:div>
    <w:div w:id="1877691418">
      <w:bodyDiv w:val="1"/>
      <w:marLeft w:val="0"/>
      <w:marRight w:val="0"/>
      <w:marTop w:val="0"/>
      <w:marBottom w:val="0"/>
      <w:divBdr>
        <w:top w:val="none" w:sz="0" w:space="0" w:color="auto"/>
        <w:left w:val="none" w:sz="0" w:space="0" w:color="auto"/>
        <w:bottom w:val="none" w:sz="0" w:space="0" w:color="auto"/>
        <w:right w:val="none" w:sz="0" w:space="0" w:color="auto"/>
      </w:divBdr>
    </w:div>
    <w:div w:id="1902910470">
      <w:bodyDiv w:val="1"/>
      <w:marLeft w:val="0"/>
      <w:marRight w:val="0"/>
      <w:marTop w:val="0"/>
      <w:marBottom w:val="0"/>
      <w:divBdr>
        <w:top w:val="none" w:sz="0" w:space="0" w:color="auto"/>
        <w:left w:val="none" w:sz="0" w:space="0" w:color="auto"/>
        <w:bottom w:val="none" w:sz="0" w:space="0" w:color="auto"/>
        <w:right w:val="none" w:sz="0" w:space="0" w:color="auto"/>
      </w:divBdr>
    </w:div>
    <w:div w:id="1960839282">
      <w:bodyDiv w:val="1"/>
      <w:marLeft w:val="0"/>
      <w:marRight w:val="0"/>
      <w:marTop w:val="0"/>
      <w:marBottom w:val="0"/>
      <w:divBdr>
        <w:top w:val="none" w:sz="0" w:space="0" w:color="auto"/>
        <w:left w:val="none" w:sz="0" w:space="0" w:color="auto"/>
        <w:bottom w:val="none" w:sz="0" w:space="0" w:color="auto"/>
        <w:right w:val="none" w:sz="0" w:space="0" w:color="auto"/>
      </w:divBdr>
    </w:div>
    <w:div w:id="20577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mailto:melike.kokkizil@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like.kokkizil\Dropbox\AN_HHSaving\AN_Tuketi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640176846026103E-2"/>
          <c:y val="7.1002705638658917E-2"/>
          <c:w val="0.9363598231539757"/>
          <c:h val="0.62226747363520452"/>
        </c:manualLayout>
      </c:layout>
      <c:barChart>
        <c:barDir val="col"/>
        <c:grouping val="clustered"/>
        <c:varyColors val="0"/>
        <c:ser>
          <c:idx val="0"/>
          <c:order val="0"/>
          <c:tx>
            <c:strRef>
              <c:f>Sayfa2!$E$2</c:f>
              <c:strCache>
                <c:ptCount val="1"/>
                <c:pt idx="0">
                  <c:v>2005</c:v>
                </c:pt>
              </c:strCache>
            </c:strRef>
          </c:tx>
          <c:spPr>
            <a:solidFill>
              <a:schemeClr val="accent1"/>
            </a:solidFill>
            <a:ln>
              <a:noFill/>
            </a:ln>
            <a:effectLst/>
          </c:spPr>
          <c:invertIfNegative val="0"/>
          <c:dLbls>
            <c:numFmt formatCode="0.0%" sourceLinked="0"/>
            <c:spPr>
              <a:noFill/>
              <a:ln>
                <a:noFill/>
              </a:ln>
              <a:effectLst/>
            </c:spPr>
            <c:txPr>
              <a:bodyPr rot="-5400000" vert="horz"/>
              <a:lstStyle/>
              <a:p>
                <a:pPr>
                  <a:defRPr sz="1000" b="0">
                    <a:solidFill>
                      <a:sysClr val="windowText" lastClr="000000"/>
                    </a:solidFill>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Sayfa2!$D$3:$D$45</c:f>
              <c:strCache>
                <c:ptCount val="21"/>
                <c:pt idx="0">
                  <c:v>mobilya</c:v>
                </c:pt>
                <c:pt idx="1">
                  <c:v>halı</c:v>
                </c:pt>
                <c:pt idx="2">
                  <c:v>ev tekstili</c:v>
                </c:pt>
                <c:pt idx="3">
                  <c:v>buzdolabı</c:v>
                </c:pt>
                <c:pt idx="4">
                  <c:v>çamaşır</c:v>
                </c:pt>
                <c:pt idx="5">
                  <c:v>fırın</c:v>
                </c:pt>
                <c:pt idx="6">
                  <c:v>ısıtıcı</c:v>
                </c:pt>
                <c:pt idx="7">
                  <c:v>temizlik</c:v>
                </c:pt>
                <c:pt idx="8">
                  <c:v>elektrikli ev aletleri</c:v>
                </c:pt>
                <c:pt idx="9">
                  <c:v>ev aletlerinin onarımı</c:v>
                </c:pt>
                <c:pt idx="10">
                  <c:v>cam</c:v>
                </c:pt>
                <c:pt idx="11">
                  <c:v>mutfak gereçleri</c:v>
                </c:pt>
                <c:pt idx="12">
                  <c:v>küçük aletler</c:v>
                </c:pt>
                <c:pt idx="13">
                  <c:v>yeni otomobil</c:v>
                </c:pt>
                <c:pt idx="14">
                  <c:v>ikinci el otomobil</c:v>
                </c:pt>
                <c:pt idx="15">
                  <c:v>motosiklet</c:v>
                </c:pt>
                <c:pt idx="16">
                  <c:v>yedek parça</c:v>
                </c:pt>
                <c:pt idx="17">
                  <c:v>telefon</c:v>
                </c:pt>
                <c:pt idx="18">
                  <c:v>televizyon</c:v>
                </c:pt>
                <c:pt idx="19">
                  <c:v>fotoğraf</c:v>
                </c:pt>
                <c:pt idx="20">
                  <c:v>veri işlem</c:v>
                </c:pt>
              </c:strCache>
            </c:strRef>
          </c:cat>
          <c:val>
            <c:numRef>
              <c:f>Sayfa2!$E$3:$E$23</c:f>
              <c:numCache>
                <c:formatCode>#,#00%</c:formatCode>
                <c:ptCount val="21"/>
                <c:pt idx="0">
                  <c:v>1.21184E-2</c:v>
                </c:pt>
                <c:pt idx="1">
                  <c:v>4.0530000000000002E-3</c:v>
                </c:pt>
                <c:pt idx="2">
                  <c:v>5.6038000000000034E-3</c:v>
                </c:pt>
                <c:pt idx="3">
                  <c:v>5.0952000000000124E-3</c:v>
                </c:pt>
                <c:pt idx="4">
                  <c:v>1.0742000000000008E-3</c:v>
                </c:pt>
                <c:pt idx="5">
                  <c:v>1.1086000000000008E-3</c:v>
                </c:pt>
                <c:pt idx="6">
                  <c:v>2.278700000000002E-3</c:v>
                </c:pt>
                <c:pt idx="7">
                  <c:v>5.6780000000000122E-4</c:v>
                </c:pt>
                <c:pt idx="8">
                  <c:v>1.1260000000000009E-3</c:v>
                </c:pt>
                <c:pt idx="9">
                  <c:v>8.7160000000000026E-4</c:v>
                </c:pt>
                <c:pt idx="10">
                  <c:v>1.8589000000000012E-3</c:v>
                </c:pt>
                <c:pt idx="11">
                  <c:v>2.1894000000000002E-3</c:v>
                </c:pt>
                <c:pt idx="12">
                  <c:v>1.5632000000000009E-3</c:v>
                </c:pt>
                <c:pt idx="13">
                  <c:v>1.0991100000000005E-2</c:v>
                </c:pt>
                <c:pt idx="14">
                  <c:v>3.3760999999999999E-3</c:v>
                </c:pt>
                <c:pt idx="15">
                  <c:v>5.8640000000000016E-4</c:v>
                </c:pt>
                <c:pt idx="16">
                  <c:v>9.8640000000000446E-4</c:v>
                </c:pt>
                <c:pt idx="17">
                  <c:v>3.9304000000000006E-3</c:v>
                </c:pt>
                <c:pt idx="18">
                  <c:v>5.2239000000000001E-3</c:v>
                </c:pt>
                <c:pt idx="19">
                  <c:v>5.3300000000000114E-4</c:v>
                </c:pt>
                <c:pt idx="20">
                  <c:v>1.6559000000000009E-3</c:v>
                </c:pt>
              </c:numCache>
            </c:numRef>
          </c:val>
          <c:extLst xmlns:c16r2="http://schemas.microsoft.com/office/drawing/2015/06/chart">
            <c:ext xmlns:c16="http://schemas.microsoft.com/office/drawing/2014/chart" uri="{C3380CC4-5D6E-409C-BE32-E72D297353CC}">
              <c16:uniqueId val="{00000000-E939-4A12-A708-77FC4ADAB24F}"/>
            </c:ext>
          </c:extLst>
        </c:ser>
        <c:ser>
          <c:idx val="1"/>
          <c:order val="1"/>
          <c:tx>
            <c:strRef>
              <c:f>Sayfa2!$F$2</c:f>
              <c:strCache>
                <c:ptCount val="1"/>
                <c:pt idx="0">
                  <c:v>2014</c:v>
                </c:pt>
              </c:strCache>
            </c:strRef>
          </c:tx>
          <c:spPr>
            <a:solidFill>
              <a:srgbClr val="C0504D"/>
            </a:solidFill>
            <a:ln>
              <a:noFill/>
            </a:ln>
            <a:effectLst/>
          </c:spPr>
          <c:invertIfNegative val="0"/>
          <c:dLbls>
            <c:dLbl>
              <c:idx val="1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39-4A12-A708-77FC4ADAB24F}"/>
                </c:ext>
              </c:extLst>
            </c:dLbl>
            <c:dLbl>
              <c:idx val="1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939-4A12-A708-77FC4ADAB24F}"/>
                </c:ext>
              </c:extLst>
            </c:dLbl>
            <c:dLbl>
              <c:idx val="1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939-4A12-A708-77FC4ADAB24F}"/>
                </c:ext>
              </c:extLst>
            </c:dLbl>
            <c:dLbl>
              <c:idx val="14"/>
              <c:layout>
                <c:manualLayout>
                  <c:x val="-8.0807147317019642E-17"/>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894-40E7-B3E7-7AD73FC84475}"/>
                </c:ext>
              </c:extLst>
            </c:dLbl>
            <c:numFmt formatCode="0.0%" sourceLinked="0"/>
            <c:spPr>
              <a:noFill/>
              <a:ln>
                <a:noFill/>
              </a:ln>
              <a:effectLst/>
            </c:spPr>
            <c:txPr>
              <a:bodyPr rot="-540000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Sayfa2!$D$3:$D$45</c:f>
              <c:strCache>
                <c:ptCount val="21"/>
                <c:pt idx="0">
                  <c:v>mobilya</c:v>
                </c:pt>
                <c:pt idx="1">
                  <c:v>halı</c:v>
                </c:pt>
                <c:pt idx="2">
                  <c:v>ev tekstili</c:v>
                </c:pt>
                <c:pt idx="3">
                  <c:v>buzdolabı</c:v>
                </c:pt>
                <c:pt idx="4">
                  <c:v>çamaşır</c:v>
                </c:pt>
                <c:pt idx="5">
                  <c:v>fırın</c:v>
                </c:pt>
                <c:pt idx="6">
                  <c:v>ısıtıcı</c:v>
                </c:pt>
                <c:pt idx="7">
                  <c:v>temizlik</c:v>
                </c:pt>
                <c:pt idx="8">
                  <c:v>elektrikli ev aletleri</c:v>
                </c:pt>
                <c:pt idx="9">
                  <c:v>ev aletlerinin onarımı</c:v>
                </c:pt>
                <c:pt idx="10">
                  <c:v>cam</c:v>
                </c:pt>
                <c:pt idx="11">
                  <c:v>mutfak gereçleri</c:v>
                </c:pt>
                <c:pt idx="12">
                  <c:v>küçük aletler</c:v>
                </c:pt>
                <c:pt idx="13">
                  <c:v>yeni otomobil</c:v>
                </c:pt>
                <c:pt idx="14">
                  <c:v>ikinci el otomobil</c:v>
                </c:pt>
                <c:pt idx="15">
                  <c:v>motosiklet</c:v>
                </c:pt>
                <c:pt idx="16">
                  <c:v>yedek parça</c:v>
                </c:pt>
                <c:pt idx="17">
                  <c:v>telefon</c:v>
                </c:pt>
                <c:pt idx="18">
                  <c:v>televizyon</c:v>
                </c:pt>
                <c:pt idx="19">
                  <c:v>fotoğraf</c:v>
                </c:pt>
                <c:pt idx="20">
                  <c:v>veri işlem</c:v>
                </c:pt>
              </c:strCache>
            </c:strRef>
          </c:cat>
          <c:val>
            <c:numRef>
              <c:f>Sayfa2!$F$3:$F$23</c:f>
              <c:numCache>
                <c:formatCode>#,#00%</c:formatCode>
                <c:ptCount val="21"/>
                <c:pt idx="0">
                  <c:v>1.7307599999999999E-2</c:v>
                </c:pt>
                <c:pt idx="1">
                  <c:v>2.2135000000000019E-3</c:v>
                </c:pt>
                <c:pt idx="2">
                  <c:v>4.6179999999999997E-3</c:v>
                </c:pt>
                <c:pt idx="3">
                  <c:v>5.3601000000000013E-3</c:v>
                </c:pt>
                <c:pt idx="4">
                  <c:v>5.0730000000000143E-4</c:v>
                </c:pt>
                <c:pt idx="5">
                  <c:v>1.3190000000000001E-3</c:v>
                </c:pt>
                <c:pt idx="6">
                  <c:v>3.5666000000000018E-3</c:v>
                </c:pt>
                <c:pt idx="7">
                  <c:v>9.699000000000027E-4</c:v>
                </c:pt>
                <c:pt idx="8">
                  <c:v>1.4398E-3</c:v>
                </c:pt>
                <c:pt idx="9">
                  <c:v>1.1493000000000009E-3</c:v>
                </c:pt>
                <c:pt idx="10">
                  <c:v>1.8366000000000009E-3</c:v>
                </c:pt>
                <c:pt idx="11">
                  <c:v>2.2074000000000134E-3</c:v>
                </c:pt>
                <c:pt idx="12">
                  <c:v>1.5208000000000001E-3</c:v>
                </c:pt>
                <c:pt idx="13">
                  <c:v>8.7648000000000066E-3</c:v>
                </c:pt>
                <c:pt idx="14">
                  <c:v>3.23284E-2</c:v>
                </c:pt>
                <c:pt idx="15">
                  <c:v>1.360800000000001E-3</c:v>
                </c:pt>
                <c:pt idx="16">
                  <c:v>1.9817000000000016E-3</c:v>
                </c:pt>
                <c:pt idx="17">
                  <c:v>4.5523000000000004E-3</c:v>
                </c:pt>
                <c:pt idx="18">
                  <c:v>5.607E-3</c:v>
                </c:pt>
                <c:pt idx="19">
                  <c:v>2.5660000000000011E-4</c:v>
                </c:pt>
                <c:pt idx="20">
                  <c:v>2.1036000000000019E-3</c:v>
                </c:pt>
              </c:numCache>
            </c:numRef>
          </c:val>
          <c:extLst xmlns:c16r2="http://schemas.microsoft.com/office/drawing/2015/06/chart">
            <c:ext xmlns:c16="http://schemas.microsoft.com/office/drawing/2014/chart" uri="{C3380CC4-5D6E-409C-BE32-E72D297353CC}">
              <c16:uniqueId val="{00000004-E939-4A12-A708-77FC4ADAB24F}"/>
            </c:ext>
          </c:extLst>
        </c:ser>
        <c:dLbls>
          <c:showLegendKey val="0"/>
          <c:showVal val="0"/>
          <c:showCatName val="0"/>
          <c:showSerName val="0"/>
          <c:showPercent val="0"/>
          <c:showBubbleSize val="0"/>
        </c:dLbls>
        <c:gapWidth val="57"/>
        <c:overlap val="-27"/>
        <c:axId val="188490496"/>
        <c:axId val="188492032"/>
      </c:barChart>
      <c:catAx>
        <c:axId val="188490496"/>
        <c:scaling>
          <c:orientation val="minMax"/>
        </c:scaling>
        <c:delete val="0"/>
        <c:axPos val="b"/>
        <c:numFmt formatCode="General" sourceLinked="1"/>
        <c:majorTickMark val="in"/>
        <c:minorTickMark val="none"/>
        <c:tickLblPos val="low"/>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88492032"/>
        <c:crosses val="autoZero"/>
        <c:auto val="1"/>
        <c:lblAlgn val="ctr"/>
        <c:lblOffset val="100"/>
        <c:noMultiLvlLbl val="0"/>
      </c:catAx>
      <c:valAx>
        <c:axId val="188492032"/>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tr-TR"/>
          </a:p>
        </c:txPr>
        <c:crossAx val="188490496"/>
        <c:crosses val="autoZero"/>
        <c:crossBetween val="between"/>
      </c:valAx>
      <c:spPr>
        <a:noFill/>
        <a:ln>
          <a:noFill/>
        </a:ln>
        <a:effectLst/>
      </c:spPr>
    </c:plotArea>
    <c:legend>
      <c:legendPos val="b"/>
      <c:layout>
        <c:manualLayout>
          <c:xMode val="edge"/>
          <c:yMode val="edge"/>
          <c:x val="0.80970866610206804"/>
          <c:y val="0.92699026162850673"/>
          <c:w val="0.16857753956137211"/>
          <c:h val="4.9437187297632836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noFill/>
    <a:ln w="9525" cap="flat" cmpd="sng" algn="ctr">
      <a:no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EC69-C8CF-4AF5-A279-38767FA5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3277</Words>
  <Characters>18680</Characters>
  <Application>Microsoft Office Word</Application>
  <DocSecurity>0</DocSecurity>
  <Lines>155</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2</cp:revision>
  <dcterms:created xsi:type="dcterms:W3CDTF">2017-01-03T07:16:00Z</dcterms:created>
  <dcterms:modified xsi:type="dcterms:W3CDTF">2017-01-03T07:16:00Z</dcterms:modified>
</cp:coreProperties>
</file>