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3C" w:rsidRDefault="00191EBC" w:rsidP="0020093C">
      <w:pPr>
        <w:pStyle w:val="Caption"/>
        <w:keepNext/>
        <w:rPr>
          <w:b w:val="0"/>
          <w:i/>
          <w:color w:val="auto"/>
          <w:sz w:val="22"/>
          <w:szCs w:val="22"/>
        </w:rPr>
      </w:pPr>
      <w:r>
        <w:rPr>
          <w:lang w:val="tr-TR" w:eastAsia="tr-TR"/>
        </w:rPr>
        <mc:AlternateContent>
          <mc:Choice Requires="wps">
            <w:drawing>
              <wp:anchor distT="0" distB="0" distL="114935" distR="114935" simplePos="0" relativeHeight="251657728" behindDoc="0" locked="0" layoutInCell="1" allowOverlap="1" wp14:anchorId="5EE87847" wp14:editId="175B17CF">
                <wp:simplePos x="0" y="0"/>
                <wp:positionH relativeFrom="page">
                  <wp:posOffset>6021070</wp:posOffset>
                </wp:positionH>
                <wp:positionV relativeFrom="paragraph">
                  <wp:posOffset>173355</wp:posOffset>
                </wp:positionV>
                <wp:extent cx="1478280" cy="29908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EBC" w:rsidRPr="00200D68" w:rsidRDefault="00191EBC" w:rsidP="00191EBC">
                            <w:pPr>
                              <w:jc w:val="center"/>
                              <w:rPr>
                                <w:b/>
                              </w:rPr>
                            </w:pPr>
                            <w:r w:rsidRPr="00200D68">
                              <w:rPr>
                                <w:b/>
                                <w:color w:val="FFFFFF"/>
                                <w:lang w:val="tr-TR"/>
                              </w:rPr>
                              <w:t xml:space="preserve"> </w:t>
                            </w:r>
                            <w:r>
                              <w:rPr>
                                <w:b/>
                                <w:color w:val="FFFFFF"/>
                                <w:lang w:val="tr-TR"/>
                              </w:rPr>
                              <w:t>11</w:t>
                            </w:r>
                            <w:r w:rsidRPr="00200D68">
                              <w:rPr>
                                <w:b/>
                                <w:color w:val="FFFFFF"/>
                                <w:lang w:val="tr-TR"/>
                              </w:rPr>
                              <w:t xml:space="preserve"> </w:t>
                            </w:r>
                            <w:r>
                              <w:rPr>
                                <w:b/>
                                <w:color w:val="FFFFFF"/>
                                <w:lang w:val="tr-TR"/>
                              </w:rPr>
                              <w:t>Kasım</w:t>
                            </w:r>
                            <w:r w:rsidRPr="00200D68">
                              <w:rPr>
                                <w:b/>
                                <w:color w:val="FFFFFF"/>
                                <w:lang w:val="tr-TR"/>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EE87847" id="_x0000_t202" coordsize="21600,21600" o:spt="202" path="m,l,21600r21600,l21600,xe">
                <v:stroke joinstyle="miter"/>
                <v:path gradientshapeok="t" o:connecttype="rect"/>
              </v:shapetype>
              <v:shape id="Metin Kutusu 6" o:spid="_x0000_s1026" type="#_x0000_t202" style="position:absolute;margin-left:474.1pt;margin-top:13.65pt;width:116.4pt;height:23.5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" stroked="f">
                <v:fill opacity="0"/>
                <v:textbox inset="0,0,0,0">
                  <w:txbxContent>
                    <w:p w:rsidR="00191EBC" w:rsidRPr="00200D68" w:rsidRDefault="00191EBC" w:rsidP="00191EBC">
                      <w:pPr>
                        <w:jc w:val="center"/>
                        <w:rPr>
                          <w:b/>
                        </w:rPr>
                      </w:pPr>
                      <w:r w:rsidRPr="00200D68">
                        <w:rPr>
                          <w:b/>
                          <w:color w:val="FFFFFF"/>
                          <w:lang w:val="tr-TR"/>
                        </w:rPr>
                        <w:t xml:space="preserve"> </w:t>
                      </w:r>
                      <w:r>
                        <w:rPr>
                          <w:b/>
                          <w:color w:val="FFFFFF"/>
                          <w:lang w:val="tr-TR"/>
                        </w:rPr>
                        <w:t>11</w:t>
                      </w:r>
                      <w:r w:rsidRPr="00200D68">
                        <w:rPr>
                          <w:b/>
                          <w:color w:val="FFFFFF"/>
                          <w:lang w:val="tr-TR"/>
                        </w:rPr>
                        <w:t xml:space="preserve"> </w:t>
                      </w:r>
                      <w:r>
                        <w:rPr>
                          <w:b/>
                          <w:color w:val="FFFFFF"/>
                          <w:lang w:val="tr-TR"/>
                        </w:rPr>
                        <w:t>Kasım</w:t>
                      </w:r>
                      <w:r w:rsidRPr="00200D68">
                        <w:rPr>
                          <w:b/>
                          <w:color w:val="FFFFFF"/>
                          <w:lang w:val="tr-TR"/>
                        </w:rPr>
                        <w:t xml:space="preserve"> 2016</w:t>
                      </w:r>
                    </w:p>
                  </w:txbxContent>
                </v:textbox>
                <w10:wrap anchorx="page"/>
              </v:shape>
            </w:pict>
          </mc:Fallback>
        </mc:AlternateContent>
      </w:r>
      <w:r w:rsidR="0020093C" w:rsidRPr="001D402E">
        <w:rPr>
          <w:lang w:val="tr-TR" w:eastAsia="tr-TR"/>
        </w:rPr>
        <w:drawing>
          <wp:anchor distT="0" distB="0" distL="114300" distR="114300" simplePos="0" relativeHeight="251656704" behindDoc="1" locked="0" layoutInCell="1" allowOverlap="1" wp14:anchorId="36B4E41F" wp14:editId="54A05918">
            <wp:simplePos x="0" y="0"/>
            <wp:positionH relativeFrom="column">
              <wp:posOffset>-899795</wp:posOffset>
            </wp:positionH>
            <wp:positionV relativeFrom="paragraph">
              <wp:posOffset>-890270</wp:posOffset>
            </wp:positionV>
            <wp:extent cx="7543800" cy="1419225"/>
            <wp:effectExtent l="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543800" cy="1419225"/>
                    </a:xfrm>
                    <a:prstGeom prst="rect">
                      <a:avLst/>
                    </a:prstGeom>
                    <a:noFill/>
                  </pic:spPr>
                </pic:pic>
              </a:graphicData>
            </a:graphic>
          </wp:anchor>
        </w:drawing>
      </w:r>
    </w:p>
    <w:p w:rsidR="0020093C" w:rsidRDefault="0020093C" w:rsidP="0020093C">
      <w:pPr>
        <w:pStyle w:val="Caption"/>
        <w:keepNext/>
        <w:rPr>
          <w:b w:val="0"/>
          <w:i/>
          <w:color w:val="auto"/>
          <w:sz w:val="22"/>
          <w:szCs w:val="22"/>
        </w:rPr>
      </w:pPr>
    </w:p>
    <w:p w:rsidR="0074120A" w:rsidRDefault="0074120A" w:rsidP="0020093C">
      <w:pPr>
        <w:spacing w:before="120"/>
        <w:jc w:val="center"/>
        <w:rPr>
          <w:rFonts w:cs="Arial"/>
          <w:b/>
          <w:bCs/>
          <w:sz w:val="28"/>
          <w:szCs w:val="28"/>
        </w:rPr>
      </w:pPr>
    </w:p>
    <w:p w:rsidR="0020093C" w:rsidRPr="001D402E" w:rsidRDefault="0074120A" w:rsidP="0020093C">
      <w:pPr>
        <w:spacing w:before="120"/>
        <w:jc w:val="center"/>
        <w:rPr>
          <w:rFonts w:cs="Arial"/>
          <w:b/>
          <w:bCs/>
          <w:sz w:val="28"/>
          <w:szCs w:val="28"/>
        </w:rPr>
      </w:pPr>
      <w:r>
        <w:rPr>
          <w:rFonts w:cs="Arial"/>
          <w:b/>
          <w:bCs/>
          <w:sz w:val="28"/>
          <w:szCs w:val="28"/>
        </w:rPr>
        <w:t>TASARRUF DÜŞÜŞÜNÜN GELİR GRUPLARINA GÖRE GÖRÜNÜMÜ</w:t>
      </w:r>
    </w:p>
    <w:p w:rsidR="0020093C" w:rsidRPr="00FB2618" w:rsidRDefault="0020093C" w:rsidP="00FB2618">
      <w:pPr>
        <w:spacing w:before="120"/>
        <w:jc w:val="center"/>
        <w:rPr>
          <w:rFonts w:cs="Arial"/>
          <w:b/>
          <w:bCs/>
          <w:sz w:val="20"/>
          <w:szCs w:val="20"/>
        </w:rPr>
      </w:pPr>
      <w:r w:rsidRPr="001D402E">
        <w:rPr>
          <w:rFonts w:cs="Arial"/>
          <w:b/>
          <w:bCs/>
          <w:sz w:val="20"/>
          <w:szCs w:val="20"/>
        </w:rPr>
        <w:t>Seyfettin Gürsel</w:t>
      </w:r>
      <w:r w:rsidRPr="001D402E">
        <w:rPr>
          <w:rStyle w:val="FootnoteReference"/>
        </w:rPr>
        <w:footnoteReference w:customMarkFollows="1" w:id="1"/>
        <w:t>*</w:t>
      </w:r>
      <w:r w:rsidRPr="001D402E">
        <w:rPr>
          <w:rFonts w:cs="Arial"/>
          <w:b/>
          <w:bCs/>
          <w:sz w:val="20"/>
          <w:szCs w:val="20"/>
        </w:rPr>
        <w:t xml:space="preserve"> Gökçe Uysal</w:t>
      </w:r>
      <w:r w:rsidRPr="001D402E">
        <w:rPr>
          <w:rStyle w:val="FootnoteReference"/>
        </w:rPr>
        <w:footnoteReference w:customMarkFollows="1" w:id="2"/>
        <w:sym w:font="Symbol" w:char="F02A"/>
      </w:r>
      <w:r w:rsidRPr="001D402E">
        <w:rPr>
          <w:rStyle w:val="FootnoteReference"/>
        </w:rPr>
        <w:sym w:font="Symbol" w:char="F02A"/>
      </w:r>
      <w:r w:rsidRPr="001D402E">
        <w:rPr>
          <w:rFonts w:cs="Arial"/>
          <w:b/>
          <w:bCs/>
          <w:sz w:val="20"/>
          <w:szCs w:val="20"/>
        </w:rPr>
        <w:t xml:space="preserve"> </w:t>
      </w:r>
      <w:r>
        <w:rPr>
          <w:rFonts w:cs="Arial"/>
          <w:b/>
          <w:bCs/>
          <w:sz w:val="20"/>
          <w:szCs w:val="20"/>
        </w:rPr>
        <w:t xml:space="preserve">ve </w:t>
      </w:r>
      <w:r w:rsidRPr="001D402E">
        <w:rPr>
          <w:rFonts w:cs="Arial"/>
          <w:b/>
          <w:bCs/>
          <w:sz w:val="20"/>
          <w:szCs w:val="20"/>
        </w:rPr>
        <w:t xml:space="preserve"> Melike Kökkızıl</w:t>
      </w:r>
      <w:r w:rsidRPr="001D402E">
        <w:rPr>
          <w:rStyle w:val="FootnoteReference"/>
        </w:rPr>
        <w:footnoteReference w:customMarkFollows="1" w:id="3"/>
        <w:sym w:font="Symbol" w:char="F02A"/>
      </w:r>
      <w:r w:rsidRPr="001D402E">
        <w:rPr>
          <w:rStyle w:val="FootnoteReference"/>
        </w:rPr>
        <w:sym w:font="Symbol" w:char="F02A"/>
      </w:r>
      <w:r w:rsidRPr="001D402E">
        <w:rPr>
          <w:rStyle w:val="FootnoteReference"/>
        </w:rPr>
        <w:sym w:font="Symbol" w:char="F02A"/>
      </w:r>
    </w:p>
    <w:p w:rsidR="0055602E" w:rsidRPr="005C65B5" w:rsidRDefault="00805459" w:rsidP="005C65B5">
      <w:pPr>
        <w:jc w:val="center"/>
        <w:rPr>
          <w:b/>
        </w:rPr>
      </w:pPr>
      <w:r>
        <w:rPr>
          <w:b/>
          <w:lang w:val="tr-TR" w:eastAsia="tr-TR"/>
        </w:rPr>
        <mc:AlternateContent>
          <mc:Choice Requires="wps">
            <w:drawing>
              <wp:anchor distT="0" distB="0" distL="114935" distR="114935" simplePos="0" relativeHeight="251658752" behindDoc="0" locked="0" layoutInCell="1" allowOverlap="1">
                <wp:simplePos x="0" y="0"/>
                <wp:positionH relativeFrom="column">
                  <wp:posOffset>1798955</wp:posOffset>
                </wp:positionH>
                <wp:positionV relativeFrom="paragraph">
                  <wp:posOffset>-2170430</wp:posOffset>
                </wp:positionV>
                <wp:extent cx="3963670" cy="466725"/>
                <wp:effectExtent l="0" t="0" r="0" b="0"/>
                <wp:wrapNone/>
                <wp:docPr id="1"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0CA" w:rsidRPr="00200D68" w:rsidRDefault="00F070CA" w:rsidP="0020093C">
                            <w:pPr>
                              <w:rPr>
                                <w:rFonts w:ascii="Times New Roman" w:hAnsi="Times New Roman"/>
                                <w:b/>
                                <w:sz w:val="52"/>
                                <w:szCs w:val="52"/>
                              </w:rPr>
                            </w:pPr>
                            <w:r>
                              <w:rPr>
                                <w:rFonts w:ascii="Times New Roman" w:hAnsi="Times New Roman"/>
                                <w:b/>
                                <w:sz w:val="52"/>
                                <w:szCs w:val="52"/>
                              </w:rPr>
                              <w:t xml:space="preserve">Araştırma Notu </w:t>
                            </w:r>
                            <w:r w:rsidRPr="00200D68">
                              <w:rPr>
                                <w:rFonts w:ascii="Times New Roman" w:hAnsi="Times New Roman"/>
                                <w:b/>
                                <w:sz w:val="52"/>
                                <w:szCs w:val="52"/>
                              </w:rPr>
                              <w:t>16/</w:t>
                            </w:r>
                            <w:r w:rsidR="00812E51">
                              <w:rPr>
                                <w:rFonts w:ascii="Times New Roman" w:hAnsi="Times New Roman"/>
                                <w:b/>
                                <w:sz w:val="52"/>
                                <w:szCs w:val="52"/>
                              </w:rPr>
                              <w:t>200</w:t>
                            </w:r>
                          </w:p>
                          <w:p w:rsidR="00F070CA" w:rsidRPr="00200D68" w:rsidRDefault="00F070CA" w:rsidP="0020093C">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left:0;text-align:left;margin-left:141.65pt;margin-top:-170.9pt;width:312.1pt;height:36.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" stroked="f">
                <v:fill opacity="0"/>
                <v:textbox inset="0,0,0,0">
                  <w:txbxContent>
                    <w:p w:rsidR="00F070CA" w:rsidRPr="00200D68" w:rsidRDefault="00F070CA" w:rsidP="0020093C">
                      <w:pPr>
                        <w:rPr>
                          <w:rFonts w:ascii="Times New Roman" w:hAnsi="Times New Roman"/>
                          <w:b/>
                          <w:sz w:val="52"/>
                          <w:szCs w:val="52"/>
                        </w:rPr>
                      </w:pPr>
                      <w:r>
                        <w:rPr>
                          <w:rFonts w:ascii="Times New Roman" w:hAnsi="Times New Roman"/>
                          <w:b/>
                          <w:sz w:val="52"/>
                          <w:szCs w:val="52"/>
                        </w:rPr>
                        <w:t xml:space="preserve">Araştırma Notu </w:t>
                      </w:r>
                      <w:r w:rsidRPr="00200D68">
                        <w:rPr>
                          <w:rFonts w:ascii="Times New Roman" w:hAnsi="Times New Roman"/>
                          <w:b/>
                          <w:sz w:val="52"/>
                          <w:szCs w:val="52"/>
                        </w:rPr>
                        <w:t>16/</w:t>
                      </w:r>
                      <w:r w:rsidR="00812E51">
                        <w:rPr>
                          <w:rFonts w:ascii="Times New Roman" w:hAnsi="Times New Roman"/>
                          <w:b/>
                          <w:sz w:val="52"/>
                          <w:szCs w:val="52"/>
                        </w:rPr>
                        <w:t>200</w:t>
                      </w:r>
                    </w:p>
                    <w:p w:rsidR="00F070CA" w:rsidRPr="00200D68" w:rsidRDefault="00F070CA" w:rsidP="0020093C">
                      <w:pPr>
                        <w:rPr>
                          <w:b/>
                        </w:rPr>
                      </w:pPr>
                    </w:p>
                  </w:txbxContent>
                </v:textbox>
              </v:shape>
            </w:pict>
          </mc:Fallback>
        </mc:AlternateContent>
      </w:r>
      <w:r w:rsidR="0020093C">
        <w:rPr>
          <w:b/>
        </w:rPr>
        <w:t>Yönetici Özeti</w:t>
      </w:r>
      <w:bookmarkStart w:id="0" w:name="_GoBack"/>
      <w:bookmarkEnd w:id="0"/>
    </w:p>
    <w:p w:rsidR="0055602E" w:rsidRDefault="0055602E" w:rsidP="00BB1F02">
      <w:r>
        <w:t xml:space="preserve">Hanehalkı Bütçe Anketi verilerini kullanarak yaptığımız araştırmada 2003-2014 yılları arasında hane halkı tasarruflarında gözlemlenen düşüşün dayanıklı tüketim mallarına kayan harcamalardan </w:t>
      </w:r>
      <w:r w:rsidR="00E451A4">
        <w:t>kaynakladığını göstermiştik. Bu araştırma notunda ise hanehalkı tasarruflarının seyrini yüzde 20’lik gelir grupları için tekrarlıyoruz. Veriler tüm gelir gruplarındaki hanelerin tasarruflarının</w:t>
      </w:r>
      <w:r w:rsidR="00FB2E9E">
        <w:t xml:space="preserve"> 2008-2009 yıllarına kadar gerilediği, daha sonra bir miktar toparlandığına</w:t>
      </w:r>
      <w:r w:rsidR="00E451A4">
        <w:t xml:space="preserve"> </w:t>
      </w:r>
      <w:r w:rsidR="005755FF">
        <w:t>işaret etmektedir</w:t>
      </w:r>
      <w:r w:rsidR="00E451A4">
        <w:t>.</w:t>
      </w:r>
      <w:r w:rsidR="005755FF">
        <w:t xml:space="preserve"> </w:t>
      </w:r>
      <w:r w:rsidR="00E451A4">
        <w:t xml:space="preserve"> </w:t>
      </w:r>
      <w:r w:rsidR="0059126B">
        <w:t>G</w:t>
      </w:r>
      <w:r w:rsidR="00E451A4">
        <w:t xml:space="preserve">elirle harcamalar arasındaki farka dayanarak hesaplanan dar tanımlı hanehalkı tasarruflarının en üst iki gelir grubu hariç tüm </w:t>
      </w:r>
      <w:r>
        <w:t xml:space="preserve"> </w:t>
      </w:r>
      <w:r w:rsidR="00E451A4">
        <w:t xml:space="preserve">gelir gruplarında </w:t>
      </w:r>
      <w:r w:rsidR="0059126B">
        <w:t xml:space="preserve">tasarrufların negatif olduğu görülmektedir. </w:t>
      </w:r>
      <w:r w:rsidR="00D75052">
        <w:t xml:space="preserve">Pozitif tasarruf yapan hanelerin oranında önce düşüş sonra artış gözlemlenmesine karşın dönem başındaki oranlara en yüksek gelir grubu hariç ulaşılamamıştır. Dayanıklı tüketim mallarına yapılan harcamanın tasarruf olarak değerlendirildiği daha geniş tanıma göre ise en yüksek gelir grubu hariç tüm gelir gruplarında tasarruf oranlarında artış gözlemlenmektedir. Bu bulgulara dayanarak en yüksek gelir grubu hariç tüm gelir gruplarında tasarrufların dayanıklı tüketim mallarına yapılan harcamalara kaydığını söylemek mümkündür. </w:t>
      </w:r>
    </w:p>
    <w:p w:rsidR="00BB4ED7" w:rsidRDefault="00983815" w:rsidP="00BB1F02">
      <w:r>
        <w:rPr>
          <w:b/>
          <w:lang w:val="tr-TR"/>
        </w:rPr>
        <w:t>Ta</w:t>
      </w:r>
      <w:r w:rsidR="00BB4ED7">
        <w:rPr>
          <w:b/>
          <w:lang w:val="tr-TR"/>
        </w:rPr>
        <w:t>sa</w:t>
      </w:r>
      <w:r>
        <w:rPr>
          <w:b/>
          <w:lang w:val="tr-TR"/>
        </w:rPr>
        <w:t>r</w:t>
      </w:r>
      <w:r w:rsidR="00BB4ED7">
        <w:rPr>
          <w:b/>
          <w:lang w:val="tr-TR"/>
        </w:rPr>
        <w:t>ruflarda düşüş tüm gelir gruplarını kapsıyor</w:t>
      </w:r>
    </w:p>
    <w:p w:rsidR="00BC39BD" w:rsidRDefault="00BC39BD" w:rsidP="00BB1F02">
      <w:pPr>
        <w:rPr>
          <w:lang w:val="tr-TR"/>
        </w:rPr>
      </w:pPr>
      <w:r>
        <w:t xml:space="preserve">Hanehalkı tasarruflarla ilgili </w:t>
      </w:r>
      <w:r w:rsidR="00A820E8">
        <w:t>Eylül</w:t>
      </w:r>
      <w:r>
        <w:t xml:space="preserve"> ayında yayınladığımız araştırma notunda (</w:t>
      </w:r>
      <w:r>
        <w:rPr>
          <w:lang w:val="tr-TR"/>
        </w:rPr>
        <w:t>Betam Araştırma Notu 16/197</w:t>
      </w:r>
      <w:r w:rsidR="00031024">
        <w:rPr>
          <w:rStyle w:val="FootnoteReference"/>
          <w:lang w:val="tr-TR"/>
        </w:rPr>
        <w:footnoteReference w:id="4"/>
      </w:r>
      <w:r>
        <w:rPr>
          <w:lang w:val="tr-TR"/>
        </w:rPr>
        <w:t xml:space="preserve">) üç farklı tasarruf tanımı çerçevesinde 2003-2014 </w:t>
      </w:r>
      <w:r w:rsidR="00935FBA">
        <w:rPr>
          <w:lang w:val="tr-TR"/>
        </w:rPr>
        <w:t>döneminde hane tasa</w:t>
      </w:r>
      <w:r w:rsidR="00031024">
        <w:rPr>
          <w:lang w:val="tr-TR"/>
        </w:rPr>
        <w:t>r</w:t>
      </w:r>
      <w:r w:rsidR="00935FBA">
        <w:rPr>
          <w:lang w:val="tr-TR"/>
        </w:rPr>
        <w:t>ruflarının</w:t>
      </w:r>
      <w:r>
        <w:rPr>
          <w:lang w:val="tr-TR"/>
        </w:rPr>
        <w:t xml:space="preserve"> seyrini incelemiş ve tasarruf</w:t>
      </w:r>
      <w:r w:rsidR="00935FBA">
        <w:rPr>
          <w:lang w:val="tr-TR"/>
        </w:rPr>
        <w:t>larda ortaya çıkan azalmanın</w:t>
      </w:r>
      <w:r>
        <w:rPr>
          <w:lang w:val="tr-TR"/>
        </w:rPr>
        <w:t xml:space="preserve"> esasen dayanıklı tüketim mallarına yapılan harcamalardan kaynaklandığını göstermiştik. Bu araştırma notunda ise hanehalkı tasarruflarının </w:t>
      </w:r>
      <w:r w:rsidR="00FA02F3">
        <w:rPr>
          <w:lang w:val="tr-TR"/>
        </w:rPr>
        <w:t>seyri</w:t>
      </w:r>
      <w:r w:rsidR="00935FBA">
        <w:rPr>
          <w:lang w:val="tr-TR"/>
        </w:rPr>
        <w:t>ni</w:t>
      </w:r>
      <w:r>
        <w:rPr>
          <w:lang w:val="tr-TR"/>
        </w:rPr>
        <w:t xml:space="preserve"> </w:t>
      </w:r>
      <w:r w:rsidR="00FA02F3">
        <w:rPr>
          <w:lang w:val="tr-TR"/>
        </w:rPr>
        <w:t>fark</w:t>
      </w:r>
      <w:r>
        <w:rPr>
          <w:lang w:val="tr-TR"/>
        </w:rPr>
        <w:t>lı gelir grupları</w:t>
      </w:r>
      <w:r w:rsidR="00935FBA">
        <w:rPr>
          <w:lang w:val="tr-TR"/>
        </w:rPr>
        <w:t xml:space="preserve"> düzeyinde</w:t>
      </w:r>
      <w:r>
        <w:rPr>
          <w:lang w:val="tr-TR"/>
        </w:rPr>
        <w:t xml:space="preserve"> mercek altına alı</w:t>
      </w:r>
      <w:r w:rsidR="00935FBA">
        <w:rPr>
          <w:lang w:val="tr-TR"/>
        </w:rPr>
        <w:t>yoruz</w:t>
      </w:r>
      <w:r>
        <w:rPr>
          <w:lang w:val="tr-TR"/>
        </w:rPr>
        <w:t xml:space="preserve">. </w:t>
      </w:r>
    </w:p>
    <w:p w:rsidR="00FB2618" w:rsidRDefault="00200B1C">
      <w:pPr>
        <w:rPr>
          <w:lang w:val="tr-TR"/>
        </w:rPr>
      </w:pPr>
      <w:r>
        <w:rPr>
          <w:lang w:val="tr-TR"/>
        </w:rPr>
        <w:t xml:space="preserve">Hatırlatmak gerekirse araştırmada </w:t>
      </w:r>
      <w:r w:rsidR="00BB1F02" w:rsidRPr="001A73E9">
        <w:rPr>
          <w:lang w:val="tr-TR"/>
        </w:rPr>
        <w:t>2003-2014 dönemi Bütçe Anketi (HBA) mikro verileri</w:t>
      </w:r>
      <w:r>
        <w:rPr>
          <w:lang w:val="tr-TR"/>
        </w:rPr>
        <w:t>ni kullanıyoruz.</w:t>
      </w:r>
      <w:r w:rsidR="00BB1F02" w:rsidRPr="009D727E">
        <w:rPr>
          <w:lang w:val="tr-TR"/>
        </w:rPr>
        <w:t xml:space="preserve"> </w:t>
      </w:r>
      <w:r w:rsidR="00BB1F02" w:rsidRPr="001E5CED">
        <w:rPr>
          <w:lang w:val="tr-TR"/>
        </w:rPr>
        <w:t>Hanehalkı</w:t>
      </w:r>
      <w:r w:rsidR="00BB1F02">
        <w:rPr>
          <w:lang w:val="tr-TR"/>
        </w:rPr>
        <w:t xml:space="preserve"> Bütçe Anketleri doğrudan tasarruflara ilişkin veri içermemektedir</w:t>
      </w:r>
      <w:r w:rsidR="00BB1F02" w:rsidRPr="00AE44A8">
        <w:rPr>
          <w:lang w:val="tr-TR"/>
        </w:rPr>
        <w:t>. Bu nedenle ekonomi yazınında sıklıkla kullanılan tanımlar doğrultusunda hane tasarrufu hanenin harcanabilir geliri ile ha</w:t>
      </w:r>
      <w:r w:rsidR="007F5DF1">
        <w:rPr>
          <w:lang w:val="tr-TR"/>
        </w:rPr>
        <w:t>rcaması arasındaki farkı (</w:t>
      </w:r>
      <w:r w:rsidR="00BB1F02" w:rsidRPr="00AE44A8">
        <w:rPr>
          <w:lang w:val="tr-TR"/>
        </w:rPr>
        <w:t>tasarruf miktarı</w:t>
      </w:r>
      <w:r w:rsidR="007F5DF1">
        <w:rPr>
          <w:lang w:val="tr-TR"/>
        </w:rPr>
        <w:t>)</w:t>
      </w:r>
      <w:r w:rsidR="00BB1F02" w:rsidRPr="00AE44A8">
        <w:rPr>
          <w:lang w:val="tr-TR"/>
        </w:rPr>
        <w:t xml:space="preserve"> kullanılabilir hane gelirine böl</w:t>
      </w:r>
      <w:r w:rsidR="00383E0A">
        <w:rPr>
          <w:lang w:val="tr-TR"/>
        </w:rPr>
        <w:t>erek</w:t>
      </w:r>
      <w:r w:rsidR="00BB1F02" w:rsidRPr="00AE44A8">
        <w:rPr>
          <w:lang w:val="tr-TR"/>
        </w:rPr>
        <w:t xml:space="preserve"> </w:t>
      </w:r>
      <w:r w:rsidR="007F5DF1">
        <w:rPr>
          <w:lang w:val="tr-TR"/>
        </w:rPr>
        <w:t xml:space="preserve">her hanenin tasarruf oranını (pozitif ve negatif) </w:t>
      </w:r>
      <w:r w:rsidR="00BB1F02" w:rsidRPr="00AE44A8">
        <w:rPr>
          <w:lang w:val="tr-TR"/>
        </w:rPr>
        <w:t>hesapl</w:t>
      </w:r>
      <w:r w:rsidR="007F5DF1">
        <w:rPr>
          <w:lang w:val="tr-TR"/>
        </w:rPr>
        <w:t>ıyoruz.</w:t>
      </w:r>
      <w:r w:rsidR="00BB1F02" w:rsidRPr="00AE44A8">
        <w:rPr>
          <w:lang w:val="tr-TR"/>
        </w:rPr>
        <w:t xml:space="preserve"> </w:t>
      </w:r>
      <w:r w:rsidR="007F5DF1">
        <w:rPr>
          <w:lang w:val="tr-TR"/>
        </w:rPr>
        <w:t>Yüzde 2</w:t>
      </w:r>
      <w:r w:rsidR="00BB13FD">
        <w:rPr>
          <w:lang w:val="tr-TR"/>
        </w:rPr>
        <w:t>0’lik gelir gruplarının derneşi</w:t>
      </w:r>
      <w:r w:rsidR="007F5DF1">
        <w:rPr>
          <w:lang w:val="tr-TR"/>
        </w:rPr>
        <w:t>k tasa</w:t>
      </w:r>
      <w:r w:rsidR="00031024">
        <w:rPr>
          <w:lang w:val="tr-TR"/>
        </w:rPr>
        <w:t>r</w:t>
      </w:r>
      <w:r w:rsidR="007F5DF1">
        <w:rPr>
          <w:lang w:val="tr-TR"/>
        </w:rPr>
        <w:t>ruf</w:t>
      </w:r>
      <w:r w:rsidR="00A75AD6">
        <w:rPr>
          <w:lang w:val="tr-TR"/>
        </w:rPr>
        <w:t xml:space="preserve"> </w:t>
      </w:r>
      <w:r w:rsidR="007F5DF1">
        <w:rPr>
          <w:lang w:val="tr-TR"/>
        </w:rPr>
        <w:lastRenderedPageBreak/>
        <w:t xml:space="preserve">oranlarını belirlemek için de gelir grubundaki hanelerin </w:t>
      </w:r>
      <w:r w:rsidR="00732C2D">
        <w:rPr>
          <w:lang w:val="tr-TR"/>
        </w:rPr>
        <w:t>tasa</w:t>
      </w:r>
      <w:r w:rsidR="00031024">
        <w:rPr>
          <w:lang w:val="tr-TR"/>
        </w:rPr>
        <w:t>r</w:t>
      </w:r>
      <w:r w:rsidR="00732C2D">
        <w:rPr>
          <w:lang w:val="tr-TR"/>
        </w:rPr>
        <w:t xml:space="preserve">ruf oranlarının gelir paylarıyla </w:t>
      </w:r>
      <w:r w:rsidR="007F5DF1">
        <w:rPr>
          <w:lang w:val="tr-TR"/>
        </w:rPr>
        <w:t>ağırlaklandırılmış ortalamasını alıyoruz</w:t>
      </w:r>
      <w:r w:rsidR="00BB1F02" w:rsidRPr="00695232">
        <w:rPr>
          <w:rStyle w:val="FootnoteReference"/>
          <w:lang w:val="tr-TR"/>
        </w:rPr>
        <w:footnoteReference w:id="5"/>
      </w:r>
      <w:r w:rsidR="00BB1F02" w:rsidRPr="00695232">
        <w:rPr>
          <w:lang w:val="tr-TR"/>
        </w:rPr>
        <w:t>.</w:t>
      </w:r>
      <w:r w:rsidR="00BB1F02">
        <w:rPr>
          <w:lang w:val="tr-TR"/>
        </w:rPr>
        <w:t xml:space="preserve"> </w:t>
      </w:r>
    </w:p>
    <w:p w:rsidR="002B72EC" w:rsidRPr="00BB4ED7" w:rsidRDefault="00FC2808">
      <w:pPr>
        <w:rPr>
          <w:lang w:val="tr-TR"/>
        </w:rPr>
      </w:pPr>
      <w:r>
        <w:rPr>
          <w:lang w:val="tr-TR"/>
        </w:rPr>
        <w:t>İktisat yazınında hanehalkı tasarruflarının daha geniş kapsamlı olarak tanımlanması tartışılmakta</w:t>
      </w:r>
      <w:r w:rsidR="00226394">
        <w:rPr>
          <w:lang w:val="tr-TR"/>
        </w:rPr>
        <w:t xml:space="preserve"> olduğunu ilk araştırma notunda belirtmiştik.</w:t>
      </w:r>
      <w:r>
        <w:rPr>
          <w:lang w:val="tr-TR"/>
        </w:rPr>
        <w:t xml:space="preserve"> Bu yazında </w:t>
      </w:r>
      <w:r w:rsidRPr="00CB73BB">
        <w:rPr>
          <w:lang w:val="tr-TR"/>
        </w:rPr>
        <w:t xml:space="preserve">harcamalar kısa vadeli ve uzun vadeli olarak iki gruba ayrılarak uzun vadeli harcamaların tasarruf niteliği taşıdığı </w:t>
      </w:r>
      <w:r>
        <w:rPr>
          <w:lang w:val="tr-TR"/>
        </w:rPr>
        <w:t>savunulmaktadır</w:t>
      </w:r>
      <w:r w:rsidRPr="00EC12C0">
        <w:rPr>
          <w:lang w:val="tr-TR"/>
        </w:rPr>
        <w:t xml:space="preserve"> (Székely </w:t>
      </w:r>
      <w:r>
        <w:rPr>
          <w:lang w:val="tr-TR"/>
        </w:rPr>
        <w:t>ve</w:t>
      </w:r>
      <w:r w:rsidRPr="00EC12C0">
        <w:rPr>
          <w:lang w:val="tr-TR"/>
        </w:rPr>
        <w:t xml:space="preserve"> </w:t>
      </w:r>
      <w:r>
        <w:rPr>
          <w:lang w:val="tr-TR"/>
        </w:rPr>
        <w:t>Attanasio,</w:t>
      </w:r>
      <w:r w:rsidRPr="00EC12C0">
        <w:rPr>
          <w:lang w:val="tr-TR"/>
        </w:rPr>
        <w:t>2000</w:t>
      </w:r>
      <w:r>
        <w:rPr>
          <w:lang w:val="tr-TR"/>
        </w:rPr>
        <w:t>; Gourinchas ve Parker,2002)</w:t>
      </w:r>
      <w:r>
        <w:rPr>
          <w:rStyle w:val="FootnoteReference"/>
          <w:lang w:val="tr-TR"/>
        </w:rPr>
        <w:footnoteReference w:id="6"/>
      </w:r>
      <w:r w:rsidRPr="00CB73BB">
        <w:rPr>
          <w:lang w:val="tr-TR"/>
        </w:rPr>
        <w:t xml:space="preserve">. Bu kabul doğrultusunda özellikle dayanıklı tüketim malları harcamaları ile eğitim ve sağlık harcamaları gibi beşeri sermaye yatırımları farklı tasarruf biçimleri olarak ayrıca değerlendirmeye tabi tutulur. Bu bağlamda </w:t>
      </w:r>
      <w:r w:rsidR="00226394">
        <w:rPr>
          <w:lang w:val="tr-TR"/>
        </w:rPr>
        <w:t>hanehalkı tasarrufu dayanıklı</w:t>
      </w:r>
      <w:r w:rsidR="00BD57DB">
        <w:rPr>
          <w:lang w:val="tr-TR"/>
        </w:rPr>
        <w:t xml:space="preserve"> tüktetim mallarına yapılan har</w:t>
      </w:r>
      <w:r w:rsidR="00226394">
        <w:rPr>
          <w:lang w:val="tr-TR"/>
        </w:rPr>
        <w:t xml:space="preserve">camalar dışlanarak yeniden tanımlandığında,  yüzde 13,7’den (2003) yüzde 6,8’e </w:t>
      </w:r>
      <w:r w:rsidR="002B72EC">
        <w:rPr>
          <w:lang w:val="tr-TR"/>
        </w:rPr>
        <w:t xml:space="preserve">(2014) </w:t>
      </w:r>
      <w:r w:rsidR="00226394">
        <w:rPr>
          <w:lang w:val="tr-TR"/>
        </w:rPr>
        <w:t>gerileyen genel hanehalkı tasaruf oranına kar</w:t>
      </w:r>
      <w:r w:rsidR="008A2EE6">
        <w:rPr>
          <w:lang w:val="tr-TR"/>
        </w:rPr>
        <w:t>şı</w:t>
      </w:r>
      <w:r w:rsidR="00226394">
        <w:rPr>
          <w:lang w:val="tr-TR"/>
        </w:rPr>
        <w:t xml:space="preserve">lık genişletilmiş </w:t>
      </w:r>
      <w:r w:rsidR="00477FA5">
        <w:rPr>
          <w:lang w:val="tr-TR"/>
        </w:rPr>
        <w:t>tasarruf oranının</w:t>
      </w:r>
      <w:r w:rsidR="00226394">
        <w:rPr>
          <w:lang w:val="tr-TR"/>
        </w:rPr>
        <w:t xml:space="preserve"> çok daha sınırlı bir azalma sergil</w:t>
      </w:r>
      <w:r w:rsidR="00E04708">
        <w:rPr>
          <w:lang w:val="tr-TR"/>
        </w:rPr>
        <w:t>e</w:t>
      </w:r>
      <w:r w:rsidR="00226394">
        <w:rPr>
          <w:lang w:val="tr-TR"/>
        </w:rPr>
        <w:t>dikten sonra artmaya başladığı ve dönemin başlangıcı ile son</w:t>
      </w:r>
      <w:r w:rsidR="00477FA5">
        <w:rPr>
          <w:lang w:val="tr-TR"/>
        </w:rPr>
        <w:t xml:space="preserve">u </w:t>
      </w:r>
      <w:r w:rsidR="00226394">
        <w:rPr>
          <w:lang w:val="tr-TR"/>
        </w:rPr>
        <w:t>arasında dik</w:t>
      </w:r>
      <w:r w:rsidR="00477FA5">
        <w:rPr>
          <w:lang w:val="tr-TR"/>
        </w:rPr>
        <w:t xml:space="preserve">kate </w:t>
      </w:r>
      <w:r w:rsidR="00226394">
        <w:rPr>
          <w:lang w:val="tr-TR"/>
        </w:rPr>
        <w:t>d</w:t>
      </w:r>
      <w:r w:rsidR="00477FA5">
        <w:rPr>
          <w:lang w:val="tr-TR"/>
        </w:rPr>
        <w:t>e</w:t>
      </w:r>
      <w:r w:rsidR="00226394">
        <w:rPr>
          <w:lang w:val="tr-TR"/>
        </w:rPr>
        <w:t>ğer bir fark olmadğını (yüzde 20’ye karşılık yüzde 21,2)</w:t>
      </w:r>
      <w:r w:rsidR="00477FA5">
        <w:rPr>
          <w:lang w:val="tr-TR"/>
        </w:rPr>
        <w:t xml:space="preserve"> göstermiştik. </w:t>
      </w:r>
      <w:r w:rsidR="00A820E8">
        <w:rPr>
          <w:lang w:val="tr-TR"/>
        </w:rPr>
        <w:t xml:space="preserve">Buna karşılık </w:t>
      </w:r>
      <w:r w:rsidR="00477FA5">
        <w:rPr>
          <w:lang w:val="tr-TR"/>
        </w:rPr>
        <w:t xml:space="preserve"> eğitim ve sağlık harcamaları dışlandığında tasarruf oranının seyrinin değ</w:t>
      </w:r>
      <w:r w:rsidR="00C710E9">
        <w:rPr>
          <w:lang w:val="tr-TR"/>
        </w:rPr>
        <w:t>i</w:t>
      </w:r>
      <w:r w:rsidR="00477FA5">
        <w:rPr>
          <w:lang w:val="tr-TR"/>
        </w:rPr>
        <w:t>şim göstermediği gözlemlen</w:t>
      </w:r>
      <w:r w:rsidR="00A820E8">
        <w:rPr>
          <w:lang w:val="tr-TR"/>
        </w:rPr>
        <w:t xml:space="preserve">diğinden </w:t>
      </w:r>
      <w:r w:rsidR="00477FA5">
        <w:rPr>
          <w:lang w:val="tr-TR"/>
        </w:rPr>
        <w:t>(Bkz. Betam Araştırma Notu 16/197)</w:t>
      </w:r>
      <w:r w:rsidR="00A820E8">
        <w:rPr>
          <w:lang w:val="tr-TR"/>
        </w:rPr>
        <w:t xml:space="preserve"> bu araştırma</w:t>
      </w:r>
      <w:r w:rsidR="002B72EC">
        <w:rPr>
          <w:lang w:val="tr-TR"/>
        </w:rPr>
        <w:t>da</w:t>
      </w:r>
      <w:r w:rsidR="00A820E8">
        <w:rPr>
          <w:lang w:val="tr-TR"/>
        </w:rPr>
        <w:t xml:space="preserve"> gelir g</w:t>
      </w:r>
      <w:r w:rsidR="00A20C8C">
        <w:rPr>
          <w:lang w:val="tr-TR"/>
        </w:rPr>
        <w:t>rup</w:t>
      </w:r>
      <w:r w:rsidR="00A820E8">
        <w:rPr>
          <w:lang w:val="tr-TR"/>
        </w:rPr>
        <w:t>ları itibariyle incelemeyi dayanıklı tüketim malı harcamalarının tasarruflara dahil edildiği</w:t>
      </w:r>
      <w:r w:rsidR="002B72EC">
        <w:rPr>
          <w:lang w:val="tr-TR"/>
        </w:rPr>
        <w:t xml:space="preserve"> </w:t>
      </w:r>
      <w:r w:rsidR="00A820E8">
        <w:rPr>
          <w:lang w:val="tr-TR"/>
        </w:rPr>
        <w:t xml:space="preserve">durumla sınırlıyoruz </w:t>
      </w:r>
      <w:r w:rsidR="00477FA5">
        <w:rPr>
          <w:lang w:val="tr-TR"/>
        </w:rPr>
        <w:t xml:space="preserve">. </w:t>
      </w:r>
    </w:p>
    <w:p w:rsidR="00231C7B" w:rsidRPr="00805459" w:rsidRDefault="00231C7B" w:rsidP="00231C7B">
      <w:pPr>
        <w:pStyle w:val="Caption"/>
        <w:keepNext/>
        <w:rPr>
          <w:color w:val="auto"/>
          <w:sz w:val="22"/>
          <w:szCs w:val="22"/>
          <w:lang w:val="tr-TR"/>
        </w:rPr>
      </w:pPr>
      <w:r w:rsidRPr="00805459">
        <w:rPr>
          <w:color w:val="auto"/>
          <w:sz w:val="22"/>
          <w:szCs w:val="22"/>
          <w:lang w:val="tr-TR"/>
        </w:rPr>
        <w:t xml:space="preserve">Şekil </w:t>
      </w:r>
      <w:r w:rsidR="00DC75ED" w:rsidRPr="00F02D2F">
        <w:rPr>
          <w:color w:val="auto"/>
          <w:sz w:val="22"/>
          <w:szCs w:val="22"/>
        </w:rPr>
        <w:fldChar w:fldCharType="begin"/>
      </w:r>
      <w:r w:rsidRPr="00805459">
        <w:rPr>
          <w:color w:val="auto"/>
          <w:sz w:val="22"/>
          <w:szCs w:val="22"/>
          <w:lang w:val="tr-TR"/>
        </w:rPr>
        <w:instrText xml:space="preserve"> SEQ Şekil \* ARABIC </w:instrText>
      </w:r>
      <w:r w:rsidR="00DC75ED" w:rsidRPr="00F02D2F">
        <w:rPr>
          <w:color w:val="auto"/>
          <w:sz w:val="22"/>
          <w:szCs w:val="22"/>
        </w:rPr>
        <w:fldChar w:fldCharType="separate"/>
      </w:r>
      <w:r w:rsidR="00E43F85" w:rsidRPr="00805459">
        <w:rPr>
          <w:color w:val="auto"/>
          <w:sz w:val="22"/>
          <w:szCs w:val="22"/>
          <w:lang w:val="tr-TR"/>
        </w:rPr>
        <w:t>1</w:t>
      </w:r>
      <w:r w:rsidR="00DC75ED" w:rsidRPr="00F02D2F">
        <w:rPr>
          <w:color w:val="auto"/>
          <w:sz w:val="22"/>
          <w:szCs w:val="22"/>
        </w:rPr>
        <w:fldChar w:fldCharType="end"/>
      </w:r>
      <w:r w:rsidRPr="00805459">
        <w:rPr>
          <w:color w:val="auto"/>
          <w:sz w:val="22"/>
          <w:szCs w:val="22"/>
          <w:lang w:val="tr-TR"/>
        </w:rPr>
        <w:t xml:space="preserve"> Hanehalkı tasarruf oranlarının gelir gruplarında göre incelenmesi, 2003-2014</w:t>
      </w:r>
    </w:p>
    <w:p w:rsidR="002E706C" w:rsidRDefault="00932DD4" w:rsidP="002E706C">
      <w:pPr>
        <w:rPr>
          <w:rFonts w:cs="Arial"/>
          <w:sz w:val="20"/>
          <w:szCs w:val="20"/>
        </w:rPr>
      </w:pPr>
      <w:r w:rsidRPr="00932DD4">
        <w:rPr>
          <w:rFonts w:cs="Arial"/>
          <w:sz w:val="20"/>
          <w:szCs w:val="20"/>
          <w:lang w:val="tr-TR" w:eastAsia="tr-TR"/>
        </w:rPr>
        <w:drawing>
          <wp:inline distT="0" distB="0" distL="0" distR="0">
            <wp:extent cx="5760720" cy="3563916"/>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E081B">
        <w:rPr>
          <w:rFonts w:cs="Arial"/>
          <w:sz w:val="20"/>
          <w:szCs w:val="20"/>
        </w:rPr>
        <w:t>Kaynak</w:t>
      </w:r>
      <w:r w:rsidR="000E081B" w:rsidRPr="001D402E">
        <w:rPr>
          <w:rFonts w:cs="Arial"/>
          <w:sz w:val="20"/>
          <w:szCs w:val="20"/>
        </w:rPr>
        <w:t xml:space="preserve">: 2003-2014 </w:t>
      </w:r>
      <w:r w:rsidR="000E081B">
        <w:rPr>
          <w:rFonts w:cs="Arial"/>
          <w:sz w:val="20"/>
          <w:szCs w:val="20"/>
        </w:rPr>
        <w:t>Hanehalkı Bütç</w:t>
      </w:r>
      <w:r w:rsidR="0079054D">
        <w:rPr>
          <w:rFonts w:cs="Arial"/>
          <w:sz w:val="20"/>
          <w:szCs w:val="20"/>
        </w:rPr>
        <w:t>e Anketi Kesit Mikroverisetleri</w:t>
      </w:r>
      <w:r w:rsidR="000E081B" w:rsidRPr="001D402E">
        <w:rPr>
          <w:rFonts w:cs="Arial"/>
          <w:sz w:val="20"/>
          <w:szCs w:val="20"/>
        </w:rPr>
        <w:t>; Betam</w:t>
      </w:r>
      <w:r w:rsidR="000E081B">
        <w:rPr>
          <w:rFonts w:cs="Arial"/>
          <w:sz w:val="20"/>
          <w:szCs w:val="20"/>
        </w:rPr>
        <w:t xml:space="preserve"> hesaplamaları</w:t>
      </w:r>
    </w:p>
    <w:p w:rsidR="00CE0C54" w:rsidRDefault="00CE0C54" w:rsidP="00CE0C54">
      <w:pPr>
        <w:rPr>
          <w:lang w:val="tr-TR"/>
        </w:rPr>
      </w:pPr>
      <w:r w:rsidRPr="00805459">
        <w:rPr>
          <w:lang w:val="tr-TR"/>
        </w:rPr>
        <w:lastRenderedPageBreak/>
        <w:t xml:space="preserve">Şekil 1’de </w:t>
      </w:r>
      <w:r>
        <w:rPr>
          <w:lang w:val="tr-TR"/>
        </w:rPr>
        <w:t>standart tasarruf oranları (kullanılabilir gelir – tüketim harcamaları / kullanılabilir gelir)</w:t>
      </w:r>
      <w:r w:rsidRPr="00805459">
        <w:rPr>
          <w:lang w:val="tr-TR"/>
        </w:rPr>
        <w:t xml:space="preserve"> </w:t>
      </w:r>
      <w:r>
        <w:rPr>
          <w:lang w:val="tr-TR"/>
        </w:rPr>
        <w:t>yüzde 20’lik</w:t>
      </w:r>
      <w:r w:rsidRPr="00805459">
        <w:rPr>
          <w:lang w:val="tr-TR"/>
        </w:rPr>
        <w:t xml:space="preserve"> gelir grupları için verilmektedir. </w:t>
      </w:r>
      <w:r>
        <w:rPr>
          <w:lang w:val="tr-TR"/>
        </w:rPr>
        <w:t>Yapılması gereken ilk genel gözlem, yüksek gelir gruplarından düşük gelir gruplarına inildikçe beklendiği gibi tasarruf oranları azalmakla birlikte en yüksek gelir grubu ile diğer gelir grupları arasında tasarruf oranı farkının çok büyük boyutlarda olmasıdır. En yüksek gelir grubu ile ikinci en yüksek gelir grubu arasında bile tasarruf eğlimi farkı çok büyüktür: 2014 itibariyle yüzde 9’a yüzde 1,2.</w:t>
      </w:r>
    </w:p>
    <w:p w:rsidR="00E362A0" w:rsidRDefault="00E362A0" w:rsidP="00E362A0">
      <w:pPr>
        <w:rPr>
          <w:lang w:val="tr-TR"/>
        </w:rPr>
      </w:pPr>
      <w:r>
        <w:rPr>
          <w:lang w:val="tr-TR"/>
        </w:rPr>
        <w:t>İkinci genel gözlem</w:t>
      </w:r>
      <w:r w:rsidR="00B67B49">
        <w:rPr>
          <w:lang w:val="tr-TR"/>
        </w:rPr>
        <w:t>,</w:t>
      </w:r>
      <w:r>
        <w:rPr>
          <w:lang w:val="tr-TR"/>
        </w:rPr>
        <w:t xml:space="preserve"> dönem boyunca tasarruf oranlarının tüm gelir gruplarında azalmış olmasıdır. Bu bağlamda en düşük gelire sahip iki grubun (toplam gelirin alt yüzde 40’ı) tasarruf oranları dönem boyunca </w:t>
      </w:r>
      <w:r w:rsidR="00F633C4">
        <w:rPr>
          <w:lang w:val="tr-TR"/>
        </w:rPr>
        <w:t>ekside kalmıştır.</w:t>
      </w:r>
      <w:r>
        <w:rPr>
          <w:lang w:val="tr-TR"/>
        </w:rPr>
        <w:t xml:space="preserve"> </w:t>
      </w:r>
      <w:r w:rsidR="00F633C4">
        <w:rPr>
          <w:lang w:val="tr-TR"/>
        </w:rPr>
        <w:t>K</w:t>
      </w:r>
      <w:r>
        <w:rPr>
          <w:lang w:val="tr-TR"/>
        </w:rPr>
        <w:t xml:space="preserve">üresel krizin olumsuz etksinin yaşanmaya başladığı 2008’den itibaren </w:t>
      </w:r>
      <w:r w:rsidR="00F633C4">
        <w:rPr>
          <w:lang w:val="tr-TR"/>
        </w:rPr>
        <w:t>bu gruba orta gelir grubu</w:t>
      </w:r>
      <w:r>
        <w:rPr>
          <w:lang w:val="tr-TR"/>
        </w:rPr>
        <w:t xml:space="preserve"> da eklenmiş</w:t>
      </w:r>
      <w:r w:rsidR="00F633C4">
        <w:rPr>
          <w:lang w:val="tr-TR"/>
        </w:rPr>
        <w:t>tir</w:t>
      </w:r>
      <w:r>
        <w:rPr>
          <w:lang w:val="tr-TR"/>
        </w:rPr>
        <w:t xml:space="preserve">. Sonuç olarak Türkiye’de hanelerin yüzde 60’ının </w:t>
      </w:r>
      <w:r w:rsidR="00F84C30">
        <w:rPr>
          <w:lang w:val="tr-TR"/>
        </w:rPr>
        <w:t xml:space="preserve">ortalama </w:t>
      </w:r>
      <w:r w:rsidR="00E600C9">
        <w:rPr>
          <w:lang w:val="tr-TR"/>
        </w:rPr>
        <w:t xml:space="preserve">tasarruf oranı uzun süredir </w:t>
      </w:r>
      <w:r>
        <w:rPr>
          <w:lang w:val="tr-TR"/>
        </w:rPr>
        <w:t>eksidedir. Diğer ifadeyle kulanılabilir gelirler</w:t>
      </w:r>
      <w:r w:rsidR="00F84C30">
        <w:rPr>
          <w:lang w:val="tr-TR"/>
        </w:rPr>
        <w:t>lerden</w:t>
      </w:r>
      <w:r>
        <w:rPr>
          <w:lang w:val="tr-TR"/>
        </w:rPr>
        <w:t xml:space="preserve"> daha fazlası harca</w:t>
      </w:r>
      <w:r w:rsidR="00F84C30">
        <w:rPr>
          <w:lang w:val="tr-TR"/>
        </w:rPr>
        <w:t>nmakta</w:t>
      </w:r>
      <w:r>
        <w:rPr>
          <w:lang w:val="tr-TR"/>
        </w:rPr>
        <w:t>, dolayısyıla bu gruplardaki hanelerin ç</w:t>
      </w:r>
      <w:r w:rsidR="000747BC">
        <w:rPr>
          <w:lang w:val="tr-TR"/>
        </w:rPr>
        <w:t>oğunluğunun borç/gelir oranları</w:t>
      </w:r>
      <w:r>
        <w:rPr>
          <w:lang w:val="tr-TR"/>
        </w:rPr>
        <w:t xml:space="preserve"> yükselmektedir.</w:t>
      </w:r>
    </w:p>
    <w:p w:rsidR="001A505A" w:rsidRPr="007C7B63" w:rsidRDefault="001A505A" w:rsidP="00605ED5">
      <w:pPr>
        <w:rPr>
          <w:b/>
          <w:lang w:val="tr-TR"/>
        </w:rPr>
      </w:pPr>
      <w:r w:rsidRPr="007C7B63">
        <w:rPr>
          <w:b/>
          <w:lang w:val="tr-TR"/>
        </w:rPr>
        <w:t xml:space="preserve">Tablo </w:t>
      </w:r>
      <w:r w:rsidRPr="007C7B63">
        <w:rPr>
          <w:b/>
        </w:rPr>
        <w:fldChar w:fldCharType="begin"/>
      </w:r>
      <w:r w:rsidRPr="007C7B63">
        <w:rPr>
          <w:b/>
          <w:lang w:val="tr-TR"/>
        </w:rPr>
        <w:instrText xml:space="preserve"> SEQ Tablo \* ARABIC </w:instrText>
      </w:r>
      <w:r w:rsidRPr="007C7B63">
        <w:rPr>
          <w:b/>
        </w:rPr>
        <w:fldChar w:fldCharType="separate"/>
      </w:r>
      <w:r w:rsidRPr="007C7B63">
        <w:rPr>
          <w:b/>
          <w:lang w:val="tr-TR"/>
        </w:rPr>
        <w:t>1</w:t>
      </w:r>
      <w:r w:rsidRPr="007C7B63">
        <w:rPr>
          <w:b/>
        </w:rPr>
        <w:fldChar w:fldCharType="end"/>
      </w:r>
      <w:r w:rsidRPr="007C7B63">
        <w:rPr>
          <w:b/>
          <w:lang w:val="tr-TR"/>
        </w:rPr>
        <w:t xml:space="preserve"> Gelir grupları itibariyle pozitif tasarruf* yapabilen hanelerin oranı (%)</w:t>
      </w:r>
    </w:p>
    <w:tbl>
      <w:tblPr>
        <w:tblW w:w="87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993"/>
        <w:gridCol w:w="1559"/>
        <w:gridCol w:w="1559"/>
        <w:gridCol w:w="1559"/>
        <w:gridCol w:w="1559"/>
        <w:gridCol w:w="1560"/>
      </w:tblGrid>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TO1</w:t>
            </w:r>
          </w:p>
        </w:tc>
        <w:tc>
          <w:tcPr>
            <w:tcW w:w="1559" w:type="dxa"/>
            <w:shd w:val="clear" w:color="auto" w:fill="auto"/>
            <w:noWrap/>
            <w:vAlign w:val="bottom"/>
          </w:tcPr>
          <w:p w:rsidR="00285057" w:rsidRPr="001B1734" w:rsidRDefault="00285057" w:rsidP="007E5A1E">
            <w:pPr>
              <w:spacing w:after="0"/>
              <w:jc w:val="right"/>
              <w:rPr>
                <w:rFonts w:ascii="Calibri" w:hAnsi="Calibri"/>
                <w:b/>
                <w:noProof w:val="0"/>
                <w:color w:val="000000"/>
                <w:lang w:val="tr-TR"/>
              </w:rPr>
            </w:pPr>
            <w:r w:rsidRPr="001B1734">
              <w:rPr>
                <w:rFonts w:ascii="Calibri" w:hAnsi="Calibri"/>
                <w:b/>
                <w:noProof w:val="0"/>
                <w:color w:val="000000"/>
                <w:lang w:val="tr-TR"/>
              </w:rPr>
              <w:t>1.%20'lik dilim</w:t>
            </w:r>
          </w:p>
        </w:tc>
        <w:tc>
          <w:tcPr>
            <w:tcW w:w="1559" w:type="dxa"/>
            <w:shd w:val="clear" w:color="auto" w:fill="auto"/>
            <w:noWrap/>
            <w:vAlign w:val="bottom"/>
          </w:tcPr>
          <w:p w:rsidR="00285057" w:rsidRPr="001B1734" w:rsidRDefault="00285057" w:rsidP="007E5A1E">
            <w:pPr>
              <w:spacing w:after="0"/>
              <w:jc w:val="right"/>
              <w:rPr>
                <w:rFonts w:ascii="Calibri" w:hAnsi="Calibri"/>
                <w:b/>
                <w:noProof w:val="0"/>
                <w:color w:val="000000"/>
                <w:lang w:val="tr-TR"/>
              </w:rPr>
            </w:pPr>
            <w:r w:rsidRPr="001B1734">
              <w:rPr>
                <w:rFonts w:ascii="Calibri" w:hAnsi="Calibri"/>
                <w:b/>
                <w:noProof w:val="0"/>
                <w:color w:val="000000"/>
                <w:lang w:val="tr-TR"/>
              </w:rPr>
              <w:t>2.%20'lik dilim</w:t>
            </w:r>
          </w:p>
        </w:tc>
        <w:tc>
          <w:tcPr>
            <w:tcW w:w="1559" w:type="dxa"/>
            <w:shd w:val="clear" w:color="auto" w:fill="auto"/>
            <w:noWrap/>
            <w:vAlign w:val="bottom"/>
          </w:tcPr>
          <w:p w:rsidR="00285057" w:rsidRPr="001B1734" w:rsidRDefault="00285057" w:rsidP="007E5A1E">
            <w:pPr>
              <w:spacing w:after="0"/>
              <w:jc w:val="right"/>
              <w:rPr>
                <w:rFonts w:ascii="Calibri" w:hAnsi="Calibri"/>
                <w:b/>
                <w:noProof w:val="0"/>
                <w:color w:val="000000"/>
                <w:lang w:val="tr-TR"/>
              </w:rPr>
            </w:pPr>
            <w:r w:rsidRPr="001B1734">
              <w:rPr>
                <w:rFonts w:ascii="Calibri" w:hAnsi="Calibri"/>
                <w:b/>
                <w:noProof w:val="0"/>
                <w:color w:val="000000"/>
                <w:lang w:val="tr-TR"/>
              </w:rPr>
              <w:t>3.%20'lik dilim</w:t>
            </w:r>
          </w:p>
        </w:tc>
        <w:tc>
          <w:tcPr>
            <w:tcW w:w="1559" w:type="dxa"/>
            <w:shd w:val="clear" w:color="auto" w:fill="auto"/>
            <w:noWrap/>
            <w:vAlign w:val="bottom"/>
          </w:tcPr>
          <w:p w:rsidR="00285057" w:rsidRPr="001B1734" w:rsidRDefault="00285057" w:rsidP="007E5A1E">
            <w:pPr>
              <w:spacing w:after="0"/>
              <w:jc w:val="right"/>
              <w:rPr>
                <w:rFonts w:ascii="Calibri" w:hAnsi="Calibri"/>
                <w:b/>
                <w:noProof w:val="0"/>
                <w:color w:val="000000"/>
                <w:lang w:val="tr-TR"/>
              </w:rPr>
            </w:pPr>
            <w:r w:rsidRPr="001B1734">
              <w:rPr>
                <w:rFonts w:ascii="Calibri" w:hAnsi="Calibri"/>
                <w:b/>
                <w:noProof w:val="0"/>
                <w:color w:val="000000"/>
                <w:lang w:val="tr-TR"/>
              </w:rPr>
              <w:t>4.%20'lik dilim</w:t>
            </w:r>
          </w:p>
        </w:tc>
        <w:tc>
          <w:tcPr>
            <w:tcW w:w="1560" w:type="dxa"/>
            <w:shd w:val="clear" w:color="auto" w:fill="auto"/>
            <w:noWrap/>
            <w:vAlign w:val="bottom"/>
          </w:tcPr>
          <w:p w:rsidR="00285057" w:rsidRPr="001B1734" w:rsidRDefault="00285057" w:rsidP="007E5A1E">
            <w:pPr>
              <w:spacing w:after="0"/>
              <w:jc w:val="right"/>
              <w:rPr>
                <w:rFonts w:ascii="Calibri" w:hAnsi="Calibri"/>
                <w:b/>
                <w:noProof w:val="0"/>
                <w:color w:val="000000"/>
                <w:lang w:val="tr-TR"/>
              </w:rPr>
            </w:pPr>
            <w:r w:rsidRPr="001B1734">
              <w:rPr>
                <w:rFonts w:ascii="Calibri" w:hAnsi="Calibri"/>
                <w:b/>
                <w:noProof w:val="0"/>
                <w:color w:val="000000"/>
                <w:lang w:val="tr-TR"/>
              </w:rPr>
              <w:t>5.%20'lik dilim</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2003</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35,2</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49,9</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60,5</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67,0</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78,0</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37,1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52,1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61,7</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70,5</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80,7</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2005</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32,6</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47,7</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61,1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67,9</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73,4</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2006</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35,8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52,1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59,3</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64,9</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75,8</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2007</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37,1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53,3</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61,8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67,3</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77,8</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30,8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39,5</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46,9</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61,8</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76,4</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2009</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28,0</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43,6</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52,5</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63,8</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75,3</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2010</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29,3</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39,2</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51,8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60,1</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74,0</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2011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30,4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45,0</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53,6</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63,1</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73,2</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2012</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35,8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45,9</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53,7</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63,1</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71,0</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2013</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35,8</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44,4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55,1</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62,6</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70,9</w:t>
            </w:r>
          </w:p>
        </w:tc>
      </w:tr>
      <w:tr w:rsidR="00285057" w:rsidRPr="001B1734" w:rsidTr="009727DD">
        <w:trPr>
          <w:trHeight w:val="280"/>
        </w:trPr>
        <w:tc>
          <w:tcPr>
            <w:tcW w:w="993" w:type="dxa"/>
            <w:shd w:val="clear" w:color="auto" w:fill="auto"/>
            <w:noWrap/>
            <w:vAlign w:val="bottom"/>
          </w:tcPr>
          <w:p w:rsidR="00285057" w:rsidRPr="001B1734" w:rsidRDefault="00285057" w:rsidP="00285057">
            <w:pPr>
              <w:spacing w:after="0"/>
              <w:jc w:val="center"/>
              <w:rPr>
                <w:rFonts w:ascii="Calibri" w:hAnsi="Calibri"/>
                <w:b/>
                <w:noProof w:val="0"/>
                <w:color w:val="000000"/>
                <w:lang w:val="tr-TR"/>
              </w:rPr>
            </w:pPr>
            <w:r w:rsidRPr="001B1734">
              <w:rPr>
                <w:rFonts w:ascii="Calibri" w:hAnsi="Calibri"/>
                <w:b/>
                <w:noProof w:val="0"/>
                <w:color w:val="000000"/>
                <w:lang w:val="tr-TR"/>
              </w:rPr>
              <w:t>2014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36,0</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47,4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54,4</w:t>
            </w:r>
          </w:p>
        </w:tc>
        <w:tc>
          <w:tcPr>
            <w:tcW w:w="1559"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64,4</w:t>
            </w:r>
          </w:p>
        </w:tc>
        <w:tc>
          <w:tcPr>
            <w:tcW w:w="1560" w:type="dxa"/>
            <w:shd w:val="clear" w:color="auto" w:fill="auto"/>
            <w:noWrap/>
            <w:vAlign w:val="bottom"/>
          </w:tcPr>
          <w:p w:rsidR="00285057" w:rsidRPr="001B1734" w:rsidRDefault="00285057" w:rsidP="001A505A">
            <w:pPr>
              <w:spacing w:after="0"/>
              <w:jc w:val="center"/>
              <w:rPr>
                <w:rFonts w:ascii="Calibri" w:hAnsi="Calibri"/>
                <w:noProof w:val="0"/>
                <w:color w:val="000000"/>
                <w:lang w:val="tr-TR"/>
              </w:rPr>
            </w:pPr>
            <w:r w:rsidRPr="001B1734">
              <w:rPr>
                <w:rFonts w:ascii="Calibri" w:hAnsi="Calibri"/>
                <w:noProof w:val="0"/>
                <w:color w:val="000000"/>
                <w:lang w:val="tr-TR"/>
              </w:rPr>
              <w:t>72,4</w:t>
            </w:r>
          </w:p>
        </w:tc>
      </w:tr>
    </w:tbl>
    <w:p w:rsidR="001A505A" w:rsidRPr="001D5A55" w:rsidRDefault="001A505A" w:rsidP="001A505A">
      <w:pPr>
        <w:spacing w:after="0" w:line="240" w:lineRule="auto"/>
        <w:rPr>
          <w:sz w:val="20"/>
          <w:szCs w:val="20"/>
        </w:rPr>
      </w:pPr>
      <w:r w:rsidRPr="001D5A55">
        <w:rPr>
          <w:sz w:val="20"/>
          <w:szCs w:val="20"/>
        </w:rPr>
        <w:t xml:space="preserve">* Sadeleştirilmiş tasarruf tanımına </w:t>
      </w:r>
      <w:r w:rsidR="0095574E">
        <w:rPr>
          <w:sz w:val="20"/>
          <w:szCs w:val="20"/>
        </w:rPr>
        <w:t>olan TO1’e göre hesaplanmıştır.</w:t>
      </w:r>
    </w:p>
    <w:p w:rsidR="00F070CA" w:rsidRPr="001A505A" w:rsidRDefault="00B74EDF" w:rsidP="001A505A">
      <w:pPr>
        <w:spacing w:line="240" w:lineRule="auto"/>
      </w:pPr>
      <w:r>
        <w:rPr>
          <w:rFonts w:cs="Arial"/>
          <w:sz w:val="20"/>
          <w:szCs w:val="20"/>
        </w:rPr>
        <w:t>Kaynak</w:t>
      </w:r>
      <w:r w:rsidRPr="001D402E">
        <w:rPr>
          <w:rFonts w:cs="Arial"/>
          <w:sz w:val="20"/>
          <w:szCs w:val="20"/>
        </w:rPr>
        <w:t xml:space="preserve">: 2003-2014 </w:t>
      </w:r>
      <w:r>
        <w:rPr>
          <w:rFonts w:cs="Arial"/>
          <w:sz w:val="20"/>
          <w:szCs w:val="20"/>
        </w:rPr>
        <w:t>Hanehalkı Bütçe Anketi Kesit Mikroverisetleri</w:t>
      </w:r>
      <w:r w:rsidRPr="001D402E">
        <w:rPr>
          <w:rFonts w:cs="Arial"/>
          <w:sz w:val="20"/>
          <w:szCs w:val="20"/>
        </w:rPr>
        <w:t>; Betam</w:t>
      </w:r>
      <w:r>
        <w:rPr>
          <w:rFonts w:cs="Arial"/>
          <w:sz w:val="20"/>
          <w:szCs w:val="20"/>
        </w:rPr>
        <w:t xml:space="preserve"> hesaplamaları</w:t>
      </w:r>
    </w:p>
    <w:p w:rsidR="00A75AD6" w:rsidRDefault="00A75AD6" w:rsidP="00A75AD6">
      <w:pPr>
        <w:rPr>
          <w:lang w:val="tr-TR"/>
        </w:rPr>
      </w:pPr>
      <w:r>
        <w:rPr>
          <w:lang w:val="tr-TR"/>
        </w:rPr>
        <w:t xml:space="preserve">Nitekim gelir gruplarında tasarruf yapabilen hanelerin miktarının seyri incelendiğinde (Tablo 1) dikkate değer farklılaşmalar görülmektedir. Sözkonusu dönemin başında (2003-2004) en düşük gelirli grupta hanelerin ancak üçte biri (2003-2004 yıllarında yaklaşık  yüzde 36’sı) tasarruf yapabilirken 2009’da bu oran yüzde 28’e kadar gerilemiş, daha sonra tekrar yükselerek son iki yılda başlangıç düzeyine ulaşmıştır. Bununla birlikte bu gelir grubunun tasarruf oranı başlangıç düzeyine (eksi yüzde 1,5) yaklaşsa da daha düşük tasarruf (eksi yüzde 1,8) söz konusudur. </w:t>
      </w:r>
    </w:p>
    <w:p w:rsidR="00A75AD6" w:rsidRDefault="00A75AD6" w:rsidP="00A75AD6">
      <w:pPr>
        <w:rPr>
          <w:lang w:val="tr-TR"/>
        </w:rPr>
      </w:pPr>
      <w:r>
        <w:rPr>
          <w:lang w:val="tr-TR"/>
        </w:rPr>
        <w:t xml:space="preserve">İkinci en düşük gelir grubunda da benzer bir seyir söz konusudur. Tasarruf yapabilen hanelerin payı başlangıçta yüzde 50 civarındayken yüzde 40 civarına kadar gerilemiş daha sonra yükselmesine rağmen başlangıç düzeyinin altında kalmıştır (2014 ortalaması yaklaşık yüzde 47). Bu grubun derneşik tasarruf oranında da dönemin ikinci yarısında bir düzelme görülmekle birlikte dönem sonu oranı (eksi yüzde 1) halen dönem başlangıç oranına (eksi yüzde 0,6) erişememiştir. </w:t>
      </w:r>
    </w:p>
    <w:p w:rsidR="00A75AD6" w:rsidRDefault="00A75AD6" w:rsidP="00A75AD6">
      <w:pPr>
        <w:rPr>
          <w:lang w:val="tr-TR"/>
        </w:rPr>
      </w:pPr>
      <w:r>
        <w:rPr>
          <w:lang w:val="tr-TR"/>
        </w:rPr>
        <w:t xml:space="preserve">İyimser bir bakışla bu gözlemler en düşük gelir gruplarında borçlanma olanaklarının giderek sınırlanmakta olduğunun göstergesi olarak kabul edilebilir. Buna karşılık diğer gelir gruplarında </w:t>
      </w:r>
      <w:r>
        <w:rPr>
          <w:lang w:val="tr-TR"/>
        </w:rPr>
        <w:lastRenderedPageBreak/>
        <w:t xml:space="preserve">yüksek borçlanmanın devam ettiği görülmektedir. Orta gelir grubunda tasarruf yapabilen hanelerin payı yüzde 60 civarından yüzde 47’ye kadar geriledikten sonra dönem sonunda ancak yüzde 54’e yükselmiştir. Bu gelir grubunun derneşik tasarruf oranı da pozitiften negatife dönmüş, dönem başında artı yüzde 0,7 olan tasarruf oranı eksi yüzde 1’e kadar geriledikten sonra dönem sonunda ancak eksi yüzde 0,7’ye yükselebilmiştir. </w:t>
      </w:r>
    </w:p>
    <w:p w:rsidR="008200EC" w:rsidRDefault="008200EC" w:rsidP="008200EC">
      <w:pPr>
        <w:rPr>
          <w:lang w:val="tr-TR"/>
        </w:rPr>
      </w:pPr>
      <w:r>
        <w:rPr>
          <w:lang w:val="tr-TR"/>
        </w:rPr>
        <w:t>En yüksek iki gelir grubunda da gelişmeler orta gelir grubuyla paralellik göstermektedir. Dönemin ilk yarısında tasarruf yapan hanelerin payları azalırken ikinci yarıda bir toparlanma olmuş ancak dönem başlangıcın</w:t>
      </w:r>
      <w:r w:rsidR="00146FD4">
        <w:rPr>
          <w:lang w:val="tr-TR"/>
        </w:rPr>
        <w:t>daki oranlar yakalanamamıştır (T</w:t>
      </w:r>
      <w:r>
        <w:rPr>
          <w:lang w:val="tr-TR"/>
        </w:rPr>
        <w:t>ablo 1). İkinci en yüksek gelir grubu içi</w:t>
      </w:r>
      <w:r w:rsidR="00D21A0A">
        <w:rPr>
          <w:lang w:val="tr-TR"/>
        </w:rPr>
        <w:t>n bu oranlar yüzde 67’den yüzde</w:t>
      </w:r>
      <w:r>
        <w:rPr>
          <w:lang w:val="tr-TR"/>
        </w:rPr>
        <w:t xml:space="preserve"> 64,4</w:t>
      </w:r>
      <w:r w:rsidR="00D21A0A">
        <w:rPr>
          <w:lang w:val="tr-TR"/>
        </w:rPr>
        <w:t>’e</w:t>
      </w:r>
      <w:r>
        <w:rPr>
          <w:lang w:val="tr-TR"/>
        </w:rPr>
        <w:t>, en yüksek gelir grubu için ise yüzde 78’</w:t>
      </w:r>
      <w:r w:rsidR="00D21A0A">
        <w:rPr>
          <w:lang w:val="tr-TR"/>
        </w:rPr>
        <w:t>den</w:t>
      </w:r>
      <w:r>
        <w:rPr>
          <w:lang w:val="tr-TR"/>
        </w:rPr>
        <w:t xml:space="preserve"> </w:t>
      </w:r>
      <w:r w:rsidR="00D21A0A">
        <w:rPr>
          <w:lang w:val="tr-TR"/>
        </w:rPr>
        <w:t>yüzde 72,4’e gerilemiştir</w:t>
      </w:r>
      <w:r>
        <w:rPr>
          <w:lang w:val="tr-TR"/>
        </w:rPr>
        <w:t>. Keza tasa</w:t>
      </w:r>
      <w:r w:rsidR="000F6110">
        <w:rPr>
          <w:lang w:val="tr-TR"/>
        </w:rPr>
        <w:t>r</w:t>
      </w:r>
      <w:r>
        <w:rPr>
          <w:lang w:val="tr-TR"/>
        </w:rPr>
        <w:t>ruf oranlarında da dönem başlangıcı ile sonu arasında son bir kaç yılda görülen tasaruf artışına rağm</w:t>
      </w:r>
      <w:r w:rsidR="007C7A85">
        <w:rPr>
          <w:lang w:val="tr-TR"/>
        </w:rPr>
        <w:t>en önemli farklar söz konusudur. Tasarruf oranları</w:t>
      </w:r>
      <w:r w:rsidR="000D2050">
        <w:rPr>
          <w:lang w:val="tr-TR"/>
        </w:rPr>
        <w:t xml:space="preserve"> b</w:t>
      </w:r>
      <w:r>
        <w:rPr>
          <w:lang w:val="tr-TR"/>
        </w:rPr>
        <w:t>irinci grupt</w:t>
      </w:r>
      <w:r w:rsidR="007C7A85">
        <w:rPr>
          <w:lang w:val="tr-TR"/>
        </w:rPr>
        <w:t>a yüzde 13’den</w:t>
      </w:r>
      <w:r w:rsidR="00711FFD">
        <w:rPr>
          <w:lang w:val="tr-TR"/>
        </w:rPr>
        <w:t xml:space="preserve"> yüzde 9</w:t>
      </w:r>
      <w:r w:rsidR="007C7A85">
        <w:rPr>
          <w:lang w:val="tr-TR"/>
        </w:rPr>
        <w:t>’a</w:t>
      </w:r>
      <w:r w:rsidR="00711FFD">
        <w:rPr>
          <w:lang w:val="tr-TR"/>
        </w:rPr>
        <w:t>, ikinci gru</w:t>
      </w:r>
      <w:r>
        <w:rPr>
          <w:lang w:val="tr-TR"/>
        </w:rPr>
        <w:t>pta</w:t>
      </w:r>
      <w:r w:rsidR="007C7A85">
        <w:rPr>
          <w:lang w:val="tr-TR"/>
        </w:rPr>
        <w:t xml:space="preserve"> ise</w:t>
      </w:r>
      <w:r>
        <w:rPr>
          <w:lang w:val="tr-TR"/>
        </w:rPr>
        <w:t xml:space="preserve"> yüzde 2,1’</w:t>
      </w:r>
      <w:r w:rsidR="007C7A85">
        <w:rPr>
          <w:lang w:val="tr-TR"/>
        </w:rPr>
        <w:t>d</w:t>
      </w:r>
      <w:r>
        <w:rPr>
          <w:lang w:val="tr-TR"/>
        </w:rPr>
        <w:t>e</w:t>
      </w:r>
      <w:r w:rsidR="007C7A85">
        <w:rPr>
          <w:lang w:val="tr-TR"/>
        </w:rPr>
        <w:t>n</w:t>
      </w:r>
      <w:r>
        <w:rPr>
          <w:lang w:val="tr-TR"/>
        </w:rPr>
        <w:t xml:space="preserve"> </w:t>
      </w:r>
      <w:r w:rsidR="007C7A85">
        <w:rPr>
          <w:lang w:val="tr-TR"/>
        </w:rPr>
        <w:t xml:space="preserve">yüzde </w:t>
      </w:r>
      <w:r>
        <w:rPr>
          <w:lang w:val="tr-TR"/>
        </w:rPr>
        <w:t>1,2</w:t>
      </w:r>
      <w:r w:rsidR="007C7A85">
        <w:rPr>
          <w:lang w:val="tr-TR"/>
        </w:rPr>
        <w:t>’e gerilemiştir</w:t>
      </w:r>
      <w:r>
        <w:rPr>
          <w:lang w:val="tr-TR"/>
        </w:rPr>
        <w:t xml:space="preserve">. </w:t>
      </w:r>
    </w:p>
    <w:p w:rsidR="00513FC1" w:rsidRDefault="00304A61" w:rsidP="002E706C">
      <w:r>
        <w:t>Ha</w:t>
      </w:r>
      <w:r w:rsidR="00564940">
        <w:t xml:space="preserve">nelerin </w:t>
      </w:r>
      <w:r w:rsidR="00513FC1">
        <w:t xml:space="preserve">tasarruf eğilimleri </w:t>
      </w:r>
      <w:r w:rsidR="00564940">
        <w:t xml:space="preserve">standart tasarruf oranı tanımı </w:t>
      </w:r>
      <w:r w:rsidR="00513FC1">
        <w:t xml:space="preserve">çerçevesinde </w:t>
      </w:r>
      <w:r w:rsidR="00564940">
        <w:t>gelir grupları itibariyle incelendiğinde tasa</w:t>
      </w:r>
      <w:r w:rsidR="000869CA">
        <w:t>r</w:t>
      </w:r>
      <w:r w:rsidR="00564940">
        <w:t xml:space="preserve">ruflardaki azalmanın çok büyük ölçüde en yüksek </w:t>
      </w:r>
      <w:r w:rsidR="00D356C2">
        <w:t>gelir grubundaki tasarruf azalmasından kaynaklandığı görül</w:t>
      </w:r>
      <w:r w:rsidR="000869CA">
        <w:t>mektedir</w:t>
      </w:r>
      <w:r w:rsidR="00D356C2">
        <w:t>. Bir diğer gözlem de son bir kaç yıldır tasa</w:t>
      </w:r>
      <w:r w:rsidR="00B80718">
        <w:t>r</w:t>
      </w:r>
      <w:r w:rsidR="00D356C2">
        <w:t>ruf eğiliminde gözlemlenen artışın en düşük gelire sahip hanelerde daha belirgin olduğu</w:t>
      </w:r>
      <w:r w:rsidR="00513FC1">
        <w:t xml:space="preserve"> ancak yüksek gelirlerde bu artış sınırlı kaldığından</w:t>
      </w:r>
      <w:r w:rsidR="00D356C2">
        <w:t xml:space="preserve"> </w:t>
      </w:r>
      <w:r w:rsidR="00513FC1">
        <w:t>hane tasarruf oranında düşük seviyenin devam ediyor olması</w:t>
      </w:r>
      <w:r w:rsidR="000869CA">
        <w:t>dır</w:t>
      </w:r>
      <w:r w:rsidR="00513FC1">
        <w:t>.</w:t>
      </w:r>
      <w:r w:rsidR="002F0A45">
        <w:t xml:space="preserve">  </w:t>
      </w:r>
    </w:p>
    <w:p w:rsidR="00F02D2F" w:rsidRDefault="00F02D2F" w:rsidP="00F02D2F">
      <w:pPr>
        <w:pStyle w:val="Caption"/>
        <w:keepNext/>
        <w:rPr>
          <w:color w:val="auto"/>
          <w:sz w:val="22"/>
          <w:szCs w:val="22"/>
        </w:rPr>
      </w:pPr>
      <w:r w:rsidRPr="00F02D2F">
        <w:rPr>
          <w:color w:val="auto"/>
          <w:sz w:val="22"/>
          <w:szCs w:val="22"/>
        </w:rPr>
        <w:t xml:space="preserve">Şekil </w:t>
      </w:r>
      <w:r w:rsidR="00DC75ED" w:rsidRPr="00F02D2F">
        <w:rPr>
          <w:color w:val="auto"/>
          <w:sz w:val="22"/>
          <w:szCs w:val="22"/>
        </w:rPr>
        <w:fldChar w:fldCharType="begin"/>
      </w:r>
      <w:r w:rsidRPr="00F02D2F">
        <w:rPr>
          <w:color w:val="auto"/>
          <w:sz w:val="22"/>
          <w:szCs w:val="22"/>
        </w:rPr>
        <w:instrText xml:space="preserve"> SEQ Şekil \* ARABIC </w:instrText>
      </w:r>
      <w:r w:rsidR="00DC75ED" w:rsidRPr="00F02D2F">
        <w:rPr>
          <w:color w:val="auto"/>
          <w:sz w:val="22"/>
          <w:szCs w:val="22"/>
        </w:rPr>
        <w:fldChar w:fldCharType="separate"/>
      </w:r>
      <w:r w:rsidR="00E43F85">
        <w:rPr>
          <w:color w:val="auto"/>
          <w:sz w:val="22"/>
          <w:szCs w:val="22"/>
        </w:rPr>
        <w:t>2</w:t>
      </w:r>
      <w:r w:rsidR="00DC75ED" w:rsidRPr="00F02D2F">
        <w:rPr>
          <w:color w:val="auto"/>
          <w:sz w:val="22"/>
          <w:szCs w:val="22"/>
        </w:rPr>
        <w:fldChar w:fldCharType="end"/>
      </w:r>
      <w:r w:rsidRPr="00F02D2F">
        <w:rPr>
          <w:color w:val="auto"/>
          <w:sz w:val="22"/>
          <w:szCs w:val="22"/>
        </w:rPr>
        <w:t xml:space="preserve"> Genişletilmiş hanehalkı tasarruf oranlarının gelir gruplarına göre incelenmesi, 2003-2014</w:t>
      </w:r>
    </w:p>
    <w:p w:rsidR="0020093C" w:rsidRPr="00932DD4" w:rsidRDefault="00932DD4">
      <w:r w:rsidRPr="00932DD4">
        <w:rPr>
          <w:lang w:val="tr-TR" w:eastAsia="tr-TR"/>
        </w:rPr>
        <w:drawing>
          <wp:inline distT="0" distB="0" distL="0" distR="0">
            <wp:extent cx="5760720" cy="3589579"/>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057A6">
        <w:rPr>
          <w:rFonts w:cs="Arial"/>
          <w:sz w:val="20"/>
          <w:szCs w:val="20"/>
        </w:rPr>
        <w:t>Kaynak</w:t>
      </w:r>
      <w:r w:rsidR="000057A6" w:rsidRPr="001D402E">
        <w:rPr>
          <w:rFonts w:cs="Arial"/>
          <w:sz w:val="20"/>
          <w:szCs w:val="20"/>
        </w:rPr>
        <w:t xml:space="preserve">: 2003-2014 </w:t>
      </w:r>
      <w:r w:rsidR="000057A6">
        <w:rPr>
          <w:rFonts w:cs="Arial"/>
          <w:sz w:val="20"/>
          <w:szCs w:val="20"/>
        </w:rPr>
        <w:t>Hanehalkı Bütçe Anketi Kesit Mikroverisetleri</w:t>
      </w:r>
      <w:r w:rsidR="000057A6" w:rsidRPr="001D402E">
        <w:rPr>
          <w:rFonts w:cs="Arial"/>
          <w:sz w:val="20"/>
          <w:szCs w:val="20"/>
        </w:rPr>
        <w:t>; Betam</w:t>
      </w:r>
      <w:r w:rsidR="000057A6">
        <w:rPr>
          <w:rFonts w:cs="Arial"/>
          <w:sz w:val="20"/>
          <w:szCs w:val="20"/>
        </w:rPr>
        <w:t xml:space="preserve"> hesaplamaları</w:t>
      </w:r>
    </w:p>
    <w:p w:rsidR="007835D8" w:rsidRPr="002F0A45" w:rsidRDefault="007835D8" w:rsidP="007835D8">
      <w:pPr>
        <w:rPr>
          <w:b/>
        </w:rPr>
      </w:pPr>
      <w:r>
        <w:rPr>
          <w:b/>
        </w:rPr>
        <w:t>Genişletilmiş tasarruf tanımı çerçevesinde gelir gruplarında farklılaşma</w:t>
      </w:r>
    </w:p>
    <w:p w:rsidR="007835D8" w:rsidRDefault="007835D8" w:rsidP="007835D8">
      <w:r>
        <w:t>Tasarruf tanımı dayanıklı tüketim malı harcamalarını içerecek şekilde genişletidiğinde, ülke genelinde hane tasarruf oranında  2003-2014 döneminin ilk yarısında oldukça sınırlı bir gerileme (3 yüzde puan) gözlemlendiğini, ikinci yarıda da bu farkın giderek kapandığını biliyoruz. D</w:t>
      </w:r>
      <w:r w:rsidRPr="00224A7D">
        <w:t xml:space="preserve">ayanıklı tüketim malı </w:t>
      </w:r>
      <w:r w:rsidRPr="00224A7D">
        <w:lastRenderedPageBreak/>
        <w:t>harcamalarını tasarruflara dahil ettiğimizde, 2003’te yüzde 20 olan bu tasarruf oranı 2008’de yüzde 16,7’e kadar düş</w:t>
      </w:r>
      <w:r>
        <w:t>tüğünü</w:t>
      </w:r>
      <w:r w:rsidRPr="00224A7D">
        <w:t>, ardından hafif bir yükselişle 2014 yılında yüzde 21,2’e kadar çıktığı bulmuştuk.</w:t>
      </w:r>
      <w:r>
        <w:t xml:space="preserve"> Genişletilmiş tasarruf tanımı dikatte alındığında yüzde 20’lik gelir gruplarında ağırlıklandırılmış tasarruf oranlarının nasıl bir seyir izlediği Şekil 1’de gösterilmektedir. </w:t>
      </w:r>
    </w:p>
    <w:p w:rsidR="00E3284A" w:rsidRPr="00B01639" w:rsidRDefault="00275F12" w:rsidP="007835D8">
      <w:r>
        <w:t>Oranların seyri</w:t>
      </w:r>
      <w:r w:rsidR="00DD2122" w:rsidRPr="00B01639">
        <w:t xml:space="preserve"> dayanıklı tüketim malları harcamalarındaki artışın </w:t>
      </w:r>
      <w:r w:rsidR="00FD0668">
        <w:t>tüm gelir gruplarını kapsadığın</w:t>
      </w:r>
      <w:r w:rsidR="001F7798" w:rsidRPr="00B01639">
        <w:t>ı</w:t>
      </w:r>
      <w:r w:rsidR="003A3B2B" w:rsidRPr="00B01639">
        <w:t xml:space="preserve"> göstermektedir</w:t>
      </w:r>
      <w:r w:rsidR="00FD0668">
        <w:t>.</w:t>
      </w:r>
      <w:r w:rsidR="00E3284A">
        <w:t xml:space="preserve"> Nitekim geni</w:t>
      </w:r>
      <w:r w:rsidR="0072281F">
        <w:t>ş</w:t>
      </w:r>
      <w:r w:rsidR="00E3284A">
        <w:t>le</w:t>
      </w:r>
      <w:r w:rsidR="00292B22" w:rsidRPr="00B01639">
        <w:t>ş</w:t>
      </w:r>
      <w:r w:rsidR="00E3284A">
        <w:t>tilmiş tasarruf rakamları her g</w:t>
      </w:r>
      <w:r>
        <w:t>rupta</w:t>
      </w:r>
      <w:r w:rsidR="00E3284A">
        <w:t xml:space="preserve"> ve her dönem için daha yüksek</w:t>
      </w:r>
      <w:r w:rsidR="00574B69" w:rsidRPr="00B01639">
        <w:t>tir</w:t>
      </w:r>
      <w:r w:rsidR="0013263C" w:rsidRPr="00B01639">
        <w:t>.</w:t>
      </w:r>
      <w:r w:rsidR="00E3284A" w:rsidRPr="00B01639">
        <w:t xml:space="preserve"> </w:t>
      </w:r>
      <w:r w:rsidR="00E3284A" w:rsidRPr="00E3284A">
        <w:t xml:space="preserve">Bununla birlikte </w:t>
      </w:r>
      <w:r w:rsidR="00E3284A">
        <w:t>genişletilmiş tasarruf oranları</w:t>
      </w:r>
      <w:r w:rsidR="00FD0668">
        <w:t xml:space="preserve"> incelenen dönemin ilk yarısında</w:t>
      </w:r>
      <w:r w:rsidR="00A95BC9" w:rsidRPr="00B01639">
        <w:t xml:space="preserve"> </w:t>
      </w:r>
      <w:r w:rsidR="00063756" w:rsidRPr="00B01639">
        <w:t>(</w:t>
      </w:r>
      <w:r w:rsidR="00A95BC9" w:rsidRPr="00B01639">
        <w:t>özellikle 2004’ten itibaren</w:t>
      </w:r>
      <w:r w:rsidR="00063756" w:rsidRPr="00B01639">
        <w:t>)</w:t>
      </w:r>
      <w:r w:rsidR="00FD0668">
        <w:t xml:space="preserve"> </w:t>
      </w:r>
      <w:r w:rsidR="00E3284A">
        <w:t xml:space="preserve">standart oranlara kıyasla </w:t>
      </w:r>
      <w:r w:rsidR="00FD0668">
        <w:t>çok daha sınırlı ölçüde de olsa tüm gelir gruplarında azal</w:t>
      </w:r>
      <w:r w:rsidR="003A3B2B" w:rsidRPr="00B01639">
        <w:t>maktadır</w:t>
      </w:r>
      <w:r w:rsidR="00E3284A">
        <w:t xml:space="preserve">. </w:t>
      </w:r>
      <w:r w:rsidR="00FD0668">
        <w:t>Diğer ifadeyle</w:t>
      </w:r>
      <w:r w:rsidR="00E3284A">
        <w:t xml:space="preserve"> başka kalemlere de kısmen daha fazla harcama yapılmaya başlan</w:t>
      </w:r>
      <w:r w:rsidR="003A3B2B" w:rsidRPr="00B01639">
        <w:t>dığı anlaşılmaktadır</w:t>
      </w:r>
      <w:r w:rsidR="00E3284A">
        <w:t>.</w:t>
      </w:r>
    </w:p>
    <w:p w:rsidR="00933EF6" w:rsidRPr="00B01639" w:rsidRDefault="00E3284A" w:rsidP="00B01639">
      <w:r>
        <w:t>Grupların tasarruf eğilimlerinde farklılaşma dönemin</w:t>
      </w:r>
      <w:r w:rsidR="00DF05DE" w:rsidRPr="00B01639">
        <w:t xml:space="preserve"> ikinci yarısında ortaya çıkmaktadır</w:t>
      </w:r>
      <w:r>
        <w:t>. Tüm gruplarda dayanıklı tüketim mallarını içeren tasarruf oranları artışa geçiyor olsa</w:t>
      </w:r>
      <w:r w:rsidR="00933EF6">
        <w:t xml:space="preserve"> da en yüksek gelirli g</w:t>
      </w:r>
      <w:r w:rsidR="009E016B">
        <w:t>rup</w:t>
      </w:r>
      <w:r w:rsidR="00971BC4" w:rsidRPr="00B01639">
        <w:t xml:space="preserve"> diğerlerinden ayrışmaktadır</w:t>
      </w:r>
      <w:r w:rsidR="00933EF6">
        <w:t>. Bu grubun tasarruf oranı dönem sonunda dönem başına kıyasla az da olsa daha düşük düzeyde kal</w:t>
      </w:r>
      <w:r w:rsidR="000F387B">
        <w:t>mıştır: Yüzde 16,3’e karşı</w:t>
      </w:r>
      <w:r w:rsidR="00933EF6">
        <w:t>lık yüzde 15,1. Buna karşılık diğer tüm gelir gruplarının tasarruf oranları dönem sonunda başlangıç oran</w:t>
      </w:r>
      <w:r w:rsidR="001D3AA7">
        <w:t xml:space="preserve">larına </w:t>
      </w:r>
      <w:r w:rsidR="00933EF6">
        <w:t xml:space="preserve">kıyasla belirgin ölçüde </w:t>
      </w:r>
      <w:r w:rsidR="00971BC4" w:rsidRPr="00B01639">
        <w:t>daha yüksek düzeylere çıkmaktadır</w:t>
      </w:r>
      <w:r w:rsidR="00933EF6">
        <w:t xml:space="preserve"> (Bkz. Şekil 2). </w:t>
      </w:r>
      <w:r w:rsidR="001D3AA7">
        <w:t>Oysa standart tasarruf oranları itibariyle dönem sonundaki iyileşmeye rağmen oranlar tüm gelir gruplarında başlangıç oranla</w:t>
      </w:r>
      <w:r w:rsidR="009E016B">
        <w:t>rına kıyasla daha düşü</w:t>
      </w:r>
      <w:r w:rsidR="00383C36" w:rsidRPr="00B01639">
        <w:t>k düzeyde kaldıkları görülmektedir</w:t>
      </w:r>
      <w:r w:rsidR="009E016B">
        <w:t xml:space="preserve"> (Şek</w:t>
      </w:r>
      <w:r w:rsidR="00756350">
        <w:t>il</w:t>
      </w:r>
      <w:r w:rsidR="009E016B">
        <w:t xml:space="preserve"> 1)</w:t>
      </w:r>
      <w:r w:rsidR="001D3AA7">
        <w:t>. Bu farklılaşma</w:t>
      </w:r>
      <w:r w:rsidR="00933EF6">
        <w:t xml:space="preserve"> </w:t>
      </w:r>
      <w:r w:rsidR="001D3AA7">
        <w:t xml:space="preserve">en yüksek gelir grubu hariç diğer gruplarda </w:t>
      </w:r>
      <w:r w:rsidR="00933EF6">
        <w:t>dayanıklı tüketim mallarına yönelik harcamalar</w:t>
      </w:r>
      <w:r w:rsidR="00383C36" w:rsidRPr="00B01639">
        <w:t>ın</w:t>
      </w:r>
      <w:r w:rsidR="009E016B">
        <w:t xml:space="preserve"> inc</w:t>
      </w:r>
      <w:r w:rsidR="003A5F01" w:rsidRPr="00B01639">
        <w:t>e</w:t>
      </w:r>
      <w:r w:rsidR="009E016B">
        <w:t xml:space="preserve">lenen dönemde </w:t>
      </w:r>
      <w:r w:rsidR="001D3AA7">
        <w:t xml:space="preserve"> göreli olarak yüksek seyretmeye devam e</w:t>
      </w:r>
      <w:r w:rsidR="00383C36" w:rsidRPr="00B01639">
        <w:t xml:space="preserve">ttiğine işaret etmektedir. </w:t>
      </w:r>
      <w:r w:rsidR="009E016B">
        <w:t xml:space="preserve"> </w:t>
      </w:r>
    </w:p>
    <w:p w:rsidR="001A505A" w:rsidRPr="00454B4F" w:rsidRDefault="001A505A" w:rsidP="001A505A">
      <w:pPr>
        <w:pStyle w:val="Caption"/>
        <w:keepNext/>
        <w:rPr>
          <w:color w:val="auto"/>
          <w:sz w:val="22"/>
        </w:rPr>
      </w:pPr>
      <w:r w:rsidRPr="00454B4F">
        <w:rPr>
          <w:color w:val="auto"/>
          <w:sz w:val="22"/>
        </w:rPr>
        <w:t xml:space="preserve">Tablo </w:t>
      </w:r>
      <w:r w:rsidRPr="00454B4F">
        <w:rPr>
          <w:color w:val="auto"/>
          <w:sz w:val="22"/>
        </w:rPr>
        <w:fldChar w:fldCharType="begin"/>
      </w:r>
      <w:r w:rsidRPr="00454B4F">
        <w:rPr>
          <w:color w:val="auto"/>
          <w:sz w:val="22"/>
        </w:rPr>
        <w:instrText xml:space="preserve"> SEQ Tablo \* ARABIC </w:instrText>
      </w:r>
      <w:r w:rsidRPr="00454B4F">
        <w:rPr>
          <w:color w:val="auto"/>
          <w:sz w:val="22"/>
        </w:rPr>
        <w:fldChar w:fldCharType="separate"/>
      </w:r>
      <w:r w:rsidRPr="00454B4F">
        <w:rPr>
          <w:color w:val="auto"/>
          <w:sz w:val="22"/>
        </w:rPr>
        <w:t>2</w:t>
      </w:r>
      <w:r w:rsidRPr="00454B4F">
        <w:rPr>
          <w:color w:val="auto"/>
          <w:sz w:val="22"/>
        </w:rPr>
        <w:fldChar w:fldCharType="end"/>
      </w:r>
      <w:r w:rsidRPr="00454B4F">
        <w:rPr>
          <w:color w:val="auto"/>
          <w:sz w:val="22"/>
        </w:rPr>
        <w:t xml:space="preserve"> Gelir grupları itibariyle pozitif tasarruf* yapabilen hanelerin oranı (%)</w:t>
      </w:r>
    </w:p>
    <w:tbl>
      <w:tblPr>
        <w:tblW w:w="87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993"/>
        <w:gridCol w:w="1559"/>
        <w:gridCol w:w="1559"/>
        <w:gridCol w:w="1559"/>
        <w:gridCol w:w="1559"/>
        <w:gridCol w:w="1560"/>
      </w:tblGrid>
      <w:tr w:rsidR="00454B4F" w:rsidRPr="00454B4F" w:rsidTr="00454B4F">
        <w:trPr>
          <w:trHeight w:val="280"/>
        </w:trPr>
        <w:tc>
          <w:tcPr>
            <w:tcW w:w="993" w:type="dxa"/>
            <w:shd w:val="clear" w:color="auto" w:fill="auto"/>
            <w:noWrap/>
            <w:vAlign w:val="bottom"/>
          </w:tcPr>
          <w:p w:rsidR="00766C68" w:rsidRPr="00454B4F" w:rsidRDefault="005D2870" w:rsidP="00EE50DB">
            <w:pPr>
              <w:spacing w:after="0"/>
              <w:jc w:val="center"/>
              <w:rPr>
                <w:rFonts w:ascii="Calibri" w:hAnsi="Calibri"/>
                <w:b/>
                <w:noProof w:val="0"/>
                <w:lang w:val="tr-TR"/>
              </w:rPr>
            </w:pPr>
            <w:r w:rsidRPr="00454B4F">
              <w:rPr>
                <w:rFonts w:ascii="Calibri" w:hAnsi="Calibri"/>
                <w:b/>
                <w:noProof w:val="0"/>
                <w:lang w:val="tr-TR"/>
              </w:rPr>
              <w:t>TO2</w:t>
            </w:r>
          </w:p>
        </w:tc>
        <w:tc>
          <w:tcPr>
            <w:tcW w:w="1559"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1.%20'lik dilim</w:t>
            </w:r>
          </w:p>
        </w:tc>
        <w:tc>
          <w:tcPr>
            <w:tcW w:w="1559"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2.%20'lik dilim</w:t>
            </w:r>
          </w:p>
        </w:tc>
        <w:tc>
          <w:tcPr>
            <w:tcW w:w="1559"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3.%20'lik dilim</w:t>
            </w:r>
          </w:p>
        </w:tc>
        <w:tc>
          <w:tcPr>
            <w:tcW w:w="1559"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4.%20'lik dilim</w:t>
            </w:r>
          </w:p>
        </w:tc>
        <w:tc>
          <w:tcPr>
            <w:tcW w:w="1560"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5.%20'lik dilim</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2003</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37,5</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53,7</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65,9</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73,4</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84,0</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2004</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40,1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57,7</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69,2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78,9</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88,1</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2005</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36,1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56,2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69,5</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77,0</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85,2</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2006</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39,2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59,8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67,1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75,1</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87,8</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2007</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43,2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60,8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71,2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76,1</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87,0</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35,0</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47,3</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57,1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73,7</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88,0</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2009</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32,3</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50,6</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63,2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74,3</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86,8</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2010</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33,6</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46,9</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62,2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73,2</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86,7</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2011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35,6</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54,9</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66,9</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77,8</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88,6</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2012</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42,8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57,8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67,5</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79,6</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86,8</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2013</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42,3</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55,7</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67,1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78,5</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88,4</w:t>
            </w:r>
          </w:p>
        </w:tc>
      </w:tr>
      <w:tr w:rsidR="00454B4F" w:rsidRPr="00454B4F" w:rsidTr="00454B4F">
        <w:trPr>
          <w:trHeight w:val="280"/>
        </w:trPr>
        <w:tc>
          <w:tcPr>
            <w:tcW w:w="993" w:type="dxa"/>
            <w:shd w:val="clear" w:color="auto" w:fill="auto"/>
            <w:noWrap/>
            <w:vAlign w:val="bottom"/>
          </w:tcPr>
          <w:p w:rsidR="00766C68" w:rsidRPr="00454B4F" w:rsidRDefault="00766C68" w:rsidP="00EE50DB">
            <w:pPr>
              <w:spacing w:after="0"/>
              <w:jc w:val="center"/>
              <w:rPr>
                <w:rFonts w:ascii="Calibri" w:hAnsi="Calibri"/>
                <w:b/>
                <w:noProof w:val="0"/>
                <w:lang w:val="tr-TR"/>
              </w:rPr>
            </w:pPr>
            <w:r w:rsidRPr="00454B4F">
              <w:rPr>
                <w:rFonts w:ascii="Calibri" w:hAnsi="Calibri"/>
                <w:b/>
                <w:noProof w:val="0"/>
                <w:lang w:val="tr-TR"/>
              </w:rPr>
              <w:t>2014</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43,1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59,1</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67,8</w:t>
            </w:r>
          </w:p>
        </w:tc>
        <w:tc>
          <w:tcPr>
            <w:tcW w:w="1559"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81,1</w:t>
            </w:r>
          </w:p>
        </w:tc>
        <w:tc>
          <w:tcPr>
            <w:tcW w:w="1560" w:type="dxa"/>
            <w:shd w:val="clear" w:color="auto" w:fill="auto"/>
            <w:noWrap/>
            <w:vAlign w:val="bottom"/>
          </w:tcPr>
          <w:p w:rsidR="00766C68" w:rsidRPr="00454B4F" w:rsidRDefault="00766C68" w:rsidP="00EE50DB">
            <w:pPr>
              <w:spacing w:after="0"/>
              <w:jc w:val="center"/>
              <w:rPr>
                <w:rFonts w:ascii="Calibri" w:hAnsi="Calibri"/>
                <w:noProof w:val="0"/>
                <w:lang w:val="tr-TR"/>
              </w:rPr>
            </w:pPr>
            <w:r w:rsidRPr="00454B4F">
              <w:rPr>
                <w:rFonts w:ascii="Calibri" w:hAnsi="Calibri"/>
                <w:noProof w:val="0"/>
                <w:lang w:val="tr-TR"/>
              </w:rPr>
              <w:t>88,0</w:t>
            </w:r>
          </w:p>
        </w:tc>
      </w:tr>
    </w:tbl>
    <w:p w:rsidR="00766C68" w:rsidRPr="00454B4F" w:rsidRDefault="001A505A" w:rsidP="00F36484">
      <w:pPr>
        <w:spacing w:after="0" w:line="240" w:lineRule="auto"/>
      </w:pPr>
      <w:r w:rsidRPr="00454B4F">
        <w:rPr>
          <w:sz w:val="20"/>
          <w:szCs w:val="20"/>
        </w:rPr>
        <w:t>*Genişletilmiş tasarruf tanımına o</w:t>
      </w:r>
      <w:r w:rsidR="0095574E" w:rsidRPr="00454B4F">
        <w:rPr>
          <w:sz w:val="20"/>
          <w:szCs w:val="20"/>
        </w:rPr>
        <w:t>lan TO2’ye göre hesaplanmıştır.</w:t>
      </w:r>
    </w:p>
    <w:p w:rsidR="00030534" w:rsidRDefault="00F36484" w:rsidP="00730D64">
      <w:pPr>
        <w:spacing w:line="240" w:lineRule="auto"/>
        <w:rPr>
          <w:rFonts w:cs="Arial"/>
          <w:sz w:val="20"/>
          <w:szCs w:val="20"/>
        </w:rPr>
      </w:pPr>
      <w:r w:rsidRPr="00454B4F">
        <w:rPr>
          <w:rFonts w:cs="Arial"/>
          <w:sz w:val="20"/>
          <w:szCs w:val="20"/>
        </w:rPr>
        <w:t>Kaynak: 2003-2014 Hanehalkı Bütçe Anketi Kesit Mikroverisetleri; Betam hesaplamaları</w:t>
      </w:r>
    </w:p>
    <w:p w:rsidR="00730D64" w:rsidRDefault="00730D64" w:rsidP="00B01639">
      <w:r>
        <w:t>Tablo 2’de ise gelir grupları içerisinde pozitif tasarruf yapanların oranlarının seyri</w:t>
      </w:r>
      <w:r w:rsidR="00D668D0">
        <w:t xml:space="preserve"> verilmekte</w:t>
      </w:r>
      <w:r>
        <w:t>d</w:t>
      </w:r>
      <w:r w:rsidR="00D668D0">
        <w:t>i</w:t>
      </w:r>
      <w:r>
        <w:t xml:space="preserve">r. </w:t>
      </w:r>
      <w:r w:rsidR="004F1509">
        <w:t xml:space="preserve">Dayanıklı tüketim mallarına yapılan harcamaların tasarruf olarak değerlendirildiği bu tanımda tüm gelir gruplarında pozitif tasarruf yapan hane oranlarında artışlar gözlemlenmektedir. </w:t>
      </w:r>
    </w:p>
    <w:p w:rsidR="004F1509" w:rsidRPr="00730D64" w:rsidRDefault="004F1509" w:rsidP="00B01639">
      <w:r>
        <w:t xml:space="preserve">Bu bulgular bir arada değerlendirildiğinde hanelerin tasarruflarındaki gerilemenin dayanıklı tüketim mallarına yapılan harcamalardan kaynaklandığı ve bu harcamaların en üst gelir grubu hariç diğer gelir </w:t>
      </w:r>
      <w:r>
        <w:lastRenderedPageBreak/>
        <w:t xml:space="preserve">gruplarında arttığı sonucuna varılabilir. </w:t>
      </w:r>
      <w:r w:rsidR="009949BC">
        <w:t xml:space="preserve">En yüksek gelir grubunda ise dayanıklı tüketim harcamaları dikkate alındığında dahi tasarruf oranlarının zaman içerisinde azaldığı, bu düşüşün tasarruf yapan hane sayısındaki artışa karşın gerçekleştiği, dolayısıyla tasarruf edilen tutarda bir azalma olduğu görülmektedir. </w:t>
      </w:r>
    </w:p>
    <w:sectPr w:rsidR="004F1509" w:rsidRPr="00730D64" w:rsidSect="00133D9F">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DF" w:rsidRDefault="00E603DF" w:rsidP="0020093C">
      <w:pPr>
        <w:spacing w:after="0" w:line="240" w:lineRule="auto"/>
      </w:pPr>
      <w:r>
        <w:separator/>
      </w:r>
    </w:p>
  </w:endnote>
  <w:endnote w:type="continuationSeparator" w:id="0">
    <w:p w:rsidR="00E603DF" w:rsidRDefault="00E603DF" w:rsidP="0020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CA" w:rsidRDefault="00F070CA" w:rsidP="00F070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CA" w:rsidRDefault="00F070CA" w:rsidP="00352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94918"/>
      <w:docPartObj>
        <w:docPartGallery w:val="Page Numbers (Bottom of Page)"/>
        <w:docPartUnique/>
      </w:docPartObj>
    </w:sdtPr>
    <w:sdtEndPr/>
    <w:sdtContent>
      <w:p w:rsidR="005F02B2" w:rsidRDefault="005F02B2">
        <w:pPr>
          <w:pStyle w:val="Footer"/>
          <w:jc w:val="right"/>
        </w:pPr>
        <w:r>
          <w:fldChar w:fldCharType="begin"/>
        </w:r>
        <w:r>
          <w:instrText xml:space="preserve"> PAGE   \* MERGEFORMAT </w:instrText>
        </w:r>
        <w:r>
          <w:fldChar w:fldCharType="separate"/>
        </w:r>
        <w:r w:rsidR="00812E51">
          <w:t>2</w:t>
        </w:r>
        <w:r>
          <w:fldChar w:fldCharType="end"/>
        </w:r>
      </w:p>
    </w:sdtContent>
  </w:sdt>
  <w:p w:rsidR="00F070CA" w:rsidRDefault="00F070CA" w:rsidP="00352F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DF" w:rsidRDefault="00E603DF" w:rsidP="0020093C">
      <w:pPr>
        <w:spacing w:after="0" w:line="240" w:lineRule="auto"/>
      </w:pPr>
      <w:r>
        <w:separator/>
      </w:r>
    </w:p>
  </w:footnote>
  <w:footnote w:type="continuationSeparator" w:id="0">
    <w:p w:rsidR="00E603DF" w:rsidRDefault="00E603DF" w:rsidP="0020093C">
      <w:pPr>
        <w:spacing w:after="0" w:line="240" w:lineRule="auto"/>
      </w:pPr>
      <w:r>
        <w:continuationSeparator/>
      </w:r>
    </w:p>
  </w:footnote>
  <w:footnote w:id="1">
    <w:p w:rsidR="00F070CA" w:rsidRPr="00F477EA" w:rsidRDefault="00F070CA" w:rsidP="0020093C">
      <w:pPr>
        <w:pStyle w:val="FootnoteText"/>
      </w:pPr>
      <w:r w:rsidRPr="00F477EA">
        <w:rPr>
          <w:rStyle w:val="FootnoteReference"/>
          <w:sz w:val="16"/>
          <w:szCs w:val="16"/>
        </w:rPr>
        <w:t>*</w:t>
      </w:r>
      <w:r w:rsidRPr="00F477EA">
        <w:rPr>
          <w:rFonts w:cs="Arial"/>
          <w:sz w:val="16"/>
          <w:szCs w:val="16"/>
        </w:rPr>
        <w:t>Prof. Dr. Seyfettin Gürsel, Betam, Direktör,</w:t>
      </w:r>
      <w:r>
        <w:rPr>
          <w:rFonts w:cs="Arial"/>
          <w:sz w:val="16"/>
          <w:szCs w:val="16"/>
        </w:rPr>
        <w:t xml:space="preserve"> </w:t>
      </w:r>
      <w:hyperlink r:id="rId1" w:history="1">
        <w:r w:rsidRPr="0051060D">
          <w:rPr>
            <w:rStyle w:val="Hyperlink"/>
            <w:rFonts w:cs="Arial"/>
            <w:sz w:val="16"/>
            <w:szCs w:val="16"/>
          </w:rPr>
          <w:t>seyfettin.gursel@eas.bau.edu.tr</w:t>
        </w:r>
      </w:hyperlink>
    </w:p>
  </w:footnote>
  <w:footnote w:id="2">
    <w:p w:rsidR="00F070CA" w:rsidRPr="00F477EA" w:rsidRDefault="00F070CA" w:rsidP="0020093C">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 Yrd. Doç. Dr. Gökçe Uysal, Betam, Direktör Yardımcısı,</w:t>
      </w:r>
      <w:r>
        <w:rPr>
          <w:rFonts w:cs="Arial"/>
          <w:sz w:val="16"/>
          <w:szCs w:val="16"/>
        </w:rPr>
        <w:t xml:space="preserve"> </w:t>
      </w:r>
      <w:hyperlink r:id="rId2" w:history="1">
        <w:r w:rsidRPr="0051060D">
          <w:rPr>
            <w:rStyle w:val="Hyperlink"/>
            <w:rFonts w:cs="Arial"/>
            <w:sz w:val="16"/>
            <w:szCs w:val="16"/>
          </w:rPr>
          <w:t>gokce.uysal@eas.bau.edu.tr</w:t>
        </w:r>
      </w:hyperlink>
    </w:p>
  </w:footnote>
  <w:footnote w:id="3">
    <w:p w:rsidR="00F070CA" w:rsidRPr="00F477EA" w:rsidRDefault="00F070CA" w:rsidP="0020093C">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Melike Kökkızıl, Betam, Araştırma Görevlisi,</w:t>
      </w:r>
      <w:r>
        <w:rPr>
          <w:rFonts w:cs="Arial"/>
          <w:sz w:val="16"/>
          <w:szCs w:val="16"/>
        </w:rPr>
        <w:t xml:space="preserve"> </w:t>
      </w:r>
      <w:hyperlink r:id="rId3" w:history="1">
        <w:r w:rsidRPr="0051060D">
          <w:rPr>
            <w:rStyle w:val="Hyperlink"/>
            <w:rFonts w:cs="Arial"/>
            <w:sz w:val="16"/>
            <w:szCs w:val="16"/>
          </w:rPr>
          <w:t>melike.kokkizil@eas.bau.edu.tr</w:t>
        </w:r>
      </w:hyperlink>
    </w:p>
  </w:footnote>
  <w:footnote w:id="4">
    <w:p w:rsidR="00031024" w:rsidRPr="007801D6" w:rsidRDefault="00031024" w:rsidP="00031024">
      <w:pPr>
        <w:pStyle w:val="FootnoteText"/>
        <w:jc w:val="both"/>
        <w:rPr>
          <w:lang w:val="tr-TR"/>
        </w:rPr>
      </w:pPr>
      <w:r>
        <w:rPr>
          <w:rStyle w:val="FootnoteReference"/>
        </w:rPr>
        <w:footnoteRef/>
      </w:r>
      <w:r>
        <w:t xml:space="preserve"> </w:t>
      </w:r>
      <w:r w:rsidRPr="007801D6">
        <w:rPr>
          <w:lang w:val="tr-TR"/>
        </w:rPr>
        <w:t xml:space="preserve">Gursel, S. </w:t>
      </w:r>
      <w:r>
        <w:rPr>
          <w:lang w:val="tr-TR"/>
        </w:rPr>
        <w:t>ve ark.</w:t>
      </w:r>
      <w:r w:rsidRPr="007801D6">
        <w:rPr>
          <w:lang w:val="tr-TR"/>
        </w:rPr>
        <w:t>, "Gelir Artışı</w:t>
      </w:r>
      <w:r>
        <w:rPr>
          <w:lang w:val="tr-TR"/>
        </w:rPr>
        <w:t>na</w:t>
      </w:r>
      <w:r w:rsidRPr="007801D6">
        <w:rPr>
          <w:lang w:val="tr-TR"/>
        </w:rPr>
        <w:t xml:space="preserve"> Rağmen Hanehalkı Tasarrufları Neden Azaldı?", Betam Araştırma Notu 197.</w:t>
      </w:r>
    </w:p>
    <w:p w:rsidR="00031024" w:rsidRPr="00031024" w:rsidRDefault="00E603DF" w:rsidP="00031024">
      <w:pPr>
        <w:pStyle w:val="FootnoteText"/>
        <w:rPr>
          <w:lang w:val="tr-TR"/>
        </w:rPr>
      </w:pPr>
      <w:hyperlink r:id="rId4" w:history="1">
        <w:r w:rsidR="00031024" w:rsidRPr="007801D6">
          <w:rPr>
            <w:rStyle w:val="Hyperlink"/>
            <w:lang w:val="tr-TR"/>
          </w:rPr>
          <w:t>http://betam.bahcesehir.edu.tr/2016/09/gelir-artisina-ragmen-hanehalki-tasarruflari-neden-azaldi/</w:t>
        </w:r>
      </w:hyperlink>
    </w:p>
  </w:footnote>
  <w:footnote w:id="5">
    <w:p w:rsidR="00F070CA" w:rsidRPr="00755E62" w:rsidRDefault="00F070CA" w:rsidP="00BB1F02">
      <w:pPr>
        <w:pStyle w:val="FootnoteText"/>
        <w:rPr>
          <w:lang w:val="tr-TR"/>
        </w:rPr>
      </w:pPr>
      <w:r>
        <w:rPr>
          <w:rStyle w:val="FootnoteReference"/>
        </w:rPr>
        <w:footnoteRef/>
      </w:r>
      <w:r w:rsidRPr="00D30ED3">
        <w:rPr>
          <w:lang w:val="tr-TR"/>
        </w:rPr>
        <w:t xml:space="preserve"> </w:t>
      </w:r>
      <w:r>
        <w:rPr>
          <w:lang w:val="tr-TR"/>
        </w:rPr>
        <w:t>Ağırlıklandırma için her bir hanenin Türkiye’deki toplam kullanılabilir hane gelire oranı kullanılmıştır.</w:t>
      </w:r>
      <w:r w:rsidR="00BC3FDA">
        <w:rPr>
          <w:lang w:val="tr-TR"/>
        </w:rPr>
        <w:t xml:space="preserve"> Bu yöntemle Türkiye geneli için hesaplanan tasarruf oranı ile yüzde 20’lik gelir gruplarının ortalama tasurruf oranlarının toplamı eşittir.</w:t>
      </w:r>
    </w:p>
  </w:footnote>
  <w:footnote w:id="6">
    <w:p w:rsidR="00F070CA" w:rsidRPr="00D30ED3" w:rsidRDefault="00F070CA" w:rsidP="00FC2808">
      <w:pPr>
        <w:pStyle w:val="FootnoteText"/>
        <w:rPr>
          <w:lang w:val="tr-TR"/>
        </w:rPr>
      </w:pPr>
      <w:r>
        <w:rPr>
          <w:rStyle w:val="FootnoteReference"/>
        </w:rPr>
        <w:footnoteRef/>
      </w:r>
      <w:r w:rsidRPr="00D30ED3">
        <w:rPr>
          <w:lang w:val="tr-TR"/>
        </w:rPr>
        <w:t xml:space="preserve"> Literatürdeki bu yaklaşıma dair daha detaylı bilgi için:</w:t>
      </w:r>
    </w:p>
    <w:p w:rsidR="00F070CA" w:rsidRPr="00CE0963" w:rsidRDefault="00F070CA" w:rsidP="00FC2808">
      <w:pPr>
        <w:pStyle w:val="FootnoteText"/>
        <w:rPr>
          <w:lang w:val="tr-TR"/>
        </w:rPr>
      </w:pPr>
      <w:r w:rsidRPr="00CE0963">
        <w:rPr>
          <w:lang w:val="tr-TR"/>
        </w:rPr>
        <w:t>Székely, M. and O. P. Attanasio.(2000), Household Saving in Developing Countries - Inequality,</w:t>
      </w:r>
    </w:p>
    <w:p w:rsidR="00F070CA" w:rsidRPr="00CE0963" w:rsidRDefault="00F070CA" w:rsidP="00FC2808">
      <w:pPr>
        <w:pStyle w:val="FootnoteText"/>
        <w:rPr>
          <w:lang w:val="tr-TR"/>
        </w:rPr>
      </w:pPr>
      <w:r w:rsidRPr="00CE0963">
        <w:rPr>
          <w:lang w:val="tr-TR"/>
        </w:rPr>
        <w:t>Demographics and All That: How Different are Latin America and South East Asia?, RES Working Papers 4221, Inter-American Development Bank, Research Department.</w:t>
      </w:r>
    </w:p>
    <w:p w:rsidR="00F070CA" w:rsidRPr="00CE5CF7" w:rsidRDefault="00F070CA" w:rsidP="00FC2808">
      <w:pPr>
        <w:pStyle w:val="FootnoteText"/>
      </w:pPr>
      <w:r w:rsidRPr="00CE0963">
        <w:t>Gourinchas, P.-O. and Parker, J. A. (2002), Consumption Over the Life Cycle. Econometrica</w:t>
      </w:r>
      <w:r>
        <w:t>,</w:t>
      </w:r>
      <w:r w:rsidRPr="00CE5CF7">
        <w:t>70 (1), 47–89.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8A"/>
    <w:rsid w:val="00003CC9"/>
    <w:rsid w:val="000057A6"/>
    <w:rsid w:val="000057B7"/>
    <w:rsid w:val="00005F0D"/>
    <w:rsid w:val="0001178B"/>
    <w:rsid w:val="000231F4"/>
    <w:rsid w:val="0002796F"/>
    <w:rsid w:val="00030534"/>
    <w:rsid w:val="00030E86"/>
    <w:rsid w:val="00031024"/>
    <w:rsid w:val="000367A9"/>
    <w:rsid w:val="000516F8"/>
    <w:rsid w:val="00054CDC"/>
    <w:rsid w:val="00056C28"/>
    <w:rsid w:val="00063756"/>
    <w:rsid w:val="00073ACB"/>
    <w:rsid w:val="000747BC"/>
    <w:rsid w:val="00076343"/>
    <w:rsid w:val="0008204E"/>
    <w:rsid w:val="00082388"/>
    <w:rsid w:val="00083891"/>
    <w:rsid w:val="000869CA"/>
    <w:rsid w:val="00090D6F"/>
    <w:rsid w:val="00091D6B"/>
    <w:rsid w:val="00094429"/>
    <w:rsid w:val="000B0EDA"/>
    <w:rsid w:val="000B30BA"/>
    <w:rsid w:val="000B3EE8"/>
    <w:rsid w:val="000B45CD"/>
    <w:rsid w:val="000B52D7"/>
    <w:rsid w:val="000D2050"/>
    <w:rsid w:val="000E081B"/>
    <w:rsid w:val="000E24E4"/>
    <w:rsid w:val="000F3238"/>
    <w:rsid w:val="000F387B"/>
    <w:rsid w:val="000F6110"/>
    <w:rsid w:val="000F6C8B"/>
    <w:rsid w:val="001005D5"/>
    <w:rsid w:val="001019A3"/>
    <w:rsid w:val="00114299"/>
    <w:rsid w:val="00114D5A"/>
    <w:rsid w:val="00123024"/>
    <w:rsid w:val="0012329A"/>
    <w:rsid w:val="00131A0C"/>
    <w:rsid w:val="00131AB2"/>
    <w:rsid w:val="0013263C"/>
    <w:rsid w:val="00133D9F"/>
    <w:rsid w:val="001420D0"/>
    <w:rsid w:val="001469FF"/>
    <w:rsid w:val="00146FD4"/>
    <w:rsid w:val="00157D55"/>
    <w:rsid w:val="00157DF4"/>
    <w:rsid w:val="00166792"/>
    <w:rsid w:val="00183462"/>
    <w:rsid w:val="00191EBC"/>
    <w:rsid w:val="00192C37"/>
    <w:rsid w:val="001945A1"/>
    <w:rsid w:val="001A505A"/>
    <w:rsid w:val="001B1734"/>
    <w:rsid w:val="001B206C"/>
    <w:rsid w:val="001B70AF"/>
    <w:rsid w:val="001C2B87"/>
    <w:rsid w:val="001C77DC"/>
    <w:rsid w:val="001D3AA7"/>
    <w:rsid w:val="001D5A55"/>
    <w:rsid w:val="001D5D7B"/>
    <w:rsid w:val="001D719C"/>
    <w:rsid w:val="001E5772"/>
    <w:rsid w:val="001F7798"/>
    <w:rsid w:val="001F7FE5"/>
    <w:rsid w:val="0020093C"/>
    <w:rsid w:val="00200B1C"/>
    <w:rsid w:val="00203580"/>
    <w:rsid w:val="0021197C"/>
    <w:rsid w:val="002167D1"/>
    <w:rsid w:val="00224A7D"/>
    <w:rsid w:val="00226394"/>
    <w:rsid w:val="00227EF0"/>
    <w:rsid w:val="00231C7B"/>
    <w:rsid w:val="00236A7C"/>
    <w:rsid w:val="00242A8F"/>
    <w:rsid w:val="0026558A"/>
    <w:rsid w:val="00267F74"/>
    <w:rsid w:val="00271440"/>
    <w:rsid w:val="002753E4"/>
    <w:rsid w:val="002757B3"/>
    <w:rsid w:val="00275F12"/>
    <w:rsid w:val="00285057"/>
    <w:rsid w:val="00290F3D"/>
    <w:rsid w:val="00291DB3"/>
    <w:rsid w:val="002923AA"/>
    <w:rsid w:val="00292B22"/>
    <w:rsid w:val="002A51A1"/>
    <w:rsid w:val="002B1103"/>
    <w:rsid w:val="002B72EC"/>
    <w:rsid w:val="002C12B1"/>
    <w:rsid w:val="002E1FDD"/>
    <w:rsid w:val="002E5A60"/>
    <w:rsid w:val="002E706C"/>
    <w:rsid w:val="002E764C"/>
    <w:rsid w:val="002F0A45"/>
    <w:rsid w:val="002F3AE4"/>
    <w:rsid w:val="00301551"/>
    <w:rsid w:val="00303B6D"/>
    <w:rsid w:val="00304A61"/>
    <w:rsid w:val="00305BAC"/>
    <w:rsid w:val="00307A13"/>
    <w:rsid w:val="003137CA"/>
    <w:rsid w:val="0034153D"/>
    <w:rsid w:val="00341A64"/>
    <w:rsid w:val="00345301"/>
    <w:rsid w:val="00352F97"/>
    <w:rsid w:val="00356769"/>
    <w:rsid w:val="00375760"/>
    <w:rsid w:val="00383C36"/>
    <w:rsid w:val="00383E0A"/>
    <w:rsid w:val="00386F9E"/>
    <w:rsid w:val="00395125"/>
    <w:rsid w:val="003A213B"/>
    <w:rsid w:val="003A3B2B"/>
    <w:rsid w:val="003A5F01"/>
    <w:rsid w:val="003B5B29"/>
    <w:rsid w:val="003D457A"/>
    <w:rsid w:val="003D7DE9"/>
    <w:rsid w:val="0040149C"/>
    <w:rsid w:val="004141D6"/>
    <w:rsid w:val="00416743"/>
    <w:rsid w:val="004178AF"/>
    <w:rsid w:val="00420D12"/>
    <w:rsid w:val="00422C83"/>
    <w:rsid w:val="00425E03"/>
    <w:rsid w:val="004335D8"/>
    <w:rsid w:val="0043657A"/>
    <w:rsid w:val="0044014C"/>
    <w:rsid w:val="00446505"/>
    <w:rsid w:val="00447D98"/>
    <w:rsid w:val="00451FE9"/>
    <w:rsid w:val="00452581"/>
    <w:rsid w:val="00454B4F"/>
    <w:rsid w:val="00456758"/>
    <w:rsid w:val="00456D74"/>
    <w:rsid w:val="00461572"/>
    <w:rsid w:val="00466E6D"/>
    <w:rsid w:val="00470A43"/>
    <w:rsid w:val="004743A8"/>
    <w:rsid w:val="004748D4"/>
    <w:rsid w:val="00477FA5"/>
    <w:rsid w:val="00497B8D"/>
    <w:rsid w:val="004A0BE9"/>
    <w:rsid w:val="004A19AD"/>
    <w:rsid w:val="004B0971"/>
    <w:rsid w:val="004C51AA"/>
    <w:rsid w:val="004E3A49"/>
    <w:rsid w:val="004F01BC"/>
    <w:rsid w:val="004F1509"/>
    <w:rsid w:val="004F173C"/>
    <w:rsid w:val="004F2666"/>
    <w:rsid w:val="00500BBC"/>
    <w:rsid w:val="00502FC0"/>
    <w:rsid w:val="00503D43"/>
    <w:rsid w:val="00503EE4"/>
    <w:rsid w:val="00503FF5"/>
    <w:rsid w:val="00513FC1"/>
    <w:rsid w:val="00514DE6"/>
    <w:rsid w:val="005151E1"/>
    <w:rsid w:val="00516498"/>
    <w:rsid w:val="00520542"/>
    <w:rsid w:val="0052314A"/>
    <w:rsid w:val="00526C24"/>
    <w:rsid w:val="00531608"/>
    <w:rsid w:val="00531AC3"/>
    <w:rsid w:val="00535E71"/>
    <w:rsid w:val="00540F6E"/>
    <w:rsid w:val="0054161C"/>
    <w:rsid w:val="00541B9F"/>
    <w:rsid w:val="0054366D"/>
    <w:rsid w:val="0055602E"/>
    <w:rsid w:val="00563D6D"/>
    <w:rsid w:val="00564940"/>
    <w:rsid w:val="00570340"/>
    <w:rsid w:val="005726EA"/>
    <w:rsid w:val="00574B69"/>
    <w:rsid w:val="005755FF"/>
    <w:rsid w:val="0059126B"/>
    <w:rsid w:val="00591F65"/>
    <w:rsid w:val="0059376E"/>
    <w:rsid w:val="00594A70"/>
    <w:rsid w:val="005A0F9B"/>
    <w:rsid w:val="005B044D"/>
    <w:rsid w:val="005B7B2C"/>
    <w:rsid w:val="005C00B1"/>
    <w:rsid w:val="005C65B5"/>
    <w:rsid w:val="005C692C"/>
    <w:rsid w:val="005D2870"/>
    <w:rsid w:val="005E044C"/>
    <w:rsid w:val="005E747A"/>
    <w:rsid w:val="005F02B2"/>
    <w:rsid w:val="005F22A6"/>
    <w:rsid w:val="005F6AB7"/>
    <w:rsid w:val="0060188B"/>
    <w:rsid w:val="00605ED5"/>
    <w:rsid w:val="00606A0E"/>
    <w:rsid w:val="00612DFD"/>
    <w:rsid w:val="00616AC3"/>
    <w:rsid w:val="0063341F"/>
    <w:rsid w:val="0063679B"/>
    <w:rsid w:val="00644CF9"/>
    <w:rsid w:val="006455CD"/>
    <w:rsid w:val="00655343"/>
    <w:rsid w:val="0066200A"/>
    <w:rsid w:val="00675D0F"/>
    <w:rsid w:val="00691849"/>
    <w:rsid w:val="00691CAB"/>
    <w:rsid w:val="00694C47"/>
    <w:rsid w:val="00695891"/>
    <w:rsid w:val="006B116C"/>
    <w:rsid w:val="006B312E"/>
    <w:rsid w:val="006B5AF4"/>
    <w:rsid w:val="006C01D6"/>
    <w:rsid w:val="006C533A"/>
    <w:rsid w:val="006D0A74"/>
    <w:rsid w:val="006D51AE"/>
    <w:rsid w:val="006D7E5F"/>
    <w:rsid w:val="006E706A"/>
    <w:rsid w:val="006F4D5D"/>
    <w:rsid w:val="00700019"/>
    <w:rsid w:val="00700399"/>
    <w:rsid w:val="0070302C"/>
    <w:rsid w:val="007032C1"/>
    <w:rsid w:val="00704C7F"/>
    <w:rsid w:val="00711FFD"/>
    <w:rsid w:val="0072281F"/>
    <w:rsid w:val="00730D64"/>
    <w:rsid w:val="00732C2D"/>
    <w:rsid w:val="0074120A"/>
    <w:rsid w:val="0075424A"/>
    <w:rsid w:val="00756350"/>
    <w:rsid w:val="00766C68"/>
    <w:rsid w:val="00777FD1"/>
    <w:rsid w:val="007835D8"/>
    <w:rsid w:val="007845C0"/>
    <w:rsid w:val="00786682"/>
    <w:rsid w:val="0079054D"/>
    <w:rsid w:val="007922D7"/>
    <w:rsid w:val="007926B8"/>
    <w:rsid w:val="00794E44"/>
    <w:rsid w:val="007A7EF0"/>
    <w:rsid w:val="007B5BA8"/>
    <w:rsid w:val="007B76D0"/>
    <w:rsid w:val="007B78C5"/>
    <w:rsid w:val="007C56E9"/>
    <w:rsid w:val="007C7A85"/>
    <w:rsid w:val="007C7B63"/>
    <w:rsid w:val="007D7B40"/>
    <w:rsid w:val="007E2579"/>
    <w:rsid w:val="007E5A1E"/>
    <w:rsid w:val="007F1353"/>
    <w:rsid w:val="007F5DF1"/>
    <w:rsid w:val="007F5EA6"/>
    <w:rsid w:val="007F7C3A"/>
    <w:rsid w:val="00805459"/>
    <w:rsid w:val="00807203"/>
    <w:rsid w:val="00811CAB"/>
    <w:rsid w:val="00812E51"/>
    <w:rsid w:val="008200EC"/>
    <w:rsid w:val="00824DB8"/>
    <w:rsid w:val="00836511"/>
    <w:rsid w:val="0084346D"/>
    <w:rsid w:val="00854582"/>
    <w:rsid w:val="00855948"/>
    <w:rsid w:val="00880FE5"/>
    <w:rsid w:val="0088392B"/>
    <w:rsid w:val="00891895"/>
    <w:rsid w:val="00892039"/>
    <w:rsid w:val="0089318F"/>
    <w:rsid w:val="0089441F"/>
    <w:rsid w:val="00895A11"/>
    <w:rsid w:val="008962CB"/>
    <w:rsid w:val="008A2C7E"/>
    <w:rsid w:val="008A2EE6"/>
    <w:rsid w:val="008A518B"/>
    <w:rsid w:val="008A5AC1"/>
    <w:rsid w:val="008B5DE9"/>
    <w:rsid w:val="008C2455"/>
    <w:rsid w:val="008C28E2"/>
    <w:rsid w:val="008C5640"/>
    <w:rsid w:val="008C79CD"/>
    <w:rsid w:val="008D4522"/>
    <w:rsid w:val="008D57BE"/>
    <w:rsid w:val="008D5C48"/>
    <w:rsid w:val="008E11F4"/>
    <w:rsid w:val="008E1BD0"/>
    <w:rsid w:val="008F4276"/>
    <w:rsid w:val="009112B9"/>
    <w:rsid w:val="00925BE4"/>
    <w:rsid w:val="00927067"/>
    <w:rsid w:val="00932DD4"/>
    <w:rsid w:val="00933EF6"/>
    <w:rsid w:val="00934A6D"/>
    <w:rsid w:val="00935FBA"/>
    <w:rsid w:val="00946555"/>
    <w:rsid w:val="00953338"/>
    <w:rsid w:val="0095574E"/>
    <w:rsid w:val="0095741F"/>
    <w:rsid w:val="009631ED"/>
    <w:rsid w:val="009649D6"/>
    <w:rsid w:val="00971BC4"/>
    <w:rsid w:val="009727DD"/>
    <w:rsid w:val="00983373"/>
    <w:rsid w:val="00983815"/>
    <w:rsid w:val="00987050"/>
    <w:rsid w:val="0099013F"/>
    <w:rsid w:val="009940FC"/>
    <w:rsid w:val="009949BC"/>
    <w:rsid w:val="009A1CC6"/>
    <w:rsid w:val="009C543E"/>
    <w:rsid w:val="009D3B6E"/>
    <w:rsid w:val="009E0136"/>
    <w:rsid w:val="009E016B"/>
    <w:rsid w:val="009E0FA8"/>
    <w:rsid w:val="009F61F6"/>
    <w:rsid w:val="00A0139A"/>
    <w:rsid w:val="00A04872"/>
    <w:rsid w:val="00A14AAC"/>
    <w:rsid w:val="00A20C8C"/>
    <w:rsid w:val="00A320DA"/>
    <w:rsid w:val="00A37CB4"/>
    <w:rsid w:val="00A40170"/>
    <w:rsid w:val="00A41627"/>
    <w:rsid w:val="00A418B1"/>
    <w:rsid w:val="00A501BF"/>
    <w:rsid w:val="00A54EDC"/>
    <w:rsid w:val="00A62A68"/>
    <w:rsid w:val="00A65928"/>
    <w:rsid w:val="00A74F62"/>
    <w:rsid w:val="00A75AD6"/>
    <w:rsid w:val="00A761F4"/>
    <w:rsid w:val="00A820E8"/>
    <w:rsid w:val="00A85194"/>
    <w:rsid w:val="00A92741"/>
    <w:rsid w:val="00A92E26"/>
    <w:rsid w:val="00A95120"/>
    <w:rsid w:val="00A95BC9"/>
    <w:rsid w:val="00AA3CB4"/>
    <w:rsid w:val="00AB596D"/>
    <w:rsid w:val="00AD126E"/>
    <w:rsid w:val="00AD43C2"/>
    <w:rsid w:val="00AD4980"/>
    <w:rsid w:val="00AE2F52"/>
    <w:rsid w:val="00AE3049"/>
    <w:rsid w:val="00AE661A"/>
    <w:rsid w:val="00AE6D17"/>
    <w:rsid w:val="00AE7AAF"/>
    <w:rsid w:val="00B01639"/>
    <w:rsid w:val="00B04DAF"/>
    <w:rsid w:val="00B0791E"/>
    <w:rsid w:val="00B130AC"/>
    <w:rsid w:val="00B13CAD"/>
    <w:rsid w:val="00B154EF"/>
    <w:rsid w:val="00B1694D"/>
    <w:rsid w:val="00B266A2"/>
    <w:rsid w:val="00B30108"/>
    <w:rsid w:val="00B36406"/>
    <w:rsid w:val="00B37C9E"/>
    <w:rsid w:val="00B46C1E"/>
    <w:rsid w:val="00B6265F"/>
    <w:rsid w:val="00B67B49"/>
    <w:rsid w:val="00B74EDF"/>
    <w:rsid w:val="00B76ECE"/>
    <w:rsid w:val="00B77BF7"/>
    <w:rsid w:val="00B80718"/>
    <w:rsid w:val="00B8071C"/>
    <w:rsid w:val="00B82B20"/>
    <w:rsid w:val="00B8745E"/>
    <w:rsid w:val="00B919A8"/>
    <w:rsid w:val="00B93935"/>
    <w:rsid w:val="00B96CC7"/>
    <w:rsid w:val="00BB13FD"/>
    <w:rsid w:val="00BB1F02"/>
    <w:rsid w:val="00BB2F55"/>
    <w:rsid w:val="00BB346F"/>
    <w:rsid w:val="00BB4ED7"/>
    <w:rsid w:val="00BC39BD"/>
    <w:rsid w:val="00BC3FDA"/>
    <w:rsid w:val="00BC7C3D"/>
    <w:rsid w:val="00BD57DB"/>
    <w:rsid w:val="00BF25F3"/>
    <w:rsid w:val="00BF6C09"/>
    <w:rsid w:val="00C01CB4"/>
    <w:rsid w:val="00C04E5F"/>
    <w:rsid w:val="00C07229"/>
    <w:rsid w:val="00C07796"/>
    <w:rsid w:val="00C1206A"/>
    <w:rsid w:val="00C258E0"/>
    <w:rsid w:val="00C37E29"/>
    <w:rsid w:val="00C40CE9"/>
    <w:rsid w:val="00C50FBA"/>
    <w:rsid w:val="00C52FE5"/>
    <w:rsid w:val="00C61A06"/>
    <w:rsid w:val="00C67205"/>
    <w:rsid w:val="00C710E9"/>
    <w:rsid w:val="00C811D1"/>
    <w:rsid w:val="00CB0FCB"/>
    <w:rsid w:val="00CB71B8"/>
    <w:rsid w:val="00CC0A79"/>
    <w:rsid w:val="00CD6109"/>
    <w:rsid w:val="00CD74E2"/>
    <w:rsid w:val="00CE0C54"/>
    <w:rsid w:val="00CE4DF7"/>
    <w:rsid w:val="00CE6A53"/>
    <w:rsid w:val="00CF0EE9"/>
    <w:rsid w:val="00CF1A0C"/>
    <w:rsid w:val="00CF277C"/>
    <w:rsid w:val="00D0202B"/>
    <w:rsid w:val="00D02688"/>
    <w:rsid w:val="00D03F14"/>
    <w:rsid w:val="00D06A28"/>
    <w:rsid w:val="00D13377"/>
    <w:rsid w:val="00D21A0A"/>
    <w:rsid w:val="00D30F76"/>
    <w:rsid w:val="00D31E84"/>
    <w:rsid w:val="00D356C2"/>
    <w:rsid w:val="00D449EE"/>
    <w:rsid w:val="00D47A2C"/>
    <w:rsid w:val="00D53B62"/>
    <w:rsid w:val="00D53C36"/>
    <w:rsid w:val="00D60157"/>
    <w:rsid w:val="00D668D0"/>
    <w:rsid w:val="00D71D0C"/>
    <w:rsid w:val="00D73E12"/>
    <w:rsid w:val="00D75052"/>
    <w:rsid w:val="00D760C2"/>
    <w:rsid w:val="00D871B6"/>
    <w:rsid w:val="00DA6AE9"/>
    <w:rsid w:val="00DA6F7E"/>
    <w:rsid w:val="00DA7DD4"/>
    <w:rsid w:val="00DC5B21"/>
    <w:rsid w:val="00DC6015"/>
    <w:rsid w:val="00DC65B2"/>
    <w:rsid w:val="00DC75ED"/>
    <w:rsid w:val="00DD2122"/>
    <w:rsid w:val="00DD3BBB"/>
    <w:rsid w:val="00DD607F"/>
    <w:rsid w:val="00DD77D9"/>
    <w:rsid w:val="00DD7CEB"/>
    <w:rsid w:val="00DE7004"/>
    <w:rsid w:val="00DF05DE"/>
    <w:rsid w:val="00DF0D28"/>
    <w:rsid w:val="00DF2881"/>
    <w:rsid w:val="00E04708"/>
    <w:rsid w:val="00E16582"/>
    <w:rsid w:val="00E20594"/>
    <w:rsid w:val="00E2686C"/>
    <w:rsid w:val="00E26C47"/>
    <w:rsid w:val="00E273E3"/>
    <w:rsid w:val="00E3284A"/>
    <w:rsid w:val="00E34E83"/>
    <w:rsid w:val="00E362A0"/>
    <w:rsid w:val="00E43F85"/>
    <w:rsid w:val="00E451A4"/>
    <w:rsid w:val="00E54761"/>
    <w:rsid w:val="00E56743"/>
    <w:rsid w:val="00E56FD1"/>
    <w:rsid w:val="00E600C9"/>
    <w:rsid w:val="00E603DF"/>
    <w:rsid w:val="00E670B6"/>
    <w:rsid w:val="00E6796E"/>
    <w:rsid w:val="00E73AE2"/>
    <w:rsid w:val="00E930F6"/>
    <w:rsid w:val="00E96807"/>
    <w:rsid w:val="00EA0749"/>
    <w:rsid w:val="00EA7754"/>
    <w:rsid w:val="00EB45F8"/>
    <w:rsid w:val="00EB53C9"/>
    <w:rsid w:val="00EB70C4"/>
    <w:rsid w:val="00EC09F9"/>
    <w:rsid w:val="00EC128A"/>
    <w:rsid w:val="00EC1DE4"/>
    <w:rsid w:val="00EC2C6F"/>
    <w:rsid w:val="00EC740B"/>
    <w:rsid w:val="00EC7D9F"/>
    <w:rsid w:val="00EC7FE6"/>
    <w:rsid w:val="00ED2D87"/>
    <w:rsid w:val="00EE3976"/>
    <w:rsid w:val="00EE50DB"/>
    <w:rsid w:val="00EE577F"/>
    <w:rsid w:val="00EE6E34"/>
    <w:rsid w:val="00EF3794"/>
    <w:rsid w:val="00EF3A86"/>
    <w:rsid w:val="00EF6100"/>
    <w:rsid w:val="00EF6627"/>
    <w:rsid w:val="00F02D2F"/>
    <w:rsid w:val="00F048FF"/>
    <w:rsid w:val="00F05EE6"/>
    <w:rsid w:val="00F070CA"/>
    <w:rsid w:val="00F11539"/>
    <w:rsid w:val="00F1522D"/>
    <w:rsid w:val="00F33444"/>
    <w:rsid w:val="00F34BA9"/>
    <w:rsid w:val="00F36484"/>
    <w:rsid w:val="00F3778E"/>
    <w:rsid w:val="00F449B9"/>
    <w:rsid w:val="00F536A5"/>
    <w:rsid w:val="00F56765"/>
    <w:rsid w:val="00F621AD"/>
    <w:rsid w:val="00F633C4"/>
    <w:rsid w:val="00F6359C"/>
    <w:rsid w:val="00F64883"/>
    <w:rsid w:val="00F667AF"/>
    <w:rsid w:val="00F703FE"/>
    <w:rsid w:val="00F70EEE"/>
    <w:rsid w:val="00F7340D"/>
    <w:rsid w:val="00F76160"/>
    <w:rsid w:val="00F80666"/>
    <w:rsid w:val="00F83CE1"/>
    <w:rsid w:val="00F84C30"/>
    <w:rsid w:val="00F91D51"/>
    <w:rsid w:val="00FA02F3"/>
    <w:rsid w:val="00FB0236"/>
    <w:rsid w:val="00FB0D7D"/>
    <w:rsid w:val="00FB2618"/>
    <w:rsid w:val="00FB2E9E"/>
    <w:rsid w:val="00FC2808"/>
    <w:rsid w:val="00FC3982"/>
    <w:rsid w:val="00FD0668"/>
    <w:rsid w:val="00FD2C79"/>
    <w:rsid w:val="00FD4FFA"/>
    <w:rsid w:val="00FF07F3"/>
    <w:rsid w:val="00FF17A7"/>
    <w:rsid w:val="00FF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A7"/>
    <w:rPr>
      <w:rFonts w:ascii="Tahoma" w:hAnsi="Tahoma" w:cs="Tahoma"/>
      <w:noProof/>
      <w:sz w:val="16"/>
      <w:szCs w:val="16"/>
      <w:lang w:val="en-US"/>
    </w:rPr>
  </w:style>
  <w:style w:type="paragraph" w:styleId="Caption">
    <w:name w:val="caption"/>
    <w:basedOn w:val="Normal"/>
    <w:next w:val="Normal"/>
    <w:uiPriority w:val="35"/>
    <w:unhideWhenUsed/>
    <w:qFormat/>
    <w:rsid w:val="00E34E83"/>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20093C"/>
    <w:pPr>
      <w:spacing w:after="0" w:line="240" w:lineRule="auto"/>
    </w:pPr>
    <w:rPr>
      <w:sz w:val="20"/>
      <w:szCs w:val="20"/>
    </w:rPr>
  </w:style>
  <w:style w:type="character" w:customStyle="1" w:styleId="FootnoteTextChar">
    <w:name w:val="Footnote Text Char"/>
    <w:basedOn w:val="DefaultParagraphFont"/>
    <w:link w:val="FootnoteText"/>
    <w:uiPriority w:val="99"/>
    <w:rsid w:val="0020093C"/>
    <w:rPr>
      <w:noProof/>
      <w:sz w:val="20"/>
      <w:szCs w:val="20"/>
      <w:lang w:val="en-US"/>
    </w:rPr>
  </w:style>
  <w:style w:type="character" w:styleId="FootnoteReference">
    <w:name w:val="footnote reference"/>
    <w:basedOn w:val="DefaultParagraphFont"/>
    <w:uiPriority w:val="99"/>
    <w:unhideWhenUsed/>
    <w:rsid w:val="0020093C"/>
    <w:rPr>
      <w:vertAlign w:val="superscript"/>
    </w:rPr>
  </w:style>
  <w:style w:type="character" w:styleId="Hyperlink">
    <w:name w:val="Hyperlink"/>
    <w:basedOn w:val="DefaultParagraphFont"/>
    <w:uiPriority w:val="99"/>
    <w:unhideWhenUsed/>
    <w:rsid w:val="0020093C"/>
    <w:rPr>
      <w:color w:val="0000FF" w:themeColor="hyperlink"/>
      <w:u w:val="single"/>
    </w:rPr>
  </w:style>
  <w:style w:type="paragraph" w:styleId="Footer">
    <w:name w:val="footer"/>
    <w:basedOn w:val="Normal"/>
    <w:link w:val="FooterChar"/>
    <w:uiPriority w:val="99"/>
    <w:unhideWhenUsed/>
    <w:rsid w:val="00352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F97"/>
    <w:rPr>
      <w:noProof/>
      <w:lang w:val="en-US"/>
    </w:rPr>
  </w:style>
  <w:style w:type="character" w:styleId="PageNumber">
    <w:name w:val="page number"/>
    <w:basedOn w:val="DefaultParagraphFont"/>
    <w:uiPriority w:val="99"/>
    <w:semiHidden/>
    <w:unhideWhenUsed/>
    <w:rsid w:val="00352F97"/>
  </w:style>
  <w:style w:type="paragraph" w:styleId="Header">
    <w:name w:val="header"/>
    <w:basedOn w:val="Normal"/>
    <w:link w:val="HeaderChar"/>
    <w:uiPriority w:val="99"/>
    <w:unhideWhenUsed/>
    <w:rsid w:val="00500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0BBC"/>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A7"/>
    <w:rPr>
      <w:rFonts w:ascii="Tahoma" w:hAnsi="Tahoma" w:cs="Tahoma"/>
      <w:noProof/>
      <w:sz w:val="16"/>
      <w:szCs w:val="16"/>
      <w:lang w:val="en-US"/>
    </w:rPr>
  </w:style>
  <w:style w:type="paragraph" w:styleId="Caption">
    <w:name w:val="caption"/>
    <w:basedOn w:val="Normal"/>
    <w:next w:val="Normal"/>
    <w:uiPriority w:val="35"/>
    <w:unhideWhenUsed/>
    <w:qFormat/>
    <w:rsid w:val="00E34E83"/>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20093C"/>
    <w:pPr>
      <w:spacing w:after="0" w:line="240" w:lineRule="auto"/>
    </w:pPr>
    <w:rPr>
      <w:sz w:val="20"/>
      <w:szCs w:val="20"/>
    </w:rPr>
  </w:style>
  <w:style w:type="character" w:customStyle="1" w:styleId="FootnoteTextChar">
    <w:name w:val="Footnote Text Char"/>
    <w:basedOn w:val="DefaultParagraphFont"/>
    <w:link w:val="FootnoteText"/>
    <w:uiPriority w:val="99"/>
    <w:rsid w:val="0020093C"/>
    <w:rPr>
      <w:noProof/>
      <w:sz w:val="20"/>
      <w:szCs w:val="20"/>
      <w:lang w:val="en-US"/>
    </w:rPr>
  </w:style>
  <w:style w:type="character" w:styleId="FootnoteReference">
    <w:name w:val="footnote reference"/>
    <w:basedOn w:val="DefaultParagraphFont"/>
    <w:uiPriority w:val="99"/>
    <w:unhideWhenUsed/>
    <w:rsid w:val="0020093C"/>
    <w:rPr>
      <w:vertAlign w:val="superscript"/>
    </w:rPr>
  </w:style>
  <w:style w:type="character" w:styleId="Hyperlink">
    <w:name w:val="Hyperlink"/>
    <w:basedOn w:val="DefaultParagraphFont"/>
    <w:uiPriority w:val="99"/>
    <w:unhideWhenUsed/>
    <w:rsid w:val="0020093C"/>
    <w:rPr>
      <w:color w:val="0000FF" w:themeColor="hyperlink"/>
      <w:u w:val="single"/>
    </w:rPr>
  </w:style>
  <w:style w:type="paragraph" w:styleId="Footer">
    <w:name w:val="footer"/>
    <w:basedOn w:val="Normal"/>
    <w:link w:val="FooterChar"/>
    <w:uiPriority w:val="99"/>
    <w:unhideWhenUsed/>
    <w:rsid w:val="00352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F97"/>
    <w:rPr>
      <w:noProof/>
      <w:lang w:val="en-US"/>
    </w:rPr>
  </w:style>
  <w:style w:type="character" w:styleId="PageNumber">
    <w:name w:val="page number"/>
    <w:basedOn w:val="DefaultParagraphFont"/>
    <w:uiPriority w:val="99"/>
    <w:semiHidden/>
    <w:unhideWhenUsed/>
    <w:rsid w:val="00352F97"/>
  </w:style>
  <w:style w:type="paragraph" w:styleId="Header">
    <w:name w:val="header"/>
    <w:basedOn w:val="Normal"/>
    <w:link w:val="HeaderChar"/>
    <w:uiPriority w:val="99"/>
    <w:unhideWhenUsed/>
    <w:rsid w:val="00500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0BB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3422">
      <w:bodyDiv w:val="1"/>
      <w:marLeft w:val="0"/>
      <w:marRight w:val="0"/>
      <w:marTop w:val="0"/>
      <w:marBottom w:val="0"/>
      <w:divBdr>
        <w:top w:val="none" w:sz="0" w:space="0" w:color="auto"/>
        <w:left w:val="none" w:sz="0" w:space="0" w:color="auto"/>
        <w:bottom w:val="none" w:sz="0" w:space="0" w:color="auto"/>
        <w:right w:val="none" w:sz="0" w:space="0" w:color="auto"/>
      </w:divBdr>
    </w:div>
    <w:div w:id="1410233125">
      <w:bodyDiv w:val="1"/>
      <w:marLeft w:val="0"/>
      <w:marRight w:val="0"/>
      <w:marTop w:val="0"/>
      <w:marBottom w:val="0"/>
      <w:divBdr>
        <w:top w:val="none" w:sz="0" w:space="0" w:color="auto"/>
        <w:left w:val="none" w:sz="0" w:space="0" w:color="auto"/>
        <w:bottom w:val="none" w:sz="0" w:space="0" w:color="auto"/>
        <w:right w:val="none" w:sz="0" w:space="0" w:color="auto"/>
      </w:divBdr>
    </w:div>
    <w:div w:id="17474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6/09/gelir-artisina-ragmen-hanehalki-tasarruflari-neden-azald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ike.kokkizil\Dropbox\AN_HHSaving\Gelir%20gruplarina%20gore%20tasarruf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like.kokkizil\Dropbox\AN_HHSaving\Gelir%20gruplarina%20gore%20tasarruf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'[Gelir gruplarina gore tasarruflar.xlsx]s1'!$I$6</c:f>
              <c:strCache>
                <c:ptCount val="1"/>
                <c:pt idx="0">
                  <c:v>1. %20'lik dilim</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'[Gelir gruplarina gore tasarruflar.xlsx]s1'!$H$7:$H$18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'[Gelir gruplarina gore tasarruflar.xlsx]s1'!$I$7:$I$18</c:f>
              <c:numCache>
                <c:formatCode>0.0%</c:formatCode>
                <c:ptCount val="12"/>
                <c:pt idx="0">
                  <c:v>-1.46038E-2</c:v>
                </c:pt>
                <c:pt idx="1">
                  <c:v>-1.5259E-2</c:v>
                </c:pt>
                <c:pt idx="2">
                  <c:v>-2.1293699999999999E-2</c:v>
                </c:pt>
                <c:pt idx="3">
                  <c:v>-1.6972299999999999E-2</c:v>
                </c:pt>
                <c:pt idx="4">
                  <c:v>-1.35239E-2</c:v>
                </c:pt>
                <c:pt idx="5">
                  <c:v>-1.9818100000000002E-2</c:v>
                </c:pt>
                <c:pt idx="6">
                  <c:v>-2.2803899999999998E-2</c:v>
                </c:pt>
                <c:pt idx="7">
                  <c:v>-2.1799499999999999E-2</c:v>
                </c:pt>
                <c:pt idx="8">
                  <c:v>-2.1333899999999999E-2</c:v>
                </c:pt>
                <c:pt idx="9">
                  <c:v>-1.73811E-2</c:v>
                </c:pt>
                <c:pt idx="10">
                  <c:v>-1.54228E-2</c:v>
                </c:pt>
                <c:pt idx="11">
                  <c:v>-1.8065600000000001E-2</c:v>
                </c:pt>
              </c:numCache>
            </c:numRef>
          </c:val>
          <c:smooth val="0"/>
          <c:extLst xmlns:c16r2="http://schemas.microsoft.com/office/drawing/2015/06/chart">
            <c:ext xmlns:c16="http://schemas.microsoft.com/office/drawing/2014/chart" uri="{C3380CC4-5D6E-409C-BE32-E72D297353CC}">
              <c16:uniqueId val="{00000000-868D-4D13-832F-6824024CC288}"/>
            </c:ext>
          </c:extLst>
        </c:ser>
        <c:ser>
          <c:idx val="1"/>
          <c:order val="1"/>
          <c:tx>
            <c:strRef>
              <c:f>'[Gelir gruplarina gore tasarruflar.xlsx]s1'!$J$6</c:f>
              <c:strCache>
                <c:ptCount val="1"/>
                <c:pt idx="0">
                  <c:v>2. %20'lik dilim</c:v>
                </c:pt>
              </c:strCache>
            </c:strRef>
          </c:tx>
          <c:spPr>
            <a:ln w="28575" cap="rnd">
              <a:solidFill>
                <a:schemeClr val="accent2"/>
              </a:solidFill>
              <a:round/>
            </a:ln>
            <a:effectLst/>
          </c:spPr>
          <c:marker>
            <c:symbol val="none"/>
          </c:marker>
          <c:dPt>
            <c:idx val="1"/>
            <c:marker>
              <c:symbol val="circle"/>
              <c:size val="7"/>
              <c:spPr>
                <a:solidFill>
                  <a:schemeClr val="accent2"/>
                </a:solidFill>
                <a:ln w="9525">
                  <a:solidFill>
                    <a:schemeClr val="accent2"/>
                  </a:solidFill>
                </a:ln>
                <a:effectLst/>
              </c:spPr>
            </c:marker>
            <c:bubble3D val="0"/>
            <c:extLst xmlns:c16r2="http://schemas.microsoft.com/office/drawing/2015/06/chart">
              <c:ext xmlns:c16="http://schemas.microsoft.com/office/drawing/2014/chart" uri="{C3380CC4-5D6E-409C-BE32-E72D297353CC}">
                <c16:uniqueId val="{00000001-868D-4D13-832F-6824024CC288}"/>
              </c:ext>
            </c:extLst>
          </c:dPt>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'[Gelir gruplarina gore tasarruflar.xlsx]s1'!$H$7:$H$18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'[Gelir gruplarina gore tasarruflar.xlsx]s1'!$J$7:$J$18</c:f>
              <c:numCache>
                <c:formatCode>0.0%</c:formatCode>
                <c:ptCount val="12"/>
                <c:pt idx="0">
                  <c:v>-5.8719999999999996E-3</c:v>
                </c:pt>
                <c:pt idx="1">
                  <c:v>-5.2745999999999999E-3</c:v>
                </c:pt>
                <c:pt idx="2">
                  <c:v>-1.17492E-2</c:v>
                </c:pt>
                <c:pt idx="3">
                  <c:v>-6.5519000000000003E-3</c:v>
                </c:pt>
                <c:pt idx="4">
                  <c:v>-5.3693999999999999E-3</c:v>
                </c:pt>
                <c:pt idx="5">
                  <c:v>-1.87032E-2</c:v>
                </c:pt>
                <c:pt idx="6">
                  <c:v>-1.5780599999999999E-2</c:v>
                </c:pt>
                <c:pt idx="7">
                  <c:v>-1.6241800000000001E-2</c:v>
                </c:pt>
                <c:pt idx="8">
                  <c:v>-1.27268E-2</c:v>
                </c:pt>
                <c:pt idx="9">
                  <c:v>-1.20482E-2</c:v>
                </c:pt>
                <c:pt idx="10">
                  <c:v>-1.13052E-2</c:v>
                </c:pt>
                <c:pt idx="11">
                  <c:v>-1.0374E-2</c:v>
                </c:pt>
              </c:numCache>
            </c:numRef>
          </c:val>
          <c:smooth val="0"/>
          <c:extLst xmlns:c16r2="http://schemas.microsoft.com/office/drawing/2015/06/chart">
            <c:ext xmlns:c16="http://schemas.microsoft.com/office/drawing/2014/chart" uri="{C3380CC4-5D6E-409C-BE32-E72D297353CC}">
              <c16:uniqueId val="{00000002-868D-4D13-832F-6824024CC288}"/>
            </c:ext>
          </c:extLst>
        </c:ser>
        <c:ser>
          <c:idx val="2"/>
          <c:order val="2"/>
          <c:tx>
            <c:strRef>
              <c:f>'[Gelir gruplarina gore tasarruflar.xlsx]s1'!$K$6</c:f>
              <c:strCache>
                <c:ptCount val="1"/>
                <c:pt idx="0">
                  <c:v>3. %20'lik dilim</c:v>
                </c:pt>
              </c:strCache>
            </c:strRef>
          </c:tx>
          <c:spPr>
            <a:ln w="28575" cap="rnd">
              <a:solidFill>
                <a:schemeClr val="accent3"/>
              </a:solidFill>
              <a:round/>
            </a:ln>
            <a:effectLst/>
          </c:spPr>
          <c:marker>
            <c:symbol val="star"/>
            <c:size val="7"/>
            <c:spPr>
              <a:no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'[Gelir gruplarina gore tasarruflar.xlsx]s1'!$H$7:$H$18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'[Gelir gruplarina gore tasarruflar.xlsx]s1'!$K$7:$K$18</c:f>
              <c:numCache>
                <c:formatCode>0.0%</c:formatCode>
                <c:ptCount val="12"/>
                <c:pt idx="0">
                  <c:v>6.5595000000000002E-3</c:v>
                </c:pt>
                <c:pt idx="1">
                  <c:v>5.3654000000000002E-3</c:v>
                </c:pt>
                <c:pt idx="2">
                  <c:v>1.2128E-3</c:v>
                </c:pt>
                <c:pt idx="3">
                  <c:v>2.2450999999999999E-3</c:v>
                </c:pt>
                <c:pt idx="4">
                  <c:v>3.8489000000000002E-3</c:v>
                </c:pt>
                <c:pt idx="5">
                  <c:v>-1.0149099999999999E-2</c:v>
                </c:pt>
                <c:pt idx="6">
                  <c:v>-3.9769999999999996E-3</c:v>
                </c:pt>
                <c:pt idx="7">
                  <c:v>-7.1015000000000002E-3</c:v>
                </c:pt>
                <c:pt idx="8">
                  <c:v>-8.7340999999999998E-3</c:v>
                </c:pt>
                <c:pt idx="9">
                  <c:v>-7.4332000000000096E-3</c:v>
                </c:pt>
                <c:pt idx="10">
                  <c:v>-4.6759000000000002E-3</c:v>
                </c:pt>
                <c:pt idx="11">
                  <c:v>-6.5671000000000002E-3</c:v>
                </c:pt>
              </c:numCache>
            </c:numRef>
          </c:val>
          <c:smooth val="0"/>
          <c:extLst xmlns:c16r2="http://schemas.microsoft.com/office/drawing/2015/06/chart">
            <c:ext xmlns:c16="http://schemas.microsoft.com/office/drawing/2014/chart" uri="{C3380CC4-5D6E-409C-BE32-E72D297353CC}">
              <c16:uniqueId val="{00000003-868D-4D13-832F-6824024CC288}"/>
            </c:ext>
          </c:extLst>
        </c:ser>
        <c:ser>
          <c:idx val="3"/>
          <c:order val="3"/>
          <c:tx>
            <c:strRef>
              <c:f>'[Gelir gruplarina gore tasarruflar.xlsx]s1'!$L$6</c:f>
              <c:strCache>
                <c:ptCount val="1"/>
                <c:pt idx="0">
                  <c:v>4. %20'lik dilim</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'[Gelir gruplarina gore tasarruflar.xlsx]s1'!$H$7:$H$18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'[Gelir gruplarina gore tasarruflar.xlsx]s1'!$L$7:$L$18</c:f>
              <c:numCache>
                <c:formatCode>0.0%</c:formatCode>
                <c:ptCount val="12"/>
                <c:pt idx="0">
                  <c:v>2.1010600000000001E-2</c:v>
                </c:pt>
                <c:pt idx="1">
                  <c:v>2.04926E-2</c:v>
                </c:pt>
                <c:pt idx="2">
                  <c:v>1.6252599999999999E-2</c:v>
                </c:pt>
                <c:pt idx="3">
                  <c:v>9.4830000000000105E-3</c:v>
                </c:pt>
                <c:pt idx="4">
                  <c:v>1.8071799999999999E-2</c:v>
                </c:pt>
                <c:pt idx="5">
                  <c:v>7.5786999999999998E-3</c:v>
                </c:pt>
                <c:pt idx="6">
                  <c:v>1.11276E-2</c:v>
                </c:pt>
                <c:pt idx="7">
                  <c:v>6.9449999999999998E-3</c:v>
                </c:pt>
                <c:pt idx="8">
                  <c:v>7.2516999999999998E-3</c:v>
                </c:pt>
                <c:pt idx="9">
                  <c:v>8.6575000000000193E-3</c:v>
                </c:pt>
                <c:pt idx="10">
                  <c:v>5.4264999999999999E-3</c:v>
                </c:pt>
                <c:pt idx="11">
                  <c:v>1.2461E-2</c:v>
                </c:pt>
              </c:numCache>
            </c:numRef>
          </c:val>
          <c:smooth val="0"/>
          <c:extLst xmlns:c16r2="http://schemas.microsoft.com/office/drawing/2015/06/chart">
            <c:ext xmlns:c16="http://schemas.microsoft.com/office/drawing/2014/chart" uri="{C3380CC4-5D6E-409C-BE32-E72D297353CC}">
              <c16:uniqueId val="{00000004-868D-4D13-832F-6824024CC288}"/>
            </c:ext>
          </c:extLst>
        </c:ser>
        <c:ser>
          <c:idx val="4"/>
          <c:order val="4"/>
          <c:tx>
            <c:strRef>
              <c:f>'[Gelir gruplarina gore tasarruflar.xlsx]s1'!$M$6</c:f>
              <c:strCache>
                <c:ptCount val="1"/>
                <c:pt idx="0">
                  <c:v>5. %20'lik dilim</c:v>
                </c:pt>
              </c:strCache>
            </c:strRef>
          </c:tx>
          <c:spPr>
            <a:ln w="28575" cap="rnd">
              <a:solidFill>
                <a:schemeClr val="accent5"/>
              </a:solidFill>
              <a:round/>
            </a:ln>
            <a:effectLst/>
          </c:spPr>
          <c:marker>
            <c:symbol val="x"/>
            <c:size val="7"/>
            <c:spPr>
              <a:no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'[Gelir gruplarina gore tasarruflar.xlsx]s1'!$H$7:$H$18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'[Gelir gruplarina gore tasarruflar.xlsx]s1'!$M$7:$M$18</c:f>
              <c:numCache>
                <c:formatCode>0.0%</c:formatCode>
                <c:ptCount val="12"/>
                <c:pt idx="0">
                  <c:v>0.13003719999999999</c:v>
                </c:pt>
                <c:pt idx="1">
                  <c:v>0.12603739999999999</c:v>
                </c:pt>
                <c:pt idx="2">
                  <c:v>8.4391300000000002E-2</c:v>
                </c:pt>
                <c:pt idx="3">
                  <c:v>9.1503000000000001E-2</c:v>
                </c:pt>
                <c:pt idx="4">
                  <c:v>9.6792000000000003E-2</c:v>
                </c:pt>
                <c:pt idx="5">
                  <c:v>9.9897200000000005E-2</c:v>
                </c:pt>
                <c:pt idx="6">
                  <c:v>0.109774</c:v>
                </c:pt>
                <c:pt idx="7">
                  <c:v>8.9946700000000004E-2</c:v>
                </c:pt>
                <c:pt idx="8">
                  <c:v>9.1651700000000003E-2</c:v>
                </c:pt>
                <c:pt idx="9">
                  <c:v>7.6182299999999994E-2</c:v>
                </c:pt>
                <c:pt idx="10">
                  <c:v>8.1843600000000002E-2</c:v>
                </c:pt>
                <c:pt idx="11">
                  <c:v>9.0280399999999997E-2</c:v>
                </c:pt>
              </c:numCache>
            </c:numRef>
          </c:val>
          <c:smooth val="0"/>
          <c:extLst xmlns:c16r2="http://schemas.microsoft.com/office/drawing/2015/06/chart">
            <c:ext xmlns:c16="http://schemas.microsoft.com/office/drawing/2014/chart" uri="{C3380CC4-5D6E-409C-BE32-E72D297353CC}">
              <c16:uniqueId val="{00000005-868D-4D13-832F-6824024CC288}"/>
            </c:ext>
          </c:extLst>
        </c:ser>
        <c:dLbls>
          <c:showLegendKey val="0"/>
          <c:showVal val="0"/>
          <c:showCatName val="0"/>
          <c:showSerName val="0"/>
          <c:showPercent val="0"/>
          <c:showBubbleSize val="0"/>
        </c:dLbls>
        <c:marker val="1"/>
        <c:smooth val="0"/>
        <c:axId val="141377536"/>
        <c:axId val="141379072"/>
      </c:lineChart>
      <c:catAx>
        <c:axId val="141377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crossAx val="141379072"/>
        <c:crosses val="autoZero"/>
        <c:auto val="1"/>
        <c:lblAlgn val="ctr"/>
        <c:lblOffset val="100"/>
        <c:noMultiLvlLbl val="0"/>
      </c:catAx>
      <c:valAx>
        <c:axId val="1413790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crossAx val="141377536"/>
        <c:crosses val="autoZero"/>
        <c:crossBetween val="between"/>
      </c:valAx>
    </c:plotArea>
    <c:legend>
      <c:legendPos val="b"/>
      <c:overlay val="0"/>
      <c:spPr>
        <a:noFill/>
        <a:ln>
          <a:noFill/>
        </a:ln>
        <a:effectLst/>
      </c:spPr>
      <c:txPr>
        <a:bodyPr rot="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'[Gelir gruplarina gore tasarruflar.xlsx]s2'!$J$6</c:f>
              <c:strCache>
                <c:ptCount val="1"/>
                <c:pt idx="0">
                  <c:v>1. %20'lik dilim</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 gruplarina gore tasarruflar.xlsx]s2'!$H$7:$I$18</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'[Gelir gruplarina gore tasarruflar.xlsx]s2'!$J$7:$J$18</c:f>
              <c:numCache>
                <c:formatCode>0.0%</c:formatCode>
                <c:ptCount val="12"/>
                <c:pt idx="0">
                  <c:v>-1.1738800000000001E-2</c:v>
                </c:pt>
                <c:pt idx="1">
                  <c:v>-1.14527E-2</c:v>
                </c:pt>
                <c:pt idx="2">
                  <c:v>-1.6154399999999999E-2</c:v>
                </c:pt>
                <c:pt idx="3">
                  <c:v>-1.1203400000000001E-2</c:v>
                </c:pt>
                <c:pt idx="4">
                  <c:v>-8.8217999999999994E-3</c:v>
                </c:pt>
                <c:pt idx="5">
                  <c:v>-1.4290300000000001E-2</c:v>
                </c:pt>
                <c:pt idx="6">
                  <c:v>-1.7203800000000002E-2</c:v>
                </c:pt>
                <c:pt idx="7">
                  <c:v>-1.5931399999999998E-2</c:v>
                </c:pt>
                <c:pt idx="8">
                  <c:v>-1.3635100000000001E-2</c:v>
                </c:pt>
                <c:pt idx="9">
                  <c:v>-8.9484999999999999E-3</c:v>
                </c:pt>
                <c:pt idx="10">
                  <c:v>-7.5017000000000096E-3</c:v>
                </c:pt>
                <c:pt idx="11">
                  <c:v>-7.8213999999999992E-3</c:v>
                </c:pt>
              </c:numCache>
            </c:numRef>
          </c:val>
          <c:smooth val="0"/>
          <c:extLst xmlns:c16r2="http://schemas.microsoft.com/office/drawing/2015/06/chart">
            <c:ext xmlns:c16="http://schemas.microsoft.com/office/drawing/2014/chart" uri="{C3380CC4-5D6E-409C-BE32-E72D297353CC}">
              <c16:uniqueId val="{00000000-787F-4D2A-AA5A-EB1308AA0769}"/>
            </c:ext>
          </c:extLst>
        </c:ser>
        <c:ser>
          <c:idx val="1"/>
          <c:order val="1"/>
          <c:tx>
            <c:strRef>
              <c:f>'[Gelir gruplarina gore tasarruflar.xlsx]s2'!$K$6</c:f>
              <c:strCache>
                <c:ptCount val="1"/>
                <c:pt idx="0">
                  <c:v>2. %20'lik dilim</c:v>
                </c:pt>
              </c:strCache>
            </c:strRef>
          </c:tx>
          <c:spPr>
            <a:ln w="28575" cap="rnd">
              <a:solidFill>
                <a:schemeClr val="accent2"/>
              </a:solidFill>
              <a:round/>
            </a:ln>
            <a:effectLst/>
          </c:spPr>
          <c:marker>
            <c:symbol val="circle"/>
            <c:size val="7"/>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 gruplarina gore tasarruflar.xlsx]s2'!$H$7:$I$18</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'[Gelir gruplarina gore tasarruflar.xlsx]s2'!$K$7:$K$18</c:f>
              <c:numCache>
                <c:formatCode>0.0%</c:formatCode>
                <c:ptCount val="12"/>
                <c:pt idx="0">
                  <c:v>-5.1909999999999999E-4</c:v>
                </c:pt>
                <c:pt idx="1">
                  <c:v>2.1500999999999998E-3</c:v>
                </c:pt>
                <c:pt idx="2">
                  <c:v>-1.6072E-3</c:v>
                </c:pt>
                <c:pt idx="3">
                  <c:v>3.0021000000000002E-3</c:v>
                </c:pt>
                <c:pt idx="4">
                  <c:v>3.0298E-3</c:v>
                </c:pt>
                <c:pt idx="5">
                  <c:v>-7.0463000000000097E-3</c:v>
                </c:pt>
                <c:pt idx="6">
                  <c:v>-3.9372000000000001E-3</c:v>
                </c:pt>
                <c:pt idx="7">
                  <c:v>-4.0222000000000001E-3</c:v>
                </c:pt>
                <c:pt idx="8">
                  <c:v>6.334E-4</c:v>
                </c:pt>
                <c:pt idx="9">
                  <c:v>2.4743E-3</c:v>
                </c:pt>
                <c:pt idx="10">
                  <c:v>2.2729E-3</c:v>
                </c:pt>
                <c:pt idx="11">
                  <c:v>5.5069999999999997E-3</c:v>
                </c:pt>
              </c:numCache>
            </c:numRef>
          </c:val>
          <c:smooth val="0"/>
          <c:extLst xmlns:c16r2="http://schemas.microsoft.com/office/drawing/2015/06/chart">
            <c:ext xmlns:c16="http://schemas.microsoft.com/office/drawing/2014/chart" uri="{C3380CC4-5D6E-409C-BE32-E72D297353CC}">
              <c16:uniqueId val="{00000001-787F-4D2A-AA5A-EB1308AA0769}"/>
            </c:ext>
          </c:extLst>
        </c:ser>
        <c:ser>
          <c:idx val="2"/>
          <c:order val="2"/>
          <c:tx>
            <c:strRef>
              <c:f>'[Gelir gruplarina gore tasarruflar.xlsx]s2'!$L$6</c:f>
              <c:strCache>
                <c:ptCount val="1"/>
                <c:pt idx="0">
                  <c:v>3. %20'lik dilim</c:v>
                </c:pt>
              </c:strCache>
            </c:strRef>
          </c:tx>
          <c:spPr>
            <a:ln w="28575" cap="rnd">
              <a:solidFill>
                <a:schemeClr val="accent3"/>
              </a:solidFill>
              <a:round/>
            </a:ln>
            <a:effectLst/>
          </c:spPr>
          <c:marker>
            <c:symbol val="star"/>
            <c:size val="7"/>
            <c:spPr>
              <a:no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 gruplarina gore tasarruflar.xlsx]s2'!$H$7:$I$18</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'[Gelir gruplarina gore tasarruflar.xlsx]s2'!$L$7:$L$18</c:f>
              <c:numCache>
                <c:formatCode>0.0%</c:formatCode>
                <c:ptCount val="12"/>
                <c:pt idx="0">
                  <c:v>1.48816E-2</c:v>
                </c:pt>
                <c:pt idx="1">
                  <c:v>1.7204299999999999E-2</c:v>
                </c:pt>
                <c:pt idx="2">
                  <c:v>1.71662E-2</c:v>
                </c:pt>
                <c:pt idx="3">
                  <c:v>1.5816299999999998E-2</c:v>
                </c:pt>
                <c:pt idx="4">
                  <c:v>1.7307800000000002E-2</c:v>
                </c:pt>
                <c:pt idx="5">
                  <c:v>8.0561000000000191E-3</c:v>
                </c:pt>
                <c:pt idx="6">
                  <c:v>1.1462699999999999E-2</c:v>
                </c:pt>
                <c:pt idx="7">
                  <c:v>1.05416E-2</c:v>
                </c:pt>
                <c:pt idx="8">
                  <c:v>1.3675E-2</c:v>
                </c:pt>
                <c:pt idx="9">
                  <c:v>1.44586E-2</c:v>
                </c:pt>
                <c:pt idx="10">
                  <c:v>1.7266299999999998E-2</c:v>
                </c:pt>
                <c:pt idx="11">
                  <c:v>1.7639700000000001E-2</c:v>
                </c:pt>
              </c:numCache>
            </c:numRef>
          </c:val>
          <c:smooth val="0"/>
          <c:extLst xmlns:c16r2="http://schemas.microsoft.com/office/drawing/2015/06/chart">
            <c:ext xmlns:c16="http://schemas.microsoft.com/office/drawing/2014/chart" uri="{C3380CC4-5D6E-409C-BE32-E72D297353CC}">
              <c16:uniqueId val="{00000002-787F-4D2A-AA5A-EB1308AA0769}"/>
            </c:ext>
          </c:extLst>
        </c:ser>
        <c:ser>
          <c:idx val="3"/>
          <c:order val="3"/>
          <c:tx>
            <c:strRef>
              <c:f>'[Gelir gruplarina gore tasarruflar.xlsx]s2'!$M$6</c:f>
              <c:strCache>
                <c:ptCount val="1"/>
                <c:pt idx="0">
                  <c:v>4. %20'lik dilim</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 gruplarina gore tasarruflar.xlsx]s2'!$H$7:$I$18</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'[Gelir gruplarina gore tasarruflar.xlsx]s2'!$M$7:$M$18</c:f>
              <c:numCache>
                <c:formatCode>0.0%</c:formatCode>
                <c:ptCount val="12"/>
                <c:pt idx="0">
                  <c:v>3.4803199999999999E-2</c:v>
                </c:pt>
                <c:pt idx="1">
                  <c:v>3.99283E-2</c:v>
                </c:pt>
                <c:pt idx="2">
                  <c:v>3.9172600000000002E-2</c:v>
                </c:pt>
                <c:pt idx="3">
                  <c:v>3.3090899999999999E-2</c:v>
                </c:pt>
                <c:pt idx="4">
                  <c:v>3.6176600000000003E-2</c:v>
                </c:pt>
                <c:pt idx="5">
                  <c:v>3.2689299999999998E-2</c:v>
                </c:pt>
                <c:pt idx="6">
                  <c:v>3.43165E-2</c:v>
                </c:pt>
                <c:pt idx="7">
                  <c:v>3.31387E-2</c:v>
                </c:pt>
                <c:pt idx="8">
                  <c:v>3.89177E-2</c:v>
                </c:pt>
                <c:pt idx="9">
                  <c:v>4.03781E-2</c:v>
                </c:pt>
                <c:pt idx="10">
                  <c:v>3.7355100000000002E-2</c:v>
                </c:pt>
                <c:pt idx="11">
                  <c:v>4.5844700000000002E-2</c:v>
                </c:pt>
              </c:numCache>
            </c:numRef>
          </c:val>
          <c:smooth val="0"/>
          <c:extLst xmlns:c16r2="http://schemas.microsoft.com/office/drawing/2015/06/chart">
            <c:ext xmlns:c16="http://schemas.microsoft.com/office/drawing/2014/chart" uri="{C3380CC4-5D6E-409C-BE32-E72D297353CC}">
              <c16:uniqueId val="{00000003-787F-4D2A-AA5A-EB1308AA0769}"/>
            </c:ext>
          </c:extLst>
        </c:ser>
        <c:ser>
          <c:idx val="4"/>
          <c:order val="4"/>
          <c:tx>
            <c:strRef>
              <c:f>'[Gelir gruplarina gore tasarruflar.xlsx]s2'!$N$6</c:f>
              <c:strCache>
                <c:ptCount val="1"/>
                <c:pt idx="0">
                  <c:v>5. %20'lik dilim</c:v>
                </c:pt>
              </c:strCache>
            </c:strRef>
          </c:tx>
          <c:spPr>
            <a:ln w="28575" cap="rnd">
              <a:solidFill>
                <a:schemeClr val="accent5"/>
              </a:solidFill>
              <a:round/>
            </a:ln>
            <a:effectLst/>
          </c:spPr>
          <c:marker>
            <c:symbol val="x"/>
            <c:size val="7"/>
            <c:spPr>
              <a:no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ysClr val="windowText" lastClr="000000"/>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 gruplarina gore tasarruflar.xlsx]s2'!$H$7:$I$18</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'[Gelir gruplarina gore tasarruflar.xlsx]s2'!$N$7:$N$18</c:f>
              <c:numCache>
                <c:formatCode>0.0%</c:formatCode>
                <c:ptCount val="12"/>
                <c:pt idx="0">
                  <c:v>0.16304640000000001</c:v>
                </c:pt>
                <c:pt idx="1">
                  <c:v>0.161108</c:v>
                </c:pt>
                <c:pt idx="2">
                  <c:v>0.14038690000000001</c:v>
                </c:pt>
                <c:pt idx="3">
                  <c:v>0.1455449</c:v>
                </c:pt>
                <c:pt idx="4">
                  <c:v>0.13450280000000001</c:v>
                </c:pt>
                <c:pt idx="5">
                  <c:v>0.14788100000000001</c:v>
                </c:pt>
                <c:pt idx="6">
                  <c:v>0.15442829999999999</c:v>
                </c:pt>
                <c:pt idx="7">
                  <c:v>0.1441151</c:v>
                </c:pt>
                <c:pt idx="8">
                  <c:v>0.1524528</c:v>
                </c:pt>
                <c:pt idx="9">
                  <c:v>0.1429185</c:v>
                </c:pt>
                <c:pt idx="10">
                  <c:v>0.1462378</c:v>
                </c:pt>
                <c:pt idx="11">
                  <c:v>0.15056700000000001</c:v>
                </c:pt>
              </c:numCache>
            </c:numRef>
          </c:val>
          <c:smooth val="0"/>
          <c:extLst xmlns:c16r2="http://schemas.microsoft.com/office/drawing/2015/06/chart">
            <c:ext xmlns:c16="http://schemas.microsoft.com/office/drawing/2014/chart" uri="{C3380CC4-5D6E-409C-BE32-E72D297353CC}">
              <c16:uniqueId val="{00000004-787F-4D2A-AA5A-EB1308AA0769}"/>
            </c:ext>
          </c:extLst>
        </c:ser>
        <c:dLbls>
          <c:showLegendKey val="0"/>
          <c:showVal val="0"/>
          <c:showCatName val="0"/>
          <c:showSerName val="0"/>
          <c:showPercent val="0"/>
          <c:showBubbleSize val="0"/>
        </c:dLbls>
        <c:marker val="1"/>
        <c:smooth val="0"/>
        <c:axId val="141414784"/>
        <c:axId val="141416320"/>
      </c:lineChart>
      <c:catAx>
        <c:axId val="1414147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crossAx val="141416320"/>
        <c:crosses val="autoZero"/>
        <c:auto val="1"/>
        <c:lblAlgn val="ctr"/>
        <c:lblOffset val="100"/>
        <c:noMultiLvlLbl val="0"/>
      </c:catAx>
      <c:valAx>
        <c:axId val="141416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crossAx val="141414784"/>
        <c:crosses val="autoZero"/>
        <c:crossBetween val="between"/>
      </c:valAx>
      <c:spPr>
        <a:solidFill>
          <a:schemeClr val="lt1"/>
        </a:solidFill>
        <a:ln>
          <a:noFill/>
        </a:ln>
        <a:effectLst/>
      </c:spPr>
    </c:plotArea>
    <c:legend>
      <c:legendPos val="b"/>
      <c:overlay val="0"/>
      <c:spPr>
        <a:noFill/>
        <a:ln>
          <a:noFill/>
        </a:ln>
        <a:effectLst/>
      </c:spPr>
      <c:txPr>
        <a:bodyPr rot="0" spcFirstLastPara="1" vertOverflow="ellipsis" vert="horz" wrap="square" anchor="ctr" anchorCtr="1"/>
        <a:lstStyle/>
        <a:p>
          <a:pPr>
            <a:defRPr lang="tr-T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26F5AF-83A1-41DD-B2B0-DBC3DC93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10626</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cp:lastPrinted>2016-11-02T14:03:00Z</cp:lastPrinted>
  <dcterms:created xsi:type="dcterms:W3CDTF">2016-11-11T07:09:00Z</dcterms:created>
  <dcterms:modified xsi:type="dcterms:W3CDTF">2016-11-11T07:09:00Z</dcterms:modified>
</cp:coreProperties>
</file>