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79" w:rsidRPr="00821820" w:rsidRDefault="003B650D" w:rsidP="00640379">
      <w:pPr>
        <w:rPr>
          <w:rFonts w:ascii="Arial" w:hAnsi="Arial" w:cs="Arial"/>
          <w:sz w:val="20"/>
          <w:szCs w:val="20"/>
        </w:rPr>
      </w:pPr>
      <w:r>
        <w:rPr>
          <w:rFonts w:ascii="Arial" w:hAnsi="Arial" w:cs="Arial"/>
          <w:noProof/>
          <w:sz w:val="20"/>
          <w:szCs w:val="20"/>
          <w:lang w:eastAsia="tr-TR"/>
        </w:rPr>
        <mc:AlternateContent>
          <mc:Choice Requires="wps">
            <w:drawing>
              <wp:anchor distT="0" distB="0" distL="114935" distR="114935" simplePos="0" relativeHeight="251657216" behindDoc="0" locked="0" layoutInCell="1" allowOverlap="1" wp14:anchorId="776A8E8D" wp14:editId="4DEBB374">
                <wp:simplePos x="0" y="0"/>
                <wp:positionH relativeFrom="column">
                  <wp:posOffset>1813560</wp:posOffset>
                </wp:positionH>
                <wp:positionV relativeFrom="paragraph">
                  <wp:posOffset>-384810</wp:posOffset>
                </wp:positionV>
                <wp:extent cx="3963670" cy="5689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54C" w:rsidRPr="008813B7" w:rsidRDefault="0027354C" w:rsidP="00640379">
                            <w:pPr>
                              <w:pStyle w:val="Heading1"/>
                              <w:jc w:val="left"/>
                              <w:rPr>
                                <w:color w:val="FF0000"/>
                                <w:sz w:val="52"/>
                                <w:szCs w:val="52"/>
                              </w:rPr>
                            </w:pPr>
                            <w:r>
                              <w:rPr>
                                <w:sz w:val="52"/>
                                <w:szCs w:val="52"/>
                              </w:rPr>
                              <w:t xml:space="preserve"> </w:t>
                            </w:r>
                            <w:r w:rsidRPr="00526178">
                              <w:rPr>
                                <w:sz w:val="52"/>
                                <w:szCs w:val="52"/>
                              </w:rPr>
                              <w:t>Ara</w:t>
                            </w:r>
                            <w:r>
                              <w:rPr>
                                <w:sz w:val="52"/>
                                <w:szCs w:val="52"/>
                              </w:rPr>
                              <w:t>ştırma</w:t>
                            </w:r>
                            <w:r w:rsidRPr="00526178">
                              <w:rPr>
                                <w:sz w:val="52"/>
                                <w:szCs w:val="52"/>
                              </w:rPr>
                              <w:t xml:space="preserve"> </w:t>
                            </w:r>
                            <w:r>
                              <w:rPr>
                                <w:sz w:val="52"/>
                                <w:szCs w:val="52"/>
                              </w:rPr>
                              <w:t>Notu 16/198</w:t>
                            </w:r>
                          </w:p>
                          <w:p w:rsidR="0027354C" w:rsidRPr="00526178" w:rsidRDefault="0027354C" w:rsidP="00640379">
                            <w:pPr>
                              <w:pStyle w:val="Heading2"/>
                              <w:numPr>
                                <w:ilvl w:val="1"/>
                                <w:numId w:val="1"/>
                              </w:numPr>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30.3pt;width:312.1pt;height:44.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" stroked="f">
                <v:fill opacity="0"/>
                <v:textbox inset="0,0,0,0">
                  <w:txbxContent>
                    <w:p w:rsidR="0027354C" w:rsidRPr="008813B7" w:rsidRDefault="0027354C" w:rsidP="00640379">
                      <w:pPr>
                        <w:pStyle w:val="Heading1"/>
                        <w:jc w:val="left"/>
                        <w:rPr>
                          <w:color w:val="FF0000"/>
                          <w:sz w:val="52"/>
                          <w:szCs w:val="52"/>
                        </w:rPr>
                      </w:pPr>
                      <w:r>
                        <w:rPr>
                          <w:sz w:val="52"/>
                          <w:szCs w:val="52"/>
                        </w:rPr>
                        <w:t xml:space="preserve"> </w:t>
                      </w:r>
                      <w:r w:rsidRPr="00526178">
                        <w:rPr>
                          <w:sz w:val="52"/>
                          <w:szCs w:val="52"/>
                        </w:rPr>
                        <w:t>Ara</w:t>
                      </w:r>
                      <w:r>
                        <w:rPr>
                          <w:sz w:val="52"/>
                          <w:szCs w:val="52"/>
                        </w:rPr>
                        <w:t>ştırma</w:t>
                      </w:r>
                      <w:r w:rsidRPr="00526178">
                        <w:rPr>
                          <w:sz w:val="52"/>
                          <w:szCs w:val="52"/>
                        </w:rPr>
                        <w:t xml:space="preserve"> </w:t>
                      </w:r>
                      <w:r>
                        <w:rPr>
                          <w:sz w:val="52"/>
                          <w:szCs w:val="52"/>
                        </w:rPr>
                        <w:t>Notu 16/198</w:t>
                      </w:r>
                    </w:p>
                    <w:p w:rsidR="0027354C" w:rsidRPr="00526178" w:rsidRDefault="0027354C" w:rsidP="00640379">
                      <w:pPr>
                        <w:pStyle w:val="Heading2"/>
                        <w:numPr>
                          <w:ilvl w:val="1"/>
                          <w:numId w:val="1"/>
                        </w:numPr>
                        <w:rPr>
                          <w:b w:val="0"/>
                          <w:bCs w:val="0"/>
                          <w:i w:val="0"/>
                          <w:iCs w:val="0"/>
                        </w:rPr>
                      </w:pPr>
                    </w:p>
                  </w:txbxContent>
                </v:textbox>
              </v:shape>
            </w:pict>
          </mc:Fallback>
        </mc:AlternateContent>
      </w:r>
      <w:r w:rsidR="00FF567A">
        <w:rPr>
          <w:rFonts w:ascii="Arial" w:hAnsi="Arial" w:cs="Arial"/>
          <w:noProof/>
          <w:sz w:val="20"/>
          <w:szCs w:val="20"/>
          <w:lang w:eastAsia="tr-TR"/>
        </w:rPr>
        <w:drawing>
          <wp:anchor distT="0" distB="0" distL="114300" distR="114300" simplePos="0" relativeHeight="251659264" behindDoc="1" locked="0" layoutInCell="1" allowOverlap="1" wp14:anchorId="6650491F" wp14:editId="31121E40">
            <wp:simplePos x="0" y="0"/>
            <wp:positionH relativeFrom="column">
              <wp:posOffset>-742950</wp:posOffset>
            </wp:positionH>
            <wp:positionV relativeFrom="paragraph">
              <wp:posOffset>-737870</wp:posOffset>
            </wp:positionV>
            <wp:extent cx="7315200" cy="1330325"/>
            <wp:effectExtent l="19050" t="0" r="0" b="0"/>
            <wp:wrapNone/>
            <wp:docPr id="5"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p>
    <w:p w:rsidR="00640379" w:rsidRPr="00821820" w:rsidRDefault="003B650D" w:rsidP="00640379">
      <w:pPr>
        <w:rPr>
          <w:rFonts w:ascii="Arial" w:hAnsi="Arial" w:cs="Arial"/>
          <w:sz w:val="20"/>
          <w:szCs w:val="20"/>
        </w:rPr>
      </w:pPr>
      <w:r>
        <w:rPr>
          <w:rFonts w:ascii="Arial" w:hAnsi="Arial" w:cs="Arial"/>
          <w:noProof/>
          <w:sz w:val="20"/>
          <w:szCs w:val="20"/>
          <w:lang w:eastAsia="tr-TR"/>
        </w:rPr>
        <mc:AlternateContent>
          <mc:Choice Requires="wps">
            <w:drawing>
              <wp:anchor distT="0" distB="0" distL="114935" distR="114935" simplePos="0" relativeHeight="251658240" behindDoc="0" locked="0" layoutInCell="1" allowOverlap="1" wp14:anchorId="353AF52E" wp14:editId="31DCAEC4">
                <wp:simplePos x="0" y="0"/>
                <wp:positionH relativeFrom="column">
                  <wp:posOffset>5548578</wp:posOffset>
                </wp:positionH>
                <wp:positionV relativeFrom="paragraph">
                  <wp:posOffset>84379</wp:posOffset>
                </wp:positionV>
                <wp:extent cx="1104595" cy="3657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595" cy="365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54C" w:rsidRDefault="0027354C" w:rsidP="00640379">
                            <w:pPr>
                              <w:pStyle w:val="Heading3"/>
                              <w:rPr>
                                <w:color w:val="FFFFFF"/>
                                <w:sz w:val="22"/>
                                <w:szCs w:val="22"/>
                                <w:lang w:val="tr-TR"/>
                              </w:rPr>
                            </w:pPr>
                            <w:r>
                              <w:rPr>
                                <w:color w:val="FFFFFF"/>
                                <w:sz w:val="22"/>
                                <w:szCs w:val="22"/>
                              </w:rPr>
                              <w:t xml:space="preserve">  7 Ekim </w:t>
                            </w:r>
                            <w:r>
                              <w:rPr>
                                <w:color w:val="FFFFFF"/>
                                <w:sz w:val="22"/>
                                <w:szCs w:val="22"/>
                                <w:lang w:val="tr-TR"/>
                              </w:rPr>
                              <w:t>2016</w:t>
                            </w:r>
                          </w:p>
                          <w:p w:rsidR="0027354C" w:rsidRDefault="0027354C" w:rsidP="006403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6.9pt;margin-top:6.65pt;width:87pt;height:28.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" stroked="f">
                <v:fill opacity="0"/>
                <v:textbox inset="0,0,0,0">
                  <w:txbxContent>
                    <w:p w:rsidR="0027354C" w:rsidRDefault="0027354C" w:rsidP="00640379">
                      <w:pPr>
                        <w:pStyle w:val="Heading3"/>
                        <w:rPr>
                          <w:color w:val="FFFFFF"/>
                          <w:sz w:val="22"/>
                          <w:szCs w:val="22"/>
                          <w:lang w:val="tr-TR"/>
                        </w:rPr>
                      </w:pPr>
                      <w:r>
                        <w:rPr>
                          <w:color w:val="FFFFFF"/>
                          <w:sz w:val="22"/>
                          <w:szCs w:val="22"/>
                        </w:rPr>
                        <w:t xml:space="preserve">  7 </w:t>
                      </w:r>
                      <w:proofErr w:type="spellStart"/>
                      <w:r>
                        <w:rPr>
                          <w:color w:val="FFFFFF"/>
                          <w:sz w:val="22"/>
                          <w:szCs w:val="22"/>
                        </w:rPr>
                        <w:t>Ekim</w:t>
                      </w:r>
                      <w:proofErr w:type="spellEnd"/>
                      <w:r>
                        <w:rPr>
                          <w:color w:val="FFFFFF"/>
                          <w:sz w:val="22"/>
                          <w:szCs w:val="22"/>
                        </w:rPr>
                        <w:t xml:space="preserve"> </w:t>
                      </w:r>
                      <w:r>
                        <w:rPr>
                          <w:color w:val="FFFFFF"/>
                          <w:sz w:val="22"/>
                          <w:szCs w:val="22"/>
                          <w:lang w:val="tr-TR"/>
                        </w:rPr>
                        <w:t>2016</w:t>
                      </w:r>
                    </w:p>
                    <w:p w:rsidR="0027354C" w:rsidRDefault="0027354C" w:rsidP="00640379"/>
                  </w:txbxContent>
                </v:textbox>
              </v:shape>
            </w:pict>
          </mc:Fallback>
        </mc:AlternateContent>
      </w:r>
    </w:p>
    <w:p w:rsidR="00640379" w:rsidRPr="00821820" w:rsidRDefault="00640379" w:rsidP="00640379">
      <w:pPr>
        <w:rPr>
          <w:rFonts w:ascii="Arial" w:hAnsi="Arial" w:cs="Arial"/>
          <w:sz w:val="20"/>
          <w:szCs w:val="20"/>
        </w:rPr>
      </w:pPr>
    </w:p>
    <w:p w:rsidR="00640379" w:rsidRPr="00821820" w:rsidRDefault="00640379" w:rsidP="00640379">
      <w:pPr>
        <w:rPr>
          <w:rFonts w:ascii="Arial" w:hAnsi="Arial" w:cs="Arial"/>
          <w:sz w:val="20"/>
          <w:szCs w:val="20"/>
        </w:rPr>
      </w:pPr>
    </w:p>
    <w:p w:rsidR="00640379" w:rsidRPr="00821820" w:rsidRDefault="00640379" w:rsidP="00640379">
      <w:pPr>
        <w:rPr>
          <w:rFonts w:ascii="Arial" w:hAnsi="Arial" w:cs="Arial"/>
          <w:b/>
          <w:bCs/>
          <w:sz w:val="20"/>
          <w:szCs w:val="20"/>
        </w:rPr>
      </w:pPr>
    </w:p>
    <w:p w:rsidR="00AE2FAA" w:rsidRPr="0027354C" w:rsidRDefault="00D47139" w:rsidP="00AE2FAA">
      <w:pPr>
        <w:jc w:val="center"/>
        <w:rPr>
          <w:rFonts w:ascii="Arial" w:hAnsi="Arial" w:cs="Arial"/>
          <w:b/>
          <w:sz w:val="28"/>
          <w:szCs w:val="28"/>
        </w:rPr>
      </w:pPr>
      <w:r w:rsidRPr="0027354C">
        <w:rPr>
          <w:rFonts w:ascii="Arial" w:hAnsi="Arial" w:cs="Arial"/>
          <w:b/>
          <w:sz w:val="28"/>
          <w:szCs w:val="28"/>
        </w:rPr>
        <w:t>ORTA GELİR TUZAĞI SORUNU HASSASİYETİNİ KORUYOR</w:t>
      </w:r>
    </w:p>
    <w:p w:rsidR="00AE2FAA" w:rsidRPr="0027354C" w:rsidRDefault="00AE2FAA" w:rsidP="00AE2FAA">
      <w:pPr>
        <w:jc w:val="center"/>
        <w:rPr>
          <w:rFonts w:ascii="Arial" w:hAnsi="Arial" w:cs="Arial"/>
          <w:b/>
          <w:sz w:val="20"/>
          <w:szCs w:val="20"/>
        </w:rPr>
      </w:pPr>
    </w:p>
    <w:p w:rsidR="0040699C" w:rsidRPr="0027354C" w:rsidRDefault="00AE2FAA" w:rsidP="004009D4">
      <w:pPr>
        <w:jc w:val="center"/>
        <w:rPr>
          <w:rFonts w:ascii="Arial" w:hAnsi="Arial" w:cs="Arial"/>
          <w:b/>
          <w:sz w:val="20"/>
          <w:szCs w:val="20"/>
        </w:rPr>
      </w:pPr>
      <w:r w:rsidRPr="0027354C">
        <w:rPr>
          <w:rFonts w:ascii="Arial" w:hAnsi="Arial" w:cs="Arial"/>
          <w:b/>
          <w:sz w:val="20"/>
          <w:szCs w:val="20"/>
        </w:rPr>
        <w:t>Seyfettin Gürsel</w:t>
      </w:r>
      <w:r w:rsidR="002408E1" w:rsidRPr="0027354C">
        <w:rPr>
          <w:rStyle w:val="FootnoteReference"/>
          <w:rFonts w:ascii="Arial" w:hAnsi="Arial" w:cs="Arial"/>
          <w:b/>
          <w:sz w:val="20"/>
          <w:szCs w:val="20"/>
        </w:rPr>
        <w:footnoteReference w:customMarkFollows="1" w:id="1"/>
        <w:sym w:font="Symbol" w:char="F02A"/>
      </w:r>
      <w:r w:rsidR="001A6364" w:rsidRPr="0027354C">
        <w:rPr>
          <w:rFonts w:ascii="Arial" w:hAnsi="Arial" w:cs="Arial"/>
          <w:b/>
          <w:sz w:val="20"/>
          <w:szCs w:val="20"/>
        </w:rPr>
        <w:t>, Ozan Bakış</w:t>
      </w:r>
      <w:r w:rsidR="002408E1" w:rsidRPr="0027354C">
        <w:rPr>
          <w:rStyle w:val="FootnoteReference"/>
          <w:rFonts w:ascii="Arial" w:hAnsi="Arial" w:cs="Arial"/>
          <w:b/>
          <w:sz w:val="20"/>
          <w:szCs w:val="20"/>
        </w:rPr>
        <w:footnoteReference w:customMarkFollows="1" w:id="2"/>
        <w:t>**</w:t>
      </w:r>
      <w:r w:rsidR="001A6364" w:rsidRPr="0027354C">
        <w:rPr>
          <w:rFonts w:ascii="Arial" w:hAnsi="Arial" w:cs="Arial"/>
          <w:b/>
          <w:sz w:val="20"/>
          <w:szCs w:val="20"/>
        </w:rPr>
        <w:t xml:space="preserve"> ve Selin Köksal</w:t>
      </w:r>
      <w:r w:rsidR="001A6364" w:rsidRPr="0027354C">
        <w:rPr>
          <w:rStyle w:val="FootnoteReference"/>
          <w:rFonts w:ascii="Arial" w:hAnsi="Arial" w:cs="Arial"/>
          <w:b/>
          <w:sz w:val="20"/>
          <w:szCs w:val="20"/>
        </w:rPr>
        <w:footnoteReference w:customMarkFollows="1" w:id="3"/>
        <w:t>***</w:t>
      </w:r>
    </w:p>
    <w:p w:rsidR="00AE2FAA" w:rsidRPr="0027354C" w:rsidRDefault="00AE2FAA" w:rsidP="00AE2FAA">
      <w:pPr>
        <w:jc w:val="center"/>
        <w:rPr>
          <w:rFonts w:ascii="Arial" w:hAnsi="Arial" w:cs="Arial"/>
          <w:b/>
          <w:sz w:val="20"/>
          <w:szCs w:val="20"/>
        </w:rPr>
      </w:pPr>
    </w:p>
    <w:p w:rsidR="00AE2FAA" w:rsidRPr="0027354C" w:rsidRDefault="00AE2FAA" w:rsidP="00AE2FAA">
      <w:pPr>
        <w:jc w:val="center"/>
        <w:rPr>
          <w:rFonts w:ascii="Arial" w:hAnsi="Arial" w:cs="Arial"/>
          <w:b/>
          <w:sz w:val="22"/>
          <w:szCs w:val="22"/>
        </w:rPr>
      </w:pPr>
      <w:r w:rsidRPr="0027354C">
        <w:rPr>
          <w:rFonts w:ascii="Arial" w:hAnsi="Arial" w:cs="Arial"/>
          <w:b/>
          <w:sz w:val="22"/>
          <w:szCs w:val="22"/>
        </w:rPr>
        <w:t>Yönetici Özeti</w:t>
      </w:r>
    </w:p>
    <w:p w:rsidR="00AE2FAA" w:rsidRPr="0027354C" w:rsidRDefault="00AE2FAA" w:rsidP="00AE2FAA">
      <w:pPr>
        <w:jc w:val="center"/>
        <w:rPr>
          <w:rFonts w:ascii="Arial" w:hAnsi="Arial" w:cs="Arial"/>
          <w:b/>
          <w:sz w:val="20"/>
          <w:szCs w:val="20"/>
        </w:rPr>
      </w:pPr>
    </w:p>
    <w:p w:rsidR="003920C1" w:rsidRDefault="000D7EB3" w:rsidP="0027354C">
      <w:pPr>
        <w:spacing w:line="360" w:lineRule="auto"/>
        <w:jc w:val="both"/>
        <w:rPr>
          <w:rFonts w:ascii="Arial" w:hAnsi="Arial" w:cs="Arial"/>
          <w:sz w:val="20"/>
          <w:szCs w:val="20"/>
        </w:rPr>
      </w:pPr>
      <w:r w:rsidRPr="0027354C">
        <w:rPr>
          <w:rFonts w:ascii="Arial" w:hAnsi="Arial" w:cs="Arial"/>
          <w:sz w:val="20"/>
          <w:szCs w:val="20"/>
        </w:rPr>
        <w:t>Türkiye ekonomisi Kür</w:t>
      </w:r>
      <w:r w:rsidR="00EE6BF3" w:rsidRPr="0027354C">
        <w:rPr>
          <w:rFonts w:ascii="Arial" w:hAnsi="Arial" w:cs="Arial"/>
          <w:sz w:val="20"/>
          <w:szCs w:val="20"/>
        </w:rPr>
        <w:t>e</w:t>
      </w:r>
      <w:r w:rsidRPr="0027354C">
        <w:rPr>
          <w:rFonts w:ascii="Arial" w:hAnsi="Arial" w:cs="Arial"/>
          <w:sz w:val="20"/>
          <w:szCs w:val="20"/>
        </w:rPr>
        <w:t>sel</w:t>
      </w:r>
      <w:r w:rsidR="0040699C" w:rsidRPr="0027354C">
        <w:rPr>
          <w:rFonts w:ascii="Arial" w:hAnsi="Arial" w:cs="Arial"/>
          <w:sz w:val="20"/>
          <w:szCs w:val="20"/>
        </w:rPr>
        <w:t xml:space="preserve"> K</w:t>
      </w:r>
      <w:r w:rsidR="00107FCA" w:rsidRPr="0027354C">
        <w:rPr>
          <w:rFonts w:ascii="Arial" w:hAnsi="Arial" w:cs="Arial"/>
          <w:sz w:val="20"/>
          <w:szCs w:val="20"/>
        </w:rPr>
        <w:t>riz öncesinde (2002-2008)</w:t>
      </w:r>
      <w:r w:rsidR="0040699C" w:rsidRPr="0027354C">
        <w:rPr>
          <w:rFonts w:ascii="Arial" w:hAnsi="Arial" w:cs="Arial"/>
          <w:sz w:val="20"/>
          <w:szCs w:val="20"/>
        </w:rPr>
        <w:t>,</w:t>
      </w:r>
      <w:r w:rsidR="00107FCA" w:rsidRPr="0027354C">
        <w:rPr>
          <w:rFonts w:ascii="Arial" w:hAnsi="Arial" w:cs="Arial"/>
          <w:sz w:val="20"/>
          <w:szCs w:val="20"/>
        </w:rPr>
        <w:t xml:space="preserve"> yük</w:t>
      </w:r>
      <w:r w:rsidRPr="0027354C">
        <w:rPr>
          <w:rFonts w:ascii="Arial" w:hAnsi="Arial" w:cs="Arial"/>
          <w:sz w:val="20"/>
          <w:szCs w:val="20"/>
        </w:rPr>
        <w:t>sek büyüme hızların</w:t>
      </w:r>
      <w:r w:rsidR="00456FCA" w:rsidRPr="0027354C">
        <w:rPr>
          <w:rFonts w:ascii="Arial" w:hAnsi="Arial" w:cs="Arial"/>
          <w:sz w:val="20"/>
          <w:szCs w:val="20"/>
        </w:rPr>
        <w:t>a</w:t>
      </w:r>
      <w:r w:rsidR="00252C7A" w:rsidRPr="0027354C">
        <w:rPr>
          <w:rFonts w:ascii="Arial" w:hAnsi="Arial" w:cs="Arial"/>
          <w:sz w:val="20"/>
          <w:szCs w:val="20"/>
        </w:rPr>
        <w:t xml:space="preserve"> dolayısıyla</w:t>
      </w:r>
      <w:r w:rsidRPr="0027354C">
        <w:rPr>
          <w:rFonts w:ascii="Arial" w:hAnsi="Arial" w:cs="Arial"/>
          <w:sz w:val="20"/>
          <w:szCs w:val="20"/>
        </w:rPr>
        <w:t xml:space="preserve"> yüksek </w:t>
      </w:r>
      <w:r w:rsidR="00252C7A" w:rsidRPr="0027354C">
        <w:rPr>
          <w:rFonts w:ascii="Arial" w:hAnsi="Arial" w:cs="Arial"/>
          <w:sz w:val="20"/>
          <w:szCs w:val="20"/>
        </w:rPr>
        <w:t xml:space="preserve">kişi başı gelir artışlarına emek verimliliğinin </w:t>
      </w:r>
      <w:r w:rsidR="00456FCA" w:rsidRPr="0027354C">
        <w:rPr>
          <w:rFonts w:ascii="Arial" w:hAnsi="Arial" w:cs="Arial"/>
          <w:sz w:val="20"/>
          <w:szCs w:val="20"/>
        </w:rPr>
        <w:t>yüksek oranda artması uz</w:t>
      </w:r>
      <w:r w:rsidR="008F6B9F" w:rsidRPr="0027354C">
        <w:rPr>
          <w:rFonts w:ascii="Arial" w:hAnsi="Arial" w:cs="Arial"/>
          <w:sz w:val="20"/>
          <w:szCs w:val="20"/>
        </w:rPr>
        <w:t>a</w:t>
      </w:r>
      <w:r w:rsidR="00456FCA" w:rsidRPr="0027354C">
        <w:rPr>
          <w:rFonts w:ascii="Arial" w:hAnsi="Arial" w:cs="Arial"/>
          <w:sz w:val="20"/>
          <w:szCs w:val="20"/>
        </w:rPr>
        <w:t xml:space="preserve">k ara en büyük </w:t>
      </w:r>
      <w:r w:rsidR="00AC3E11" w:rsidRPr="0027354C">
        <w:rPr>
          <w:rFonts w:ascii="Arial" w:hAnsi="Arial" w:cs="Arial"/>
          <w:sz w:val="20"/>
          <w:szCs w:val="20"/>
        </w:rPr>
        <w:t>katkıyı yaptı</w:t>
      </w:r>
      <w:r w:rsidR="00456FCA" w:rsidRPr="0027354C">
        <w:rPr>
          <w:rFonts w:ascii="Arial" w:hAnsi="Arial" w:cs="Arial"/>
          <w:sz w:val="20"/>
          <w:szCs w:val="20"/>
        </w:rPr>
        <w:t xml:space="preserve">. Yüksek büyüme oranlarına bu dönemde </w:t>
      </w:r>
      <w:r w:rsidRPr="0027354C">
        <w:rPr>
          <w:rFonts w:ascii="Arial" w:hAnsi="Arial" w:cs="Arial"/>
          <w:sz w:val="20"/>
          <w:szCs w:val="20"/>
        </w:rPr>
        <w:t>Türk Lirası</w:t>
      </w:r>
      <w:r w:rsidR="0040699C" w:rsidRPr="0027354C">
        <w:rPr>
          <w:rFonts w:ascii="Arial" w:hAnsi="Arial" w:cs="Arial"/>
          <w:sz w:val="20"/>
          <w:szCs w:val="20"/>
        </w:rPr>
        <w:t>’</w:t>
      </w:r>
      <w:r w:rsidRPr="0027354C">
        <w:rPr>
          <w:rFonts w:ascii="Arial" w:hAnsi="Arial" w:cs="Arial"/>
          <w:sz w:val="20"/>
          <w:szCs w:val="20"/>
        </w:rPr>
        <w:t xml:space="preserve">nın Dolar karşısında büyük ölçüde değerlenmesi </w:t>
      </w:r>
      <w:r w:rsidR="00BE240A" w:rsidRPr="0027354C">
        <w:rPr>
          <w:rFonts w:ascii="Arial" w:hAnsi="Arial" w:cs="Arial"/>
          <w:sz w:val="20"/>
          <w:szCs w:val="20"/>
        </w:rPr>
        <w:t xml:space="preserve">de </w:t>
      </w:r>
      <w:r w:rsidRPr="0027354C">
        <w:rPr>
          <w:rFonts w:ascii="Arial" w:hAnsi="Arial" w:cs="Arial"/>
          <w:sz w:val="20"/>
          <w:szCs w:val="20"/>
        </w:rPr>
        <w:t>eklenince</w:t>
      </w:r>
      <w:r w:rsidR="0040699C" w:rsidRPr="0027354C">
        <w:rPr>
          <w:rFonts w:ascii="Arial" w:hAnsi="Arial" w:cs="Arial"/>
          <w:sz w:val="20"/>
          <w:szCs w:val="20"/>
        </w:rPr>
        <w:t>,</w:t>
      </w:r>
      <w:r w:rsidRPr="0027354C">
        <w:rPr>
          <w:rFonts w:ascii="Arial" w:hAnsi="Arial" w:cs="Arial"/>
          <w:sz w:val="20"/>
          <w:szCs w:val="20"/>
        </w:rPr>
        <w:t xml:space="preserve"> kişi başına gelir artışı Dolar cinsinden büyük sıçrama gösterdi.</w:t>
      </w:r>
      <w:r w:rsidR="00450268" w:rsidRPr="0027354C">
        <w:rPr>
          <w:rFonts w:ascii="Arial" w:hAnsi="Arial" w:cs="Arial"/>
          <w:sz w:val="20"/>
          <w:szCs w:val="20"/>
        </w:rPr>
        <w:t xml:space="preserve"> </w:t>
      </w:r>
      <w:r w:rsidR="008F6B9F" w:rsidRPr="0027354C">
        <w:rPr>
          <w:rFonts w:ascii="Arial" w:hAnsi="Arial" w:cs="Arial"/>
          <w:sz w:val="20"/>
          <w:szCs w:val="20"/>
        </w:rPr>
        <w:t>GSYH’ın azaldığı (negatif büyüme) küresel kriz dönemini bir yana bırakırsak krizden güçlü çıkış yıllarını oluşturan 2010-2011 döneminde</w:t>
      </w:r>
      <w:r w:rsidR="00450268" w:rsidRPr="0027354C">
        <w:rPr>
          <w:rFonts w:ascii="Arial" w:hAnsi="Arial" w:cs="Arial"/>
          <w:sz w:val="20"/>
          <w:szCs w:val="20"/>
        </w:rPr>
        <w:t xml:space="preserve"> yüksek </w:t>
      </w:r>
      <w:r w:rsidR="008F6B9F" w:rsidRPr="0027354C">
        <w:rPr>
          <w:rFonts w:ascii="Arial" w:hAnsi="Arial" w:cs="Arial"/>
          <w:sz w:val="20"/>
          <w:szCs w:val="20"/>
        </w:rPr>
        <w:t xml:space="preserve">kişi başı gelir artışına </w:t>
      </w:r>
      <w:r w:rsidR="00450268" w:rsidRPr="0027354C">
        <w:rPr>
          <w:rFonts w:ascii="Arial" w:hAnsi="Arial" w:cs="Arial"/>
          <w:sz w:val="20"/>
          <w:szCs w:val="20"/>
        </w:rPr>
        <w:t>istihdam oranı ile emek verimlili</w:t>
      </w:r>
      <w:r w:rsidR="00456FCA" w:rsidRPr="0027354C">
        <w:rPr>
          <w:rFonts w:ascii="Arial" w:hAnsi="Arial" w:cs="Arial"/>
          <w:sz w:val="20"/>
          <w:szCs w:val="20"/>
        </w:rPr>
        <w:t>ğinin</w:t>
      </w:r>
      <w:r w:rsidR="00450268" w:rsidRPr="0027354C">
        <w:rPr>
          <w:rFonts w:ascii="Arial" w:hAnsi="Arial" w:cs="Arial"/>
          <w:sz w:val="20"/>
          <w:szCs w:val="20"/>
        </w:rPr>
        <w:t xml:space="preserve"> </w:t>
      </w:r>
      <w:r w:rsidR="00456FCA" w:rsidRPr="0027354C">
        <w:rPr>
          <w:rFonts w:ascii="Arial" w:hAnsi="Arial" w:cs="Arial"/>
          <w:sz w:val="20"/>
          <w:szCs w:val="20"/>
        </w:rPr>
        <w:t xml:space="preserve">aşağı yukarı eşit </w:t>
      </w:r>
      <w:r w:rsidR="00450268" w:rsidRPr="0027354C">
        <w:rPr>
          <w:rFonts w:ascii="Arial" w:hAnsi="Arial" w:cs="Arial"/>
          <w:sz w:val="20"/>
          <w:szCs w:val="20"/>
        </w:rPr>
        <w:t>katkı yaptı</w:t>
      </w:r>
      <w:r w:rsidR="00456FCA" w:rsidRPr="0027354C">
        <w:rPr>
          <w:rFonts w:ascii="Arial" w:hAnsi="Arial" w:cs="Arial"/>
          <w:sz w:val="20"/>
          <w:szCs w:val="20"/>
        </w:rPr>
        <w:t>ğı görülüyor</w:t>
      </w:r>
      <w:r w:rsidR="00450268" w:rsidRPr="0027354C">
        <w:rPr>
          <w:rFonts w:ascii="Arial" w:hAnsi="Arial" w:cs="Arial"/>
          <w:sz w:val="20"/>
          <w:szCs w:val="20"/>
        </w:rPr>
        <w:t>. Bun</w:t>
      </w:r>
      <w:r w:rsidR="001A6364" w:rsidRPr="0027354C">
        <w:rPr>
          <w:rFonts w:ascii="Arial" w:hAnsi="Arial" w:cs="Arial"/>
          <w:sz w:val="20"/>
          <w:szCs w:val="20"/>
        </w:rPr>
        <w:t>a karş</w:t>
      </w:r>
      <w:r w:rsidR="008F6B9F" w:rsidRPr="0027354C">
        <w:rPr>
          <w:rFonts w:ascii="Arial" w:hAnsi="Arial" w:cs="Arial"/>
          <w:sz w:val="20"/>
          <w:szCs w:val="20"/>
        </w:rPr>
        <w:t>ı</w:t>
      </w:r>
      <w:r w:rsidR="001A6364" w:rsidRPr="0027354C">
        <w:rPr>
          <w:rFonts w:ascii="Arial" w:hAnsi="Arial" w:cs="Arial"/>
          <w:sz w:val="20"/>
          <w:szCs w:val="20"/>
        </w:rPr>
        <w:t>lık</w:t>
      </w:r>
      <w:r w:rsidR="00F54F38" w:rsidRPr="0027354C">
        <w:rPr>
          <w:rFonts w:ascii="Arial" w:hAnsi="Arial" w:cs="Arial"/>
          <w:sz w:val="20"/>
          <w:szCs w:val="20"/>
        </w:rPr>
        <w:t>,</w:t>
      </w:r>
      <w:r w:rsidR="001A6364" w:rsidRPr="0027354C">
        <w:rPr>
          <w:rFonts w:ascii="Arial" w:hAnsi="Arial" w:cs="Arial"/>
          <w:sz w:val="20"/>
          <w:szCs w:val="20"/>
        </w:rPr>
        <w:t xml:space="preserve"> </w:t>
      </w:r>
      <w:r w:rsidR="00F54F38" w:rsidRPr="0027354C">
        <w:rPr>
          <w:rFonts w:ascii="Arial" w:hAnsi="Arial" w:cs="Arial"/>
          <w:sz w:val="20"/>
          <w:szCs w:val="20"/>
        </w:rPr>
        <w:t>derinleşen</w:t>
      </w:r>
      <w:r w:rsidR="008F6B9F" w:rsidRPr="0027354C">
        <w:rPr>
          <w:rFonts w:ascii="Arial" w:hAnsi="Arial" w:cs="Arial"/>
          <w:sz w:val="20"/>
          <w:szCs w:val="20"/>
        </w:rPr>
        <w:t xml:space="preserve"> makroekonomik dengesizlikleri gidermek amacıyla  2012 yılından itibaren uygulanmaya başla</w:t>
      </w:r>
      <w:r w:rsidR="00F54F38" w:rsidRPr="0027354C">
        <w:rPr>
          <w:rFonts w:ascii="Arial" w:hAnsi="Arial" w:cs="Arial"/>
          <w:sz w:val="20"/>
          <w:szCs w:val="20"/>
        </w:rPr>
        <w:t>n</w:t>
      </w:r>
      <w:r w:rsidR="008F6B9F" w:rsidRPr="0027354C">
        <w:rPr>
          <w:rFonts w:ascii="Arial" w:hAnsi="Arial" w:cs="Arial"/>
          <w:sz w:val="20"/>
          <w:szCs w:val="20"/>
        </w:rPr>
        <w:t xml:space="preserve">an “dengeli büyüme” politikaları sonucu </w:t>
      </w:r>
      <w:r w:rsidR="00AE518A" w:rsidRPr="0027354C">
        <w:rPr>
          <w:rFonts w:ascii="Arial" w:hAnsi="Arial" w:cs="Arial"/>
          <w:sz w:val="20"/>
          <w:szCs w:val="20"/>
        </w:rPr>
        <w:t>büyüme oranlarının önemli ölçüde düşerek yüzde 2 ile 4 arasına gerilediğini, bu düşüşe paralel olarak</w:t>
      </w:r>
      <w:r w:rsidR="00C93926">
        <w:rPr>
          <w:rFonts w:ascii="Arial" w:hAnsi="Arial" w:cs="Arial"/>
          <w:sz w:val="20"/>
          <w:szCs w:val="20"/>
        </w:rPr>
        <w:t>,</w:t>
      </w:r>
      <w:r w:rsidR="00AE518A" w:rsidRPr="0027354C">
        <w:rPr>
          <w:rFonts w:ascii="Arial" w:hAnsi="Arial" w:cs="Arial"/>
          <w:sz w:val="20"/>
          <w:szCs w:val="20"/>
        </w:rPr>
        <w:t xml:space="preserve"> kişi başına gelir artışlarının</w:t>
      </w:r>
      <w:r w:rsidR="00C93926">
        <w:rPr>
          <w:rFonts w:ascii="Arial" w:hAnsi="Arial" w:cs="Arial"/>
          <w:sz w:val="20"/>
          <w:szCs w:val="20"/>
        </w:rPr>
        <w:t xml:space="preserve"> </w:t>
      </w:r>
      <w:r w:rsidR="00AE518A" w:rsidRPr="0027354C">
        <w:rPr>
          <w:rFonts w:ascii="Arial" w:hAnsi="Arial" w:cs="Arial"/>
          <w:sz w:val="20"/>
          <w:szCs w:val="20"/>
        </w:rPr>
        <w:t>da çok düşük düzeylere indiğini biliyoruz. Bu dönemde kişi başı gelir artışlarında emek verimliliğinin katkısının oldukça değişken bir seyir izlediği, önce azaltıcı etki yaptığı, ardından toparlanarak sınırlı ölçüde artırıcı katkı yaptığını gözlemliyoruz. Son dört yılda</w:t>
      </w:r>
      <w:r w:rsidR="00307ACF">
        <w:rPr>
          <w:rFonts w:ascii="Arial" w:hAnsi="Arial" w:cs="Arial"/>
          <w:sz w:val="20"/>
          <w:szCs w:val="20"/>
        </w:rPr>
        <w:t>, toplam</w:t>
      </w:r>
      <w:r w:rsidR="00AE518A" w:rsidRPr="0027354C">
        <w:rPr>
          <w:rFonts w:ascii="Arial" w:hAnsi="Arial" w:cs="Arial"/>
          <w:sz w:val="20"/>
          <w:szCs w:val="20"/>
        </w:rPr>
        <w:t xml:space="preserve"> emek verimlil</w:t>
      </w:r>
      <w:r w:rsidR="008B7607">
        <w:rPr>
          <w:rFonts w:ascii="Arial" w:hAnsi="Arial" w:cs="Arial"/>
          <w:sz w:val="20"/>
          <w:szCs w:val="20"/>
        </w:rPr>
        <w:t>i</w:t>
      </w:r>
      <w:r w:rsidR="0084126A" w:rsidRPr="0027354C">
        <w:rPr>
          <w:rFonts w:ascii="Arial" w:hAnsi="Arial" w:cs="Arial"/>
          <w:sz w:val="20"/>
          <w:szCs w:val="20"/>
        </w:rPr>
        <w:t>ği</w:t>
      </w:r>
      <w:r w:rsidR="00AE518A" w:rsidRPr="0027354C">
        <w:rPr>
          <w:rFonts w:ascii="Arial" w:hAnsi="Arial" w:cs="Arial"/>
          <w:sz w:val="20"/>
          <w:szCs w:val="20"/>
        </w:rPr>
        <w:t xml:space="preserve"> artışlarının çok düşük kaldığı, bu nedenle kişi başına gelir</w:t>
      </w:r>
      <w:r w:rsidR="00307ACF">
        <w:rPr>
          <w:rFonts w:ascii="Arial" w:hAnsi="Arial" w:cs="Arial"/>
          <w:sz w:val="20"/>
          <w:szCs w:val="20"/>
        </w:rPr>
        <w:t xml:space="preserve"> artışlarının da düşük seyrettiğini</w:t>
      </w:r>
      <w:r w:rsidR="00AE518A" w:rsidRPr="0027354C">
        <w:rPr>
          <w:rFonts w:ascii="Arial" w:hAnsi="Arial" w:cs="Arial"/>
          <w:sz w:val="20"/>
          <w:szCs w:val="20"/>
        </w:rPr>
        <w:t xml:space="preserve"> vurgulamak istiyoruz. </w:t>
      </w:r>
    </w:p>
    <w:p w:rsidR="00C36B17" w:rsidRPr="0027354C" w:rsidRDefault="00C36B17" w:rsidP="0027354C">
      <w:pPr>
        <w:spacing w:line="360" w:lineRule="auto"/>
        <w:jc w:val="both"/>
        <w:rPr>
          <w:rFonts w:ascii="Arial" w:hAnsi="Arial" w:cs="Arial"/>
          <w:sz w:val="20"/>
          <w:szCs w:val="20"/>
        </w:rPr>
      </w:pPr>
    </w:p>
    <w:p w:rsidR="00C36B17" w:rsidRPr="0027354C" w:rsidRDefault="00C36B17" w:rsidP="00C36B17">
      <w:pPr>
        <w:spacing w:line="360" w:lineRule="auto"/>
        <w:jc w:val="both"/>
        <w:rPr>
          <w:rFonts w:ascii="Arial" w:hAnsi="Arial" w:cs="Arial"/>
          <w:b/>
          <w:sz w:val="20"/>
          <w:szCs w:val="20"/>
        </w:rPr>
      </w:pPr>
      <w:r>
        <w:rPr>
          <w:rFonts w:ascii="Arial" w:hAnsi="Arial" w:cs="Arial"/>
          <w:b/>
          <w:sz w:val="20"/>
          <w:szCs w:val="20"/>
        </w:rPr>
        <w:t>Giriş</w:t>
      </w:r>
    </w:p>
    <w:p w:rsidR="00C36B17" w:rsidRDefault="00C36B17" w:rsidP="00C36B17">
      <w:pPr>
        <w:spacing w:line="360" w:lineRule="auto"/>
        <w:jc w:val="both"/>
        <w:rPr>
          <w:rFonts w:ascii="Arial" w:hAnsi="Arial" w:cs="Arial"/>
          <w:sz w:val="20"/>
          <w:szCs w:val="20"/>
        </w:rPr>
      </w:pPr>
    </w:p>
    <w:p w:rsidR="00C36B17" w:rsidRPr="0027354C" w:rsidRDefault="00C36B17" w:rsidP="00C36B17">
      <w:pPr>
        <w:spacing w:line="360" w:lineRule="auto"/>
        <w:jc w:val="both"/>
        <w:rPr>
          <w:rFonts w:ascii="Arial" w:hAnsi="Arial" w:cs="Arial"/>
          <w:sz w:val="20"/>
          <w:szCs w:val="20"/>
        </w:rPr>
      </w:pPr>
      <w:r w:rsidRPr="0027354C">
        <w:rPr>
          <w:rFonts w:ascii="Arial" w:hAnsi="Arial" w:cs="Arial"/>
          <w:sz w:val="20"/>
          <w:szCs w:val="20"/>
        </w:rPr>
        <w:t>Son dönemde “Orta Gelir Tuzağı” en çok tartışılan konuların arasında yer aldı. 2010 yılından itibaren cari Dolar cinsinden 10.000 Dolar civarında takılı kalan kişi başına gelir bu tartışmanın temel kaynağını oluşturdu. Kişi başına yıllık gelir artışlarının sabit fiyatlarla 2012-2015 döneminde yüzde 0,7 ile yüzde 2,7 arasına sıkışması, aynı zamanda da Türk Lirasının önemli ölçüde değer kaybetmesi, kişi başına gelirin hızlı bir artış döneminin ardından yerinde saymasına yol açtı. Hükümet fazlasıyla iyimser bir yaklaşımla 2023’te kişi başına gelirin 25.000 Dolara y</w:t>
      </w:r>
      <w:bookmarkStart w:id="0" w:name="_GoBack"/>
      <w:bookmarkEnd w:id="0"/>
      <w:r w:rsidRPr="0027354C">
        <w:rPr>
          <w:rFonts w:ascii="Arial" w:hAnsi="Arial" w:cs="Arial"/>
          <w:sz w:val="20"/>
          <w:szCs w:val="20"/>
        </w:rPr>
        <w:t xml:space="preserve">ükseleceğini iddia etmeye devam ederken, uluslararası kuruluşlar orta vadeli büyüme tahminlerini yüzde 4’ün altında tutmaya devam ediyor. Bu düşük tahminlerin başlıca gerekçesi verimlik artışlarının durulması ve bu alanda darboğazların mevcudiyeti (OECD, Economic Surveys: Turkey, 2016). Türkiye ekonomisinde önümüzdeki dönemde verimlik artışlarının büyüme katkısı düşük düzeyde kaldığı sürece Orta Gelir Tuzağı endişeleri güncelliğini koruyacaktır. </w:t>
      </w:r>
    </w:p>
    <w:p w:rsidR="00C36B17" w:rsidRPr="0027354C" w:rsidRDefault="00C36B17" w:rsidP="00C36B17">
      <w:pPr>
        <w:spacing w:line="360" w:lineRule="auto"/>
        <w:jc w:val="both"/>
        <w:rPr>
          <w:rFonts w:ascii="Arial" w:hAnsi="Arial" w:cs="Arial"/>
          <w:sz w:val="20"/>
          <w:szCs w:val="20"/>
        </w:rPr>
      </w:pPr>
    </w:p>
    <w:p w:rsidR="00C36B17" w:rsidRDefault="00C36B17" w:rsidP="00C36B17">
      <w:pPr>
        <w:spacing w:line="360" w:lineRule="auto"/>
        <w:jc w:val="both"/>
        <w:rPr>
          <w:rFonts w:ascii="Arial" w:hAnsi="Arial" w:cs="Arial"/>
          <w:sz w:val="20"/>
          <w:szCs w:val="20"/>
        </w:rPr>
      </w:pPr>
      <w:r w:rsidRPr="0027354C">
        <w:rPr>
          <w:rFonts w:ascii="Arial" w:hAnsi="Arial" w:cs="Arial"/>
          <w:sz w:val="20"/>
          <w:szCs w:val="20"/>
        </w:rPr>
        <w:t>Üçüncü güncellemesini yaptığımız</w:t>
      </w:r>
      <w:r w:rsidRPr="0027354C">
        <w:rPr>
          <w:rStyle w:val="FootnoteReference"/>
          <w:rFonts w:ascii="Arial" w:hAnsi="Arial" w:cs="Arial"/>
          <w:sz w:val="20"/>
          <w:szCs w:val="20"/>
        </w:rPr>
        <w:footnoteReference w:id="4"/>
      </w:r>
      <w:r w:rsidRPr="0027354C">
        <w:rPr>
          <w:rStyle w:val="FootnoteReference"/>
          <w:rFonts w:ascii="Arial" w:hAnsi="Arial" w:cs="Arial"/>
          <w:sz w:val="20"/>
          <w:szCs w:val="20"/>
        </w:rPr>
        <w:footnoteReference w:id="5"/>
      </w:r>
      <w:r w:rsidRPr="0027354C">
        <w:rPr>
          <w:rFonts w:ascii="Arial" w:hAnsi="Arial" w:cs="Arial"/>
          <w:sz w:val="20"/>
          <w:szCs w:val="20"/>
        </w:rPr>
        <w:t xml:space="preserve"> bu araştırma notunda 2005(4)-2016(2) döneminde kişi başı GSYH artışlarında emek verimliliğinin büyük değişim gösteren payını irdeleyerek Orta Gelir Tuzağı tartışmasına </w:t>
      </w:r>
      <w:r w:rsidRPr="0027354C">
        <w:rPr>
          <w:rFonts w:ascii="Arial" w:hAnsi="Arial" w:cs="Arial"/>
          <w:sz w:val="20"/>
          <w:szCs w:val="20"/>
        </w:rPr>
        <w:lastRenderedPageBreak/>
        <w:t xml:space="preserve">katkı yapmayı amaçlıyoruz. Bu payın seyrini belirlemek için gelir artışını emek verimliliği, istihdam oranı ve çalışabilir nüfus oranı bileşenlerine ayrıştırıyoruz (Bkz. </w:t>
      </w:r>
      <w:r w:rsidRPr="00860C3F">
        <w:rPr>
          <w:rFonts w:ascii="Arial" w:hAnsi="Arial" w:cs="Arial"/>
          <w:bCs/>
          <w:sz w:val="20"/>
          <w:szCs w:val="20"/>
        </w:rPr>
        <w:t>“</w:t>
      </w:r>
      <w:r w:rsidRPr="00860C3F">
        <w:rPr>
          <w:rFonts w:ascii="Arial" w:hAnsi="Arial" w:cs="Arial"/>
          <w:bCs/>
          <w:sz w:val="20"/>
          <w:szCs w:val="20"/>
        </w:rPr>
        <w:fldChar w:fldCharType="begin"/>
      </w:r>
      <w:r w:rsidRPr="00860C3F">
        <w:rPr>
          <w:rFonts w:ascii="Arial" w:hAnsi="Arial" w:cs="Arial"/>
          <w:bCs/>
          <w:sz w:val="20"/>
          <w:szCs w:val="20"/>
        </w:rPr>
        <w:instrText xml:space="preserve"> REF _Ref463530905 \h </w:instrText>
      </w:r>
      <w:r>
        <w:rPr>
          <w:rFonts w:ascii="Arial" w:hAnsi="Arial" w:cs="Arial"/>
          <w:bCs/>
          <w:sz w:val="20"/>
          <w:szCs w:val="20"/>
        </w:rPr>
        <w:instrText xml:space="preserve"> \* MERGEFORMAT </w:instrText>
      </w:r>
      <w:r w:rsidRPr="00860C3F">
        <w:rPr>
          <w:rFonts w:ascii="Arial" w:hAnsi="Arial" w:cs="Arial"/>
          <w:bCs/>
          <w:sz w:val="20"/>
          <w:szCs w:val="20"/>
        </w:rPr>
      </w:r>
      <w:r w:rsidRPr="00860C3F">
        <w:rPr>
          <w:rFonts w:ascii="Arial" w:hAnsi="Arial" w:cs="Arial"/>
          <w:bCs/>
          <w:sz w:val="20"/>
          <w:szCs w:val="20"/>
        </w:rPr>
        <w:fldChar w:fldCharType="separate"/>
      </w:r>
      <w:r w:rsidRPr="00860C3F">
        <w:rPr>
          <w:rFonts w:ascii="Arial" w:hAnsi="Arial" w:cs="Arial"/>
          <w:bCs/>
          <w:sz w:val="20"/>
          <w:szCs w:val="20"/>
        </w:rPr>
        <w:t>Kutu 1.  Kişi başına gelir artışının bileşenlerine ayrıştırılması</w:t>
      </w:r>
      <w:r w:rsidRPr="00860C3F">
        <w:rPr>
          <w:rFonts w:ascii="Arial" w:hAnsi="Arial" w:cs="Arial"/>
          <w:bCs/>
          <w:sz w:val="20"/>
          <w:szCs w:val="20"/>
        </w:rPr>
        <w:fldChar w:fldCharType="end"/>
      </w:r>
      <w:r>
        <w:rPr>
          <w:rFonts w:ascii="Arial" w:hAnsi="Arial" w:cs="Arial"/>
          <w:sz w:val="20"/>
          <w:szCs w:val="20"/>
        </w:rPr>
        <w:t>”</w:t>
      </w:r>
      <w:r w:rsidRPr="0027354C">
        <w:rPr>
          <w:rFonts w:ascii="Arial" w:hAnsi="Arial" w:cs="Arial"/>
          <w:sz w:val="20"/>
          <w:szCs w:val="20"/>
        </w:rPr>
        <w:t>).</w:t>
      </w:r>
    </w:p>
    <w:p w:rsidR="00D47B52" w:rsidRPr="0027354C" w:rsidRDefault="00D47B52" w:rsidP="0027354C">
      <w:pPr>
        <w:spacing w:line="360" w:lineRule="auto"/>
        <w:jc w:val="both"/>
        <w:rPr>
          <w:rFonts w:ascii="Arial" w:hAnsi="Arial" w:cs="Arial"/>
          <w:b/>
          <w:sz w:val="20"/>
          <w:szCs w:val="20"/>
          <w:highlight w:val="yellow"/>
        </w:rPr>
      </w:pPr>
    </w:p>
    <w:p w:rsidR="00AE2FAA" w:rsidRPr="0027354C" w:rsidRDefault="007A4254" w:rsidP="0027354C">
      <w:pPr>
        <w:spacing w:line="360" w:lineRule="auto"/>
        <w:jc w:val="both"/>
        <w:rPr>
          <w:rFonts w:ascii="Arial" w:hAnsi="Arial" w:cs="Arial"/>
          <w:b/>
          <w:sz w:val="20"/>
          <w:szCs w:val="20"/>
        </w:rPr>
      </w:pPr>
      <w:r w:rsidRPr="0027354C">
        <w:rPr>
          <w:rFonts w:ascii="Arial" w:hAnsi="Arial" w:cs="Arial"/>
          <w:b/>
          <w:sz w:val="20"/>
          <w:szCs w:val="20"/>
        </w:rPr>
        <w:t>Emek verimliliği-büyüme</w:t>
      </w:r>
      <w:r w:rsidR="007D6E1D" w:rsidRPr="0027354C">
        <w:rPr>
          <w:rFonts w:ascii="Arial" w:hAnsi="Arial" w:cs="Arial"/>
          <w:b/>
          <w:sz w:val="20"/>
          <w:szCs w:val="20"/>
        </w:rPr>
        <w:t xml:space="preserve"> performansında</w:t>
      </w:r>
      <w:r w:rsidR="00806624" w:rsidRPr="0027354C">
        <w:rPr>
          <w:rFonts w:ascii="Arial" w:hAnsi="Arial" w:cs="Arial"/>
          <w:b/>
          <w:sz w:val="20"/>
          <w:szCs w:val="20"/>
        </w:rPr>
        <w:t xml:space="preserve"> </w:t>
      </w:r>
      <w:r w:rsidR="007D6E1D" w:rsidRPr="0027354C">
        <w:rPr>
          <w:rFonts w:ascii="Arial" w:hAnsi="Arial" w:cs="Arial"/>
          <w:b/>
          <w:sz w:val="20"/>
          <w:szCs w:val="20"/>
        </w:rPr>
        <w:t>dört</w:t>
      </w:r>
      <w:r w:rsidR="00AE2FAA" w:rsidRPr="0027354C">
        <w:rPr>
          <w:rFonts w:ascii="Arial" w:hAnsi="Arial" w:cs="Arial"/>
          <w:b/>
          <w:sz w:val="20"/>
          <w:szCs w:val="20"/>
        </w:rPr>
        <w:t xml:space="preserve"> farklı dönem</w:t>
      </w:r>
    </w:p>
    <w:p w:rsidR="00AE2FAA" w:rsidRPr="0027354C" w:rsidRDefault="00AE2FAA" w:rsidP="0027354C">
      <w:pPr>
        <w:spacing w:line="360" w:lineRule="auto"/>
        <w:jc w:val="both"/>
        <w:rPr>
          <w:rFonts w:ascii="Arial" w:hAnsi="Arial" w:cs="Arial"/>
          <w:b/>
          <w:sz w:val="20"/>
          <w:szCs w:val="20"/>
          <w:highlight w:val="yellow"/>
        </w:rPr>
      </w:pPr>
    </w:p>
    <w:p w:rsidR="00AE2FAA" w:rsidRDefault="00013729" w:rsidP="0027354C">
      <w:pPr>
        <w:spacing w:line="360" w:lineRule="auto"/>
        <w:jc w:val="both"/>
        <w:rPr>
          <w:rFonts w:ascii="Arial" w:hAnsi="Arial" w:cs="Arial"/>
          <w:sz w:val="20"/>
          <w:szCs w:val="20"/>
        </w:rPr>
      </w:pPr>
      <w:r w:rsidRPr="0027354C">
        <w:rPr>
          <w:rFonts w:ascii="Arial" w:hAnsi="Arial" w:cs="Arial"/>
          <w:sz w:val="20"/>
          <w:szCs w:val="20"/>
        </w:rPr>
        <w:t>Emek verimlilğinin</w:t>
      </w:r>
      <w:r w:rsidR="008C761C" w:rsidRPr="0027354C">
        <w:rPr>
          <w:rFonts w:ascii="Arial" w:hAnsi="Arial" w:cs="Arial"/>
          <w:sz w:val="20"/>
          <w:szCs w:val="20"/>
        </w:rPr>
        <w:t xml:space="preserve"> kişi başına gelir artışlarına yaptığı katkıyı belirlemek için kişi başı gelir artışını</w:t>
      </w:r>
      <w:r w:rsidR="00325473" w:rsidRPr="0027354C">
        <w:rPr>
          <w:rFonts w:ascii="Arial" w:hAnsi="Arial" w:cs="Arial"/>
          <w:sz w:val="20"/>
          <w:szCs w:val="20"/>
        </w:rPr>
        <w:t xml:space="preserve"> üç bileşene ayr</w:t>
      </w:r>
      <w:r w:rsidR="008C761C" w:rsidRPr="0027354C">
        <w:rPr>
          <w:rFonts w:ascii="Arial" w:hAnsi="Arial" w:cs="Arial"/>
          <w:sz w:val="20"/>
          <w:szCs w:val="20"/>
        </w:rPr>
        <w:t>ıştırabiliriz</w:t>
      </w:r>
      <w:r w:rsidR="00AE2FAA" w:rsidRPr="0027354C">
        <w:rPr>
          <w:rFonts w:ascii="Arial" w:hAnsi="Arial" w:cs="Arial"/>
          <w:sz w:val="20"/>
          <w:szCs w:val="20"/>
        </w:rPr>
        <w:t xml:space="preserve">: 1) </w:t>
      </w:r>
      <w:r w:rsidR="008C761C" w:rsidRPr="0027354C">
        <w:rPr>
          <w:rFonts w:ascii="Arial" w:hAnsi="Arial" w:cs="Arial"/>
          <w:sz w:val="20"/>
          <w:szCs w:val="20"/>
        </w:rPr>
        <w:t>GSYH değişimi</w:t>
      </w:r>
      <w:r w:rsidR="00116DFB" w:rsidRPr="0027354C">
        <w:rPr>
          <w:rFonts w:ascii="Arial" w:hAnsi="Arial" w:cs="Arial"/>
          <w:sz w:val="20"/>
          <w:szCs w:val="20"/>
        </w:rPr>
        <w:t xml:space="preserve"> / İstihdam değişimi tarafından</w:t>
      </w:r>
      <w:r w:rsidR="008C761C" w:rsidRPr="0027354C">
        <w:rPr>
          <w:rFonts w:ascii="Arial" w:hAnsi="Arial" w:cs="Arial"/>
          <w:sz w:val="20"/>
          <w:szCs w:val="20"/>
        </w:rPr>
        <w:t xml:space="preserve"> temsil ed</w:t>
      </w:r>
      <w:r w:rsidR="00116DFB" w:rsidRPr="0027354C">
        <w:rPr>
          <w:rFonts w:ascii="Arial" w:hAnsi="Arial" w:cs="Arial"/>
          <w:sz w:val="20"/>
          <w:szCs w:val="20"/>
        </w:rPr>
        <w:t>ilen</w:t>
      </w:r>
      <w:r w:rsidR="008C761C" w:rsidRPr="0027354C">
        <w:rPr>
          <w:rFonts w:ascii="Arial" w:hAnsi="Arial" w:cs="Arial"/>
          <w:sz w:val="20"/>
          <w:szCs w:val="20"/>
        </w:rPr>
        <w:t xml:space="preserve"> emek verimliliği değişim</w:t>
      </w:r>
      <w:r w:rsidR="00116DFB" w:rsidRPr="0027354C">
        <w:rPr>
          <w:rFonts w:ascii="Arial" w:hAnsi="Arial" w:cs="Arial"/>
          <w:sz w:val="20"/>
          <w:szCs w:val="20"/>
        </w:rPr>
        <w:t xml:space="preserve">i, 2) İstihdam değişimi / </w:t>
      </w:r>
      <w:r w:rsidR="00AE2FAA" w:rsidRPr="0027354C">
        <w:rPr>
          <w:rFonts w:ascii="Arial" w:hAnsi="Arial" w:cs="Arial"/>
          <w:sz w:val="20"/>
          <w:szCs w:val="20"/>
        </w:rPr>
        <w:t>Çalışabilir nüfus</w:t>
      </w:r>
      <w:r w:rsidR="00116DFB" w:rsidRPr="0027354C">
        <w:rPr>
          <w:rFonts w:ascii="Arial" w:hAnsi="Arial" w:cs="Arial"/>
          <w:sz w:val="20"/>
          <w:szCs w:val="20"/>
        </w:rPr>
        <w:t xml:space="preserve"> değişimi tarafından temsil edilen istihdam oranı değişimi,</w:t>
      </w:r>
      <w:r w:rsidR="00AE2FAA" w:rsidRPr="0027354C">
        <w:rPr>
          <w:rFonts w:ascii="Arial" w:hAnsi="Arial" w:cs="Arial"/>
          <w:sz w:val="20"/>
          <w:szCs w:val="20"/>
        </w:rPr>
        <w:t xml:space="preserve"> </w:t>
      </w:r>
      <w:r w:rsidR="00116DFB" w:rsidRPr="0027354C">
        <w:rPr>
          <w:rFonts w:ascii="Arial" w:hAnsi="Arial" w:cs="Arial"/>
          <w:sz w:val="20"/>
          <w:szCs w:val="20"/>
        </w:rPr>
        <w:t>3</w:t>
      </w:r>
      <w:r w:rsidR="00AE2FAA" w:rsidRPr="0027354C">
        <w:rPr>
          <w:rFonts w:ascii="Arial" w:hAnsi="Arial" w:cs="Arial"/>
          <w:sz w:val="20"/>
          <w:szCs w:val="20"/>
        </w:rPr>
        <w:t>) Çalışabilir nüfus</w:t>
      </w:r>
      <w:r w:rsidR="00116DFB" w:rsidRPr="0027354C">
        <w:rPr>
          <w:rFonts w:ascii="Arial" w:hAnsi="Arial" w:cs="Arial"/>
          <w:sz w:val="20"/>
          <w:szCs w:val="20"/>
        </w:rPr>
        <w:t xml:space="preserve"> değişimi / toplam</w:t>
      </w:r>
      <w:r w:rsidR="00AE2FAA" w:rsidRPr="0027354C">
        <w:rPr>
          <w:rFonts w:ascii="Arial" w:hAnsi="Arial" w:cs="Arial"/>
          <w:sz w:val="20"/>
          <w:szCs w:val="20"/>
        </w:rPr>
        <w:t xml:space="preserve"> nüfus değişim</w:t>
      </w:r>
      <w:r w:rsidR="00A11F08" w:rsidRPr="0027354C">
        <w:rPr>
          <w:rFonts w:ascii="Arial" w:hAnsi="Arial" w:cs="Arial"/>
          <w:sz w:val="20"/>
          <w:szCs w:val="20"/>
        </w:rPr>
        <w:t>i tara</w:t>
      </w:r>
      <w:r w:rsidR="00BF4E3A" w:rsidRPr="0027354C">
        <w:rPr>
          <w:rFonts w:ascii="Arial" w:hAnsi="Arial" w:cs="Arial"/>
          <w:sz w:val="20"/>
          <w:szCs w:val="20"/>
        </w:rPr>
        <w:t>f</w:t>
      </w:r>
      <w:r w:rsidR="00A11F08" w:rsidRPr="0027354C">
        <w:rPr>
          <w:rFonts w:ascii="Arial" w:hAnsi="Arial" w:cs="Arial"/>
          <w:sz w:val="20"/>
          <w:szCs w:val="20"/>
        </w:rPr>
        <w:t>ından temsil edilen çalışabilir nüfus oranı değişimi.</w:t>
      </w:r>
      <w:r w:rsidR="003E4BA0" w:rsidRPr="0027354C">
        <w:rPr>
          <w:rFonts w:ascii="Arial" w:hAnsi="Arial" w:cs="Arial"/>
          <w:sz w:val="20"/>
          <w:szCs w:val="20"/>
        </w:rPr>
        <w:t xml:space="preserve"> </w:t>
      </w:r>
      <w:r w:rsidR="00AE2FAA" w:rsidRPr="0027354C">
        <w:rPr>
          <w:rFonts w:ascii="Arial" w:hAnsi="Arial" w:cs="Arial"/>
          <w:sz w:val="20"/>
          <w:szCs w:val="20"/>
        </w:rPr>
        <w:t xml:space="preserve">(Matematiksel tanımlama için Bkz. </w:t>
      </w:r>
      <w:r w:rsidR="00860C3F">
        <w:rPr>
          <w:rFonts w:ascii="Arial" w:hAnsi="Arial" w:cs="Arial"/>
          <w:sz w:val="20"/>
          <w:szCs w:val="20"/>
        </w:rPr>
        <w:fldChar w:fldCharType="begin"/>
      </w:r>
      <w:r w:rsidR="00860C3F">
        <w:rPr>
          <w:rFonts w:ascii="Arial" w:hAnsi="Arial" w:cs="Arial"/>
          <w:sz w:val="20"/>
          <w:szCs w:val="20"/>
        </w:rPr>
        <w:instrText xml:space="preserve"> REF _Ref463531014 \h  \* MERGEFORMAT </w:instrText>
      </w:r>
      <w:r w:rsidR="00860C3F">
        <w:rPr>
          <w:rFonts w:ascii="Arial" w:hAnsi="Arial" w:cs="Arial"/>
          <w:sz w:val="20"/>
          <w:szCs w:val="20"/>
        </w:rPr>
      </w:r>
      <w:r w:rsidR="00860C3F">
        <w:rPr>
          <w:rFonts w:ascii="Arial" w:hAnsi="Arial" w:cs="Arial"/>
          <w:sz w:val="20"/>
          <w:szCs w:val="20"/>
        </w:rPr>
        <w:fldChar w:fldCharType="separate"/>
      </w:r>
      <w:r w:rsidR="00860C3F" w:rsidRPr="00860C3F">
        <w:rPr>
          <w:rFonts w:ascii="Arial" w:hAnsi="Arial" w:cs="Arial"/>
          <w:sz w:val="20"/>
          <w:szCs w:val="20"/>
        </w:rPr>
        <w:t>Kutu 1</w:t>
      </w:r>
      <w:r w:rsidR="00860C3F">
        <w:rPr>
          <w:rFonts w:ascii="Arial" w:hAnsi="Arial" w:cs="Arial"/>
          <w:sz w:val="20"/>
          <w:szCs w:val="20"/>
        </w:rPr>
        <w:fldChar w:fldCharType="end"/>
      </w:r>
      <w:r w:rsidR="00860C3F">
        <w:rPr>
          <w:rFonts w:ascii="Arial" w:hAnsi="Arial" w:cs="Arial"/>
          <w:sz w:val="20"/>
          <w:szCs w:val="20"/>
        </w:rPr>
        <w:t>)</w:t>
      </w:r>
    </w:p>
    <w:p w:rsidR="00860C3F" w:rsidRPr="0027354C" w:rsidRDefault="00860C3F" w:rsidP="0027354C">
      <w:pPr>
        <w:spacing w:line="360" w:lineRule="auto"/>
        <w:jc w:val="both"/>
        <w:rPr>
          <w:rFonts w:ascii="Arial" w:hAnsi="Arial" w:cs="Arial"/>
          <w:sz w:val="20"/>
          <w:szCs w:val="20"/>
        </w:rPr>
      </w:pPr>
    </w:p>
    <w:p w:rsidR="00AE2FAA" w:rsidRPr="0027354C" w:rsidRDefault="00AE2FAA" w:rsidP="0027354C">
      <w:pPr>
        <w:spacing w:line="360" w:lineRule="auto"/>
        <w:jc w:val="both"/>
        <w:rPr>
          <w:rFonts w:ascii="Arial" w:hAnsi="Arial" w:cs="Arial"/>
          <w:sz w:val="20"/>
          <w:szCs w:val="20"/>
        </w:rPr>
      </w:pPr>
      <w:r w:rsidRPr="0027354C">
        <w:rPr>
          <w:rFonts w:ascii="Arial" w:hAnsi="Arial" w:cs="Arial"/>
          <w:sz w:val="20"/>
          <w:szCs w:val="20"/>
        </w:rPr>
        <w:t xml:space="preserve">Çalışabilir nüfusun </w:t>
      </w:r>
      <w:r w:rsidR="00A11F08" w:rsidRPr="0027354C">
        <w:rPr>
          <w:rFonts w:ascii="Arial" w:hAnsi="Arial" w:cs="Arial"/>
          <w:sz w:val="20"/>
          <w:szCs w:val="20"/>
        </w:rPr>
        <w:t xml:space="preserve">oranının kişi başına gelir artışına katkısı istikrarlı bir şekilde pozitif ama aynı zamanda oldukça sınırlıdır (Bkz. </w:t>
      </w:r>
      <w:r w:rsidR="00860C3F">
        <w:rPr>
          <w:rFonts w:ascii="Arial" w:hAnsi="Arial" w:cs="Arial"/>
          <w:sz w:val="20"/>
          <w:szCs w:val="20"/>
        </w:rPr>
        <w:fldChar w:fldCharType="begin"/>
      </w:r>
      <w:r w:rsidR="00860C3F">
        <w:rPr>
          <w:rFonts w:ascii="Arial" w:hAnsi="Arial" w:cs="Arial"/>
          <w:sz w:val="20"/>
          <w:szCs w:val="20"/>
        </w:rPr>
        <w:instrText xml:space="preserve"> REF _Ref463531039 \h  \* MERGEFORMAT </w:instrText>
      </w:r>
      <w:r w:rsidR="00860C3F">
        <w:rPr>
          <w:rFonts w:ascii="Arial" w:hAnsi="Arial" w:cs="Arial"/>
          <w:sz w:val="20"/>
          <w:szCs w:val="20"/>
        </w:rPr>
      </w:r>
      <w:r w:rsidR="00860C3F">
        <w:rPr>
          <w:rFonts w:ascii="Arial" w:hAnsi="Arial" w:cs="Arial"/>
          <w:sz w:val="20"/>
          <w:szCs w:val="20"/>
        </w:rPr>
        <w:fldChar w:fldCharType="separate"/>
      </w:r>
      <w:r w:rsidR="00860C3F" w:rsidRPr="00860C3F">
        <w:rPr>
          <w:rFonts w:ascii="Arial" w:hAnsi="Arial" w:cs="Arial"/>
          <w:sz w:val="20"/>
          <w:szCs w:val="20"/>
        </w:rPr>
        <w:t>Şekil 1</w:t>
      </w:r>
      <w:r w:rsidR="00860C3F">
        <w:rPr>
          <w:rFonts w:ascii="Arial" w:hAnsi="Arial" w:cs="Arial"/>
          <w:sz w:val="20"/>
          <w:szCs w:val="20"/>
        </w:rPr>
        <w:fldChar w:fldCharType="end"/>
      </w:r>
      <w:r w:rsidR="00860C3F">
        <w:rPr>
          <w:rFonts w:ascii="Arial" w:hAnsi="Arial" w:cs="Arial"/>
          <w:sz w:val="20"/>
          <w:szCs w:val="20"/>
        </w:rPr>
        <w:t xml:space="preserve"> </w:t>
      </w:r>
      <w:r w:rsidR="00A11F08" w:rsidRPr="0027354C">
        <w:rPr>
          <w:rFonts w:ascii="Arial" w:hAnsi="Arial" w:cs="Arial"/>
          <w:sz w:val="20"/>
          <w:szCs w:val="20"/>
        </w:rPr>
        <w:t>ve</w:t>
      </w:r>
      <w:r w:rsidR="00860C3F">
        <w:rPr>
          <w:rFonts w:ascii="Arial" w:hAnsi="Arial" w:cs="Arial"/>
          <w:sz w:val="20"/>
          <w:szCs w:val="20"/>
        </w:rPr>
        <w:t xml:space="preserve"> </w:t>
      </w:r>
      <w:r w:rsidR="00860C3F">
        <w:rPr>
          <w:rFonts w:ascii="Arial" w:hAnsi="Arial" w:cs="Arial"/>
          <w:sz w:val="20"/>
          <w:szCs w:val="20"/>
        </w:rPr>
        <w:fldChar w:fldCharType="begin"/>
      </w:r>
      <w:r w:rsidR="00860C3F">
        <w:rPr>
          <w:rFonts w:ascii="Arial" w:hAnsi="Arial" w:cs="Arial"/>
          <w:sz w:val="20"/>
          <w:szCs w:val="20"/>
        </w:rPr>
        <w:instrText xml:space="preserve"> REF _Ref463531047 \h  \* MERGEFORMAT </w:instrText>
      </w:r>
      <w:r w:rsidR="00860C3F">
        <w:rPr>
          <w:rFonts w:ascii="Arial" w:hAnsi="Arial" w:cs="Arial"/>
          <w:sz w:val="20"/>
          <w:szCs w:val="20"/>
        </w:rPr>
      </w:r>
      <w:r w:rsidR="00860C3F">
        <w:rPr>
          <w:rFonts w:ascii="Arial" w:hAnsi="Arial" w:cs="Arial"/>
          <w:sz w:val="20"/>
          <w:szCs w:val="20"/>
        </w:rPr>
        <w:fldChar w:fldCharType="separate"/>
      </w:r>
      <w:r w:rsidR="00860C3F" w:rsidRPr="00860C3F">
        <w:rPr>
          <w:rFonts w:ascii="Arial" w:hAnsi="Arial" w:cs="Arial"/>
          <w:sz w:val="20"/>
          <w:szCs w:val="20"/>
        </w:rPr>
        <w:t>Şekil 2</w:t>
      </w:r>
      <w:r w:rsidR="00860C3F">
        <w:rPr>
          <w:rFonts w:ascii="Arial" w:hAnsi="Arial" w:cs="Arial"/>
          <w:sz w:val="20"/>
          <w:szCs w:val="20"/>
        </w:rPr>
        <w:fldChar w:fldCharType="end"/>
      </w:r>
      <w:r w:rsidR="00A11F08" w:rsidRPr="0027354C">
        <w:rPr>
          <w:rFonts w:ascii="Arial" w:hAnsi="Arial" w:cs="Arial"/>
          <w:sz w:val="20"/>
          <w:szCs w:val="20"/>
        </w:rPr>
        <w:t>,</w:t>
      </w:r>
      <w:r w:rsidR="00860C3F">
        <w:rPr>
          <w:rFonts w:ascii="Arial" w:hAnsi="Arial" w:cs="Arial"/>
          <w:sz w:val="20"/>
          <w:szCs w:val="20"/>
        </w:rPr>
        <w:t xml:space="preserve"> </w:t>
      </w:r>
      <w:r w:rsidR="00860C3F">
        <w:rPr>
          <w:rFonts w:ascii="Arial" w:hAnsi="Arial" w:cs="Arial"/>
          <w:sz w:val="20"/>
          <w:szCs w:val="20"/>
        </w:rPr>
        <w:fldChar w:fldCharType="begin"/>
      </w:r>
      <w:r w:rsidR="00860C3F">
        <w:rPr>
          <w:rFonts w:ascii="Arial" w:hAnsi="Arial" w:cs="Arial"/>
          <w:sz w:val="20"/>
          <w:szCs w:val="20"/>
        </w:rPr>
        <w:instrText xml:space="preserve"> REF _Ref463531088 \h  \* MERGEFORMAT </w:instrText>
      </w:r>
      <w:r w:rsidR="00860C3F">
        <w:rPr>
          <w:rFonts w:ascii="Arial" w:hAnsi="Arial" w:cs="Arial"/>
          <w:sz w:val="20"/>
          <w:szCs w:val="20"/>
        </w:rPr>
      </w:r>
      <w:r w:rsidR="00860C3F">
        <w:rPr>
          <w:rFonts w:ascii="Arial" w:hAnsi="Arial" w:cs="Arial"/>
          <w:sz w:val="20"/>
          <w:szCs w:val="20"/>
        </w:rPr>
        <w:fldChar w:fldCharType="separate"/>
      </w:r>
      <w:r w:rsidR="00860C3F" w:rsidRPr="00860C3F">
        <w:rPr>
          <w:rFonts w:ascii="Arial" w:hAnsi="Arial" w:cs="Arial"/>
          <w:sz w:val="20"/>
          <w:szCs w:val="20"/>
        </w:rPr>
        <w:t>Ek Tablo 1</w:t>
      </w:r>
      <w:r w:rsidR="00860C3F">
        <w:rPr>
          <w:rFonts w:ascii="Arial" w:hAnsi="Arial" w:cs="Arial"/>
          <w:sz w:val="20"/>
          <w:szCs w:val="20"/>
        </w:rPr>
        <w:fldChar w:fldCharType="end"/>
      </w:r>
      <w:r w:rsidR="00A11F08" w:rsidRPr="0027354C">
        <w:rPr>
          <w:rFonts w:ascii="Arial" w:hAnsi="Arial" w:cs="Arial"/>
          <w:sz w:val="20"/>
          <w:szCs w:val="20"/>
        </w:rPr>
        <w:t>)</w:t>
      </w:r>
      <w:r w:rsidR="00C36EAD" w:rsidRPr="0027354C">
        <w:rPr>
          <w:rFonts w:ascii="Arial" w:hAnsi="Arial" w:cs="Arial"/>
          <w:sz w:val="20"/>
          <w:szCs w:val="20"/>
        </w:rPr>
        <w:t>.</w:t>
      </w:r>
      <w:r w:rsidR="00A11F08" w:rsidRPr="0027354C">
        <w:rPr>
          <w:rFonts w:ascii="Arial" w:hAnsi="Arial" w:cs="Arial"/>
          <w:sz w:val="20"/>
          <w:szCs w:val="20"/>
        </w:rPr>
        <w:t xml:space="preserve"> Mevcut nüfus dinamikleri itibariyle Türkiye</w:t>
      </w:r>
      <w:r w:rsidR="00C36EAD" w:rsidRPr="0027354C">
        <w:rPr>
          <w:rFonts w:ascii="Arial" w:hAnsi="Arial" w:cs="Arial"/>
          <w:sz w:val="20"/>
          <w:szCs w:val="20"/>
        </w:rPr>
        <w:t xml:space="preserve"> ekonomisinde bu yapısal özelliğin</w:t>
      </w:r>
      <w:r w:rsidR="00A11F08" w:rsidRPr="0027354C">
        <w:rPr>
          <w:rFonts w:ascii="Arial" w:hAnsi="Arial" w:cs="Arial"/>
          <w:sz w:val="20"/>
          <w:szCs w:val="20"/>
        </w:rPr>
        <w:t xml:space="preserve"> yaklaşık 20 yıl kadar daha azalarak devam </w:t>
      </w:r>
      <w:r w:rsidR="00C36EAD" w:rsidRPr="0027354C">
        <w:rPr>
          <w:rFonts w:ascii="Arial" w:hAnsi="Arial" w:cs="Arial"/>
          <w:sz w:val="20"/>
          <w:szCs w:val="20"/>
        </w:rPr>
        <w:t>etmesi beklenmektedir</w:t>
      </w:r>
      <w:r w:rsidR="00A11F08" w:rsidRPr="0027354C">
        <w:rPr>
          <w:rFonts w:ascii="Arial" w:hAnsi="Arial" w:cs="Arial"/>
          <w:sz w:val="20"/>
          <w:szCs w:val="20"/>
        </w:rPr>
        <w:t xml:space="preserve">. </w:t>
      </w:r>
      <w:r w:rsidRPr="0027354C">
        <w:rPr>
          <w:rFonts w:ascii="Arial" w:hAnsi="Arial" w:cs="Arial"/>
          <w:sz w:val="20"/>
          <w:szCs w:val="20"/>
        </w:rPr>
        <w:t xml:space="preserve">İstihdam oranının artması, ki bir bakıma hanelerde ortalama çalışan sayısının artması demektir, </w:t>
      </w:r>
      <w:r w:rsidR="00681DA7" w:rsidRPr="0027354C">
        <w:rPr>
          <w:rFonts w:ascii="Arial" w:hAnsi="Arial" w:cs="Arial"/>
          <w:sz w:val="20"/>
          <w:szCs w:val="20"/>
        </w:rPr>
        <w:t>olumludur</w:t>
      </w:r>
      <w:r w:rsidR="00A11F08" w:rsidRPr="0027354C">
        <w:rPr>
          <w:rFonts w:ascii="Arial" w:hAnsi="Arial" w:cs="Arial"/>
          <w:sz w:val="20"/>
          <w:szCs w:val="20"/>
        </w:rPr>
        <w:t xml:space="preserve"> ama yeterli değildir.</w:t>
      </w:r>
      <w:r w:rsidRPr="0027354C">
        <w:rPr>
          <w:rFonts w:ascii="Arial" w:hAnsi="Arial" w:cs="Arial"/>
          <w:sz w:val="20"/>
          <w:szCs w:val="20"/>
        </w:rPr>
        <w:t xml:space="preserve"> </w:t>
      </w:r>
      <w:r w:rsidR="00A11F08" w:rsidRPr="0027354C">
        <w:rPr>
          <w:rFonts w:ascii="Arial" w:hAnsi="Arial" w:cs="Arial"/>
          <w:sz w:val="20"/>
          <w:szCs w:val="20"/>
        </w:rPr>
        <w:t xml:space="preserve">Ancak kişi başına gelir artışlarının güçlü bir şekilde devam ederek Türkiye’nin yüksek gelir grubuna dahil olabilmesi için, diğer ifadeyle </w:t>
      </w:r>
      <w:r w:rsidRPr="0027354C">
        <w:rPr>
          <w:rFonts w:ascii="Arial" w:hAnsi="Arial" w:cs="Arial"/>
          <w:sz w:val="20"/>
          <w:szCs w:val="20"/>
        </w:rPr>
        <w:t>Orta Gelir Tuzağın</w:t>
      </w:r>
      <w:r w:rsidR="00A11F08" w:rsidRPr="0027354C">
        <w:rPr>
          <w:rFonts w:ascii="Arial" w:hAnsi="Arial" w:cs="Arial"/>
          <w:sz w:val="20"/>
          <w:szCs w:val="20"/>
        </w:rPr>
        <w:t xml:space="preserve">dan </w:t>
      </w:r>
      <w:r w:rsidR="00BF4E3A" w:rsidRPr="0027354C">
        <w:rPr>
          <w:rFonts w:ascii="Arial" w:hAnsi="Arial" w:cs="Arial"/>
          <w:sz w:val="20"/>
          <w:szCs w:val="20"/>
        </w:rPr>
        <w:t>kurtulmak</w:t>
      </w:r>
      <w:r w:rsidR="00A11F08" w:rsidRPr="0027354C">
        <w:rPr>
          <w:rFonts w:ascii="Arial" w:hAnsi="Arial" w:cs="Arial"/>
          <w:sz w:val="20"/>
          <w:szCs w:val="20"/>
        </w:rPr>
        <w:t xml:space="preserve"> için</w:t>
      </w:r>
      <w:r w:rsidRPr="0027354C">
        <w:rPr>
          <w:rFonts w:ascii="Arial" w:hAnsi="Arial" w:cs="Arial"/>
          <w:sz w:val="20"/>
          <w:szCs w:val="20"/>
        </w:rPr>
        <w:t xml:space="preserve"> esas etken emek verimliliğidir. Bu verimli</w:t>
      </w:r>
      <w:r w:rsidR="008610B3" w:rsidRPr="0027354C">
        <w:rPr>
          <w:rFonts w:ascii="Arial" w:hAnsi="Arial" w:cs="Arial"/>
          <w:sz w:val="20"/>
          <w:szCs w:val="20"/>
        </w:rPr>
        <w:t>li</w:t>
      </w:r>
      <w:r w:rsidRPr="0027354C">
        <w:rPr>
          <w:rFonts w:ascii="Arial" w:hAnsi="Arial" w:cs="Arial"/>
          <w:sz w:val="20"/>
          <w:szCs w:val="20"/>
        </w:rPr>
        <w:t xml:space="preserve">ğin ardında, yukarıda da belirttiğimiz gibi, yatırımların teknolojik ilerleme içermesi, çalışanların eğitim ve beceri düzeylerinin </w:t>
      </w:r>
      <w:r w:rsidR="00A11F08" w:rsidRPr="0027354C">
        <w:rPr>
          <w:rFonts w:ascii="Arial" w:hAnsi="Arial" w:cs="Arial"/>
          <w:sz w:val="20"/>
          <w:szCs w:val="20"/>
        </w:rPr>
        <w:t>iyileşmesi</w:t>
      </w:r>
      <w:r w:rsidRPr="0027354C">
        <w:rPr>
          <w:rFonts w:ascii="Arial" w:hAnsi="Arial" w:cs="Arial"/>
          <w:sz w:val="20"/>
          <w:szCs w:val="20"/>
        </w:rPr>
        <w:t>, genel olarak da ekonominin çarklarının daha etkin şekilde dönmesi (ekonomik yönetimin ve kurumların etkinliğinin artması) bulunmaktadır.</w:t>
      </w:r>
    </w:p>
    <w:p w:rsidR="00AE2FAA" w:rsidRPr="0027354C" w:rsidRDefault="00AE2FAA" w:rsidP="0027354C">
      <w:pPr>
        <w:spacing w:line="360" w:lineRule="auto"/>
        <w:jc w:val="both"/>
        <w:rPr>
          <w:rFonts w:ascii="Arial" w:hAnsi="Arial" w:cs="Arial"/>
          <w:sz w:val="20"/>
          <w:szCs w:val="20"/>
          <w:highlight w:val="yellow"/>
        </w:rPr>
      </w:pPr>
    </w:p>
    <w:p w:rsidR="00006AF6" w:rsidRPr="0027354C" w:rsidRDefault="00006AF6" w:rsidP="0027354C">
      <w:pPr>
        <w:spacing w:line="360" w:lineRule="auto"/>
        <w:jc w:val="both"/>
        <w:rPr>
          <w:rFonts w:ascii="Arial" w:hAnsi="Arial" w:cs="Arial"/>
          <w:sz w:val="20"/>
          <w:szCs w:val="20"/>
        </w:rPr>
      </w:pPr>
      <w:r w:rsidRPr="0027354C">
        <w:rPr>
          <w:rFonts w:ascii="Arial" w:hAnsi="Arial" w:cs="Arial"/>
          <w:sz w:val="20"/>
          <w:szCs w:val="20"/>
        </w:rPr>
        <w:t>2005(</w:t>
      </w:r>
      <w:r w:rsidR="003E0B22" w:rsidRPr="0027354C">
        <w:rPr>
          <w:rFonts w:ascii="Arial" w:hAnsi="Arial" w:cs="Arial"/>
          <w:sz w:val="20"/>
          <w:szCs w:val="20"/>
        </w:rPr>
        <w:t>4</w:t>
      </w:r>
      <w:r w:rsidRPr="0027354C">
        <w:rPr>
          <w:rFonts w:ascii="Arial" w:hAnsi="Arial" w:cs="Arial"/>
          <w:sz w:val="20"/>
          <w:szCs w:val="20"/>
        </w:rPr>
        <w:t>)-2016(1) döneminde çeyrekten çeyreğe kişi başı gelir değişimleri</w:t>
      </w:r>
      <w:r w:rsidR="00593FF1" w:rsidRPr="0027354C">
        <w:rPr>
          <w:rFonts w:ascii="Arial" w:hAnsi="Arial" w:cs="Arial"/>
          <w:sz w:val="20"/>
          <w:szCs w:val="20"/>
        </w:rPr>
        <w:t xml:space="preserve"> ve bu değişimlerin</w:t>
      </w:r>
      <w:r w:rsidRPr="0027354C">
        <w:rPr>
          <w:rFonts w:ascii="Arial" w:hAnsi="Arial" w:cs="Arial"/>
          <w:sz w:val="20"/>
          <w:szCs w:val="20"/>
        </w:rPr>
        <w:t xml:space="preserve"> yukarıda tanımlanan üç bileşene ayrılması Şekil 1</w:t>
      </w:r>
      <w:r w:rsidR="00E9234C" w:rsidRPr="0027354C">
        <w:rPr>
          <w:rFonts w:ascii="Arial" w:hAnsi="Arial" w:cs="Arial"/>
          <w:sz w:val="20"/>
          <w:szCs w:val="20"/>
        </w:rPr>
        <w:t xml:space="preserve"> ve 2’de farklı yönlerden</w:t>
      </w:r>
      <w:r w:rsidRPr="0027354C">
        <w:rPr>
          <w:rFonts w:ascii="Arial" w:hAnsi="Arial" w:cs="Arial"/>
          <w:sz w:val="20"/>
          <w:szCs w:val="20"/>
        </w:rPr>
        <w:t xml:space="preserve"> gösterilmektedir.</w:t>
      </w:r>
      <w:r w:rsidR="00E9234C" w:rsidRPr="0027354C">
        <w:rPr>
          <w:rFonts w:ascii="Arial" w:hAnsi="Arial" w:cs="Arial"/>
          <w:sz w:val="20"/>
          <w:szCs w:val="20"/>
        </w:rPr>
        <w:t xml:space="preserve"> </w:t>
      </w:r>
      <w:r w:rsidR="00593FF1" w:rsidRPr="0027354C">
        <w:rPr>
          <w:rFonts w:ascii="Arial" w:hAnsi="Arial" w:cs="Arial"/>
          <w:sz w:val="20"/>
          <w:szCs w:val="20"/>
        </w:rPr>
        <w:t xml:space="preserve">Alt dönemleri belirginleştirmek amacıyla dikkate alınan dört değişken (kişi başı GSYH, emek verimliliği, istihdam oranı ve çalışabilir nüfus oranı) </w:t>
      </w:r>
      <w:r w:rsidR="00BF4E3A" w:rsidRPr="0027354C">
        <w:rPr>
          <w:rFonts w:ascii="Arial" w:hAnsi="Arial" w:cs="Arial"/>
          <w:sz w:val="20"/>
          <w:szCs w:val="20"/>
        </w:rPr>
        <w:t xml:space="preserve">önce </w:t>
      </w:r>
      <w:r w:rsidR="00593FF1" w:rsidRPr="0027354C">
        <w:rPr>
          <w:rFonts w:ascii="Arial" w:hAnsi="Arial" w:cs="Arial"/>
          <w:sz w:val="20"/>
          <w:szCs w:val="20"/>
        </w:rPr>
        <w:t>endekslen</w:t>
      </w:r>
      <w:r w:rsidR="00BF4E3A" w:rsidRPr="0027354C">
        <w:rPr>
          <w:rFonts w:ascii="Arial" w:hAnsi="Arial" w:cs="Arial"/>
          <w:sz w:val="20"/>
          <w:szCs w:val="20"/>
        </w:rPr>
        <w:t>miş ardından</w:t>
      </w:r>
      <w:r w:rsidR="00593FF1" w:rsidRPr="0027354C">
        <w:rPr>
          <w:rFonts w:ascii="Arial" w:hAnsi="Arial" w:cs="Arial"/>
          <w:sz w:val="20"/>
          <w:szCs w:val="20"/>
        </w:rPr>
        <w:t xml:space="preserve"> hareketli ortalamaları hesaplanarak</w:t>
      </w:r>
      <w:r w:rsidR="00593FF1" w:rsidRPr="0027354C">
        <w:rPr>
          <w:rStyle w:val="FootnoteReference"/>
          <w:rFonts w:ascii="Arial" w:hAnsi="Arial" w:cs="Arial"/>
          <w:sz w:val="20"/>
          <w:szCs w:val="20"/>
        </w:rPr>
        <w:footnoteReference w:id="6"/>
      </w:r>
      <w:r w:rsidR="00593FF1" w:rsidRPr="0027354C">
        <w:rPr>
          <w:rFonts w:ascii="Arial" w:hAnsi="Arial" w:cs="Arial"/>
          <w:sz w:val="20"/>
          <w:szCs w:val="20"/>
        </w:rPr>
        <w:t xml:space="preserve"> </w:t>
      </w:r>
      <w:r w:rsidR="00EB2230">
        <w:rPr>
          <w:rFonts w:ascii="Arial" w:hAnsi="Arial" w:cs="Arial"/>
          <w:sz w:val="20"/>
          <w:szCs w:val="20"/>
        </w:rPr>
        <w:fldChar w:fldCharType="begin"/>
      </w:r>
      <w:r w:rsidR="00EB2230">
        <w:rPr>
          <w:rFonts w:ascii="Arial" w:hAnsi="Arial" w:cs="Arial"/>
          <w:sz w:val="20"/>
          <w:szCs w:val="20"/>
        </w:rPr>
        <w:instrText xml:space="preserve"> REF _Ref463531039 \h  \* MERGEFORMAT </w:instrText>
      </w:r>
      <w:r w:rsidR="00EB2230">
        <w:rPr>
          <w:rFonts w:ascii="Arial" w:hAnsi="Arial" w:cs="Arial"/>
          <w:sz w:val="20"/>
          <w:szCs w:val="20"/>
        </w:rPr>
      </w:r>
      <w:r w:rsidR="00EB2230">
        <w:rPr>
          <w:rFonts w:ascii="Arial" w:hAnsi="Arial" w:cs="Arial"/>
          <w:sz w:val="20"/>
          <w:szCs w:val="20"/>
        </w:rPr>
        <w:fldChar w:fldCharType="separate"/>
      </w:r>
      <w:r w:rsidR="00EB2230" w:rsidRPr="00EB2230">
        <w:rPr>
          <w:rFonts w:ascii="Arial" w:hAnsi="Arial" w:cs="Arial"/>
          <w:sz w:val="20"/>
          <w:szCs w:val="20"/>
        </w:rPr>
        <w:t>Şekil 1</w:t>
      </w:r>
      <w:r w:rsidR="00EB2230">
        <w:rPr>
          <w:rFonts w:ascii="Arial" w:hAnsi="Arial" w:cs="Arial"/>
          <w:sz w:val="20"/>
          <w:szCs w:val="20"/>
        </w:rPr>
        <w:fldChar w:fldCharType="end"/>
      </w:r>
      <w:r w:rsidR="00EB2230">
        <w:rPr>
          <w:rFonts w:ascii="Arial" w:hAnsi="Arial" w:cs="Arial"/>
          <w:sz w:val="20"/>
          <w:szCs w:val="20"/>
        </w:rPr>
        <w:t xml:space="preserve"> </w:t>
      </w:r>
      <w:r w:rsidR="00593FF1" w:rsidRPr="0027354C">
        <w:rPr>
          <w:rFonts w:ascii="Arial" w:hAnsi="Arial" w:cs="Arial"/>
          <w:sz w:val="20"/>
          <w:szCs w:val="20"/>
        </w:rPr>
        <w:t xml:space="preserve">ve </w:t>
      </w:r>
      <w:r w:rsidR="00EB2230">
        <w:rPr>
          <w:rFonts w:ascii="Arial" w:hAnsi="Arial" w:cs="Arial"/>
          <w:sz w:val="20"/>
          <w:szCs w:val="20"/>
        </w:rPr>
        <w:fldChar w:fldCharType="begin"/>
      </w:r>
      <w:r w:rsidR="00EB2230">
        <w:rPr>
          <w:rFonts w:ascii="Arial" w:hAnsi="Arial" w:cs="Arial"/>
          <w:sz w:val="20"/>
          <w:szCs w:val="20"/>
        </w:rPr>
        <w:instrText xml:space="preserve"> REF _Ref463531047 \h  \* MERGEFORMAT </w:instrText>
      </w:r>
      <w:r w:rsidR="00EB2230">
        <w:rPr>
          <w:rFonts w:ascii="Arial" w:hAnsi="Arial" w:cs="Arial"/>
          <w:sz w:val="20"/>
          <w:szCs w:val="20"/>
        </w:rPr>
      </w:r>
      <w:r w:rsidR="00EB2230">
        <w:rPr>
          <w:rFonts w:ascii="Arial" w:hAnsi="Arial" w:cs="Arial"/>
          <w:sz w:val="20"/>
          <w:szCs w:val="20"/>
        </w:rPr>
        <w:fldChar w:fldCharType="separate"/>
      </w:r>
      <w:r w:rsidR="00EB2230" w:rsidRPr="00EB2230">
        <w:rPr>
          <w:rFonts w:ascii="Arial" w:hAnsi="Arial" w:cs="Arial"/>
          <w:sz w:val="20"/>
          <w:szCs w:val="20"/>
        </w:rPr>
        <w:t>Şekil 2</w:t>
      </w:r>
      <w:r w:rsidR="00EB2230">
        <w:rPr>
          <w:rFonts w:ascii="Arial" w:hAnsi="Arial" w:cs="Arial"/>
          <w:sz w:val="20"/>
          <w:szCs w:val="20"/>
        </w:rPr>
        <w:fldChar w:fldCharType="end"/>
      </w:r>
      <w:r w:rsidR="00EB2230">
        <w:rPr>
          <w:rFonts w:ascii="Arial" w:hAnsi="Arial" w:cs="Arial"/>
          <w:sz w:val="20"/>
          <w:szCs w:val="20"/>
        </w:rPr>
        <w:t xml:space="preserve"> </w:t>
      </w:r>
      <w:r w:rsidR="00593FF1" w:rsidRPr="0027354C">
        <w:rPr>
          <w:rFonts w:ascii="Arial" w:hAnsi="Arial" w:cs="Arial"/>
          <w:sz w:val="20"/>
          <w:szCs w:val="20"/>
        </w:rPr>
        <w:t xml:space="preserve">oluşturulmuştur. </w:t>
      </w:r>
      <w:r w:rsidRPr="0027354C">
        <w:rPr>
          <w:rFonts w:ascii="Arial" w:hAnsi="Arial" w:cs="Arial"/>
          <w:sz w:val="20"/>
          <w:szCs w:val="20"/>
        </w:rPr>
        <w:t xml:space="preserve">Görüldüğü gibi kişi başı gelir değişimleri çok yüksek dalgalanmalar sergilemekte </w:t>
      </w:r>
      <w:r w:rsidR="00593FF1" w:rsidRPr="0027354C">
        <w:rPr>
          <w:rFonts w:ascii="Arial" w:hAnsi="Arial" w:cs="Arial"/>
          <w:sz w:val="20"/>
          <w:szCs w:val="20"/>
        </w:rPr>
        <w:t>aynı zamanda da</w:t>
      </w:r>
      <w:r w:rsidRPr="0027354C">
        <w:rPr>
          <w:rFonts w:ascii="Arial" w:hAnsi="Arial" w:cs="Arial"/>
          <w:sz w:val="20"/>
          <w:szCs w:val="20"/>
        </w:rPr>
        <w:t xml:space="preserve"> bu değişimlerin üç bileşen açısından oluşumları büyük farklılıklar göstermektedir. GSYH’nın </w:t>
      </w:r>
      <w:r w:rsidR="003E0B22" w:rsidRPr="0027354C">
        <w:rPr>
          <w:rFonts w:ascii="Arial" w:hAnsi="Arial" w:cs="Arial"/>
          <w:sz w:val="20"/>
          <w:szCs w:val="20"/>
        </w:rPr>
        <w:t>dikkate değer ölçüde</w:t>
      </w:r>
      <w:r w:rsidR="00593FF1" w:rsidRPr="0027354C">
        <w:rPr>
          <w:rFonts w:ascii="Arial" w:hAnsi="Arial" w:cs="Arial"/>
          <w:sz w:val="20"/>
          <w:szCs w:val="20"/>
        </w:rPr>
        <w:t xml:space="preserve"> </w:t>
      </w:r>
      <w:r w:rsidRPr="0027354C">
        <w:rPr>
          <w:rFonts w:ascii="Arial" w:hAnsi="Arial" w:cs="Arial"/>
          <w:sz w:val="20"/>
          <w:szCs w:val="20"/>
        </w:rPr>
        <w:t xml:space="preserve">buna karşılık </w:t>
      </w:r>
      <w:r w:rsidR="003E0B22" w:rsidRPr="0027354C">
        <w:rPr>
          <w:rFonts w:ascii="Arial" w:hAnsi="Arial" w:cs="Arial"/>
          <w:sz w:val="20"/>
          <w:szCs w:val="20"/>
        </w:rPr>
        <w:t xml:space="preserve">toplam </w:t>
      </w:r>
      <w:r w:rsidRPr="0027354C">
        <w:rPr>
          <w:rFonts w:ascii="Arial" w:hAnsi="Arial" w:cs="Arial"/>
          <w:sz w:val="20"/>
          <w:szCs w:val="20"/>
        </w:rPr>
        <w:t>istihdamın</w:t>
      </w:r>
      <w:r w:rsidR="003E0B22" w:rsidRPr="0027354C">
        <w:rPr>
          <w:rFonts w:ascii="Arial" w:hAnsi="Arial" w:cs="Arial"/>
          <w:sz w:val="20"/>
          <w:szCs w:val="20"/>
        </w:rPr>
        <w:t xml:space="preserve"> çok sınırlı ölçüde azaldığı (kadın istihdamındaki artış nedeniyle) kriz</w:t>
      </w:r>
      <w:r w:rsidRPr="0027354C">
        <w:rPr>
          <w:rFonts w:ascii="Arial" w:hAnsi="Arial" w:cs="Arial"/>
          <w:sz w:val="20"/>
          <w:szCs w:val="20"/>
        </w:rPr>
        <w:t xml:space="preserve"> </w:t>
      </w:r>
      <w:r w:rsidR="003E0B22" w:rsidRPr="0027354C">
        <w:rPr>
          <w:rFonts w:ascii="Arial" w:hAnsi="Arial" w:cs="Arial"/>
          <w:sz w:val="20"/>
          <w:szCs w:val="20"/>
        </w:rPr>
        <w:t>dönemini bir yana bırakırsak</w:t>
      </w:r>
      <w:r w:rsidR="00402256" w:rsidRPr="0027354C">
        <w:rPr>
          <w:rFonts w:ascii="Arial" w:hAnsi="Arial" w:cs="Arial"/>
          <w:sz w:val="20"/>
          <w:szCs w:val="20"/>
        </w:rPr>
        <w:t xml:space="preserve">, </w:t>
      </w:r>
      <w:r w:rsidR="003E0B22" w:rsidRPr="0027354C">
        <w:rPr>
          <w:rFonts w:ascii="Arial" w:hAnsi="Arial" w:cs="Arial"/>
          <w:sz w:val="20"/>
          <w:szCs w:val="20"/>
        </w:rPr>
        <w:t xml:space="preserve"> </w:t>
      </w:r>
      <w:r w:rsidR="00402256" w:rsidRPr="0027354C">
        <w:rPr>
          <w:rFonts w:ascii="Arial" w:hAnsi="Arial" w:cs="Arial"/>
          <w:sz w:val="20"/>
          <w:szCs w:val="20"/>
        </w:rPr>
        <w:t>farklı nitelikte dört</w:t>
      </w:r>
      <w:r w:rsidR="003E0B22" w:rsidRPr="0027354C">
        <w:rPr>
          <w:rFonts w:ascii="Arial" w:hAnsi="Arial" w:cs="Arial"/>
          <w:sz w:val="20"/>
          <w:szCs w:val="20"/>
        </w:rPr>
        <w:t xml:space="preserve"> alt dönem göze çarpıyor</w:t>
      </w:r>
      <w:r w:rsidR="00766910" w:rsidRPr="0027354C">
        <w:rPr>
          <w:rFonts w:ascii="Arial" w:hAnsi="Arial" w:cs="Arial"/>
          <w:sz w:val="20"/>
          <w:szCs w:val="20"/>
        </w:rPr>
        <w:t xml:space="preserve">: </w:t>
      </w:r>
    </w:p>
    <w:p w:rsidR="00E1418A" w:rsidRPr="0027354C" w:rsidRDefault="00E1418A" w:rsidP="0027354C">
      <w:pPr>
        <w:spacing w:line="360" w:lineRule="auto"/>
        <w:jc w:val="both"/>
        <w:rPr>
          <w:rFonts w:ascii="Arial" w:hAnsi="Arial" w:cs="Arial"/>
          <w:b/>
          <w:sz w:val="20"/>
          <w:szCs w:val="20"/>
        </w:rPr>
      </w:pPr>
    </w:p>
    <w:p w:rsidR="0027354C" w:rsidRPr="0027354C" w:rsidRDefault="0027354C" w:rsidP="0027354C">
      <w:pPr>
        <w:spacing w:line="360" w:lineRule="auto"/>
        <w:jc w:val="both"/>
        <w:rPr>
          <w:rFonts w:ascii="Arial" w:hAnsi="Arial" w:cs="Arial"/>
          <w:sz w:val="20"/>
          <w:szCs w:val="20"/>
        </w:rPr>
      </w:pPr>
      <w:r w:rsidRPr="0027354C">
        <w:rPr>
          <w:rFonts w:ascii="Arial" w:hAnsi="Arial" w:cs="Arial"/>
          <w:sz w:val="20"/>
          <w:szCs w:val="20"/>
        </w:rPr>
        <w:t xml:space="preserve">1) 2005’ten 2008’in ilk yarısını kapsayan sürede emek verimliliği artışlarının sürüklediği yüksek büyüme dönemi, 2) 2009’un ikinci yarısından 2011’in ikinci yarısına kadar geçen yüksek ama düşük kaliteli (verimlilik katkısının düşük olduğu) büyüme dönemi, 3) 2011’in ikinci yarısından 2013’ün ilk çeyreğine dek büyümenin düştüğü aynı zamanda da emek verimliliği katkısının tükendiği dönem 4) 2013 itibariyle </w:t>
      </w:r>
      <w:r w:rsidRPr="0027354C">
        <w:rPr>
          <w:rFonts w:ascii="Arial" w:hAnsi="Arial" w:cs="Arial"/>
          <w:sz w:val="20"/>
          <w:szCs w:val="20"/>
        </w:rPr>
        <w:lastRenderedPageBreak/>
        <w:t>büyümenin önceki döneme oranla nispeten toparlandığı ancak emek verimliliğindeki dalgalanmanın devam ettiği dönem.</w:t>
      </w:r>
    </w:p>
    <w:p w:rsidR="00EB2230" w:rsidRDefault="00EB2230" w:rsidP="0027354C">
      <w:pPr>
        <w:pStyle w:val="Caption"/>
        <w:rPr>
          <w:rFonts w:ascii="Arial" w:hAnsi="Arial" w:cs="Arial"/>
          <w:bCs w:val="0"/>
        </w:rPr>
      </w:pPr>
      <w:bookmarkStart w:id="1" w:name="_Ref463531039"/>
    </w:p>
    <w:p w:rsidR="0027354C" w:rsidRPr="0027354C" w:rsidRDefault="0027354C" w:rsidP="0027354C">
      <w:pPr>
        <w:pStyle w:val="Caption"/>
        <w:rPr>
          <w:rFonts w:ascii="Arial" w:hAnsi="Arial" w:cs="Arial"/>
          <w:bCs w:val="0"/>
        </w:rPr>
      </w:pPr>
      <w:bookmarkStart w:id="2" w:name="_Ref463531385"/>
      <w:r w:rsidRPr="0027354C">
        <w:rPr>
          <w:rFonts w:ascii="Arial" w:hAnsi="Arial" w:cs="Arial"/>
          <w:bCs w:val="0"/>
        </w:rPr>
        <w:t xml:space="preserve">Şekil </w:t>
      </w:r>
      <w:r w:rsidRPr="0027354C">
        <w:rPr>
          <w:rFonts w:ascii="Arial" w:hAnsi="Arial" w:cs="Arial"/>
          <w:bCs w:val="0"/>
        </w:rPr>
        <w:fldChar w:fldCharType="begin"/>
      </w:r>
      <w:r w:rsidRPr="0027354C">
        <w:rPr>
          <w:rFonts w:ascii="Arial" w:hAnsi="Arial" w:cs="Arial"/>
          <w:bCs w:val="0"/>
        </w:rPr>
        <w:instrText xml:space="preserve"> SEQ Şekil \* ARABIC </w:instrText>
      </w:r>
      <w:r w:rsidRPr="0027354C">
        <w:rPr>
          <w:rFonts w:ascii="Arial" w:hAnsi="Arial" w:cs="Arial"/>
          <w:bCs w:val="0"/>
        </w:rPr>
        <w:fldChar w:fldCharType="separate"/>
      </w:r>
      <w:r>
        <w:rPr>
          <w:rFonts w:ascii="Arial" w:hAnsi="Arial" w:cs="Arial"/>
          <w:bCs w:val="0"/>
          <w:noProof/>
        </w:rPr>
        <w:t>1</w:t>
      </w:r>
      <w:r w:rsidRPr="0027354C">
        <w:rPr>
          <w:rFonts w:ascii="Arial" w:hAnsi="Arial" w:cs="Arial"/>
          <w:bCs w:val="0"/>
        </w:rPr>
        <w:fldChar w:fldCharType="end"/>
      </w:r>
      <w:bookmarkEnd w:id="1"/>
      <w:bookmarkEnd w:id="2"/>
      <w:r w:rsidR="00860C3F">
        <w:rPr>
          <w:rFonts w:ascii="Arial" w:hAnsi="Arial" w:cs="Arial"/>
          <w:bCs w:val="0"/>
        </w:rPr>
        <w:t xml:space="preserve">. </w:t>
      </w:r>
      <w:r w:rsidRPr="0027354C">
        <w:rPr>
          <w:rFonts w:ascii="Arial" w:hAnsi="Arial" w:cs="Arial"/>
          <w:bCs w:val="0"/>
        </w:rPr>
        <w:t>Kişi başına GSYH endeksi ve bileşenleri (Mevsim ve takvim etkilerinden arındırılmış, 2005(4) = 100)</w:t>
      </w:r>
      <w:r w:rsidRPr="0027354C">
        <w:rPr>
          <w:bCs w:val="0"/>
        </w:rPr>
        <w:footnoteReference w:id="7"/>
      </w:r>
    </w:p>
    <w:p w:rsidR="00AE2FAA" w:rsidRPr="0027354C" w:rsidRDefault="00AE2FAA" w:rsidP="0027354C">
      <w:pPr>
        <w:spacing w:line="360" w:lineRule="auto"/>
        <w:jc w:val="both"/>
        <w:rPr>
          <w:rFonts w:ascii="Arial" w:hAnsi="Arial" w:cs="Arial"/>
          <w:b/>
          <w:sz w:val="20"/>
          <w:szCs w:val="20"/>
        </w:rPr>
      </w:pPr>
      <w:r w:rsidRPr="0027354C">
        <w:rPr>
          <w:rFonts w:ascii="Arial" w:hAnsi="Arial" w:cs="Arial"/>
          <w:sz w:val="20"/>
          <w:szCs w:val="20"/>
        </w:rPr>
        <w:t xml:space="preserve"> </w:t>
      </w:r>
    </w:p>
    <w:p w:rsidR="00AE2FAA" w:rsidRPr="0027354C" w:rsidRDefault="003208C7" w:rsidP="0027354C">
      <w:pPr>
        <w:spacing w:line="360" w:lineRule="auto"/>
        <w:rPr>
          <w:rFonts w:ascii="Arial" w:hAnsi="Arial" w:cs="Arial"/>
          <w:sz w:val="20"/>
          <w:szCs w:val="20"/>
        </w:rPr>
      </w:pPr>
      <w:r w:rsidRPr="0027354C">
        <w:rPr>
          <w:noProof/>
          <w:lang w:eastAsia="tr-TR"/>
        </w:rPr>
        <w:drawing>
          <wp:inline distT="0" distB="0" distL="0" distR="0" wp14:anchorId="4DAE3F39" wp14:editId="30BC473F">
            <wp:extent cx="6315075" cy="374332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6A93" w:rsidRPr="0027354C" w:rsidRDefault="00976A93" w:rsidP="0027354C">
      <w:pPr>
        <w:spacing w:line="360" w:lineRule="auto"/>
        <w:rPr>
          <w:rFonts w:ascii="Arial" w:hAnsi="Arial" w:cs="Arial"/>
          <w:sz w:val="16"/>
          <w:szCs w:val="16"/>
        </w:rPr>
      </w:pPr>
      <w:r w:rsidRPr="0027354C">
        <w:rPr>
          <w:rFonts w:ascii="Arial" w:hAnsi="Arial" w:cs="Arial"/>
          <w:sz w:val="16"/>
          <w:szCs w:val="16"/>
        </w:rPr>
        <w:t>Kaynak: TÜİK, Betam.</w:t>
      </w:r>
    </w:p>
    <w:p w:rsidR="00D47139" w:rsidRPr="0027354C" w:rsidRDefault="00D47139" w:rsidP="0027354C">
      <w:pPr>
        <w:spacing w:line="360" w:lineRule="auto"/>
        <w:jc w:val="both"/>
        <w:rPr>
          <w:rFonts w:ascii="Arial" w:hAnsi="Arial" w:cs="Arial"/>
          <w:b/>
          <w:sz w:val="20"/>
          <w:szCs w:val="20"/>
        </w:rPr>
      </w:pPr>
    </w:p>
    <w:p w:rsidR="00AE2FAA" w:rsidRPr="0027354C" w:rsidRDefault="00AF73FC" w:rsidP="0027354C">
      <w:pPr>
        <w:spacing w:line="360" w:lineRule="auto"/>
        <w:jc w:val="both"/>
        <w:rPr>
          <w:rFonts w:ascii="Arial" w:hAnsi="Arial" w:cs="Arial"/>
          <w:b/>
          <w:sz w:val="20"/>
          <w:szCs w:val="20"/>
        </w:rPr>
      </w:pPr>
      <w:r w:rsidRPr="0027354C">
        <w:rPr>
          <w:rFonts w:ascii="Arial" w:hAnsi="Arial" w:cs="Arial"/>
          <w:b/>
          <w:sz w:val="20"/>
          <w:szCs w:val="20"/>
        </w:rPr>
        <w:t>Yüksek</w:t>
      </w:r>
      <w:r w:rsidR="00AE2FAA" w:rsidRPr="0027354C">
        <w:rPr>
          <w:rFonts w:ascii="Arial" w:hAnsi="Arial" w:cs="Arial"/>
          <w:b/>
          <w:sz w:val="20"/>
          <w:szCs w:val="20"/>
        </w:rPr>
        <w:t xml:space="preserve"> büyüme</w:t>
      </w:r>
      <w:r w:rsidRPr="0027354C">
        <w:rPr>
          <w:rFonts w:ascii="Arial" w:hAnsi="Arial" w:cs="Arial"/>
          <w:b/>
          <w:sz w:val="20"/>
          <w:szCs w:val="20"/>
        </w:rPr>
        <w:t xml:space="preserve"> </w:t>
      </w:r>
      <w:r w:rsidR="00FF200B" w:rsidRPr="0027354C">
        <w:rPr>
          <w:rFonts w:ascii="Arial" w:hAnsi="Arial" w:cs="Arial"/>
          <w:b/>
          <w:sz w:val="20"/>
          <w:szCs w:val="20"/>
        </w:rPr>
        <w:t xml:space="preserve">- </w:t>
      </w:r>
      <w:r w:rsidR="00A218E5" w:rsidRPr="0027354C">
        <w:rPr>
          <w:rFonts w:ascii="Arial" w:hAnsi="Arial" w:cs="Arial"/>
          <w:b/>
          <w:sz w:val="20"/>
          <w:szCs w:val="20"/>
        </w:rPr>
        <w:t>Y</w:t>
      </w:r>
      <w:r w:rsidRPr="0027354C">
        <w:rPr>
          <w:rFonts w:ascii="Arial" w:hAnsi="Arial" w:cs="Arial"/>
          <w:b/>
          <w:sz w:val="20"/>
          <w:szCs w:val="20"/>
        </w:rPr>
        <w:t>üksek verimlilik artışı</w:t>
      </w:r>
      <w:r w:rsidR="00FF200B" w:rsidRPr="0027354C">
        <w:rPr>
          <w:rFonts w:ascii="Arial" w:hAnsi="Arial" w:cs="Arial"/>
          <w:b/>
          <w:sz w:val="20"/>
          <w:szCs w:val="20"/>
        </w:rPr>
        <w:t xml:space="preserve"> </w:t>
      </w:r>
      <w:r w:rsidR="006E4EBF" w:rsidRPr="0027354C">
        <w:rPr>
          <w:rFonts w:ascii="Arial" w:hAnsi="Arial" w:cs="Arial"/>
          <w:b/>
          <w:sz w:val="20"/>
          <w:szCs w:val="20"/>
        </w:rPr>
        <w:t>(2005(1)-2008(1)</w:t>
      </w:r>
      <w:r w:rsidR="00344E64" w:rsidRPr="0027354C">
        <w:rPr>
          <w:rFonts w:ascii="Arial" w:hAnsi="Arial" w:cs="Arial"/>
          <w:b/>
          <w:sz w:val="20"/>
          <w:szCs w:val="20"/>
        </w:rPr>
        <w:t>)</w:t>
      </w:r>
    </w:p>
    <w:p w:rsidR="00AE2FAA" w:rsidRPr="0027354C" w:rsidRDefault="00AE2FAA" w:rsidP="0027354C">
      <w:pPr>
        <w:spacing w:line="360" w:lineRule="auto"/>
        <w:jc w:val="both"/>
        <w:rPr>
          <w:rFonts w:ascii="Arial" w:hAnsi="Arial" w:cs="Arial"/>
          <w:b/>
          <w:sz w:val="20"/>
          <w:szCs w:val="20"/>
        </w:rPr>
      </w:pPr>
    </w:p>
    <w:p w:rsidR="00AF73FC" w:rsidRPr="0027354C" w:rsidRDefault="00BE08D2" w:rsidP="0027354C">
      <w:pPr>
        <w:spacing w:line="360" w:lineRule="auto"/>
        <w:jc w:val="both"/>
        <w:rPr>
          <w:rFonts w:ascii="Arial" w:hAnsi="Arial" w:cs="Arial"/>
          <w:sz w:val="20"/>
          <w:szCs w:val="20"/>
        </w:rPr>
      </w:pPr>
      <w:r w:rsidRPr="0027354C">
        <w:rPr>
          <w:rFonts w:ascii="Arial" w:hAnsi="Arial" w:cs="Arial"/>
          <w:sz w:val="20"/>
          <w:szCs w:val="20"/>
        </w:rPr>
        <w:t>Birinci dönemde (2005(</w:t>
      </w:r>
      <w:r w:rsidR="00AF73FC" w:rsidRPr="0027354C">
        <w:rPr>
          <w:rFonts w:ascii="Arial" w:hAnsi="Arial" w:cs="Arial"/>
          <w:sz w:val="20"/>
          <w:szCs w:val="20"/>
        </w:rPr>
        <w:t>1</w:t>
      </w:r>
      <w:r w:rsidRPr="0027354C">
        <w:rPr>
          <w:rFonts w:ascii="Arial" w:hAnsi="Arial" w:cs="Arial"/>
          <w:sz w:val="20"/>
          <w:szCs w:val="20"/>
        </w:rPr>
        <w:t>) – 2008(</w:t>
      </w:r>
      <w:r w:rsidR="00AF73FC" w:rsidRPr="0027354C">
        <w:rPr>
          <w:rFonts w:ascii="Arial" w:hAnsi="Arial" w:cs="Arial"/>
          <w:sz w:val="20"/>
          <w:szCs w:val="20"/>
        </w:rPr>
        <w:t>1</w:t>
      </w:r>
      <w:r w:rsidRPr="0027354C">
        <w:rPr>
          <w:rFonts w:ascii="Arial" w:hAnsi="Arial" w:cs="Arial"/>
          <w:sz w:val="20"/>
          <w:szCs w:val="20"/>
        </w:rPr>
        <w:t>)</w:t>
      </w:r>
      <w:r w:rsidR="00AF73FC" w:rsidRPr="0027354C">
        <w:rPr>
          <w:rFonts w:ascii="Arial" w:hAnsi="Arial" w:cs="Arial"/>
          <w:sz w:val="20"/>
          <w:szCs w:val="20"/>
        </w:rPr>
        <w:t xml:space="preserve">) Şekil </w:t>
      </w:r>
      <w:r w:rsidR="00FF200B" w:rsidRPr="0027354C">
        <w:rPr>
          <w:rFonts w:ascii="Arial" w:hAnsi="Arial" w:cs="Arial"/>
          <w:sz w:val="20"/>
          <w:szCs w:val="20"/>
        </w:rPr>
        <w:t xml:space="preserve">1 ve </w:t>
      </w:r>
      <w:r w:rsidR="00AF73FC" w:rsidRPr="0027354C">
        <w:rPr>
          <w:rFonts w:ascii="Arial" w:hAnsi="Arial" w:cs="Arial"/>
          <w:sz w:val="20"/>
          <w:szCs w:val="20"/>
        </w:rPr>
        <w:t>2’de görüldüğü gibi kişi başına yıllık gelir artışlarının büyük bölümünü emek veri</w:t>
      </w:r>
      <w:r w:rsidR="00416A24" w:rsidRPr="0027354C">
        <w:rPr>
          <w:rFonts w:ascii="Arial" w:hAnsi="Arial" w:cs="Arial"/>
          <w:sz w:val="20"/>
          <w:szCs w:val="20"/>
        </w:rPr>
        <w:t>mlilik artışları</w:t>
      </w:r>
      <w:r w:rsidR="00AF73FC" w:rsidRPr="0027354C">
        <w:rPr>
          <w:rFonts w:ascii="Arial" w:hAnsi="Arial" w:cs="Arial"/>
          <w:sz w:val="20"/>
          <w:szCs w:val="20"/>
        </w:rPr>
        <w:t xml:space="preserve"> oluşturuyor. Bu dönemde i</w:t>
      </w:r>
      <w:r w:rsidR="00AE2FAA" w:rsidRPr="0027354C">
        <w:rPr>
          <w:rFonts w:ascii="Arial" w:hAnsi="Arial" w:cs="Arial"/>
          <w:sz w:val="20"/>
          <w:szCs w:val="20"/>
        </w:rPr>
        <w:t>stihdam oranı</w:t>
      </w:r>
      <w:r w:rsidR="00FF200B" w:rsidRPr="0027354C">
        <w:rPr>
          <w:rFonts w:ascii="Arial" w:hAnsi="Arial" w:cs="Arial"/>
          <w:sz w:val="20"/>
          <w:szCs w:val="20"/>
        </w:rPr>
        <w:t>nın</w:t>
      </w:r>
      <w:r w:rsidR="00AE2FAA" w:rsidRPr="0027354C">
        <w:rPr>
          <w:rFonts w:ascii="Arial" w:hAnsi="Arial" w:cs="Arial"/>
          <w:sz w:val="20"/>
          <w:szCs w:val="20"/>
        </w:rPr>
        <w:t xml:space="preserve"> </w:t>
      </w:r>
      <w:r w:rsidR="00AF73FC" w:rsidRPr="0027354C">
        <w:rPr>
          <w:rFonts w:ascii="Arial" w:hAnsi="Arial" w:cs="Arial"/>
          <w:sz w:val="20"/>
          <w:szCs w:val="20"/>
        </w:rPr>
        <w:t>kişi başına gelir artışına katkısı ya çok düşük ya da dönemin ilk ve son çeyrek</w:t>
      </w:r>
      <w:r w:rsidR="00EB2230">
        <w:rPr>
          <w:rFonts w:ascii="Arial" w:hAnsi="Arial" w:cs="Arial"/>
          <w:sz w:val="20"/>
          <w:szCs w:val="20"/>
        </w:rPr>
        <w:t>lerinde negatif kalıyor (</w:t>
      </w:r>
      <w:r w:rsidR="00EB2230">
        <w:rPr>
          <w:rFonts w:ascii="Arial" w:hAnsi="Arial" w:cs="Arial"/>
          <w:sz w:val="20"/>
          <w:szCs w:val="20"/>
        </w:rPr>
        <w:fldChar w:fldCharType="begin"/>
      </w:r>
      <w:r w:rsidR="00EB2230">
        <w:rPr>
          <w:rFonts w:ascii="Arial" w:hAnsi="Arial" w:cs="Arial"/>
          <w:sz w:val="20"/>
          <w:szCs w:val="20"/>
        </w:rPr>
        <w:instrText xml:space="preserve"> REF _Ref463531047 \h  \* MERGEFORMAT </w:instrText>
      </w:r>
      <w:r w:rsidR="00EB2230">
        <w:rPr>
          <w:rFonts w:ascii="Arial" w:hAnsi="Arial" w:cs="Arial"/>
          <w:sz w:val="20"/>
          <w:szCs w:val="20"/>
        </w:rPr>
      </w:r>
      <w:r w:rsidR="00EB2230">
        <w:rPr>
          <w:rFonts w:ascii="Arial" w:hAnsi="Arial" w:cs="Arial"/>
          <w:sz w:val="20"/>
          <w:szCs w:val="20"/>
        </w:rPr>
        <w:fldChar w:fldCharType="separate"/>
      </w:r>
      <w:r w:rsidR="00EB2230" w:rsidRPr="00EB2230">
        <w:rPr>
          <w:rFonts w:ascii="Arial" w:hAnsi="Arial" w:cs="Arial"/>
          <w:sz w:val="20"/>
          <w:szCs w:val="20"/>
        </w:rPr>
        <w:t>Şekil 2</w:t>
      </w:r>
      <w:r w:rsidR="00EB2230">
        <w:rPr>
          <w:rFonts w:ascii="Arial" w:hAnsi="Arial" w:cs="Arial"/>
          <w:sz w:val="20"/>
          <w:szCs w:val="20"/>
        </w:rPr>
        <w:fldChar w:fldCharType="end"/>
      </w:r>
      <w:r w:rsidR="00AF73FC" w:rsidRPr="0027354C">
        <w:rPr>
          <w:rFonts w:ascii="Arial" w:hAnsi="Arial" w:cs="Arial"/>
          <w:sz w:val="20"/>
          <w:szCs w:val="20"/>
        </w:rPr>
        <w:t>). Şekil 1’de kişi başına gelir artışı eğrisi ile emek verimliliği eğrisinin hemen hemen örtüşük olması da bu olgunun bir başka tezahürü</w:t>
      </w:r>
      <w:r w:rsidRPr="0027354C">
        <w:rPr>
          <w:rFonts w:ascii="Arial" w:hAnsi="Arial" w:cs="Arial"/>
          <w:sz w:val="20"/>
          <w:szCs w:val="20"/>
        </w:rPr>
        <w:t>dür</w:t>
      </w:r>
      <w:r w:rsidR="00AF73FC" w:rsidRPr="0027354C">
        <w:rPr>
          <w:rFonts w:ascii="Arial" w:hAnsi="Arial" w:cs="Arial"/>
          <w:sz w:val="20"/>
          <w:szCs w:val="20"/>
        </w:rPr>
        <w:t>.</w:t>
      </w:r>
      <w:r w:rsidR="00AE2FAA" w:rsidRPr="0027354C">
        <w:rPr>
          <w:rFonts w:ascii="Arial" w:hAnsi="Arial" w:cs="Arial"/>
          <w:sz w:val="20"/>
          <w:szCs w:val="20"/>
        </w:rPr>
        <w:t xml:space="preserve"> Bu gelişmenin ardında iki etken söz konusu</w:t>
      </w:r>
      <w:r w:rsidR="005C0367" w:rsidRPr="0027354C">
        <w:rPr>
          <w:rFonts w:ascii="Arial" w:hAnsi="Arial" w:cs="Arial"/>
          <w:sz w:val="20"/>
          <w:szCs w:val="20"/>
        </w:rPr>
        <w:t>dur</w:t>
      </w:r>
      <w:r w:rsidR="00AE2FAA" w:rsidRPr="0027354C">
        <w:rPr>
          <w:rFonts w:ascii="Arial" w:hAnsi="Arial" w:cs="Arial"/>
          <w:sz w:val="20"/>
          <w:szCs w:val="20"/>
        </w:rPr>
        <w:t>: Bu dönemde tarım istihdamında meydana gelen hızlı azalma (</w:t>
      </w:r>
      <w:r w:rsidR="00EB2230">
        <w:rPr>
          <w:rFonts w:ascii="Arial" w:hAnsi="Arial" w:cs="Arial"/>
          <w:sz w:val="20"/>
          <w:szCs w:val="20"/>
        </w:rPr>
        <w:fldChar w:fldCharType="begin"/>
      </w:r>
      <w:r w:rsidR="00EB2230">
        <w:rPr>
          <w:rFonts w:ascii="Arial" w:hAnsi="Arial" w:cs="Arial"/>
          <w:sz w:val="20"/>
          <w:szCs w:val="20"/>
        </w:rPr>
        <w:instrText xml:space="preserve"> REF _Ref463531088 \h  \* MERGEFORMAT </w:instrText>
      </w:r>
      <w:r w:rsidR="00EB2230">
        <w:rPr>
          <w:rFonts w:ascii="Arial" w:hAnsi="Arial" w:cs="Arial"/>
          <w:sz w:val="20"/>
          <w:szCs w:val="20"/>
        </w:rPr>
      </w:r>
      <w:r w:rsidR="00EB2230">
        <w:rPr>
          <w:rFonts w:ascii="Arial" w:hAnsi="Arial" w:cs="Arial"/>
          <w:sz w:val="20"/>
          <w:szCs w:val="20"/>
        </w:rPr>
        <w:fldChar w:fldCharType="separate"/>
      </w:r>
      <w:r w:rsidR="00EB2230" w:rsidRPr="00EB2230">
        <w:rPr>
          <w:rFonts w:ascii="Arial" w:hAnsi="Arial" w:cs="Arial"/>
          <w:sz w:val="20"/>
          <w:szCs w:val="20"/>
        </w:rPr>
        <w:t>Ek Tablo 1</w:t>
      </w:r>
      <w:r w:rsidR="00EB2230">
        <w:rPr>
          <w:rFonts w:ascii="Arial" w:hAnsi="Arial" w:cs="Arial"/>
          <w:sz w:val="20"/>
          <w:szCs w:val="20"/>
        </w:rPr>
        <w:fldChar w:fldCharType="end"/>
      </w:r>
      <w:r w:rsidR="00AE2FAA" w:rsidRPr="0027354C">
        <w:rPr>
          <w:rFonts w:ascii="Arial" w:hAnsi="Arial" w:cs="Arial"/>
          <w:sz w:val="20"/>
          <w:szCs w:val="20"/>
        </w:rPr>
        <w:t xml:space="preserve">) ve emek verimliliğindeki artış. O yıllarda ekonomi gündeminin gözde konularından olan “istihdamsız büyüme” iddiasının ardında tarım istihdamındaki bu hızlı düşüş yatmaktadır. Tarım dışında istihdam artışı </w:t>
      </w:r>
      <w:r w:rsidR="00AF73FC" w:rsidRPr="0027354C">
        <w:rPr>
          <w:rFonts w:ascii="Arial" w:hAnsi="Arial" w:cs="Arial"/>
          <w:sz w:val="20"/>
          <w:szCs w:val="20"/>
        </w:rPr>
        <w:t xml:space="preserve">emek </w:t>
      </w:r>
      <w:r w:rsidR="00AE2FAA" w:rsidRPr="0027354C">
        <w:rPr>
          <w:rFonts w:ascii="Arial" w:hAnsi="Arial" w:cs="Arial"/>
          <w:sz w:val="20"/>
          <w:szCs w:val="20"/>
        </w:rPr>
        <w:t>verimli</w:t>
      </w:r>
      <w:r w:rsidR="00AF73FC" w:rsidRPr="0027354C">
        <w:rPr>
          <w:rFonts w:ascii="Arial" w:hAnsi="Arial" w:cs="Arial"/>
          <w:sz w:val="20"/>
          <w:szCs w:val="20"/>
        </w:rPr>
        <w:t xml:space="preserve">ğindeki </w:t>
      </w:r>
      <w:r w:rsidR="00AE2FAA" w:rsidRPr="0027354C">
        <w:rPr>
          <w:rFonts w:ascii="Arial" w:hAnsi="Arial" w:cs="Arial"/>
          <w:sz w:val="20"/>
          <w:szCs w:val="20"/>
        </w:rPr>
        <w:t>artışlar</w:t>
      </w:r>
      <w:r w:rsidR="00AF73FC" w:rsidRPr="0027354C">
        <w:rPr>
          <w:rFonts w:ascii="Arial" w:hAnsi="Arial" w:cs="Arial"/>
          <w:sz w:val="20"/>
          <w:szCs w:val="20"/>
        </w:rPr>
        <w:t xml:space="preserve"> ile desteklenirken</w:t>
      </w:r>
      <w:r w:rsidR="00AE2FAA" w:rsidRPr="0027354C">
        <w:rPr>
          <w:rFonts w:ascii="Arial" w:hAnsi="Arial" w:cs="Arial"/>
          <w:sz w:val="20"/>
          <w:szCs w:val="20"/>
        </w:rPr>
        <w:t xml:space="preserve"> (kabaca yüzde 1’lik büyüme yüzde 0,5 istihdam artışı yaratıyordu), tarım istihdamındaki gerileme toplam istihdamın yavaş artmasına neden oldu. </w:t>
      </w:r>
    </w:p>
    <w:p w:rsidR="009D70EB" w:rsidRPr="0027354C" w:rsidRDefault="009D70EB" w:rsidP="0027354C">
      <w:pPr>
        <w:spacing w:line="360" w:lineRule="auto"/>
        <w:jc w:val="both"/>
        <w:rPr>
          <w:rFonts w:ascii="Arial" w:hAnsi="Arial" w:cs="Arial"/>
          <w:sz w:val="20"/>
          <w:szCs w:val="20"/>
        </w:rPr>
      </w:pPr>
    </w:p>
    <w:p w:rsidR="0027354C" w:rsidRDefault="00AE2FAA" w:rsidP="0027354C">
      <w:pPr>
        <w:spacing w:line="360" w:lineRule="auto"/>
        <w:jc w:val="both"/>
        <w:rPr>
          <w:rFonts w:ascii="Arial" w:hAnsi="Arial" w:cs="Arial"/>
          <w:sz w:val="20"/>
          <w:szCs w:val="20"/>
        </w:rPr>
      </w:pPr>
      <w:r w:rsidRPr="0027354C">
        <w:rPr>
          <w:rFonts w:ascii="Arial" w:hAnsi="Arial" w:cs="Arial"/>
          <w:sz w:val="20"/>
          <w:szCs w:val="20"/>
        </w:rPr>
        <w:lastRenderedPageBreak/>
        <w:t>Çoğunlukla olumsuz olarak yorumlanan bu gelişme aslında hızlı artan emek verimliliği sayesinde kişi başı gelir artışlarını ivmelendirmiştir. Gerek başta sanayi olmak üzere tarım dışı sektörlerde emek verimliliği artışı gerek tarım istihdamındaki hızlı azalma sayesinde istihdam bileşiminin tarıma kıyasla daha yüksek verimli sektörler lehine değişmesi (bileşim etkisi) ortalama emek verimliliğini önemli ölçüde artırmıştır. Şekil 2’de kriz öncesi kişi başına gelir artışına belirleyici katkının emek verimliliğinden geldiği çok net biçimde görülmektedir. 2005(1) – 2008(</w:t>
      </w:r>
      <w:r w:rsidR="005C0B69" w:rsidRPr="0027354C">
        <w:rPr>
          <w:rFonts w:ascii="Arial" w:hAnsi="Arial" w:cs="Arial"/>
          <w:sz w:val="20"/>
          <w:szCs w:val="20"/>
        </w:rPr>
        <w:t>1</w:t>
      </w:r>
      <w:r w:rsidRPr="0027354C">
        <w:rPr>
          <w:rFonts w:ascii="Arial" w:hAnsi="Arial" w:cs="Arial"/>
          <w:sz w:val="20"/>
          <w:szCs w:val="20"/>
        </w:rPr>
        <w:t xml:space="preserve">) döneminde emek verimliliği endeksi 100’den </w:t>
      </w:r>
      <w:r w:rsidR="005C0B69" w:rsidRPr="0027354C">
        <w:rPr>
          <w:rFonts w:ascii="Arial" w:hAnsi="Arial" w:cs="Arial"/>
          <w:sz w:val="20"/>
          <w:szCs w:val="20"/>
        </w:rPr>
        <w:t>hemen hemen</w:t>
      </w:r>
      <w:r w:rsidR="00BE08D2" w:rsidRPr="0027354C">
        <w:rPr>
          <w:rFonts w:ascii="Arial" w:hAnsi="Arial" w:cs="Arial"/>
          <w:sz w:val="20"/>
          <w:szCs w:val="20"/>
        </w:rPr>
        <w:t xml:space="preserve"> </w:t>
      </w:r>
      <w:r w:rsidRPr="0027354C">
        <w:rPr>
          <w:rFonts w:ascii="Arial" w:hAnsi="Arial" w:cs="Arial"/>
          <w:sz w:val="20"/>
          <w:szCs w:val="20"/>
        </w:rPr>
        <w:t>1</w:t>
      </w:r>
      <w:r w:rsidR="005C0B69" w:rsidRPr="0027354C">
        <w:rPr>
          <w:rFonts w:ascii="Arial" w:hAnsi="Arial" w:cs="Arial"/>
          <w:sz w:val="20"/>
          <w:szCs w:val="20"/>
        </w:rPr>
        <w:t>1</w:t>
      </w:r>
      <w:r w:rsidRPr="0027354C">
        <w:rPr>
          <w:rFonts w:ascii="Arial" w:hAnsi="Arial" w:cs="Arial"/>
          <w:sz w:val="20"/>
          <w:szCs w:val="20"/>
        </w:rPr>
        <w:t>0</w:t>
      </w:r>
      <w:r w:rsidR="005C0B69" w:rsidRPr="0027354C">
        <w:rPr>
          <w:rFonts w:ascii="Arial" w:hAnsi="Arial" w:cs="Arial"/>
          <w:sz w:val="20"/>
          <w:szCs w:val="20"/>
        </w:rPr>
        <w:t>’</w:t>
      </w:r>
      <w:r w:rsidRPr="0027354C">
        <w:rPr>
          <w:rFonts w:ascii="Arial" w:hAnsi="Arial" w:cs="Arial"/>
          <w:sz w:val="20"/>
          <w:szCs w:val="20"/>
        </w:rPr>
        <w:t>a yükselmiş, kişi başına gelir endeksi de 11</w:t>
      </w:r>
      <w:r w:rsidR="005C0B69" w:rsidRPr="0027354C">
        <w:rPr>
          <w:rFonts w:ascii="Arial" w:hAnsi="Arial" w:cs="Arial"/>
          <w:sz w:val="20"/>
          <w:szCs w:val="20"/>
        </w:rPr>
        <w:t>1’e yaklaşmıştır</w:t>
      </w:r>
      <w:r w:rsidR="00EB2230">
        <w:rPr>
          <w:rFonts w:ascii="Arial" w:hAnsi="Arial" w:cs="Arial"/>
          <w:sz w:val="20"/>
          <w:szCs w:val="20"/>
        </w:rPr>
        <w:t xml:space="preserve"> (</w:t>
      </w:r>
      <w:r w:rsidR="00EB2230">
        <w:rPr>
          <w:rFonts w:ascii="Arial" w:hAnsi="Arial" w:cs="Arial"/>
          <w:sz w:val="20"/>
          <w:szCs w:val="20"/>
        </w:rPr>
        <w:fldChar w:fldCharType="begin"/>
      </w:r>
      <w:r w:rsidR="00EB2230">
        <w:rPr>
          <w:rFonts w:ascii="Arial" w:hAnsi="Arial" w:cs="Arial"/>
          <w:sz w:val="20"/>
          <w:szCs w:val="20"/>
        </w:rPr>
        <w:instrText xml:space="preserve"> REF _Ref463531385 \h  \* MERGEFORMAT </w:instrText>
      </w:r>
      <w:r w:rsidR="00EB2230">
        <w:rPr>
          <w:rFonts w:ascii="Arial" w:hAnsi="Arial" w:cs="Arial"/>
          <w:sz w:val="20"/>
          <w:szCs w:val="20"/>
        </w:rPr>
      </w:r>
      <w:r w:rsidR="00EB2230">
        <w:rPr>
          <w:rFonts w:ascii="Arial" w:hAnsi="Arial" w:cs="Arial"/>
          <w:sz w:val="20"/>
          <w:szCs w:val="20"/>
        </w:rPr>
        <w:fldChar w:fldCharType="separate"/>
      </w:r>
      <w:r w:rsidR="00EB2230" w:rsidRPr="00EB2230">
        <w:rPr>
          <w:rFonts w:ascii="Arial" w:hAnsi="Arial" w:cs="Arial"/>
          <w:sz w:val="20"/>
          <w:szCs w:val="20"/>
        </w:rPr>
        <w:t>Şekil 1</w:t>
      </w:r>
      <w:r w:rsidR="00EB2230">
        <w:rPr>
          <w:rFonts w:ascii="Arial" w:hAnsi="Arial" w:cs="Arial"/>
          <w:sz w:val="20"/>
          <w:szCs w:val="20"/>
        </w:rPr>
        <w:fldChar w:fldCharType="end"/>
      </w:r>
      <w:r w:rsidRPr="0027354C">
        <w:rPr>
          <w:rFonts w:ascii="Arial" w:hAnsi="Arial" w:cs="Arial"/>
          <w:sz w:val="20"/>
          <w:szCs w:val="20"/>
        </w:rPr>
        <w:t>).</w:t>
      </w:r>
    </w:p>
    <w:p w:rsidR="00AE2FAA" w:rsidRPr="0027354C" w:rsidRDefault="0027354C" w:rsidP="0027354C">
      <w:pPr>
        <w:spacing w:line="360" w:lineRule="auto"/>
        <w:jc w:val="both"/>
        <w:rPr>
          <w:rFonts w:ascii="Arial" w:hAnsi="Arial" w:cs="Arial"/>
          <w:sz w:val="20"/>
          <w:szCs w:val="20"/>
        </w:rPr>
      </w:pPr>
      <w:r>
        <w:rPr>
          <w:rFonts w:ascii="Arial" w:hAnsi="Arial" w:cs="Arial"/>
          <w:b/>
          <w:sz w:val="20"/>
          <w:szCs w:val="20"/>
        </w:rPr>
        <w:br/>
      </w:r>
      <w:bookmarkStart w:id="3" w:name="_Ref463531047"/>
      <w:r w:rsidRPr="0027354C">
        <w:rPr>
          <w:rFonts w:ascii="Arial" w:hAnsi="Arial" w:cs="Arial"/>
          <w:b/>
          <w:sz w:val="20"/>
          <w:szCs w:val="20"/>
        </w:rPr>
        <w:t xml:space="preserve">Şekil </w:t>
      </w:r>
      <w:r w:rsidRPr="0027354C">
        <w:rPr>
          <w:rFonts w:ascii="Arial" w:hAnsi="Arial" w:cs="Arial"/>
          <w:b/>
          <w:sz w:val="20"/>
          <w:szCs w:val="20"/>
        </w:rPr>
        <w:fldChar w:fldCharType="begin"/>
      </w:r>
      <w:r w:rsidRPr="0027354C">
        <w:rPr>
          <w:rFonts w:ascii="Arial" w:hAnsi="Arial" w:cs="Arial"/>
          <w:b/>
          <w:sz w:val="20"/>
          <w:szCs w:val="20"/>
        </w:rPr>
        <w:instrText xml:space="preserve"> SEQ Şekil \* ARABIC </w:instrText>
      </w:r>
      <w:r w:rsidRPr="0027354C">
        <w:rPr>
          <w:rFonts w:ascii="Arial" w:hAnsi="Arial" w:cs="Arial"/>
          <w:b/>
          <w:sz w:val="20"/>
          <w:szCs w:val="20"/>
        </w:rPr>
        <w:fldChar w:fldCharType="separate"/>
      </w:r>
      <w:r w:rsidRPr="0027354C">
        <w:rPr>
          <w:rFonts w:ascii="Arial" w:hAnsi="Arial" w:cs="Arial"/>
          <w:b/>
          <w:sz w:val="20"/>
          <w:szCs w:val="20"/>
        </w:rPr>
        <w:t>2</w:t>
      </w:r>
      <w:r w:rsidRPr="0027354C">
        <w:rPr>
          <w:rFonts w:ascii="Arial" w:hAnsi="Arial" w:cs="Arial"/>
          <w:b/>
          <w:sz w:val="20"/>
          <w:szCs w:val="20"/>
        </w:rPr>
        <w:fldChar w:fldCharType="end"/>
      </w:r>
      <w:bookmarkEnd w:id="3"/>
      <w:r w:rsidRPr="0027354C">
        <w:rPr>
          <w:rFonts w:ascii="Arial" w:hAnsi="Arial" w:cs="Arial"/>
        </w:rPr>
        <w:t xml:space="preserve">. </w:t>
      </w:r>
      <w:r w:rsidRPr="0027354C">
        <w:rPr>
          <w:rFonts w:ascii="Arial" w:hAnsi="Arial" w:cs="Arial"/>
          <w:b/>
          <w:sz w:val="20"/>
          <w:szCs w:val="20"/>
        </w:rPr>
        <w:t>Çeyrekten çeyreğe yıllık kişi başına düşen GSYH artışına büyüme bileşenlerinin katkıları: 2006(1)-2016(2) (Mevsim ve takvim etkilerinden arındırılmış)</w:t>
      </w:r>
    </w:p>
    <w:p w:rsidR="00BB7843" w:rsidRPr="0027354C" w:rsidRDefault="00BB7843" w:rsidP="0027354C">
      <w:pPr>
        <w:spacing w:line="360" w:lineRule="auto"/>
        <w:rPr>
          <w:rFonts w:ascii="Arial" w:hAnsi="Arial" w:cs="Arial"/>
          <w:b/>
          <w:sz w:val="20"/>
          <w:szCs w:val="20"/>
        </w:rPr>
      </w:pPr>
    </w:p>
    <w:p w:rsidR="00AE2FAA" w:rsidRPr="0027354C" w:rsidRDefault="003208C7" w:rsidP="0027354C">
      <w:pPr>
        <w:spacing w:line="360" w:lineRule="auto"/>
        <w:rPr>
          <w:rFonts w:ascii="Arial" w:hAnsi="Arial" w:cs="Arial"/>
          <w:b/>
          <w:sz w:val="20"/>
          <w:szCs w:val="20"/>
        </w:rPr>
      </w:pPr>
      <w:r w:rsidRPr="0027354C">
        <w:rPr>
          <w:noProof/>
          <w:lang w:eastAsia="tr-TR"/>
        </w:rPr>
        <w:drawing>
          <wp:inline distT="0" distB="0" distL="0" distR="0" wp14:anchorId="59ADF769" wp14:editId="01F96704">
            <wp:extent cx="6159398" cy="3372307"/>
            <wp:effectExtent l="0" t="0" r="1333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6A93" w:rsidRPr="0027354C" w:rsidRDefault="00976A93" w:rsidP="0027354C">
      <w:pPr>
        <w:spacing w:line="360" w:lineRule="auto"/>
        <w:rPr>
          <w:rFonts w:ascii="Arial" w:hAnsi="Arial" w:cs="Arial"/>
          <w:sz w:val="16"/>
          <w:szCs w:val="16"/>
        </w:rPr>
      </w:pPr>
      <w:r w:rsidRPr="0027354C">
        <w:rPr>
          <w:rFonts w:ascii="Arial" w:hAnsi="Arial" w:cs="Arial"/>
          <w:sz w:val="16"/>
          <w:szCs w:val="16"/>
        </w:rPr>
        <w:t>Kaynak: TÜİK, Betam.</w:t>
      </w:r>
    </w:p>
    <w:p w:rsidR="003208C7" w:rsidRPr="0027354C" w:rsidRDefault="003208C7" w:rsidP="0027354C">
      <w:pPr>
        <w:spacing w:line="360" w:lineRule="auto"/>
        <w:rPr>
          <w:rFonts w:ascii="Arial" w:hAnsi="Arial" w:cs="Arial"/>
          <w:b/>
          <w:sz w:val="20"/>
          <w:szCs w:val="20"/>
        </w:rPr>
      </w:pPr>
    </w:p>
    <w:p w:rsidR="00AE2FAA" w:rsidRPr="0027354C" w:rsidRDefault="00344E64" w:rsidP="0027354C">
      <w:pPr>
        <w:spacing w:line="360" w:lineRule="auto"/>
        <w:rPr>
          <w:rFonts w:ascii="Arial" w:hAnsi="Arial" w:cs="Arial"/>
          <w:b/>
          <w:sz w:val="20"/>
          <w:szCs w:val="20"/>
        </w:rPr>
      </w:pPr>
      <w:r w:rsidRPr="0027354C">
        <w:rPr>
          <w:rFonts w:ascii="Arial" w:hAnsi="Arial" w:cs="Arial"/>
          <w:b/>
          <w:sz w:val="20"/>
          <w:szCs w:val="20"/>
        </w:rPr>
        <w:t>Krizden güçlü çıkış</w:t>
      </w:r>
      <w:r w:rsidR="00917AD0" w:rsidRPr="0027354C">
        <w:rPr>
          <w:rFonts w:ascii="Arial" w:hAnsi="Arial" w:cs="Arial"/>
          <w:b/>
          <w:sz w:val="20"/>
          <w:szCs w:val="20"/>
        </w:rPr>
        <w:t xml:space="preserve"> </w:t>
      </w:r>
      <w:r w:rsidRPr="0027354C">
        <w:rPr>
          <w:rFonts w:ascii="Arial" w:hAnsi="Arial" w:cs="Arial"/>
          <w:b/>
          <w:sz w:val="20"/>
          <w:szCs w:val="20"/>
        </w:rPr>
        <w:t>-</w:t>
      </w:r>
      <w:r w:rsidR="00917AD0" w:rsidRPr="0027354C">
        <w:rPr>
          <w:rFonts w:ascii="Arial" w:hAnsi="Arial" w:cs="Arial"/>
          <w:b/>
          <w:sz w:val="20"/>
          <w:szCs w:val="20"/>
        </w:rPr>
        <w:t xml:space="preserve"> E</w:t>
      </w:r>
      <w:r w:rsidRPr="0027354C">
        <w:rPr>
          <w:rFonts w:ascii="Arial" w:hAnsi="Arial" w:cs="Arial"/>
          <w:b/>
          <w:sz w:val="20"/>
          <w:szCs w:val="20"/>
        </w:rPr>
        <w:t>mek verimliliğinde zayıflama (</w:t>
      </w:r>
      <w:r w:rsidR="006E4EBF" w:rsidRPr="0027354C">
        <w:rPr>
          <w:rFonts w:ascii="Arial" w:hAnsi="Arial" w:cs="Arial"/>
          <w:b/>
          <w:sz w:val="20"/>
          <w:szCs w:val="20"/>
        </w:rPr>
        <w:t>2009(1)-2011(2)</w:t>
      </w:r>
      <w:r w:rsidRPr="0027354C">
        <w:rPr>
          <w:rFonts w:ascii="Arial" w:hAnsi="Arial" w:cs="Arial"/>
          <w:b/>
          <w:sz w:val="20"/>
          <w:szCs w:val="20"/>
        </w:rPr>
        <w:t>)</w:t>
      </w:r>
    </w:p>
    <w:p w:rsidR="00AE2FAA" w:rsidRPr="0027354C" w:rsidRDefault="00AE2FAA" w:rsidP="0027354C">
      <w:pPr>
        <w:spacing w:line="360" w:lineRule="auto"/>
        <w:rPr>
          <w:rFonts w:ascii="Arial" w:hAnsi="Arial" w:cs="Arial"/>
          <w:b/>
          <w:sz w:val="20"/>
          <w:szCs w:val="20"/>
        </w:rPr>
      </w:pPr>
    </w:p>
    <w:p w:rsidR="00AE2FAA" w:rsidRPr="0027354C" w:rsidRDefault="00AE2FAA" w:rsidP="0027354C">
      <w:pPr>
        <w:spacing w:line="360" w:lineRule="auto"/>
        <w:jc w:val="both"/>
        <w:rPr>
          <w:rFonts w:ascii="Arial" w:hAnsi="Arial" w:cs="Arial"/>
          <w:sz w:val="20"/>
          <w:szCs w:val="20"/>
        </w:rPr>
      </w:pPr>
      <w:r w:rsidRPr="0027354C">
        <w:rPr>
          <w:rFonts w:ascii="Arial" w:hAnsi="Arial" w:cs="Arial"/>
          <w:sz w:val="20"/>
          <w:szCs w:val="20"/>
        </w:rPr>
        <w:t xml:space="preserve">Kriz döneminin analizi konumuz açısından anlamlı değil. Tahmin edilebileceği gibi, GSYH istihdamdan çok daha hızlı azaldığından, kriz sırasında emek verimliliği büyük ölçüde gerilemiş, istihdam oranı da daha sınırlı olmak üzere azalmıştır. 2009’un </w:t>
      </w:r>
      <w:r w:rsidR="00971131" w:rsidRPr="0027354C">
        <w:rPr>
          <w:rFonts w:ascii="Arial" w:hAnsi="Arial" w:cs="Arial"/>
          <w:sz w:val="20"/>
          <w:szCs w:val="20"/>
        </w:rPr>
        <w:t>ikinci yarısından</w:t>
      </w:r>
      <w:r w:rsidRPr="0027354C">
        <w:rPr>
          <w:rFonts w:ascii="Arial" w:hAnsi="Arial" w:cs="Arial"/>
          <w:sz w:val="20"/>
          <w:szCs w:val="20"/>
        </w:rPr>
        <w:t xml:space="preserve"> itibaren Türkiye ekonomisi krizden hızla çıkmış ve 2011’in ikinci yarısına kadar çok yüksek büyüme hızları gerçekleşmiştir. Ancak bu büyümenin dinamiği kriz öncesi döneme kıyasla çok farklıdır. </w:t>
      </w:r>
    </w:p>
    <w:p w:rsidR="00AE2FAA" w:rsidRPr="0027354C" w:rsidRDefault="00AE2FAA" w:rsidP="0027354C">
      <w:pPr>
        <w:spacing w:line="360" w:lineRule="auto"/>
        <w:jc w:val="both"/>
        <w:rPr>
          <w:rFonts w:ascii="Arial" w:hAnsi="Arial" w:cs="Arial"/>
          <w:sz w:val="20"/>
          <w:szCs w:val="20"/>
        </w:rPr>
      </w:pPr>
    </w:p>
    <w:p w:rsidR="0027354C" w:rsidRPr="00860C3F" w:rsidRDefault="00971131" w:rsidP="0027354C">
      <w:pPr>
        <w:spacing w:line="360" w:lineRule="auto"/>
        <w:jc w:val="both"/>
        <w:rPr>
          <w:rFonts w:ascii="Arial" w:hAnsi="Arial" w:cs="Arial"/>
          <w:sz w:val="20"/>
          <w:szCs w:val="20"/>
        </w:rPr>
      </w:pPr>
      <w:r w:rsidRPr="0027354C">
        <w:rPr>
          <w:rFonts w:ascii="Arial" w:hAnsi="Arial" w:cs="Arial"/>
          <w:sz w:val="20"/>
          <w:szCs w:val="20"/>
        </w:rPr>
        <w:t xml:space="preserve">Bu dönemde </w:t>
      </w:r>
      <w:r w:rsidR="00AE2FAA" w:rsidRPr="0027354C">
        <w:rPr>
          <w:rFonts w:ascii="Arial" w:hAnsi="Arial" w:cs="Arial"/>
          <w:sz w:val="20"/>
          <w:szCs w:val="20"/>
        </w:rPr>
        <w:t>emek verimliliğindeki artışlar kişi başına gelir artışına pozitif katkı yapmaya devam etmiş ancak bu katkı kriz öncesine kıyasla</w:t>
      </w:r>
      <w:r w:rsidR="00460D2A" w:rsidRPr="0027354C">
        <w:rPr>
          <w:rFonts w:ascii="Arial" w:hAnsi="Arial" w:cs="Arial"/>
          <w:sz w:val="20"/>
          <w:szCs w:val="20"/>
        </w:rPr>
        <w:t xml:space="preserve"> zayıflamıştır. 2009(1) – 2011(2</w:t>
      </w:r>
      <w:r w:rsidR="00AE2FAA" w:rsidRPr="0027354C">
        <w:rPr>
          <w:rFonts w:ascii="Arial" w:hAnsi="Arial" w:cs="Arial"/>
          <w:sz w:val="20"/>
          <w:szCs w:val="20"/>
        </w:rPr>
        <w:t>) döneminde emek verimliliği endeksi 103’den 106</w:t>
      </w:r>
      <w:r w:rsidRPr="0027354C">
        <w:rPr>
          <w:rFonts w:ascii="Arial" w:hAnsi="Arial" w:cs="Arial"/>
          <w:sz w:val="20"/>
          <w:szCs w:val="20"/>
        </w:rPr>
        <w:t>’ya</w:t>
      </w:r>
      <w:r w:rsidR="00AE2FAA" w:rsidRPr="0027354C">
        <w:rPr>
          <w:rFonts w:ascii="Arial" w:hAnsi="Arial" w:cs="Arial"/>
          <w:sz w:val="20"/>
          <w:szCs w:val="20"/>
        </w:rPr>
        <w:t xml:space="preserve"> </w:t>
      </w:r>
      <w:r w:rsidR="006924FF" w:rsidRPr="0027354C">
        <w:rPr>
          <w:rFonts w:ascii="Arial" w:hAnsi="Arial" w:cs="Arial"/>
          <w:sz w:val="20"/>
          <w:szCs w:val="20"/>
        </w:rPr>
        <w:t xml:space="preserve">sınırlı ölçüde </w:t>
      </w:r>
      <w:r w:rsidR="00AE2FAA" w:rsidRPr="0027354C">
        <w:rPr>
          <w:rFonts w:ascii="Arial" w:hAnsi="Arial" w:cs="Arial"/>
          <w:sz w:val="20"/>
          <w:szCs w:val="20"/>
        </w:rPr>
        <w:t>yükselmiştir (</w:t>
      </w:r>
      <w:r w:rsidR="00EB2230">
        <w:rPr>
          <w:rFonts w:ascii="Arial" w:hAnsi="Arial" w:cs="Arial"/>
          <w:sz w:val="20"/>
          <w:szCs w:val="20"/>
        </w:rPr>
        <w:fldChar w:fldCharType="begin"/>
      </w:r>
      <w:r w:rsidR="00EB2230">
        <w:rPr>
          <w:rFonts w:ascii="Arial" w:hAnsi="Arial" w:cs="Arial"/>
          <w:sz w:val="20"/>
          <w:szCs w:val="20"/>
        </w:rPr>
        <w:instrText xml:space="preserve"> REF _Ref463531385 \h  \* MERGEFORMAT </w:instrText>
      </w:r>
      <w:r w:rsidR="00EB2230">
        <w:rPr>
          <w:rFonts w:ascii="Arial" w:hAnsi="Arial" w:cs="Arial"/>
          <w:sz w:val="20"/>
          <w:szCs w:val="20"/>
        </w:rPr>
      </w:r>
      <w:r w:rsidR="00EB2230">
        <w:rPr>
          <w:rFonts w:ascii="Arial" w:hAnsi="Arial" w:cs="Arial"/>
          <w:sz w:val="20"/>
          <w:szCs w:val="20"/>
        </w:rPr>
        <w:fldChar w:fldCharType="separate"/>
      </w:r>
      <w:r w:rsidR="00EB2230" w:rsidRPr="00EB2230">
        <w:rPr>
          <w:rFonts w:ascii="Arial" w:hAnsi="Arial" w:cs="Arial"/>
          <w:sz w:val="20"/>
          <w:szCs w:val="20"/>
        </w:rPr>
        <w:t>Şekil 1</w:t>
      </w:r>
      <w:r w:rsidR="00EB2230">
        <w:rPr>
          <w:rFonts w:ascii="Arial" w:hAnsi="Arial" w:cs="Arial"/>
          <w:sz w:val="20"/>
          <w:szCs w:val="20"/>
        </w:rPr>
        <w:fldChar w:fldCharType="end"/>
      </w:r>
      <w:r w:rsidR="00FF567A" w:rsidRPr="0027354C">
        <w:rPr>
          <w:rFonts w:ascii="Arial" w:hAnsi="Arial" w:cs="Arial"/>
          <w:sz w:val="20"/>
          <w:szCs w:val="20"/>
        </w:rPr>
        <w:t>)</w:t>
      </w:r>
      <w:r w:rsidR="00BE08D2" w:rsidRPr="0027354C">
        <w:rPr>
          <w:rFonts w:ascii="Arial" w:hAnsi="Arial" w:cs="Arial"/>
          <w:sz w:val="20"/>
          <w:szCs w:val="20"/>
        </w:rPr>
        <w:t>. İstihdam oranında da benzer</w:t>
      </w:r>
      <w:r w:rsidR="00AE2FAA" w:rsidRPr="0027354C">
        <w:rPr>
          <w:rFonts w:ascii="Arial" w:hAnsi="Arial" w:cs="Arial"/>
          <w:sz w:val="20"/>
          <w:szCs w:val="20"/>
        </w:rPr>
        <w:t xml:space="preserve"> bir artış söz konusudur. Bu değişkenin endeksi aynı dönemde </w:t>
      </w:r>
      <w:r w:rsidRPr="0027354C">
        <w:rPr>
          <w:rFonts w:ascii="Arial" w:hAnsi="Arial" w:cs="Arial"/>
          <w:sz w:val="20"/>
          <w:szCs w:val="20"/>
        </w:rPr>
        <w:t>100’den</w:t>
      </w:r>
      <w:r w:rsidR="00AE2FAA" w:rsidRPr="0027354C">
        <w:rPr>
          <w:rFonts w:ascii="Arial" w:hAnsi="Arial" w:cs="Arial"/>
          <w:sz w:val="20"/>
          <w:szCs w:val="20"/>
        </w:rPr>
        <w:t xml:space="preserve"> 10</w:t>
      </w:r>
      <w:r w:rsidRPr="0027354C">
        <w:rPr>
          <w:rFonts w:ascii="Arial" w:hAnsi="Arial" w:cs="Arial"/>
          <w:sz w:val="20"/>
          <w:szCs w:val="20"/>
        </w:rPr>
        <w:t>3’e çıkmıştır</w:t>
      </w:r>
      <w:r w:rsidR="00AE2FAA" w:rsidRPr="0027354C">
        <w:rPr>
          <w:rFonts w:ascii="Arial" w:hAnsi="Arial" w:cs="Arial"/>
          <w:sz w:val="20"/>
          <w:szCs w:val="20"/>
        </w:rPr>
        <w:t xml:space="preserve">. </w:t>
      </w:r>
      <w:r w:rsidRPr="0027354C">
        <w:rPr>
          <w:rFonts w:ascii="Arial" w:hAnsi="Arial" w:cs="Arial"/>
          <w:sz w:val="20"/>
          <w:szCs w:val="20"/>
        </w:rPr>
        <w:t>B</w:t>
      </w:r>
      <w:r w:rsidR="00AE2FAA" w:rsidRPr="0027354C">
        <w:rPr>
          <w:rFonts w:ascii="Arial" w:hAnsi="Arial" w:cs="Arial"/>
          <w:sz w:val="20"/>
          <w:szCs w:val="20"/>
        </w:rPr>
        <w:t xml:space="preserve">üyümenin kaynakları açısından büyüme </w:t>
      </w:r>
      <w:r w:rsidRPr="0027354C">
        <w:rPr>
          <w:rFonts w:ascii="Arial" w:hAnsi="Arial" w:cs="Arial"/>
          <w:sz w:val="20"/>
          <w:szCs w:val="20"/>
        </w:rPr>
        <w:lastRenderedPageBreak/>
        <w:t xml:space="preserve">nispeten </w:t>
      </w:r>
      <w:r w:rsidR="00AE2FAA" w:rsidRPr="0027354C">
        <w:rPr>
          <w:rFonts w:ascii="Arial" w:hAnsi="Arial" w:cs="Arial"/>
          <w:sz w:val="20"/>
          <w:szCs w:val="20"/>
        </w:rPr>
        <w:t xml:space="preserve">dengelidir. </w:t>
      </w:r>
      <w:r w:rsidRPr="0027354C">
        <w:rPr>
          <w:rFonts w:ascii="Arial" w:hAnsi="Arial" w:cs="Arial"/>
          <w:sz w:val="20"/>
          <w:szCs w:val="20"/>
        </w:rPr>
        <w:t>Diğer ifadeyle, is</w:t>
      </w:r>
      <w:r w:rsidR="00325473" w:rsidRPr="0027354C">
        <w:rPr>
          <w:rFonts w:ascii="Arial" w:hAnsi="Arial" w:cs="Arial"/>
          <w:sz w:val="20"/>
          <w:szCs w:val="20"/>
        </w:rPr>
        <w:t xml:space="preserve">tihdam oranındaki artışlar ile </w:t>
      </w:r>
      <w:r w:rsidRPr="0027354C">
        <w:rPr>
          <w:rFonts w:ascii="Arial" w:hAnsi="Arial" w:cs="Arial"/>
          <w:sz w:val="20"/>
          <w:szCs w:val="20"/>
        </w:rPr>
        <w:t>emek verimliliği</w:t>
      </w:r>
      <w:r w:rsidR="00325473" w:rsidRPr="0027354C">
        <w:rPr>
          <w:rFonts w:ascii="Arial" w:hAnsi="Arial" w:cs="Arial"/>
          <w:sz w:val="20"/>
          <w:szCs w:val="20"/>
        </w:rPr>
        <w:t>n</w:t>
      </w:r>
      <w:r w:rsidRPr="0027354C">
        <w:rPr>
          <w:rFonts w:ascii="Arial" w:hAnsi="Arial" w:cs="Arial"/>
          <w:sz w:val="20"/>
          <w:szCs w:val="20"/>
        </w:rPr>
        <w:t>deki artışların büyümeye katkısı aşağı yukarı eşittir</w:t>
      </w:r>
      <w:r w:rsidR="00EB2230">
        <w:rPr>
          <w:rFonts w:ascii="Arial" w:hAnsi="Arial" w:cs="Arial"/>
          <w:sz w:val="20"/>
          <w:szCs w:val="20"/>
        </w:rPr>
        <w:t xml:space="preserve"> (</w:t>
      </w:r>
      <w:r w:rsidR="00EB2230">
        <w:rPr>
          <w:rFonts w:ascii="Arial" w:hAnsi="Arial" w:cs="Arial"/>
          <w:sz w:val="20"/>
          <w:szCs w:val="20"/>
        </w:rPr>
        <w:fldChar w:fldCharType="begin"/>
      </w:r>
      <w:r w:rsidR="00EB2230">
        <w:rPr>
          <w:rFonts w:ascii="Arial" w:hAnsi="Arial" w:cs="Arial"/>
          <w:sz w:val="20"/>
          <w:szCs w:val="20"/>
        </w:rPr>
        <w:instrText xml:space="preserve"> REF _Ref463531047 \h  \* MERGEFORMAT </w:instrText>
      </w:r>
      <w:r w:rsidR="00EB2230">
        <w:rPr>
          <w:rFonts w:ascii="Arial" w:hAnsi="Arial" w:cs="Arial"/>
          <w:sz w:val="20"/>
          <w:szCs w:val="20"/>
        </w:rPr>
      </w:r>
      <w:r w:rsidR="00EB2230">
        <w:rPr>
          <w:rFonts w:ascii="Arial" w:hAnsi="Arial" w:cs="Arial"/>
          <w:sz w:val="20"/>
          <w:szCs w:val="20"/>
        </w:rPr>
        <w:fldChar w:fldCharType="separate"/>
      </w:r>
      <w:r w:rsidR="00EB2230" w:rsidRPr="00EB2230">
        <w:rPr>
          <w:rFonts w:ascii="Arial" w:hAnsi="Arial" w:cs="Arial"/>
          <w:sz w:val="20"/>
          <w:szCs w:val="20"/>
        </w:rPr>
        <w:t>Şekil 2</w:t>
      </w:r>
      <w:r w:rsidR="00EB2230">
        <w:rPr>
          <w:rFonts w:ascii="Arial" w:hAnsi="Arial" w:cs="Arial"/>
          <w:sz w:val="20"/>
          <w:szCs w:val="20"/>
        </w:rPr>
        <w:fldChar w:fldCharType="end"/>
      </w:r>
      <w:r w:rsidRPr="0027354C">
        <w:rPr>
          <w:rFonts w:ascii="Arial" w:hAnsi="Arial" w:cs="Arial"/>
          <w:sz w:val="20"/>
          <w:szCs w:val="20"/>
        </w:rPr>
        <w:t xml:space="preserve">). </w:t>
      </w:r>
      <w:r w:rsidR="00AE2FAA" w:rsidRPr="0027354C">
        <w:rPr>
          <w:rFonts w:ascii="Arial" w:hAnsi="Arial" w:cs="Arial"/>
          <w:sz w:val="20"/>
          <w:szCs w:val="20"/>
        </w:rPr>
        <w:t>Ancak, bilindiği gibi talep tarafında yüksek büyüme tamamen iç talebe dayandığından cari açık hızla büyümüş, buna rağmen aşırı sermaye girişleri ve yüksek enflasyon sonucu Türk Lirası belirgin ölçüde değerlenmiştir.</w:t>
      </w:r>
    </w:p>
    <w:p w:rsidR="00EB2230" w:rsidRDefault="00EB2230" w:rsidP="0027354C">
      <w:pPr>
        <w:spacing w:line="360" w:lineRule="auto"/>
        <w:jc w:val="both"/>
        <w:rPr>
          <w:rFonts w:ascii="Arial" w:hAnsi="Arial" w:cs="Arial"/>
          <w:b/>
          <w:sz w:val="20"/>
          <w:szCs w:val="20"/>
        </w:rPr>
      </w:pPr>
    </w:p>
    <w:p w:rsidR="00AE2FAA" w:rsidRPr="0027354C" w:rsidRDefault="006E4EBF" w:rsidP="0027354C">
      <w:pPr>
        <w:spacing w:line="360" w:lineRule="auto"/>
        <w:jc w:val="both"/>
        <w:rPr>
          <w:rFonts w:ascii="Arial" w:hAnsi="Arial" w:cs="Arial"/>
          <w:sz w:val="20"/>
          <w:szCs w:val="20"/>
        </w:rPr>
      </w:pPr>
      <w:r w:rsidRPr="0027354C">
        <w:rPr>
          <w:rFonts w:ascii="Arial" w:hAnsi="Arial" w:cs="Arial"/>
          <w:b/>
          <w:sz w:val="20"/>
          <w:szCs w:val="20"/>
        </w:rPr>
        <w:t xml:space="preserve">Dengeli büyümeye </w:t>
      </w:r>
      <w:r w:rsidR="00C226F1" w:rsidRPr="0027354C">
        <w:rPr>
          <w:rFonts w:ascii="Arial" w:hAnsi="Arial" w:cs="Arial"/>
          <w:b/>
          <w:sz w:val="20"/>
          <w:szCs w:val="20"/>
        </w:rPr>
        <w:t>geçiş</w:t>
      </w:r>
      <w:r w:rsidR="00917AD0" w:rsidRPr="0027354C">
        <w:rPr>
          <w:rFonts w:ascii="Arial" w:hAnsi="Arial" w:cs="Arial"/>
          <w:b/>
          <w:sz w:val="20"/>
          <w:szCs w:val="20"/>
        </w:rPr>
        <w:t xml:space="preserve"> </w:t>
      </w:r>
      <w:r w:rsidR="00C226F1" w:rsidRPr="0027354C">
        <w:rPr>
          <w:rFonts w:ascii="Arial" w:hAnsi="Arial" w:cs="Arial"/>
          <w:b/>
          <w:sz w:val="20"/>
          <w:szCs w:val="20"/>
        </w:rPr>
        <w:t>-</w:t>
      </w:r>
      <w:r w:rsidR="00917AD0" w:rsidRPr="0027354C">
        <w:rPr>
          <w:rFonts w:ascii="Arial" w:hAnsi="Arial" w:cs="Arial"/>
          <w:b/>
          <w:sz w:val="20"/>
          <w:szCs w:val="20"/>
        </w:rPr>
        <w:t xml:space="preserve"> </w:t>
      </w:r>
      <w:r w:rsidR="00971131" w:rsidRPr="0027354C">
        <w:rPr>
          <w:rFonts w:ascii="Arial" w:hAnsi="Arial" w:cs="Arial"/>
          <w:b/>
          <w:sz w:val="20"/>
          <w:szCs w:val="20"/>
        </w:rPr>
        <w:t>Düş</w:t>
      </w:r>
      <w:r w:rsidR="00917AD0" w:rsidRPr="0027354C">
        <w:rPr>
          <w:rFonts w:ascii="Arial" w:hAnsi="Arial" w:cs="Arial"/>
          <w:b/>
          <w:sz w:val="20"/>
          <w:szCs w:val="20"/>
        </w:rPr>
        <w:t xml:space="preserve">en </w:t>
      </w:r>
      <w:r w:rsidR="00C226F1" w:rsidRPr="0027354C">
        <w:rPr>
          <w:rFonts w:ascii="Arial" w:hAnsi="Arial" w:cs="Arial"/>
          <w:b/>
          <w:sz w:val="20"/>
          <w:szCs w:val="20"/>
        </w:rPr>
        <w:t>emek verim</w:t>
      </w:r>
      <w:r w:rsidRPr="0027354C">
        <w:rPr>
          <w:rFonts w:ascii="Arial" w:hAnsi="Arial" w:cs="Arial"/>
          <w:b/>
          <w:sz w:val="20"/>
          <w:szCs w:val="20"/>
        </w:rPr>
        <w:t>liliği (2011(</w:t>
      </w:r>
      <w:r w:rsidR="00B82C44" w:rsidRPr="0027354C">
        <w:rPr>
          <w:rFonts w:ascii="Arial" w:hAnsi="Arial" w:cs="Arial"/>
          <w:b/>
          <w:sz w:val="20"/>
          <w:szCs w:val="20"/>
        </w:rPr>
        <w:t>4</w:t>
      </w:r>
      <w:r w:rsidR="00B95FB8" w:rsidRPr="0027354C">
        <w:rPr>
          <w:rFonts w:ascii="Arial" w:hAnsi="Arial" w:cs="Arial"/>
          <w:b/>
          <w:sz w:val="20"/>
          <w:szCs w:val="20"/>
        </w:rPr>
        <w:t>)</w:t>
      </w:r>
      <w:r w:rsidR="0027354C">
        <w:rPr>
          <w:rFonts w:ascii="Arial" w:hAnsi="Arial" w:cs="Arial"/>
          <w:b/>
          <w:sz w:val="20"/>
          <w:szCs w:val="20"/>
        </w:rPr>
        <w:t xml:space="preserve"> - </w:t>
      </w:r>
      <w:r w:rsidR="00B95FB8" w:rsidRPr="0027354C">
        <w:rPr>
          <w:rFonts w:ascii="Arial" w:hAnsi="Arial" w:cs="Arial"/>
          <w:b/>
          <w:sz w:val="20"/>
          <w:szCs w:val="20"/>
        </w:rPr>
        <w:t>2013(2</w:t>
      </w:r>
      <w:r w:rsidR="00C226F1" w:rsidRPr="0027354C">
        <w:rPr>
          <w:rFonts w:ascii="Arial" w:hAnsi="Arial" w:cs="Arial"/>
          <w:b/>
          <w:sz w:val="20"/>
          <w:szCs w:val="20"/>
        </w:rPr>
        <w:t>)</w:t>
      </w:r>
      <w:r w:rsidRPr="0027354C">
        <w:rPr>
          <w:rFonts w:ascii="Arial" w:hAnsi="Arial" w:cs="Arial"/>
          <w:b/>
          <w:sz w:val="20"/>
          <w:szCs w:val="20"/>
        </w:rPr>
        <w:t>)</w:t>
      </w:r>
    </w:p>
    <w:p w:rsidR="00971131" w:rsidRPr="0027354C" w:rsidRDefault="00971131" w:rsidP="0027354C">
      <w:pPr>
        <w:spacing w:line="360" w:lineRule="auto"/>
        <w:jc w:val="both"/>
        <w:rPr>
          <w:rFonts w:ascii="Arial" w:hAnsi="Arial" w:cs="Arial"/>
          <w:sz w:val="20"/>
          <w:szCs w:val="20"/>
        </w:rPr>
      </w:pPr>
    </w:p>
    <w:p w:rsidR="00C56DBA" w:rsidRPr="0027354C" w:rsidRDefault="008E7F5C" w:rsidP="0027354C">
      <w:pPr>
        <w:spacing w:line="360" w:lineRule="auto"/>
        <w:jc w:val="both"/>
        <w:rPr>
          <w:rFonts w:ascii="Arial" w:hAnsi="Arial" w:cs="Arial"/>
          <w:sz w:val="20"/>
          <w:szCs w:val="20"/>
        </w:rPr>
      </w:pPr>
      <w:r w:rsidRPr="0027354C">
        <w:rPr>
          <w:rFonts w:ascii="Arial" w:hAnsi="Arial" w:cs="Arial"/>
          <w:sz w:val="20"/>
          <w:szCs w:val="20"/>
        </w:rPr>
        <w:t>Dış açığı sürektli büyüten ekonomik</w:t>
      </w:r>
      <w:r w:rsidR="00AE2FAA" w:rsidRPr="0027354C">
        <w:rPr>
          <w:rFonts w:ascii="Arial" w:hAnsi="Arial" w:cs="Arial"/>
          <w:sz w:val="20"/>
          <w:szCs w:val="20"/>
        </w:rPr>
        <w:t xml:space="preserve"> büyümenin sürdürülemez olduğunu kabul eden ekonomi yönetimi, 2011</w:t>
      </w:r>
      <w:r w:rsidR="00B471CA" w:rsidRPr="0027354C">
        <w:rPr>
          <w:rFonts w:ascii="Arial" w:hAnsi="Arial" w:cs="Arial"/>
          <w:sz w:val="20"/>
          <w:szCs w:val="20"/>
        </w:rPr>
        <w:t>’in</w:t>
      </w:r>
      <w:r w:rsidR="00AE2FAA" w:rsidRPr="0027354C">
        <w:rPr>
          <w:rFonts w:ascii="Arial" w:hAnsi="Arial" w:cs="Arial"/>
          <w:sz w:val="20"/>
          <w:szCs w:val="20"/>
        </w:rPr>
        <w:t xml:space="preserve"> ikinci yarısından itibaren iktisat politikalarını, özellikle de çok yönlü para politikasını, iç talebi soğutarak ve reel kuru aşağıya çekerek daha düşük ama dengeli (talep bileşimi ve cari açık açısından) bir büyümeye yöneltmiştir. Bilindiği gibi iç talep </w:t>
      </w:r>
      <w:r w:rsidR="00C56DBA" w:rsidRPr="0027354C">
        <w:rPr>
          <w:rFonts w:ascii="Arial" w:hAnsi="Arial" w:cs="Arial"/>
          <w:sz w:val="20"/>
          <w:szCs w:val="20"/>
        </w:rPr>
        <w:t xml:space="preserve">2012’de </w:t>
      </w:r>
      <w:r w:rsidR="00AE2FAA" w:rsidRPr="0027354C">
        <w:rPr>
          <w:rFonts w:ascii="Arial" w:hAnsi="Arial" w:cs="Arial"/>
          <w:sz w:val="20"/>
          <w:szCs w:val="20"/>
        </w:rPr>
        <w:t xml:space="preserve">beklenenden daha fazla </w:t>
      </w:r>
      <w:r w:rsidRPr="0027354C">
        <w:rPr>
          <w:rFonts w:ascii="Arial" w:hAnsi="Arial" w:cs="Arial"/>
          <w:sz w:val="20"/>
          <w:szCs w:val="20"/>
        </w:rPr>
        <w:t>baksılanarak</w:t>
      </w:r>
      <w:r w:rsidR="00AE2FAA" w:rsidRPr="0027354C">
        <w:rPr>
          <w:rFonts w:ascii="Arial" w:hAnsi="Arial" w:cs="Arial"/>
          <w:sz w:val="20"/>
          <w:szCs w:val="20"/>
        </w:rPr>
        <w:t xml:space="preserve"> durgunlaşmış, buna karşılık ihracatta artış ithalatta düşüş kaydedilmiştir. Büyüme talep yönünden tamamen net ihracata dayanırken, büyüme hızı beklenenin (yüzde 4) çok </w:t>
      </w:r>
      <w:r w:rsidR="00DD4270" w:rsidRPr="0027354C">
        <w:rPr>
          <w:rFonts w:ascii="Arial" w:hAnsi="Arial" w:cs="Arial"/>
          <w:sz w:val="20"/>
          <w:szCs w:val="20"/>
        </w:rPr>
        <w:t>altına</w:t>
      </w:r>
      <w:r w:rsidR="00AE2FAA" w:rsidRPr="0027354C">
        <w:rPr>
          <w:rFonts w:ascii="Arial" w:hAnsi="Arial" w:cs="Arial"/>
          <w:sz w:val="20"/>
          <w:szCs w:val="20"/>
        </w:rPr>
        <w:t xml:space="preserve"> düşerek yüzde 2 ile sınırlı kalmıştır. 2013’</w:t>
      </w:r>
      <w:r w:rsidR="00C56DBA" w:rsidRPr="0027354C">
        <w:rPr>
          <w:rFonts w:ascii="Arial" w:hAnsi="Arial" w:cs="Arial"/>
          <w:sz w:val="20"/>
          <w:szCs w:val="20"/>
        </w:rPr>
        <w:t>te ise iç talebin sınırlı ölçüde canlanmasına izin verilmiş, bunun sonucunda büyüme hızı yüzde 4’e yükselirken, net ihracatın büyümeye katkısı yeniden negatif olmuş</w:t>
      </w:r>
      <w:r w:rsidR="002A24B1" w:rsidRPr="0027354C">
        <w:rPr>
          <w:rFonts w:ascii="Arial" w:hAnsi="Arial" w:cs="Arial"/>
          <w:sz w:val="20"/>
          <w:szCs w:val="20"/>
        </w:rPr>
        <w:t>tur</w:t>
      </w:r>
      <w:r w:rsidR="009C6A8E" w:rsidRPr="0027354C">
        <w:rPr>
          <w:rFonts w:ascii="Arial" w:hAnsi="Arial" w:cs="Arial"/>
          <w:sz w:val="20"/>
          <w:szCs w:val="20"/>
        </w:rPr>
        <w:t>.</w:t>
      </w:r>
    </w:p>
    <w:p w:rsidR="008E7F5C" w:rsidRPr="0027354C" w:rsidRDefault="008E7F5C" w:rsidP="0027354C">
      <w:pPr>
        <w:spacing w:line="360" w:lineRule="auto"/>
        <w:jc w:val="both"/>
        <w:rPr>
          <w:rFonts w:ascii="Arial" w:hAnsi="Arial" w:cs="Arial"/>
          <w:sz w:val="20"/>
          <w:szCs w:val="20"/>
        </w:rPr>
      </w:pPr>
    </w:p>
    <w:p w:rsidR="00E257F5" w:rsidRPr="0027354C" w:rsidRDefault="00AE2FAA" w:rsidP="0027354C">
      <w:pPr>
        <w:spacing w:line="360" w:lineRule="auto"/>
        <w:jc w:val="both"/>
        <w:rPr>
          <w:rFonts w:ascii="Arial" w:hAnsi="Arial" w:cs="Arial"/>
          <w:sz w:val="20"/>
          <w:szCs w:val="20"/>
        </w:rPr>
      </w:pPr>
      <w:r w:rsidRPr="0027354C">
        <w:rPr>
          <w:rFonts w:ascii="Arial" w:hAnsi="Arial" w:cs="Arial"/>
          <w:sz w:val="20"/>
          <w:szCs w:val="20"/>
        </w:rPr>
        <w:t>Bu düşük büyüme</w:t>
      </w:r>
      <w:r w:rsidR="00C56DBA" w:rsidRPr="0027354C">
        <w:rPr>
          <w:rFonts w:ascii="Arial" w:hAnsi="Arial" w:cs="Arial"/>
          <w:sz w:val="20"/>
          <w:szCs w:val="20"/>
        </w:rPr>
        <w:t xml:space="preserve"> döneminde </w:t>
      </w:r>
      <w:r w:rsidRPr="0027354C">
        <w:rPr>
          <w:rFonts w:ascii="Arial" w:hAnsi="Arial" w:cs="Arial"/>
          <w:sz w:val="20"/>
          <w:szCs w:val="20"/>
        </w:rPr>
        <w:t xml:space="preserve">konumuz açısından en çarpıcı </w:t>
      </w:r>
      <w:r w:rsidR="00C56DBA" w:rsidRPr="0027354C">
        <w:rPr>
          <w:rFonts w:ascii="Arial" w:hAnsi="Arial" w:cs="Arial"/>
          <w:sz w:val="20"/>
          <w:szCs w:val="20"/>
        </w:rPr>
        <w:t>gelişme</w:t>
      </w:r>
      <w:r w:rsidRPr="0027354C">
        <w:rPr>
          <w:rFonts w:ascii="Arial" w:hAnsi="Arial" w:cs="Arial"/>
          <w:sz w:val="20"/>
          <w:szCs w:val="20"/>
        </w:rPr>
        <w:t xml:space="preserve"> </w:t>
      </w:r>
      <w:r w:rsidR="00070EEB" w:rsidRPr="0027354C">
        <w:rPr>
          <w:rFonts w:ascii="Arial" w:hAnsi="Arial" w:cs="Arial"/>
          <w:sz w:val="20"/>
          <w:szCs w:val="20"/>
        </w:rPr>
        <w:t>e</w:t>
      </w:r>
      <w:r w:rsidRPr="0027354C">
        <w:rPr>
          <w:rFonts w:ascii="Arial" w:hAnsi="Arial" w:cs="Arial"/>
          <w:sz w:val="20"/>
          <w:szCs w:val="20"/>
        </w:rPr>
        <w:t>mek verimliliğinin</w:t>
      </w:r>
      <w:r w:rsidR="00364EE4" w:rsidRPr="0027354C">
        <w:rPr>
          <w:rFonts w:ascii="Arial" w:hAnsi="Arial" w:cs="Arial"/>
          <w:sz w:val="20"/>
          <w:szCs w:val="20"/>
        </w:rPr>
        <w:t>,</w:t>
      </w:r>
      <w:r w:rsidRPr="0027354C">
        <w:rPr>
          <w:rFonts w:ascii="Arial" w:hAnsi="Arial" w:cs="Arial"/>
          <w:sz w:val="20"/>
          <w:szCs w:val="20"/>
        </w:rPr>
        <w:t xml:space="preserve"> </w:t>
      </w:r>
      <w:r w:rsidR="00DD4270" w:rsidRPr="0027354C">
        <w:rPr>
          <w:rFonts w:ascii="Arial" w:hAnsi="Arial" w:cs="Arial"/>
          <w:sz w:val="20"/>
          <w:szCs w:val="20"/>
        </w:rPr>
        <w:t xml:space="preserve">toplamda </w:t>
      </w:r>
      <w:r w:rsidR="00364EE4" w:rsidRPr="0027354C">
        <w:rPr>
          <w:rFonts w:ascii="Arial" w:hAnsi="Arial" w:cs="Arial"/>
          <w:sz w:val="20"/>
          <w:szCs w:val="20"/>
        </w:rPr>
        <w:t>yüzde</w:t>
      </w:r>
      <w:r w:rsidR="003E27D9" w:rsidRPr="0027354C">
        <w:rPr>
          <w:rFonts w:ascii="Arial" w:hAnsi="Arial" w:cs="Arial"/>
          <w:sz w:val="20"/>
          <w:szCs w:val="20"/>
        </w:rPr>
        <w:t xml:space="preserve"> </w:t>
      </w:r>
      <w:r w:rsidR="002A24B1" w:rsidRPr="0027354C">
        <w:rPr>
          <w:rFonts w:ascii="Arial" w:hAnsi="Arial" w:cs="Arial"/>
          <w:sz w:val="20"/>
          <w:szCs w:val="20"/>
        </w:rPr>
        <w:t>4,2</w:t>
      </w:r>
      <w:r w:rsidR="00DD4270" w:rsidRPr="0027354C">
        <w:rPr>
          <w:rFonts w:ascii="Arial" w:hAnsi="Arial" w:cs="Arial"/>
          <w:sz w:val="20"/>
          <w:szCs w:val="20"/>
        </w:rPr>
        <w:t xml:space="preserve"> civarında artan</w:t>
      </w:r>
      <w:r w:rsidR="00364EE4" w:rsidRPr="0027354C">
        <w:rPr>
          <w:rFonts w:ascii="Arial" w:hAnsi="Arial" w:cs="Arial"/>
          <w:sz w:val="20"/>
          <w:szCs w:val="20"/>
        </w:rPr>
        <w:t xml:space="preserve"> kişi başına gelire</w:t>
      </w:r>
      <w:r w:rsidR="00DD4270" w:rsidRPr="0027354C">
        <w:rPr>
          <w:rFonts w:ascii="Arial" w:hAnsi="Arial" w:cs="Arial"/>
          <w:sz w:val="20"/>
          <w:szCs w:val="20"/>
        </w:rPr>
        <w:t xml:space="preserve"> </w:t>
      </w:r>
      <w:r w:rsidR="00B82C44" w:rsidRPr="0027354C">
        <w:rPr>
          <w:rFonts w:ascii="Arial" w:hAnsi="Arial" w:cs="Arial"/>
          <w:sz w:val="20"/>
          <w:szCs w:val="20"/>
        </w:rPr>
        <w:t>negatif katkı yapması, diğer ifadeyle kişi başı geliri azaltmasıdır.</w:t>
      </w:r>
      <w:r w:rsidR="00E64892" w:rsidRPr="0027354C">
        <w:rPr>
          <w:rFonts w:ascii="Arial" w:hAnsi="Arial" w:cs="Arial"/>
          <w:sz w:val="20"/>
          <w:szCs w:val="20"/>
        </w:rPr>
        <w:t xml:space="preserve"> </w:t>
      </w:r>
      <w:r w:rsidR="00B82C44" w:rsidRPr="0027354C">
        <w:rPr>
          <w:rFonts w:ascii="Arial" w:hAnsi="Arial" w:cs="Arial"/>
          <w:sz w:val="20"/>
          <w:szCs w:val="20"/>
        </w:rPr>
        <w:t xml:space="preserve">Bu dönemde emek verimliliği 106,2’den </w:t>
      </w:r>
      <w:r w:rsidR="00EB2230">
        <w:rPr>
          <w:rFonts w:ascii="Arial" w:hAnsi="Arial" w:cs="Arial"/>
          <w:sz w:val="20"/>
          <w:szCs w:val="20"/>
        </w:rPr>
        <w:t>104,8’e gerilemiştir (</w:t>
      </w:r>
      <w:r w:rsidR="00EB2230">
        <w:rPr>
          <w:rFonts w:ascii="Arial" w:hAnsi="Arial" w:cs="Arial"/>
          <w:sz w:val="20"/>
          <w:szCs w:val="20"/>
        </w:rPr>
        <w:fldChar w:fldCharType="begin"/>
      </w:r>
      <w:r w:rsidR="00EB2230">
        <w:rPr>
          <w:rFonts w:ascii="Arial" w:hAnsi="Arial" w:cs="Arial"/>
          <w:sz w:val="20"/>
          <w:szCs w:val="20"/>
        </w:rPr>
        <w:instrText xml:space="preserve"> REF _Ref463531088 \h  \* MERGEFORMAT </w:instrText>
      </w:r>
      <w:r w:rsidR="00EB2230">
        <w:rPr>
          <w:rFonts w:ascii="Arial" w:hAnsi="Arial" w:cs="Arial"/>
          <w:sz w:val="20"/>
          <w:szCs w:val="20"/>
        </w:rPr>
      </w:r>
      <w:r w:rsidR="00EB2230">
        <w:rPr>
          <w:rFonts w:ascii="Arial" w:hAnsi="Arial" w:cs="Arial"/>
          <w:sz w:val="20"/>
          <w:szCs w:val="20"/>
        </w:rPr>
        <w:fldChar w:fldCharType="separate"/>
      </w:r>
      <w:r w:rsidR="00EB2230" w:rsidRPr="00EB2230">
        <w:rPr>
          <w:rFonts w:ascii="Arial" w:hAnsi="Arial" w:cs="Arial"/>
          <w:sz w:val="20"/>
          <w:szCs w:val="20"/>
        </w:rPr>
        <w:t>Ek Tablo 1</w:t>
      </w:r>
      <w:r w:rsidR="00EB2230">
        <w:rPr>
          <w:rFonts w:ascii="Arial" w:hAnsi="Arial" w:cs="Arial"/>
          <w:sz w:val="20"/>
          <w:szCs w:val="20"/>
        </w:rPr>
        <w:fldChar w:fldCharType="end"/>
      </w:r>
      <w:r w:rsidR="00B82C44" w:rsidRPr="0027354C">
        <w:rPr>
          <w:rFonts w:ascii="Arial" w:hAnsi="Arial" w:cs="Arial"/>
          <w:sz w:val="20"/>
          <w:szCs w:val="20"/>
        </w:rPr>
        <w:t>). K</w:t>
      </w:r>
      <w:r w:rsidR="00364EE4" w:rsidRPr="0027354C">
        <w:rPr>
          <w:rFonts w:ascii="Arial" w:hAnsi="Arial" w:cs="Arial"/>
          <w:sz w:val="20"/>
          <w:szCs w:val="20"/>
        </w:rPr>
        <w:t xml:space="preserve">işi başı gelir artışını </w:t>
      </w:r>
      <w:r w:rsidR="00B82C44" w:rsidRPr="0027354C">
        <w:rPr>
          <w:rFonts w:ascii="Arial" w:hAnsi="Arial" w:cs="Arial"/>
          <w:sz w:val="20"/>
          <w:szCs w:val="20"/>
        </w:rPr>
        <w:t xml:space="preserve">ise </w:t>
      </w:r>
      <w:r w:rsidR="00F01493" w:rsidRPr="0027354C">
        <w:rPr>
          <w:rFonts w:ascii="Arial" w:hAnsi="Arial" w:cs="Arial"/>
          <w:sz w:val="20"/>
          <w:szCs w:val="20"/>
        </w:rPr>
        <w:t>çok büyük ölçüde istihdam oranın</w:t>
      </w:r>
      <w:r w:rsidR="00EB2230">
        <w:rPr>
          <w:rFonts w:ascii="Arial" w:hAnsi="Arial" w:cs="Arial"/>
          <w:sz w:val="20"/>
          <w:szCs w:val="20"/>
        </w:rPr>
        <w:t>daki artış sırtlamıştır (</w:t>
      </w:r>
      <w:r w:rsidR="00EB2230">
        <w:rPr>
          <w:rFonts w:ascii="Arial" w:hAnsi="Arial" w:cs="Arial"/>
          <w:sz w:val="20"/>
          <w:szCs w:val="20"/>
        </w:rPr>
        <w:fldChar w:fldCharType="begin"/>
      </w:r>
      <w:r w:rsidR="00EB2230">
        <w:rPr>
          <w:rFonts w:ascii="Arial" w:hAnsi="Arial" w:cs="Arial"/>
          <w:sz w:val="20"/>
          <w:szCs w:val="20"/>
        </w:rPr>
        <w:instrText xml:space="preserve"> REF _Ref463531047 \h  \* MERGEFORMAT </w:instrText>
      </w:r>
      <w:r w:rsidR="00EB2230">
        <w:rPr>
          <w:rFonts w:ascii="Arial" w:hAnsi="Arial" w:cs="Arial"/>
          <w:sz w:val="20"/>
          <w:szCs w:val="20"/>
        </w:rPr>
      </w:r>
      <w:r w:rsidR="00EB2230">
        <w:rPr>
          <w:rFonts w:ascii="Arial" w:hAnsi="Arial" w:cs="Arial"/>
          <w:sz w:val="20"/>
          <w:szCs w:val="20"/>
        </w:rPr>
        <w:fldChar w:fldCharType="separate"/>
      </w:r>
      <w:r w:rsidR="00EB2230" w:rsidRPr="00EB2230">
        <w:rPr>
          <w:rFonts w:ascii="Arial" w:hAnsi="Arial" w:cs="Arial"/>
          <w:sz w:val="20"/>
          <w:szCs w:val="20"/>
        </w:rPr>
        <w:t>Şekil 2</w:t>
      </w:r>
      <w:r w:rsidR="00EB2230">
        <w:rPr>
          <w:rFonts w:ascii="Arial" w:hAnsi="Arial" w:cs="Arial"/>
          <w:sz w:val="20"/>
          <w:szCs w:val="20"/>
        </w:rPr>
        <w:fldChar w:fldCharType="end"/>
      </w:r>
      <w:r w:rsidR="00F01493" w:rsidRPr="0027354C">
        <w:rPr>
          <w:rFonts w:ascii="Arial" w:hAnsi="Arial" w:cs="Arial"/>
          <w:sz w:val="20"/>
          <w:szCs w:val="20"/>
        </w:rPr>
        <w:t>).</w:t>
      </w:r>
    </w:p>
    <w:p w:rsidR="00AE2FAA" w:rsidRPr="0027354C" w:rsidRDefault="00AE2FAA" w:rsidP="0027354C">
      <w:pPr>
        <w:spacing w:line="360" w:lineRule="auto"/>
        <w:rPr>
          <w:rFonts w:ascii="Arial" w:hAnsi="Arial" w:cs="Arial"/>
          <w:b/>
          <w:sz w:val="20"/>
          <w:szCs w:val="20"/>
        </w:rPr>
      </w:pPr>
    </w:p>
    <w:p w:rsidR="000A7078" w:rsidRPr="0027354C" w:rsidRDefault="00CB2CD9" w:rsidP="0027354C">
      <w:pPr>
        <w:spacing w:line="360" w:lineRule="auto"/>
        <w:rPr>
          <w:rFonts w:ascii="Arial" w:hAnsi="Arial" w:cs="Arial"/>
          <w:b/>
          <w:sz w:val="20"/>
          <w:szCs w:val="20"/>
        </w:rPr>
      </w:pPr>
      <w:r w:rsidRPr="0027354C">
        <w:rPr>
          <w:rFonts w:ascii="Arial" w:hAnsi="Arial" w:cs="Arial"/>
          <w:b/>
          <w:sz w:val="20"/>
          <w:szCs w:val="20"/>
        </w:rPr>
        <w:t xml:space="preserve">Vasat </w:t>
      </w:r>
      <w:r w:rsidR="008B37DB" w:rsidRPr="0027354C">
        <w:rPr>
          <w:rFonts w:ascii="Arial" w:hAnsi="Arial" w:cs="Arial"/>
          <w:b/>
          <w:sz w:val="20"/>
          <w:szCs w:val="20"/>
        </w:rPr>
        <w:t>büyüme</w:t>
      </w:r>
      <w:r w:rsidR="000A7078" w:rsidRPr="0027354C">
        <w:rPr>
          <w:rFonts w:ascii="Arial" w:hAnsi="Arial" w:cs="Arial"/>
          <w:b/>
          <w:sz w:val="20"/>
          <w:szCs w:val="20"/>
        </w:rPr>
        <w:t xml:space="preserve"> </w:t>
      </w:r>
      <w:r w:rsidR="008B37DB" w:rsidRPr="0027354C">
        <w:rPr>
          <w:rFonts w:ascii="Arial" w:hAnsi="Arial" w:cs="Arial"/>
          <w:b/>
          <w:sz w:val="20"/>
          <w:szCs w:val="20"/>
        </w:rPr>
        <w:t xml:space="preserve">-  </w:t>
      </w:r>
      <w:r w:rsidRPr="0027354C">
        <w:rPr>
          <w:rFonts w:ascii="Arial" w:hAnsi="Arial" w:cs="Arial"/>
          <w:b/>
          <w:sz w:val="20"/>
          <w:szCs w:val="20"/>
        </w:rPr>
        <w:t>E</w:t>
      </w:r>
      <w:r w:rsidR="000A7078" w:rsidRPr="0027354C">
        <w:rPr>
          <w:rFonts w:ascii="Arial" w:hAnsi="Arial" w:cs="Arial"/>
          <w:b/>
          <w:sz w:val="20"/>
          <w:szCs w:val="20"/>
        </w:rPr>
        <w:t>mek verimliliği</w:t>
      </w:r>
      <w:r w:rsidR="006E4EBF" w:rsidRPr="0027354C">
        <w:rPr>
          <w:rFonts w:ascii="Arial" w:hAnsi="Arial" w:cs="Arial"/>
          <w:b/>
          <w:sz w:val="20"/>
          <w:szCs w:val="20"/>
        </w:rPr>
        <w:t>nde</w:t>
      </w:r>
      <w:r w:rsidR="00B95FB8" w:rsidRPr="0027354C">
        <w:rPr>
          <w:rFonts w:ascii="Arial" w:hAnsi="Arial" w:cs="Arial"/>
          <w:b/>
          <w:sz w:val="20"/>
          <w:szCs w:val="20"/>
        </w:rPr>
        <w:t xml:space="preserve"> </w:t>
      </w:r>
      <w:r w:rsidR="00B95FB8" w:rsidRPr="0027354C">
        <w:rPr>
          <w:rFonts w:ascii="Arial" w:hAnsi="Arial" w:cs="Arial"/>
          <w:b/>
          <w:color w:val="000000" w:themeColor="text1"/>
          <w:sz w:val="20"/>
          <w:szCs w:val="20"/>
        </w:rPr>
        <w:t>dalgalanma (2013(3</w:t>
      </w:r>
      <w:r w:rsidR="006017D3" w:rsidRPr="0027354C">
        <w:rPr>
          <w:rFonts w:ascii="Arial" w:hAnsi="Arial" w:cs="Arial"/>
          <w:b/>
          <w:color w:val="000000" w:themeColor="text1"/>
          <w:sz w:val="20"/>
          <w:szCs w:val="20"/>
        </w:rPr>
        <w:t>)-2016(2</w:t>
      </w:r>
      <w:r w:rsidRPr="0027354C">
        <w:rPr>
          <w:rFonts w:ascii="Arial" w:hAnsi="Arial" w:cs="Arial"/>
          <w:b/>
          <w:color w:val="000000" w:themeColor="text1"/>
          <w:sz w:val="20"/>
          <w:szCs w:val="20"/>
        </w:rPr>
        <w:t>)</w:t>
      </w:r>
      <w:r w:rsidR="006E4EBF" w:rsidRPr="0027354C">
        <w:rPr>
          <w:rFonts w:ascii="Arial" w:hAnsi="Arial" w:cs="Arial"/>
          <w:b/>
          <w:color w:val="000000" w:themeColor="text1"/>
          <w:sz w:val="20"/>
          <w:szCs w:val="20"/>
        </w:rPr>
        <w:t>)</w:t>
      </w:r>
    </w:p>
    <w:p w:rsidR="00311CA6" w:rsidRPr="0027354C" w:rsidRDefault="00311CA6" w:rsidP="0027354C">
      <w:pPr>
        <w:spacing w:line="360" w:lineRule="auto"/>
        <w:rPr>
          <w:rFonts w:ascii="Arial" w:hAnsi="Arial" w:cs="Arial"/>
          <w:b/>
          <w:sz w:val="20"/>
          <w:szCs w:val="20"/>
        </w:rPr>
      </w:pPr>
    </w:p>
    <w:p w:rsidR="00CE2083" w:rsidRPr="0027354C" w:rsidRDefault="00837730" w:rsidP="0027354C">
      <w:pPr>
        <w:spacing w:line="360" w:lineRule="auto"/>
        <w:jc w:val="both"/>
        <w:rPr>
          <w:rFonts w:ascii="Arial" w:hAnsi="Arial" w:cs="Arial"/>
          <w:sz w:val="20"/>
          <w:szCs w:val="20"/>
        </w:rPr>
      </w:pPr>
      <w:r w:rsidRPr="0027354C">
        <w:rPr>
          <w:rFonts w:ascii="Arial" w:hAnsi="Arial" w:cs="Arial"/>
          <w:sz w:val="20"/>
          <w:szCs w:val="20"/>
        </w:rPr>
        <w:t>Düşen</w:t>
      </w:r>
      <w:r w:rsidR="00311CA6" w:rsidRPr="0027354C">
        <w:rPr>
          <w:rFonts w:ascii="Arial" w:hAnsi="Arial" w:cs="Arial"/>
          <w:sz w:val="20"/>
          <w:szCs w:val="20"/>
        </w:rPr>
        <w:t xml:space="preserve"> emek verimliliği ve yüksek istihdam oranı </w:t>
      </w:r>
      <w:r w:rsidR="00AA21DD" w:rsidRPr="0027354C">
        <w:rPr>
          <w:rFonts w:ascii="Arial" w:hAnsi="Arial" w:cs="Arial"/>
          <w:sz w:val="20"/>
          <w:szCs w:val="20"/>
        </w:rPr>
        <w:t>katkısı döneminin ardından, 2013</w:t>
      </w:r>
      <w:r w:rsidR="00311CA6" w:rsidRPr="0027354C">
        <w:rPr>
          <w:rFonts w:ascii="Arial" w:hAnsi="Arial" w:cs="Arial"/>
          <w:sz w:val="20"/>
          <w:szCs w:val="20"/>
        </w:rPr>
        <w:t xml:space="preserve"> yılı</w:t>
      </w:r>
      <w:r w:rsidR="00AA21DD" w:rsidRPr="0027354C">
        <w:rPr>
          <w:rFonts w:ascii="Arial" w:hAnsi="Arial" w:cs="Arial"/>
          <w:sz w:val="20"/>
          <w:szCs w:val="20"/>
        </w:rPr>
        <w:t>nın ikinci</w:t>
      </w:r>
      <w:r w:rsidR="001107FC" w:rsidRPr="0027354C">
        <w:rPr>
          <w:rFonts w:ascii="Arial" w:hAnsi="Arial" w:cs="Arial"/>
          <w:sz w:val="20"/>
          <w:szCs w:val="20"/>
        </w:rPr>
        <w:t xml:space="preserve"> yarısında ortalama emek verimliliği sınırlı bir artış kaydetse de, 2014 yılı boyunca kişi başı GSYH’a katkısı negatif olmuştur. Daha sonrasında (2015 1.çeyrek) hafif bir canlanma gösteren emek verimliliği, 2016’nın 2. çeyreğine kadar</w:t>
      </w:r>
      <w:r w:rsidR="00311CA6" w:rsidRPr="0027354C">
        <w:rPr>
          <w:rFonts w:ascii="Arial" w:hAnsi="Arial" w:cs="Arial"/>
          <w:sz w:val="20"/>
          <w:szCs w:val="20"/>
        </w:rPr>
        <w:t xml:space="preserve"> </w:t>
      </w:r>
      <w:r w:rsidR="001107FC" w:rsidRPr="0027354C">
        <w:rPr>
          <w:rFonts w:ascii="Arial" w:hAnsi="Arial" w:cs="Arial"/>
          <w:sz w:val="20"/>
          <w:szCs w:val="20"/>
        </w:rPr>
        <w:t xml:space="preserve"> kişi başı GSYH’a pozitif ancak sınırlı katkı ya</w:t>
      </w:r>
      <w:r w:rsidR="00D47139" w:rsidRPr="0027354C">
        <w:rPr>
          <w:rFonts w:ascii="Arial" w:hAnsi="Arial" w:cs="Arial"/>
          <w:sz w:val="20"/>
          <w:szCs w:val="20"/>
        </w:rPr>
        <w:t>pm</w:t>
      </w:r>
      <w:r w:rsidR="00AF693A" w:rsidRPr="0027354C">
        <w:rPr>
          <w:rFonts w:ascii="Arial" w:hAnsi="Arial" w:cs="Arial"/>
          <w:sz w:val="20"/>
          <w:szCs w:val="20"/>
        </w:rPr>
        <w:t>ıştır</w:t>
      </w:r>
      <w:r w:rsidR="00D47139" w:rsidRPr="0027354C">
        <w:rPr>
          <w:rFonts w:ascii="Arial" w:hAnsi="Arial" w:cs="Arial"/>
          <w:sz w:val="20"/>
          <w:szCs w:val="20"/>
        </w:rPr>
        <w:t>. Son üç yılda</w:t>
      </w:r>
      <w:r w:rsidR="001107FC" w:rsidRPr="0027354C">
        <w:rPr>
          <w:rFonts w:ascii="Arial" w:hAnsi="Arial" w:cs="Arial"/>
          <w:sz w:val="20"/>
          <w:szCs w:val="20"/>
        </w:rPr>
        <w:t xml:space="preserve"> dalgalı bir seyir izleyen o</w:t>
      </w:r>
      <w:r w:rsidR="00D47139" w:rsidRPr="0027354C">
        <w:rPr>
          <w:rFonts w:ascii="Arial" w:hAnsi="Arial" w:cs="Arial"/>
          <w:sz w:val="20"/>
          <w:szCs w:val="20"/>
        </w:rPr>
        <w:t>rtalama emek verimliliği, endeks olarak</w:t>
      </w:r>
      <w:r w:rsidR="001107FC" w:rsidRPr="0027354C">
        <w:rPr>
          <w:rFonts w:ascii="Arial" w:hAnsi="Arial" w:cs="Arial"/>
          <w:sz w:val="20"/>
          <w:szCs w:val="20"/>
        </w:rPr>
        <w:t xml:space="preserve"> 106,2’den 107,2’e yükselmiştir</w:t>
      </w:r>
      <w:r w:rsidR="00EB2230">
        <w:rPr>
          <w:rFonts w:ascii="Arial" w:hAnsi="Arial" w:cs="Arial"/>
          <w:sz w:val="20"/>
          <w:szCs w:val="20"/>
        </w:rPr>
        <w:t xml:space="preserve"> (</w:t>
      </w:r>
      <w:r w:rsidR="00EB2230">
        <w:rPr>
          <w:rFonts w:ascii="Arial" w:hAnsi="Arial" w:cs="Arial"/>
          <w:sz w:val="20"/>
          <w:szCs w:val="20"/>
        </w:rPr>
        <w:fldChar w:fldCharType="begin"/>
      </w:r>
      <w:r w:rsidR="00EB2230">
        <w:rPr>
          <w:rFonts w:ascii="Arial" w:hAnsi="Arial" w:cs="Arial"/>
          <w:sz w:val="20"/>
          <w:szCs w:val="20"/>
        </w:rPr>
        <w:instrText xml:space="preserve"> REF _Ref463531047 \h  \* MERGEFORMAT </w:instrText>
      </w:r>
      <w:r w:rsidR="00EB2230">
        <w:rPr>
          <w:rFonts w:ascii="Arial" w:hAnsi="Arial" w:cs="Arial"/>
          <w:sz w:val="20"/>
          <w:szCs w:val="20"/>
        </w:rPr>
      </w:r>
      <w:r w:rsidR="00EB2230">
        <w:rPr>
          <w:rFonts w:ascii="Arial" w:hAnsi="Arial" w:cs="Arial"/>
          <w:sz w:val="20"/>
          <w:szCs w:val="20"/>
        </w:rPr>
        <w:fldChar w:fldCharType="separate"/>
      </w:r>
      <w:r w:rsidR="00EB2230" w:rsidRPr="00EB2230">
        <w:rPr>
          <w:rFonts w:ascii="Arial" w:hAnsi="Arial" w:cs="Arial"/>
          <w:sz w:val="20"/>
          <w:szCs w:val="20"/>
        </w:rPr>
        <w:t>Şekil 2</w:t>
      </w:r>
      <w:r w:rsidR="00EB2230">
        <w:rPr>
          <w:rFonts w:ascii="Arial" w:hAnsi="Arial" w:cs="Arial"/>
          <w:sz w:val="20"/>
          <w:szCs w:val="20"/>
        </w:rPr>
        <w:fldChar w:fldCharType="end"/>
      </w:r>
      <w:r w:rsidR="00D47139" w:rsidRPr="0027354C">
        <w:rPr>
          <w:rFonts w:ascii="Arial" w:hAnsi="Arial" w:cs="Arial"/>
          <w:sz w:val="20"/>
          <w:szCs w:val="20"/>
        </w:rPr>
        <w:t xml:space="preserve"> ve</w:t>
      </w:r>
      <w:r w:rsidR="00EB2230">
        <w:rPr>
          <w:rFonts w:ascii="Arial" w:hAnsi="Arial" w:cs="Arial"/>
          <w:sz w:val="20"/>
          <w:szCs w:val="20"/>
        </w:rPr>
        <w:t xml:space="preserve"> </w:t>
      </w:r>
      <w:r w:rsidR="00EB2230">
        <w:rPr>
          <w:rFonts w:ascii="Arial" w:hAnsi="Arial" w:cs="Arial"/>
          <w:sz w:val="20"/>
          <w:szCs w:val="20"/>
        </w:rPr>
        <w:fldChar w:fldCharType="begin"/>
      </w:r>
      <w:r w:rsidR="00EB2230">
        <w:rPr>
          <w:rFonts w:ascii="Arial" w:hAnsi="Arial" w:cs="Arial"/>
          <w:sz w:val="20"/>
          <w:szCs w:val="20"/>
        </w:rPr>
        <w:instrText xml:space="preserve"> REF _Ref463531088 \h  \* MERGEFORMAT </w:instrText>
      </w:r>
      <w:r w:rsidR="00EB2230">
        <w:rPr>
          <w:rFonts w:ascii="Arial" w:hAnsi="Arial" w:cs="Arial"/>
          <w:sz w:val="20"/>
          <w:szCs w:val="20"/>
        </w:rPr>
      </w:r>
      <w:r w:rsidR="00EB2230">
        <w:rPr>
          <w:rFonts w:ascii="Arial" w:hAnsi="Arial" w:cs="Arial"/>
          <w:sz w:val="20"/>
          <w:szCs w:val="20"/>
        </w:rPr>
        <w:fldChar w:fldCharType="separate"/>
      </w:r>
      <w:r w:rsidR="00EB2230" w:rsidRPr="00EB2230">
        <w:rPr>
          <w:rFonts w:ascii="Arial" w:hAnsi="Arial" w:cs="Arial"/>
          <w:sz w:val="20"/>
          <w:szCs w:val="20"/>
        </w:rPr>
        <w:t>Ek Tablo 1</w:t>
      </w:r>
      <w:r w:rsidR="00EB2230">
        <w:rPr>
          <w:rFonts w:ascii="Arial" w:hAnsi="Arial" w:cs="Arial"/>
          <w:sz w:val="20"/>
          <w:szCs w:val="20"/>
        </w:rPr>
        <w:fldChar w:fldCharType="end"/>
      </w:r>
      <w:r w:rsidR="00D47139" w:rsidRPr="0027354C">
        <w:rPr>
          <w:rFonts w:ascii="Arial" w:hAnsi="Arial" w:cs="Arial"/>
          <w:sz w:val="20"/>
          <w:szCs w:val="20"/>
        </w:rPr>
        <w:t>)</w:t>
      </w:r>
      <w:r w:rsidR="001107FC" w:rsidRPr="0027354C">
        <w:rPr>
          <w:rFonts w:ascii="Arial" w:hAnsi="Arial" w:cs="Arial"/>
          <w:sz w:val="20"/>
          <w:szCs w:val="20"/>
        </w:rPr>
        <w:t xml:space="preserve">. Öte yandan </w:t>
      </w:r>
      <w:r w:rsidR="00D47139" w:rsidRPr="0027354C">
        <w:rPr>
          <w:rFonts w:ascii="Arial" w:hAnsi="Arial" w:cs="Arial"/>
          <w:sz w:val="20"/>
          <w:szCs w:val="20"/>
        </w:rPr>
        <w:t xml:space="preserve">bu dönemdeki </w:t>
      </w:r>
      <w:r w:rsidR="00AA21DD" w:rsidRPr="0027354C">
        <w:rPr>
          <w:rFonts w:ascii="Arial" w:hAnsi="Arial" w:cs="Arial"/>
          <w:sz w:val="20"/>
          <w:szCs w:val="20"/>
        </w:rPr>
        <w:t>k</w:t>
      </w:r>
      <w:r w:rsidR="00311CA6" w:rsidRPr="0027354C">
        <w:rPr>
          <w:rFonts w:ascii="Arial" w:hAnsi="Arial" w:cs="Arial"/>
          <w:sz w:val="20"/>
          <w:szCs w:val="20"/>
        </w:rPr>
        <w:t>işi</w:t>
      </w:r>
      <w:r w:rsidR="00AA21DD" w:rsidRPr="0027354C">
        <w:rPr>
          <w:rFonts w:ascii="Arial" w:hAnsi="Arial" w:cs="Arial"/>
          <w:sz w:val="20"/>
          <w:szCs w:val="20"/>
        </w:rPr>
        <w:t xml:space="preserve"> başı gelir artışı</w:t>
      </w:r>
      <w:r w:rsidR="00311CA6" w:rsidRPr="0027354C">
        <w:rPr>
          <w:rFonts w:ascii="Arial" w:hAnsi="Arial" w:cs="Arial"/>
          <w:sz w:val="20"/>
          <w:szCs w:val="20"/>
        </w:rPr>
        <w:t xml:space="preserve"> </w:t>
      </w:r>
      <w:r w:rsidR="001107FC" w:rsidRPr="0027354C">
        <w:rPr>
          <w:rFonts w:ascii="Arial" w:hAnsi="Arial" w:cs="Arial"/>
          <w:sz w:val="20"/>
          <w:szCs w:val="20"/>
        </w:rPr>
        <w:t xml:space="preserve">önemli ölçüde (yarısından </w:t>
      </w:r>
      <w:r w:rsidRPr="0027354C">
        <w:rPr>
          <w:rFonts w:ascii="Arial" w:hAnsi="Arial" w:cs="Arial"/>
          <w:sz w:val="20"/>
          <w:szCs w:val="20"/>
        </w:rPr>
        <w:t>fazlası)</w:t>
      </w:r>
      <w:r w:rsidR="001107FC" w:rsidRPr="0027354C">
        <w:rPr>
          <w:rFonts w:ascii="Arial" w:hAnsi="Arial" w:cs="Arial"/>
          <w:sz w:val="20"/>
          <w:szCs w:val="20"/>
        </w:rPr>
        <w:t xml:space="preserve"> istihdam</w:t>
      </w:r>
      <w:r w:rsidR="00311CA6" w:rsidRPr="0027354C">
        <w:rPr>
          <w:rFonts w:ascii="Arial" w:hAnsi="Arial" w:cs="Arial"/>
          <w:sz w:val="20"/>
          <w:szCs w:val="20"/>
        </w:rPr>
        <w:t xml:space="preserve"> </w:t>
      </w:r>
      <w:r w:rsidRPr="0027354C">
        <w:rPr>
          <w:rFonts w:ascii="Arial" w:hAnsi="Arial" w:cs="Arial"/>
          <w:sz w:val="20"/>
          <w:szCs w:val="20"/>
        </w:rPr>
        <w:t>artışı</w:t>
      </w:r>
      <w:r w:rsidR="00845501" w:rsidRPr="0027354C">
        <w:rPr>
          <w:rFonts w:ascii="Arial" w:hAnsi="Arial" w:cs="Arial"/>
          <w:sz w:val="20"/>
          <w:szCs w:val="20"/>
        </w:rPr>
        <w:t xml:space="preserve"> sayesinde gerçekleşmiş</w:t>
      </w:r>
      <w:r w:rsidRPr="0027354C">
        <w:rPr>
          <w:rFonts w:ascii="Arial" w:hAnsi="Arial" w:cs="Arial"/>
          <w:sz w:val="20"/>
          <w:szCs w:val="20"/>
        </w:rPr>
        <w:t>tir.</w:t>
      </w:r>
      <w:r w:rsidR="00845501" w:rsidRPr="0027354C">
        <w:rPr>
          <w:rFonts w:ascii="Arial" w:hAnsi="Arial" w:cs="Arial"/>
          <w:sz w:val="20"/>
          <w:szCs w:val="20"/>
        </w:rPr>
        <w:t xml:space="preserve"> </w:t>
      </w:r>
      <w:r w:rsidRPr="0027354C">
        <w:rPr>
          <w:rFonts w:ascii="Arial" w:hAnsi="Arial" w:cs="Arial"/>
          <w:sz w:val="20"/>
          <w:szCs w:val="20"/>
        </w:rPr>
        <w:t xml:space="preserve">Kişi </w:t>
      </w:r>
      <w:r w:rsidR="00701438" w:rsidRPr="0027354C">
        <w:rPr>
          <w:rFonts w:ascii="Arial" w:hAnsi="Arial" w:cs="Arial"/>
          <w:sz w:val="20"/>
          <w:szCs w:val="20"/>
        </w:rPr>
        <w:t xml:space="preserve">başı gelir endeksi </w:t>
      </w:r>
      <w:r w:rsidR="00D47139" w:rsidRPr="00EB2230">
        <w:rPr>
          <w:rFonts w:ascii="Arial" w:hAnsi="Arial" w:cs="Arial"/>
          <w:sz w:val="20"/>
          <w:szCs w:val="20"/>
        </w:rPr>
        <w:t>120,5’ten</w:t>
      </w:r>
      <w:r w:rsidR="00701438" w:rsidRPr="00EB2230">
        <w:rPr>
          <w:rFonts w:ascii="Arial" w:hAnsi="Arial" w:cs="Arial"/>
          <w:sz w:val="20"/>
          <w:szCs w:val="20"/>
        </w:rPr>
        <w:t xml:space="preserve"> 130</w:t>
      </w:r>
      <w:r w:rsidRPr="00EB2230">
        <w:rPr>
          <w:rFonts w:ascii="Arial" w:hAnsi="Arial" w:cs="Arial"/>
          <w:sz w:val="20"/>
          <w:szCs w:val="20"/>
        </w:rPr>
        <w:t xml:space="preserve">,3’e </w:t>
      </w:r>
      <w:r w:rsidR="001107FC" w:rsidRPr="0027354C">
        <w:rPr>
          <w:rFonts w:ascii="Arial" w:hAnsi="Arial" w:cs="Arial"/>
          <w:sz w:val="20"/>
          <w:szCs w:val="20"/>
        </w:rPr>
        <w:t>yükselirken istihdam oranı</w:t>
      </w:r>
      <w:r w:rsidR="00D47139" w:rsidRPr="0027354C">
        <w:rPr>
          <w:rFonts w:ascii="Arial" w:hAnsi="Arial" w:cs="Arial"/>
          <w:sz w:val="20"/>
          <w:szCs w:val="20"/>
        </w:rPr>
        <w:t xml:space="preserve"> endeksi de 108,8’den 114,3</w:t>
      </w:r>
      <w:r w:rsidRPr="0027354C">
        <w:rPr>
          <w:rFonts w:ascii="Arial" w:hAnsi="Arial" w:cs="Arial"/>
          <w:sz w:val="20"/>
          <w:szCs w:val="20"/>
        </w:rPr>
        <w:t xml:space="preserve"> e yüksel</w:t>
      </w:r>
      <w:r w:rsidR="00D47139" w:rsidRPr="0027354C">
        <w:rPr>
          <w:rFonts w:ascii="Arial" w:hAnsi="Arial" w:cs="Arial"/>
          <w:sz w:val="20"/>
          <w:szCs w:val="20"/>
        </w:rPr>
        <w:t xml:space="preserve">miştir </w:t>
      </w:r>
      <w:r w:rsidR="00EB2230">
        <w:rPr>
          <w:rFonts w:ascii="Arial" w:hAnsi="Arial" w:cs="Arial"/>
          <w:sz w:val="20"/>
          <w:szCs w:val="20"/>
        </w:rPr>
        <w:t>(</w:t>
      </w:r>
      <w:r w:rsidR="00EB2230">
        <w:rPr>
          <w:rFonts w:ascii="Arial" w:hAnsi="Arial" w:cs="Arial"/>
          <w:sz w:val="20"/>
          <w:szCs w:val="20"/>
        </w:rPr>
        <w:fldChar w:fldCharType="begin"/>
      </w:r>
      <w:r w:rsidR="00EB2230">
        <w:rPr>
          <w:rFonts w:ascii="Arial" w:hAnsi="Arial" w:cs="Arial"/>
          <w:sz w:val="20"/>
          <w:szCs w:val="20"/>
        </w:rPr>
        <w:instrText xml:space="preserve"> REF _Ref463531047 \h  \* MERGEFORMAT </w:instrText>
      </w:r>
      <w:r w:rsidR="00EB2230">
        <w:rPr>
          <w:rFonts w:ascii="Arial" w:hAnsi="Arial" w:cs="Arial"/>
          <w:sz w:val="20"/>
          <w:szCs w:val="20"/>
        </w:rPr>
      </w:r>
      <w:r w:rsidR="00EB2230">
        <w:rPr>
          <w:rFonts w:ascii="Arial" w:hAnsi="Arial" w:cs="Arial"/>
          <w:sz w:val="20"/>
          <w:szCs w:val="20"/>
        </w:rPr>
        <w:fldChar w:fldCharType="separate"/>
      </w:r>
      <w:r w:rsidR="00EB2230" w:rsidRPr="00EB2230">
        <w:rPr>
          <w:rFonts w:ascii="Arial" w:hAnsi="Arial" w:cs="Arial"/>
          <w:sz w:val="20"/>
          <w:szCs w:val="20"/>
        </w:rPr>
        <w:t>Şekil 2</w:t>
      </w:r>
      <w:r w:rsidR="00EB2230">
        <w:rPr>
          <w:rFonts w:ascii="Arial" w:hAnsi="Arial" w:cs="Arial"/>
          <w:sz w:val="20"/>
          <w:szCs w:val="20"/>
        </w:rPr>
        <w:fldChar w:fldCharType="end"/>
      </w:r>
      <w:r w:rsidR="00701438" w:rsidRPr="0027354C">
        <w:rPr>
          <w:rFonts w:ascii="Arial" w:hAnsi="Arial" w:cs="Arial"/>
          <w:sz w:val="20"/>
          <w:szCs w:val="20"/>
        </w:rPr>
        <w:t xml:space="preserve"> ve</w:t>
      </w:r>
      <w:r w:rsidR="00EB2230">
        <w:rPr>
          <w:rFonts w:ascii="Arial" w:hAnsi="Arial" w:cs="Arial"/>
          <w:sz w:val="20"/>
          <w:szCs w:val="20"/>
        </w:rPr>
        <w:t xml:space="preserve"> </w:t>
      </w:r>
      <w:r w:rsidR="00EB2230" w:rsidRPr="00EB2230">
        <w:rPr>
          <w:rFonts w:ascii="Arial" w:hAnsi="Arial" w:cs="Arial"/>
          <w:sz w:val="20"/>
          <w:szCs w:val="20"/>
        </w:rPr>
        <w:fldChar w:fldCharType="begin"/>
      </w:r>
      <w:r w:rsidR="00EB2230" w:rsidRPr="00EB2230">
        <w:rPr>
          <w:rFonts w:ascii="Arial" w:hAnsi="Arial" w:cs="Arial"/>
          <w:sz w:val="20"/>
          <w:szCs w:val="20"/>
        </w:rPr>
        <w:instrText xml:space="preserve"> REF _Ref463531088 \h  \* MERGEFORMAT </w:instrText>
      </w:r>
      <w:r w:rsidR="00EB2230" w:rsidRPr="00EB2230">
        <w:rPr>
          <w:rFonts w:ascii="Arial" w:hAnsi="Arial" w:cs="Arial"/>
          <w:sz w:val="20"/>
          <w:szCs w:val="20"/>
        </w:rPr>
      </w:r>
      <w:r w:rsidR="00EB2230" w:rsidRPr="00EB2230">
        <w:rPr>
          <w:rFonts w:ascii="Arial" w:hAnsi="Arial" w:cs="Arial"/>
          <w:sz w:val="20"/>
          <w:szCs w:val="20"/>
        </w:rPr>
        <w:fldChar w:fldCharType="separate"/>
      </w:r>
      <w:r w:rsidR="00EB2230" w:rsidRPr="00EB2230">
        <w:rPr>
          <w:rFonts w:ascii="Arial" w:hAnsi="Arial" w:cs="Arial"/>
          <w:sz w:val="20"/>
          <w:szCs w:val="20"/>
        </w:rPr>
        <w:t>Ek Tablo 1</w:t>
      </w:r>
      <w:r w:rsidR="00EB2230" w:rsidRPr="00EB2230">
        <w:rPr>
          <w:rFonts w:ascii="Arial" w:hAnsi="Arial" w:cs="Arial"/>
          <w:sz w:val="20"/>
          <w:szCs w:val="20"/>
        </w:rPr>
        <w:fldChar w:fldCharType="end"/>
      </w:r>
      <w:r w:rsidR="00701438" w:rsidRPr="0027354C">
        <w:rPr>
          <w:rFonts w:ascii="Arial" w:hAnsi="Arial" w:cs="Arial"/>
          <w:sz w:val="20"/>
          <w:szCs w:val="20"/>
        </w:rPr>
        <w:t>).</w:t>
      </w:r>
    </w:p>
    <w:p w:rsidR="00CE2083" w:rsidRPr="0027354C" w:rsidRDefault="00CE2083" w:rsidP="0027354C">
      <w:pPr>
        <w:spacing w:line="360" w:lineRule="auto"/>
        <w:jc w:val="both"/>
        <w:rPr>
          <w:rFonts w:ascii="Arial" w:hAnsi="Arial" w:cs="Arial"/>
          <w:sz w:val="20"/>
          <w:szCs w:val="20"/>
        </w:rPr>
      </w:pPr>
    </w:p>
    <w:p w:rsidR="00837730" w:rsidRPr="0027354C" w:rsidRDefault="00CE2083" w:rsidP="0027354C">
      <w:pPr>
        <w:spacing w:line="360" w:lineRule="auto"/>
        <w:jc w:val="both"/>
        <w:rPr>
          <w:rFonts w:ascii="Arial" w:hAnsi="Arial" w:cs="Arial"/>
          <w:color w:val="000000" w:themeColor="text1"/>
          <w:sz w:val="20"/>
          <w:szCs w:val="20"/>
        </w:rPr>
      </w:pPr>
      <w:r w:rsidRPr="0027354C">
        <w:rPr>
          <w:rFonts w:ascii="Arial" w:hAnsi="Arial" w:cs="Arial"/>
          <w:color w:val="000000" w:themeColor="text1"/>
          <w:sz w:val="20"/>
          <w:szCs w:val="20"/>
        </w:rPr>
        <w:t>Derneşik</w:t>
      </w:r>
      <w:r w:rsidR="0027354C" w:rsidRPr="0027354C">
        <w:rPr>
          <w:rFonts w:ascii="Arial" w:hAnsi="Arial" w:cs="Arial"/>
          <w:color w:val="000000" w:themeColor="text1"/>
          <w:sz w:val="20"/>
          <w:szCs w:val="20"/>
        </w:rPr>
        <w:t xml:space="preserve"> (aggregate)</w:t>
      </w:r>
      <w:r w:rsidRPr="0027354C">
        <w:rPr>
          <w:rFonts w:ascii="Arial" w:hAnsi="Arial" w:cs="Arial"/>
          <w:color w:val="000000" w:themeColor="text1"/>
          <w:sz w:val="20"/>
          <w:szCs w:val="20"/>
        </w:rPr>
        <w:t xml:space="preserve"> analiz son on yılın ekonomik büyüme-verimlilik ilişkisinde yaşanan büyük dalgalanmaların kaynaklarını ortaya koymakla birlikte ana sektörlerdeki gelişmeleri gizliyor. Oysa bu araştırmada kullanılan ayrıştırma yöntemi ile başlıca sek</w:t>
      </w:r>
      <w:r w:rsidR="0027354C">
        <w:rPr>
          <w:rFonts w:ascii="Arial" w:hAnsi="Arial" w:cs="Arial"/>
          <w:color w:val="000000" w:themeColor="text1"/>
          <w:sz w:val="20"/>
          <w:szCs w:val="20"/>
        </w:rPr>
        <w:t>törler (tarım, sanayi, inşaat ve hi</w:t>
      </w:r>
      <w:r w:rsidRPr="0027354C">
        <w:rPr>
          <w:rFonts w:ascii="Arial" w:hAnsi="Arial" w:cs="Arial"/>
          <w:color w:val="000000" w:themeColor="text1"/>
          <w:sz w:val="20"/>
          <w:szCs w:val="20"/>
        </w:rPr>
        <w:t xml:space="preserve">zmetler) analiz edildiğinde ekonomik büyüme-verimlilik ilişkisinde sektörden sektöre ve dönemden döneme </w:t>
      </w:r>
      <w:r w:rsidR="0027354C">
        <w:rPr>
          <w:rFonts w:ascii="Arial" w:hAnsi="Arial" w:cs="Arial"/>
          <w:color w:val="000000" w:themeColor="text1"/>
          <w:sz w:val="20"/>
          <w:szCs w:val="20"/>
        </w:rPr>
        <w:t>çarpıcı</w:t>
      </w:r>
      <w:r w:rsidRPr="0027354C">
        <w:rPr>
          <w:rFonts w:ascii="Arial" w:hAnsi="Arial" w:cs="Arial"/>
          <w:color w:val="000000" w:themeColor="text1"/>
          <w:sz w:val="20"/>
          <w:szCs w:val="20"/>
        </w:rPr>
        <w:t xml:space="preserve"> farklılıklar dikkat çekiyor. Sektörel analizi yakında yayınlayacağımız bir diğer araştırma notuna bırakıyoruz. </w:t>
      </w:r>
      <w:r w:rsidR="00701438" w:rsidRPr="0027354C">
        <w:rPr>
          <w:rFonts w:ascii="Arial" w:hAnsi="Arial" w:cs="Arial"/>
          <w:color w:val="000000" w:themeColor="text1"/>
          <w:sz w:val="20"/>
          <w:szCs w:val="20"/>
        </w:rPr>
        <w:t xml:space="preserve"> </w:t>
      </w:r>
    </w:p>
    <w:p w:rsidR="0027354C" w:rsidRDefault="0027354C" w:rsidP="0027354C">
      <w:pPr>
        <w:spacing w:line="360" w:lineRule="auto"/>
        <w:rPr>
          <w:rFonts w:ascii="Arial" w:hAnsi="Arial" w:cs="Arial"/>
          <w:b/>
          <w:sz w:val="20"/>
          <w:szCs w:val="20"/>
        </w:rPr>
      </w:pPr>
    </w:p>
    <w:p w:rsidR="00EB2230" w:rsidRDefault="00EB2230" w:rsidP="0027354C">
      <w:pPr>
        <w:spacing w:line="360" w:lineRule="auto"/>
        <w:rPr>
          <w:rFonts w:ascii="Arial" w:hAnsi="Arial" w:cs="Arial"/>
          <w:b/>
          <w:sz w:val="20"/>
          <w:szCs w:val="20"/>
        </w:rPr>
      </w:pPr>
    </w:p>
    <w:p w:rsidR="00EB2230" w:rsidRDefault="00EB2230" w:rsidP="0027354C">
      <w:pPr>
        <w:spacing w:line="360" w:lineRule="auto"/>
        <w:rPr>
          <w:rFonts w:ascii="Arial" w:hAnsi="Arial" w:cs="Arial"/>
          <w:b/>
          <w:sz w:val="20"/>
          <w:szCs w:val="20"/>
        </w:rPr>
      </w:pPr>
    </w:p>
    <w:p w:rsidR="00AE2FAA" w:rsidRDefault="00EB2230" w:rsidP="0027354C">
      <w:pPr>
        <w:spacing w:line="360" w:lineRule="auto"/>
        <w:rPr>
          <w:rFonts w:ascii="Arial" w:hAnsi="Arial" w:cs="Arial"/>
          <w:b/>
          <w:sz w:val="20"/>
          <w:szCs w:val="20"/>
        </w:rPr>
      </w:pPr>
      <w:r>
        <w:rPr>
          <w:rFonts w:ascii="Arial" w:hAnsi="Arial" w:cs="Arial"/>
          <w:b/>
          <w:sz w:val="20"/>
          <w:szCs w:val="20"/>
        </w:rPr>
        <w:lastRenderedPageBreak/>
        <w:t>Büyümede ikilem: istihdam mı, v</w:t>
      </w:r>
      <w:r w:rsidR="00AE2FAA" w:rsidRPr="0027354C">
        <w:rPr>
          <w:rFonts w:ascii="Arial" w:hAnsi="Arial" w:cs="Arial"/>
          <w:b/>
          <w:sz w:val="20"/>
          <w:szCs w:val="20"/>
        </w:rPr>
        <w:t>erimlilik mi?</w:t>
      </w:r>
    </w:p>
    <w:p w:rsidR="0027354C" w:rsidRPr="0027354C" w:rsidRDefault="0027354C" w:rsidP="0027354C">
      <w:pPr>
        <w:spacing w:line="360" w:lineRule="auto"/>
        <w:rPr>
          <w:rFonts w:ascii="Arial" w:hAnsi="Arial" w:cs="Arial"/>
          <w:b/>
          <w:sz w:val="20"/>
          <w:szCs w:val="20"/>
        </w:rPr>
      </w:pPr>
    </w:p>
    <w:p w:rsidR="00AE2FAA" w:rsidRPr="0027354C" w:rsidRDefault="00AE2FAA" w:rsidP="0027354C">
      <w:pPr>
        <w:spacing w:line="360" w:lineRule="auto"/>
        <w:jc w:val="both"/>
        <w:rPr>
          <w:rFonts w:ascii="Arial" w:hAnsi="Arial" w:cs="Arial"/>
          <w:sz w:val="20"/>
          <w:szCs w:val="20"/>
        </w:rPr>
      </w:pPr>
      <w:r w:rsidRPr="0027354C">
        <w:rPr>
          <w:rFonts w:ascii="Arial" w:hAnsi="Arial" w:cs="Arial"/>
          <w:sz w:val="20"/>
          <w:szCs w:val="20"/>
        </w:rPr>
        <w:t xml:space="preserve">Yaklaşık son </w:t>
      </w:r>
      <w:r w:rsidR="004305D8" w:rsidRPr="0027354C">
        <w:rPr>
          <w:rFonts w:ascii="Arial" w:hAnsi="Arial" w:cs="Arial"/>
          <w:sz w:val="20"/>
          <w:szCs w:val="20"/>
        </w:rPr>
        <w:t>dört</w:t>
      </w:r>
      <w:r w:rsidRPr="0027354C">
        <w:rPr>
          <w:rFonts w:ascii="Arial" w:hAnsi="Arial" w:cs="Arial"/>
          <w:sz w:val="20"/>
          <w:szCs w:val="20"/>
        </w:rPr>
        <w:t xml:space="preserve"> yıld</w:t>
      </w:r>
      <w:r w:rsidR="004305D8" w:rsidRPr="0027354C">
        <w:rPr>
          <w:rFonts w:ascii="Arial" w:hAnsi="Arial" w:cs="Arial"/>
          <w:sz w:val="20"/>
          <w:szCs w:val="20"/>
        </w:rPr>
        <w:t>a</w:t>
      </w:r>
      <w:r w:rsidRPr="0027354C">
        <w:rPr>
          <w:rFonts w:ascii="Arial" w:hAnsi="Arial" w:cs="Arial"/>
          <w:sz w:val="20"/>
          <w:szCs w:val="20"/>
        </w:rPr>
        <w:t xml:space="preserve"> Türkiye ekonomisi sadece düşük tempoda büyümekle kalmadı, aynı zamanda </w:t>
      </w:r>
      <w:r w:rsidR="00FB2AEC" w:rsidRPr="0027354C">
        <w:rPr>
          <w:rFonts w:ascii="Arial" w:hAnsi="Arial" w:cs="Arial"/>
          <w:sz w:val="20"/>
          <w:szCs w:val="20"/>
        </w:rPr>
        <w:t>görece kal</w:t>
      </w:r>
      <w:r w:rsidR="00BF4262" w:rsidRPr="0027354C">
        <w:rPr>
          <w:rFonts w:ascii="Arial" w:hAnsi="Arial" w:cs="Arial"/>
          <w:sz w:val="20"/>
          <w:szCs w:val="20"/>
        </w:rPr>
        <w:t xml:space="preserve">itesiz bir büyüme patikası izledi (zayıf </w:t>
      </w:r>
      <w:r w:rsidRPr="0027354C">
        <w:rPr>
          <w:rFonts w:ascii="Arial" w:hAnsi="Arial" w:cs="Arial"/>
          <w:sz w:val="20"/>
          <w:szCs w:val="20"/>
        </w:rPr>
        <w:t>emek verimliliği</w:t>
      </w:r>
      <w:r w:rsidR="00547550" w:rsidRPr="0027354C">
        <w:rPr>
          <w:rFonts w:ascii="Arial" w:hAnsi="Arial" w:cs="Arial"/>
          <w:sz w:val="20"/>
          <w:szCs w:val="20"/>
        </w:rPr>
        <w:t xml:space="preserve"> artışı</w:t>
      </w:r>
      <w:r w:rsidR="00BF4262" w:rsidRPr="0027354C">
        <w:rPr>
          <w:rFonts w:ascii="Arial" w:hAnsi="Arial" w:cs="Arial"/>
          <w:sz w:val="20"/>
          <w:szCs w:val="20"/>
        </w:rPr>
        <w:t>na karşın güçlü</w:t>
      </w:r>
      <w:r w:rsidR="00547550" w:rsidRPr="0027354C">
        <w:rPr>
          <w:rFonts w:ascii="Arial" w:hAnsi="Arial" w:cs="Arial"/>
          <w:sz w:val="20"/>
          <w:szCs w:val="20"/>
        </w:rPr>
        <w:t xml:space="preserve"> </w:t>
      </w:r>
      <w:r w:rsidRPr="0027354C">
        <w:rPr>
          <w:rFonts w:ascii="Arial" w:hAnsi="Arial" w:cs="Arial"/>
          <w:sz w:val="20"/>
          <w:szCs w:val="20"/>
        </w:rPr>
        <w:t xml:space="preserve">istihdam </w:t>
      </w:r>
      <w:r w:rsidR="00BF4262" w:rsidRPr="0027354C">
        <w:rPr>
          <w:rFonts w:ascii="Arial" w:hAnsi="Arial" w:cs="Arial"/>
          <w:sz w:val="20"/>
          <w:szCs w:val="20"/>
        </w:rPr>
        <w:t>artışı).</w:t>
      </w:r>
      <w:r w:rsidRPr="0027354C">
        <w:rPr>
          <w:rStyle w:val="FootnoteReference"/>
          <w:rFonts w:ascii="Arial" w:hAnsi="Arial" w:cs="Arial"/>
          <w:sz w:val="20"/>
          <w:szCs w:val="20"/>
        </w:rPr>
        <w:footnoteReference w:id="8"/>
      </w:r>
      <w:r w:rsidRPr="0027354C">
        <w:rPr>
          <w:rFonts w:ascii="Arial" w:hAnsi="Arial" w:cs="Arial"/>
          <w:sz w:val="20"/>
          <w:szCs w:val="20"/>
        </w:rPr>
        <w:t xml:space="preserve"> Bunun sonucu olarak Şekil 1’de de görüldüğü gibi kişi başına gelir artışı büyük ölçüde yavaşlamış durumda</w:t>
      </w:r>
      <w:r w:rsidR="00684666" w:rsidRPr="0027354C">
        <w:rPr>
          <w:rFonts w:ascii="Arial" w:hAnsi="Arial" w:cs="Arial"/>
          <w:sz w:val="20"/>
          <w:szCs w:val="20"/>
        </w:rPr>
        <w:t>dır</w:t>
      </w:r>
      <w:r w:rsidRPr="0027354C">
        <w:rPr>
          <w:rFonts w:ascii="Arial" w:hAnsi="Arial" w:cs="Arial"/>
          <w:sz w:val="20"/>
          <w:szCs w:val="20"/>
        </w:rPr>
        <w:t>. İstihdam oranının artı</w:t>
      </w:r>
      <w:r w:rsidR="00BF4262" w:rsidRPr="0027354C">
        <w:rPr>
          <w:rFonts w:ascii="Arial" w:hAnsi="Arial" w:cs="Arial"/>
          <w:sz w:val="20"/>
          <w:szCs w:val="20"/>
        </w:rPr>
        <w:t>şı</w:t>
      </w:r>
      <w:r w:rsidRPr="0027354C">
        <w:rPr>
          <w:rFonts w:ascii="Arial" w:hAnsi="Arial" w:cs="Arial"/>
          <w:sz w:val="20"/>
          <w:szCs w:val="20"/>
        </w:rPr>
        <w:t>, dolayısıyla hanelerde ortalama çalışan sayısının artıyor olması (ki bu art</w:t>
      </w:r>
      <w:r w:rsidR="00D47139" w:rsidRPr="0027354C">
        <w:rPr>
          <w:rFonts w:ascii="Arial" w:hAnsi="Arial" w:cs="Arial"/>
          <w:sz w:val="20"/>
          <w:szCs w:val="20"/>
        </w:rPr>
        <w:t>ışta kadın istihdam artışı baş</w:t>
      </w:r>
      <w:r w:rsidRPr="0027354C">
        <w:rPr>
          <w:rFonts w:ascii="Arial" w:hAnsi="Arial" w:cs="Arial"/>
          <w:sz w:val="20"/>
          <w:szCs w:val="20"/>
        </w:rPr>
        <w:t xml:space="preserve"> rol oynuyor) </w:t>
      </w:r>
      <w:r w:rsidR="0083155C" w:rsidRPr="0027354C">
        <w:rPr>
          <w:rFonts w:ascii="Arial" w:hAnsi="Arial" w:cs="Arial"/>
          <w:sz w:val="20"/>
          <w:szCs w:val="20"/>
        </w:rPr>
        <w:t xml:space="preserve">işsizlik açısından </w:t>
      </w:r>
      <w:r w:rsidRPr="0027354C">
        <w:rPr>
          <w:rFonts w:ascii="Arial" w:hAnsi="Arial" w:cs="Arial"/>
          <w:sz w:val="20"/>
          <w:szCs w:val="20"/>
        </w:rPr>
        <w:t>olumlu bir gelişme</w:t>
      </w:r>
      <w:r w:rsidR="00325473" w:rsidRPr="0027354C">
        <w:rPr>
          <w:rFonts w:ascii="Arial" w:hAnsi="Arial" w:cs="Arial"/>
          <w:sz w:val="20"/>
          <w:szCs w:val="20"/>
        </w:rPr>
        <w:t xml:space="preserve"> sayılabilir</w:t>
      </w:r>
      <w:r w:rsidR="001F7F8A" w:rsidRPr="0027354C">
        <w:rPr>
          <w:rFonts w:ascii="Arial" w:hAnsi="Arial" w:cs="Arial"/>
          <w:sz w:val="20"/>
          <w:szCs w:val="20"/>
        </w:rPr>
        <w:t xml:space="preserve">. Bu sayede düşük büyümeye rağmen işsizlik artmamış, </w:t>
      </w:r>
      <w:r w:rsidR="00684666" w:rsidRPr="0027354C">
        <w:rPr>
          <w:rFonts w:ascii="Arial" w:hAnsi="Arial" w:cs="Arial"/>
          <w:sz w:val="20"/>
          <w:szCs w:val="20"/>
        </w:rPr>
        <w:t xml:space="preserve">dalgalanmakla birlikte (işgücü artışnın şiddetine bağıl olarak) </w:t>
      </w:r>
      <w:r w:rsidR="001F7F8A" w:rsidRPr="0027354C">
        <w:rPr>
          <w:rFonts w:ascii="Arial" w:hAnsi="Arial" w:cs="Arial"/>
          <w:sz w:val="20"/>
          <w:szCs w:val="20"/>
        </w:rPr>
        <w:t>genelde yatay seyir izlemiştir.</w:t>
      </w:r>
      <w:r w:rsidRPr="0027354C">
        <w:rPr>
          <w:rFonts w:ascii="Arial" w:hAnsi="Arial" w:cs="Arial"/>
          <w:sz w:val="20"/>
          <w:szCs w:val="20"/>
        </w:rPr>
        <w:t xml:space="preserve"> </w:t>
      </w:r>
    </w:p>
    <w:p w:rsidR="00AE2FAA" w:rsidRPr="0027354C" w:rsidRDefault="00AE2FAA" w:rsidP="0027354C">
      <w:pPr>
        <w:spacing w:line="360" w:lineRule="auto"/>
        <w:jc w:val="both"/>
        <w:rPr>
          <w:rFonts w:ascii="Arial" w:hAnsi="Arial" w:cs="Arial"/>
          <w:sz w:val="20"/>
          <w:szCs w:val="20"/>
        </w:rPr>
      </w:pPr>
    </w:p>
    <w:p w:rsidR="00AE2FAA" w:rsidRPr="0027354C" w:rsidRDefault="00AE2FAA" w:rsidP="0027354C">
      <w:pPr>
        <w:spacing w:line="360" w:lineRule="auto"/>
        <w:jc w:val="both"/>
        <w:rPr>
          <w:rFonts w:ascii="Arial" w:hAnsi="Arial" w:cs="Arial"/>
          <w:sz w:val="20"/>
          <w:szCs w:val="20"/>
        </w:rPr>
      </w:pPr>
      <w:r w:rsidRPr="0027354C">
        <w:rPr>
          <w:rFonts w:ascii="Arial" w:hAnsi="Arial" w:cs="Arial"/>
          <w:sz w:val="20"/>
          <w:szCs w:val="20"/>
        </w:rPr>
        <w:t xml:space="preserve">Bununla birlikte, Türkiye ekonomisinin daha yüksek büyüme hızlarına ulaşması, aynı zamanda da kişi başına </w:t>
      </w:r>
      <w:r w:rsidR="00FF567A" w:rsidRPr="0027354C">
        <w:rPr>
          <w:rFonts w:ascii="Arial" w:hAnsi="Arial" w:cs="Arial"/>
          <w:sz w:val="20"/>
          <w:szCs w:val="20"/>
        </w:rPr>
        <w:t xml:space="preserve">geliri daha hızlı arttırarak </w:t>
      </w:r>
      <w:r w:rsidR="0083155C" w:rsidRPr="0027354C">
        <w:rPr>
          <w:rFonts w:ascii="Arial" w:hAnsi="Arial" w:cs="Arial"/>
          <w:sz w:val="20"/>
          <w:szCs w:val="20"/>
        </w:rPr>
        <w:t xml:space="preserve">gelişmiş ülkelerle olan büyük açığı azaltabilmesi için </w:t>
      </w:r>
      <w:r w:rsidRPr="0027354C">
        <w:rPr>
          <w:rFonts w:ascii="Arial" w:hAnsi="Arial" w:cs="Arial"/>
          <w:sz w:val="20"/>
          <w:szCs w:val="20"/>
        </w:rPr>
        <w:t xml:space="preserve">verimlilik artışlarının </w:t>
      </w:r>
      <w:r w:rsidR="0083155C" w:rsidRPr="0027354C">
        <w:rPr>
          <w:rFonts w:ascii="Arial" w:hAnsi="Arial" w:cs="Arial"/>
          <w:sz w:val="20"/>
          <w:szCs w:val="20"/>
        </w:rPr>
        <w:t>güçlenmesi</w:t>
      </w:r>
      <w:r w:rsidRPr="0027354C">
        <w:rPr>
          <w:rFonts w:ascii="Arial" w:hAnsi="Arial" w:cs="Arial"/>
          <w:sz w:val="20"/>
          <w:szCs w:val="20"/>
        </w:rPr>
        <w:t xml:space="preserve"> şart</w:t>
      </w:r>
      <w:r w:rsidR="00364EE4" w:rsidRPr="0027354C">
        <w:rPr>
          <w:rFonts w:ascii="Arial" w:hAnsi="Arial" w:cs="Arial"/>
          <w:sz w:val="20"/>
          <w:szCs w:val="20"/>
        </w:rPr>
        <w:t>tır</w:t>
      </w:r>
      <w:r w:rsidRPr="0027354C">
        <w:rPr>
          <w:rFonts w:ascii="Arial" w:hAnsi="Arial" w:cs="Arial"/>
          <w:sz w:val="20"/>
          <w:szCs w:val="20"/>
        </w:rPr>
        <w:t xml:space="preserve">. Tekrarlama pahasına bir kez daha belirtmek isteriz ki, verimlilik artışlarının yolu da, başta eğitim sistemi olmak üzere, işgücü piyasasında, </w:t>
      </w:r>
      <w:r w:rsidR="00BF4262" w:rsidRPr="0027354C">
        <w:rPr>
          <w:rFonts w:ascii="Arial" w:hAnsi="Arial" w:cs="Arial"/>
          <w:sz w:val="20"/>
          <w:szCs w:val="20"/>
        </w:rPr>
        <w:t xml:space="preserve">altyapıda, </w:t>
      </w:r>
      <w:r w:rsidRPr="0027354C">
        <w:rPr>
          <w:rFonts w:ascii="Arial" w:hAnsi="Arial" w:cs="Arial"/>
          <w:sz w:val="20"/>
          <w:szCs w:val="20"/>
        </w:rPr>
        <w:t xml:space="preserve">vergi sisteminde, enerji </w:t>
      </w:r>
      <w:r w:rsidR="00A15C3D" w:rsidRPr="0027354C">
        <w:rPr>
          <w:rFonts w:ascii="Arial" w:hAnsi="Arial" w:cs="Arial"/>
          <w:sz w:val="20"/>
          <w:szCs w:val="20"/>
        </w:rPr>
        <w:t xml:space="preserve">ve </w:t>
      </w:r>
      <w:r w:rsidR="00364EE4" w:rsidRPr="0027354C">
        <w:rPr>
          <w:rFonts w:ascii="Arial" w:hAnsi="Arial" w:cs="Arial"/>
          <w:sz w:val="20"/>
          <w:szCs w:val="20"/>
        </w:rPr>
        <w:t xml:space="preserve">ürün </w:t>
      </w:r>
      <w:r w:rsidRPr="0027354C">
        <w:rPr>
          <w:rFonts w:ascii="Arial" w:hAnsi="Arial" w:cs="Arial"/>
          <w:sz w:val="20"/>
          <w:szCs w:val="20"/>
        </w:rPr>
        <w:t>piyasa</w:t>
      </w:r>
      <w:r w:rsidR="00364EE4" w:rsidRPr="0027354C">
        <w:rPr>
          <w:rFonts w:ascii="Arial" w:hAnsi="Arial" w:cs="Arial"/>
          <w:sz w:val="20"/>
          <w:szCs w:val="20"/>
        </w:rPr>
        <w:t>larında</w:t>
      </w:r>
      <w:r w:rsidRPr="0027354C">
        <w:rPr>
          <w:rFonts w:ascii="Arial" w:hAnsi="Arial" w:cs="Arial"/>
          <w:sz w:val="20"/>
          <w:szCs w:val="20"/>
        </w:rPr>
        <w:t xml:space="preserve">, daha genel söyleyecek olursak her alanda ekonomi çarklarını çok daha etkin bir şekilde </w:t>
      </w:r>
      <w:r w:rsidR="00364EE4" w:rsidRPr="0027354C">
        <w:rPr>
          <w:rFonts w:ascii="Arial" w:hAnsi="Arial" w:cs="Arial"/>
          <w:sz w:val="20"/>
          <w:szCs w:val="20"/>
        </w:rPr>
        <w:t>döndürecek</w:t>
      </w:r>
      <w:r w:rsidR="00E37AEE" w:rsidRPr="0027354C">
        <w:rPr>
          <w:rFonts w:ascii="Arial" w:hAnsi="Arial" w:cs="Arial"/>
          <w:sz w:val="20"/>
          <w:szCs w:val="20"/>
        </w:rPr>
        <w:t xml:space="preserve"> </w:t>
      </w:r>
      <w:r w:rsidRPr="0027354C">
        <w:rPr>
          <w:rFonts w:ascii="Arial" w:hAnsi="Arial" w:cs="Arial"/>
          <w:sz w:val="20"/>
          <w:szCs w:val="20"/>
        </w:rPr>
        <w:t>yapısal reformlardan geç</w:t>
      </w:r>
      <w:r w:rsidR="00364EE4" w:rsidRPr="0027354C">
        <w:rPr>
          <w:rFonts w:ascii="Arial" w:hAnsi="Arial" w:cs="Arial"/>
          <w:sz w:val="20"/>
          <w:szCs w:val="20"/>
        </w:rPr>
        <w:t>mektedir</w:t>
      </w:r>
      <w:r w:rsidRPr="0027354C">
        <w:rPr>
          <w:rFonts w:ascii="Arial" w:hAnsi="Arial" w:cs="Arial"/>
          <w:sz w:val="20"/>
          <w:szCs w:val="20"/>
        </w:rPr>
        <w:t xml:space="preserve">. Aksi takdirde Türkiye </w:t>
      </w:r>
      <w:r w:rsidR="0083155C" w:rsidRPr="0027354C">
        <w:rPr>
          <w:rFonts w:ascii="Arial" w:hAnsi="Arial" w:cs="Arial"/>
          <w:sz w:val="20"/>
          <w:szCs w:val="20"/>
        </w:rPr>
        <w:t xml:space="preserve">daha </w:t>
      </w:r>
      <w:r w:rsidRPr="0027354C">
        <w:rPr>
          <w:rFonts w:ascii="Arial" w:hAnsi="Arial" w:cs="Arial"/>
          <w:sz w:val="20"/>
          <w:szCs w:val="20"/>
        </w:rPr>
        <w:t xml:space="preserve">uzun yıllar Orta Gelir Grubundan </w:t>
      </w:r>
      <w:r w:rsidR="002A24B1" w:rsidRPr="0027354C">
        <w:rPr>
          <w:rFonts w:ascii="Arial" w:hAnsi="Arial" w:cs="Arial"/>
          <w:sz w:val="20"/>
          <w:szCs w:val="20"/>
        </w:rPr>
        <w:t>çıkamayabilir.</w:t>
      </w:r>
      <w:r w:rsidRPr="0027354C">
        <w:rPr>
          <w:rFonts w:ascii="Arial" w:hAnsi="Arial" w:cs="Arial"/>
          <w:sz w:val="20"/>
          <w:szCs w:val="20"/>
        </w:rPr>
        <w:t xml:space="preserve"> </w:t>
      </w:r>
    </w:p>
    <w:p w:rsidR="00AE2FAA" w:rsidRPr="0027354C" w:rsidRDefault="00AE2FAA" w:rsidP="0027354C">
      <w:pPr>
        <w:spacing w:line="360" w:lineRule="auto"/>
        <w:rPr>
          <w:rFonts w:ascii="Arial" w:hAnsi="Arial" w:cs="Arial"/>
          <w:sz w:val="20"/>
          <w:szCs w:val="20"/>
        </w:rPr>
      </w:pPr>
    </w:p>
    <w:p w:rsidR="00A77272" w:rsidRPr="0027354C" w:rsidRDefault="00A77272" w:rsidP="00AE2FAA">
      <w:pPr>
        <w:rPr>
          <w:rFonts w:ascii="Arial" w:hAnsi="Arial" w:cs="Arial"/>
          <w:b/>
          <w:sz w:val="20"/>
          <w:szCs w:val="20"/>
        </w:rPr>
      </w:pPr>
    </w:p>
    <w:p w:rsidR="0027354C" w:rsidRDefault="0027354C" w:rsidP="00AE2FAA">
      <w:pPr>
        <w:rPr>
          <w:rFonts w:ascii="Arial" w:hAnsi="Arial" w:cs="Arial"/>
          <w:b/>
          <w:sz w:val="20"/>
          <w:szCs w:val="20"/>
        </w:rPr>
      </w:pPr>
    </w:p>
    <w:p w:rsidR="0027354C" w:rsidRDefault="0027354C" w:rsidP="00AE2FAA">
      <w:pPr>
        <w:rPr>
          <w:rFonts w:ascii="Arial" w:hAnsi="Arial" w:cs="Arial"/>
          <w:b/>
          <w:sz w:val="20"/>
          <w:szCs w:val="20"/>
        </w:rPr>
      </w:pPr>
    </w:p>
    <w:p w:rsidR="0027354C" w:rsidRDefault="0027354C" w:rsidP="00AE2FAA">
      <w:pPr>
        <w:rPr>
          <w:rFonts w:ascii="Arial" w:hAnsi="Arial" w:cs="Arial"/>
          <w:b/>
          <w:sz w:val="20"/>
          <w:szCs w:val="20"/>
        </w:rPr>
      </w:pPr>
    </w:p>
    <w:p w:rsidR="0027354C" w:rsidRDefault="0027354C" w:rsidP="00AE2FAA">
      <w:pPr>
        <w:rPr>
          <w:rFonts w:ascii="Arial" w:hAnsi="Arial" w:cs="Arial"/>
          <w:b/>
          <w:sz w:val="20"/>
          <w:szCs w:val="20"/>
        </w:rPr>
      </w:pPr>
    </w:p>
    <w:p w:rsidR="00860C3F" w:rsidRPr="00860C3F" w:rsidRDefault="00860C3F" w:rsidP="00860C3F">
      <w:pPr>
        <w:pStyle w:val="Caption"/>
        <w:rPr>
          <w:rFonts w:ascii="Arial" w:hAnsi="Arial" w:cs="Arial"/>
          <w:bCs w:val="0"/>
        </w:rPr>
      </w:pPr>
      <w:bookmarkStart w:id="4" w:name="_Ref463531014"/>
      <w:bookmarkStart w:id="5" w:name="_Ref463530905"/>
      <w:r w:rsidRPr="00860C3F">
        <w:rPr>
          <w:rFonts w:ascii="Arial" w:hAnsi="Arial" w:cs="Arial"/>
          <w:bCs w:val="0"/>
        </w:rPr>
        <w:t xml:space="preserve">Kutu </w:t>
      </w:r>
      <w:r w:rsidRPr="00860C3F">
        <w:rPr>
          <w:rFonts w:ascii="Arial" w:hAnsi="Arial" w:cs="Arial"/>
          <w:bCs w:val="0"/>
        </w:rPr>
        <w:fldChar w:fldCharType="begin"/>
      </w:r>
      <w:r w:rsidRPr="00860C3F">
        <w:rPr>
          <w:rFonts w:ascii="Arial" w:hAnsi="Arial" w:cs="Arial"/>
          <w:bCs w:val="0"/>
        </w:rPr>
        <w:instrText xml:space="preserve"> SEQ Kutu \* ARABIC </w:instrText>
      </w:r>
      <w:r w:rsidRPr="00860C3F">
        <w:rPr>
          <w:rFonts w:ascii="Arial" w:hAnsi="Arial" w:cs="Arial"/>
          <w:bCs w:val="0"/>
        </w:rPr>
        <w:fldChar w:fldCharType="separate"/>
      </w:r>
      <w:r w:rsidRPr="00860C3F">
        <w:rPr>
          <w:rFonts w:ascii="Arial" w:hAnsi="Arial" w:cs="Arial"/>
          <w:bCs w:val="0"/>
        </w:rPr>
        <w:t>1</w:t>
      </w:r>
      <w:r w:rsidRPr="00860C3F">
        <w:rPr>
          <w:rFonts w:ascii="Arial" w:hAnsi="Arial" w:cs="Arial"/>
          <w:bCs w:val="0"/>
        </w:rPr>
        <w:fldChar w:fldCharType="end"/>
      </w:r>
      <w:bookmarkEnd w:id="4"/>
      <w:r>
        <w:rPr>
          <w:rFonts w:ascii="Arial" w:hAnsi="Arial" w:cs="Arial"/>
          <w:bCs w:val="0"/>
        </w:rPr>
        <w:t>.</w:t>
      </w:r>
      <w:r w:rsidRPr="00860C3F">
        <w:rPr>
          <w:rFonts w:ascii="Arial" w:hAnsi="Arial" w:cs="Arial"/>
          <w:bCs w:val="0"/>
        </w:rPr>
        <w:t xml:space="preserve">  Kişi başına gelir artışının bileşenlerine ayrıştırılması</w:t>
      </w:r>
      <w:bookmarkEnd w:id="5"/>
    </w:p>
    <w:p w:rsidR="008B1B11" w:rsidRPr="0027354C" w:rsidRDefault="002F07F2" w:rsidP="008B1B11">
      <w:pPr>
        <w:rPr>
          <w:rFonts w:ascii="Arial" w:hAnsi="Arial" w:cs="Arial"/>
          <w:b/>
          <w:sz w:val="20"/>
          <w:szCs w:val="20"/>
        </w:rPr>
      </w:pPr>
      <w:r w:rsidRPr="0027354C">
        <w:rPr>
          <w:rFonts w:ascii="Arial" w:hAnsi="Arial" w:cs="Arial"/>
          <w:b/>
          <w:noProof/>
          <w:sz w:val="20"/>
          <w:szCs w:val="20"/>
          <w:lang w:eastAsia="tr-TR"/>
        </w:rPr>
        <mc:AlternateContent>
          <mc:Choice Requires="wps">
            <w:drawing>
              <wp:anchor distT="0" distB="0" distL="114300" distR="114300" simplePos="0" relativeHeight="251656192" behindDoc="0" locked="0" layoutInCell="1" allowOverlap="1" wp14:anchorId="56DE9596" wp14:editId="341D7D3D">
                <wp:simplePos x="0" y="0"/>
                <wp:positionH relativeFrom="column">
                  <wp:posOffset>-179222</wp:posOffset>
                </wp:positionH>
                <wp:positionV relativeFrom="paragraph">
                  <wp:posOffset>25857</wp:posOffset>
                </wp:positionV>
                <wp:extent cx="6195974" cy="3123438"/>
                <wp:effectExtent l="0" t="0" r="14605" b="203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974" cy="3123438"/>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03F89E9" id="Rectangle 6" o:spid="_x0000_s1026" style="position:absolute;margin-left:-14.1pt;margin-top:2.05pt;width:487.85pt;height:24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">
                <v:fill opacity="0"/>
              </v:rect>
            </w:pict>
          </mc:Fallback>
        </mc:AlternateContent>
      </w:r>
    </w:p>
    <w:p w:rsidR="008B1B11" w:rsidRPr="0027354C" w:rsidRDefault="008B1B11" w:rsidP="008B1B11">
      <w:pPr>
        <w:rPr>
          <w:rFonts w:ascii="Arial" w:hAnsi="Arial" w:cs="Arial"/>
          <w:b/>
          <w:sz w:val="20"/>
          <w:szCs w:val="20"/>
        </w:rPr>
      </w:pPr>
      <w:r w:rsidRPr="0027354C">
        <w:rPr>
          <w:rFonts w:ascii="Arial" w:hAnsi="Arial" w:cs="Arial"/>
          <w:b/>
          <w:sz w:val="20"/>
          <w:szCs w:val="20"/>
        </w:rPr>
        <w:t>1) Çalışan sayısı itibariyle</w:t>
      </w:r>
    </w:p>
    <w:p w:rsidR="008B1B11" w:rsidRPr="0027354C" w:rsidRDefault="008B1B11" w:rsidP="008B1B11">
      <w:pPr>
        <w:ind w:left="360"/>
        <w:rPr>
          <w:rFonts w:ascii="Arial" w:hAnsi="Arial" w:cs="Arial"/>
          <w:sz w:val="20"/>
          <w:szCs w:val="20"/>
        </w:rPr>
      </w:pPr>
    </w:p>
    <w:p w:rsidR="008B1B11" w:rsidRPr="0027354C" w:rsidRDefault="00FB1DED" w:rsidP="008B1B11">
      <w:pPr>
        <w:rPr>
          <w:rFonts w:ascii="Arial" w:hAnsi="Arial" w:cs="Arial"/>
          <w:b/>
          <w:sz w:val="20"/>
          <w:szCs w:val="20"/>
        </w:rPr>
      </w:pPr>
      <m:oMath>
        <m:f>
          <m:fPr>
            <m:ctrlPr>
              <w:rPr>
                <w:rFonts w:ascii="Cambria Math" w:hAnsi="Arial" w:cs="Arial"/>
                <w:b/>
                <w:i/>
                <w:sz w:val="20"/>
                <w:szCs w:val="20"/>
              </w:rPr>
            </m:ctrlPr>
          </m:fPr>
          <m:num>
            <m:sSub>
              <m:sSubPr>
                <m:ctrlPr>
                  <w:rPr>
                    <w:rFonts w:ascii="Cambria Math" w:hAnsi="Arial" w:cs="Arial"/>
                    <w:b/>
                    <w:i/>
                    <w:sz w:val="20"/>
                    <w:szCs w:val="20"/>
                  </w:rPr>
                </m:ctrlPr>
              </m:sSubPr>
              <m:e>
                <m:r>
                  <m:rPr>
                    <m:nor/>
                  </m:rPr>
                  <w:rPr>
                    <w:rFonts w:ascii="Arial" w:hAnsi="Arial" w:cs="Arial"/>
                    <w:b/>
                    <w:sz w:val="20"/>
                    <w:szCs w:val="20"/>
                  </w:rPr>
                  <m:t>GSYH</m:t>
                </m:r>
              </m:e>
              <m:sub>
                <m:r>
                  <m:rPr>
                    <m:nor/>
                  </m:rPr>
                  <w:rPr>
                    <w:rFonts w:ascii="Arial" w:hAnsi="Arial" w:cs="Arial"/>
                    <w:b/>
                    <w:sz w:val="20"/>
                    <w:szCs w:val="20"/>
                  </w:rPr>
                  <m:t>t</m:t>
                </m:r>
              </m:sub>
            </m:sSub>
          </m:num>
          <m:den>
            <m:sSub>
              <m:sSubPr>
                <m:ctrlPr>
                  <w:rPr>
                    <w:rFonts w:ascii="Cambria Math" w:hAnsi="Arial" w:cs="Arial"/>
                    <w:b/>
                    <w:i/>
                    <w:sz w:val="20"/>
                    <w:szCs w:val="20"/>
                  </w:rPr>
                </m:ctrlPr>
              </m:sSubPr>
              <m:e>
                <m:r>
                  <m:rPr>
                    <m:nor/>
                  </m:rPr>
                  <w:rPr>
                    <w:rFonts w:ascii="Arial" w:hAnsi="Arial" w:cs="Arial"/>
                    <w:b/>
                    <w:sz w:val="20"/>
                    <w:szCs w:val="20"/>
                  </w:rPr>
                  <m:t>N</m:t>
                </m:r>
              </m:e>
              <m:sub>
                <m:r>
                  <m:rPr>
                    <m:nor/>
                  </m:rPr>
                  <w:rPr>
                    <w:rFonts w:ascii="Arial" w:hAnsi="Arial" w:cs="Arial"/>
                    <w:b/>
                    <w:sz w:val="20"/>
                    <w:szCs w:val="20"/>
                  </w:rPr>
                  <m:t>t</m:t>
                </m:r>
              </m:sub>
            </m:sSub>
          </m:den>
        </m:f>
        <m:r>
          <m:rPr>
            <m:nor/>
          </m:rPr>
          <w:rPr>
            <w:rFonts w:ascii="Arial" w:hAnsi="Arial" w:cs="Arial"/>
            <w:b/>
            <w:sz w:val="20"/>
            <w:szCs w:val="20"/>
          </w:rPr>
          <m:t>=</m:t>
        </m:r>
        <m:f>
          <m:fPr>
            <m:ctrlPr>
              <w:rPr>
                <w:rFonts w:ascii="Cambria Math" w:hAnsi="Arial" w:cs="Arial"/>
                <w:b/>
                <w:i/>
                <w:sz w:val="20"/>
                <w:szCs w:val="20"/>
              </w:rPr>
            </m:ctrlPr>
          </m:fPr>
          <m:num>
            <m:sSub>
              <m:sSubPr>
                <m:ctrlPr>
                  <w:rPr>
                    <w:rFonts w:ascii="Cambria Math" w:hAnsi="Arial" w:cs="Arial"/>
                    <w:b/>
                    <w:i/>
                    <w:sz w:val="20"/>
                    <w:szCs w:val="20"/>
                  </w:rPr>
                </m:ctrlPr>
              </m:sSubPr>
              <m:e>
                <m:r>
                  <m:rPr>
                    <m:nor/>
                  </m:rPr>
                  <w:rPr>
                    <w:rFonts w:ascii="Arial" w:hAnsi="Arial" w:cs="Arial"/>
                    <w:b/>
                    <w:sz w:val="20"/>
                    <w:szCs w:val="20"/>
                  </w:rPr>
                  <m:t>GSYH</m:t>
                </m:r>
              </m:e>
              <m:sub>
                <m:r>
                  <m:rPr>
                    <m:nor/>
                  </m:rPr>
                  <w:rPr>
                    <w:rFonts w:ascii="Arial" w:hAnsi="Arial" w:cs="Arial"/>
                    <w:b/>
                    <w:sz w:val="20"/>
                    <w:szCs w:val="20"/>
                  </w:rPr>
                  <m:t>t</m:t>
                </m:r>
              </m:sub>
            </m:sSub>
          </m:num>
          <m:den>
            <m:sSub>
              <m:sSubPr>
                <m:ctrlPr>
                  <w:rPr>
                    <w:rFonts w:ascii="Cambria Math" w:hAnsi="Arial" w:cs="Arial"/>
                    <w:b/>
                    <w:i/>
                    <w:sz w:val="20"/>
                    <w:szCs w:val="20"/>
                  </w:rPr>
                </m:ctrlPr>
              </m:sSubPr>
              <m:e>
                <m:r>
                  <m:rPr>
                    <m:nor/>
                  </m:rPr>
                  <w:rPr>
                    <w:rFonts w:ascii="Arial" w:hAnsi="Arial" w:cs="Arial"/>
                    <w:b/>
                    <w:sz w:val="20"/>
                    <w:szCs w:val="20"/>
                  </w:rPr>
                  <m:t>E</m:t>
                </m:r>
              </m:e>
              <m:sub>
                <m:r>
                  <m:rPr>
                    <m:nor/>
                  </m:rPr>
                  <w:rPr>
                    <w:rFonts w:ascii="Arial" w:hAnsi="Arial" w:cs="Arial"/>
                    <w:b/>
                    <w:sz w:val="20"/>
                    <w:szCs w:val="20"/>
                  </w:rPr>
                  <m:t>t</m:t>
                </m:r>
              </m:sub>
            </m:sSub>
          </m:den>
        </m:f>
        <m:r>
          <m:rPr>
            <m:sty m:val="bi"/>
          </m:rPr>
          <w:rPr>
            <w:rFonts w:ascii="Cambria Math" w:hAnsi="Cambria Math" w:cs="Arial"/>
            <w:sz w:val="20"/>
            <w:szCs w:val="20"/>
          </w:rPr>
          <m:t>*</m:t>
        </m:r>
        <m:f>
          <m:fPr>
            <m:ctrlPr>
              <w:rPr>
                <w:rFonts w:ascii="Cambria Math" w:hAnsi="Arial" w:cs="Arial"/>
                <w:b/>
                <w:i/>
                <w:sz w:val="20"/>
                <w:szCs w:val="20"/>
              </w:rPr>
            </m:ctrlPr>
          </m:fPr>
          <m:num>
            <m:sSub>
              <m:sSubPr>
                <m:ctrlPr>
                  <w:rPr>
                    <w:rFonts w:ascii="Cambria Math" w:hAnsi="Arial" w:cs="Arial"/>
                    <w:b/>
                    <w:i/>
                    <w:sz w:val="20"/>
                    <w:szCs w:val="20"/>
                  </w:rPr>
                </m:ctrlPr>
              </m:sSubPr>
              <m:e>
                <m:r>
                  <m:rPr>
                    <m:nor/>
                  </m:rPr>
                  <w:rPr>
                    <w:rFonts w:ascii="Arial" w:hAnsi="Arial" w:cs="Arial"/>
                    <w:b/>
                    <w:sz w:val="20"/>
                    <w:szCs w:val="20"/>
                  </w:rPr>
                  <m:t>E</m:t>
                </m:r>
              </m:e>
              <m:sub>
                <m:r>
                  <m:rPr>
                    <m:nor/>
                  </m:rPr>
                  <w:rPr>
                    <w:rFonts w:ascii="Arial" w:hAnsi="Arial" w:cs="Arial"/>
                    <w:b/>
                    <w:sz w:val="20"/>
                    <w:szCs w:val="20"/>
                  </w:rPr>
                  <m:t>t</m:t>
                </m:r>
              </m:sub>
            </m:sSub>
          </m:num>
          <m:den>
            <m:sSub>
              <m:sSubPr>
                <m:ctrlPr>
                  <w:rPr>
                    <w:rFonts w:ascii="Cambria Math" w:hAnsi="Arial" w:cs="Arial"/>
                    <w:b/>
                    <w:i/>
                    <w:sz w:val="20"/>
                    <w:szCs w:val="20"/>
                  </w:rPr>
                </m:ctrlPr>
              </m:sSubPr>
              <m:e>
                <m:r>
                  <m:rPr>
                    <m:nor/>
                  </m:rPr>
                  <w:rPr>
                    <w:rFonts w:ascii="Arial" w:hAnsi="Arial" w:cs="Arial"/>
                    <w:b/>
                    <w:sz w:val="20"/>
                    <w:szCs w:val="20"/>
                  </w:rPr>
                  <m:t>ÇN</m:t>
                </m:r>
              </m:e>
              <m:sub>
                <m:r>
                  <m:rPr>
                    <m:nor/>
                  </m:rPr>
                  <w:rPr>
                    <w:rFonts w:ascii="Arial" w:hAnsi="Arial" w:cs="Arial"/>
                    <w:b/>
                    <w:sz w:val="20"/>
                    <w:szCs w:val="20"/>
                  </w:rPr>
                  <m:t>t</m:t>
                </m:r>
              </m:sub>
            </m:sSub>
          </m:den>
        </m:f>
        <m:r>
          <m:rPr>
            <m:sty m:val="bi"/>
          </m:rPr>
          <w:rPr>
            <w:rFonts w:ascii="Cambria Math" w:hAnsi="Cambria Math" w:cs="Arial"/>
            <w:sz w:val="20"/>
            <w:szCs w:val="20"/>
          </w:rPr>
          <m:t>*</m:t>
        </m:r>
        <m:f>
          <m:fPr>
            <m:ctrlPr>
              <w:rPr>
                <w:rFonts w:ascii="Cambria Math" w:hAnsi="Arial" w:cs="Arial"/>
                <w:b/>
                <w:i/>
                <w:sz w:val="20"/>
                <w:szCs w:val="20"/>
              </w:rPr>
            </m:ctrlPr>
          </m:fPr>
          <m:num>
            <m:sSub>
              <m:sSubPr>
                <m:ctrlPr>
                  <w:rPr>
                    <w:rFonts w:ascii="Cambria Math" w:hAnsi="Arial" w:cs="Arial"/>
                    <w:b/>
                    <w:i/>
                    <w:sz w:val="20"/>
                    <w:szCs w:val="20"/>
                  </w:rPr>
                </m:ctrlPr>
              </m:sSubPr>
              <m:e>
                <m:r>
                  <m:rPr>
                    <m:nor/>
                  </m:rPr>
                  <w:rPr>
                    <w:rFonts w:ascii="Arial" w:hAnsi="Arial" w:cs="Arial"/>
                    <w:b/>
                    <w:sz w:val="20"/>
                    <w:szCs w:val="20"/>
                  </w:rPr>
                  <m:t>ÇN</m:t>
                </m:r>
              </m:e>
              <m:sub>
                <m:r>
                  <m:rPr>
                    <m:nor/>
                  </m:rPr>
                  <w:rPr>
                    <w:rFonts w:ascii="Arial" w:hAnsi="Arial" w:cs="Arial"/>
                    <w:b/>
                    <w:sz w:val="20"/>
                    <w:szCs w:val="20"/>
                  </w:rPr>
                  <m:t>t</m:t>
                </m:r>
              </m:sub>
            </m:sSub>
          </m:num>
          <m:den>
            <m:sSub>
              <m:sSubPr>
                <m:ctrlPr>
                  <w:rPr>
                    <w:rFonts w:ascii="Cambria Math" w:hAnsi="Arial" w:cs="Arial"/>
                    <w:b/>
                    <w:i/>
                    <w:sz w:val="20"/>
                    <w:szCs w:val="20"/>
                  </w:rPr>
                </m:ctrlPr>
              </m:sSubPr>
              <m:e>
                <m:r>
                  <m:rPr>
                    <m:nor/>
                  </m:rPr>
                  <w:rPr>
                    <w:rFonts w:ascii="Arial" w:hAnsi="Arial" w:cs="Arial"/>
                    <w:b/>
                    <w:sz w:val="20"/>
                    <w:szCs w:val="20"/>
                  </w:rPr>
                  <m:t>N</m:t>
                </m:r>
              </m:e>
              <m:sub>
                <m:r>
                  <m:rPr>
                    <m:nor/>
                  </m:rPr>
                  <w:rPr>
                    <w:rFonts w:ascii="Arial" w:hAnsi="Arial" w:cs="Arial"/>
                    <w:b/>
                    <w:sz w:val="20"/>
                    <w:szCs w:val="20"/>
                  </w:rPr>
                  <m:t>t</m:t>
                </m:r>
              </m:sub>
            </m:sSub>
          </m:den>
        </m:f>
      </m:oMath>
      <w:r w:rsidR="008B1B11" w:rsidRPr="0027354C">
        <w:rPr>
          <w:rFonts w:ascii="Arial" w:hAnsi="Arial" w:cs="Arial"/>
          <w:b/>
          <w:sz w:val="20"/>
          <w:szCs w:val="20"/>
        </w:rPr>
        <w:t xml:space="preserve"> </w:t>
      </w:r>
    </w:p>
    <w:p w:rsidR="008B1B11" w:rsidRPr="0027354C" w:rsidRDefault="008B1B11" w:rsidP="008B1B11">
      <w:pPr>
        <w:rPr>
          <w:rFonts w:ascii="Arial" w:hAnsi="Arial" w:cs="Arial"/>
          <w:b/>
          <w:sz w:val="20"/>
          <w:szCs w:val="20"/>
        </w:rPr>
      </w:pPr>
    </w:p>
    <w:p w:rsidR="008B1B11" w:rsidRPr="0027354C" w:rsidRDefault="00FB1DED" w:rsidP="008B1B11">
      <w:pPr>
        <w:rPr>
          <w:rFonts w:ascii="Arial" w:hAnsi="Arial" w:cs="Arial"/>
          <w:b/>
          <w:sz w:val="20"/>
          <w:szCs w:val="20"/>
        </w:rPr>
      </w:pPr>
      <m:oMath>
        <m:f>
          <m:fPr>
            <m:ctrlPr>
              <w:rPr>
                <w:rFonts w:ascii="Cambria Math" w:hAnsi="Arial" w:cs="Arial"/>
                <w:b/>
                <w:i/>
                <w:sz w:val="20"/>
                <w:szCs w:val="20"/>
              </w:rPr>
            </m:ctrlPr>
          </m:fPr>
          <m:num>
            <m:sSub>
              <m:sSubPr>
                <m:ctrlPr>
                  <w:rPr>
                    <w:rFonts w:ascii="Cambria Math" w:hAnsi="Arial" w:cs="Arial"/>
                    <w:b/>
                    <w:i/>
                    <w:sz w:val="20"/>
                    <w:szCs w:val="20"/>
                  </w:rPr>
                </m:ctrlPr>
              </m:sSubPr>
              <m:e>
                <m:r>
                  <m:rPr>
                    <m:nor/>
                  </m:rPr>
                  <w:rPr>
                    <w:rFonts w:ascii="Arial" w:hAnsi="Arial" w:cs="Arial"/>
                    <w:b/>
                    <w:sz w:val="20"/>
                    <w:szCs w:val="20"/>
                  </w:rPr>
                  <m:t>GSYH</m:t>
                </m:r>
              </m:e>
              <m:sub>
                <m:r>
                  <m:rPr>
                    <m:nor/>
                  </m:rPr>
                  <w:rPr>
                    <w:rFonts w:ascii="Arial" w:hAnsi="Arial" w:cs="Arial"/>
                    <w:b/>
                    <w:sz w:val="20"/>
                    <w:szCs w:val="20"/>
                  </w:rPr>
                  <m:t>t</m:t>
                </m:r>
              </m:sub>
            </m:sSub>
          </m:num>
          <m:den>
            <m:sSub>
              <m:sSubPr>
                <m:ctrlPr>
                  <w:rPr>
                    <w:rFonts w:ascii="Cambria Math" w:hAnsi="Arial" w:cs="Arial"/>
                    <w:b/>
                    <w:i/>
                    <w:sz w:val="20"/>
                    <w:szCs w:val="20"/>
                  </w:rPr>
                </m:ctrlPr>
              </m:sSubPr>
              <m:e>
                <m:r>
                  <m:rPr>
                    <m:nor/>
                  </m:rPr>
                  <w:rPr>
                    <w:rFonts w:ascii="Arial" w:hAnsi="Arial" w:cs="Arial"/>
                    <w:b/>
                    <w:sz w:val="20"/>
                    <w:szCs w:val="20"/>
                  </w:rPr>
                  <m:t>N</m:t>
                </m:r>
              </m:e>
              <m:sub>
                <m:r>
                  <m:rPr>
                    <m:nor/>
                  </m:rPr>
                  <w:rPr>
                    <w:rFonts w:ascii="Arial" w:hAnsi="Arial" w:cs="Arial"/>
                    <w:b/>
                    <w:sz w:val="20"/>
                    <w:szCs w:val="20"/>
                  </w:rPr>
                  <m:t>t</m:t>
                </m:r>
              </m:sub>
            </m:sSub>
          </m:den>
        </m:f>
        <m:r>
          <m:rPr>
            <m:sty m:val="bi"/>
          </m:rPr>
          <w:rPr>
            <w:rFonts w:ascii="Cambria Math" w:hAnsi="Arial" w:cs="Arial"/>
            <w:sz w:val="20"/>
            <w:szCs w:val="20"/>
          </w:rPr>
          <m:t xml:space="preserve"> </m:t>
        </m:r>
      </m:oMath>
      <w:r w:rsidR="008B1B11" w:rsidRPr="0027354C">
        <w:rPr>
          <w:rFonts w:ascii="Arial" w:hAnsi="Arial" w:cs="Arial"/>
          <w:b/>
          <w:sz w:val="20"/>
          <w:szCs w:val="20"/>
        </w:rPr>
        <w:t xml:space="preserve"> = </w:t>
      </w:r>
      <m:oMath>
        <m:sSub>
          <m:sSubPr>
            <m:ctrlPr>
              <w:rPr>
                <w:rFonts w:ascii="Cambria Math" w:hAnsi="Arial" w:cs="Arial"/>
                <w:b/>
                <w:i/>
                <w:sz w:val="20"/>
                <w:szCs w:val="20"/>
              </w:rPr>
            </m:ctrlPr>
          </m:sSubPr>
          <m:e>
            <m:r>
              <m:rPr>
                <m:nor/>
              </m:rPr>
              <w:rPr>
                <w:rFonts w:ascii="Arial" w:hAnsi="Arial" w:cs="Arial"/>
                <w:b/>
                <w:sz w:val="20"/>
                <w:szCs w:val="20"/>
              </w:rPr>
              <m:t>gsyh</m:t>
            </m:r>
          </m:e>
          <m:sub>
            <m:r>
              <m:rPr>
                <m:nor/>
              </m:rPr>
              <w:rPr>
                <w:rFonts w:ascii="Arial" w:hAnsi="Arial" w:cs="Arial"/>
                <w:b/>
                <w:sz w:val="20"/>
                <w:szCs w:val="20"/>
              </w:rPr>
              <m:t>t</m:t>
            </m:r>
          </m:sub>
        </m:sSub>
      </m:oMath>
      <w:r w:rsidR="00842618" w:rsidRPr="0027354C">
        <w:rPr>
          <w:rFonts w:ascii="Arial" w:hAnsi="Arial" w:cs="Arial"/>
          <w:b/>
          <w:sz w:val="20"/>
          <w:szCs w:val="20"/>
        </w:rPr>
        <w:t xml:space="preserve"> </w:t>
      </w:r>
      <w:r w:rsidR="00842618" w:rsidRPr="0027354C">
        <w:rPr>
          <w:rFonts w:ascii="Arial" w:hAnsi="Arial" w:cs="Arial"/>
          <w:sz w:val="20"/>
          <w:szCs w:val="20"/>
        </w:rPr>
        <w:t>:Kişi başına düşen GSYH</w:t>
      </w:r>
    </w:p>
    <w:p w:rsidR="008B1B11" w:rsidRPr="0027354C" w:rsidRDefault="008B1B11" w:rsidP="008B1B11">
      <w:pPr>
        <w:rPr>
          <w:rFonts w:ascii="Arial" w:hAnsi="Arial" w:cs="Arial"/>
          <w:b/>
          <w:sz w:val="20"/>
          <w:szCs w:val="20"/>
        </w:rPr>
      </w:pPr>
    </w:p>
    <w:p w:rsidR="008B1B11" w:rsidRPr="0027354C" w:rsidRDefault="00FB1DED" w:rsidP="008B1B11">
      <w:pPr>
        <w:rPr>
          <w:rFonts w:ascii="Arial" w:hAnsi="Arial" w:cs="Arial"/>
          <w:b/>
          <w:sz w:val="20"/>
          <w:szCs w:val="20"/>
        </w:rPr>
      </w:pPr>
      <m:oMath>
        <m:f>
          <m:fPr>
            <m:ctrlPr>
              <w:rPr>
                <w:rFonts w:ascii="Cambria Math" w:hAnsi="Arial" w:cs="Arial"/>
                <w:b/>
                <w:i/>
                <w:sz w:val="20"/>
                <w:szCs w:val="20"/>
              </w:rPr>
            </m:ctrlPr>
          </m:fPr>
          <m:num>
            <m:sSub>
              <m:sSubPr>
                <m:ctrlPr>
                  <w:rPr>
                    <w:rFonts w:ascii="Cambria Math" w:hAnsi="Arial" w:cs="Arial"/>
                    <w:b/>
                    <w:i/>
                    <w:sz w:val="20"/>
                    <w:szCs w:val="20"/>
                  </w:rPr>
                </m:ctrlPr>
              </m:sSubPr>
              <m:e>
                <m:r>
                  <m:rPr>
                    <m:nor/>
                  </m:rPr>
                  <w:rPr>
                    <w:rFonts w:ascii="Arial" w:hAnsi="Arial" w:cs="Arial"/>
                    <w:b/>
                    <w:sz w:val="20"/>
                    <w:szCs w:val="20"/>
                  </w:rPr>
                  <m:t>GSYH</m:t>
                </m:r>
              </m:e>
              <m:sub>
                <m:r>
                  <m:rPr>
                    <m:nor/>
                  </m:rPr>
                  <w:rPr>
                    <w:rFonts w:ascii="Arial" w:hAnsi="Arial" w:cs="Arial"/>
                    <w:b/>
                    <w:sz w:val="20"/>
                    <w:szCs w:val="20"/>
                  </w:rPr>
                  <m:t>t</m:t>
                </m:r>
              </m:sub>
            </m:sSub>
          </m:num>
          <m:den>
            <m:sSub>
              <m:sSubPr>
                <m:ctrlPr>
                  <w:rPr>
                    <w:rFonts w:ascii="Cambria Math" w:hAnsi="Arial" w:cs="Arial"/>
                    <w:b/>
                    <w:i/>
                    <w:sz w:val="20"/>
                    <w:szCs w:val="20"/>
                  </w:rPr>
                </m:ctrlPr>
              </m:sSubPr>
              <m:e>
                <m:r>
                  <m:rPr>
                    <m:nor/>
                  </m:rPr>
                  <w:rPr>
                    <w:rFonts w:ascii="Arial" w:hAnsi="Arial" w:cs="Arial"/>
                    <w:b/>
                    <w:sz w:val="20"/>
                    <w:szCs w:val="20"/>
                  </w:rPr>
                  <m:t>E</m:t>
                </m:r>
              </m:e>
              <m:sub>
                <m:r>
                  <m:rPr>
                    <m:nor/>
                  </m:rPr>
                  <w:rPr>
                    <w:rFonts w:ascii="Arial" w:hAnsi="Arial" w:cs="Arial"/>
                    <w:b/>
                    <w:sz w:val="20"/>
                    <w:szCs w:val="20"/>
                  </w:rPr>
                  <m:t>t</m:t>
                </m:r>
              </m:sub>
            </m:sSub>
          </m:den>
        </m:f>
      </m:oMath>
      <w:r w:rsidR="008B1B11" w:rsidRPr="0027354C">
        <w:rPr>
          <w:rFonts w:ascii="Arial" w:hAnsi="Arial" w:cs="Arial"/>
          <w:b/>
          <w:sz w:val="20"/>
          <w:szCs w:val="20"/>
        </w:rPr>
        <w:t xml:space="preserve"> = </w:t>
      </w:r>
      <m:oMath>
        <m:sSub>
          <m:sSubPr>
            <m:ctrlPr>
              <w:rPr>
                <w:rFonts w:ascii="Cambria Math" w:hAnsi="Arial" w:cs="Arial"/>
                <w:b/>
                <w:i/>
                <w:sz w:val="20"/>
                <w:szCs w:val="20"/>
              </w:rPr>
            </m:ctrlPr>
          </m:sSubPr>
          <m:e>
            <m:r>
              <m:rPr>
                <m:nor/>
              </m:rPr>
              <w:rPr>
                <w:rFonts w:ascii="Arial" w:hAnsi="Arial" w:cs="Arial"/>
                <w:b/>
                <w:sz w:val="20"/>
                <w:szCs w:val="20"/>
              </w:rPr>
              <m:t>ortev</m:t>
            </m:r>
          </m:e>
          <m:sub>
            <m:r>
              <m:rPr>
                <m:nor/>
              </m:rPr>
              <w:rPr>
                <w:rFonts w:ascii="Arial" w:hAnsi="Arial" w:cs="Arial"/>
                <w:b/>
                <w:sz w:val="20"/>
                <w:szCs w:val="20"/>
              </w:rPr>
              <m:t>t</m:t>
            </m:r>
          </m:sub>
        </m:sSub>
      </m:oMath>
      <w:r w:rsidR="00842618" w:rsidRPr="0027354C">
        <w:rPr>
          <w:rFonts w:ascii="Arial" w:hAnsi="Arial" w:cs="Arial"/>
          <w:sz w:val="20"/>
          <w:szCs w:val="20"/>
        </w:rPr>
        <w:t>:Ç</w:t>
      </w:r>
      <w:r w:rsidR="008B1B11" w:rsidRPr="0027354C">
        <w:rPr>
          <w:rFonts w:ascii="Arial" w:hAnsi="Arial" w:cs="Arial"/>
          <w:sz w:val="20"/>
          <w:szCs w:val="20"/>
        </w:rPr>
        <w:t>alışan sayısı / İstihdam (</w:t>
      </w:r>
      <m:oMath>
        <m:sSub>
          <m:sSubPr>
            <m:ctrlPr>
              <w:rPr>
                <w:rFonts w:ascii="Cambria Math" w:hAnsi="Arial" w:cs="Arial"/>
                <w:i/>
                <w:sz w:val="20"/>
                <w:szCs w:val="20"/>
              </w:rPr>
            </m:ctrlPr>
          </m:sSubPr>
          <m:e>
            <m:r>
              <m:rPr>
                <m:nor/>
              </m:rPr>
              <w:rPr>
                <w:rFonts w:ascii="Arial" w:hAnsi="Arial" w:cs="Arial"/>
                <w:sz w:val="20"/>
                <w:szCs w:val="20"/>
              </w:rPr>
              <m:t>E</m:t>
            </m:r>
          </m:e>
          <m:sub>
            <m:r>
              <m:rPr>
                <m:nor/>
              </m:rPr>
              <w:rPr>
                <w:rFonts w:ascii="Arial" w:hAnsi="Arial" w:cs="Arial"/>
                <w:sz w:val="20"/>
                <w:szCs w:val="20"/>
              </w:rPr>
              <m:t>t</m:t>
            </m:r>
          </m:sub>
        </m:sSub>
      </m:oMath>
      <w:r w:rsidR="008B1B11" w:rsidRPr="0027354C">
        <w:rPr>
          <w:rFonts w:ascii="Arial" w:hAnsi="Arial" w:cs="Arial"/>
          <w:sz w:val="20"/>
          <w:szCs w:val="20"/>
        </w:rPr>
        <w:t>) itiba</w:t>
      </w:r>
      <w:r w:rsidR="00842618" w:rsidRPr="0027354C">
        <w:rPr>
          <w:rFonts w:ascii="Arial" w:hAnsi="Arial" w:cs="Arial"/>
          <w:sz w:val="20"/>
          <w:szCs w:val="20"/>
        </w:rPr>
        <w:t>riyle ortalama emek verimliliği</w:t>
      </w:r>
    </w:p>
    <w:p w:rsidR="008B1B11" w:rsidRPr="0027354C" w:rsidRDefault="008B1B11" w:rsidP="008B1B11">
      <w:pPr>
        <w:rPr>
          <w:rFonts w:ascii="Arial" w:hAnsi="Arial" w:cs="Arial"/>
          <w:b/>
          <w:sz w:val="20"/>
          <w:szCs w:val="20"/>
        </w:rPr>
      </w:pPr>
    </w:p>
    <w:p w:rsidR="008B1B11" w:rsidRPr="0027354C" w:rsidRDefault="00FB1DED" w:rsidP="008B1B11">
      <w:pPr>
        <w:rPr>
          <w:rFonts w:ascii="Arial" w:hAnsi="Arial" w:cs="Arial"/>
          <w:b/>
          <w:sz w:val="20"/>
          <w:szCs w:val="20"/>
        </w:rPr>
      </w:pPr>
      <m:oMath>
        <m:f>
          <m:fPr>
            <m:ctrlPr>
              <w:rPr>
                <w:rFonts w:ascii="Cambria Math" w:hAnsi="Arial" w:cs="Arial"/>
                <w:b/>
                <w:i/>
                <w:sz w:val="20"/>
                <w:szCs w:val="20"/>
              </w:rPr>
            </m:ctrlPr>
          </m:fPr>
          <m:num>
            <m:sSub>
              <m:sSubPr>
                <m:ctrlPr>
                  <w:rPr>
                    <w:rFonts w:ascii="Cambria Math" w:hAnsi="Arial" w:cs="Arial"/>
                    <w:b/>
                    <w:i/>
                    <w:sz w:val="20"/>
                    <w:szCs w:val="20"/>
                  </w:rPr>
                </m:ctrlPr>
              </m:sSubPr>
              <m:e>
                <m:r>
                  <m:rPr>
                    <m:nor/>
                  </m:rPr>
                  <w:rPr>
                    <w:rFonts w:ascii="Arial" w:hAnsi="Arial" w:cs="Arial"/>
                    <w:b/>
                    <w:sz w:val="20"/>
                    <w:szCs w:val="20"/>
                  </w:rPr>
                  <m:t>E</m:t>
                </m:r>
              </m:e>
              <m:sub>
                <m:r>
                  <m:rPr>
                    <m:nor/>
                  </m:rPr>
                  <w:rPr>
                    <w:rFonts w:ascii="Arial" w:hAnsi="Arial" w:cs="Arial"/>
                    <w:b/>
                    <w:sz w:val="20"/>
                    <w:szCs w:val="20"/>
                  </w:rPr>
                  <m:t>t</m:t>
                </m:r>
              </m:sub>
            </m:sSub>
          </m:num>
          <m:den>
            <m:sSub>
              <m:sSubPr>
                <m:ctrlPr>
                  <w:rPr>
                    <w:rFonts w:ascii="Cambria Math" w:hAnsi="Arial" w:cs="Arial"/>
                    <w:b/>
                    <w:i/>
                    <w:sz w:val="20"/>
                    <w:szCs w:val="20"/>
                  </w:rPr>
                </m:ctrlPr>
              </m:sSubPr>
              <m:e>
                <m:r>
                  <m:rPr>
                    <m:nor/>
                  </m:rPr>
                  <w:rPr>
                    <w:rFonts w:ascii="Arial" w:hAnsi="Arial" w:cs="Arial"/>
                    <w:b/>
                    <w:sz w:val="20"/>
                    <w:szCs w:val="20"/>
                  </w:rPr>
                  <m:t>ÇN</m:t>
                </m:r>
              </m:e>
              <m:sub>
                <m:r>
                  <m:rPr>
                    <m:nor/>
                  </m:rPr>
                  <w:rPr>
                    <w:rFonts w:ascii="Arial" w:hAnsi="Arial" w:cs="Arial"/>
                    <w:b/>
                    <w:sz w:val="20"/>
                    <w:szCs w:val="20"/>
                  </w:rPr>
                  <m:t>t</m:t>
                </m:r>
              </m:sub>
            </m:sSub>
          </m:den>
        </m:f>
      </m:oMath>
      <w:r w:rsidR="008B1B11" w:rsidRPr="0027354C">
        <w:rPr>
          <w:rFonts w:ascii="Arial" w:hAnsi="Arial" w:cs="Arial"/>
          <w:b/>
          <w:sz w:val="20"/>
          <w:szCs w:val="20"/>
        </w:rPr>
        <w:t xml:space="preserve"> = </w:t>
      </w:r>
      <m:oMath>
        <m:sSub>
          <m:sSubPr>
            <m:ctrlPr>
              <w:rPr>
                <w:rFonts w:ascii="Cambria Math" w:hAnsi="Arial" w:cs="Arial"/>
                <w:b/>
                <w:i/>
                <w:sz w:val="20"/>
                <w:szCs w:val="20"/>
              </w:rPr>
            </m:ctrlPr>
          </m:sSubPr>
          <m:e>
            <m:r>
              <m:rPr>
                <m:nor/>
              </m:rPr>
              <w:rPr>
                <w:rFonts w:ascii="Arial" w:hAnsi="Arial" w:cs="Arial"/>
                <w:b/>
                <w:sz w:val="20"/>
                <w:szCs w:val="20"/>
              </w:rPr>
              <m:t>eo</m:t>
            </m:r>
          </m:e>
          <m:sub>
            <m:r>
              <m:rPr>
                <m:nor/>
              </m:rPr>
              <w:rPr>
                <w:rFonts w:ascii="Arial" w:hAnsi="Arial" w:cs="Arial"/>
                <w:b/>
                <w:sz w:val="20"/>
                <w:szCs w:val="20"/>
              </w:rPr>
              <m:t>t</m:t>
            </m:r>
          </m:sub>
        </m:sSub>
      </m:oMath>
      <w:r w:rsidR="00842618" w:rsidRPr="0027354C">
        <w:rPr>
          <w:rFonts w:ascii="Arial" w:hAnsi="Arial" w:cs="Arial"/>
          <w:b/>
          <w:sz w:val="20"/>
          <w:szCs w:val="20"/>
        </w:rPr>
        <w:t xml:space="preserve"> :</w:t>
      </w:r>
      <w:r w:rsidR="00842618" w:rsidRPr="0027354C">
        <w:rPr>
          <w:rFonts w:ascii="Arial" w:hAnsi="Arial" w:cs="Arial"/>
          <w:sz w:val="20"/>
          <w:szCs w:val="20"/>
        </w:rPr>
        <w:t>Ç</w:t>
      </w:r>
      <w:r w:rsidR="008B1B11" w:rsidRPr="0027354C">
        <w:rPr>
          <w:rFonts w:ascii="Arial" w:hAnsi="Arial" w:cs="Arial"/>
          <w:sz w:val="20"/>
          <w:szCs w:val="20"/>
        </w:rPr>
        <w:t>alışan sayısının çalışabilir nüfusa (</w:t>
      </w:r>
      <m:oMath>
        <m:sSub>
          <m:sSubPr>
            <m:ctrlPr>
              <w:rPr>
                <w:rFonts w:ascii="Cambria Math" w:hAnsi="Arial" w:cs="Arial"/>
                <w:sz w:val="20"/>
                <w:szCs w:val="20"/>
                <w:lang w:eastAsia="en-US"/>
              </w:rPr>
            </m:ctrlPr>
          </m:sSubPr>
          <m:e>
            <m:r>
              <m:rPr>
                <m:nor/>
              </m:rPr>
              <w:rPr>
                <w:rFonts w:ascii="Arial" w:hAnsi="Arial" w:cs="Arial"/>
                <w:sz w:val="20"/>
                <w:szCs w:val="20"/>
              </w:rPr>
              <m:t>ÇN</m:t>
            </m:r>
          </m:e>
          <m:sub>
            <m:r>
              <m:rPr>
                <m:nor/>
              </m:rPr>
              <w:rPr>
                <w:rFonts w:ascii="Arial" w:hAnsi="Arial" w:cs="Arial"/>
                <w:sz w:val="20"/>
                <w:szCs w:val="20"/>
              </w:rPr>
              <m:t>t</m:t>
            </m:r>
          </m:sub>
        </m:sSub>
      </m:oMath>
      <w:r w:rsidR="00842618" w:rsidRPr="0027354C">
        <w:rPr>
          <w:rFonts w:ascii="Arial" w:hAnsi="Arial" w:cs="Arial"/>
          <w:sz w:val="20"/>
          <w:szCs w:val="20"/>
        </w:rPr>
        <w:t>) oranı (istihdam oranı)</w:t>
      </w:r>
    </w:p>
    <w:p w:rsidR="008B1B11" w:rsidRPr="0027354C" w:rsidRDefault="008B1B11" w:rsidP="008B1B11">
      <w:pPr>
        <w:rPr>
          <w:rFonts w:ascii="Arial" w:hAnsi="Arial" w:cs="Arial"/>
          <w:b/>
          <w:sz w:val="20"/>
          <w:szCs w:val="20"/>
        </w:rPr>
      </w:pPr>
    </w:p>
    <w:p w:rsidR="008B1B11" w:rsidRPr="0027354C" w:rsidRDefault="00FB1DED" w:rsidP="008B1B11">
      <w:pPr>
        <w:rPr>
          <w:rFonts w:ascii="Arial" w:hAnsi="Arial" w:cs="Arial"/>
          <w:sz w:val="20"/>
          <w:szCs w:val="20"/>
        </w:rPr>
      </w:pPr>
      <m:oMath>
        <m:f>
          <m:fPr>
            <m:ctrlPr>
              <w:rPr>
                <w:rFonts w:ascii="Cambria Math" w:hAnsi="Arial" w:cs="Arial"/>
                <w:b/>
                <w:i/>
                <w:sz w:val="20"/>
                <w:szCs w:val="20"/>
              </w:rPr>
            </m:ctrlPr>
          </m:fPr>
          <m:num>
            <m:sSub>
              <m:sSubPr>
                <m:ctrlPr>
                  <w:rPr>
                    <w:rFonts w:ascii="Cambria Math" w:hAnsi="Arial" w:cs="Arial"/>
                    <w:b/>
                    <w:i/>
                    <w:sz w:val="20"/>
                    <w:szCs w:val="20"/>
                  </w:rPr>
                </m:ctrlPr>
              </m:sSubPr>
              <m:e>
                <m:r>
                  <m:rPr>
                    <m:nor/>
                  </m:rPr>
                  <w:rPr>
                    <w:rFonts w:ascii="Arial" w:hAnsi="Arial" w:cs="Arial"/>
                    <w:b/>
                    <w:sz w:val="20"/>
                    <w:szCs w:val="20"/>
                  </w:rPr>
                  <m:t>ÇN</m:t>
                </m:r>
              </m:e>
              <m:sub>
                <m:r>
                  <m:rPr>
                    <m:nor/>
                  </m:rPr>
                  <w:rPr>
                    <w:rFonts w:ascii="Arial" w:hAnsi="Arial" w:cs="Arial"/>
                    <w:b/>
                    <w:sz w:val="20"/>
                    <w:szCs w:val="20"/>
                  </w:rPr>
                  <m:t>t</m:t>
                </m:r>
              </m:sub>
            </m:sSub>
          </m:num>
          <m:den>
            <m:sSub>
              <m:sSubPr>
                <m:ctrlPr>
                  <w:rPr>
                    <w:rFonts w:ascii="Cambria Math" w:hAnsi="Arial" w:cs="Arial"/>
                    <w:b/>
                    <w:i/>
                    <w:sz w:val="20"/>
                    <w:szCs w:val="20"/>
                  </w:rPr>
                </m:ctrlPr>
              </m:sSubPr>
              <m:e>
                <m:r>
                  <m:rPr>
                    <m:nor/>
                  </m:rPr>
                  <w:rPr>
                    <w:rFonts w:ascii="Arial" w:hAnsi="Arial" w:cs="Arial"/>
                    <w:b/>
                    <w:sz w:val="20"/>
                    <w:szCs w:val="20"/>
                  </w:rPr>
                  <m:t>N</m:t>
                </m:r>
              </m:e>
              <m:sub>
                <m:r>
                  <m:rPr>
                    <m:nor/>
                  </m:rPr>
                  <w:rPr>
                    <w:rFonts w:ascii="Arial" w:hAnsi="Arial" w:cs="Arial"/>
                    <w:b/>
                    <w:sz w:val="20"/>
                    <w:szCs w:val="20"/>
                  </w:rPr>
                  <m:t>t</m:t>
                </m:r>
              </m:sub>
            </m:sSub>
          </m:den>
        </m:f>
      </m:oMath>
      <w:r w:rsidR="008B1B11" w:rsidRPr="0027354C">
        <w:rPr>
          <w:rFonts w:ascii="Arial" w:hAnsi="Arial" w:cs="Arial"/>
          <w:b/>
          <w:sz w:val="20"/>
          <w:szCs w:val="20"/>
        </w:rPr>
        <w:t xml:space="preserve"> = </w:t>
      </w:r>
      <m:oMath>
        <m:sSub>
          <m:sSubPr>
            <m:ctrlPr>
              <w:rPr>
                <w:rFonts w:ascii="Cambria Math" w:hAnsi="Arial" w:cs="Arial"/>
                <w:b/>
                <w:i/>
                <w:sz w:val="20"/>
                <w:szCs w:val="20"/>
              </w:rPr>
            </m:ctrlPr>
          </m:sSubPr>
          <m:e>
            <m:r>
              <m:rPr>
                <m:nor/>
              </m:rPr>
              <w:rPr>
                <w:rFonts w:ascii="Arial" w:hAnsi="Arial" w:cs="Arial"/>
                <w:b/>
                <w:sz w:val="20"/>
                <w:szCs w:val="20"/>
              </w:rPr>
              <m:t>çno</m:t>
            </m:r>
          </m:e>
          <m:sub>
            <m:r>
              <m:rPr>
                <m:nor/>
              </m:rPr>
              <w:rPr>
                <w:rFonts w:ascii="Arial" w:hAnsi="Arial" w:cs="Arial"/>
                <w:b/>
                <w:sz w:val="20"/>
                <w:szCs w:val="20"/>
              </w:rPr>
              <m:t>t</m:t>
            </m:r>
          </m:sub>
        </m:sSub>
      </m:oMath>
      <w:r w:rsidR="008B1B11" w:rsidRPr="0027354C">
        <w:rPr>
          <w:rFonts w:ascii="Arial" w:hAnsi="Arial" w:cs="Arial"/>
          <w:b/>
          <w:sz w:val="20"/>
          <w:szCs w:val="20"/>
        </w:rPr>
        <w:t xml:space="preserve"> </w:t>
      </w:r>
      <w:r w:rsidR="008B1B11" w:rsidRPr="0027354C">
        <w:rPr>
          <w:rFonts w:ascii="Arial" w:hAnsi="Arial" w:cs="Arial"/>
          <w:sz w:val="20"/>
          <w:szCs w:val="20"/>
        </w:rPr>
        <w:t xml:space="preserve"> </w:t>
      </w:r>
      <w:r w:rsidR="00842618" w:rsidRPr="0027354C">
        <w:rPr>
          <w:rFonts w:ascii="Arial" w:hAnsi="Arial" w:cs="Arial"/>
          <w:b/>
          <w:sz w:val="20"/>
          <w:szCs w:val="20"/>
        </w:rPr>
        <w:t>:</w:t>
      </w:r>
      <w:r w:rsidR="00842618" w:rsidRPr="0027354C">
        <w:rPr>
          <w:rFonts w:ascii="Arial" w:hAnsi="Arial" w:cs="Arial"/>
          <w:sz w:val="20"/>
          <w:szCs w:val="20"/>
        </w:rPr>
        <w:t>Ç</w:t>
      </w:r>
      <w:r w:rsidR="008B1B11" w:rsidRPr="0027354C">
        <w:rPr>
          <w:rFonts w:ascii="Arial" w:hAnsi="Arial" w:cs="Arial"/>
          <w:sz w:val="20"/>
          <w:szCs w:val="20"/>
        </w:rPr>
        <w:t>alışabi</w:t>
      </w:r>
      <w:r w:rsidR="00842618" w:rsidRPr="0027354C">
        <w:rPr>
          <w:rFonts w:ascii="Arial" w:hAnsi="Arial" w:cs="Arial"/>
          <w:sz w:val="20"/>
          <w:szCs w:val="20"/>
        </w:rPr>
        <w:t>lir nüfusun toplam nüfusa oranı</w:t>
      </w:r>
    </w:p>
    <w:p w:rsidR="008B1B11" w:rsidRPr="0027354C" w:rsidRDefault="008B1B11" w:rsidP="008B1B11">
      <w:pPr>
        <w:rPr>
          <w:rFonts w:ascii="Arial" w:hAnsi="Arial" w:cs="Arial"/>
          <w:sz w:val="20"/>
          <w:szCs w:val="20"/>
        </w:rPr>
      </w:pPr>
    </w:p>
    <w:p w:rsidR="008B1B11" w:rsidRPr="0027354C" w:rsidRDefault="00FB1DED" w:rsidP="00842618">
      <w:pPr>
        <w:jc w:val="both"/>
        <w:rPr>
          <w:rFonts w:ascii="Arial" w:hAnsi="Arial" w:cs="Arial"/>
          <w:b/>
          <w:sz w:val="20"/>
          <w:szCs w:val="20"/>
        </w:rPr>
      </w:pPr>
      <m:oMath>
        <m:f>
          <m:fPr>
            <m:ctrlPr>
              <w:rPr>
                <w:rFonts w:ascii="Cambria Math" w:hAnsi="Arial" w:cs="Arial"/>
                <w:b/>
                <w:i/>
              </w:rPr>
            </m:ctrlPr>
          </m:fPr>
          <m:num>
            <m:sSub>
              <m:sSubPr>
                <m:ctrlPr>
                  <w:rPr>
                    <w:rFonts w:ascii="Cambria Math" w:hAnsi="Arial" w:cs="Arial"/>
                    <w:b/>
                  </w:rPr>
                </m:ctrlPr>
              </m:sSubPr>
              <m:e>
                <m:r>
                  <m:rPr>
                    <m:nor/>
                  </m:rPr>
                  <w:rPr>
                    <w:rFonts w:ascii="Arial" w:hAnsi="Arial" w:cs="Arial"/>
                    <w:b/>
                  </w:rPr>
                  <m:t>gsyh</m:t>
                </m:r>
              </m:e>
              <m:sub>
                <m:r>
                  <m:rPr>
                    <m:nor/>
                  </m:rPr>
                  <w:rPr>
                    <w:rFonts w:ascii="Arial" w:hAnsi="Arial" w:cs="Arial"/>
                    <w:b/>
                  </w:rPr>
                  <m:t>t</m:t>
                </m:r>
              </m:sub>
            </m:sSub>
          </m:num>
          <m:den>
            <m:sSub>
              <m:sSubPr>
                <m:ctrlPr>
                  <w:rPr>
                    <w:rFonts w:ascii="Cambria Math" w:hAnsi="Arial" w:cs="Arial"/>
                    <w:b/>
                    <w:i/>
                  </w:rPr>
                </m:ctrlPr>
              </m:sSubPr>
              <m:e>
                <m:r>
                  <m:rPr>
                    <m:nor/>
                  </m:rPr>
                  <w:rPr>
                    <w:rFonts w:ascii="Arial" w:hAnsi="Arial" w:cs="Arial"/>
                    <w:b/>
                  </w:rPr>
                  <m:t>gsyh</m:t>
                </m:r>
              </m:e>
              <m:sub>
                <m:r>
                  <m:rPr>
                    <m:nor/>
                  </m:rPr>
                  <w:rPr>
                    <w:rFonts w:ascii="Arial" w:hAnsi="Arial" w:cs="Arial"/>
                    <w:b/>
                  </w:rPr>
                  <m:t>t-1</m:t>
                </m:r>
              </m:sub>
            </m:sSub>
          </m:den>
        </m:f>
        <m:r>
          <m:rPr>
            <m:nor/>
          </m:rPr>
          <w:rPr>
            <w:rFonts w:ascii="Arial" w:hAnsi="Arial" w:cs="Arial"/>
            <w:b/>
          </w:rPr>
          <m:t>=</m:t>
        </m:r>
        <m:f>
          <m:fPr>
            <m:ctrlPr>
              <w:rPr>
                <w:rFonts w:ascii="Cambria Math" w:hAnsi="Arial" w:cs="Arial"/>
                <w:b/>
                <w:i/>
              </w:rPr>
            </m:ctrlPr>
          </m:fPr>
          <m:num>
            <m:sSub>
              <m:sSubPr>
                <m:ctrlPr>
                  <w:rPr>
                    <w:rFonts w:ascii="Cambria Math" w:hAnsi="Arial" w:cs="Arial"/>
                    <w:b/>
                    <w:i/>
                  </w:rPr>
                </m:ctrlPr>
              </m:sSubPr>
              <m:e>
                <m:r>
                  <m:rPr>
                    <m:nor/>
                  </m:rPr>
                  <w:rPr>
                    <w:rFonts w:ascii="Arial" w:hAnsi="Arial" w:cs="Arial"/>
                    <w:b/>
                  </w:rPr>
                  <m:t>ortev</m:t>
                </m:r>
              </m:e>
              <m:sub>
                <m:r>
                  <m:rPr>
                    <m:nor/>
                  </m:rPr>
                  <w:rPr>
                    <w:rFonts w:ascii="Arial" w:hAnsi="Arial" w:cs="Arial"/>
                    <w:b/>
                  </w:rPr>
                  <m:t>t</m:t>
                </m:r>
              </m:sub>
            </m:sSub>
          </m:num>
          <m:den>
            <m:sSub>
              <m:sSubPr>
                <m:ctrlPr>
                  <w:rPr>
                    <w:rFonts w:ascii="Cambria Math" w:hAnsi="Arial" w:cs="Arial"/>
                    <w:b/>
                    <w:i/>
                  </w:rPr>
                </m:ctrlPr>
              </m:sSubPr>
              <m:e>
                <m:r>
                  <m:rPr>
                    <m:nor/>
                  </m:rPr>
                  <w:rPr>
                    <w:rFonts w:ascii="Arial" w:hAnsi="Arial" w:cs="Arial"/>
                    <w:b/>
                  </w:rPr>
                  <m:t>ortev</m:t>
                </m:r>
              </m:e>
              <m:sub>
                <m:r>
                  <m:rPr>
                    <m:nor/>
                  </m:rPr>
                  <w:rPr>
                    <w:rFonts w:ascii="Arial" w:hAnsi="Arial" w:cs="Arial"/>
                    <w:b/>
                  </w:rPr>
                  <m:t>t-1</m:t>
                </m:r>
              </m:sub>
            </m:sSub>
          </m:den>
        </m:f>
        <m:r>
          <m:rPr>
            <m:nor/>
          </m:rPr>
          <w:rPr>
            <w:rFonts w:ascii="Arial" w:hAnsi="Arial" w:cs="Arial"/>
            <w:b/>
          </w:rPr>
          <m:t>*</m:t>
        </m:r>
        <m:f>
          <m:fPr>
            <m:ctrlPr>
              <w:rPr>
                <w:rFonts w:ascii="Cambria Math" w:hAnsi="Arial" w:cs="Arial"/>
                <w:b/>
                <w:i/>
              </w:rPr>
            </m:ctrlPr>
          </m:fPr>
          <m:num>
            <m:sSub>
              <m:sSubPr>
                <m:ctrlPr>
                  <w:rPr>
                    <w:rFonts w:ascii="Cambria Math" w:hAnsi="Arial" w:cs="Arial"/>
                    <w:b/>
                    <w:i/>
                  </w:rPr>
                </m:ctrlPr>
              </m:sSubPr>
              <m:e>
                <m:r>
                  <m:rPr>
                    <m:nor/>
                  </m:rPr>
                  <w:rPr>
                    <w:rFonts w:ascii="Arial" w:hAnsi="Arial" w:cs="Arial"/>
                    <w:b/>
                  </w:rPr>
                  <m:t>eo</m:t>
                </m:r>
              </m:e>
              <m:sub>
                <m:r>
                  <m:rPr>
                    <m:nor/>
                  </m:rPr>
                  <w:rPr>
                    <w:rFonts w:ascii="Arial" w:hAnsi="Arial" w:cs="Arial"/>
                    <w:b/>
                  </w:rPr>
                  <m:t>t</m:t>
                </m:r>
              </m:sub>
            </m:sSub>
          </m:num>
          <m:den>
            <m:sSub>
              <m:sSubPr>
                <m:ctrlPr>
                  <w:rPr>
                    <w:rFonts w:ascii="Cambria Math" w:hAnsi="Arial" w:cs="Arial"/>
                    <w:b/>
                    <w:i/>
                  </w:rPr>
                </m:ctrlPr>
              </m:sSubPr>
              <m:e>
                <m:r>
                  <m:rPr>
                    <m:nor/>
                  </m:rPr>
                  <w:rPr>
                    <w:rFonts w:ascii="Arial" w:hAnsi="Arial" w:cs="Arial"/>
                    <w:b/>
                  </w:rPr>
                  <m:t>eo</m:t>
                </m:r>
              </m:e>
              <m:sub>
                <m:r>
                  <m:rPr>
                    <m:nor/>
                  </m:rPr>
                  <w:rPr>
                    <w:rFonts w:ascii="Arial" w:hAnsi="Arial" w:cs="Arial"/>
                    <w:b/>
                  </w:rPr>
                  <m:t>t-1</m:t>
                </m:r>
              </m:sub>
            </m:sSub>
          </m:den>
        </m:f>
        <m:r>
          <m:rPr>
            <m:nor/>
          </m:rPr>
          <w:rPr>
            <w:rFonts w:ascii="Arial" w:hAnsi="Arial" w:cs="Arial"/>
            <w:b/>
          </w:rPr>
          <m:t>*</m:t>
        </m:r>
        <m:f>
          <m:fPr>
            <m:ctrlPr>
              <w:rPr>
                <w:rFonts w:ascii="Cambria Math" w:hAnsi="Arial" w:cs="Arial"/>
                <w:b/>
                <w:i/>
              </w:rPr>
            </m:ctrlPr>
          </m:fPr>
          <m:num>
            <m:sSub>
              <m:sSubPr>
                <m:ctrlPr>
                  <w:rPr>
                    <w:rFonts w:ascii="Cambria Math" w:hAnsi="Arial" w:cs="Arial"/>
                    <w:b/>
                    <w:i/>
                  </w:rPr>
                </m:ctrlPr>
              </m:sSubPr>
              <m:e>
                <m:r>
                  <m:rPr>
                    <m:nor/>
                  </m:rPr>
                  <w:rPr>
                    <w:rFonts w:ascii="Arial" w:hAnsi="Arial" w:cs="Arial"/>
                    <w:b/>
                  </w:rPr>
                  <m:t>çno</m:t>
                </m:r>
              </m:e>
              <m:sub>
                <m:r>
                  <m:rPr>
                    <m:nor/>
                  </m:rPr>
                  <w:rPr>
                    <w:rFonts w:ascii="Arial" w:hAnsi="Arial" w:cs="Arial"/>
                    <w:b/>
                  </w:rPr>
                  <m:t>t</m:t>
                </m:r>
              </m:sub>
            </m:sSub>
          </m:num>
          <m:den>
            <m:sSub>
              <m:sSubPr>
                <m:ctrlPr>
                  <w:rPr>
                    <w:rFonts w:ascii="Cambria Math" w:hAnsi="Arial" w:cs="Arial"/>
                    <w:b/>
                    <w:i/>
                  </w:rPr>
                </m:ctrlPr>
              </m:sSubPr>
              <m:e>
                <m:r>
                  <m:rPr>
                    <m:nor/>
                  </m:rPr>
                  <w:rPr>
                    <w:rFonts w:ascii="Arial" w:hAnsi="Arial" w:cs="Arial"/>
                    <w:b/>
                  </w:rPr>
                  <m:t>çno</m:t>
                </m:r>
              </m:e>
              <m:sub>
                <m:r>
                  <m:rPr>
                    <m:nor/>
                  </m:rPr>
                  <w:rPr>
                    <w:rFonts w:ascii="Arial" w:hAnsi="Arial" w:cs="Arial"/>
                    <w:b/>
                  </w:rPr>
                  <m:t>t-1</m:t>
                </m:r>
              </m:sub>
            </m:sSub>
          </m:den>
        </m:f>
      </m:oMath>
      <w:r w:rsidR="008B1B11" w:rsidRPr="0027354C">
        <w:rPr>
          <w:rFonts w:ascii="Arial" w:hAnsi="Arial" w:cs="Arial"/>
          <w:b/>
        </w:rPr>
        <w:t xml:space="preserve"> </w:t>
      </w:r>
      <w:r w:rsidR="00842618" w:rsidRPr="0027354C">
        <w:rPr>
          <w:rFonts w:ascii="Arial" w:hAnsi="Arial" w:cs="Arial"/>
          <w:b/>
        </w:rPr>
        <w:t xml:space="preserve"> </w:t>
      </w:r>
      <w:r w:rsidR="00842618" w:rsidRPr="0027354C">
        <w:rPr>
          <w:rFonts w:ascii="Arial" w:hAnsi="Arial" w:cs="Arial"/>
          <w:sz w:val="18"/>
          <w:szCs w:val="18"/>
        </w:rPr>
        <w:t>: Her bir faktörün katkısını görebilmek için kişi başına düşen gelirin çeyreklik değişimini, ortalama emek verimliliğinin çeyreklik değişimi, istihdam oranın çeyrek değişimi ve çalışabilir nüfüsun oranının çeyreklik değişimi olacak şekilde üç kaleme ayrıştırıyoruz.</w:t>
      </w:r>
    </w:p>
    <w:p w:rsidR="008B1B11" w:rsidRPr="0027354C" w:rsidRDefault="008B1B11" w:rsidP="008B1B11">
      <w:pPr>
        <w:rPr>
          <w:rFonts w:ascii="Arial" w:hAnsi="Arial" w:cs="Arial"/>
          <w:sz w:val="20"/>
          <w:szCs w:val="20"/>
        </w:rPr>
      </w:pPr>
    </w:p>
    <w:p w:rsidR="00562D23" w:rsidRPr="0027354C" w:rsidRDefault="00562D23" w:rsidP="00562D23">
      <w:pPr>
        <w:suppressAutoHyphens w:val="0"/>
        <w:rPr>
          <w:rFonts w:ascii="Arial" w:hAnsi="Arial" w:cs="Arial"/>
          <w:sz w:val="20"/>
          <w:szCs w:val="20"/>
        </w:rPr>
      </w:pPr>
    </w:p>
    <w:p w:rsidR="00F939DE" w:rsidRPr="0027354C" w:rsidRDefault="00F939DE" w:rsidP="00562D23">
      <w:pPr>
        <w:suppressAutoHyphens w:val="0"/>
        <w:rPr>
          <w:rFonts w:ascii="Arial" w:hAnsi="Arial" w:cs="Arial"/>
          <w:b/>
          <w:sz w:val="20"/>
          <w:szCs w:val="20"/>
        </w:rPr>
        <w:sectPr w:rsidR="00F939DE" w:rsidRPr="0027354C" w:rsidSect="005A2C0A">
          <w:footerReference w:type="default" r:id="rId12"/>
          <w:pgSz w:w="11905" w:h="16837"/>
          <w:pgMar w:top="1296" w:right="1296" w:bottom="1296" w:left="1296" w:header="709" w:footer="709" w:gutter="0"/>
          <w:cols w:space="708"/>
          <w:docGrid w:linePitch="360"/>
        </w:sectPr>
      </w:pPr>
    </w:p>
    <w:p w:rsidR="00F939DE" w:rsidRPr="0027354C" w:rsidRDefault="00F939DE">
      <w:pPr>
        <w:suppressAutoHyphens w:val="0"/>
        <w:rPr>
          <w:rFonts w:ascii="Arial" w:hAnsi="Arial" w:cs="Arial"/>
          <w:b/>
          <w:sz w:val="20"/>
          <w:szCs w:val="20"/>
        </w:rPr>
      </w:pPr>
    </w:p>
    <w:p w:rsidR="00860C3F" w:rsidRPr="00860C3F" w:rsidRDefault="00860C3F" w:rsidP="00860C3F">
      <w:pPr>
        <w:pStyle w:val="Caption"/>
        <w:rPr>
          <w:rFonts w:ascii="Arial" w:hAnsi="Arial" w:cs="Arial"/>
          <w:bCs w:val="0"/>
        </w:rPr>
      </w:pPr>
      <w:bookmarkStart w:id="6" w:name="_Ref463531088"/>
      <w:r w:rsidRPr="00860C3F">
        <w:rPr>
          <w:rFonts w:ascii="Arial" w:hAnsi="Arial" w:cs="Arial"/>
          <w:bCs w:val="0"/>
        </w:rPr>
        <w:t xml:space="preserve">Ek Tablo </w:t>
      </w:r>
      <w:r w:rsidRPr="00860C3F">
        <w:rPr>
          <w:rFonts w:ascii="Arial" w:hAnsi="Arial" w:cs="Arial"/>
          <w:bCs w:val="0"/>
        </w:rPr>
        <w:fldChar w:fldCharType="begin"/>
      </w:r>
      <w:r w:rsidRPr="00860C3F">
        <w:rPr>
          <w:rFonts w:ascii="Arial" w:hAnsi="Arial" w:cs="Arial"/>
          <w:bCs w:val="0"/>
        </w:rPr>
        <w:instrText xml:space="preserve"> SEQ Ek_Tablo \* ARABIC </w:instrText>
      </w:r>
      <w:r w:rsidRPr="00860C3F">
        <w:rPr>
          <w:rFonts w:ascii="Arial" w:hAnsi="Arial" w:cs="Arial"/>
          <w:bCs w:val="0"/>
        </w:rPr>
        <w:fldChar w:fldCharType="separate"/>
      </w:r>
      <w:r>
        <w:rPr>
          <w:rFonts w:ascii="Arial" w:hAnsi="Arial" w:cs="Arial"/>
          <w:bCs w:val="0"/>
          <w:noProof/>
        </w:rPr>
        <w:t>1</w:t>
      </w:r>
      <w:r w:rsidRPr="00860C3F">
        <w:rPr>
          <w:rFonts w:ascii="Arial" w:hAnsi="Arial" w:cs="Arial"/>
          <w:bCs w:val="0"/>
        </w:rPr>
        <w:fldChar w:fldCharType="end"/>
      </w:r>
      <w:bookmarkEnd w:id="6"/>
      <w:r w:rsidRPr="00860C3F">
        <w:rPr>
          <w:rFonts w:ascii="Arial" w:hAnsi="Arial" w:cs="Arial"/>
          <w:bCs w:val="0"/>
        </w:rPr>
        <w:t>. Kişi başına GSYH endeksi ve bileşenleri (2005(4) = 100)</w:t>
      </w:r>
    </w:p>
    <w:p w:rsidR="003208C7" w:rsidRPr="0027354C" w:rsidRDefault="003208C7" w:rsidP="00F269F7">
      <w:pPr>
        <w:rPr>
          <w:rFonts w:ascii="Arial" w:hAnsi="Arial" w:cs="Arial"/>
          <w:b/>
          <w:sz w:val="20"/>
          <w:szCs w:val="20"/>
        </w:rPr>
      </w:pPr>
    </w:p>
    <w:tbl>
      <w:tblPr>
        <w:tblW w:w="7731" w:type="dxa"/>
        <w:tblInd w:w="65" w:type="dxa"/>
        <w:tblCellMar>
          <w:left w:w="70" w:type="dxa"/>
          <w:right w:w="70" w:type="dxa"/>
        </w:tblCellMar>
        <w:tblLook w:val="04A0" w:firstRow="1" w:lastRow="0" w:firstColumn="1" w:lastColumn="0" w:noHBand="0" w:noVBand="1"/>
      </w:tblPr>
      <w:tblGrid>
        <w:gridCol w:w="901"/>
        <w:gridCol w:w="1670"/>
        <w:gridCol w:w="1366"/>
        <w:gridCol w:w="2255"/>
        <w:gridCol w:w="1539"/>
      </w:tblGrid>
      <w:tr w:rsidR="003208C7" w:rsidRPr="0027354C" w:rsidTr="003208C7">
        <w:trPr>
          <w:trHeight w:val="735"/>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2"/>
                <w:szCs w:val="22"/>
                <w:lang w:eastAsia="tr-TR"/>
              </w:rPr>
            </w:pPr>
            <w:r w:rsidRPr="0027354C">
              <w:rPr>
                <w:rFonts w:ascii="Calibri" w:hAnsi="Calibri"/>
                <w:color w:val="000000"/>
                <w:sz w:val="22"/>
                <w:szCs w:val="22"/>
                <w:lang w:eastAsia="tr-TR"/>
              </w:rPr>
              <w:t> </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Ortalama Emek Verimliliği</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İstihdam Oranı</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Çalışabilir Nüfusun Toplam Nüfusa Oranı</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Kişi Başına GSYH</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2005(4)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100.0</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100.0</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100.0</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100.0</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2006(1)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101.4</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99.5</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100.2</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101.0</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2006(2)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103.4</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99.3</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100.3</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103.0</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2006(3)</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104.5</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99.4</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100.5</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104.4</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2006(4)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105.1</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99.8</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100.6</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105.6</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2007(1)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105.9</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100.1</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100.8</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106.8</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2007(2)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106.2</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100.2</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101.0</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107.4</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2007(3)</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107.0</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99.9</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101.1</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108.1</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2007(4)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108.6</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99.3</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101.2</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109.2</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2008(1)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109.8</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99.1</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101.4</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110.3</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2008(2)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109.9</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99.3</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101.5</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110.7</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2008(3)</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109.6</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99.5</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101.6</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110.8</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2008(4)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107.2</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99.6</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101.7</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108.6</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2009(1)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103.8</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99.1</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101.7</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104.6</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2009(2)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102.3</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98.2</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101.8</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102.3</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2009(3)</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101.5</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97.8</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102.0</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101.3</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2009(4)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101.9</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98.1</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102.2</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102.2</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2010(1)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103.0</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99.2</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102.4</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104.6</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2010(2)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103.6</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100.4</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102.6</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106.7</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2010(3)</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103.8</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101.2</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102.8</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108.0</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2010(4)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105.0</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101.9</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103.1</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110.2</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2011(1)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106.2</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103.0</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103.3</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113.1</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2011(2)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107.0</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104.0</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103.5</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115.1</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2011(3)</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107.5</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105.3</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103.6</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117.2</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2011(4)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107.4</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106.1</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103.7</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118.2</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2012(1)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107.5</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106.2</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103.7</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118.3</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2012(2)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107.3</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106.7</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103.7</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118.7</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2012(3)</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107.1</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106.8</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103.8</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118.7</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2012(4)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106.5</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107.4</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103.8</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118.7</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2013(1)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106.1</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108.2</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104.0</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119.4</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2013(2)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105.8</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108.5</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104.1</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119.6</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2013(3)</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106.2</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108.8</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104.3</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120.5</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2013(4)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107.1</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108.5</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104.5</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121.4</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2014(1)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106.5</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109.4</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104.7</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121.9</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2014(2)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106.3</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110.3</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104.9</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122.9</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2014(3)</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105.7</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111.1</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105.0</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123.3</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2014(4)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105.1</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112.2</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105.2</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124.1</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2015(1)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105.7</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112.2</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105.4</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125.0</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2015(2)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106.1</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112.5</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105.5</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125.9</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2015(3)</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106.5</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113.0</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105.7</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127.1</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2015(4)</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106.9</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113.4</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105.8</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128.2</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2016(1)</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107.1</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113.9</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106.0</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129.3</w:t>
            </w:r>
          </w:p>
        </w:tc>
      </w:tr>
      <w:tr w:rsidR="003208C7" w:rsidRPr="0027354C" w:rsidTr="003208C7">
        <w:trPr>
          <w:trHeight w:val="272"/>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b/>
                <w:color w:val="000000"/>
                <w:sz w:val="20"/>
                <w:szCs w:val="22"/>
                <w:lang w:eastAsia="tr-TR"/>
              </w:rPr>
            </w:pPr>
            <w:r w:rsidRPr="0027354C">
              <w:rPr>
                <w:rFonts w:ascii="Calibri" w:hAnsi="Calibri"/>
                <w:b/>
                <w:color w:val="000000"/>
                <w:sz w:val="20"/>
                <w:szCs w:val="22"/>
                <w:lang w:eastAsia="tr-TR"/>
              </w:rPr>
              <w:t>2016(2)</w:t>
            </w:r>
          </w:p>
        </w:tc>
        <w:tc>
          <w:tcPr>
            <w:tcW w:w="1670"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107.2</w:t>
            </w:r>
          </w:p>
        </w:tc>
        <w:tc>
          <w:tcPr>
            <w:tcW w:w="1366"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114.3</w:t>
            </w:r>
          </w:p>
        </w:tc>
        <w:tc>
          <w:tcPr>
            <w:tcW w:w="2255"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106.1</w:t>
            </w:r>
          </w:p>
        </w:tc>
        <w:tc>
          <w:tcPr>
            <w:tcW w:w="1539" w:type="dxa"/>
            <w:tcBorders>
              <w:top w:val="nil"/>
              <w:left w:val="nil"/>
              <w:bottom w:val="single" w:sz="4" w:space="0" w:color="auto"/>
              <w:right w:val="single" w:sz="4" w:space="0" w:color="auto"/>
            </w:tcBorders>
            <w:shd w:val="clear" w:color="auto" w:fill="auto"/>
            <w:noWrap/>
            <w:vAlign w:val="center"/>
            <w:hideMark/>
          </w:tcPr>
          <w:p w:rsidR="003208C7" w:rsidRPr="0027354C" w:rsidRDefault="003208C7" w:rsidP="003208C7">
            <w:pPr>
              <w:suppressAutoHyphens w:val="0"/>
              <w:jc w:val="center"/>
              <w:rPr>
                <w:rFonts w:ascii="Calibri" w:hAnsi="Calibri"/>
                <w:color w:val="000000"/>
                <w:sz w:val="20"/>
                <w:szCs w:val="22"/>
                <w:lang w:eastAsia="tr-TR"/>
              </w:rPr>
            </w:pPr>
            <w:r w:rsidRPr="0027354C">
              <w:rPr>
                <w:rFonts w:ascii="Calibri" w:hAnsi="Calibri"/>
                <w:color w:val="000000"/>
                <w:sz w:val="20"/>
                <w:szCs w:val="22"/>
                <w:lang w:eastAsia="tr-TR"/>
              </w:rPr>
              <w:t>130.0</w:t>
            </w:r>
          </w:p>
        </w:tc>
      </w:tr>
    </w:tbl>
    <w:p w:rsidR="007C4077" w:rsidRPr="0027354C" w:rsidRDefault="007C4077" w:rsidP="007C4077">
      <w:pPr>
        <w:rPr>
          <w:rFonts w:ascii="Arial" w:hAnsi="Arial" w:cs="Arial"/>
          <w:sz w:val="20"/>
          <w:szCs w:val="20"/>
        </w:rPr>
      </w:pPr>
      <w:r w:rsidRPr="0027354C">
        <w:rPr>
          <w:rFonts w:ascii="Arial" w:hAnsi="Arial" w:cs="Arial"/>
          <w:sz w:val="20"/>
          <w:szCs w:val="20"/>
        </w:rPr>
        <w:t>Kaynak: TÜİK, Betam.</w:t>
      </w:r>
    </w:p>
    <w:p w:rsidR="002D652D" w:rsidRPr="0027354C" w:rsidRDefault="002D652D" w:rsidP="00F269F7">
      <w:pPr>
        <w:rPr>
          <w:rFonts w:ascii="Arial" w:hAnsi="Arial" w:cs="Arial"/>
          <w:b/>
          <w:sz w:val="20"/>
          <w:szCs w:val="20"/>
        </w:rPr>
      </w:pPr>
    </w:p>
    <w:sectPr w:rsidR="002D652D" w:rsidRPr="0027354C" w:rsidSect="005A2C0A">
      <w:pgSz w:w="11905" w:h="16837"/>
      <w:pgMar w:top="1296" w:right="1296" w:bottom="1296" w:left="129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DED" w:rsidRDefault="00FB1DED" w:rsidP="00640379">
      <w:r>
        <w:separator/>
      </w:r>
    </w:p>
  </w:endnote>
  <w:endnote w:type="continuationSeparator" w:id="0">
    <w:p w:rsidR="00FB1DED" w:rsidRDefault="00FB1DED" w:rsidP="0064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54C" w:rsidRPr="00EA46E1" w:rsidRDefault="0027354C" w:rsidP="00184833">
    <w:pPr>
      <w:pStyle w:val="Footer"/>
      <w:framePr w:wrap="auto" w:vAnchor="text" w:hAnchor="margin" w:xAlign="right" w:y="1"/>
      <w:rPr>
        <w:rStyle w:val="PageNumber"/>
        <w:rFonts w:ascii="Calibri" w:hAnsi="Calibri" w:cs="Calibri"/>
        <w:sz w:val="22"/>
        <w:szCs w:val="22"/>
      </w:rPr>
    </w:pPr>
    <w:r w:rsidRPr="00EA46E1">
      <w:rPr>
        <w:rStyle w:val="PageNumber"/>
        <w:rFonts w:ascii="Calibri" w:hAnsi="Calibri" w:cs="Calibri"/>
        <w:sz w:val="22"/>
        <w:szCs w:val="22"/>
      </w:rPr>
      <w:fldChar w:fldCharType="begin"/>
    </w:r>
    <w:r w:rsidRPr="00EA46E1">
      <w:rPr>
        <w:rStyle w:val="PageNumber"/>
        <w:rFonts w:ascii="Calibri" w:hAnsi="Calibri" w:cs="Calibri"/>
        <w:sz w:val="22"/>
        <w:szCs w:val="22"/>
      </w:rPr>
      <w:instrText xml:space="preserve">PAGE  </w:instrText>
    </w:r>
    <w:r w:rsidRPr="00EA46E1">
      <w:rPr>
        <w:rStyle w:val="PageNumber"/>
        <w:rFonts w:ascii="Calibri" w:hAnsi="Calibri" w:cs="Calibri"/>
        <w:sz w:val="22"/>
        <w:szCs w:val="22"/>
      </w:rPr>
      <w:fldChar w:fldCharType="separate"/>
    </w:r>
    <w:r w:rsidR="008B7607">
      <w:rPr>
        <w:rStyle w:val="PageNumber"/>
        <w:rFonts w:ascii="Calibri" w:hAnsi="Calibri" w:cs="Calibri"/>
        <w:noProof/>
        <w:sz w:val="22"/>
        <w:szCs w:val="22"/>
      </w:rPr>
      <w:t>1</w:t>
    </w:r>
    <w:r w:rsidRPr="00EA46E1">
      <w:rPr>
        <w:rStyle w:val="PageNumber"/>
        <w:rFonts w:ascii="Calibri" w:hAnsi="Calibri" w:cs="Calibri"/>
        <w:sz w:val="22"/>
        <w:szCs w:val="22"/>
      </w:rPr>
      <w:fldChar w:fldCharType="end"/>
    </w:r>
  </w:p>
  <w:p w:rsidR="0027354C" w:rsidRDefault="0027354C" w:rsidP="00184833">
    <w:pPr>
      <w:pStyle w:val="Footer"/>
      <w:ind w:right="360"/>
      <w:jc w:val="center"/>
      <w:rPr>
        <w:rFonts w:ascii="Arial" w:hAnsi="Arial" w:cs="Arial"/>
        <w:b/>
        <w:bCs/>
        <w:i/>
        <w:iCs/>
        <w:sz w:val="20"/>
        <w:szCs w:val="20"/>
      </w:rPr>
    </w:pPr>
    <w:r>
      <w:rPr>
        <w:rFonts w:ascii="Arial" w:hAnsi="Arial" w:cs="Arial"/>
        <w:b/>
        <w:bCs/>
        <w:i/>
        <w:iCs/>
        <w:sz w:val="20"/>
        <w:szCs w:val="20"/>
      </w:rPr>
      <w:t>betam.bahcesehir.edu.tr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DED" w:rsidRDefault="00FB1DED" w:rsidP="00640379">
      <w:r>
        <w:separator/>
      </w:r>
    </w:p>
  </w:footnote>
  <w:footnote w:type="continuationSeparator" w:id="0">
    <w:p w:rsidR="00FB1DED" w:rsidRDefault="00FB1DED" w:rsidP="00640379">
      <w:r>
        <w:continuationSeparator/>
      </w:r>
    </w:p>
  </w:footnote>
  <w:footnote w:id="1">
    <w:p w:rsidR="0027354C" w:rsidRDefault="0027354C">
      <w:pPr>
        <w:pStyle w:val="FootnoteText"/>
      </w:pPr>
      <w:r w:rsidRPr="002408E1">
        <w:rPr>
          <w:rStyle w:val="FootnoteReference"/>
        </w:rPr>
        <w:sym w:font="Symbol" w:char="F02A"/>
      </w:r>
      <w:r>
        <w:t xml:space="preserve"> </w:t>
      </w:r>
      <w:r w:rsidRPr="004543D7">
        <w:rPr>
          <w:rFonts w:ascii="Arial" w:hAnsi="Arial" w:cs="Arial"/>
          <w:sz w:val="16"/>
          <w:szCs w:val="16"/>
        </w:rPr>
        <w:t xml:space="preserve">Prof. Dr. Seyfettin Gürsel, </w:t>
      </w:r>
      <w:r w:rsidRPr="004009D4">
        <w:rPr>
          <w:rFonts w:ascii="Arial" w:hAnsi="Arial" w:cs="Arial"/>
          <w:b/>
          <w:sz w:val="16"/>
          <w:szCs w:val="16"/>
        </w:rPr>
        <w:t>Betam</w:t>
      </w:r>
      <w:r w:rsidRPr="004543D7">
        <w:rPr>
          <w:rFonts w:ascii="Arial" w:hAnsi="Arial" w:cs="Arial"/>
          <w:sz w:val="16"/>
          <w:szCs w:val="16"/>
        </w:rPr>
        <w:t>, Direk</w:t>
      </w:r>
      <w:r>
        <w:rPr>
          <w:rFonts w:ascii="Arial" w:hAnsi="Arial" w:cs="Arial"/>
          <w:sz w:val="16"/>
          <w:szCs w:val="16"/>
        </w:rPr>
        <w:t>tör, seyfettin.gursel@eas.bau</w:t>
      </w:r>
      <w:r w:rsidRPr="004543D7">
        <w:rPr>
          <w:rFonts w:ascii="Arial" w:hAnsi="Arial" w:cs="Arial"/>
          <w:sz w:val="16"/>
          <w:szCs w:val="16"/>
        </w:rPr>
        <w:t>.edu.tr</w:t>
      </w:r>
    </w:p>
  </w:footnote>
  <w:footnote w:id="2">
    <w:p w:rsidR="0027354C" w:rsidRPr="001A6364" w:rsidRDefault="0027354C">
      <w:pPr>
        <w:pStyle w:val="FootnoteText"/>
        <w:rPr>
          <w:rFonts w:ascii="Arial" w:hAnsi="Arial" w:cs="Arial"/>
          <w:sz w:val="16"/>
          <w:szCs w:val="16"/>
        </w:rPr>
      </w:pPr>
      <w:r>
        <w:rPr>
          <w:rStyle w:val="FootnoteReference"/>
        </w:rPr>
        <w:t>**</w:t>
      </w:r>
      <w:r>
        <w:t xml:space="preserve"> </w:t>
      </w:r>
      <w:r>
        <w:rPr>
          <w:rFonts w:ascii="Arial" w:hAnsi="Arial" w:cs="Arial"/>
          <w:sz w:val="16"/>
          <w:szCs w:val="16"/>
        </w:rPr>
        <w:t xml:space="preserve">Doç.Dr.Ozan Bakış, </w:t>
      </w:r>
      <w:r w:rsidRPr="004009D4">
        <w:rPr>
          <w:rFonts w:ascii="Arial" w:hAnsi="Arial" w:cs="Arial"/>
          <w:b/>
          <w:sz w:val="16"/>
          <w:szCs w:val="16"/>
        </w:rPr>
        <w:t>Betam</w:t>
      </w:r>
      <w:r>
        <w:rPr>
          <w:rFonts w:ascii="Arial" w:hAnsi="Arial" w:cs="Arial"/>
          <w:sz w:val="16"/>
          <w:szCs w:val="16"/>
        </w:rPr>
        <w:t>, Kıdemli Araştırmacı ozan.bakis@eas.bau.edu.tr</w:t>
      </w:r>
    </w:p>
  </w:footnote>
  <w:footnote w:id="3">
    <w:p w:rsidR="0027354C" w:rsidRDefault="0027354C">
      <w:pPr>
        <w:pStyle w:val="FootnoteText"/>
      </w:pPr>
      <w:r w:rsidRPr="004009D4">
        <w:rPr>
          <w:rFonts w:ascii="Arial" w:hAnsi="Arial" w:cs="Arial"/>
          <w:sz w:val="16"/>
          <w:szCs w:val="16"/>
        </w:rPr>
        <w:t xml:space="preserve">*** Selin Köksal, </w:t>
      </w:r>
      <w:r w:rsidRPr="004009D4">
        <w:rPr>
          <w:rFonts w:ascii="Arial" w:hAnsi="Arial" w:cs="Arial"/>
          <w:b/>
          <w:sz w:val="16"/>
          <w:szCs w:val="16"/>
        </w:rPr>
        <w:t>Betam</w:t>
      </w:r>
      <w:r w:rsidRPr="004009D4">
        <w:rPr>
          <w:rFonts w:ascii="Arial" w:hAnsi="Arial" w:cs="Arial"/>
          <w:sz w:val="16"/>
          <w:szCs w:val="16"/>
        </w:rPr>
        <w:t>, Araştırma Görevlisi, selin.koksal@eas.bau.edu.tr</w:t>
      </w:r>
    </w:p>
  </w:footnote>
  <w:footnote w:id="4">
    <w:p w:rsidR="00C36B17" w:rsidRDefault="00C36B17" w:rsidP="00C36B17">
      <w:pPr>
        <w:pStyle w:val="FootnoteText"/>
      </w:pPr>
      <w:r>
        <w:rPr>
          <w:rStyle w:val="FootnoteReference"/>
        </w:rPr>
        <w:footnoteRef/>
      </w:r>
      <w:r>
        <w:t xml:space="preserve"> </w:t>
      </w:r>
      <w:r w:rsidRPr="0018447F">
        <w:rPr>
          <w:rFonts w:ascii="Arial" w:hAnsi="Arial" w:cs="Arial"/>
          <w:sz w:val="16"/>
          <w:szCs w:val="16"/>
        </w:rPr>
        <w:t>Seyfettin Gürsel ve Barış Soybilgen, 2013. “Türkiye Orta Gelir Tuzağının Eşiğinde” Betam Araştırma Notu 13/154</w:t>
      </w:r>
    </w:p>
  </w:footnote>
  <w:footnote w:id="5">
    <w:p w:rsidR="00C36B17" w:rsidRDefault="00C36B17" w:rsidP="00C36B17">
      <w:pPr>
        <w:pStyle w:val="FootnoteText"/>
      </w:pPr>
      <w:r>
        <w:rPr>
          <w:rStyle w:val="FootnoteReference"/>
        </w:rPr>
        <w:footnoteRef/>
      </w:r>
      <w:r>
        <w:t xml:space="preserve"> </w:t>
      </w:r>
      <w:r w:rsidRPr="0018447F">
        <w:rPr>
          <w:rFonts w:ascii="Arial" w:hAnsi="Arial" w:cs="Arial"/>
          <w:sz w:val="16"/>
          <w:szCs w:val="16"/>
        </w:rPr>
        <w:t>Seyfettin Gürsel</w:t>
      </w:r>
      <w:r>
        <w:rPr>
          <w:rFonts w:ascii="Arial" w:hAnsi="Arial" w:cs="Arial"/>
          <w:sz w:val="16"/>
          <w:szCs w:val="16"/>
        </w:rPr>
        <w:t xml:space="preserve"> ve Barış Soybilgen, 2014</w:t>
      </w:r>
      <w:r w:rsidRPr="0018447F">
        <w:rPr>
          <w:rFonts w:ascii="Arial" w:hAnsi="Arial" w:cs="Arial"/>
          <w:sz w:val="16"/>
          <w:szCs w:val="16"/>
        </w:rPr>
        <w:t>. “</w:t>
      </w:r>
      <w:r>
        <w:rPr>
          <w:rFonts w:ascii="Arial" w:hAnsi="Arial" w:cs="Arial"/>
          <w:sz w:val="16"/>
          <w:szCs w:val="16"/>
        </w:rPr>
        <w:t>Türkiye Uzun Yıllar Orta Gelir Tuzağından Kurtulamayabilir</w:t>
      </w:r>
      <w:r w:rsidRPr="0018447F">
        <w:rPr>
          <w:rFonts w:ascii="Arial" w:hAnsi="Arial" w:cs="Arial"/>
          <w:sz w:val="16"/>
          <w:szCs w:val="16"/>
        </w:rPr>
        <w:t>”</w:t>
      </w:r>
      <w:r>
        <w:rPr>
          <w:rFonts w:ascii="Arial" w:hAnsi="Arial" w:cs="Arial"/>
          <w:sz w:val="16"/>
          <w:szCs w:val="16"/>
        </w:rPr>
        <w:t xml:space="preserve"> Betam Araştırma Notu 14/169</w:t>
      </w:r>
    </w:p>
  </w:footnote>
  <w:footnote w:id="6">
    <w:p w:rsidR="0027354C" w:rsidRPr="00E3709C" w:rsidRDefault="0027354C" w:rsidP="00E3709C">
      <w:pPr>
        <w:pStyle w:val="FootnoteText"/>
        <w:jc w:val="both"/>
        <w:rPr>
          <w:rFonts w:ascii="Arial" w:hAnsi="Arial" w:cs="Arial"/>
          <w:sz w:val="16"/>
          <w:szCs w:val="16"/>
        </w:rPr>
      </w:pPr>
      <w:r>
        <w:rPr>
          <w:rStyle w:val="FootnoteReference"/>
        </w:rPr>
        <w:footnoteRef/>
      </w:r>
      <w:r>
        <w:rPr>
          <w:rFonts w:ascii="Arial" w:hAnsi="Arial" w:cs="Arial"/>
          <w:sz w:val="16"/>
          <w:szCs w:val="16"/>
        </w:rPr>
        <w:t>Kişi başına düşen gelir,</w:t>
      </w:r>
      <w:r w:rsidRPr="00082852">
        <w:rPr>
          <w:rFonts w:ascii="Arial" w:hAnsi="Arial" w:cs="Arial"/>
          <w:sz w:val="16"/>
          <w:szCs w:val="16"/>
        </w:rPr>
        <w:t xml:space="preserve"> nüfus, çalışabilir nüfus ve istihdam değişkenleri mevsim etkisinden arındırıldıktan sonra hareketli yıllık ortalamalar dikkate alınar</w:t>
      </w:r>
      <w:r>
        <w:rPr>
          <w:rFonts w:ascii="Arial" w:hAnsi="Arial" w:cs="Arial"/>
          <w:sz w:val="16"/>
          <w:szCs w:val="16"/>
        </w:rPr>
        <w:t>ak çeyrekten çeyreğe değişimler</w:t>
      </w:r>
      <w:r w:rsidRPr="00082852">
        <w:rPr>
          <w:rFonts w:ascii="Arial" w:hAnsi="Arial" w:cs="Arial"/>
          <w:sz w:val="16"/>
          <w:szCs w:val="16"/>
        </w:rPr>
        <w:t xml:space="preserve"> hesaplanmıştır. Örneğin 2005(4)’den 2006(1)’e değişim 2005 1., 2., 3. ve 4. çeyreklerin toplamı ile 2005 2., 3., 4. ve 2006 1. çeyreklerin toplamı arasınd</w:t>
      </w:r>
      <w:r>
        <w:rPr>
          <w:rFonts w:ascii="Arial" w:hAnsi="Arial" w:cs="Arial"/>
          <w:sz w:val="16"/>
          <w:szCs w:val="16"/>
        </w:rPr>
        <w:t>aki değişimdir. Değişimler 2005</w:t>
      </w:r>
      <w:r w:rsidRPr="00082852">
        <w:rPr>
          <w:rFonts w:ascii="Arial" w:hAnsi="Arial" w:cs="Arial"/>
          <w:sz w:val="16"/>
          <w:szCs w:val="16"/>
        </w:rPr>
        <w:t>(4) =</w:t>
      </w:r>
      <w:r>
        <w:rPr>
          <w:rFonts w:ascii="Arial" w:hAnsi="Arial" w:cs="Arial"/>
          <w:sz w:val="16"/>
          <w:szCs w:val="16"/>
        </w:rPr>
        <w:t xml:space="preserve"> 100 alınarak endekslenmiştir. </w:t>
      </w:r>
    </w:p>
  </w:footnote>
  <w:footnote w:id="7">
    <w:p w:rsidR="0027354C" w:rsidRPr="00E052CE" w:rsidRDefault="0027354C" w:rsidP="0027354C">
      <w:pPr>
        <w:pStyle w:val="FootnoteText"/>
        <w:rPr>
          <w:rFonts w:ascii="Arial" w:hAnsi="Arial" w:cs="Arial"/>
          <w:sz w:val="16"/>
          <w:szCs w:val="16"/>
        </w:rPr>
      </w:pPr>
      <w:r w:rsidRPr="00E052CE">
        <w:rPr>
          <w:rStyle w:val="FootnoteReference"/>
          <w:rFonts w:ascii="Arial" w:hAnsi="Arial" w:cs="Arial"/>
          <w:sz w:val="16"/>
          <w:szCs w:val="16"/>
        </w:rPr>
        <w:footnoteRef/>
      </w:r>
      <w:r w:rsidRPr="00E052CE">
        <w:rPr>
          <w:rFonts w:ascii="Arial" w:hAnsi="Arial" w:cs="Arial"/>
          <w:sz w:val="16"/>
          <w:szCs w:val="16"/>
        </w:rPr>
        <w:t xml:space="preserve"> </w:t>
      </w:r>
      <w:r w:rsidRPr="00E3709C">
        <w:rPr>
          <w:rFonts w:ascii="Arial" w:hAnsi="Arial" w:cs="Arial"/>
          <w:sz w:val="16"/>
          <w:szCs w:val="16"/>
        </w:rPr>
        <w:t>2014 itibariyle K</w:t>
      </w:r>
      <w:r>
        <w:rPr>
          <w:rFonts w:ascii="Arial" w:hAnsi="Arial" w:cs="Arial"/>
          <w:sz w:val="16"/>
          <w:szCs w:val="16"/>
        </w:rPr>
        <w:t>urumsal Olmayan Nüfus sorusu Hanehalkı İşgücü Anketi'nde</w:t>
      </w:r>
      <w:r w:rsidRPr="00E3709C">
        <w:rPr>
          <w:rFonts w:ascii="Arial" w:hAnsi="Arial" w:cs="Arial"/>
          <w:sz w:val="16"/>
          <w:szCs w:val="16"/>
        </w:rPr>
        <w:t xml:space="preserve"> sorulm</w:t>
      </w:r>
      <w:r>
        <w:rPr>
          <w:rFonts w:ascii="Arial" w:hAnsi="Arial" w:cs="Arial"/>
          <w:sz w:val="16"/>
          <w:szCs w:val="16"/>
        </w:rPr>
        <w:t xml:space="preserve">uyor. Bu nedenle, geçmiş senelerdeki </w:t>
      </w:r>
      <w:r w:rsidRPr="00E3709C">
        <w:rPr>
          <w:rFonts w:ascii="Arial" w:hAnsi="Arial" w:cs="Arial"/>
          <w:sz w:val="16"/>
          <w:szCs w:val="16"/>
        </w:rPr>
        <w:t>K</w:t>
      </w:r>
      <w:r>
        <w:rPr>
          <w:rFonts w:ascii="Arial" w:hAnsi="Arial" w:cs="Arial"/>
          <w:sz w:val="16"/>
          <w:szCs w:val="16"/>
        </w:rPr>
        <w:t xml:space="preserve">urumsal Olmayan Nüfus/ 15+ Kurumsal Olmayan Nüfus oranındaki değişimin grafiğini çizdik ve eğimi -0.0019 bulduk. </w:t>
      </w:r>
      <w:r w:rsidRPr="00E3709C">
        <w:rPr>
          <w:rFonts w:ascii="Arial" w:hAnsi="Arial" w:cs="Arial"/>
          <w:sz w:val="16"/>
          <w:szCs w:val="16"/>
        </w:rPr>
        <w:t xml:space="preserve"> 2014 sonrası için bu say</w:t>
      </w:r>
      <w:r>
        <w:rPr>
          <w:rFonts w:ascii="Arial" w:hAnsi="Arial" w:cs="Arial"/>
          <w:sz w:val="16"/>
          <w:szCs w:val="16"/>
        </w:rPr>
        <w:t>ıyı kullanarak Kurumsal Olmayan Nüfus’u hesapladık.</w:t>
      </w:r>
    </w:p>
  </w:footnote>
  <w:footnote w:id="8">
    <w:p w:rsidR="0027354C" w:rsidRPr="00082852" w:rsidRDefault="0027354C" w:rsidP="00AE2FAA">
      <w:pPr>
        <w:pStyle w:val="FootnoteText"/>
        <w:jc w:val="both"/>
        <w:rPr>
          <w:rFonts w:ascii="Arial" w:hAnsi="Arial" w:cs="Arial"/>
          <w:sz w:val="16"/>
          <w:szCs w:val="16"/>
        </w:rPr>
      </w:pPr>
      <w:r w:rsidRPr="00082852">
        <w:rPr>
          <w:rStyle w:val="FootnoteReference"/>
          <w:rFonts w:ascii="Arial" w:hAnsi="Arial" w:cs="Arial"/>
          <w:sz w:val="16"/>
          <w:szCs w:val="16"/>
        </w:rPr>
        <w:footnoteRef/>
      </w:r>
      <w:r w:rsidRPr="00082852">
        <w:rPr>
          <w:rFonts w:ascii="Arial" w:hAnsi="Arial" w:cs="Arial"/>
          <w:sz w:val="16"/>
          <w:szCs w:val="16"/>
        </w:rPr>
        <w:t xml:space="preserve"> Kullanılan ayrıştırma yönteminin sta</w:t>
      </w:r>
      <w:r>
        <w:rPr>
          <w:rFonts w:ascii="Arial" w:hAnsi="Arial" w:cs="Arial"/>
          <w:sz w:val="16"/>
          <w:szCs w:val="16"/>
        </w:rPr>
        <w:t>ndart neo</w:t>
      </w:r>
      <w:r w:rsidRPr="00082852">
        <w:rPr>
          <w:rFonts w:ascii="Arial" w:hAnsi="Arial" w:cs="Arial"/>
          <w:sz w:val="16"/>
          <w:szCs w:val="16"/>
        </w:rPr>
        <w:t>klasik modelde (Solow modeli) yapıldığı gibi sermaye ve emeğin büyüme katkılarını ayrıştırmadığını belirtelim. Burada kullanılan ayrıştırma yöntemi, sermayenin katkısı ile toplam faktör verimliliğini içeren emek verimliliğine odaklanmaktadır. Sermayenin katkısı negatif</w:t>
      </w:r>
      <w:r w:rsidRPr="00A96733">
        <w:t xml:space="preserve"> </w:t>
      </w:r>
      <w:r w:rsidRPr="00082852">
        <w:rPr>
          <w:rFonts w:ascii="Arial" w:hAnsi="Arial" w:cs="Arial"/>
          <w:sz w:val="16"/>
          <w:szCs w:val="16"/>
        </w:rPr>
        <w:t>olamayacağına göre, emek verimliliğinde artışın</w:t>
      </w:r>
      <w:r w:rsidRPr="00A96733">
        <w:t xml:space="preserve"> </w:t>
      </w:r>
      <w:r>
        <w:rPr>
          <w:rFonts w:ascii="Arial" w:hAnsi="Arial" w:cs="Arial"/>
          <w:sz w:val="16"/>
          <w:szCs w:val="16"/>
        </w:rPr>
        <w:t>sıfırlanması</w:t>
      </w:r>
      <w:r w:rsidRPr="00082852">
        <w:rPr>
          <w:rFonts w:ascii="Arial" w:hAnsi="Arial" w:cs="Arial"/>
          <w:sz w:val="16"/>
          <w:szCs w:val="16"/>
        </w:rPr>
        <w:t xml:space="preserve"> toplam faktör verimliliği katkısının son dönemde </w:t>
      </w:r>
      <w:r>
        <w:rPr>
          <w:rFonts w:ascii="Arial" w:hAnsi="Arial" w:cs="Arial"/>
          <w:sz w:val="16"/>
          <w:szCs w:val="16"/>
        </w:rPr>
        <w:t>sıfıra yaklaştığına işaret etmektedir</w:t>
      </w:r>
      <w:r w:rsidRPr="00082852">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2B77CC7"/>
    <w:multiLevelType w:val="hybridMultilevel"/>
    <w:tmpl w:val="16D661E8"/>
    <w:lvl w:ilvl="0" w:tplc="041F0011">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24603A20"/>
    <w:multiLevelType w:val="hybridMultilevel"/>
    <w:tmpl w:val="7512D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8922F9"/>
    <w:multiLevelType w:val="hybridMultilevel"/>
    <w:tmpl w:val="8F32170C"/>
    <w:lvl w:ilvl="0" w:tplc="CB647882">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6BA847AB"/>
    <w:multiLevelType w:val="hybridMultilevel"/>
    <w:tmpl w:val="F0D00858"/>
    <w:lvl w:ilvl="0" w:tplc="8D86B52C">
      <w:start w:val="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79"/>
    <w:rsid w:val="00006AF6"/>
    <w:rsid w:val="00007E63"/>
    <w:rsid w:val="00013729"/>
    <w:rsid w:val="00017EC6"/>
    <w:rsid w:val="00022C3C"/>
    <w:rsid w:val="00023AE1"/>
    <w:rsid w:val="000277AE"/>
    <w:rsid w:val="00047577"/>
    <w:rsid w:val="0005778E"/>
    <w:rsid w:val="000640B4"/>
    <w:rsid w:val="00065B87"/>
    <w:rsid w:val="00070EEB"/>
    <w:rsid w:val="000738AA"/>
    <w:rsid w:val="00075CAC"/>
    <w:rsid w:val="00076DE2"/>
    <w:rsid w:val="00082852"/>
    <w:rsid w:val="00082DAD"/>
    <w:rsid w:val="00084B74"/>
    <w:rsid w:val="0008507E"/>
    <w:rsid w:val="00096B8E"/>
    <w:rsid w:val="000A48F8"/>
    <w:rsid w:val="000A59DC"/>
    <w:rsid w:val="000A5E39"/>
    <w:rsid w:val="000A7078"/>
    <w:rsid w:val="000B0261"/>
    <w:rsid w:val="000C07FB"/>
    <w:rsid w:val="000C1380"/>
    <w:rsid w:val="000C2EE8"/>
    <w:rsid w:val="000D1186"/>
    <w:rsid w:val="000D7EB3"/>
    <w:rsid w:val="000E09BC"/>
    <w:rsid w:val="000E6298"/>
    <w:rsid w:val="000F3071"/>
    <w:rsid w:val="00104145"/>
    <w:rsid w:val="00107FCA"/>
    <w:rsid w:val="001107FC"/>
    <w:rsid w:val="001128D9"/>
    <w:rsid w:val="001163F4"/>
    <w:rsid w:val="00116DFB"/>
    <w:rsid w:val="0011718E"/>
    <w:rsid w:val="0011756F"/>
    <w:rsid w:val="001411AE"/>
    <w:rsid w:val="001429E8"/>
    <w:rsid w:val="001547D9"/>
    <w:rsid w:val="00157906"/>
    <w:rsid w:val="00163268"/>
    <w:rsid w:val="0016555A"/>
    <w:rsid w:val="00166449"/>
    <w:rsid w:val="0018447F"/>
    <w:rsid w:val="00184833"/>
    <w:rsid w:val="00185154"/>
    <w:rsid w:val="00185A19"/>
    <w:rsid w:val="00185CE6"/>
    <w:rsid w:val="00197D6B"/>
    <w:rsid w:val="001A355C"/>
    <w:rsid w:val="001A6364"/>
    <w:rsid w:val="001B107F"/>
    <w:rsid w:val="001C0D5F"/>
    <w:rsid w:val="001C12FD"/>
    <w:rsid w:val="001C38E5"/>
    <w:rsid w:val="001C68B9"/>
    <w:rsid w:val="001D15F6"/>
    <w:rsid w:val="001D39B3"/>
    <w:rsid w:val="001E0C08"/>
    <w:rsid w:val="001F5B6B"/>
    <w:rsid w:val="001F7F8A"/>
    <w:rsid w:val="00204754"/>
    <w:rsid w:val="00206D18"/>
    <w:rsid w:val="002103D9"/>
    <w:rsid w:val="0021265A"/>
    <w:rsid w:val="00215F11"/>
    <w:rsid w:val="00222F0B"/>
    <w:rsid w:val="002408E1"/>
    <w:rsid w:val="00247A1E"/>
    <w:rsid w:val="00252C7A"/>
    <w:rsid w:val="00262F48"/>
    <w:rsid w:val="0027168A"/>
    <w:rsid w:val="0027354C"/>
    <w:rsid w:val="002959DA"/>
    <w:rsid w:val="002A0024"/>
    <w:rsid w:val="002A06D6"/>
    <w:rsid w:val="002A0B64"/>
    <w:rsid w:val="002A24B1"/>
    <w:rsid w:val="002A38BD"/>
    <w:rsid w:val="002A5334"/>
    <w:rsid w:val="002B0479"/>
    <w:rsid w:val="002B770E"/>
    <w:rsid w:val="002C28AC"/>
    <w:rsid w:val="002D2127"/>
    <w:rsid w:val="002D652D"/>
    <w:rsid w:val="002D739A"/>
    <w:rsid w:val="002E0A3C"/>
    <w:rsid w:val="002E4210"/>
    <w:rsid w:val="002F07F2"/>
    <w:rsid w:val="002F25AD"/>
    <w:rsid w:val="002F401D"/>
    <w:rsid w:val="002F7855"/>
    <w:rsid w:val="00304B22"/>
    <w:rsid w:val="00307ACF"/>
    <w:rsid w:val="00311CA6"/>
    <w:rsid w:val="00313662"/>
    <w:rsid w:val="003208C7"/>
    <w:rsid w:val="0032258D"/>
    <w:rsid w:val="00324DB1"/>
    <w:rsid w:val="00325473"/>
    <w:rsid w:val="00326807"/>
    <w:rsid w:val="00327112"/>
    <w:rsid w:val="0033592D"/>
    <w:rsid w:val="0034185B"/>
    <w:rsid w:val="003438E6"/>
    <w:rsid w:val="00344E64"/>
    <w:rsid w:val="0035080F"/>
    <w:rsid w:val="00355C0D"/>
    <w:rsid w:val="0035747E"/>
    <w:rsid w:val="00357F18"/>
    <w:rsid w:val="00364EE4"/>
    <w:rsid w:val="00371274"/>
    <w:rsid w:val="003712B6"/>
    <w:rsid w:val="00374F9E"/>
    <w:rsid w:val="00384FBA"/>
    <w:rsid w:val="003920C1"/>
    <w:rsid w:val="003A0637"/>
    <w:rsid w:val="003A17FD"/>
    <w:rsid w:val="003A2098"/>
    <w:rsid w:val="003B0FF6"/>
    <w:rsid w:val="003B650D"/>
    <w:rsid w:val="003C5577"/>
    <w:rsid w:val="003E03E1"/>
    <w:rsid w:val="003E0B22"/>
    <w:rsid w:val="003E27D9"/>
    <w:rsid w:val="003E32FF"/>
    <w:rsid w:val="003E4BA0"/>
    <w:rsid w:val="003F5C5F"/>
    <w:rsid w:val="004009D4"/>
    <w:rsid w:val="00402256"/>
    <w:rsid w:val="0040699C"/>
    <w:rsid w:val="00416A24"/>
    <w:rsid w:val="00417DC3"/>
    <w:rsid w:val="004209A5"/>
    <w:rsid w:val="0042103B"/>
    <w:rsid w:val="004305D8"/>
    <w:rsid w:val="004369BD"/>
    <w:rsid w:val="0043734C"/>
    <w:rsid w:val="00437EC6"/>
    <w:rsid w:val="00450268"/>
    <w:rsid w:val="004549ED"/>
    <w:rsid w:val="00456FCA"/>
    <w:rsid w:val="00457534"/>
    <w:rsid w:val="004602E5"/>
    <w:rsid w:val="00460D2A"/>
    <w:rsid w:val="00462D3C"/>
    <w:rsid w:val="00477F87"/>
    <w:rsid w:val="00495135"/>
    <w:rsid w:val="0049714E"/>
    <w:rsid w:val="004972D1"/>
    <w:rsid w:val="004A1AFF"/>
    <w:rsid w:val="004A27C3"/>
    <w:rsid w:val="004A6291"/>
    <w:rsid w:val="004A70CC"/>
    <w:rsid w:val="004A7DDD"/>
    <w:rsid w:val="004C5EE8"/>
    <w:rsid w:val="004C6180"/>
    <w:rsid w:val="004D1E97"/>
    <w:rsid w:val="004E5EB5"/>
    <w:rsid w:val="004F4B73"/>
    <w:rsid w:val="004F63B2"/>
    <w:rsid w:val="005011D8"/>
    <w:rsid w:val="0050523F"/>
    <w:rsid w:val="00517B51"/>
    <w:rsid w:val="00521D1C"/>
    <w:rsid w:val="00530066"/>
    <w:rsid w:val="00533ED4"/>
    <w:rsid w:val="005356EB"/>
    <w:rsid w:val="00547550"/>
    <w:rsid w:val="00550DCC"/>
    <w:rsid w:val="00551FDA"/>
    <w:rsid w:val="00555489"/>
    <w:rsid w:val="00555E86"/>
    <w:rsid w:val="00562D23"/>
    <w:rsid w:val="0056516B"/>
    <w:rsid w:val="00566DA0"/>
    <w:rsid w:val="00577984"/>
    <w:rsid w:val="0058630B"/>
    <w:rsid w:val="00593FF1"/>
    <w:rsid w:val="00596A7E"/>
    <w:rsid w:val="005A10A2"/>
    <w:rsid w:val="005A2C0A"/>
    <w:rsid w:val="005B02AD"/>
    <w:rsid w:val="005B2AB5"/>
    <w:rsid w:val="005B3B24"/>
    <w:rsid w:val="005B7E2F"/>
    <w:rsid w:val="005C0367"/>
    <w:rsid w:val="005C0B69"/>
    <w:rsid w:val="005C5A85"/>
    <w:rsid w:val="005C5EB5"/>
    <w:rsid w:val="005D27B9"/>
    <w:rsid w:val="005D3649"/>
    <w:rsid w:val="005D6CE9"/>
    <w:rsid w:val="005F1270"/>
    <w:rsid w:val="005F25E2"/>
    <w:rsid w:val="005F3D42"/>
    <w:rsid w:val="005F51A3"/>
    <w:rsid w:val="006017D3"/>
    <w:rsid w:val="00605001"/>
    <w:rsid w:val="006123B8"/>
    <w:rsid w:val="00631E3D"/>
    <w:rsid w:val="00640379"/>
    <w:rsid w:val="006469FF"/>
    <w:rsid w:val="006516DE"/>
    <w:rsid w:val="00653DA1"/>
    <w:rsid w:val="00654351"/>
    <w:rsid w:val="00656793"/>
    <w:rsid w:val="00663B4F"/>
    <w:rsid w:val="0067740A"/>
    <w:rsid w:val="00681DA7"/>
    <w:rsid w:val="006829C2"/>
    <w:rsid w:val="00684666"/>
    <w:rsid w:val="00687E12"/>
    <w:rsid w:val="006924FF"/>
    <w:rsid w:val="00695C7D"/>
    <w:rsid w:val="006A3C0F"/>
    <w:rsid w:val="006A5C1A"/>
    <w:rsid w:val="006B2D7D"/>
    <w:rsid w:val="006B4B20"/>
    <w:rsid w:val="006B72D1"/>
    <w:rsid w:val="006B79F3"/>
    <w:rsid w:val="006D2241"/>
    <w:rsid w:val="006E20A4"/>
    <w:rsid w:val="006E4EBF"/>
    <w:rsid w:val="006F30D1"/>
    <w:rsid w:val="006F4CBD"/>
    <w:rsid w:val="006F50DE"/>
    <w:rsid w:val="006F5F83"/>
    <w:rsid w:val="00701438"/>
    <w:rsid w:val="00714C03"/>
    <w:rsid w:val="00716B8D"/>
    <w:rsid w:val="007205C5"/>
    <w:rsid w:val="00763184"/>
    <w:rsid w:val="00766910"/>
    <w:rsid w:val="007706FB"/>
    <w:rsid w:val="007762D0"/>
    <w:rsid w:val="007870FD"/>
    <w:rsid w:val="007911BC"/>
    <w:rsid w:val="007A4254"/>
    <w:rsid w:val="007A6D2B"/>
    <w:rsid w:val="007B4902"/>
    <w:rsid w:val="007C4077"/>
    <w:rsid w:val="007C6456"/>
    <w:rsid w:val="007D0C70"/>
    <w:rsid w:val="007D0DAD"/>
    <w:rsid w:val="007D3C93"/>
    <w:rsid w:val="007D42C0"/>
    <w:rsid w:val="007D6E1D"/>
    <w:rsid w:val="007E642F"/>
    <w:rsid w:val="007F4D5A"/>
    <w:rsid w:val="008012DC"/>
    <w:rsid w:val="00806624"/>
    <w:rsid w:val="00821820"/>
    <w:rsid w:val="008306D5"/>
    <w:rsid w:val="00831303"/>
    <w:rsid w:val="0083155C"/>
    <w:rsid w:val="008317D7"/>
    <w:rsid w:val="00836991"/>
    <w:rsid w:val="00837730"/>
    <w:rsid w:val="0084126A"/>
    <w:rsid w:val="0084191B"/>
    <w:rsid w:val="00842618"/>
    <w:rsid w:val="00842ED0"/>
    <w:rsid w:val="00845501"/>
    <w:rsid w:val="008507FE"/>
    <w:rsid w:val="00856712"/>
    <w:rsid w:val="00860C3F"/>
    <w:rsid w:val="008610B3"/>
    <w:rsid w:val="00863038"/>
    <w:rsid w:val="008702CA"/>
    <w:rsid w:val="00874250"/>
    <w:rsid w:val="008813B7"/>
    <w:rsid w:val="00886FDA"/>
    <w:rsid w:val="00893437"/>
    <w:rsid w:val="00895F09"/>
    <w:rsid w:val="008B0D71"/>
    <w:rsid w:val="008B1B11"/>
    <w:rsid w:val="008B37DB"/>
    <w:rsid w:val="008B5C28"/>
    <w:rsid w:val="008B7180"/>
    <w:rsid w:val="008B7607"/>
    <w:rsid w:val="008C2E64"/>
    <w:rsid w:val="008C761C"/>
    <w:rsid w:val="008C7982"/>
    <w:rsid w:val="008E45A9"/>
    <w:rsid w:val="008E7F5C"/>
    <w:rsid w:val="008F18E3"/>
    <w:rsid w:val="008F23D2"/>
    <w:rsid w:val="008F6064"/>
    <w:rsid w:val="008F6B9F"/>
    <w:rsid w:val="00914E49"/>
    <w:rsid w:val="00917AD0"/>
    <w:rsid w:val="009310E4"/>
    <w:rsid w:val="009321DA"/>
    <w:rsid w:val="009337CF"/>
    <w:rsid w:val="00937DBC"/>
    <w:rsid w:val="009406CB"/>
    <w:rsid w:val="00941FE8"/>
    <w:rsid w:val="00947733"/>
    <w:rsid w:val="00953FCC"/>
    <w:rsid w:val="00970F1A"/>
    <w:rsid w:val="00971131"/>
    <w:rsid w:val="00976A93"/>
    <w:rsid w:val="009939F4"/>
    <w:rsid w:val="009A2202"/>
    <w:rsid w:val="009A50F8"/>
    <w:rsid w:val="009B5D84"/>
    <w:rsid w:val="009C31F2"/>
    <w:rsid w:val="009C6549"/>
    <w:rsid w:val="009C6A8E"/>
    <w:rsid w:val="009D1684"/>
    <w:rsid w:val="009D70EB"/>
    <w:rsid w:val="009E45E7"/>
    <w:rsid w:val="009F232F"/>
    <w:rsid w:val="009F58D1"/>
    <w:rsid w:val="009F7D21"/>
    <w:rsid w:val="00A11F08"/>
    <w:rsid w:val="00A120F9"/>
    <w:rsid w:val="00A132BE"/>
    <w:rsid w:val="00A15C3D"/>
    <w:rsid w:val="00A218E5"/>
    <w:rsid w:val="00A35391"/>
    <w:rsid w:val="00A366B7"/>
    <w:rsid w:val="00A40AE3"/>
    <w:rsid w:val="00A4360E"/>
    <w:rsid w:val="00A44230"/>
    <w:rsid w:val="00A46653"/>
    <w:rsid w:val="00A50641"/>
    <w:rsid w:val="00A6357A"/>
    <w:rsid w:val="00A64EFD"/>
    <w:rsid w:val="00A6503E"/>
    <w:rsid w:val="00A66BBD"/>
    <w:rsid w:val="00A7119E"/>
    <w:rsid w:val="00A754A7"/>
    <w:rsid w:val="00A77272"/>
    <w:rsid w:val="00A77A95"/>
    <w:rsid w:val="00A80ACA"/>
    <w:rsid w:val="00A81C31"/>
    <w:rsid w:val="00A901B3"/>
    <w:rsid w:val="00A93F77"/>
    <w:rsid w:val="00AA21DD"/>
    <w:rsid w:val="00AA2A84"/>
    <w:rsid w:val="00AA3A67"/>
    <w:rsid w:val="00AA59F3"/>
    <w:rsid w:val="00AB7668"/>
    <w:rsid w:val="00AC217D"/>
    <w:rsid w:val="00AC3BE1"/>
    <w:rsid w:val="00AC3E11"/>
    <w:rsid w:val="00AD0877"/>
    <w:rsid w:val="00AE042B"/>
    <w:rsid w:val="00AE106A"/>
    <w:rsid w:val="00AE160D"/>
    <w:rsid w:val="00AE2FAA"/>
    <w:rsid w:val="00AE518A"/>
    <w:rsid w:val="00AF56C7"/>
    <w:rsid w:val="00AF693A"/>
    <w:rsid w:val="00AF73FC"/>
    <w:rsid w:val="00B02E38"/>
    <w:rsid w:val="00B03195"/>
    <w:rsid w:val="00B039A2"/>
    <w:rsid w:val="00B1110A"/>
    <w:rsid w:val="00B174D5"/>
    <w:rsid w:val="00B31B42"/>
    <w:rsid w:val="00B31C94"/>
    <w:rsid w:val="00B471CA"/>
    <w:rsid w:val="00B641C3"/>
    <w:rsid w:val="00B76F0A"/>
    <w:rsid w:val="00B82C44"/>
    <w:rsid w:val="00B90F1C"/>
    <w:rsid w:val="00B92FAC"/>
    <w:rsid w:val="00B93CD3"/>
    <w:rsid w:val="00B95FB8"/>
    <w:rsid w:val="00BA12B4"/>
    <w:rsid w:val="00BA6A12"/>
    <w:rsid w:val="00BB1F2F"/>
    <w:rsid w:val="00BB6051"/>
    <w:rsid w:val="00BB7843"/>
    <w:rsid w:val="00BC7009"/>
    <w:rsid w:val="00BC79F0"/>
    <w:rsid w:val="00BD3F96"/>
    <w:rsid w:val="00BD641C"/>
    <w:rsid w:val="00BE08D2"/>
    <w:rsid w:val="00BE240A"/>
    <w:rsid w:val="00BE6B3B"/>
    <w:rsid w:val="00BF4262"/>
    <w:rsid w:val="00BF4E3A"/>
    <w:rsid w:val="00C036E8"/>
    <w:rsid w:val="00C06BE2"/>
    <w:rsid w:val="00C14CED"/>
    <w:rsid w:val="00C155C6"/>
    <w:rsid w:val="00C226F1"/>
    <w:rsid w:val="00C277D8"/>
    <w:rsid w:val="00C32B59"/>
    <w:rsid w:val="00C3455D"/>
    <w:rsid w:val="00C36654"/>
    <w:rsid w:val="00C36B17"/>
    <w:rsid w:val="00C36EAD"/>
    <w:rsid w:val="00C45975"/>
    <w:rsid w:val="00C563F6"/>
    <w:rsid w:val="00C56DBA"/>
    <w:rsid w:val="00C57D88"/>
    <w:rsid w:val="00C61B9F"/>
    <w:rsid w:val="00C71279"/>
    <w:rsid w:val="00C71395"/>
    <w:rsid w:val="00C80C6F"/>
    <w:rsid w:val="00C85586"/>
    <w:rsid w:val="00C93926"/>
    <w:rsid w:val="00C94FFC"/>
    <w:rsid w:val="00CA0865"/>
    <w:rsid w:val="00CA0A3A"/>
    <w:rsid w:val="00CA1D33"/>
    <w:rsid w:val="00CA4007"/>
    <w:rsid w:val="00CB2135"/>
    <w:rsid w:val="00CB2CD9"/>
    <w:rsid w:val="00CB52AD"/>
    <w:rsid w:val="00CC0F19"/>
    <w:rsid w:val="00CC49C2"/>
    <w:rsid w:val="00CC50E3"/>
    <w:rsid w:val="00CD0632"/>
    <w:rsid w:val="00CD0803"/>
    <w:rsid w:val="00CD4B2A"/>
    <w:rsid w:val="00CD58F7"/>
    <w:rsid w:val="00CE2083"/>
    <w:rsid w:val="00CE63AF"/>
    <w:rsid w:val="00D15846"/>
    <w:rsid w:val="00D351C9"/>
    <w:rsid w:val="00D36080"/>
    <w:rsid w:val="00D36759"/>
    <w:rsid w:val="00D468C4"/>
    <w:rsid w:val="00D47139"/>
    <w:rsid w:val="00D4794A"/>
    <w:rsid w:val="00D47B52"/>
    <w:rsid w:val="00D6253C"/>
    <w:rsid w:val="00D65493"/>
    <w:rsid w:val="00D663BE"/>
    <w:rsid w:val="00D664FF"/>
    <w:rsid w:val="00D70C80"/>
    <w:rsid w:val="00D71CC6"/>
    <w:rsid w:val="00D771A8"/>
    <w:rsid w:val="00DA22C2"/>
    <w:rsid w:val="00DB1016"/>
    <w:rsid w:val="00DC2F6F"/>
    <w:rsid w:val="00DC37AE"/>
    <w:rsid w:val="00DD15E1"/>
    <w:rsid w:val="00DD4270"/>
    <w:rsid w:val="00DD4347"/>
    <w:rsid w:val="00DE2B2C"/>
    <w:rsid w:val="00DF0115"/>
    <w:rsid w:val="00DF10E8"/>
    <w:rsid w:val="00E03967"/>
    <w:rsid w:val="00E052CE"/>
    <w:rsid w:val="00E06808"/>
    <w:rsid w:val="00E1418A"/>
    <w:rsid w:val="00E2104A"/>
    <w:rsid w:val="00E257F5"/>
    <w:rsid w:val="00E3709C"/>
    <w:rsid w:val="00E37AEE"/>
    <w:rsid w:val="00E4151D"/>
    <w:rsid w:val="00E51638"/>
    <w:rsid w:val="00E5219A"/>
    <w:rsid w:val="00E53CFB"/>
    <w:rsid w:val="00E54A61"/>
    <w:rsid w:val="00E54BC9"/>
    <w:rsid w:val="00E55EC4"/>
    <w:rsid w:val="00E6002E"/>
    <w:rsid w:val="00E6215D"/>
    <w:rsid w:val="00E62374"/>
    <w:rsid w:val="00E64892"/>
    <w:rsid w:val="00E65C89"/>
    <w:rsid w:val="00E71DEE"/>
    <w:rsid w:val="00E8169E"/>
    <w:rsid w:val="00E87152"/>
    <w:rsid w:val="00E9234C"/>
    <w:rsid w:val="00EA2F72"/>
    <w:rsid w:val="00EA67D8"/>
    <w:rsid w:val="00EA7278"/>
    <w:rsid w:val="00EB0999"/>
    <w:rsid w:val="00EB2230"/>
    <w:rsid w:val="00EB544A"/>
    <w:rsid w:val="00EB5CFD"/>
    <w:rsid w:val="00EC52E9"/>
    <w:rsid w:val="00ED6ED4"/>
    <w:rsid w:val="00ED7FFA"/>
    <w:rsid w:val="00EE6BF3"/>
    <w:rsid w:val="00F01493"/>
    <w:rsid w:val="00F02D6A"/>
    <w:rsid w:val="00F04F68"/>
    <w:rsid w:val="00F20E86"/>
    <w:rsid w:val="00F217CC"/>
    <w:rsid w:val="00F229BA"/>
    <w:rsid w:val="00F269F7"/>
    <w:rsid w:val="00F46F09"/>
    <w:rsid w:val="00F54F38"/>
    <w:rsid w:val="00F61853"/>
    <w:rsid w:val="00F61E44"/>
    <w:rsid w:val="00F70844"/>
    <w:rsid w:val="00F939DE"/>
    <w:rsid w:val="00F95A1D"/>
    <w:rsid w:val="00FA2D7B"/>
    <w:rsid w:val="00FA41DB"/>
    <w:rsid w:val="00FB1DED"/>
    <w:rsid w:val="00FB2AEC"/>
    <w:rsid w:val="00FB4A7C"/>
    <w:rsid w:val="00FB4FC4"/>
    <w:rsid w:val="00FD4EBE"/>
    <w:rsid w:val="00FE3770"/>
    <w:rsid w:val="00FE5FD7"/>
    <w:rsid w:val="00FF200B"/>
    <w:rsid w:val="00FF56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79"/>
    <w:pPr>
      <w:suppressAutoHyphens/>
    </w:pPr>
    <w:rPr>
      <w:sz w:val="24"/>
      <w:szCs w:val="24"/>
      <w:lang w:val="tr-TR" w:eastAsia="ar-SA"/>
    </w:rPr>
  </w:style>
  <w:style w:type="paragraph" w:styleId="Heading1">
    <w:name w:val="heading 1"/>
    <w:basedOn w:val="Normal"/>
    <w:next w:val="Normal"/>
    <w:link w:val="Heading1Char"/>
    <w:uiPriority w:val="99"/>
    <w:qFormat/>
    <w:rsid w:val="00A132BE"/>
    <w:pPr>
      <w:keepNext/>
      <w:jc w:val="center"/>
      <w:outlineLvl w:val="0"/>
    </w:pPr>
    <w:rPr>
      <w:rFonts w:ascii="Arial" w:hAnsi="Arial"/>
      <w:b/>
      <w:iCs/>
      <w:sz w:val="18"/>
      <w:szCs w:val="18"/>
    </w:rPr>
  </w:style>
  <w:style w:type="paragraph" w:styleId="Heading2">
    <w:name w:val="heading 2"/>
    <w:basedOn w:val="Normal"/>
    <w:next w:val="Normal"/>
    <w:link w:val="Heading2Char"/>
    <w:uiPriority w:val="99"/>
    <w:qFormat/>
    <w:rsid w:val="00A132BE"/>
    <w:pPr>
      <w:keepNext/>
      <w:spacing w:before="240" w:after="60"/>
      <w:outlineLvl w:val="1"/>
    </w:pPr>
    <w:rPr>
      <w:rFonts w:ascii="Arial" w:hAnsi="Arial"/>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rFonts w:ascii="Arial"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132BE"/>
    <w:rPr>
      <w:rFonts w:ascii="Arial" w:hAnsi="Arial"/>
      <w:b/>
      <w:iCs/>
      <w:sz w:val="18"/>
      <w:szCs w:val="18"/>
      <w:lang w:val="tr-TR" w:eastAsia="ar-SA"/>
    </w:rPr>
  </w:style>
  <w:style w:type="character" w:customStyle="1" w:styleId="Heading2Char">
    <w:name w:val="Heading 2 Char"/>
    <w:link w:val="Heading2"/>
    <w:uiPriority w:val="99"/>
    <w:rsid w:val="00A132BE"/>
    <w:rPr>
      <w:rFonts w:ascii="Arial" w:hAnsi="Arial" w:cs="Arial"/>
      <w:b/>
      <w:bCs/>
      <w:i/>
      <w:iCs/>
      <w:sz w:val="28"/>
      <w:szCs w:val="28"/>
      <w:lang w:val="en-GB" w:eastAsia="ar-SA"/>
    </w:rPr>
  </w:style>
  <w:style w:type="character" w:customStyle="1" w:styleId="Heading3Char">
    <w:name w:val="Heading 3 Char"/>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qFormat/>
    <w:rsid w:val="00A132BE"/>
    <w:rPr>
      <w:b/>
      <w:bCs/>
    </w:rPr>
  </w:style>
  <w:style w:type="character" w:styleId="Emphasis">
    <w:name w:val="Emphasis"/>
    <w:uiPriority w:val="20"/>
    <w:qFormat/>
    <w:rsid w:val="00A132BE"/>
    <w:rPr>
      <w:i/>
      <w:iCs/>
    </w:rPr>
  </w:style>
  <w:style w:type="character" w:styleId="FootnoteReference">
    <w:name w:val="footnote reference"/>
    <w:semiHidden/>
    <w:rsid w:val="00640379"/>
    <w:rPr>
      <w:vertAlign w:val="superscript"/>
    </w:rPr>
  </w:style>
  <w:style w:type="paragraph" w:styleId="FootnoteText">
    <w:name w:val="footnote text"/>
    <w:basedOn w:val="Normal"/>
    <w:link w:val="FootnoteTextChar"/>
    <w:uiPriority w:val="99"/>
    <w:semiHidden/>
    <w:rsid w:val="00640379"/>
    <w:rPr>
      <w:sz w:val="20"/>
      <w:szCs w:val="20"/>
    </w:rPr>
  </w:style>
  <w:style w:type="character" w:customStyle="1" w:styleId="FootnoteTextChar">
    <w:name w:val="Footnote Text Char"/>
    <w:link w:val="FootnoteText"/>
    <w:uiPriority w:val="99"/>
    <w:semiHidden/>
    <w:rsid w:val="00640379"/>
    <w:rPr>
      <w:lang w:eastAsia="ar-SA"/>
    </w:rPr>
  </w:style>
  <w:style w:type="paragraph" w:styleId="Footer">
    <w:name w:val="footer"/>
    <w:basedOn w:val="Normal"/>
    <w:link w:val="FooterChar"/>
    <w:uiPriority w:val="99"/>
    <w:rsid w:val="00640379"/>
    <w:pPr>
      <w:tabs>
        <w:tab w:val="center" w:pos="4536"/>
        <w:tab w:val="right" w:pos="9072"/>
      </w:tabs>
    </w:pPr>
  </w:style>
  <w:style w:type="character" w:customStyle="1" w:styleId="FooterChar">
    <w:name w:val="Footer Char"/>
    <w:link w:val="Footer"/>
    <w:uiPriority w:val="99"/>
    <w:rsid w:val="00640379"/>
    <w:rPr>
      <w:sz w:val="24"/>
      <w:szCs w:val="24"/>
      <w:lang w:eastAsia="ar-SA"/>
    </w:rPr>
  </w:style>
  <w:style w:type="character" w:styleId="PageNumber">
    <w:name w:val="page number"/>
    <w:basedOn w:val="DefaultParagraphFont"/>
    <w:uiPriority w:val="99"/>
    <w:rsid w:val="00640379"/>
  </w:style>
  <w:style w:type="paragraph" w:styleId="BalloonText">
    <w:name w:val="Balloon Text"/>
    <w:basedOn w:val="Normal"/>
    <w:link w:val="BalloonTextChar"/>
    <w:uiPriority w:val="99"/>
    <w:semiHidden/>
    <w:unhideWhenUsed/>
    <w:rsid w:val="00EB0999"/>
    <w:rPr>
      <w:rFonts w:ascii="Tahoma" w:hAnsi="Tahoma"/>
      <w:sz w:val="16"/>
      <w:szCs w:val="16"/>
    </w:rPr>
  </w:style>
  <w:style w:type="character" w:customStyle="1" w:styleId="BalloonTextChar">
    <w:name w:val="Balloon Text Char"/>
    <w:link w:val="BalloonText"/>
    <w:uiPriority w:val="99"/>
    <w:semiHidden/>
    <w:rsid w:val="00EB0999"/>
    <w:rPr>
      <w:rFonts w:ascii="Tahoma" w:hAnsi="Tahoma" w:cs="Tahoma"/>
      <w:sz w:val="16"/>
      <w:szCs w:val="16"/>
      <w:lang w:eastAsia="ar-SA"/>
    </w:rPr>
  </w:style>
  <w:style w:type="table" w:styleId="TableGrid">
    <w:name w:val="Table Grid"/>
    <w:basedOn w:val="TableNormal"/>
    <w:uiPriority w:val="59"/>
    <w:rsid w:val="002A002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4191B"/>
    <w:rPr>
      <w:sz w:val="16"/>
      <w:szCs w:val="16"/>
    </w:rPr>
  </w:style>
  <w:style w:type="paragraph" w:styleId="CommentText">
    <w:name w:val="annotation text"/>
    <w:basedOn w:val="Normal"/>
    <w:link w:val="CommentTextChar"/>
    <w:uiPriority w:val="99"/>
    <w:semiHidden/>
    <w:unhideWhenUsed/>
    <w:rsid w:val="0084191B"/>
    <w:rPr>
      <w:sz w:val="20"/>
      <w:szCs w:val="20"/>
    </w:rPr>
  </w:style>
  <w:style w:type="character" w:customStyle="1" w:styleId="CommentTextChar">
    <w:name w:val="Comment Text Char"/>
    <w:link w:val="CommentText"/>
    <w:uiPriority w:val="99"/>
    <w:semiHidden/>
    <w:rsid w:val="0084191B"/>
    <w:rPr>
      <w:lang w:eastAsia="ar-SA"/>
    </w:rPr>
  </w:style>
  <w:style w:type="paragraph" w:styleId="CommentSubject">
    <w:name w:val="annotation subject"/>
    <w:basedOn w:val="CommentText"/>
    <w:next w:val="CommentText"/>
    <w:link w:val="CommentSubjectChar"/>
    <w:uiPriority w:val="99"/>
    <w:semiHidden/>
    <w:unhideWhenUsed/>
    <w:rsid w:val="0084191B"/>
    <w:rPr>
      <w:b/>
      <w:bCs/>
    </w:rPr>
  </w:style>
  <w:style w:type="character" w:customStyle="1" w:styleId="CommentSubjectChar">
    <w:name w:val="Comment Subject Char"/>
    <w:link w:val="CommentSubject"/>
    <w:uiPriority w:val="99"/>
    <w:semiHidden/>
    <w:rsid w:val="0084191B"/>
    <w:rPr>
      <w:b/>
      <w:bCs/>
      <w:lang w:eastAsia="ar-SA"/>
    </w:rPr>
  </w:style>
  <w:style w:type="paragraph" w:styleId="Header">
    <w:name w:val="header"/>
    <w:basedOn w:val="Normal"/>
    <w:link w:val="HeaderChar"/>
    <w:uiPriority w:val="99"/>
    <w:unhideWhenUsed/>
    <w:rsid w:val="005011D8"/>
    <w:pPr>
      <w:tabs>
        <w:tab w:val="center" w:pos="4536"/>
        <w:tab w:val="right" w:pos="9072"/>
      </w:tabs>
    </w:pPr>
  </w:style>
  <w:style w:type="character" w:customStyle="1" w:styleId="HeaderChar">
    <w:name w:val="Header Char"/>
    <w:link w:val="Header"/>
    <w:uiPriority w:val="99"/>
    <w:rsid w:val="005011D8"/>
    <w:rPr>
      <w:sz w:val="24"/>
      <w:szCs w:val="24"/>
      <w:lang w:eastAsia="ar-SA"/>
    </w:rPr>
  </w:style>
  <w:style w:type="paragraph" w:styleId="EndnoteText">
    <w:name w:val="endnote text"/>
    <w:basedOn w:val="Normal"/>
    <w:link w:val="EndnoteTextChar"/>
    <w:uiPriority w:val="99"/>
    <w:semiHidden/>
    <w:unhideWhenUsed/>
    <w:rsid w:val="00222F0B"/>
    <w:rPr>
      <w:sz w:val="20"/>
      <w:szCs w:val="20"/>
    </w:rPr>
  </w:style>
  <w:style w:type="character" w:customStyle="1" w:styleId="EndnoteTextChar">
    <w:name w:val="Endnote Text Char"/>
    <w:basedOn w:val="DefaultParagraphFont"/>
    <w:link w:val="EndnoteText"/>
    <w:uiPriority w:val="99"/>
    <w:semiHidden/>
    <w:rsid w:val="00222F0B"/>
    <w:rPr>
      <w:lang w:val="tr-TR" w:eastAsia="ar-SA"/>
    </w:rPr>
  </w:style>
  <w:style w:type="character" w:styleId="EndnoteReference">
    <w:name w:val="endnote reference"/>
    <w:basedOn w:val="DefaultParagraphFont"/>
    <w:uiPriority w:val="99"/>
    <w:semiHidden/>
    <w:unhideWhenUsed/>
    <w:rsid w:val="00222F0B"/>
    <w:rPr>
      <w:vertAlign w:val="superscript"/>
    </w:rPr>
  </w:style>
  <w:style w:type="paragraph" w:styleId="ListParagraph">
    <w:name w:val="List Paragraph"/>
    <w:basedOn w:val="Normal"/>
    <w:uiPriority w:val="34"/>
    <w:qFormat/>
    <w:rsid w:val="001A6364"/>
    <w:pPr>
      <w:ind w:left="720"/>
      <w:contextualSpacing/>
    </w:pPr>
  </w:style>
  <w:style w:type="character" w:styleId="Hyperlink">
    <w:name w:val="Hyperlink"/>
    <w:basedOn w:val="DefaultParagraphFont"/>
    <w:uiPriority w:val="99"/>
    <w:unhideWhenUsed/>
    <w:rsid w:val="001A6364"/>
    <w:rPr>
      <w:color w:val="0000FF" w:themeColor="hyperlink"/>
      <w:u w:val="single"/>
    </w:rPr>
  </w:style>
  <w:style w:type="paragraph" w:styleId="NormalWeb">
    <w:name w:val="Normal (Web)"/>
    <w:basedOn w:val="Normal"/>
    <w:uiPriority w:val="99"/>
    <w:semiHidden/>
    <w:unhideWhenUsed/>
    <w:rsid w:val="00562D23"/>
    <w:pPr>
      <w:suppressAutoHyphens w:val="0"/>
      <w:spacing w:before="100" w:beforeAutospacing="1" w:after="100" w:afterAutospacing="1"/>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79"/>
    <w:pPr>
      <w:suppressAutoHyphens/>
    </w:pPr>
    <w:rPr>
      <w:sz w:val="24"/>
      <w:szCs w:val="24"/>
      <w:lang w:val="tr-TR" w:eastAsia="ar-SA"/>
    </w:rPr>
  </w:style>
  <w:style w:type="paragraph" w:styleId="Heading1">
    <w:name w:val="heading 1"/>
    <w:basedOn w:val="Normal"/>
    <w:next w:val="Normal"/>
    <w:link w:val="Heading1Char"/>
    <w:uiPriority w:val="99"/>
    <w:qFormat/>
    <w:rsid w:val="00A132BE"/>
    <w:pPr>
      <w:keepNext/>
      <w:jc w:val="center"/>
      <w:outlineLvl w:val="0"/>
    </w:pPr>
    <w:rPr>
      <w:rFonts w:ascii="Arial" w:hAnsi="Arial"/>
      <w:b/>
      <w:iCs/>
      <w:sz w:val="18"/>
      <w:szCs w:val="18"/>
    </w:rPr>
  </w:style>
  <w:style w:type="paragraph" w:styleId="Heading2">
    <w:name w:val="heading 2"/>
    <w:basedOn w:val="Normal"/>
    <w:next w:val="Normal"/>
    <w:link w:val="Heading2Char"/>
    <w:uiPriority w:val="99"/>
    <w:qFormat/>
    <w:rsid w:val="00A132BE"/>
    <w:pPr>
      <w:keepNext/>
      <w:spacing w:before="240" w:after="60"/>
      <w:outlineLvl w:val="1"/>
    </w:pPr>
    <w:rPr>
      <w:rFonts w:ascii="Arial" w:hAnsi="Arial"/>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rFonts w:ascii="Arial"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132BE"/>
    <w:rPr>
      <w:rFonts w:ascii="Arial" w:hAnsi="Arial"/>
      <w:b/>
      <w:iCs/>
      <w:sz w:val="18"/>
      <w:szCs w:val="18"/>
      <w:lang w:val="tr-TR" w:eastAsia="ar-SA"/>
    </w:rPr>
  </w:style>
  <w:style w:type="character" w:customStyle="1" w:styleId="Heading2Char">
    <w:name w:val="Heading 2 Char"/>
    <w:link w:val="Heading2"/>
    <w:uiPriority w:val="99"/>
    <w:rsid w:val="00A132BE"/>
    <w:rPr>
      <w:rFonts w:ascii="Arial" w:hAnsi="Arial" w:cs="Arial"/>
      <w:b/>
      <w:bCs/>
      <w:i/>
      <w:iCs/>
      <w:sz w:val="28"/>
      <w:szCs w:val="28"/>
      <w:lang w:val="en-GB" w:eastAsia="ar-SA"/>
    </w:rPr>
  </w:style>
  <w:style w:type="character" w:customStyle="1" w:styleId="Heading3Char">
    <w:name w:val="Heading 3 Char"/>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qFormat/>
    <w:rsid w:val="00A132BE"/>
    <w:rPr>
      <w:b/>
      <w:bCs/>
    </w:rPr>
  </w:style>
  <w:style w:type="character" w:styleId="Emphasis">
    <w:name w:val="Emphasis"/>
    <w:uiPriority w:val="20"/>
    <w:qFormat/>
    <w:rsid w:val="00A132BE"/>
    <w:rPr>
      <w:i/>
      <w:iCs/>
    </w:rPr>
  </w:style>
  <w:style w:type="character" w:styleId="FootnoteReference">
    <w:name w:val="footnote reference"/>
    <w:semiHidden/>
    <w:rsid w:val="00640379"/>
    <w:rPr>
      <w:vertAlign w:val="superscript"/>
    </w:rPr>
  </w:style>
  <w:style w:type="paragraph" w:styleId="FootnoteText">
    <w:name w:val="footnote text"/>
    <w:basedOn w:val="Normal"/>
    <w:link w:val="FootnoteTextChar"/>
    <w:uiPriority w:val="99"/>
    <w:semiHidden/>
    <w:rsid w:val="00640379"/>
    <w:rPr>
      <w:sz w:val="20"/>
      <w:szCs w:val="20"/>
    </w:rPr>
  </w:style>
  <w:style w:type="character" w:customStyle="1" w:styleId="FootnoteTextChar">
    <w:name w:val="Footnote Text Char"/>
    <w:link w:val="FootnoteText"/>
    <w:uiPriority w:val="99"/>
    <w:semiHidden/>
    <w:rsid w:val="00640379"/>
    <w:rPr>
      <w:lang w:eastAsia="ar-SA"/>
    </w:rPr>
  </w:style>
  <w:style w:type="paragraph" w:styleId="Footer">
    <w:name w:val="footer"/>
    <w:basedOn w:val="Normal"/>
    <w:link w:val="FooterChar"/>
    <w:uiPriority w:val="99"/>
    <w:rsid w:val="00640379"/>
    <w:pPr>
      <w:tabs>
        <w:tab w:val="center" w:pos="4536"/>
        <w:tab w:val="right" w:pos="9072"/>
      </w:tabs>
    </w:pPr>
  </w:style>
  <w:style w:type="character" w:customStyle="1" w:styleId="FooterChar">
    <w:name w:val="Footer Char"/>
    <w:link w:val="Footer"/>
    <w:uiPriority w:val="99"/>
    <w:rsid w:val="00640379"/>
    <w:rPr>
      <w:sz w:val="24"/>
      <w:szCs w:val="24"/>
      <w:lang w:eastAsia="ar-SA"/>
    </w:rPr>
  </w:style>
  <w:style w:type="character" w:styleId="PageNumber">
    <w:name w:val="page number"/>
    <w:basedOn w:val="DefaultParagraphFont"/>
    <w:uiPriority w:val="99"/>
    <w:rsid w:val="00640379"/>
  </w:style>
  <w:style w:type="paragraph" w:styleId="BalloonText">
    <w:name w:val="Balloon Text"/>
    <w:basedOn w:val="Normal"/>
    <w:link w:val="BalloonTextChar"/>
    <w:uiPriority w:val="99"/>
    <w:semiHidden/>
    <w:unhideWhenUsed/>
    <w:rsid w:val="00EB0999"/>
    <w:rPr>
      <w:rFonts w:ascii="Tahoma" w:hAnsi="Tahoma"/>
      <w:sz w:val="16"/>
      <w:szCs w:val="16"/>
    </w:rPr>
  </w:style>
  <w:style w:type="character" w:customStyle="1" w:styleId="BalloonTextChar">
    <w:name w:val="Balloon Text Char"/>
    <w:link w:val="BalloonText"/>
    <w:uiPriority w:val="99"/>
    <w:semiHidden/>
    <w:rsid w:val="00EB0999"/>
    <w:rPr>
      <w:rFonts w:ascii="Tahoma" w:hAnsi="Tahoma" w:cs="Tahoma"/>
      <w:sz w:val="16"/>
      <w:szCs w:val="16"/>
      <w:lang w:eastAsia="ar-SA"/>
    </w:rPr>
  </w:style>
  <w:style w:type="table" w:styleId="TableGrid">
    <w:name w:val="Table Grid"/>
    <w:basedOn w:val="TableNormal"/>
    <w:uiPriority w:val="59"/>
    <w:rsid w:val="002A002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4191B"/>
    <w:rPr>
      <w:sz w:val="16"/>
      <w:szCs w:val="16"/>
    </w:rPr>
  </w:style>
  <w:style w:type="paragraph" w:styleId="CommentText">
    <w:name w:val="annotation text"/>
    <w:basedOn w:val="Normal"/>
    <w:link w:val="CommentTextChar"/>
    <w:uiPriority w:val="99"/>
    <w:semiHidden/>
    <w:unhideWhenUsed/>
    <w:rsid w:val="0084191B"/>
    <w:rPr>
      <w:sz w:val="20"/>
      <w:szCs w:val="20"/>
    </w:rPr>
  </w:style>
  <w:style w:type="character" w:customStyle="1" w:styleId="CommentTextChar">
    <w:name w:val="Comment Text Char"/>
    <w:link w:val="CommentText"/>
    <w:uiPriority w:val="99"/>
    <w:semiHidden/>
    <w:rsid w:val="0084191B"/>
    <w:rPr>
      <w:lang w:eastAsia="ar-SA"/>
    </w:rPr>
  </w:style>
  <w:style w:type="paragraph" w:styleId="CommentSubject">
    <w:name w:val="annotation subject"/>
    <w:basedOn w:val="CommentText"/>
    <w:next w:val="CommentText"/>
    <w:link w:val="CommentSubjectChar"/>
    <w:uiPriority w:val="99"/>
    <w:semiHidden/>
    <w:unhideWhenUsed/>
    <w:rsid w:val="0084191B"/>
    <w:rPr>
      <w:b/>
      <w:bCs/>
    </w:rPr>
  </w:style>
  <w:style w:type="character" w:customStyle="1" w:styleId="CommentSubjectChar">
    <w:name w:val="Comment Subject Char"/>
    <w:link w:val="CommentSubject"/>
    <w:uiPriority w:val="99"/>
    <w:semiHidden/>
    <w:rsid w:val="0084191B"/>
    <w:rPr>
      <w:b/>
      <w:bCs/>
      <w:lang w:eastAsia="ar-SA"/>
    </w:rPr>
  </w:style>
  <w:style w:type="paragraph" w:styleId="Header">
    <w:name w:val="header"/>
    <w:basedOn w:val="Normal"/>
    <w:link w:val="HeaderChar"/>
    <w:uiPriority w:val="99"/>
    <w:unhideWhenUsed/>
    <w:rsid w:val="005011D8"/>
    <w:pPr>
      <w:tabs>
        <w:tab w:val="center" w:pos="4536"/>
        <w:tab w:val="right" w:pos="9072"/>
      </w:tabs>
    </w:pPr>
  </w:style>
  <w:style w:type="character" w:customStyle="1" w:styleId="HeaderChar">
    <w:name w:val="Header Char"/>
    <w:link w:val="Header"/>
    <w:uiPriority w:val="99"/>
    <w:rsid w:val="005011D8"/>
    <w:rPr>
      <w:sz w:val="24"/>
      <w:szCs w:val="24"/>
      <w:lang w:eastAsia="ar-SA"/>
    </w:rPr>
  </w:style>
  <w:style w:type="paragraph" w:styleId="EndnoteText">
    <w:name w:val="endnote text"/>
    <w:basedOn w:val="Normal"/>
    <w:link w:val="EndnoteTextChar"/>
    <w:uiPriority w:val="99"/>
    <w:semiHidden/>
    <w:unhideWhenUsed/>
    <w:rsid w:val="00222F0B"/>
    <w:rPr>
      <w:sz w:val="20"/>
      <w:szCs w:val="20"/>
    </w:rPr>
  </w:style>
  <w:style w:type="character" w:customStyle="1" w:styleId="EndnoteTextChar">
    <w:name w:val="Endnote Text Char"/>
    <w:basedOn w:val="DefaultParagraphFont"/>
    <w:link w:val="EndnoteText"/>
    <w:uiPriority w:val="99"/>
    <w:semiHidden/>
    <w:rsid w:val="00222F0B"/>
    <w:rPr>
      <w:lang w:val="tr-TR" w:eastAsia="ar-SA"/>
    </w:rPr>
  </w:style>
  <w:style w:type="character" w:styleId="EndnoteReference">
    <w:name w:val="endnote reference"/>
    <w:basedOn w:val="DefaultParagraphFont"/>
    <w:uiPriority w:val="99"/>
    <w:semiHidden/>
    <w:unhideWhenUsed/>
    <w:rsid w:val="00222F0B"/>
    <w:rPr>
      <w:vertAlign w:val="superscript"/>
    </w:rPr>
  </w:style>
  <w:style w:type="paragraph" w:styleId="ListParagraph">
    <w:name w:val="List Paragraph"/>
    <w:basedOn w:val="Normal"/>
    <w:uiPriority w:val="34"/>
    <w:qFormat/>
    <w:rsid w:val="001A6364"/>
    <w:pPr>
      <w:ind w:left="720"/>
      <w:contextualSpacing/>
    </w:pPr>
  </w:style>
  <w:style w:type="character" w:styleId="Hyperlink">
    <w:name w:val="Hyperlink"/>
    <w:basedOn w:val="DefaultParagraphFont"/>
    <w:uiPriority w:val="99"/>
    <w:unhideWhenUsed/>
    <w:rsid w:val="001A6364"/>
    <w:rPr>
      <w:color w:val="0000FF" w:themeColor="hyperlink"/>
      <w:u w:val="single"/>
    </w:rPr>
  </w:style>
  <w:style w:type="paragraph" w:styleId="NormalWeb">
    <w:name w:val="Normal (Web)"/>
    <w:basedOn w:val="Normal"/>
    <w:uiPriority w:val="99"/>
    <w:semiHidden/>
    <w:unhideWhenUsed/>
    <w:rsid w:val="00562D23"/>
    <w:pPr>
      <w:suppressAutoHyphens w:val="0"/>
      <w:spacing w:before="100" w:beforeAutospacing="1" w:after="100" w:afterAutospacing="1"/>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2934">
      <w:bodyDiv w:val="1"/>
      <w:marLeft w:val="0"/>
      <w:marRight w:val="0"/>
      <w:marTop w:val="0"/>
      <w:marBottom w:val="0"/>
      <w:divBdr>
        <w:top w:val="none" w:sz="0" w:space="0" w:color="auto"/>
        <w:left w:val="none" w:sz="0" w:space="0" w:color="auto"/>
        <w:bottom w:val="none" w:sz="0" w:space="0" w:color="auto"/>
        <w:right w:val="none" w:sz="0" w:space="0" w:color="auto"/>
      </w:divBdr>
    </w:div>
    <w:div w:id="386682911">
      <w:bodyDiv w:val="1"/>
      <w:marLeft w:val="0"/>
      <w:marRight w:val="0"/>
      <w:marTop w:val="0"/>
      <w:marBottom w:val="0"/>
      <w:divBdr>
        <w:top w:val="none" w:sz="0" w:space="0" w:color="auto"/>
        <w:left w:val="none" w:sz="0" w:space="0" w:color="auto"/>
        <w:bottom w:val="none" w:sz="0" w:space="0" w:color="auto"/>
        <w:right w:val="none" w:sz="0" w:space="0" w:color="auto"/>
      </w:divBdr>
    </w:div>
    <w:div w:id="686249772">
      <w:bodyDiv w:val="1"/>
      <w:marLeft w:val="0"/>
      <w:marRight w:val="0"/>
      <w:marTop w:val="0"/>
      <w:marBottom w:val="0"/>
      <w:divBdr>
        <w:top w:val="none" w:sz="0" w:space="0" w:color="auto"/>
        <w:left w:val="none" w:sz="0" w:space="0" w:color="auto"/>
        <w:bottom w:val="none" w:sz="0" w:space="0" w:color="auto"/>
        <w:right w:val="none" w:sz="0" w:space="0" w:color="auto"/>
      </w:divBdr>
    </w:div>
    <w:div w:id="782459435">
      <w:bodyDiv w:val="1"/>
      <w:marLeft w:val="0"/>
      <w:marRight w:val="0"/>
      <w:marTop w:val="0"/>
      <w:marBottom w:val="0"/>
      <w:divBdr>
        <w:top w:val="none" w:sz="0" w:space="0" w:color="auto"/>
        <w:left w:val="none" w:sz="0" w:space="0" w:color="auto"/>
        <w:bottom w:val="none" w:sz="0" w:space="0" w:color="auto"/>
        <w:right w:val="none" w:sz="0" w:space="0" w:color="auto"/>
      </w:divBdr>
    </w:div>
    <w:div w:id="888146431">
      <w:bodyDiv w:val="1"/>
      <w:marLeft w:val="0"/>
      <w:marRight w:val="0"/>
      <w:marTop w:val="0"/>
      <w:marBottom w:val="0"/>
      <w:divBdr>
        <w:top w:val="none" w:sz="0" w:space="0" w:color="auto"/>
        <w:left w:val="none" w:sz="0" w:space="0" w:color="auto"/>
        <w:bottom w:val="none" w:sz="0" w:space="0" w:color="auto"/>
        <w:right w:val="none" w:sz="0" w:space="0" w:color="auto"/>
      </w:divBdr>
    </w:div>
    <w:div w:id="929236498">
      <w:bodyDiv w:val="1"/>
      <w:marLeft w:val="0"/>
      <w:marRight w:val="0"/>
      <w:marTop w:val="0"/>
      <w:marBottom w:val="0"/>
      <w:divBdr>
        <w:top w:val="none" w:sz="0" w:space="0" w:color="auto"/>
        <w:left w:val="none" w:sz="0" w:space="0" w:color="auto"/>
        <w:bottom w:val="none" w:sz="0" w:space="0" w:color="auto"/>
        <w:right w:val="none" w:sz="0" w:space="0" w:color="auto"/>
      </w:divBdr>
    </w:div>
    <w:div w:id="1115366550">
      <w:bodyDiv w:val="1"/>
      <w:marLeft w:val="0"/>
      <w:marRight w:val="0"/>
      <w:marTop w:val="0"/>
      <w:marBottom w:val="0"/>
      <w:divBdr>
        <w:top w:val="none" w:sz="0" w:space="0" w:color="auto"/>
        <w:left w:val="none" w:sz="0" w:space="0" w:color="auto"/>
        <w:bottom w:val="none" w:sz="0" w:space="0" w:color="auto"/>
        <w:right w:val="none" w:sz="0" w:space="0" w:color="auto"/>
      </w:divBdr>
    </w:div>
    <w:div w:id="1121339265">
      <w:bodyDiv w:val="1"/>
      <w:marLeft w:val="0"/>
      <w:marRight w:val="0"/>
      <w:marTop w:val="0"/>
      <w:marBottom w:val="0"/>
      <w:divBdr>
        <w:top w:val="none" w:sz="0" w:space="0" w:color="auto"/>
        <w:left w:val="none" w:sz="0" w:space="0" w:color="auto"/>
        <w:bottom w:val="none" w:sz="0" w:space="0" w:color="auto"/>
        <w:right w:val="none" w:sz="0" w:space="0" w:color="auto"/>
      </w:divBdr>
    </w:div>
    <w:div w:id="1121727680">
      <w:bodyDiv w:val="1"/>
      <w:marLeft w:val="0"/>
      <w:marRight w:val="0"/>
      <w:marTop w:val="0"/>
      <w:marBottom w:val="0"/>
      <w:divBdr>
        <w:top w:val="none" w:sz="0" w:space="0" w:color="auto"/>
        <w:left w:val="none" w:sz="0" w:space="0" w:color="auto"/>
        <w:bottom w:val="none" w:sz="0" w:space="0" w:color="auto"/>
        <w:right w:val="none" w:sz="0" w:space="0" w:color="auto"/>
      </w:divBdr>
    </w:div>
    <w:div w:id="1156727256">
      <w:bodyDiv w:val="1"/>
      <w:marLeft w:val="0"/>
      <w:marRight w:val="0"/>
      <w:marTop w:val="0"/>
      <w:marBottom w:val="0"/>
      <w:divBdr>
        <w:top w:val="none" w:sz="0" w:space="0" w:color="auto"/>
        <w:left w:val="none" w:sz="0" w:space="0" w:color="auto"/>
        <w:bottom w:val="none" w:sz="0" w:space="0" w:color="auto"/>
        <w:right w:val="none" w:sz="0" w:space="0" w:color="auto"/>
      </w:divBdr>
    </w:div>
    <w:div w:id="1282616707">
      <w:bodyDiv w:val="1"/>
      <w:marLeft w:val="0"/>
      <w:marRight w:val="0"/>
      <w:marTop w:val="0"/>
      <w:marBottom w:val="0"/>
      <w:divBdr>
        <w:top w:val="none" w:sz="0" w:space="0" w:color="auto"/>
        <w:left w:val="none" w:sz="0" w:space="0" w:color="auto"/>
        <w:bottom w:val="none" w:sz="0" w:space="0" w:color="auto"/>
        <w:right w:val="none" w:sz="0" w:space="0" w:color="auto"/>
      </w:divBdr>
    </w:div>
    <w:div w:id="1591740748">
      <w:bodyDiv w:val="1"/>
      <w:marLeft w:val="0"/>
      <w:marRight w:val="0"/>
      <w:marTop w:val="0"/>
      <w:marBottom w:val="0"/>
      <w:divBdr>
        <w:top w:val="none" w:sz="0" w:space="0" w:color="auto"/>
        <w:left w:val="none" w:sz="0" w:space="0" w:color="auto"/>
        <w:bottom w:val="none" w:sz="0" w:space="0" w:color="auto"/>
        <w:right w:val="none" w:sz="0" w:space="0" w:color="auto"/>
      </w:divBdr>
    </w:div>
    <w:div w:id="1723629337">
      <w:bodyDiv w:val="1"/>
      <w:marLeft w:val="0"/>
      <w:marRight w:val="0"/>
      <w:marTop w:val="0"/>
      <w:marBottom w:val="0"/>
      <w:divBdr>
        <w:top w:val="none" w:sz="0" w:space="0" w:color="auto"/>
        <w:left w:val="none" w:sz="0" w:space="0" w:color="auto"/>
        <w:bottom w:val="none" w:sz="0" w:space="0" w:color="auto"/>
        <w:right w:val="none" w:sz="0" w:space="0" w:color="auto"/>
      </w:divBdr>
    </w:div>
    <w:div w:id="18361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lin.koksal\Desktop\Ara&#351;t&#305;rma%20Notlar&#305;\Orta%20Gelir%20Tuza&#287;&#305;\Growth%20Decomposition-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lin.koksal\Desktop\Ara&#351;t&#305;rma%20Notlar&#305;\Orta%20Gelir%20Tuza&#287;&#305;\Growth%20Decomposition-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075302860966267E-2"/>
          <c:y val="1.8834937299504233E-2"/>
          <c:w val="0.92211863896988855"/>
          <c:h val="0.77200228443666752"/>
        </c:manualLayout>
      </c:layout>
      <c:lineChart>
        <c:grouping val="standard"/>
        <c:varyColors val="0"/>
        <c:ser>
          <c:idx val="0"/>
          <c:order val="0"/>
          <c:tx>
            <c:v>Ortalama Emek Verimliliği</c:v>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'Decomposition (2005-2012) Annua'!$A$33:$A$75</c:f>
              <c:strCache>
                <c:ptCount val="43"/>
                <c:pt idx="0">
                  <c:v>2005(4)</c:v>
                </c:pt>
                <c:pt idx="1">
                  <c:v>2006(1)</c:v>
                </c:pt>
                <c:pt idx="2">
                  <c:v>2006(2)</c:v>
                </c:pt>
                <c:pt idx="3">
                  <c:v>2006(3)</c:v>
                </c:pt>
                <c:pt idx="4">
                  <c:v>2006(4)</c:v>
                </c:pt>
                <c:pt idx="5">
                  <c:v>2007(1)</c:v>
                </c:pt>
                <c:pt idx="6">
                  <c:v>2007(2)</c:v>
                </c:pt>
                <c:pt idx="7">
                  <c:v>2007(3)</c:v>
                </c:pt>
                <c:pt idx="8">
                  <c:v>2007(4)</c:v>
                </c:pt>
                <c:pt idx="9">
                  <c:v>2008(1)</c:v>
                </c:pt>
                <c:pt idx="10">
                  <c:v>2008(2)</c:v>
                </c:pt>
                <c:pt idx="11">
                  <c:v>2008(3)</c:v>
                </c:pt>
                <c:pt idx="12">
                  <c:v>2008(4)</c:v>
                </c:pt>
                <c:pt idx="13">
                  <c:v>2009(1)</c:v>
                </c:pt>
                <c:pt idx="14">
                  <c:v>2009(2)</c:v>
                </c:pt>
                <c:pt idx="15">
                  <c:v>2009(3)</c:v>
                </c:pt>
                <c:pt idx="16">
                  <c:v>2009(4)</c:v>
                </c:pt>
                <c:pt idx="17">
                  <c:v>2010(1)</c:v>
                </c:pt>
                <c:pt idx="18">
                  <c:v>2010(2)</c:v>
                </c:pt>
                <c:pt idx="19">
                  <c:v>2010(3)</c:v>
                </c:pt>
                <c:pt idx="20">
                  <c:v>2010(4)</c:v>
                </c:pt>
                <c:pt idx="21">
                  <c:v>2011(1)</c:v>
                </c:pt>
                <c:pt idx="22">
                  <c:v>2011(2)</c:v>
                </c:pt>
                <c:pt idx="23">
                  <c:v>2011(3)</c:v>
                </c:pt>
                <c:pt idx="24">
                  <c:v>2011(4)</c:v>
                </c:pt>
                <c:pt idx="25">
                  <c:v>2012(1)</c:v>
                </c:pt>
                <c:pt idx="26">
                  <c:v>2012(2)</c:v>
                </c:pt>
                <c:pt idx="27">
                  <c:v>2012(3)</c:v>
                </c:pt>
                <c:pt idx="28">
                  <c:v>2012(4)</c:v>
                </c:pt>
                <c:pt idx="29">
                  <c:v>2013(1)</c:v>
                </c:pt>
                <c:pt idx="30">
                  <c:v>2013(2)</c:v>
                </c:pt>
                <c:pt idx="31">
                  <c:v>2013(3)</c:v>
                </c:pt>
                <c:pt idx="32">
                  <c:v>2013(4)</c:v>
                </c:pt>
                <c:pt idx="33">
                  <c:v>2014(1)</c:v>
                </c:pt>
                <c:pt idx="34">
                  <c:v>2014(2)</c:v>
                </c:pt>
                <c:pt idx="35">
                  <c:v>2014(3)</c:v>
                </c:pt>
                <c:pt idx="36">
                  <c:v>2014(4)</c:v>
                </c:pt>
                <c:pt idx="37">
                  <c:v>2015(1)</c:v>
                </c:pt>
                <c:pt idx="38">
                  <c:v>2015(2)</c:v>
                </c:pt>
                <c:pt idx="39">
                  <c:v>2015(3)</c:v>
                </c:pt>
                <c:pt idx="40">
                  <c:v>2015(4)</c:v>
                </c:pt>
                <c:pt idx="41">
                  <c:v>2016(1)</c:v>
                </c:pt>
                <c:pt idx="42">
                  <c:v>2016(2)</c:v>
                </c:pt>
              </c:strCache>
            </c:strRef>
          </c:cat>
          <c:val>
            <c:numRef>
              <c:f>'Decomposition (2005-2012) Annua'!$S$33:$S$75</c:f>
              <c:numCache>
                <c:formatCode>0.00</c:formatCode>
                <c:ptCount val="43"/>
                <c:pt idx="0">
                  <c:v>100</c:v>
                </c:pt>
                <c:pt idx="1">
                  <c:v>101.36103432406209</c:v>
                </c:pt>
                <c:pt idx="2">
                  <c:v>103.39124933537371</c:v>
                </c:pt>
                <c:pt idx="3">
                  <c:v>104.53962890658921</c:v>
                </c:pt>
                <c:pt idx="4">
                  <c:v>105.14454246864651</c:v>
                </c:pt>
                <c:pt idx="5">
                  <c:v>105.85800981328728</c:v>
                </c:pt>
                <c:pt idx="6">
                  <c:v>106.1645912411031</c:v>
                </c:pt>
                <c:pt idx="7">
                  <c:v>107.04150828088797</c:v>
                </c:pt>
                <c:pt idx="8">
                  <c:v>108.61391933154887</c:v>
                </c:pt>
                <c:pt idx="9">
                  <c:v>109.76706095987947</c:v>
                </c:pt>
                <c:pt idx="10">
                  <c:v>109.88727154876115</c:v>
                </c:pt>
                <c:pt idx="11">
                  <c:v>109.59905157834943</c:v>
                </c:pt>
                <c:pt idx="12">
                  <c:v>107.2460822888257</c:v>
                </c:pt>
                <c:pt idx="13">
                  <c:v>103.80401697675062</c:v>
                </c:pt>
                <c:pt idx="14">
                  <c:v>102.30684564050823</c:v>
                </c:pt>
                <c:pt idx="15">
                  <c:v>101.53820761675698</c:v>
                </c:pt>
                <c:pt idx="16">
                  <c:v>101.88378620285042</c:v>
                </c:pt>
                <c:pt idx="17">
                  <c:v>102.99999826264971</c:v>
                </c:pt>
                <c:pt idx="18">
                  <c:v>103.60731710169331</c:v>
                </c:pt>
                <c:pt idx="19">
                  <c:v>103.82195375682464</c:v>
                </c:pt>
                <c:pt idx="20">
                  <c:v>104.95927229920197</c:v>
                </c:pt>
                <c:pt idx="21">
                  <c:v>106.22637359312289</c:v>
                </c:pt>
                <c:pt idx="22">
                  <c:v>106.99455464928522</c:v>
                </c:pt>
                <c:pt idx="23">
                  <c:v>107.45926163029476</c:v>
                </c:pt>
                <c:pt idx="24">
                  <c:v>107.43865499888838</c:v>
                </c:pt>
                <c:pt idx="25">
                  <c:v>107.46252643772058</c:v>
                </c:pt>
                <c:pt idx="26">
                  <c:v>107.27209395310415</c:v>
                </c:pt>
                <c:pt idx="27">
                  <c:v>107.1307922304152</c:v>
                </c:pt>
                <c:pt idx="28">
                  <c:v>106.4962389920214</c:v>
                </c:pt>
                <c:pt idx="29">
                  <c:v>106.14146354971665</c:v>
                </c:pt>
                <c:pt idx="30">
                  <c:v>105.83690122299461</c:v>
                </c:pt>
                <c:pt idx="31">
                  <c:v>106.23804762460389</c:v>
                </c:pt>
                <c:pt idx="32">
                  <c:v>107.07687354769236</c:v>
                </c:pt>
                <c:pt idx="33">
                  <c:v>106.45817314681601</c:v>
                </c:pt>
                <c:pt idx="34">
                  <c:v>106.27222290088054</c:v>
                </c:pt>
                <c:pt idx="35">
                  <c:v>105.68655942383187</c:v>
                </c:pt>
                <c:pt idx="36">
                  <c:v>105.12681428182644</c:v>
                </c:pt>
                <c:pt idx="37">
                  <c:v>105.7299460638317</c:v>
                </c:pt>
                <c:pt idx="38">
                  <c:v>106.11798268997816</c:v>
                </c:pt>
                <c:pt idx="39">
                  <c:v>106.45532124518238</c:v>
                </c:pt>
                <c:pt idx="40">
                  <c:v>106.85380796844919</c:v>
                </c:pt>
                <c:pt idx="41">
                  <c:v>107.13355777557858</c:v>
                </c:pt>
                <c:pt idx="42">
                  <c:v>107.20372650360287</c:v>
                </c:pt>
              </c:numCache>
            </c:numRef>
          </c:val>
          <c:smooth val="0"/>
          <c:extLst xmlns:c16r2="http://schemas.microsoft.com/office/drawing/2015/06/chart">
            <c:ext xmlns:c16="http://schemas.microsoft.com/office/drawing/2014/chart" uri="{C3380CC4-5D6E-409C-BE32-E72D297353CC}">
              <c16:uniqueId val="{00000000-161A-41BD-833B-F01F7FDB5B58}"/>
            </c:ext>
          </c:extLst>
        </c:ser>
        <c:ser>
          <c:idx val="1"/>
          <c:order val="1"/>
          <c:tx>
            <c:v>İstihdam Oranı</c:v>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'Decomposition (2005-2012) Annua'!$A$33:$A$75</c:f>
              <c:strCache>
                <c:ptCount val="43"/>
                <c:pt idx="0">
                  <c:v>2005(4)</c:v>
                </c:pt>
                <c:pt idx="1">
                  <c:v>2006(1)</c:v>
                </c:pt>
                <c:pt idx="2">
                  <c:v>2006(2)</c:v>
                </c:pt>
                <c:pt idx="3">
                  <c:v>2006(3)</c:v>
                </c:pt>
                <c:pt idx="4">
                  <c:v>2006(4)</c:v>
                </c:pt>
                <c:pt idx="5">
                  <c:v>2007(1)</c:v>
                </c:pt>
                <c:pt idx="6">
                  <c:v>2007(2)</c:v>
                </c:pt>
                <c:pt idx="7">
                  <c:v>2007(3)</c:v>
                </c:pt>
                <c:pt idx="8">
                  <c:v>2007(4)</c:v>
                </c:pt>
                <c:pt idx="9">
                  <c:v>2008(1)</c:v>
                </c:pt>
                <c:pt idx="10">
                  <c:v>2008(2)</c:v>
                </c:pt>
                <c:pt idx="11">
                  <c:v>2008(3)</c:v>
                </c:pt>
                <c:pt idx="12">
                  <c:v>2008(4)</c:v>
                </c:pt>
                <c:pt idx="13">
                  <c:v>2009(1)</c:v>
                </c:pt>
                <c:pt idx="14">
                  <c:v>2009(2)</c:v>
                </c:pt>
                <c:pt idx="15">
                  <c:v>2009(3)</c:v>
                </c:pt>
                <c:pt idx="16">
                  <c:v>2009(4)</c:v>
                </c:pt>
                <c:pt idx="17">
                  <c:v>2010(1)</c:v>
                </c:pt>
                <c:pt idx="18">
                  <c:v>2010(2)</c:v>
                </c:pt>
                <c:pt idx="19">
                  <c:v>2010(3)</c:v>
                </c:pt>
                <c:pt idx="20">
                  <c:v>2010(4)</c:v>
                </c:pt>
                <c:pt idx="21">
                  <c:v>2011(1)</c:v>
                </c:pt>
                <c:pt idx="22">
                  <c:v>2011(2)</c:v>
                </c:pt>
                <c:pt idx="23">
                  <c:v>2011(3)</c:v>
                </c:pt>
                <c:pt idx="24">
                  <c:v>2011(4)</c:v>
                </c:pt>
                <c:pt idx="25">
                  <c:v>2012(1)</c:v>
                </c:pt>
                <c:pt idx="26">
                  <c:v>2012(2)</c:v>
                </c:pt>
                <c:pt idx="27">
                  <c:v>2012(3)</c:v>
                </c:pt>
                <c:pt idx="28">
                  <c:v>2012(4)</c:v>
                </c:pt>
                <c:pt idx="29">
                  <c:v>2013(1)</c:v>
                </c:pt>
                <c:pt idx="30">
                  <c:v>2013(2)</c:v>
                </c:pt>
                <c:pt idx="31">
                  <c:v>2013(3)</c:v>
                </c:pt>
                <c:pt idx="32">
                  <c:v>2013(4)</c:v>
                </c:pt>
                <c:pt idx="33">
                  <c:v>2014(1)</c:v>
                </c:pt>
                <c:pt idx="34">
                  <c:v>2014(2)</c:v>
                </c:pt>
                <c:pt idx="35">
                  <c:v>2014(3)</c:v>
                </c:pt>
                <c:pt idx="36">
                  <c:v>2014(4)</c:v>
                </c:pt>
                <c:pt idx="37">
                  <c:v>2015(1)</c:v>
                </c:pt>
                <c:pt idx="38">
                  <c:v>2015(2)</c:v>
                </c:pt>
                <c:pt idx="39">
                  <c:v>2015(3)</c:v>
                </c:pt>
                <c:pt idx="40">
                  <c:v>2015(4)</c:v>
                </c:pt>
                <c:pt idx="41">
                  <c:v>2016(1)</c:v>
                </c:pt>
                <c:pt idx="42">
                  <c:v>2016(2)</c:v>
                </c:pt>
              </c:strCache>
            </c:strRef>
          </c:cat>
          <c:val>
            <c:numRef>
              <c:f>'Decomposition (2005-2012) Annua'!$T$33:$T$75</c:f>
              <c:numCache>
                <c:formatCode>0.00</c:formatCode>
                <c:ptCount val="43"/>
                <c:pt idx="0">
                  <c:v>100</c:v>
                </c:pt>
                <c:pt idx="1">
                  <c:v>99.516221919820296</c:v>
                </c:pt>
                <c:pt idx="2">
                  <c:v>99.265528930296398</c:v>
                </c:pt>
                <c:pt idx="3">
                  <c:v>99.406259453594373</c:v>
                </c:pt>
                <c:pt idx="4">
                  <c:v>99.767823938472318</c:v>
                </c:pt>
                <c:pt idx="5">
                  <c:v>100.12606687236605</c:v>
                </c:pt>
                <c:pt idx="6">
                  <c:v>100.17644632963747</c:v>
                </c:pt>
                <c:pt idx="7">
                  <c:v>99.933531249439255</c:v>
                </c:pt>
                <c:pt idx="8">
                  <c:v>99.272248034436601</c:v>
                </c:pt>
                <c:pt idx="9">
                  <c:v>99.140280968748129</c:v>
                </c:pt>
                <c:pt idx="10">
                  <c:v>99.289921099174933</c:v>
                </c:pt>
                <c:pt idx="11">
                  <c:v>99.482678151188892</c:v>
                </c:pt>
                <c:pt idx="12">
                  <c:v>99.603806847976841</c:v>
                </c:pt>
                <c:pt idx="13">
                  <c:v>99.069459779489748</c:v>
                </c:pt>
                <c:pt idx="14">
                  <c:v>98.213691591013713</c:v>
                </c:pt>
                <c:pt idx="15">
                  <c:v>97.814513675818944</c:v>
                </c:pt>
                <c:pt idx="16">
                  <c:v>98.147103704173929</c:v>
                </c:pt>
                <c:pt idx="17">
                  <c:v>99.195231777219362</c:v>
                </c:pt>
                <c:pt idx="18">
                  <c:v>100.37730329557029</c:v>
                </c:pt>
                <c:pt idx="19">
                  <c:v>101.15015878830016</c:v>
                </c:pt>
                <c:pt idx="20">
                  <c:v>101.89083939687089</c:v>
                </c:pt>
                <c:pt idx="21">
                  <c:v>103.00159725471897</c:v>
                </c:pt>
                <c:pt idx="22">
                  <c:v>103.96590164355204</c:v>
                </c:pt>
                <c:pt idx="23">
                  <c:v>105.25206654839326</c:v>
                </c:pt>
                <c:pt idx="24">
                  <c:v>106.10426984272723</c:v>
                </c:pt>
                <c:pt idx="25">
                  <c:v>106.18665508964477</c:v>
                </c:pt>
                <c:pt idx="26">
                  <c:v>106.6626745882289</c:v>
                </c:pt>
                <c:pt idx="27">
                  <c:v>106.82412796787557</c:v>
                </c:pt>
                <c:pt idx="28">
                  <c:v>107.37820607740495</c:v>
                </c:pt>
                <c:pt idx="29">
                  <c:v>108.1567364168214</c:v>
                </c:pt>
                <c:pt idx="30">
                  <c:v>108.53672154200642</c:v>
                </c:pt>
                <c:pt idx="31">
                  <c:v>108.75926209896612</c:v>
                </c:pt>
                <c:pt idx="32">
                  <c:v>108.45650596806522</c:v>
                </c:pt>
                <c:pt idx="33">
                  <c:v>109.35339764290934</c:v>
                </c:pt>
                <c:pt idx="34">
                  <c:v>110.27232628838426</c:v>
                </c:pt>
                <c:pt idx="35">
                  <c:v>111.08047020512618</c:v>
                </c:pt>
                <c:pt idx="36">
                  <c:v>112.17130915384057</c:v>
                </c:pt>
                <c:pt idx="37">
                  <c:v>112.20997079169356</c:v>
                </c:pt>
                <c:pt idx="38">
                  <c:v>112.46582509449681</c:v>
                </c:pt>
                <c:pt idx="39">
                  <c:v>112.98421507942314</c:v>
                </c:pt>
                <c:pt idx="40">
                  <c:v>113.43217736100235</c:v>
                </c:pt>
                <c:pt idx="41">
                  <c:v>113.89736108735778</c:v>
                </c:pt>
                <c:pt idx="42">
                  <c:v>114.27284896208194</c:v>
                </c:pt>
              </c:numCache>
            </c:numRef>
          </c:val>
          <c:smooth val="0"/>
          <c:extLst xmlns:c16r2="http://schemas.microsoft.com/office/drawing/2015/06/chart">
            <c:ext xmlns:c16="http://schemas.microsoft.com/office/drawing/2014/chart" uri="{C3380CC4-5D6E-409C-BE32-E72D297353CC}">
              <c16:uniqueId val="{00000001-161A-41BD-833B-F01F7FDB5B58}"/>
            </c:ext>
          </c:extLst>
        </c:ser>
        <c:ser>
          <c:idx val="2"/>
          <c:order val="2"/>
          <c:tx>
            <c:v>Çalışma Çağındaki Nüfusun Oranı</c:v>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'Decomposition (2005-2012) Annua'!$A$33:$A$75</c:f>
              <c:strCache>
                <c:ptCount val="43"/>
                <c:pt idx="0">
                  <c:v>2005(4)</c:v>
                </c:pt>
                <c:pt idx="1">
                  <c:v>2006(1)</c:v>
                </c:pt>
                <c:pt idx="2">
                  <c:v>2006(2)</c:v>
                </c:pt>
                <c:pt idx="3">
                  <c:v>2006(3)</c:v>
                </c:pt>
                <c:pt idx="4">
                  <c:v>2006(4)</c:v>
                </c:pt>
                <c:pt idx="5">
                  <c:v>2007(1)</c:v>
                </c:pt>
                <c:pt idx="6">
                  <c:v>2007(2)</c:v>
                </c:pt>
                <c:pt idx="7">
                  <c:v>2007(3)</c:v>
                </c:pt>
                <c:pt idx="8">
                  <c:v>2007(4)</c:v>
                </c:pt>
                <c:pt idx="9">
                  <c:v>2008(1)</c:v>
                </c:pt>
                <c:pt idx="10">
                  <c:v>2008(2)</c:v>
                </c:pt>
                <c:pt idx="11">
                  <c:v>2008(3)</c:v>
                </c:pt>
                <c:pt idx="12">
                  <c:v>2008(4)</c:v>
                </c:pt>
                <c:pt idx="13">
                  <c:v>2009(1)</c:v>
                </c:pt>
                <c:pt idx="14">
                  <c:v>2009(2)</c:v>
                </c:pt>
                <c:pt idx="15">
                  <c:v>2009(3)</c:v>
                </c:pt>
                <c:pt idx="16">
                  <c:v>2009(4)</c:v>
                </c:pt>
                <c:pt idx="17">
                  <c:v>2010(1)</c:v>
                </c:pt>
                <c:pt idx="18">
                  <c:v>2010(2)</c:v>
                </c:pt>
                <c:pt idx="19">
                  <c:v>2010(3)</c:v>
                </c:pt>
                <c:pt idx="20">
                  <c:v>2010(4)</c:v>
                </c:pt>
                <c:pt idx="21">
                  <c:v>2011(1)</c:v>
                </c:pt>
                <c:pt idx="22">
                  <c:v>2011(2)</c:v>
                </c:pt>
                <c:pt idx="23">
                  <c:v>2011(3)</c:v>
                </c:pt>
                <c:pt idx="24">
                  <c:v>2011(4)</c:v>
                </c:pt>
                <c:pt idx="25">
                  <c:v>2012(1)</c:v>
                </c:pt>
                <c:pt idx="26">
                  <c:v>2012(2)</c:v>
                </c:pt>
                <c:pt idx="27">
                  <c:v>2012(3)</c:v>
                </c:pt>
                <c:pt idx="28">
                  <c:v>2012(4)</c:v>
                </c:pt>
                <c:pt idx="29">
                  <c:v>2013(1)</c:v>
                </c:pt>
                <c:pt idx="30">
                  <c:v>2013(2)</c:v>
                </c:pt>
                <c:pt idx="31">
                  <c:v>2013(3)</c:v>
                </c:pt>
                <c:pt idx="32">
                  <c:v>2013(4)</c:v>
                </c:pt>
                <c:pt idx="33">
                  <c:v>2014(1)</c:v>
                </c:pt>
                <c:pt idx="34">
                  <c:v>2014(2)</c:v>
                </c:pt>
                <c:pt idx="35">
                  <c:v>2014(3)</c:v>
                </c:pt>
                <c:pt idx="36">
                  <c:v>2014(4)</c:v>
                </c:pt>
                <c:pt idx="37">
                  <c:v>2015(1)</c:v>
                </c:pt>
                <c:pt idx="38">
                  <c:v>2015(2)</c:v>
                </c:pt>
                <c:pt idx="39">
                  <c:v>2015(3)</c:v>
                </c:pt>
                <c:pt idx="40">
                  <c:v>2015(4)</c:v>
                </c:pt>
                <c:pt idx="41">
                  <c:v>2016(1)</c:v>
                </c:pt>
                <c:pt idx="42">
                  <c:v>2016(2)</c:v>
                </c:pt>
              </c:strCache>
            </c:strRef>
          </c:cat>
          <c:val>
            <c:numRef>
              <c:f>'Decomposition (2005-2012) Annua'!$U$33:$U$75</c:f>
              <c:numCache>
                <c:formatCode>0.00</c:formatCode>
                <c:ptCount val="43"/>
                <c:pt idx="0">
                  <c:v>100</c:v>
                </c:pt>
                <c:pt idx="1">
                  <c:v>100.16121076069837</c:v>
                </c:pt>
                <c:pt idx="2">
                  <c:v>100.32191334098822</c:v>
                </c:pt>
                <c:pt idx="3">
                  <c:v>100.48275043044714</c:v>
                </c:pt>
                <c:pt idx="4">
                  <c:v>100.64335406734209</c:v>
                </c:pt>
                <c:pt idx="5">
                  <c:v>100.80042716581423</c:v>
                </c:pt>
                <c:pt idx="6">
                  <c:v>100.95309385742866</c:v>
                </c:pt>
                <c:pt idx="7">
                  <c:v>101.10113649123132</c:v>
                </c:pt>
                <c:pt idx="8">
                  <c:v>101.24484570848126</c:v>
                </c:pt>
                <c:pt idx="9">
                  <c:v>101.37646294825748</c:v>
                </c:pt>
                <c:pt idx="10">
                  <c:v>101.48921694020407</c:v>
                </c:pt>
                <c:pt idx="11">
                  <c:v>101.58141352377122</c:v>
                </c:pt>
                <c:pt idx="12">
                  <c:v>101.652859299708</c:v>
                </c:pt>
                <c:pt idx="13">
                  <c:v>101.72959544938558</c:v>
                </c:pt>
                <c:pt idx="14">
                  <c:v>101.83758745690695</c:v>
                </c:pt>
                <c:pt idx="15">
                  <c:v>101.97926546058878</c:v>
                </c:pt>
                <c:pt idx="16">
                  <c:v>102.15446313829841</c:v>
                </c:pt>
                <c:pt idx="17">
                  <c:v>102.35822700640259</c:v>
                </c:pt>
                <c:pt idx="18">
                  <c:v>102.58224299098342</c:v>
                </c:pt>
                <c:pt idx="19">
                  <c:v>102.82647534103278</c:v>
                </c:pt>
                <c:pt idx="20">
                  <c:v>103.09040487430323</c:v>
                </c:pt>
                <c:pt idx="21">
                  <c:v>103.32662794920967</c:v>
                </c:pt>
                <c:pt idx="22">
                  <c:v>103.50684646454089</c:v>
                </c:pt>
                <c:pt idx="23">
                  <c:v>103.63011395065904</c:v>
                </c:pt>
                <c:pt idx="24">
                  <c:v>103.69849159665225</c:v>
                </c:pt>
                <c:pt idx="25">
                  <c:v>103.69976544426996</c:v>
                </c:pt>
                <c:pt idx="26">
                  <c:v>103.71981149044099</c:v>
                </c:pt>
                <c:pt idx="27">
                  <c:v>103.75757133745202</c:v>
                </c:pt>
                <c:pt idx="28">
                  <c:v>103.81144219157952</c:v>
                </c:pt>
                <c:pt idx="29">
                  <c:v>103.96459691530688</c:v>
                </c:pt>
                <c:pt idx="30">
                  <c:v>104.13423328258524</c:v>
                </c:pt>
                <c:pt idx="31">
                  <c:v>104.3227885413734</c:v>
                </c:pt>
                <c:pt idx="32">
                  <c:v>104.53104543482581</c:v>
                </c:pt>
                <c:pt idx="33">
                  <c:v>104.71210754062778</c:v>
                </c:pt>
                <c:pt idx="34">
                  <c:v>104.8856795997721</c:v>
                </c:pt>
                <c:pt idx="35">
                  <c:v>105.04815611629775</c:v>
                </c:pt>
                <c:pt idx="36">
                  <c:v>105.19916899202538</c:v>
                </c:pt>
                <c:pt idx="37">
                  <c:v>105.3506368741559</c:v>
                </c:pt>
                <c:pt idx="38">
                  <c:v>105.50251417779944</c:v>
                </c:pt>
                <c:pt idx="39">
                  <c:v>105.6548524407275</c:v>
                </c:pt>
                <c:pt idx="40">
                  <c:v>105.80766964591604</c:v>
                </c:pt>
                <c:pt idx="41">
                  <c:v>105.96091976804746</c:v>
                </c:pt>
                <c:pt idx="42">
                  <c:v>106.11454772872786</c:v>
                </c:pt>
              </c:numCache>
            </c:numRef>
          </c:val>
          <c:smooth val="0"/>
          <c:extLst xmlns:c16r2="http://schemas.microsoft.com/office/drawing/2015/06/chart">
            <c:ext xmlns:c16="http://schemas.microsoft.com/office/drawing/2014/chart" uri="{C3380CC4-5D6E-409C-BE32-E72D297353CC}">
              <c16:uniqueId val="{00000002-161A-41BD-833B-F01F7FDB5B58}"/>
            </c:ext>
          </c:extLst>
        </c:ser>
        <c:ser>
          <c:idx val="3"/>
          <c:order val="3"/>
          <c:tx>
            <c:v>Kişi başı GSYH</c:v>
          </c:tx>
          <c:spPr>
            <a:ln w="22225" cap="rnd">
              <a:solidFill>
                <a:schemeClr val="accent4"/>
              </a:solidFill>
              <a:round/>
            </a:ln>
            <a:effectLst/>
          </c:spPr>
          <c:marker>
            <c:symbol val="x"/>
            <c:size val="6"/>
            <c:spPr>
              <a:noFill/>
              <a:ln w="9525">
                <a:solidFill>
                  <a:schemeClr val="accent4"/>
                </a:solidFill>
                <a:round/>
              </a:ln>
              <a:effectLst/>
            </c:spPr>
          </c:marker>
          <c:cat>
            <c:strRef>
              <c:f>'Decomposition (2005-2012) Annua'!$A$33:$A$75</c:f>
              <c:strCache>
                <c:ptCount val="43"/>
                <c:pt idx="0">
                  <c:v>2005(4)</c:v>
                </c:pt>
                <c:pt idx="1">
                  <c:v>2006(1)</c:v>
                </c:pt>
                <c:pt idx="2">
                  <c:v>2006(2)</c:v>
                </c:pt>
                <c:pt idx="3">
                  <c:v>2006(3)</c:v>
                </c:pt>
                <c:pt idx="4">
                  <c:v>2006(4)</c:v>
                </c:pt>
                <c:pt idx="5">
                  <c:v>2007(1)</c:v>
                </c:pt>
                <c:pt idx="6">
                  <c:v>2007(2)</c:v>
                </c:pt>
                <c:pt idx="7">
                  <c:v>2007(3)</c:v>
                </c:pt>
                <c:pt idx="8">
                  <c:v>2007(4)</c:v>
                </c:pt>
                <c:pt idx="9">
                  <c:v>2008(1)</c:v>
                </c:pt>
                <c:pt idx="10">
                  <c:v>2008(2)</c:v>
                </c:pt>
                <c:pt idx="11">
                  <c:v>2008(3)</c:v>
                </c:pt>
                <c:pt idx="12">
                  <c:v>2008(4)</c:v>
                </c:pt>
                <c:pt idx="13">
                  <c:v>2009(1)</c:v>
                </c:pt>
                <c:pt idx="14">
                  <c:v>2009(2)</c:v>
                </c:pt>
                <c:pt idx="15">
                  <c:v>2009(3)</c:v>
                </c:pt>
                <c:pt idx="16">
                  <c:v>2009(4)</c:v>
                </c:pt>
                <c:pt idx="17">
                  <c:v>2010(1)</c:v>
                </c:pt>
                <c:pt idx="18">
                  <c:v>2010(2)</c:v>
                </c:pt>
                <c:pt idx="19">
                  <c:v>2010(3)</c:v>
                </c:pt>
                <c:pt idx="20">
                  <c:v>2010(4)</c:v>
                </c:pt>
                <c:pt idx="21">
                  <c:v>2011(1)</c:v>
                </c:pt>
                <c:pt idx="22">
                  <c:v>2011(2)</c:v>
                </c:pt>
                <c:pt idx="23">
                  <c:v>2011(3)</c:v>
                </c:pt>
                <c:pt idx="24">
                  <c:v>2011(4)</c:v>
                </c:pt>
                <c:pt idx="25">
                  <c:v>2012(1)</c:v>
                </c:pt>
                <c:pt idx="26">
                  <c:v>2012(2)</c:v>
                </c:pt>
                <c:pt idx="27">
                  <c:v>2012(3)</c:v>
                </c:pt>
                <c:pt idx="28">
                  <c:v>2012(4)</c:v>
                </c:pt>
                <c:pt idx="29">
                  <c:v>2013(1)</c:v>
                </c:pt>
                <c:pt idx="30">
                  <c:v>2013(2)</c:v>
                </c:pt>
                <c:pt idx="31">
                  <c:v>2013(3)</c:v>
                </c:pt>
                <c:pt idx="32">
                  <c:v>2013(4)</c:v>
                </c:pt>
                <c:pt idx="33">
                  <c:v>2014(1)</c:v>
                </c:pt>
                <c:pt idx="34">
                  <c:v>2014(2)</c:v>
                </c:pt>
                <c:pt idx="35">
                  <c:v>2014(3)</c:v>
                </c:pt>
                <c:pt idx="36">
                  <c:v>2014(4)</c:v>
                </c:pt>
                <c:pt idx="37">
                  <c:v>2015(1)</c:v>
                </c:pt>
                <c:pt idx="38">
                  <c:v>2015(2)</c:v>
                </c:pt>
                <c:pt idx="39">
                  <c:v>2015(3)</c:v>
                </c:pt>
                <c:pt idx="40">
                  <c:v>2015(4)</c:v>
                </c:pt>
                <c:pt idx="41">
                  <c:v>2016(1)</c:v>
                </c:pt>
                <c:pt idx="42">
                  <c:v>2016(2)</c:v>
                </c:pt>
              </c:strCache>
            </c:strRef>
          </c:cat>
          <c:val>
            <c:numRef>
              <c:f>'Decomposition (2005-2012) Annua'!$V$33:$V$75</c:f>
              <c:numCache>
                <c:formatCode>0.00</c:formatCode>
                <c:ptCount val="43"/>
                <c:pt idx="0">
                  <c:v>100</c:v>
                </c:pt>
                <c:pt idx="1">
                  <c:v>101.03328623558295</c:v>
                </c:pt>
                <c:pt idx="2">
                  <c:v>102.96225620371121</c:v>
                </c:pt>
                <c:pt idx="3">
                  <c:v>104.42060384749531</c:v>
                </c:pt>
                <c:pt idx="4">
                  <c:v>105.57530314269852</c:v>
                </c:pt>
                <c:pt idx="5">
                  <c:v>106.8398461482615</c:v>
                </c:pt>
                <c:pt idx="6">
                  <c:v>107.36554833261249</c:v>
                </c:pt>
                <c:pt idx="7">
                  <c:v>108.14824878690914</c:v>
                </c:pt>
                <c:pt idx="8">
                  <c:v>109.16571535476849</c:v>
                </c:pt>
                <c:pt idx="9">
                  <c:v>110.32128605028836</c:v>
                </c:pt>
                <c:pt idx="10">
                  <c:v>110.73182492562539</c:v>
                </c:pt>
                <c:pt idx="11">
                  <c:v>110.75631966616459</c:v>
                </c:pt>
                <c:pt idx="12">
                  <c:v>108.58678447349806</c:v>
                </c:pt>
                <c:pt idx="13">
                  <c:v>104.616761580272</c:v>
                </c:pt>
                <c:pt idx="14">
                  <c:v>102.32572541604196</c:v>
                </c:pt>
                <c:pt idx="15">
                  <c:v>101.284892696227</c:v>
                </c:pt>
                <c:pt idx="16">
                  <c:v>102.15036194536576</c:v>
                </c:pt>
                <c:pt idx="17">
                  <c:v>104.58051317370543</c:v>
                </c:pt>
                <c:pt idx="18">
                  <c:v>106.68371795234057</c:v>
                </c:pt>
                <c:pt idx="19">
                  <c:v>107.98432443540196</c:v>
                </c:pt>
                <c:pt idx="20">
                  <c:v>110.24888256113637</c:v>
                </c:pt>
                <c:pt idx="21">
                  <c:v>113.05468687015188</c:v>
                </c:pt>
                <c:pt idx="22">
                  <c:v>115.13879418159709</c:v>
                </c:pt>
                <c:pt idx="23">
                  <c:v>117.20886474160652</c:v>
                </c:pt>
                <c:pt idx="24">
                  <c:v>118.21316989621712</c:v>
                </c:pt>
                <c:pt idx="25">
                  <c:v>118.33269655053908</c:v>
                </c:pt>
                <c:pt idx="26">
                  <c:v>118.67546618918506</c:v>
                </c:pt>
                <c:pt idx="27">
                  <c:v>118.74175688693201</c:v>
                </c:pt>
                <c:pt idx="28">
                  <c:v>118.7122780816452</c:v>
                </c:pt>
                <c:pt idx="29">
                  <c:v>119.3504662410313</c:v>
                </c:pt>
                <c:pt idx="30">
                  <c:v>119.62097520570873</c:v>
                </c:pt>
                <c:pt idx="31">
                  <c:v>120.53842720913326</c:v>
                </c:pt>
                <c:pt idx="32">
                  <c:v>121.39382199178547</c:v>
                </c:pt>
                <c:pt idx="33">
                  <c:v>121.90125905625879</c:v>
                </c:pt>
                <c:pt idx="34">
                  <c:v>122.91432424566085</c:v>
                </c:pt>
                <c:pt idx="35">
                  <c:v>123.32351740627449</c:v>
                </c:pt>
                <c:pt idx="36">
                  <c:v>124.05309434968417</c:v>
                </c:pt>
                <c:pt idx="37">
                  <c:v>124.98751265627999</c:v>
                </c:pt>
                <c:pt idx="38">
                  <c:v>125.91352095256738</c:v>
                </c:pt>
                <c:pt idx="39">
                  <c:v>127.07923608892293</c:v>
                </c:pt>
                <c:pt idx="40">
                  <c:v>128.24587994523938</c:v>
                </c:pt>
                <c:pt idx="41">
                  <c:v>129.29594625813021</c:v>
                </c:pt>
                <c:pt idx="42">
                  <c:v>129.99536402887378</c:v>
                </c:pt>
              </c:numCache>
            </c:numRef>
          </c:val>
          <c:smooth val="0"/>
          <c:extLst xmlns:c16r2="http://schemas.microsoft.com/office/drawing/2015/06/chart">
            <c:ext xmlns:c16="http://schemas.microsoft.com/office/drawing/2014/chart" uri="{C3380CC4-5D6E-409C-BE32-E72D297353CC}">
              <c16:uniqueId val="{00000003-161A-41BD-833B-F01F7FDB5B58}"/>
            </c:ext>
          </c:extLst>
        </c:ser>
        <c:dLbls>
          <c:showLegendKey val="0"/>
          <c:showVal val="0"/>
          <c:showCatName val="0"/>
          <c:showSerName val="0"/>
          <c:showPercent val="0"/>
          <c:showBubbleSize val="0"/>
        </c:dLbls>
        <c:marker val="1"/>
        <c:smooth val="0"/>
        <c:axId val="260735360"/>
        <c:axId val="260737664"/>
      </c:lineChart>
      <c:catAx>
        <c:axId val="260735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50" b="0" i="0" u="none" strike="noStrike" kern="1200" cap="all" spc="120" normalizeH="0" baseline="0">
                <a:solidFill>
                  <a:schemeClr val="tx1"/>
                </a:solidFill>
                <a:latin typeface="+mn-lt"/>
                <a:ea typeface="+mn-ea"/>
                <a:cs typeface="+mn-cs"/>
              </a:defRPr>
            </a:pPr>
            <a:endParaRPr lang="tr-TR"/>
          </a:p>
        </c:txPr>
        <c:crossAx val="260737664"/>
        <c:crosses val="autoZero"/>
        <c:auto val="1"/>
        <c:lblAlgn val="ctr"/>
        <c:lblOffset val="100"/>
        <c:noMultiLvlLbl val="0"/>
      </c:catAx>
      <c:valAx>
        <c:axId val="260737664"/>
        <c:scaling>
          <c:orientation val="minMax"/>
          <c:max val="130"/>
          <c:min val="95"/>
        </c:scaling>
        <c:delete val="0"/>
        <c:axPos val="l"/>
        <c:majorGridlines/>
        <c:numFmt formatCode="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260735360"/>
        <c:crosses val="autoZero"/>
        <c:crossBetween val="between"/>
      </c:valAx>
      <c:spPr>
        <a:noFill/>
        <a:ln>
          <a:noFill/>
        </a:ln>
        <a:effectLst/>
      </c:spPr>
    </c:plotArea>
    <c:legend>
      <c:legendPos val="t"/>
      <c:layout>
        <c:manualLayout>
          <c:xMode val="edge"/>
          <c:yMode val="edge"/>
          <c:x val="4.5859213250517596E-2"/>
          <c:y val="0.93484930517957043"/>
          <c:w val="0.9"/>
          <c:h val="6.097603653201886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stacked"/>
        <c:varyColors val="0"/>
        <c:ser>
          <c:idx val="0"/>
          <c:order val="0"/>
          <c:tx>
            <c:v>Ortalama Emek Verimliliği</c:v>
          </c:tx>
          <c:spPr>
            <a:solidFill>
              <a:srgbClr val="FF0000"/>
            </a:solidFill>
            <a:ln>
              <a:solidFill>
                <a:srgbClr val="FF0000"/>
              </a:solidFill>
            </a:ln>
          </c:spPr>
          <c:invertIfNegative val="0"/>
          <c:cat>
            <c:strRef>
              <c:f>'Decomposition (2005-2012) Annua'!$A$34:$A$75</c:f>
              <c:strCache>
                <c:ptCount val="42"/>
                <c:pt idx="0">
                  <c:v>2006(1)</c:v>
                </c:pt>
                <c:pt idx="1">
                  <c:v>2006(2)</c:v>
                </c:pt>
                <c:pt idx="2">
                  <c:v>2006(3)</c:v>
                </c:pt>
                <c:pt idx="3">
                  <c:v>2006(4)</c:v>
                </c:pt>
                <c:pt idx="4">
                  <c:v>2007(1)</c:v>
                </c:pt>
                <c:pt idx="5">
                  <c:v>2007(2)</c:v>
                </c:pt>
                <c:pt idx="6">
                  <c:v>2007(3)</c:v>
                </c:pt>
                <c:pt idx="7">
                  <c:v>2007(4)</c:v>
                </c:pt>
                <c:pt idx="8">
                  <c:v>2008(1)</c:v>
                </c:pt>
                <c:pt idx="9">
                  <c:v>2008(2)</c:v>
                </c:pt>
                <c:pt idx="10">
                  <c:v>2008(3)</c:v>
                </c:pt>
                <c:pt idx="11">
                  <c:v>2008(4)</c:v>
                </c:pt>
                <c:pt idx="12">
                  <c:v>2009(1)</c:v>
                </c:pt>
                <c:pt idx="13">
                  <c:v>2009(2)</c:v>
                </c:pt>
                <c:pt idx="14">
                  <c:v>2009(3)</c:v>
                </c:pt>
                <c:pt idx="15">
                  <c:v>2009(4)</c:v>
                </c:pt>
                <c:pt idx="16">
                  <c:v>2010(1)</c:v>
                </c:pt>
                <c:pt idx="17">
                  <c:v>2010(2)</c:v>
                </c:pt>
                <c:pt idx="18">
                  <c:v>2010(3)</c:v>
                </c:pt>
                <c:pt idx="19">
                  <c:v>2010(4)</c:v>
                </c:pt>
                <c:pt idx="20">
                  <c:v>2011(1)</c:v>
                </c:pt>
                <c:pt idx="21">
                  <c:v>2011(2)</c:v>
                </c:pt>
                <c:pt idx="22">
                  <c:v>2011(3)</c:v>
                </c:pt>
                <c:pt idx="23">
                  <c:v>2011(4)</c:v>
                </c:pt>
                <c:pt idx="24">
                  <c:v>2012(1)</c:v>
                </c:pt>
                <c:pt idx="25">
                  <c:v>2012(2)</c:v>
                </c:pt>
                <c:pt idx="26">
                  <c:v>2012(3)</c:v>
                </c:pt>
                <c:pt idx="27">
                  <c:v>2012(4)</c:v>
                </c:pt>
                <c:pt idx="28">
                  <c:v>2013(1)</c:v>
                </c:pt>
                <c:pt idx="29">
                  <c:v>2013(2)</c:v>
                </c:pt>
                <c:pt idx="30">
                  <c:v>2013(3)</c:v>
                </c:pt>
                <c:pt idx="31">
                  <c:v>2013(4)</c:v>
                </c:pt>
                <c:pt idx="32">
                  <c:v>2014(1)</c:v>
                </c:pt>
                <c:pt idx="33">
                  <c:v>2014(2)</c:v>
                </c:pt>
                <c:pt idx="34">
                  <c:v>2014(3)</c:v>
                </c:pt>
                <c:pt idx="35">
                  <c:v>2014(4)</c:v>
                </c:pt>
                <c:pt idx="36">
                  <c:v>2015(1)</c:v>
                </c:pt>
                <c:pt idx="37">
                  <c:v>2015(2)</c:v>
                </c:pt>
                <c:pt idx="38">
                  <c:v>2015(3)</c:v>
                </c:pt>
                <c:pt idx="39">
                  <c:v>2015(4)</c:v>
                </c:pt>
                <c:pt idx="40">
                  <c:v>2016(1)</c:v>
                </c:pt>
                <c:pt idx="41">
                  <c:v>2016(2)</c:v>
                </c:pt>
              </c:strCache>
            </c:strRef>
          </c:cat>
          <c:val>
            <c:numRef>
              <c:f>'Decomposition (2005-2012) Annua'!$O$34:$O$75</c:f>
              <c:numCache>
                <c:formatCode>0.00%</c:formatCode>
                <c:ptCount val="42"/>
                <c:pt idx="0">
                  <c:v>1.3518554432692504E-2</c:v>
                </c:pt>
                <c:pt idx="1">
                  <c:v>1.9831588820582741E-2</c:v>
                </c:pt>
                <c:pt idx="2">
                  <c:v>1.1045894262756281E-2</c:v>
                </c:pt>
                <c:pt idx="3">
                  <c:v>5.7697749547356379E-3</c:v>
                </c:pt>
                <c:pt idx="4">
                  <c:v>6.7626676174887363E-3</c:v>
                </c:pt>
                <c:pt idx="5">
                  <c:v>2.8919713272601661E-3</c:v>
                </c:pt>
                <c:pt idx="6">
                  <c:v>8.2260496925065131E-3</c:v>
                </c:pt>
                <c:pt idx="7">
                  <c:v>1.4582882830979221E-2</c:v>
                </c:pt>
                <c:pt idx="8">
                  <c:v>1.0560922884029761E-2</c:v>
                </c:pt>
                <c:pt idx="9">
                  <c:v>1.0945434083639808E-3</c:v>
                </c:pt>
                <c:pt idx="10">
                  <c:v>-2.6263152252267502E-3</c:v>
                </c:pt>
                <c:pt idx="11">
                  <c:v>-2.170269262884391E-2</c:v>
                </c:pt>
                <c:pt idx="12">
                  <c:v>-3.2621359184440146E-2</c:v>
                </c:pt>
                <c:pt idx="13">
                  <c:v>-1.4528081155237758E-2</c:v>
                </c:pt>
                <c:pt idx="14">
                  <c:v>-7.5414306540457048E-3</c:v>
                </c:pt>
                <c:pt idx="15">
                  <c:v>3.3976554064082559E-3</c:v>
                </c:pt>
                <c:pt idx="16">
                  <c:v>1.08961585840561E-2</c:v>
                </c:pt>
                <c:pt idx="17">
                  <c:v>5.8789843638809552E-3</c:v>
                </c:pt>
                <c:pt idx="18">
                  <c:v>2.0694931901060593E-3</c:v>
                </c:pt>
                <c:pt idx="19">
                  <c:v>1.0894943130619335E-2</c:v>
                </c:pt>
                <c:pt idx="20">
                  <c:v>1.2000024848364516E-2</c:v>
                </c:pt>
                <c:pt idx="21">
                  <c:v>7.205525143605466E-3</c:v>
                </c:pt>
                <c:pt idx="22">
                  <c:v>4.3338721262454003E-3</c:v>
                </c:pt>
                <c:pt idx="23">
                  <c:v>-1.9178065374263209E-4</c:v>
                </c:pt>
                <c:pt idx="24">
                  <c:v>2.2216200740082236E-4</c:v>
                </c:pt>
                <c:pt idx="25">
                  <c:v>-1.7736547017200113E-3</c:v>
                </c:pt>
                <c:pt idx="26">
                  <c:v>-1.3180955318470564E-3</c:v>
                </c:pt>
                <c:pt idx="27">
                  <c:v>-5.9407753880733345E-3</c:v>
                </c:pt>
                <c:pt idx="28">
                  <c:v>-3.3369037312177773E-3</c:v>
                </c:pt>
                <c:pt idx="29">
                  <c:v>-2.8735247261341824E-3</c:v>
                </c:pt>
                <c:pt idx="30">
                  <c:v>3.783067092171152E-3</c:v>
                </c:pt>
                <c:pt idx="31">
                  <c:v>7.8647123434345424E-3</c:v>
                </c:pt>
                <c:pt idx="32">
                  <c:v>-5.7948532739657763E-3</c:v>
                </c:pt>
                <c:pt idx="33">
                  <c:v>-1.74822495280453E-3</c:v>
                </c:pt>
                <c:pt idx="34">
                  <c:v>-5.5262156263790529E-3</c:v>
                </c:pt>
                <c:pt idx="35">
                  <c:v>-5.3103505490040897E-3</c:v>
                </c:pt>
                <c:pt idx="36">
                  <c:v>5.7207881400410466E-3</c:v>
                </c:pt>
                <c:pt idx="37">
                  <c:v>3.6633547695152976E-3</c:v>
                </c:pt>
                <c:pt idx="38">
                  <c:v>3.1738589196068237E-3</c:v>
                </c:pt>
                <c:pt idx="39">
                  <c:v>3.7362412784861156E-3</c:v>
                </c:pt>
                <c:pt idx="40">
                  <c:v>2.6146400328713976E-3</c:v>
                </c:pt>
                <c:pt idx="41">
                  <c:v>6.5475057936869869E-4</c:v>
                </c:pt>
              </c:numCache>
            </c:numRef>
          </c:val>
          <c:extLst xmlns:c16r2="http://schemas.microsoft.com/office/drawing/2015/06/chart">
            <c:ext xmlns:c16="http://schemas.microsoft.com/office/drawing/2014/chart" uri="{C3380CC4-5D6E-409C-BE32-E72D297353CC}">
              <c16:uniqueId val="{00000000-C45D-408A-96F5-40FFA5E3A1E1}"/>
            </c:ext>
          </c:extLst>
        </c:ser>
        <c:ser>
          <c:idx val="1"/>
          <c:order val="1"/>
          <c:tx>
            <c:v>İstihdam Oranı</c:v>
          </c:tx>
          <c:spPr>
            <a:solidFill>
              <a:schemeClr val="accent3">
                <a:lumMod val="50000"/>
              </a:schemeClr>
            </a:solidFill>
            <a:ln>
              <a:solidFill>
                <a:schemeClr val="accent3">
                  <a:lumMod val="50000"/>
                </a:schemeClr>
              </a:solidFill>
            </a:ln>
          </c:spPr>
          <c:invertIfNegative val="0"/>
          <c:cat>
            <c:strRef>
              <c:f>'Decomposition (2005-2012) Annua'!$A$34:$A$75</c:f>
              <c:strCache>
                <c:ptCount val="42"/>
                <c:pt idx="0">
                  <c:v>2006(1)</c:v>
                </c:pt>
                <c:pt idx="1">
                  <c:v>2006(2)</c:v>
                </c:pt>
                <c:pt idx="2">
                  <c:v>2006(3)</c:v>
                </c:pt>
                <c:pt idx="3">
                  <c:v>2006(4)</c:v>
                </c:pt>
                <c:pt idx="4">
                  <c:v>2007(1)</c:v>
                </c:pt>
                <c:pt idx="5">
                  <c:v>2007(2)</c:v>
                </c:pt>
                <c:pt idx="6">
                  <c:v>2007(3)</c:v>
                </c:pt>
                <c:pt idx="7">
                  <c:v>2007(4)</c:v>
                </c:pt>
                <c:pt idx="8">
                  <c:v>2008(1)</c:v>
                </c:pt>
                <c:pt idx="9">
                  <c:v>2008(2)</c:v>
                </c:pt>
                <c:pt idx="10">
                  <c:v>2008(3)</c:v>
                </c:pt>
                <c:pt idx="11">
                  <c:v>2008(4)</c:v>
                </c:pt>
                <c:pt idx="12">
                  <c:v>2009(1)</c:v>
                </c:pt>
                <c:pt idx="13">
                  <c:v>2009(2)</c:v>
                </c:pt>
                <c:pt idx="14">
                  <c:v>2009(3)</c:v>
                </c:pt>
                <c:pt idx="15">
                  <c:v>2009(4)</c:v>
                </c:pt>
                <c:pt idx="16">
                  <c:v>2010(1)</c:v>
                </c:pt>
                <c:pt idx="17">
                  <c:v>2010(2)</c:v>
                </c:pt>
                <c:pt idx="18">
                  <c:v>2010(3)</c:v>
                </c:pt>
                <c:pt idx="19">
                  <c:v>2010(4)</c:v>
                </c:pt>
                <c:pt idx="20">
                  <c:v>2011(1)</c:v>
                </c:pt>
                <c:pt idx="21">
                  <c:v>2011(2)</c:v>
                </c:pt>
                <c:pt idx="22">
                  <c:v>2011(3)</c:v>
                </c:pt>
                <c:pt idx="23">
                  <c:v>2011(4)</c:v>
                </c:pt>
                <c:pt idx="24">
                  <c:v>2012(1)</c:v>
                </c:pt>
                <c:pt idx="25">
                  <c:v>2012(2)</c:v>
                </c:pt>
                <c:pt idx="26">
                  <c:v>2012(3)</c:v>
                </c:pt>
                <c:pt idx="27">
                  <c:v>2012(4)</c:v>
                </c:pt>
                <c:pt idx="28">
                  <c:v>2013(1)</c:v>
                </c:pt>
                <c:pt idx="29">
                  <c:v>2013(2)</c:v>
                </c:pt>
                <c:pt idx="30">
                  <c:v>2013(3)</c:v>
                </c:pt>
                <c:pt idx="31">
                  <c:v>2013(4)</c:v>
                </c:pt>
                <c:pt idx="32">
                  <c:v>2014(1)</c:v>
                </c:pt>
                <c:pt idx="33">
                  <c:v>2014(2)</c:v>
                </c:pt>
                <c:pt idx="34">
                  <c:v>2014(3)</c:v>
                </c:pt>
                <c:pt idx="35">
                  <c:v>2014(4)</c:v>
                </c:pt>
                <c:pt idx="36">
                  <c:v>2015(1)</c:v>
                </c:pt>
                <c:pt idx="37">
                  <c:v>2015(2)</c:v>
                </c:pt>
                <c:pt idx="38">
                  <c:v>2015(3)</c:v>
                </c:pt>
                <c:pt idx="39">
                  <c:v>2015(4)</c:v>
                </c:pt>
                <c:pt idx="40">
                  <c:v>2016(1)</c:v>
                </c:pt>
                <c:pt idx="41">
                  <c:v>2016(2)</c:v>
                </c:pt>
              </c:strCache>
            </c:strRef>
          </c:cat>
          <c:val>
            <c:numRef>
              <c:f>'Decomposition (2005-2012) Annua'!$P$34:$P$75</c:f>
              <c:numCache>
                <c:formatCode>0.00%</c:formatCode>
                <c:ptCount val="42"/>
                <c:pt idx="0">
                  <c:v>-4.8495207421496937E-3</c:v>
                </c:pt>
                <c:pt idx="1">
                  <c:v>-2.5222951438978259E-3</c:v>
                </c:pt>
                <c:pt idx="2">
                  <c:v>1.4167139479727001E-3</c:v>
                </c:pt>
                <c:pt idx="3">
                  <c:v>3.630641857469676E-3</c:v>
                </c:pt>
                <c:pt idx="4">
                  <c:v>3.5843348286736989E-3</c:v>
                </c:pt>
                <c:pt idx="5">
                  <c:v>5.0303371164335628E-4</c:v>
                </c:pt>
                <c:pt idx="6">
                  <c:v>-2.42781696799665E-3</c:v>
                </c:pt>
                <c:pt idx="7">
                  <c:v>-6.6392214769181281E-3</c:v>
                </c:pt>
                <c:pt idx="8">
                  <c:v>-1.3302293540759082E-3</c:v>
                </c:pt>
                <c:pt idx="9">
                  <c:v>1.5082397461069538E-3</c:v>
                </c:pt>
                <c:pt idx="10">
                  <c:v>1.9394736816154246E-3</c:v>
                </c:pt>
                <c:pt idx="11">
                  <c:v>1.2168451488292588E-3</c:v>
                </c:pt>
                <c:pt idx="12">
                  <c:v>-5.3791671725253376E-3</c:v>
                </c:pt>
                <c:pt idx="13">
                  <c:v>-8.6755868408556602E-3</c:v>
                </c:pt>
                <c:pt idx="14">
                  <c:v>-4.0726635883978745E-3</c:v>
                </c:pt>
                <c:pt idx="15">
                  <c:v>3.3944437910894201E-3</c:v>
                </c:pt>
                <c:pt idx="16">
                  <c:v>1.0622534959007066E-2</c:v>
                </c:pt>
                <c:pt idx="17">
                  <c:v>1.1846172534777683E-2</c:v>
                </c:pt>
                <c:pt idx="18">
                  <c:v>7.6700145340200922E-3</c:v>
                </c:pt>
                <c:pt idx="19">
                  <c:v>7.2959047752713391E-3</c:v>
                </c:pt>
                <c:pt idx="20">
                  <c:v>1.084245721901634E-2</c:v>
                </c:pt>
                <c:pt idx="21">
                  <c:v>9.3184811318758297E-3</c:v>
                </c:pt>
                <c:pt idx="22">
                  <c:v>1.2295130465159539E-2</c:v>
                </c:pt>
                <c:pt idx="23">
                  <c:v>8.0641813459153382E-3</c:v>
                </c:pt>
                <c:pt idx="24">
                  <c:v>7.7615424285944613E-4</c:v>
                </c:pt>
                <c:pt idx="25">
                  <c:v>4.4728380673712273E-3</c:v>
                </c:pt>
                <c:pt idx="26">
                  <c:v>1.512537622881188E-3</c:v>
                </c:pt>
                <c:pt idx="27">
                  <c:v>5.1734202411013331E-3</c:v>
                </c:pt>
                <c:pt idx="28">
                  <c:v>7.2241996244443987E-3</c:v>
                </c:pt>
                <c:pt idx="29">
                  <c:v>3.5071249335043545E-3</c:v>
                </c:pt>
                <c:pt idx="30">
                  <c:v>2.0482719563892833E-3</c:v>
                </c:pt>
                <c:pt idx="31">
                  <c:v>-2.7876091100469185E-3</c:v>
                </c:pt>
                <c:pt idx="32">
                  <c:v>8.2355919475995878E-3</c:v>
                </c:pt>
                <c:pt idx="33">
                  <c:v>8.3681819366492188E-3</c:v>
                </c:pt>
                <c:pt idx="34">
                  <c:v>7.3018956185533215E-3</c:v>
                </c:pt>
                <c:pt idx="35">
                  <c:v>9.7723532864259707E-3</c:v>
                </c:pt>
                <c:pt idx="36">
                  <c:v>3.4460662890393936E-4</c:v>
                </c:pt>
                <c:pt idx="37">
                  <c:v>2.2775431807545857E-3</c:v>
                </c:pt>
                <c:pt idx="38">
                  <c:v>4.5987208351094518E-3</c:v>
                </c:pt>
                <c:pt idx="39">
                  <c:v>3.9569826305953411E-3</c:v>
                </c:pt>
                <c:pt idx="40">
                  <c:v>4.0925994820113481E-3</c:v>
                </c:pt>
                <c:pt idx="41">
                  <c:v>3.2912991893505909E-3</c:v>
                </c:pt>
              </c:numCache>
            </c:numRef>
          </c:val>
          <c:extLst xmlns:c16r2="http://schemas.microsoft.com/office/drawing/2015/06/chart">
            <c:ext xmlns:c16="http://schemas.microsoft.com/office/drawing/2014/chart" uri="{C3380CC4-5D6E-409C-BE32-E72D297353CC}">
              <c16:uniqueId val="{00000001-C45D-408A-96F5-40FFA5E3A1E1}"/>
            </c:ext>
          </c:extLst>
        </c:ser>
        <c:ser>
          <c:idx val="2"/>
          <c:order val="2"/>
          <c:tx>
            <c:v>Çalışma Çağındaki Nüfusun Oranı</c:v>
          </c:tx>
          <c:spPr>
            <a:solidFill>
              <a:srgbClr val="00B0F0"/>
            </a:solidFill>
            <a:ln>
              <a:solidFill>
                <a:srgbClr val="00B0F0"/>
              </a:solidFill>
            </a:ln>
          </c:spPr>
          <c:invertIfNegative val="0"/>
          <c:cat>
            <c:strRef>
              <c:f>'Decomposition (2005-2012) Annua'!$A$34:$A$75</c:f>
              <c:strCache>
                <c:ptCount val="42"/>
                <c:pt idx="0">
                  <c:v>2006(1)</c:v>
                </c:pt>
                <c:pt idx="1">
                  <c:v>2006(2)</c:v>
                </c:pt>
                <c:pt idx="2">
                  <c:v>2006(3)</c:v>
                </c:pt>
                <c:pt idx="3">
                  <c:v>2006(4)</c:v>
                </c:pt>
                <c:pt idx="4">
                  <c:v>2007(1)</c:v>
                </c:pt>
                <c:pt idx="5">
                  <c:v>2007(2)</c:v>
                </c:pt>
                <c:pt idx="6">
                  <c:v>2007(3)</c:v>
                </c:pt>
                <c:pt idx="7">
                  <c:v>2007(4)</c:v>
                </c:pt>
                <c:pt idx="8">
                  <c:v>2008(1)</c:v>
                </c:pt>
                <c:pt idx="9">
                  <c:v>2008(2)</c:v>
                </c:pt>
                <c:pt idx="10">
                  <c:v>2008(3)</c:v>
                </c:pt>
                <c:pt idx="11">
                  <c:v>2008(4)</c:v>
                </c:pt>
                <c:pt idx="12">
                  <c:v>2009(1)</c:v>
                </c:pt>
                <c:pt idx="13">
                  <c:v>2009(2)</c:v>
                </c:pt>
                <c:pt idx="14">
                  <c:v>2009(3)</c:v>
                </c:pt>
                <c:pt idx="15">
                  <c:v>2009(4)</c:v>
                </c:pt>
                <c:pt idx="16">
                  <c:v>2010(1)</c:v>
                </c:pt>
                <c:pt idx="17">
                  <c:v>2010(2)</c:v>
                </c:pt>
                <c:pt idx="18">
                  <c:v>2010(3)</c:v>
                </c:pt>
                <c:pt idx="19">
                  <c:v>2010(4)</c:v>
                </c:pt>
                <c:pt idx="20">
                  <c:v>2011(1)</c:v>
                </c:pt>
                <c:pt idx="21">
                  <c:v>2011(2)</c:v>
                </c:pt>
                <c:pt idx="22">
                  <c:v>2011(3)</c:v>
                </c:pt>
                <c:pt idx="23">
                  <c:v>2011(4)</c:v>
                </c:pt>
                <c:pt idx="24">
                  <c:v>2012(1)</c:v>
                </c:pt>
                <c:pt idx="25">
                  <c:v>2012(2)</c:v>
                </c:pt>
                <c:pt idx="26">
                  <c:v>2012(3)</c:v>
                </c:pt>
                <c:pt idx="27">
                  <c:v>2012(4)</c:v>
                </c:pt>
                <c:pt idx="28">
                  <c:v>2013(1)</c:v>
                </c:pt>
                <c:pt idx="29">
                  <c:v>2013(2)</c:v>
                </c:pt>
                <c:pt idx="30">
                  <c:v>2013(3)</c:v>
                </c:pt>
                <c:pt idx="31">
                  <c:v>2013(4)</c:v>
                </c:pt>
                <c:pt idx="32">
                  <c:v>2014(1)</c:v>
                </c:pt>
                <c:pt idx="33">
                  <c:v>2014(2)</c:v>
                </c:pt>
                <c:pt idx="34">
                  <c:v>2014(3)</c:v>
                </c:pt>
                <c:pt idx="35">
                  <c:v>2014(4)</c:v>
                </c:pt>
                <c:pt idx="36">
                  <c:v>2015(1)</c:v>
                </c:pt>
                <c:pt idx="37">
                  <c:v>2015(2)</c:v>
                </c:pt>
                <c:pt idx="38">
                  <c:v>2015(3)</c:v>
                </c:pt>
                <c:pt idx="39">
                  <c:v>2015(4)</c:v>
                </c:pt>
                <c:pt idx="40">
                  <c:v>2016(1)</c:v>
                </c:pt>
                <c:pt idx="41">
                  <c:v>2016(2)</c:v>
                </c:pt>
              </c:strCache>
            </c:strRef>
          </c:cat>
          <c:val>
            <c:numRef>
              <c:f>'Decomposition (2005-2012) Annua'!$Q$34:$Q$75</c:f>
              <c:numCache>
                <c:formatCode>0.00%</c:formatCode>
                <c:ptCount val="42"/>
                <c:pt idx="0">
                  <c:v>1.6108095563930331E-3</c:v>
                </c:pt>
                <c:pt idx="1">
                  <c:v>1.6031535365223677E-3</c:v>
                </c:pt>
                <c:pt idx="2">
                  <c:v>1.6019261787324289E-3</c:v>
                </c:pt>
                <c:pt idx="3">
                  <c:v>1.5970445152469136E-3</c:v>
                </c:pt>
                <c:pt idx="4">
                  <c:v>1.5594736093962889E-3</c:v>
                </c:pt>
                <c:pt idx="5">
                  <c:v>1.5133983286022949E-3</c:v>
                </c:pt>
                <c:pt idx="6">
                  <c:v>1.4653755087286099E-3</c:v>
                </c:pt>
                <c:pt idx="7">
                  <c:v>1.4204308862502265E-3</c:v>
                </c:pt>
                <c:pt idx="8">
                  <c:v>1.2991452790475915E-3</c:v>
                </c:pt>
                <c:pt idx="9">
                  <c:v>1.1116124089522079E-3</c:v>
                </c:pt>
                <c:pt idx="10">
                  <c:v>9.0802485510809556E-4</c:v>
                </c:pt>
                <c:pt idx="11">
                  <c:v>7.0308789838795E-4</c:v>
                </c:pt>
                <c:pt idx="12">
                  <c:v>7.5459953921308488E-4</c:v>
                </c:pt>
                <c:pt idx="13">
                  <c:v>1.0609963365436552E-3</c:v>
                </c:pt>
                <c:pt idx="14">
                  <c:v>1.3902483967669068E-3</c:v>
                </c:pt>
                <c:pt idx="15">
                  <c:v>1.7164994920592478E-3</c:v>
                </c:pt>
                <c:pt idx="16">
                  <c:v>1.9926776708561762E-3</c:v>
                </c:pt>
                <c:pt idx="17">
                  <c:v>2.1861575100649107E-3</c:v>
                </c:pt>
                <c:pt idx="18">
                  <c:v>2.3780145957400102E-3</c:v>
                </c:pt>
                <c:pt idx="19">
                  <c:v>2.5634583966585196E-3</c:v>
                </c:pt>
                <c:pt idx="20">
                  <c:v>2.2887954041200973E-3</c:v>
                </c:pt>
                <c:pt idx="21">
                  <c:v>1.7426440420192577E-3</c:v>
                </c:pt>
                <c:pt idx="22">
                  <c:v>1.1902028534416715E-3</c:v>
                </c:pt>
                <c:pt idx="23">
                  <c:v>6.5960650525630866E-4</c:v>
                </c:pt>
                <c:pt idx="24">
                  <c:v>1.2284072546172221E-5</c:v>
                </c:pt>
                <c:pt idx="25">
                  <c:v>1.9328981892337147E-4</c:v>
                </c:pt>
                <c:pt idx="26">
                  <c:v>3.6399001099087565E-4</c:v>
                </c:pt>
                <c:pt idx="27">
                  <c:v>5.1906452144395417E-4</c:v>
                </c:pt>
                <c:pt idx="28">
                  <c:v>1.4742291952813042E-3</c:v>
                </c:pt>
                <c:pt idx="29">
                  <c:v>1.6303446270392119E-3</c:v>
                </c:pt>
                <c:pt idx="30">
                  <c:v>1.8090569323294631E-3</c:v>
                </c:pt>
                <c:pt idx="31">
                  <c:v>1.9942843136782199E-3</c:v>
                </c:pt>
                <c:pt idx="32">
                  <c:v>1.7306387178649876E-3</c:v>
                </c:pt>
                <c:pt idx="33">
                  <c:v>1.6562398028144333E-3</c:v>
                </c:pt>
                <c:pt idx="34">
                  <c:v>1.5478833929918432E-3</c:v>
                </c:pt>
                <c:pt idx="35">
                  <c:v>1.4365262589580328E-3</c:v>
                </c:pt>
                <c:pt idx="36">
                  <c:v>1.4387845919580445E-3</c:v>
                </c:pt>
                <c:pt idx="37">
                  <c:v>1.4405981523353424E-3</c:v>
                </c:pt>
                <c:pt idx="38">
                  <c:v>1.4428887023680307E-3</c:v>
                </c:pt>
                <c:pt idx="39">
                  <c:v>1.4453363204361522E-3</c:v>
                </c:pt>
                <c:pt idx="40">
                  <c:v>1.4473359746850737E-3</c:v>
                </c:pt>
                <c:pt idx="41">
                  <c:v>1.4488048935247903E-3</c:v>
                </c:pt>
              </c:numCache>
            </c:numRef>
          </c:val>
          <c:extLst xmlns:c16r2="http://schemas.microsoft.com/office/drawing/2015/06/chart">
            <c:ext xmlns:c16="http://schemas.microsoft.com/office/drawing/2014/chart" uri="{C3380CC4-5D6E-409C-BE32-E72D297353CC}">
              <c16:uniqueId val="{00000002-C45D-408A-96F5-40FFA5E3A1E1}"/>
            </c:ext>
          </c:extLst>
        </c:ser>
        <c:dLbls>
          <c:showLegendKey val="0"/>
          <c:showVal val="0"/>
          <c:showCatName val="0"/>
          <c:showSerName val="0"/>
          <c:showPercent val="0"/>
          <c:showBubbleSize val="0"/>
        </c:dLbls>
        <c:gapWidth val="150"/>
        <c:overlap val="100"/>
        <c:axId val="216324352"/>
        <c:axId val="216326144"/>
      </c:barChart>
      <c:catAx>
        <c:axId val="216324352"/>
        <c:scaling>
          <c:orientation val="minMax"/>
        </c:scaling>
        <c:delete val="0"/>
        <c:axPos val="b"/>
        <c:majorGridlines/>
        <c:numFmt formatCode="General" sourceLinked="0"/>
        <c:majorTickMark val="out"/>
        <c:minorTickMark val="none"/>
        <c:tickLblPos val="low"/>
        <c:txPr>
          <a:bodyPr rot="5400000" vert="horz"/>
          <a:lstStyle/>
          <a:p>
            <a:pPr>
              <a:defRPr sz="750"/>
            </a:pPr>
            <a:endParaRPr lang="tr-TR"/>
          </a:p>
        </c:txPr>
        <c:crossAx val="216326144"/>
        <c:crosses val="autoZero"/>
        <c:auto val="1"/>
        <c:lblAlgn val="ctr"/>
        <c:lblOffset val="100"/>
        <c:noMultiLvlLbl val="0"/>
      </c:catAx>
      <c:valAx>
        <c:axId val="216326144"/>
        <c:scaling>
          <c:orientation val="minMax"/>
          <c:max val="3.0000000000000002E-2"/>
          <c:min val="-4.0000000000000022E-2"/>
        </c:scaling>
        <c:delete val="0"/>
        <c:axPos val="l"/>
        <c:majorGridlines/>
        <c:numFmt formatCode="0%" sourceLinked="0"/>
        <c:majorTickMark val="out"/>
        <c:minorTickMark val="none"/>
        <c:tickLblPos val="nextTo"/>
        <c:txPr>
          <a:bodyPr rot="0" vert="horz"/>
          <a:lstStyle/>
          <a:p>
            <a:pPr>
              <a:defRPr sz="750"/>
            </a:pPr>
            <a:endParaRPr lang="tr-TR"/>
          </a:p>
        </c:txPr>
        <c:crossAx val="216324352"/>
        <c:crosses val="autoZero"/>
        <c:crossBetween val="between"/>
      </c:valAx>
    </c:plotArea>
    <c:legend>
      <c:legendPos val="b"/>
      <c:overlay val="0"/>
      <c:txPr>
        <a:bodyPr/>
        <a:lstStyle/>
        <a:p>
          <a:pPr>
            <a:defRPr sz="800"/>
          </a:pPr>
          <a:endParaRPr lang="tr-TR"/>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B4951-CF14-4777-B060-06AFFB5A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2441</Words>
  <Characters>13918</Characters>
  <Application>Microsoft Office Word</Application>
  <DocSecurity>0</DocSecurity>
  <Lines>115</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 acar</dc:creator>
  <cp:lastModifiedBy>merve.akgul</cp:lastModifiedBy>
  <cp:revision>4</cp:revision>
  <cp:lastPrinted>2016-09-30T08:37:00Z</cp:lastPrinted>
  <dcterms:created xsi:type="dcterms:W3CDTF">2016-10-07T07:01:00Z</dcterms:created>
  <dcterms:modified xsi:type="dcterms:W3CDTF">2016-10-07T07:09:00Z</dcterms:modified>
</cp:coreProperties>
</file>