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4FD" w:rsidRPr="00F20918" w:rsidRDefault="0093214C" w:rsidP="00AE0BBB">
      <w:pPr>
        <w:spacing w:line="288" w:lineRule="auto"/>
        <w:ind w:right="-319"/>
        <w:jc w:val="center"/>
        <w:rPr>
          <w:rFonts w:ascii="Arial" w:hAnsi="Arial" w:cs="Arial"/>
          <w:b/>
          <w:bCs/>
          <w:sz w:val="20"/>
          <w:szCs w:val="20"/>
        </w:rPr>
      </w:pPr>
      <w:r w:rsidRPr="00F20918">
        <w:rPr>
          <w:noProof/>
        </w:rPr>
        <mc:AlternateContent>
          <mc:Choice Requires="wps">
            <w:drawing>
              <wp:anchor distT="0" distB="0" distL="114935" distR="114935" simplePos="0" relativeHeight="251657216" behindDoc="0" locked="0" layoutInCell="1" allowOverlap="1">
                <wp:simplePos x="0" y="0"/>
                <wp:positionH relativeFrom="column">
                  <wp:posOffset>1257300</wp:posOffset>
                </wp:positionH>
                <wp:positionV relativeFrom="paragraph">
                  <wp:posOffset>-77470</wp:posOffset>
                </wp:positionV>
                <wp:extent cx="4343400" cy="64897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FC" w:rsidRDefault="003822FC" w:rsidP="00803E3E">
                            <w:pPr>
                              <w:pStyle w:val="Heading1"/>
                              <w:rPr>
                                <w:rFonts w:ascii="Times New Roman" w:hAnsi="Times New Roman" w:cs="Times New Roman"/>
                                <w:sz w:val="40"/>
                                <w:szCs w:val="40"/>
                              </w:rPr>
                            </w:pPr>
                            <w:r>
                              <w:rPr>
                                <w:rFonts w:ascii="Times New Roman" w:hAnsi="Times New Roman" w:cs="Times New Roman"/>
                                <w:sz w:val="40"/>
                                <w:szCs w:val="40"/>
                              </w:rPr>
                              <w:t>Growth Evaluation</w:t>
                            </w:r>
                            <w:r w:rsidRPr="00803E3E">
                              <w:rPr>
                                <w:rFonts w:ascii="Times New Roman" w:hAnsi="Times New Roman" w:cs="Times New Roman"/>
                                <w:sz w:val="40"/>
                                <w:szCs w:val="40"/>
                              </w:rPr>
                              <w:t xml:space="preserve">: </w:t>
                            </w:r>
                          </w:p>
                          <w:p w:rsidR="003822FC" w:rsidRPr="00803E3E" w:rsidRDefault="003822FC" w:rsidP="00803E3E">
                            <w:pPr>
                              <w:pStyle w:val="Heading1"/>
                              <w:rPr>
                                <w:rFonts w:ascii="Times New Roman" w:hAnsi="Times New Roman" w:cs="Times New Roman"/>
                                <w:sz w:val="40"/>
                                <w:szCs w:val="40"/>
                              </w:rPr>
                            </w:pPr>
                            <w:r>
                              <w:rPr>
                                <w:rFonts w:ascii="Times New Roman" w:hAnsi="Times New Roman" w:cs="Times New Roman"/>
                                <w:sz w:val="40"/>
                                <w:szCs w:val="40"/>
                              </w:rPr>
                              <w:t>2016 2. Quarter</w:t>
                            </w:r>
                          </w:p>
                          <w:p w:rsidR="003822FC" w:rsidRPr="00526178" w:rsidRDefault="003822FC" w:rsidP="007750EF">
                            <w:pPr>
                              <w:pStyle w:val="Heading2"/>
                              <w:rPr>
                                <w:b w:val="0"/>
                                <w:bCs w:val="0"/>
                                <w:i w:val="0"/>
                                <w:iCs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pt;margin-top:-6.1pt;width:342pt;height:51.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" stroked="f">
                <v:fill opacity="0"/>
                <v:textbox inset="0,0,0,0">
                  <w:txbxContent>
                    <w:p w:rsidR="003822FC" w:rsidRDefault="003822FC" w:rsidP="00803E3E">
                      <w:pPr>
                        <w:pStyle w:val="Heading1"/>
                        <w:rPr>
                          <w:rFonts w:ascii="Times New Roman" w:hAnsi="Times New Roman" w:cs="Times New Roman"/>
                          <w:sz w:val="40"/>
                          <w:szCs w:val="40"/>
                        </w:rPr>
                      </w:pPr>
                      <w:r>
                        <w:rPr>
                          <w:rFonts w:ascii="Times New Roman" w:hAnsi="Times New Roman" w:cs="Times New Roman"/>
                          <w:sz w:val="40"/>
                          <w:szCs w:val="40"/>
                        </w:rPr>
                        <w:t>Growth Evaluation</w:t>
                      </w:r>
                      <w:r w:rsidRPr="00803E3E">
                        <w:rPr>
                          <w:rFonts w:ascii="Times New Roman" w:hAnsi="Times New Roman" w:cs="Times New Roman"/>
                          <w:sz w:val="40"/>
                          <w:szCs w:val="40"/>
                        </w:rPr>
                        <w:t xml:space="preserve">: </w:t>
                      </w:r>
                    </w:p>
                    <w:p w:rsidR="003822FC" w:rsidRPr="00803E3E" w:rsidRDefault="003822FC" w:rsidP="00803E3E">
                      <w:pPr>
                        <w:pStyle w:val="Heading1"/>
                        <w:rPr>
                          <w:rFonts w:ascii="Times New Roman" w:hAnsi="Times New Roman" w:cs="Times New Roman"/>
                          <w:sz w:val="40"/>
                          <w:szCs w:val="40"/>
                        </w:rPr>
                      </w:pPr>
                      <w:r>
                        <w:rPr>
                          <w:rFonts w:ascii="Times New Roman" w:hAnsi="Times New Roman" w:cs="Times New Roman"/>
                          <w:sz w:val="40"/>
                          <w:szCs w:val="40"/>
                        </w:rPr>
                        <w:t>2016 2. Quarter</w:t>
                      </w:r>
                    </w:p>
                    <w:p w:rsidR="003822FC" w:rsidRPr="00526178" w:rsidRDefault="003822FC" w:rsidP="007750EF">
                      <w:pPr>
                        <w:pStyle w:val="Heading2"/>
                        <w:rPr>
                          <w:b w:val="0"/>
                          <w:bCs w:val="0"/>
                          <w:i w:val="0"/>
                          <w:iCs w:val="0"/>
                        </w:rPr>
                      </w:pPr>
                    </w:p>
                  </w:txbxContent>
                </v:textbox>
              </v:shape>
            </w:pict>
          </mc:Fallback>
        </mc:AlternateContent>
      </w:r>
      <w:r w:rsidR="005A7A25" w:rsidRPr="00F20918">
        <w:rPr>
          <w:noProof/>
        </w:rPr>
        <w:drawing>
          <wp:anchor distT="0" distB="0" distL="114300" distR="114300" simplePos="0" relativeHeight="251654144" behindDoc="1" locked="0" layoutInCell="1" allowOverlap="1">
            <wp:simplePos x="0" y="0"/>
            <wp:positionH relativeFrom="column">
              <wp:posOffset>-800100</wp:posOffset>
            </wp:positionH>
            <wp:positionV relativeFrom="paragraph">
              <wp:posOffset>-228600</wp:posOffset>
            </wp:positionV>
            <wp:extent cx="7315200" cy="13303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a:srcRect/>
                    <a:stretch>
                      <a:fillRect/>
                    </a:stretch>
                  </pic:blipFill>
                  <pic:spPr bwMode="auto">
                    <a:xfrm>
                      <a:off x="0" y="0"/>
                      <a:ext cx="7315200" cy="1330325"/>
                    </a:xfrm>
                    <a:prstGeom prst="rect">
                      <a:avLst/>
                    </a:prstGeom>
                    <a:noFill/>
                  </pic:spPr>
                </pic:pic>
              </a:graphicData>
            </a:graphic>
          </wp:anchor>
        </w:drawing>
      </w:r>
    </w:p>
    <w:p w:rsidR="00B834FD" w:rsidRPr="00F20918" w:rsidRDefault="00B834FD" w:rsidP="00AE0BBB">
      <w:pPr>
        <w:spacing w:line="288" w:lineRule="auto"/>
        <w:ind w:right="-319"/>
        <w:jc w:val="center"/>
        <w:rPr>
          <w:rFonts w:ascii="Arial" w:hAnsi="Arial" w:cs="Arial"/>
          <w:b/>
          <w:bCs/>
          <w:sz w:val="20"/>
          <w:szCs w:val="20"/>
        </w:rPr>
      </w:pPr>
    </w:p>
    <w:p w:rsidR="00B834FD" w:rsidRPr="00F20918" w:rsidRDefault="00B834FD" w:rsidP="00AE0BBB">
      <w:pPr>
        <w:spacing w:line="288" w:lineRule="auto"/>
        <w:ind w:right="-319"/>
        <w:jc w:val="center"/>
        <w:rPr>
          <w:rFonts w:ascii="Arial" w:hAnsi="Arial" w:cs="Arial"/>
          <w:b/>
          <w:bCs/>
          <w:sz w:val="20"/>
          <w:szCs w:val="20"/>
        </w:rPr>
      </w:pPr>
    </w:p>
    <w:p w:rsidR="00B834FD" w:rsidRPr="00F20918" w:rsidRDefault="0093214C" w:rsidP="00AE0BBB">
      <w:pPr>
        <w:spacing w:line="288" w:lineRule="auto"/>
        <w:ind w:right="-319"/>
        <w:jc w:val="center"/>
        <w:rPr>
          <w:rFonts w:ascii="Arial" w:hAnsi="Arial" w:cs="Arial"/>
          <w:b/>
          <w:bCs/>
          <w:sz w:val="20"/>
          <w:szCs w:val="20"/>
        </w:rPr>
      </w:pPr>
      <w:r w:rsidRPr="00F20918">
        <w:rPr>
          <w:noProof/>
        </w:rPr>
        <mc:AlternateContent>
          <mc:Choice Requires="wps">
            <w:drawing>
              <wp:anchor distT="0" distB="0" distL="114935" distR="114935" simplePos="0" relativeHeight="251658240" behindDoc="0" locked="0" layoutInCell="1" allowOverlap="1">
                <wp:simplePos x="0" y="0"/>
                <wp:positionH relativeFrom="column">
                  <wp:posOffset>4577080</wp:posOffset>
                </wp:positionH>
                <wp:positionV relativeFrom="paragraph">
                  <wp:posOffset>132080</wp:posOffset>
                </wp:positionV>
                <wp:extent cx="1873885" cy="45466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22FC" w:rsidRPr="00187FA0" w:rsidRDefault="003822FC" w:rsidP="007750EF">
                            <w:pPr>
                              <w:pStyle w:val="Heading3"/>
                              <w:rPr>
                                <w:color w:val="FFFFFF"/>
                                <w:sz w:val="22"/>
                                <w:szCs w:val="22"/>
                                <w:lang w:val="tr-TR"/>
                              </w:rPr>
                            </w:pPr>
                            <w:r w:rsidRPr="00187FA0">
                              <w:rPr>
                                <w:color w:val="FFFFFF"/>
                                <w:sz w:val="22"/>
                                <w:szCs w:val="22"/>
                                <w:lang w:val="tr-TR"/>
                              </w:rPr>
                              <w:t xml:space="preserve">               </w:t>
                            </w:r>
                            <w:r>
                              <w:rPr>
                                <w:color w:val="FFFFFF"/>
                                <w:sz w:val="22"/>
                                <w:szCs w:val="22"/>
                                <w:lang w:val="tr-TR"/>
                              </w:rPr>
                              <w:t>9 September 2016</w:t>
                            </w:r>
                          </w:p>
                          <w:p w:rsidR="003822FC" w:rsidRPr="00187FA0" w:rsidRDefault="003822FC" w:rsidP="007750E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0.4pt;margin-top:10.4pt;width:147.55pt;height:35.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" stroked="f">
                <v:fill opacity="0"/>
                <v:textbox inset="0,0,0,0">
                  <w:txbxContent>
                    <w:p w:rsidR="003822FC" w:rsidRPr="00187FA0" w:rsidRDefault="003822FC" w:rsidP="007750EF">
                      <w:pPr>
                        <w:pStyle w:val="Heading3"/>
                        <w:rPr>
                          <w:color w:val="FFFFFF"/>
                          <w:sz w:val="22"/>
                          <w:szCs w:val="22"/>
                          <w:lang w:val="tr-TR"/>
                        </w:rPr>
                      </w:pPr>
                      <w:r w:rsidRPr="00187FA0">
                        <w:rPr>
                          <w:color w:val="FFFFFF"/>
                          <w:sz w:val="22"/>
                          <w:szCs w:val="22"/>
                          <w:lang w:val="tr-TR"/>
                        </w:rPr>
                        <w:t xml:space="preserve">               </w:t>
                      </w:r>
                      <w:r>
                        <w:rPr>
                          <w:color w:val="FFFFFF"/>
                          <w:sz w:val="22"/>
                          <w:szCs w:val="22"/>
                          <w:lang w:val="tr-TR"/>
                        </w:rPr>
                        <w:t>9 September 2016</w:t>
                      </w:r>
                    </w:p>
                    <w:p w:rsidR="003822FC" w:rsidRPr="00187FA0" w:rsidRDefault="003822FC" w:rsidP="007750EF"/>
                  </w:txbxContent>
                </v:textbox>
              </v:shape>
            </w:pict>
          </mc:Fallback>
        </mc:AlternateContent>
      </w:r>
    </w:p>
    <w:p w:rsidR="00B834FD" w:rsidRPr="00F20918" w:rsidRDefault="00B834FD" w:rsidP="00AE0BBB">
      <w:pPr>
        <w:spacing w:line="288" w:lineRule="auto"/>
        <w:ind w:right="-319"/>
        <w:jc w:val="center"/>
        <w:rPr>
          <w:rFonts w:ascii="Arial" w:hAnsi="Arial" w:cs="Arial"/>
          <w:b/>
          <w:bCs/>
          <w:sz w:val="20"/>
          <w:szCs w:val="20"/>
        </w:rPr>
      </w:pPr>
    </w:p>
    <w:p w:rsidR="00B834FD" w:rsidRPr="00F20918" w:rsidRDefault="00B834FD" w:rsidP="00C805B9">
      <w:pPr>
        <w:spacing w:line="288" w:lineRule="auto"/>
        <w:ind w:right="-319"/>
        <w:jc w:val="center"/>
        <w:outlineLvl w:val="0"/>
        <w:rPr>
          <w:rFonts w:ascii="Arial" w:hAnsi="Arial" w:cs="Arial"/>
          <w:b/>
          <w:bCs/>
          <w:sz w:val="28"/>
          <w:szCs w:val="28"/>
        </w:rPr>
      </w:pPr>
    </w:p>
    <w:p w:rsidR="00B834FD" w:rsidRPr="00F20918" w:rsidRDefault="00B834FD" w:rsidP="007750EF">
      <w:pPr>
        <w:spacing w:line="288" w:lineRule="auto"/>
        <w:ind w:right="-319"/>
        <w:outlineLvl w:val="0"/>
        <w:rPr>
          <w:rFonts w:ascii="Arial" w:hAnsi="Arial" w:cs="Arial"/>
          <w:b/>
          <w:bCs/>
          <w:sz w:val="28"/>
          <w:szCs w:val="28"/>
        </w:rPr>
      </w:pPr>
    </w:p>
    <w:p w:rsidR="00FE3990" w:rsidRPr="00F20918" w:rsidRDefault="00602F65" w:rsidP="00C805B9">
      <w:pPr>
        <w:spacing w:line="288" w:lineRule="auto"/>
        <w:ind w:right="-319"/>
        <w:jc w:val="center"/>
        <w:outlineLvl w:val="0"/>
        <w:rPr>
          <w:rFonts w:ascii="Arial" w:hAnsi="Arial" w:cs="Arial"/>
          <w:b/>
          <w:bCs/>
          <w:sz w:val="28"/>
          <w:szCs w:val="28"/>
        </w:rPr>
      </w:pPr>
      <w:r>
        <w:rPr>
          <w:rFonts w:ascii="Arial" w:hAnsi="Arial" w:cs="Arial"/>
          <w:b/>
          <w:bCs/>
          <w:sz w:val="28"/>
          <w:szCs w:val="28"/>
        </w:rPr>
        <w:t>HARSH</w:t>
      </w:r>
      <w:r w:rsidR="007F030E">
        <w:rPr>
          <w:rFonts w:ascii="Arial" w:hAnsi="Arial" w:cs="Arial"/>
          <w:b/>
          <w:bCs/>
          <w:sz w:val="28"/>
          <w:szCs w:val="28"/>
        </w:rPr>
        <w:t xml:space="preserve"> BRA</w:t>
      </w:r>
      <w:r w:rsidR="0010138D">
        <w:rPr>
          <w:rFonts w:ascii="Arial" w:hAnsi="Arial" w:cs="Arial"/>
          <w:b/>
          <w:bCs/>
          <w:sz w:val="28"/>
          <w:szCs w:val="28"/>
        </w:rPr>
        <w:t>K</w:t>
      </w:r>
      <w:r w:rsidR="007F030E">
        <w:rPr>
          <w:rFonts w:ascii="Arial" w:hAnsi="Arial" w:cs="Arial"/>
          <w:b/>
          <w:bCs/>
          <w:sz w:val="28"/>
          <w:szCs w:val="28"/>
        </w:rPr>
        <w:t>E</w:t>
      </w:r>
      <w:r w:rsidR="0010138D">
        <w:rPr>
          <w:rFonts w:ascii="Arial" w:hAnsi="Arial" w:cs="Arial"/>
          <w:b/>
          <w:bCs/>
          <w:sz w:val="28"/>
          <w:szCs w:val="28"/>
        </w:rPr>
        <w:t xml:space="preserve"> IN </w:t>
      </w:r>
      <w:r w:rsidR="00EB16D6">
        <w:rPr>
          <w:rFonts w:ascii="Arial" w:hAnsi="Arial" w:cs="Arial"/>
          <w:b/>
          <w:bCs/>
          <w:sz w:val="28"/>
          <w:szCs w:val="28"/>
        </w:rPr>
        <w:t>2ND QUARTER GROWTH</w:t>
      </w:r>
    </w:p>
    <w:p w:rsidR="00B834FD" w:rsidRPr="00DE4D69" w:rsidRDefault="00B834FD" w:rsidP="00C805B9">
      <w:pPr>
        <w:spacing w:line="288" w:lineRule="auto"/>
        <w:ind w:right="-319"/>
        <w:jc w:val="center"/>
        <w:outlineLvl w:val="0"/>
        <w:rPr>
          <w:rFonts w:ascii="Arial" w:hAnsi="Arial" w:cs="Arial"/>
          <w:b/>
          <w:bCs/>
          <w:sz w:val="22"/>
          <w:szCs w:val="22"/>
          <w:lang w:val="en-US"/>
        </w:rPr>
      </w:pPr>
    </w:p>
    <w:p w:rsidR="00B834FD" w:rsidRPr="00DE4D69" w:rsidRDefault="00B834FD" w:rsidP="00C805B9">
      <w:pPr>
        <w:spacing w:line="288" w:lineRule="auto"/>
        <w:ind w:right="-319"/>
        <w:jc w:val="center"/>
        <w:outlineLvl w:val="0"/>
        <w:rPr>
          <w:rFonts w:ascii="Arial" w:hAnsi="Arial" w:cs="Arial"/>
          <w:b/>
          <w:bCs/>
          <w:sz w:val="22"/>
          <w:szCs w:val="22"/>
          <w:lang w:val="en-US"/>
        </w:rPr>
      </w:pPr>
      <w:r w:rsidRPr="00DE4D69">
        <w:rPr>
          <w:rFonts w:ascii="Arial" w:hAnsi="Arial" w:cs="Arial"/>
          <w:b/>
          <w:bCs/>
          <w:sz w:val="22"/>
          <w:szCs w:val="22"/>
          <w:lang w:val="en-US"/>
        </w:rPr>
        <w:t xml:space="preserve">Seyfettin </w:t>
      </w:r>
      <w:proofErr w:type="spellStart"/>
      <w:r w:rsidRPr="00DE4D69">
        <w:rPr>
          <w:rFonts w:ascii="Arial" w:hAnsi="Arial" w:cs="Arial"/>
          <w:b/>
          <w:bCs/>
          <w:sz w:val="22"/>
          <w:szCs w:val="22"/>
          <w:lang w:val="en-US"/>
        </w:rPr>
        <w:t>Gürsel</w:t>
      </w:r>
      <w:proofErr w:type="spellEnd"/>
      <w:proofErr w:type="gramStart"/>
      <w:r w:rsidRPr="00DE4D69">
        <w:rPr>
          <w:rFonts w:ascii="Arial" w:hAnsi="Arial" w:cs="Arial"/>
          <w:b/>
          <w:bCs/>
          <w:sz w:val="22"/>
          <w:szCs w:val="22"/>
          <w:vertAlign w:val="superscript"/>
          <w:lang w:val="en-US"/>
        </w:rPr>
        <w:t>•</w:t>
      </w:r>
      <w:r w:rsidR="00633032" w:rsidRPr="00DE4D69">
        <w:rPr>
          <w:rFonts w:ascii="Arial" w:hAnsi="Arial" w:cs="Arial"/>
          <w:b/>
          <w:bCs/>
          <w:sz w:val="22"/>
          <w:szCs w:val="22"/>
          <w:vertAlign w:val="superscript"/>
          <w:lang w:val="en-US"/>
        </w:rPr>
        <w:t xml:space="preserve"> </w:t>
      </w:r>
      <w:r w:rsidR="003B36AB" w:rsidRPr="00DE4D69">
        <w:rPr>
          <w:rFonts w:ascii="Arial" w:hAnsi="Arial" w:cs="Arial"/>
          <w:b/>
          <w:bCs/>
          <w:sz w:val="22"/>
          <w:szCs w:val="22"/>
          <w:lang w:val="en-US"/>
        </w:rPr>
        <w:t xml:space="preserve"> </w:t>
      </w:r>
      <w:r w:rsidR="00602F65">
        <w:rPr>
          <w:rFonts w:ascii="Arial" w:hAnsi="Arial" w:cs="Arial"/>
          <w:b/>
          <w:bCs/>
          <w:sz w:val="22"/>
          <w:szCs w:val="22"/>
          <w:lang w:val="en-US"/>
        </w:rPr>
        <w:t>and</w:t>
      </w:r>
      <w:proofErr w:type="gramEnd"/>
      <w:r w:rsidRPr="00DE4D69">
        <w:rPr>
          <w:rFonts w:ascii="Arial" w:hAnsi="Arial" w:cs="Arial"/>
          <w:b/>
          <w:bCs/>
          <w:sz w:val="22"/>
          <w:szCs w:val="22"/>
          <w:lang w:val="en-US"/>
        </w:rPr>
        <w:t xml:space="preserve"> </w:t>
      </w:r>
      <w:r w:rsidR="00E749EF" w:rsidRPr="00DE4D69">
        <w:rPr>
          <w:rFonts w:ascii="Arial" w:hAnsi="Arial" w:cs="Arial"/>
          <w:b/>
          <w:bCs/>
          <w:sz w:val="22"/>
          <w:szCs w:val="22"/>
          <w:lang w:val="en-US"/>
        </w:rPr>
        <w:t xml:space="preserve">Selin </w:t>
      </w:r>
      <w:proofErr w:type="spellStart"/>
      <w:r w:rsidR="00E749EF" w:rsidRPr="00DE4D69">
        <w:rPr>
          <w:rFonts w:ascii="Arial" w:hAnsi="Arial" w:cs="Arial"/>
          <w:b/>
          <w:bCs/>
          <w:sz w:val="22"/>
          <w:szCs w:val="22"/>
          <w:lang w:val="en-US"/>
        </w:rPr>
        <w:t>Köksal</w:t>
      </w:r>
      <w:proofErr w:type="spellEnd"/>
      <w:r w:rsidRPr="00DE4D69">
        <w:rPr>
          <w:rFonts w:ascii="Arial" w:hAnsi="Arial" w:cs="Arial"/>
          <w:b/>
          <w:bCs/>
          <w:sz w:val="22"/>
          <w:szCs w:val="22"/>
          <w:vertAlign w:val="superscript"/>
          <w:lang w:val="en-US"/>
        </w:rPr>
        <w:t>†</w:t>
      </w:r>
    </w:p>
    <w:p w:rsidR="00B834FD" w:rsidRPr="00DE4D69" w:rsidRDefault="00B834FD" w:rsidP="00AE0BBB">
      <w:pPr>
        <w:spacing w:line="288" w:lineRule="auto"/>
        <w:ind w:right="-318"/>
        <w:jc w:val="both"/>
        <w:rPr>
          <w:rFonts w:ascii="Arial" w:hAnsi="Arial" w:cs="Arial"/>
          <w:b/>
          <w:bCs/>
          <w:sz w:val="20"/>
          <w:szCs w:val="20"/>
          <w:lang w:val="en-US"/>
        </w:rPr>
      </w:pPr>
    </w:p>
    <w:p w:rsidR="00B834FD" w:rsidRPr="00DE4D69" w:rsidRDefault="00B834FD" w:rsidP="00AE0BBB">
      <w:pPr>
        <w:spacing w:line="288" w:lineRule="auto"/>
        <w:ind w:right="-318"/>
        <w:jc w:val="both"/>
        <w:rPr>
          <w:rFonts w:ascii="Arial" w:hAnsi="Arial" w:cs="Arial"/>
          <w:b/>
          <w:bCs/>
          <w:sz w:val="20"/>
          <w:szCs w:val="20"/>
          <w:lang w:val="en-US"/>
        </w:rPr>
        <w:sectPr w:rsidR="00B834FD" w:rsidRPr="00DE4D69" w:rsidSect="007750EF">
          <w:footerReference w:type="default" r:id="rId10"/>
          <w:footnotePr>
            <w:numFmt w:val="chicago"/>
          </w:footnotePr>
          <w:pgSz w:w="11906" w:h="16838"/>
          <w:pgMar w:top="719" w:right="1417" w:bottom="1417" w:left="1417" w:header="708" w:footer="708" w:gutter="0"/>
          <w:cols w:space="709"/>
          <w:docGrid w:linePitch="360"/>
        </w:sectPr>
      </w:pPr>
    </w:p>
    <w:p w:rsidR="00B834FD" w:rsidRPr="00DE4D69" w:rsidRDefault="00B834FD" w:rsidP="00110EBA">
      <w:pPr>
        <w:pStyle w:val="NormalWeb"/>
        <w:spacing w:before="0" w:beforeAutospacing="0" w:after="0" w:afterAutospacing="0"/>
        <w:jc w:val="both"/>
        <w:rPr>
          <w:rFonts w:ascii="Arial" w:hAnsi="Arial" w:cs="Arial"/>
          <w:sz w:val="22"/>
          <w:szCs w:val="22"/>
          <w:lang w:val="en-US"/>
        </w:rPr>
      </w:pPr>
    </w:p>
    <w:p w:rsidR="00B834FD" w:rsidRPr="00DE4D69" w:rsidRDefault="00EB16D6" w:rsidP="001C629C">
      <w:pPr>
        <w:pStyle w:val="NormalWeb"/>
        <w:spacing w:before="0" w:beforeAutospacing="0" w:after="0" w:afterAutospacing="0"/>
        <w:jc w:val="center"/>
        <w:rPr>
          <w:rFonts w:ascii="Arial" w:hAnsi="Arial" w:cs="Arial"/>
          <w:b/>
          <w:bCs/>
          <w:sz w:val="22"/>
          <w:szCs w:val="22"/>
          <w:lang w:val="en-US"/>
        </w:rPr>
      </w:pPr>
      <w:r w:rsidRPr="00DE4D69">
        <w:rPr>
          <w:rFonts w:ascii="Arial" w:hAnsi="Arial" w:cs="Arial"/>
          <w:b/>
          <w:bCs/>
          <w:sz w:val="22"/>
          <w:szCs w:val="22"/>
          <w:lang w:val="en-US"/>
        </w:rPr>
        <w:t>Executive Summary</w:t>
      </w:r>
    </w:p>
    <w:p w:rsidR="00B834FD" w:rsidRPr="00DE4D69" w:rsidRDefault="00B834FD" w:rsidP="0058797D">
      <w:pPr>
        <w:pStyle w:val="NormalWeb"/>
        <w:spacing w:before="0" w:beforeAutospacing="0" w:after="0" w:afterAutospacing="0"/>
        <w:rPr>
          <w:rFonts w:ascii="Arial" w:hAnsi="Arial" w:cs="Arial"/>
          <w:b/>
          <w:bCs/>
          <w:sz w:val="22"/>
          <w:szCs w:val="22"/>
          <w:highlight w:val="yellow"/>
          <w:lang w:val="en-US"/>
        </w:rPr>
      </w:pPr>
    </w:p>
    <w:p w:rsidR="00AB0D3B" w:rsidRPr="00DE4D69" w:rsidRDefault="0074642A" w:rsidP="004E3889">
      <w:pPr>
        <w:pStyle w:val="NormalWeb"/>
        <w:spacing w:before="0" w:beforeAutospacing="0" w:after="0" w:afterAutospacing="0" w:line="300" w:lineRule="atLeast"/>
        <w:jc w:val="both"/>
        <w:rPr>
          <w:rFonts w:ascii="Arial" w:hAnsi="Arial" w:cs="Arial"/>
          <w:sz w:val="20"/>
          <w:szCs w:val="20"/>
          <w:lang w:val="en-US"/>
        </w:rPr>
      </w:pPr>
      <w:r w:rsidRPr="00DE4D69">
        <w:rPr>
          <w:rFonts w:ascii="Arial" w:hAnsi="Arial" w:cs="Arial"/>
          <w:sz w:val="20"/>
          <w:szCs w:val="20"/>
          <w:lang w:val="en-US"/>
        </w:rPr>
        <w:t xml:space="preserve">From the first quarter of 2016 </w:t>
      </w:r>
      <w:proofErr w:type="gramStart"/>
      <w:r w:rsidRPr="00DE4D69">
        <w:rPr>
          <w:rFonts w:ascii="Arial" w:hAnsi="Arial" w:cs="Arial"/>
          <w:sz w:val="20"/>
          <w:szCs w:val="20"/>
          <w:lang w:val="en-US"/>
        </w:rPr>
        <w:t xml:space="preserve">to </w:t>
      </w:r>
      <w:r w:rsidR="004063B7">
        <w:rPr>
          <w:rFonts w:ascii="Arial" w:hAnsi="Arial" w:cs="Arial"/>
          <w:sz w:val="20"/>
          <w:szCs w:val="20"/>
          <w:lang w:val="en-US"/>
        </w:rPr>
        <w:t xml:space="preserve"> the</w:t>
      </w:r>
      <w:proofErr w:type="gramEnd"/>
      <w:r w:rsidR="004063B7">
        <w:rPr>
          <w:rFonts w:ascii="Arial" w:hAnsi="Arial" w:cs="Arial"/>
          <w:sz w:val="20"/>
          <w:szCs w:val="20"/>
          <w:lang w:val="en-US"/>
        </w:rPr>
        <w:t xml:space="preserve"> </w:t>
      </w:r>
      <w:r w:rsidRPr="00DE4D69">
        <w:rPr>
          <w:rFonts w:ascii="Arial" w:hAnsi="Arial" w:cs="Arial"/>
          <w:sz w:val="20"/>
          <w:szCs w:val="20"/>
          <w:lang w:val="en-US"/>
        </w:rPr>
        <w:t>second, GDP grew by 0.3 percent which is below expectations.</w:t>
      </w:r>
      <w:r w:rsidR="000A0B90" w:rsidRPr="00DE4D69">
        <w:rPr>
          <w:rFonts w:ascii="Arial" w:hAnsi="Arial" w:cs="Arial"/>
          <w:sz w:val="20"/>
          <w:szCs w:val="20"/>
          <w:lang w:val="en-US"/>
        </w:rPr>
        <w:t xml:space="preserve"> O</w:t>
      </w:r>
      <w:r w:rsidRPr="00DE4D69">
        <w:rPr>
          <w:rFonts w:ascii="Arial" w:hAnsi="Arial" w:cs="Arial"/>
          <w:sz w:val="20"/>
          <w:szCs w:val="20"/>
          <w:lang w:val="en-US"/>
        </w:rPr>
        <w:t xml:space="preserve">n yearly basis, Turkish economy </w:t>
      </w:r>
      <w:r w:rsidR="000A0B90" w:rsidRPr="00DE4D69">
        <w:rPr>
          <w:rFonts w:ascii="Arial" w:hAnsi="Arial" w:cs="Arial"/>
          <w:sz w:val="20"/>
          <w:szCs w:val="20"/>
          <w:lang w:val="en-US"/>
        </w:rPr>
        <w:t xml:space="preserve">also </w:t>
      </w:r>
      <w:r w:rsidRPr="00DE4D69">
        <w:rPr>
          <w:rFonts w:ascii="Arial" w:hAnsi="Arial" w:cs="Arial"/>
          <w:sz w:val="20"/>
          <w:szCs w:val="20"/>
          <w:lang w:val="en-US"/>
        </w:rPr>
        <w:t>showed low performance by growing 3.1 percent in the second quarter of 2016.</w:t>
      </w:r>
      <w:r w:rsidR="00653D02" w:rsidRPr="00DE4D69">
        <w:rPr>
          <w:rFonts w:ascii="Arial" w:hAnsi="Arial" w:cs="Arial"/>
          <w:sz w:val="20"/>
          <w:szCs w:val="20"/>
          <w:lang w:val="en-US"/>
        </w:rPr>
        <w:t xml:space="preserve"> </w:t>
      </w:r>
    </w:p>
    <w:p w:rsidR="000A0B90" w:rsidRPr="00DE4D69" w:rsidRDefault="000A0B90" w:rsidP="000A0B90">
      <w:pPr>
        <w:pStyle w:val="NormalWeb"/>
        <w:spacing w:before="0" w:beforeAutospacing="0" w:after="0" w:afterAutospacing="0" w:line="360" w:lineRule="auto"/>
        <w:jc w:val="both"/>
        <w:rPr>
          <w:rFonts w:ascii="Arial" w:hAnsi="Arial" w:cs="Arial"/>
          <w:sz w:val="20"/>
          <w:szCs w:val="20"/>
          <w:highlight w:val="yellow"/>
          <w:lang w:val="en-US"/>
        </w:rPr>
      </w:pPr>
    </w:p>
    <w:p w:rsidR="000A0B90" w:rsidRPr="00DE4D69" w:rsidRDefault="000A0B90" w:rsidP="000A0B90">
      <w:pPr>
        <w:spacing w:line="360" w:lineRule="auto"/>
        <w:jc w:val="both"/>
        <w:rPr>
          <w:rFonts w:ascii="Arial" w:hAnsi="Arial" w:cs="Arial"/>
          <w:sz w:val="20"/>
          <w:szCs w:val="20"/>
          <w:lang w:val="en-US"/>
        </w:rPr>
      </w:pPr>
      <w:r w:rsidRPr="00DE4D69">
        <w:rPr>
          <w:rFonts w:ascii="Arial" w:hAnsi="Arial" w:cs="Arial"/>
          <w:sz w:val="20"/>
          <w:szCs w:val="20"/>
          <w:lang w:val="en-US"/>
        </w:rPr>
        <w:t>Private consumption and net export are two components that dragge</w:t>
      </w:r>
      <w:bookmarkStart w:id="0" w:name="_GoBack"/>
      <w:bookmarkEnd w:id="0"/>
      <w:r w:rsidRPr="00DE4D69">
        <w:rPr>
          <w:rFonts w:ascii="Arial" w:hAnsi="Arial" w:cs="Arial"/>
          <w:sz w:val="20"/>
          <w:szCs w:val="20"/>
          <w:lang w:val="en-US"/>
        </w:rPr>
        <w:t>d down the quarterly economic growth.</w:t>
      </w:r>
      <w:r w:rsidR="00B620FC" w:rsidRPr="00DE4D69">
        <w:rPr>
          <w:rFonts w:ascii="Arial" w:hAnsi="Arial" w:cs="Arial"/>
          <w:sz w:val="20"/>
          <w:szCs w:val="20"/>
          <w:lang w:val="en-US"/>
        </w:rPr>
        <w:t xml:space="preserve"> </w:t>
      </w:r>
      <w:r w:rsidRPr="00D761B0">
        <w:rPr>
          <w:rFonts w:ascii="Arial" w:hAnsi="Arial" w:cs="Arial"/>
          <w:sz w:val="20"/>
          <w:szCs w:val="20"/>
          <w:lang w:val="en-US"/>
        </w:rPr>
        <w:t>The negative contribution of net export</w:t>
      </w:r>
      <w:r w:rsidR="004063B7" w:rsidRPr="00D761B0">
        <w:rPr>
          <w:rFonts w:ascii="Arial" w:hAnsi="Arial" w:cs="Arial"/>
          <w:sz w:val="20"/>
          <w:szCs w:val="20"/>
          <w:lang w:val="en-US"/>
        </w:rPr>
        <w:t>s</w:t>
      </w:r>
      <w:r w:rsidRPr="00D761B0">
        <w:rPr>
          <w:rFonts w:ascii="Arial" w:hAnsi="Arial" w:cs="Arial"/>
          <w:sz w:val="20"/>
          <w:szCs w:val="20"/>
          <w:lang w:val="en-US"/>
        </w:rPr>
        <w:t xml:space="preserve"> was expected. However </w:t>
      </w:r>
      <w:r w:rsidR="004063B7" w:rsidRPr="00D761B0">
        <w:rPr>
          <w:rFonts w:ascii="Arial" w:hAnsi="Arial" w:cs="Arial"/>
          <w:sz w:val="20"/>
          <w:szCs w:val="20"/>
          <w:lang w:val="en-US"/>
        </w:rPr>
        <w:t>the</w:t>
      </w:r>
      <w:r w:rsidRPr="00D761B0">
        <w:rPr>
          <w:rFonts w:ascii="Arial" w:hAnsi="Arial" w:cs="Arial"/>
          <w:sz w:val="20"/>
          <w:szCs w:val="20"/>
          <w:lang w:val="en-US"/>
        </w:rPr>
        <w:t xml:space="preserve"> fall by 2.8 percent </w:t>
      </w:r>
      <w:r w:rsidR="00267E54" w:rsidRPr="00D761B0">
        <w:rPr>
          <w:rFonts w:ascii="Arial" w:hAnsi="Arial" w:cs="Arial"/>
          <w:sz w:val="20"/>
          <w:szCs w:val="20"/>
          <w:lang w:val="en-US"/>
        </w:rPr>
        <w:t>in</w:t>
      </w:r>
      <w:r w:rsidR="004063B7" w:rsidRPr="00D761B0">
        <w:rPr>
          <w:rFonts w:ascii="Arial" w:hAnsi="Arial" w:cs="Arial"/>
          <w:sz w:val="20"/>
          <w:szCs w:val="20"/>
          <w:lang w:val="en-US"/>
        </w:rPr>
        <w:t xml:space="preserve"> exports </w:t>
      </w:r>
      <w:r w:rsidRPr="00D761B0">
        <w:rPr>
          <w:rFonts w:ascii="Arial" w:hAnsi="Arial" w:cs="Arial"/>
          <w:sz w:val="20"/>
          <w:szCs w:val="20"/>
          <w:lang w:val="en-US"/>
        </w:rPr>
        <w:t>combined with the unexpected</w:t>
      </w:r>
      <w:r w:rsidRPr="00DE4D69">
        <w:rPr>
          <w:rFonts w:ascii="Arial" w:hAnsi="Arial" w:cs="Arial"/>
          <w:sz w:val="20"/>
          <w:szCs w:val="20"/>
          <w:lang w:val="en-US"/>
        </w:rPr>
        <w:t xml:space="preserve"> decline in private consumption by 0.5 percent affected economic growth in a negative way.</w:t>
      </w:r>
    </w:p>
    <w:p w:rsidR="00F6722D" w:rsidRPr="00DE4D69" w:rsidRDefault="000A0B90" w:rsidP="00470351">
      <w:pPr>
        <w:pStyle w:val="NormalWeb"/>
        <w:spacing w:before="0" w:beforeAutospacing="0" w:after="0" w:afterAutospacing="0" w:line="300" w:lineRule="atLeast"/>
        <w:jc w:val="both"/>
        <w:rPr>
          <w:rFonts w:ascii="Arial" w:hAnsi="Arial" w:cs="Arial"/>
          <w:sz w:val="20"/>
          <w:szCs w:val="20"/>
          <w:lang w:val="en-US"/>
        </w:rPr>
      </w:pPr>
      <w:r w:rsidRPr="00DE4D69">
        <w:rPr>
          <w:rFonts w:ascii="Arial" w:hAnsi="Arial" w:cs="Arial"/>
          <w:sz w:val="20"/>
          <w:szCs w:val="20"/>
          <w:lang w:val="en-US"/>
        </w:rPr>
        <w:t>On the other hand,</w:t>
      </w:r>
      <w:r w:rsidR="005E5A0A" w:rsidRPr="00DE4D69">
        <w:rPr>
          <w:rFonts w:ascii="Arial" w:hAnsi="Arial" w:cs="Arial"/>
          <w:sz w:val="20"/>
          <w:szCs w:val="20"/>
          <w:lang w:val="en-US"/>
        </w:rPr>
        <w:t xml:space="preserve"> </w:t>
      </w:r>
      <w:r w:rsidR="004063B7">
        <w:rPr>
          <w:rFonts w:ascii="Arial" w:hAnsi="Arial" w:cs="Arial"/>
          <w:sz w:val="20"/>
          <w:szCs w:val="20"/>
          <w:lang w:val="en-US"/>
        </w:rPr>
        <w:t>a positive surprise came from</w:t>
      </w:r>
      <w:r w:rsidR="005E5A0A" w:rsidRPr="00DE4D69">
        <w:rPr>
          <w:rFonts w:ascii="Arial" w:hAnsi="Arial" w:cs="Arial"/>
          <w:sz w:val="20"/>
          <w:szCs w:val="20"/>
          <w:lang w:val="en-US"/>
        </w:rPr>
        <w:t xml:space="preserve">, private investments </w:t>
      </w:r>
      <w:r w:rsidR="004063B7">
        <w:rPr>
          <w:rFonts w:ascii="Arial" w:hAnsi="Arial" w:cs="Arial"/>
          <w:sz w:val="20"/>
          <w:szCs w:val="20"/>
          <w:lang w:val="en-US"/>
        </w:rPr>
        <w:t xml:space="preserve">that </w:t>
      </w:r>
      <w:r w:rsidR="005E5A0A" w:rsidRPr="00DE4D69">
        <w:rPr>
          <w:rFonts w:ascii="Arial" w:hAnsi="Arial" w:cs="Arial"/>
          <w:sz w:val="20"/>
          <w:szCs w:val="20"/>
          <w:lang w:val="en-US"/>
        </w:rPr>
        <w:t xml:space="preserve">grew by 6 percent and government </w:t>
      </w:r>
      <w:r w:rsidR="0066376B" w:rsidRPr="00DE4D69">
        <w:rPr>
          <w:rFonts w:ascii="Arial" w:hAnsi="Arial" w:cs="Arial"/>
          <w:sz w:val="20"/>
          <w:szCs w:val="20"/>
          <w:lang w:val="en-US"/>
        </w:rPr>
        <w:t>spending</w:t>
      </w:r>
      <w:r w:rsidR="005E5A0A" w:rsidRPr="00DE4D69">
        <w:rPr>
          <w:rFonts w:ascii="Arial" w:hAnsi="Arial" w:cs="Arial"/>
          <w:sz w:val="20"/>
          <w:szCs w:val="20"/>
          <w:lang w:val="en-US"/>
        </w:rPr>
        <w:t xml:space="preserve"> </w:t>
      </w:r>
      <w:r w:rsidR="004063B7">
        <w:rPr>
          <w:rFonts w:ascii="Arial" w:hAnsi="Arial" w:cs="Arial"/>
          <w:sz w:val="20"/>
          <w:szCs w:val="20"/>
          <w:lang w:val="en-US"/>
        </w:rPr>
        <w:t xml:space="preserve">contributed also positively to GDP growth </w:t>
      </w:r>
      <w:r w:rsidR="005E5A0A" w:rsidRPr="00DE4D69">
        <w:rPr>
          <w:rFonts w:ascii="Arial" w:hAnsi="Arial" w:cs="Arial"/>
          <w:sz w:val="20"/>
          <w:szCs w:val="20"/>
          <w:lang w:val="en-US"/>
        </w:rPr>
        <w:t>increas</w:t>
      </w:r>
      <w:r w:rsidR="004063B7">
        <w:rPr>
          <w:rFonts w:ascii="Arial" w:hAnsi="Arial" w:cs="Arial"/>
          <w:sz w:val="20"/>
          <w:szCs w:val="20"/>
          <w:lang w:val="en-US"/>
        </w:rPr>
        <w:t xml:space="preserve">ing </w:t>
      </w:r>
      <w:r w:rsidR="005E5A0A" w:rsidRPr="00DE4D69">
        <w:rPr>
          <w:rFonts w:ascii="Arial" w:hAnsi="Arial" w:cs="Arial"/>
          <w:sz w:val="20"/>
          <w:szCs w:val="20"/>
          <w:lang w:val="en-US"/>
        </w:rPr>
        <w:t xml:space="preserve">by 3.5 percent. </w:t>
      </w:r>
      <w:r w:rsidR="004063B7">
        <w:rPr>
          <w:rFonts w:ascii="Arial" w:hAnsi="Arial" w:cs="Arial"/>
          <w:sz w:val="20"/>
          <w:szCs w:val="20"/>
          <w:lang w:val="en-US"/>
        </w:rPr>
        <w:t xml:space="preserve">Finally, these opposite changes </w:t>
      </w:r>
      <w:r w:rsidR="005D5BA2">
        <w:rPr>
          <w:rFonts w:ascii="Arial" w:hAnsi="Arial" w:cs="Arial"/>
          <w:sz w:val="20"/>
          <w:szCs w:val="20"/>
          <w:lang w:val="en-US"/>
        </w:rPr>
        <w:t>produced</w:t>
      </w:r>
      <w:r w:rsidR="005E5A0A" w:rsidRPr="00DE4D69">
        <w:rPr>
          <w:rFonts w:ascii="Arial" w:hAnsi="Arial" w:cs="Arial"/>
          <w:sz w:val="20"/>
          <w:szCs w:val="20"/>
          <w:lang w:val="en-US"/>
        </w:rPr>
        <w:t xml:space="preserve"> a limited growth in quarterly GDP.</w:t>
      </w:r>
      <w:r w:rsidRPr="00DE4D69">
        <w:rPr>
          <w:rFonts w:ascii="Arial" w:hAnsi="Arial" w:cs="Arial"/>
          <w:sz w:val="20"/>
          <w:szCs w:val="20"/>
          <w:lang w:val="en-US"/>
        </w:rPr>
        <w:t xml:space="preserve"> </w:t>
      </w:r>
    </w:p>
    <w:p w:rsidR="00FC232E" w:rsidRPr="00DE4D69" w:rsidRDefault="00FC232E" w:rsidP="00470351">
      <w:pPr>
        <w:pStyle w:val="NormalWeb"/>
        <w:spacing w:before="0" w:beforeAutospacing="0" w:after="0" w:afterAutospacing="0" w:line="300" w:lineRule="atLeast"/>
        <w:jc w:val="both"/>
        <w:rPr>
          <w:rFonts w:ascii="Arial" w:hAnsi="Arial" w:cs="Arial"/>
          <w:sz w:val="20"/>
          <w:szCs w:val="20"/>
          <w:lang w:val="en-US"/>
        </w:rPr>
      </w:pPr>
    </w:p>
    <w:p w:rsidR="00FC232E" w:rsidRPr="00DE4D69" w:rsidRDefault="00FC232E" w:rsidP="00470351">
      <w:pPr>
        <w:pStyle w:val="NormalWeb"/>
        <w:spacing w:before="0" w:beforeAutospacing="0" w:after="0" w:afterAutospacing="0" w:line="300" w:lineRule="atLeast"/>
        <w:jc w:val="both"/>
        <w:rPr>
          <w:rFonts w:ascii="Arial" w:hAnsi="Arial" w:cs="Arial"/>
          <w:sz w:val="20"/>
          <w:szCs w:val="20"/>
          <w:lang w:val="en-US"/>
        </w:rPr>
      </w:pPr>
    </w:p>
    <w:p w:rsidR="00FC232E" w:rsidRPr="00DE4D69" w:rsidRDefault="00FC232E" w:rsidP="00470351">
      <w:pPr>
        <w:pStyle w:val="NormalWeb"/>
        <w:spacing w:before="0" w:beforeAutospacing="0" w:after="0" w:afterAutospacing="0" w:line="300" w:lineRule="atLeast"/>
        <w:jc w:val="both"/>
        <w:rPr>
          <w:rFonts w:ascii="Arial" w:hAnsi="Arial" w:cs="Arial"/>
          <w:sz w:val="20"/>
          <w:szCs w:val="20"/>
          <w:lang w:val="en-US"/>
        </w:rPr>
      </w:pPr>
    </w:p>
    <w:p w:rsidR="00FC232E" w:rsidRPr="00DE4D69" w:rsidRDefault="00FC232E" w:rsidP="00470351">
      <w:pPr>
        <w:pStyle w:val="NormalWeb"/>
        <w:spacing w:before="0" w:beforeAutospacing="0" w:after="0" w:afterAutospacing="0" w:line="300" w:lineRule="atLeast"/>
        <w:jc w:val="both"/>
        <w:rPr>
          <w:rFonts w:ascii="Arial" w:hAnsi="Arial" w:cs="Arial"/>
          <w:sz w:val="20"/>
          <w:szCs w:val="20"/>
          <w:lang w:val="en-US"/>
        </w:rPr>
      </w:pPr>
    </w:p>
    <w:p w:rsidR="00FC232E" w:rsidRPr="00DE4D69" w:rsidRDefault="00FC232E" w:rsidP="00470351">
      <w:pPr>
        <w:pStyle w:val="NormalWeb"/>
        <w:spacing w:before="0" w:beforeAutospacing="0" w:after="0" w:afterAutospacing="0" w:line="300" w:lineRule="atLeast"/>
        <w:jc w:val="both"/>
        <w:rPr>
          <w:rFonts w:ascii="Arial" w:hAnsi="Arial" w:cs="Arial"/>
          <w:sz w:val="20"/>
          <w:szCs w:val="20"/>
          <w:lang w:val="en-US"/>
        </w:rPr>
      </w:pPr>
    </w:p>
    <w:p w:rsidR="00F6722D" w:rsidRPr="00DE4D69" w:rsidRDefault="00F6722D" w:rsidP="00470351">
      <w:pPr>
        <w:pStyle w:val="NormalWeb"/>
        <w:spacing w:before="0" w:beforeAutospacing="0" w:after="0" w:afterAutospacing="0" w:line="300" w:lineRule="atLeast"/>
        <w:jc w:val="both"/>
        <w:rPr>
          <w:rFonts w:ascii="Arial" w:hAnsi="Arial" w:cs="Arial"/>
          <w:sz w:val="20"/>
          <w:szCs w:val="20"/>
          <w:lang w:val="en-US"/>
        </w:rPr>
      </w:pPr>
    </w:p>
    <w:p w:rsidR="00F6722D" w:rsidRPr="00DE4D69" w:rsidRDefault="00F6722D" w:rsidP="00470351">
      <w:pPr>
        <w:pStyle w:val="NormalWeb"/>
        <w:spacing w:before="0" w:beforeAutospacing="0" w:after="0" w:afterAutospacing="0" w:line="300" w:lineRule="atLeast"/>
        <w:jc w:val="both"/>
        <w:rPr>
          <w:rFonts w:ascii="Arial" w:hAnsi="Arial" w:cs="Arial"/>
          <w:sz w:val="20"/>
          <w:szCs w:val="20"/>
          <w:lang w:val="en-US"/>
        </w:rPr>
      </w:pPr>
    </w:p>
    <w:p w:rsidR="000C4944" w:rsidRPr="00DE4D69" w:rsidRDefault="000C4944" w:rsidP="00470351">
      <w:pPr>
        <w:pStyle w:val="NormalWeb"/>
        <w:spacing w:before="0" w:beforeAutospacing="0" w:after="0" w:afterAutospacing="0" w:line="300" w:lineRule="atLeast"/>
        <w:jc w:val="both"/>
        <w:rPr>
          <w:rFonts w:ascii="Arial" w:hAnsi="Arial" w:cs="Arial"/>
          <w:sz w:val="20"/>
          <w:szCs w:val="20"/>
          <w:lang w:val="en-US"/>
        </w:rPr>
      </w:pPr>
    </w:p>
    <w:p w:rsidR="00B834FD" w:rsidRPr="00DE4D69" w:rsidRDefault="0093214C" w:rsidP="00A7746C">
      <w:pPr>
        <w:pStyle w:val="NormalWeb"/>
        <w:spacing w:before="0" w:beforeAutospacing="0" w:after="0" w:afterAutospacing="0"/>
        <w:jc w:val="both"/>
        <w:rPr>
          <w:sz w:val="20"/>
          <w:szCs w:val="20"/>
          <w:lang w:val="en-US"/>
        </w:rPr>
      </w:pPr>
      <w:r w:rsidRPr="00DE4D69">
        <w:rPr>
          <w:noProof/>
        </w:rPr>
        <mc:AlternateContent>
          <mc:Choice Requires="wps">
            <w:drawing>
              <wp:anchor distT="4294967291" distB="4294967291" distL="114300" distR="114300" simplePos="0" relativeHeight="251660288" behindDoc="0" locked="0" layoutInCell="1" allowOverlap="1" wp14:anchorId="0A2D12ED" wp14:editId="7E3BD354">
                <wp:simplePos x="0" y="0"/>
                <wp:positionH relativeFrom="column">
                  <wp:posOffset>-48895</wp:posOffset>
                </wp:positionH>
                <wp:positionV relativeFrom="paragraph">
                  <wp:posOffset>46354</wp:posOffset>
                </wp:positionV>
                <wp:extent cx="2971800" cy="0"/>
                <wp:effectExtent l="0" t="0" r="19050" b="19050"/>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4CAC57E" id="Line 5"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85pt,3.65pt" to="230.1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B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Q2t64wqIqNTOhuLoWb2YrabfHVK6aok68Ejx9WIgLQsZyZuUsHEGLtj3nzWDGHL0Ovbp&#10;3NguQEIH0DnKcbnLwc8eUTicLJ6ye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"/>
            </w:pict>
          </mc:Fallback>
        </mc:AlternateContent>
      </w:r>
      <w:r w:rsidR="00B834FD" w:rsidRPr="00DE4D69">
        <w:rPr>
          <w:sz w:val="20"/>
          <w:szCs w:val="20"/>
          <w:lang w:val="en-US"/>
        </w:rPr>
        <w:t xml:space="preserve"> </w:t>
      </w:r>
    </w:p>
    <w:p w:rsidR="00B834FD" w:rsidRPr="00DE4D69" w:rsidRDefault="00B834FD" w:rsidP="00A7746C">
      <w:pPr>
        <w:pStyle w:val="NormalWeb"/>
        <w:spacing w:before="0" w:beforeAutospacing="0" w:after="0" w:afterAutospacing="0"/>
        <w:jc w:val="both"/>
        <w:rPr>
          <w:rFonts w:ascii="Arial" w:hAnsi="Arial" w:cs="Arial"/>
          <w:sz w:val="16"/>
          <w:szCs w:val="16"/>
          <w:lang w:val="en-US"/>
        </w:rPr>
      </w:pPr>
      <w:r w:rsidRPr="00DE4D69">
        <w:rPr>
          <w:rFonts w:ascii="Arial" w:hAnsi="Arial" w:cs="Arial"/>
          <w:sz w:val="16"/>
          <w:szCs w:val="16"/>
          <w:lang w:val="en-US"/>
        </w:rPr>
        <w:t>• Prof. Dr. S</w:t>
      </w:r>
      <w:r w:rsidR="0010138D" w:rsidRPr="00DE4D69">
        <w:rPr>
          <w:rFonts w:ascii="Arial" w:hAnsi="Arial" w:cs="Arial"/>
          <w:sz w:val="16"/>
          <w:szCs w:val="16"/>
          <w:lang w:val="en-US"/>
        </w:rPr>
        <w:t xml:space="preserve">eyfettin </w:t>
      </w:r>
      <w:proofErr w:type="spellStart"/>
      <w:r w:rsidR="0010138D" w:rsidRPr="00DE4D69">
        <w:rPr>
          <w:rFonts w:ascii="Arial" w:hAnsi="Arial" w:cs="Arial"/>
          <w:sz w:val="16"/>
          <w:szCs w:val="16"/>
          <w:lang w:val="en-US"/>
        </w:rPr>
        <w:t>Gürsel</w:t>
      </w:r>
      <w:proofErr w:type="spellEnd"/>
      <w:r w:rsidR="0010138D" w:rsidRPr="00DE4D69">
        <w:rPr>
          <w:rFonts w:ascii="Arial" w:hAnsi="Arial" w:cs="Arial"/>
          <w:sz w:val="16"/>
          <w:szCs w:val="16"/>
          <w:lang w:val="en-US"/>
        </w:rPr>
        <w:t>, Betam, Director</w:t>
      </w:r>
    </w:p>
    <w:p w:rsidR="00B834FD" w:rsidRPr="00DE4D69" w:rsidRDefault="00776722" w:rsidP="00A7746C">
      <w:pPr>
        <w:pStyle w:val="NormalWeb"/>
        <w:spacing w:before="0" w:beforeAutospacing="0" w:after="0" w:afterAutospacing="0"/>
        <w:jc w:val="both"/>
        <w:rPr>
          <w:rFonts w:ascii="Arial" w:hAnsi="Arial" w:cs="Arial"/>
          <w:sz w:val="16"/>
          <w:szCs w:val="16"/>
          <w:lang w:val="en-US"/>
        </w:rPr>
      </w:pPr>
      <w:hyperlink r:id="rId11" w:history="1">
        <w:r w:rsidR="00B834FD" w:rsidRPr="00DE4D69">
          <w:rPr>
            <w:rStyle w:val="Hyperlink"/>
            <w:rFonts w:ascii="Arial" w:hAnsi="Arial" w:cs="Arial"/>
            <w:sz w:val="16"/>
            <w:szCs w:val="16"/>
            <w:lang w:val="en-US"/>
          </w:rPr>
          <w:t>seyfettin.gursel@</w:t>
        </w:r>
        <w:r w:rsidR="00492063" w:rsidRPr="00DE4D69">
          <w:rPr>
            <w:rStyle w:val="Hyperlink"/>
            <w:rFonts w:ascii="Arial" w:hAnsi="Arial" w:cs="Arial"/>
            <w:sz w:val="16"/>
            <w:szCs w:val="16"/>
            <w:lang w:val="en-US"/>
          </w:rPr>
          <w:t>eas.</w:t>
        </w:r>
        <w:r w:rsidR="00B834FD" w:rsidRPr="00DE4D69">
          <w:rPr>
            <w:rStyle w:val="Hyperlink"/>
            <w:rFonts w:ascii="Arial" w:hAnsi="Arial" w:cs="Arial"/>
            <w:sz w:val="16"/>
            <w:szCs w:val="16"/>
            <w:lang w:val="en-US"/>
          </w:rPr>
          <w:t>ba</w:t>
        </w:r>
        <w:r w:rsidR="005C0934" w:rsidRPr="00DE4D69">
          <w:rPr>
            <w:rStyle w:val="Hyperlink"/>
            <w:rFonts w:ascii="Arial" w:hAnsi="Arial" w:cs="Arial"/>
            <w:sz w:val="16"/>
            <w:szCs w:val="16"/>
            <w:lang w:val="en-US"/>
          </w:rPr>
          <w:t>u</w:t>
        </w:r>
        <w:r w:rsidR="00B834FD" w:rsidRPr="00DE4D69">
          <w:rPr>
            <w:rStyle w:val="Hyperlink"/>
            <w:rFonts w:ascii="Arial" w:hAnsi="Arial" w:cs="Arial"/>
            <w:sz w:val="16"/>
            <w:szCs w:val="16"/>
            <w:lang w:val="en-US"/>
          </w:rPr>
          <w:t>.edu.tr</w:t>
        </w:r>
      </w:hyperlink>
    </w:p>
    <w:p w:rsidR="005C0934" w:rsidRPr="00DE4D69" w:rsidRDefault="00B834FD" w:rsidP="005C0934">
      <w:pPr>
        <w:pStyle w:val="NormalWeb"/>
        <w:spacing w:before="0" w:beforeAutospacing="0" w:after="0" w:afterAutospacing="0"/>
        <w:jc w:val="both"/>
        <w:rPr>
          <w:rFonts w:ascii="Arial" w:hAnsi="Arial" w:cs="Arial"/>
          <w:sz w:val="16"/>
          <w:szCs w:val="16"/>
          <w:lang w:val="en-US"/>
        </w:rPr>
      </w:pPr>
      <w:r w:rsidRPr="00DE4D69">
        <w:rPr>
          <w:rFonts w:ascii="Arial" w:hAnsi="Arial" w:cs="Arial"/>
          <w:sz w:val="16"/>
          <w:szCs w:val="16"/>
          <w:lang w:val="en-US"/>
        </w:rPr>
        <w:t xml:space="preserve">† </w:t>
      </w:r>
      <w:r w:rsidR="00686F1C" w:rsidRPr="00DE4D69">
        <w:rPr>
          <w:rFonts w:ascii="Arial" w:hAnsi="Arial" w:cs="Arial"/>
          <w:sz w:val="16"/>
          <w:szCs w:val="16"/>
          <w:lang w:val="en-US"/>
        </w:rPr>
        <w:t xml:space="preserve">Selin </w:t>
      </w:r>
      <w:proofErr w:type="spellStart"/>
      <w:r w:rsidR="00686F1C" w:rsidRPr="00DE4D69">
        <w:rPr>
          <w:rFonts w:ascii="Arial" w:hAnsi="Arial" w:cs="Arial"/>
          <w:sz w:val="16"/>
          <w:szCs w:val="16"/>
          <w:lang w:val="en-US"/>
        </w:rPr>
        <w:t>Köksal</w:t>
      </w:r>
      <w:proofErr w:type="spellEnd"/>
      <w:r w:rsidR="00EB16D6" w:rsidRPr="00DE4D69">
        <w:rPr>
          <w:rFonts w:ascii="Arial" w:hAnsi="Arial" w:cs="Arial"/>
          <w:sz w:val="16"/>
          <w:szCs w:val="16"/>
          <w:lang w:val="en-US"/>
        </w:rPr>
        <w:t>, Betam, Research Assistant</w:t>
      </w:r>
    </w:p>
    <w:p w:rsidR="005C0934" w:rsidRPr="00DE4D69" w:rsidRDefault="00776722" w:rsidP="005C0934">
      <w:pPr>
        <w:pStyle w:val="NormalWeb"/>
        <w:spacing w:before="0" w:beforeAutospacing="0" w:after="0" w:afterAutospacing="0"/>
        <w:jc w:val="both"/>
        <w:rPr>
          <w:rFonts w:ascii="Arial" w:hAnsi="Arial" w:cs="Arial"/>
          <w:sz w:val="16"/>
          <w:szCs w:val="16"/>
          <w:lang w:val="en-US"/>
        </w:rPr>
      </w:pPr>
      <w:hyperlink r:id="rId12" w:history="1">
        <w:r w:rsidR="00686F1C" w:rsidRPr="00DE4D69">
          <w:rPr>
            <w:rStyle w:val="Hyperlink"/>
            <w:rFonts w:ascii="Arial" w:hAnsi="Arial" w:cs="Arial"/>
            <w:sz w:val="16"/>
            <w:szCs w:val="16"/>
            <w:lang w:val="en-US"/>
          </w:rPr>
          <w:t>selin.koksal@eas.bau.edu.tr</w:t>
        </w:r>
      </w:hyperlink>
    </w:p>
    <w:p w:rsidR="00B834FD" w:rsidRPr="00DE4D69" w:rsidRDefault="00B834FD" w:rsidP="005C0934">
      <w:pPr>
        <w:pStyle w:val="NormalWeb"/>
        <w:spacing w:before="0" w:beforeAutospacing="0" w:after="0" w:afterAutospacing="0"/>
        <w:jc w:val="both"/>
        <w:rPr>
          <w:rFonts w:ascii="Arial" w:hAnsi="Arial" w:cs="Arial"/>
          <w:sz w:val="16"/>
          <w:szCs w:val="16"/>
          <w:lang w:val="en-US"/>
        </w:rPr>
      </w:pPr>
    </w:p>
    <w:p w:rsidR="00B834FD" w:rsidRPr="00DE4D69" w:rsidRDefault="00B834FD" w:rsidP="002548F5">
      <w:pPr>
        <w:ind w:right="77"/>
        <w:jc w:val="both"/>
        <w:rPr>
          <w:rFonts w:ascii="Arial" w:hAnsi="Arial" w:cs="Arial"/>
          <w:b/>
          <w:bCs/>
          <w:sz w:val="20"/>
          <w:szCs w:val="20"/>
          <w:lang w:val="en-US"/>
        </w:rPr>
      </w:pPr>
    </w:p>
    <w:p w:rsidR="00B834FD" w:rsidRPr="00DE4D69" w:rsidRDefault="00B834FD" w:rsidP="002548F5">
      <w:pPr>
        <w:ind w:right="77"/>
        <w:jc w:val="both"/>
        <w:rPr>
          <w:rFonts w:ascii="Arial" w:hAnsi="Arial" w:cs="Arial"/>
          <w:b/>
          <w:bCs/>
          <w:sz w:val="20"/>
          <w:szCs w:val="20"/>
          <w:lang w:val="en-US"/>
        </w:rPr>
      </w:pPr>
    </w:p>
    <w:p w:rsidR="00B834FD" w:rsidRPr="00DE4D69" w:rsidRDefault="00B834FD" w:rsidP="002548F5">
      <w:pPr>
        <w:ind w:right="77"/>
        <w:jc w:val="both"/>
        <w:rPr>
          <w:rFonts w:ascii="Arial" w:hAnsi="Arial" w:cs="Arial"/>
          <w:b/>
          <w:bCs/>
          <w:sz w:val="20"/>
          <w:szCs w:val="20"/>
          <w:lang w:val="en-US"/>
        </w:rPr>
      </w:pPr>
    </w:p>
    <w:p w:rsidR="00B834FD" w:rsidRPr="00DE4D69" w:rsidRDefault="00E54A91" w:rsidP="00E54A91">
      <w:pPr>
        <w:pStyle w:val="Caption"/>
        <w:rPr>
          <w:rFonts w:ascii="Arial" w:hAnsi="Arial" w:cs="Arial"/>
          <w:b w:val="0"/>
          <w:bCs w:val="0"/>
          <w:color w:val="000000" w:themeColor="text1"/>
          <w:sz w:val="20"/>
          <w:szCs w:val="20"/>
          <w:lang w:val="en-US"/>
        </w:rPr>
      </w:pPr>
      <w:proofErr w:type="gramStart"/>
      <w:r w:rsidRPr="00DE4D69">
        <w:rPr>
          <w:rFonts w:ascii="Arial" w:hAnsi="Arial" w:cs="Arial"/>
          <w:color w:val="000000" w:themeColor="text1"/>
          <w:sz w:val="20"/>
          <w:szCs w:val="20"/>
          <w:lang w:val="en-US"/>
        </w:rPr>
        <w:lastRenderedPageBreak/>
        <w:t xml:space="preserve">Figure </w:t>
      </w:r>
      <w:r w:rsidRPr="00DE4D69">
        <w:rPr>
          <w:rFonts w:ascii="Arial" w:hAnsi="Arial" w:cs="Arial"/>
          <w:color w:val="000000" w:themeColor="text1"/>
          <w:sz w:val="20"/>
          <w:szCs w:val="20"/>
          <w:lang w:val="en-US"/>
        </w:rPr>
        <w:fldChar w:fldCharType="begin"/>
      </w:r>
      <w:r w:rsidRPr="00DE4D69">
        <w:rPr>
          <w:rFonts w:ascii="Arial" w:hAnsi="Arial" w:cs="Arial"/>
          <w:color w:val="000000" w:themeColor="text1"/>
          <w:sz w:val="20"/>
          <w:szCs w:val="20"/>
          <w:lang w:val="en-US"/>
        </w:rPr>
        <w:instrText xml:space="preserve"> SEQ Figure \* ARABIC </w:instrText>
      </w:r>
      <w:r w:rsidRPr="00DE4D69">
        <w:rPr>
          <w:rFonts w:ascii="Arial" w:hAnsi="Arial" w:cs="Arial"/>
          <w:color w:val="000000" w:themeColor="text1"/>
          <w:sz w:val="20"/>
          <w:szCs w:val="20"/>
          <w:lang w:val="en-US"/>
        </w:rPr>
        <w:fldChar w:fldCharType="separate"/>
      </w:r>
      <w:r w:rsidR="00267E54">
        <w:rPr>
          <w:rFonts w:ascii="Arial" w:hAnsi="Arial" w:cs="Arial"/>
          <w:noProof/>
          <w:color w:val="000000" w:themeColor="text1"/>
          <w:sz w:val="20"/>
          <w:szCs w:val="20"/>
          <w:lang w:val="en-US"/>
        </w:rPr>
        <w:t>1</w:t>
      </w:r>
      <w:r w:rsidRPr="00DE4D69">
        <w:rPr>
          <w:rFonts w:ascii="Arial" w:hAnsi="Arial" w:cs="Arial"/>
          <w:color w:val="000000" w:themeColor="text1"/>
          <w:sz w:val="20"/>
          <w:szCs w:val="20"/>
          <w:lang w:val="en-US"/>
        </w:rPr>
        <w:fldChar w:fldCharType="end"/>
      </w:r>
      <w:r w:rsidR="00D44D8D" w:rsidRPr="00DE4D69">
        <w:rPr>
          <w:rFonts w:ascii="Arial" w:hAnsi="Arial" w:cs="Arial"/>
          <w:color w:val="000000" w:themeColor="text1"/>
          <w:sz w:val="20"/>
          <w:szCs w:val="20"/>
          <w:lang w:val="en-US"/>
        </w:rPr>
        <w:t>.</w:t>
      </w:r>
      <w:proofErr w:type="gramEnd"/>
      <w:r w:rsidR="00B834FD" w:rsidRPr="00DE4D69">
        <w:rPr>
          <w:rFonts w:ascii="Arial" w:hAnsi="Arial" w:cs="Arial"/>
          <w:color w:val="000000" w:themeColor="text1"/>
          <w:sz w:val="20"/>
          <w:szCs w:val="20"/>
          <w:lang w:val="en-US"/>
        </w:rPr>
        <w:t xml:space="preserve"> </w:t>
      </w:r>
      <w:r w:rsidRPr="00DE4D69">
        <w:rPr>
          <w:rFonts w:ascii="Arial" w:hAnsi="Arial" w:cs="Arial"/>
          <w:color w:val="000000" w:themeColor="text1"/>
          <w:sz w:val="20"/>
          <w:szCs w:val="20"/>
          <w:lang w:val="en-US"/>
        </w:rPr>
        <w:t>Change in GDP components from the previous quarter, 2016-Q2</w:t>
      </w:r>
    </w:p>
    <w:p w:rsidR="00B834FD" w:rsidRPr="00DE4D69" w:rsidRDefault="007C1284" w:rsidP="00660DE2">
      <w:pPr>
        <w:ind w:right="77"/>
        <w:jc w:val="both"/>
        <w:rPr>
          <w:lang w:val="en-US"/>
        </w:rPr>
      </w:pPr>
      <w:r w:rsidRPr="00DE4D69">
        <w:rPr>
          <w:noProof/>
        </w:rPr>
        <w:drawing>
          <wp:inline distT="0" distB="0" distL="0" distR="0" wp14:anchorId="5827376C" wp14:editId="73861873">
            <wp:extent cx="3135808" cy="20478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7437" cy="2048939"/>
                    </a:xfrm>
                    <a:prstGeom prst="rect">
                      <a:avLst/>
                    </a:prstGeom>
                    <a:noFill/>
                    <a:ln>
                      <a:noFill/>
                    </a:ln>
                  </pic:spPr>
                </pic:pic>
              </a:graphicData>
            </a:graphic>
          </wp:inline>
        </w:drawing>
      </w:r>
    </w:p>
    <w:p w:rsidR="00B834FD" w:rsidRPr="00DE4D69" w:rsidRDefault="00D44D8D" w:rsidP="00660DE2">
      <w:pPr>
        <w:ind w:right="77"/>
        <w:jc w:val="both"/>
        <w:rPr>
          <w:rFonts w:ascii="Arial" w:hAnsi="Arial" w:cs="Arial"/>
          <w:sz w:val="16"/>
          <w:szCs w:val="16"/>
          <w:lang w:val="en-US"/>
        </w:rPr>
      </w:pPr>
      <w:r w:rsidRPr="00DE4D69">
        <w:rPr>
          <w:rFonts w:ascii="Arial" w:hAnsi="Arial" w:cs="Arial"/>
          <w:sz w:val="16"/>
          <w:szCs w:val="16"/>
          <w:lang w:val="en-US"/>
        </w:rPr>
        <w:t xml:space="preserve">Source: </w:t>
      </w:r>
      <w:proofErr w:type="spellStart"/>
      <w:r w:rsidRPr="00DE4D69">
        <w:rPr>
          <w:rFonts w:ascii="Arial" w:hAnsi="Arial" w:cs="Arial"/>
          <w:sz w:val="16"/>
          <w:szCs w:val="16"/>
          <w:lang w:val="en-US"/>
        </w:rPr>
        <w:t>Turkstat</w:t>
      </w:r>
      <w:proofErr w:type="spellEnd"/>
      <w:r w:rsidRPr="00DE4D69">
        <w:rPr>
          <w:rFonts w:ascii="Arial" w:hAnsi="Arial" w:cs="Arial"/>
          <w:sz w:val="16"/>
          <w:szCs w:val="16"/>
          <w:lang w:val="en-US"/>
        </w:rPr>
        <w:t>. Quarterly indicators are seasonally adjusted</w:t>
      </w:r>
    </w:p>
    <w:p w:rsidR="00E54A91" w:rsidRPr="00DE4D69" w:rsidRDefault="00E54A91" w:rsidP="00E54A91">
      <w:pPr>
        <w:pStyle w:val="Caption"/>
        <w:rPr>
          <w:rFonts w:ascii="Arial" w:hAnsi="Arial" w:cs="Arial"/>
          <w:color w:val="auto"/>
          <w:sz w:val="20"/>
          <w:szCs w:val="20"/>
          <w:lang w:val="en-US"/>
        </w:rPr>
      </w:pPr>
    </w:p>
    <w:p w:rsidR="00E54A91" w:rsidRPr="00DE4D69" w:rsidRDefault="00E54A91" w:rsidP="00E54A91">
      <w:pPr>
        <w:pStyle w:val="Caption"/>
        <w:rPr>
          <w:rFonts w:ascii="Arial" w:hAnsi="Arial" w:cs="Arial"/>
          <w:color w:val="auto"/>
          <w:sz w:val="20"/>
          <w:szCs w:val="20"/>
          <w:lang w:val="en-US"/>
        </w:rPr>
      </w:pPr>
      <w:proofErr w:type="gramStart"/>
      <w:r w:rsidRPr="00DE4D69">
        <w:rPr>
          <w:rFonts w:ascii="Arial" w:hAnsi="Arial" w:cs="Arial"/>
          <w:color w:val="auto"/>
          <w:sz w:val="20"/>
          <w:szCs w:val="20"/>
          <w:lang w:val="en-US"/>
        </w:rPr>
        <w:t xml:space="preserve">Figure </w:t>
      </w:r>
      <w:r w:rsidRPr="00DE4D69">
        <w:rPr>
          <w:rFonts w:ascii="Arial" w:hAnsi="Arial" w:cs="Arial"/>
          <w:color w:val="auto"/>
          <w:sz w:val="20"/>
          <w:szCs w:val="20"/>
          <w:lang w:val="en-US"/>
        </w:rPr>
        <w:fldChar w:fldCharType="begin"/>
      </w:r>
      <w:r w:rsidRPr="00DE4D69">
        <w:rPr>
          <w:rFonts w:ascii="Arial" w:hAnsi="Arial" w:cs="Arial"/>
          <w:color w:val="auto"/>
          <w:sz w:val="20"/>
          <w:szCs w:val="20"/>
          <w:lang w:val="en-US"/>
        </w:rPr>
        <w:instrText xml:space="preserve"> SEQ Figure \* ARABIC </w:instrText>
      </w:r>
      <w:r w:rsidRPr="00DE4D69">
        <w:rPr>
          <w:rFonts w:ascii="Arial" w:hAnsi="Arial" w:cs="Arial"/>
          <w:color w:val="auto"/>
          <w:sz w:val="20"/>
          <w:szCs w:val="20"/>
          <w:lang w:val="en-US"/>
        </w:rPr>
        <w:fldChar w:fldCharType="separate"/>
      </w:r>
      <w:r w:rsidR="00267E54">
        <w:rPr>
          <w:rFonts w:ascii="Arial" w:hAnsi="Arial" w:cs="Arial"/>
          <w:noProof/>
          <w:color w:val="auto"/>
          <w:sz w:val="20"/>
          <w:szCs w:val="20"/>
          <w:lang w:val="en-US"/>
        </w:rPr>
        <w:t>2</w:t>
      </w:r>
      <w:r w:rsidRPr="00DE4D69">
        <w:rPr>
          <w:rFonts w:ascii="Arial" w:hAnsi="Arial" w:cs="Arial"/>
          <w:color w:val="auto"/>
          <w:sz w:val="20"/>
          <w:szCs w:val="20"/>
          <w:lang w:val="en-US"/>
        </w:rPr>
        <w:fldChar w:fldCharType="end"/>
      </w:r>
      <w:r w:rsidR="00D44D8D" w:rsidRPr="00DE4D69">
        <w:rPr>
          <w:rFonts w:ascii="Arial" w:hAnsi="Arial" w:cs="Arial"/>
          <w:color w:val="auto"/>
          <w:sz w:val="20"/>
          <w:szCs w:val="20"/>
          <w:lang w:val="en-US"/>
        </w:rPr>
        <w:t>.</w:t>
      </w:r>
      <w:proofErr w:type="gramEnd"/>
      <w:r w:rsidRPr="00DE4D69">
        <w:rPr>
          <w:rFonts w:ascii="Arial" w:hAnsi="Arial" w:cs="Arial"/>
          <w:color w:val="auto"/>
          <w:sz w:val="20"/>
          <w:szCs w:val="20"/>
          <w:lang w:val="en-US"/>
        </w:rPr>
        <w:t xml:space="preserve"> Contributions of GDP components to 2016-Q2 GDP growth</w:t>
      </w:r>
    </w:p>
    <w:p w:rsidR="00B834FD" w:rsidRPr="00DE4D69" w:rsidRDefault="00FC4C0A" w:rsidP="001C5776">
      <w:pPr>
        <w:ind w:right="77"/>
        <w:jc w:val="both"/>
        <w:rPr>
          <w:lang w:val="en-US"/>
        </w:rPr>
      </w:pPr>
      <w:r w:rsidRPr="00DE4D69">
        <w:rPr>
          <w:noProof/>
        </w:rPr>
        <w:drawing>
          <wp:inline distT="0" distB="0" distL="0" distR="0" wp14:anchorId="7A64FB65" wp14:editId="0F0D490E">
            <wp:extent cx="3020695" cy="2109561"/>
            <wp:effectExtent l="0" t="0" r="825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0695" cy="2109561"/>
                    </a:xfrm>
                    <a:prstGeom prst="rect">
                      <a:avLst/>
                    </a:prstGeom>
                    <a:noFill/>
                    <a:ln>
                      <a:noFill/>
                    </a:ln>
                  </pic:spPr>
                </pic:pic>
              </a:graphicData>
            </a:graphic>
          </wp:inline>
        </w:drawing>
      </w:r>
    </w:p>
    <w:p w:rsidR="00D44D8D" w:rsidRPr="00DE4D69" w:rsidRDefault="00D44D8D" w:rsidP="00D44D8D">
      <w:pPr>
        <w:ind w:right="77"/>
        <w:jc w:val="both"/>
        <w:rPr>
          <w:rFonts w:ascii="Arial" w:hAnsi="Arial" w:cs="Arial"/>
          <w:sz w:val="16"/>
          <w:szCs w:val="16"/>
          <w:lang w:val="en-US"/>
        </w:rPr>
      </w:pPr>
      <w:r w:rsidRPr="00DE4D69">
        <w:rPr>
          <w:rFonts w:ascii="Arial" w:hAnsi="Arial" w:cs="Arial"/>
          <w:sz w:val="16"/>
          <w:szCs w:val="16"/>
          <w:lang w:val="en-US"/>
        </w:rPr>
        <w:t xml:space="preserve">Source: </w:t>
      </w:r>
      <w:proofErr w:type="spellStart"/>
      <w:r w:rsidRPr="00DE4D69">
        <w:rPr>
          <w:rFonts w:ascii="Arial" w:hAnsi="Arial" w:cs="Arial"/>
          <w:sz w:val="16"/>
          <w:szCs w:val="16"/>
          <w:lang w:val="en-US"/>
        </w:rPr>
        <w:t>Turkstat</w:t>
      </w:r>
      <w:proofErr w:type="spellEnd"/>
      <w:r w:rsidRPr="00DE4D69">
        <w:rPr>
          <w:rFonts w:ascii="Arial" w:hAnsi="Arial" w:cs="Arial"/>
          <w:sz w:val="16"/>
          <w:szCs w:val="16"/>
          <w:lang w:val="en-US"/>
        </w:rPr>
        <w:t>. Quarterly indicators are seasonally adjusted</w:t>
      </w:r>
    </w:p>
    <w:p w:rsidR="001B5BDA" w:rsidRPr="00DE4D69" w:rsidRDefault="001B5BDA" w:rsidP="00FA1EEF">
      <w:pPr>
        <w:pStyle w:val="NormalWeb"/>
        <w:spacing w:before="0" w:beforeAutospacing="0" w:after="0" w:afterAutospacing="0" w:line="360" w:lineRule="auto"/>
        <w:ind w:right="77"/>
        <w:jc w:val="both"/>
        <w:rPr>
          <w:rFonts w:ascii="Arial" w:hAnsi="Arial" w:cs="Arial"/>
          <w:sz w:val="20"/>
          <w:szCs w:val="20"/>
          <w:lang w:val="en-US"/>
        </w:rPr>
      </w:pPr>
    </w:p>
    <w:p w:rsidR="0035245B" w:rsidRPr="00DE4D69" w:rsidRDefault="0035245B" w:rsidP="00EB16D6">
      <w:pPr>
        <w:pStyle w:val="NormalWeb"/>
        <w:spacing w:before="0" w:beforeAutospacing="0" w:after="0" w:afterAutospacing="0" w:line="360" w:lineRule="auto"/>
        <w:ind w:right="77"/>
        <w:rPr>
          <w:rFonts w:ascii="Arial" w:hAnsi="Arial" w:cs="Arial"/>
          <w:b/>
          <w:bCs/>
          <w:sz w:val="20"/>
          <w:szCs w:val="20"/>
          <w:lang w:val="en-US"/>
        </w:rPr>
      </w:pPr>
    </w:p>
    <w:p w:rsidR="0035245B" w:rsidRPr="00DE4D69" w:rsidRDefault="0035245B" w:rsidP="00FA1EEF">
      <w:pPr>
        <w:pStyle w:val="NormalWeb"/>
        <w:spacing w:before="0" w:beforeAutospacing="0" w:after="0" w:afterAutospacing="0" w:line="360" w:lineRule="auto"/>
        <w:ind w:right="77"/>
        <w:jc w:val="both"/>
        <w:rPr>
          <w:rFonts w:ascii="Arial" w:hAnsi="Arial" w:cs="Arial"/>
          <w:sz w:val="20"/>
          <w:szCs w:val="20"/>
          <w:highlight w:val="yellow"/>
          <w:lang w:val="en-US"/>
        </w:rPr>
      </w:pPr>
    </w:p>
    <w:p w:rsidR="00D44D8D" w:rsidRPr="00DE4D69" w:rsidRDefault="00D44D8D" w:rsidP="00FA1EEF">
      <w:pPr>
        <w:pStyle w:val="NormalWeb"/>
        <w:spacing w:before="0" w:beforeAutospacing="0" w:after="0" w:afterAutospacing="0" w:line="360" w:lineRule="auto"/>
        <w:ind w:right="77"/>
        <w:jc w:val="both"/>
        <w:rPr>
          <w:rFonts w:ascii="Arial" w:hAnsi="Arial" w:cs="Arial"/>
          <w:sz w:val="20"/>
          <w:szCs w:val="20"/>
          <w:lang w:val="en-US"/>
        </w:rPr>
      </w:pPr>
    </w:p>
    <w:p w:rsidR="00D44D8D" w:rsidRPr="00DE4D69" w:rsidRDefault="00D44D8D" w:rsidP="00FA1EEF">
      <w:pPr>
        <w:pStyle w:val="NormalWeb"/>
        <w:spacing w:before="0" w:beforeAutospacing="0" w:after="0" w:afterAutospacing="0" w:line="360" w:lineRule="auto"/>
        <w:ind w:right="77"/>
        <w:jc w:val="both"/>
        <w:rPr>
          <w:rFonts w:ascii="Arial" w:hAnsi="Arial" w:cs="Arial"/>
          <w:sz w:val="20"/>
          <w:szCs w:val="20"/>
          <w:lang w:val="en-US"/>
        </w:rPr>
      </w:pPr>
    </w:p>
    <w:p w:rsidR="00514451" w:rsidRPr="00DE4D69" w:rsidRDefault="00514451" w:rsidP="00FA1EEF">
      <w:pPr>
        <w:pStyle w:val="NormalWeb"/>
        <w:spacing w:before="0" w:beforeAutospacing="0" w:after="0" w:afterAutospacing="0" w:line="360" w:lineRule="auto"/>
        <w:ind w:right="77"/>
        <w:jc w:val="both"/>
        <w:rPr>
          <w:rFonts w:ascii="Arial" w:hAnsi="Arial" w:cs="Arial"/>
          <w:sz w:val="20"/>
          <w:szCs w:val="20"/>
          <w:lang w:val="en-US"/>
        </w:rPr>
      </w:pPr>
    </w:p>
    <w:p w:rsidR="008462F4" w:rsidRDefault="008462F4" w:rsidP="00514451">
      <w:pPr>
        <w:pStyle w:val="NormalWeb"/>
        <w:spacing w:before="0" w:beforeAutospacing="0" w:after="0" w:afterAutospacing="0" w:line="360" w:lineRule="auto"/>
        <w:ind w:right="77"/>
        <w:jc w:val="center"/>
        <w:rPr>
          <w:rFonts w:ascii="Arial" w:hAnsi="Arial" w:cs="Arial"/>
          <w:b/>
          <w:color w:val="000000" w:themeColor="text1"/>
          <w:sz w:val="20"/>
          <w:szCs w:val="20"/>
          <w:lang w:val="en-US"/>
        </w:rPr>
      </w:pPr>
    </w:p>
    <w:p w:rsidR="00514451" w:rsidRPr="00DE4D69" w:rsidRDefault="00514451" w:rsidP="00514451">
      <w:pPr>
        <w:pStyle w:val="NormalWeb"/>
        <w:spacing w:before="0" w:beforeAutospacing="0" w:after="0" w:afterAutospacing="0" w:line="360" w:lineRule="auto"/>
        <w:ind w:right="77"/>
        <w:jc w:val="center"/>
        <w:rPr>
          <w:rFonts w:ascii="Arial" w:hAnsi="Arial" w:cs="Arial"/>
          <w:b/>
          <w:color w:val="000000" w:themeColor="text1"/>
          <w:sz w:val="20"/>
          <w:szCs w:val="20"/>
          <w:lang w:val="en-US"/>
        </w:rPr>
      </w:pPr>
      <w:r w:rsidRPr="00DE4D69">
        <w:rPr>
          <w:rFonts w:ascii="Arial" w:hAnsi="Arial" w:cs="Arial"/>
          <w:b/>
          <w:color w:val="000000" w:themeColor="text1"/>
          <w:sz w:val="20"/>
          <w:szCs w:val="20"/>
          <w:lang w:val="en-US"/>
        </w:rPr>
        <w:lastRenderedPageBreak/>
        <w:t>Un</w:t>
      </w:r>
      <w:r w:rsidR="005B6197">
        <w:rPr>
          <w:rFonts w:ascii="Arial" w:hAnsi="Arial" w:cs="Arial"/>
          <w:b/>
          <w:color w:val="000000" w:themeColor="text1"/>
          <w:sz w:val="20"/>
          <w:szCs w:val="20"/>
          <w:lang w:val="en-US"/>
        </w:rPr>
        <w:t>expected</w:t>
      </w:r>
      <w:r w:rsidRPr="00DE4D69">
        <w:rPr>
          <w:rFonts w:ascii="Arial" w:hAnsi="Arial" w:cs="Arial"/>
          <w:b/>
          <w:color w:val="000000" w:themeColor="text1"/>
          <w:sz w:val="20"/>
          <w:szCs w:val="20"/>
          <w:lang w:val="en-US"/>
        </w:rPr>
        <w:t xml:space="preserve"> fall in private consumption</w:t>
      </w:r>
    </w:p>
    <w:p w:rsidR="00B626DF" w:rsidRPr="00DE4D69" w:rsidRDefault="00514451" w:rsidP="00FA1EEF">
      <w:pPr>
        <w:pStyle w:val="NormalWeb"/>
        <w:spacing w:before="0" w:beforeAutospacing="0" w:after="0" w:afterAutospacing="0" w:line="360" w:lineRule="auto"/>
        <w:ind w:right="77"/>
        <w:jc w:val="both"/>
        <w:rPr>
          <w:rFonts w:ascii="Arial" w:hAnsi="Arial" w:cs="Arial"/>
          <w:sz w:val="20"/>
          <w:szCs w:val="20"/>
          <w:highlight w:val="yellow"/>
          <w:lang w:val="en-US"/>
        </w:rPr>
      </w:pPr>
      <w:r w:rsidRPr="00DE4D69">
        <w:rPr>
          <w:rFonts w:ascii="Arial" w:hAnsi="Arial" w:cs="Arial"/>
          <w:sz w:val="20"/>
          <w:szCs w:val="20"/>
          <w:lang w:val="en-US"/>
        </w:rPr>
        <w:t xml:space="preserve">According to seasonally adjusted data, private consumptions declined by 0.5 percent in the second quarter compared to the previous one. Also its contribution to total GDP measured as minus 0.4 percentage </w:t>
      </w:r>
      <w:r w:rsidR="0017761C" w:rsidRPr="00DE4D69">
        <w:rPr>
          <w:rFonts w:ascii="Arial" w:hAnsi="Arial" w:cs="Arial"/>
          <w:sz w:val="20"/>
          <w:szCs w:val="20"/>
          <w:lang w:val="en-US"/>
        </w:rPr>
        <w:t>points</w:t>
      </w:r>
      <w:r w:rsidR="004F085C" w:rsidRPr="00DE4D69">
        <w:rPr>
          <w:rFonts w:ascii="Arial" w:hAnsi="Arial" w:cs="Arial"/>
          <w:sz w:val="20"/>
          <w:szCs w:val="20"/>
          <w:lang w:val="en-US"/>
        </w:rPr>
        <w:t>.</w:t>
      </w:r>
      <w:r w:rsidRPr="00DE4D69">
        <w:rPr>
          <w:rFonts w:ascii="Arial" w:hAnsi="Arial" w:cs="Arial"/>
          <w:sz w:val="20"/>
          <w:szCs w:val="20"/>
          <w:lang w:val="en-US"/>
        </w:rPr>
        <w:t xml:space="preserve"> During the first quarter, private consumption</w:t>
      </w:r>
      <w:r w:rsidR="000055A2" w:rsidRPr="00DE4D69">
        <w:rPr>
          <w:rFonts w:ascii="Arial" w:hAnsi="Arial" w:cs="Arial"/>
          <w:sz w:val="20"/>
          <w:szCs w:val="20"/>
          <w:lang w:val="en-US"/>
        </w:rPr>
        <w:t xml:space="preserve"> was the most contributive component by recording</w:t>
      </w:r>
      <w:r w:rsidRPr="00DE4D69">
        <w:rPr>
          <w:rFonts w:ascii="Arial" w:hAnsi="Arial" w:cs="Arial"/>
          <w:sz w:val="20"/>
          <w:szCs w:val="20"/>
          <w:lang w:val="en-US"/>
        </w:rPr>
        <w:t xml:space="preserve"> a significant recovery</w:t>
      </w:r>
      <w:r w:rsidR="000055A2" w:rsidRPr="00DE4D69">
        <w:rPr>
          <w:rFonts w:ascii="Arial" w:hAnsi="Arial" w:cs="Arial"/>
          <w:sz w:val="20"/>
          <w:szCs w:val="20"/>
          <w:lang w:val="en-US"/>
        </w:rPr>
        <w:t xml:space="preserve"> (</w:t>
      </w:r>
      <w:r w:rsidR="000055A2" w:rsidRPr="00DE4D69">
        <w:rPr>
          <w:rFonts w:ascii="Arial" w:hAnsi="Arial" w:cs="Arial"/>
          <w:sz w:val="20"/>
          <w:szCs w:val="20"/>
          <w:lang w:val="en-US"/>
        </w:rPr>
        <w:fldChar w:fldCharType="begin"/>
      </w:r>
      <w:r w:rsidR="000055A2" w:rsidRPr="00DE4D69">
        <w:rPr>
          <w:rFonts w:ascii="Arial" w:hAnsi="Arial" w:cs="Arial"/>
          <w:sz w:val="20"/>
          <w:szCs w:val="20"/>
          <w:lang w:val="en-US"/>
        </w:rPr>
        <w:instrText xml:space="preserve"> REF _Ref462150670 \h </w:instrText>
      </w:r>
      <w:r w:rsidR="000055A2" w:rsidRPr="00DE4D69">
        <w:rPr>
          <w:rFonts w:ascii="Arial" w:hAnsi="Arial" w:cs="Arial"/>
          <w:sz w:val="20"/>
          <w:szCs w:val="20"/>
          <w:lang w:val="en-US"/>
        </w:rPr>
      </w:r>
      <w:r w:rsidR="000055A2" w:rsidRPr="00DE4D69">
        <w:rPr>
          <w:rFonts w:ascii="Arial" w:hAnsi="Arial" w:cs="Arial"/>
          <w:sz w:val="20"/>
          <w:szCs w:val="20"/>
          <w:lang w:val="en-US"/>
        </w:rPr>
        <w:fldChar w:fldCharType="separate"/>
      </w:r>
      <w:r w:rsidR="00267E54" w:rsidRPr="00DE4D69">
        <w:rPr>
          <w:rFonts w:ascii="Arial" w:hAnsi="Arial" w:cs="Arial"/>
          <w:sz w:val="20"/>
          <w:szCs w:val="20"/>
          <w:lang w:val="en-US"/>
        </w:rPr>
        <w:t xml:space="preserve">Table </w:t>
      </w:r>
      <w:r w:rsidR="00267E54">
        <w:rPr>
          <w:rFonts w:ascii="Arial" w:hAnsi="Arial" w:cs="Arial"/>
          <w:noProof/>
          <w:sz w:val="20"/>
          <w:szCs w:val="20"/>
          <w:lang w:val="en-US"/>
        </w:rPr>
        <w:t>1</w:t>
      </w:r>
      <w:r w:rsidR="000055A2" w:rsidRPr="00DE4D69">
        <w:rPr>
          <w:rFonts w:ascii="Arial" w:hAnsi="Arial" w:cs="Arial"/>
          <w:sz w:val="20"/>
          <w:szCs w:val="20"/>
          <w:lang w:val="en-US"/>
        </w:rPr>
        <w:fldChar w:fldCharType="end"/>
      </w:r>
      <w:r w:rsidR="000055A2" w:rsidRPr="00DE4D69">
        <w:rPr>
          <w:rFonts w:ascii="Arial" w:hAnsi="Arial" w:cs="Arial"/>
          <w:sz w:val="20"/>
          <w:szCs w:val="20"/>
          <w:lang w:val="en-US"/>
        </w:rPr>
        <w:t>). Although</w:t>
      </w:r>
      <w:r w:rsidR="008D59AC" w:rsidRPr="00DE4D69">
        <w:rPr>
          <w:rFonts w:ascii="Arial" w:hAnsi="Arial" w:cs="Arial"/>
          <w:sz w:val="20"/>
          <w:szCs w:val="20"/>
          <w:lang w:val="en-US"/>
        </w:rPr>
        <w:t xml:space="preserve"> leading consumption indicators</w:t>
      </w:r>
      <w:r w:rsidR="003822FC" w:rsidRPr="00DE4D69">
        <w:rPr>
          <w:rFonts w:ascii="Arial" w:hAnsi="Arial" w:cs="Arial"/>
          <w:sz w:val="20"/>
          <w:szCs w:val="20"/>
          <w:lang w:val="en-US"/>
        </w:rPr>
        <w:t xml:space="preserve"> of second quarter have opposite directions</w:t>
      </w:r>
      <w:r w:rsidR="0017761C" w:rsidRPr="00DE4D69">
        <w:rPr>
          <w:rFonts w:ascii="Arial" w:hAnsi="Arial" w:cs="Arial"/>
          <w:sz w:val="20"/>
          <w:szCs w:val="20"/>
          <w:lang w:val="en-US"/>
        </w:rPr>
        <w:t>, we</w:t>
      </w:r>
      <w:r w:rsidR="000055A2" w:rsidRPr="00DE4D69">
        <w:rPr>
          <w:rFonts w:ascii="Arial" w:hAnsi="Arial" w:cs="Arial"/>
          <w:sz w:val="20"/>
          <w:szCs w:val="20"/>
          <w:lang w:val="en-US"/>
        </w:rPr>
        <w:t xml:space="preserve"> were expecting a modest increase in</w:t>
      </w:r>
      <w:r w:rsidR="003822FC" w:rsidRPr="00DE4D69">
        <w:rPr>
          <w:rFonts w:ascii="Arial" w:hAnsi="Arial" w:cs="Arial"/>
          <w:sz w:val="20"/>
          <w:szCs w:val="20"/>
          <w:lang w:val="en-US"/>
        </w:rPr>
        <w:t xml:space="preserve"> this component. Significant declines in health and clothing expenditures are striking.</w:t>
      </w:r>
      <w:r w:rsidR="000055A2" w:rsidRPr="00DE4D69">
        <w:rPr>
          <w:rFonts w:ascii="Arial" w:hAnsi="Arial" w:cs="Arial"/>
          <w:sz w:val="20"/>
          <w:szCs w:val="20"/>
          <w:lang w:val="en-US"/>
        </w:rPr>
        <w:t xml:space="preserve"> </w:t>
      </w:r>
    </w:p>
    <w:p w:rsidR="00B6365A" w:rsidRPr="00DE4D69" w:rsidRDefault="00B6365A" w:rsidP="00696C53">
      <w:pPr>
        <w:pStyle w:val="NormalWeb"/>
        <w:spacing w:before="0" w:beforeAutospacing="0" w:after="0" w:afterAutospacing="0" w:line="360" w:lineRule="auto"/>
        <w:ind w:right="77"/>
        <w:jc w:val="center"/>
        <w:rPr>
          <w:rFonts w:ascii="Arial" w:hAnsi="Arial" w:cs="Arial"/>
          <w:b/>
          <w:sz w:val="20"/>
          <w:szCs w:val="20"/>
          <w:highlight w:val="yellow"/>
          <w:lang w:val="en-US"/>
        </w:rPr>
      </w:pPr>
    </w:p>
    <w:p w:rsidR="007C06E9" w:rsidRPr="00DE4D69" w:rsidRDefault="00EB16D6" w:rsidP="00EB16D6">
      <w:pPr>
        <w:pStyle w:val="NormalWeb"/>
        <w:spacing w:before="0" w:beforeAutospacing="0" w:after="0" w:afterAutospacing="0" w:line="360" w:lineRule="auto"/>
        <w:ind w:right="77"/>
        <w:jc w:val="center"/>
        <w:rPr>
          <w:rFonts w:ascii="Arial" w:hAnsi="Arial" w:cs="Arial"/>
          <w:b/>
          <w:sz w:val="20"/>
          <w:szCs w:val="20"/>
          <w:lang w:val="en-US"/>
        </w:rPr>
      </w:pPr>
      <w:r w:rsidRPr="00DE4D69">
        <w:rPr>
          <w:rFonts w:ascii="Arial" w:hAnsi="Arial" w:cs="Arial"/>
          <w:b/>
          <w:sz w:val="20"/>
          <w:szCs w:val="20"/>
          <w:lang w:val="en-US"/>
        </w:rPr>
        <w:t>Unexpected increase in private investments</w:t>
      </w:r>
    </w:p>
    <w:p w:rsidR="00940E4D" w:rsidRPr="00DE4D69" w:rsidRDefault="003822FC" w:rsidP="00DD74D6">
      <w:pPr>
        <w:pStyle w:val="NormalWeb"/>
        <w:spacing w:before="0" w:beforeAutospacing="0" w:after="0" w:afterAutospacing="0" w:line="360" w:lineRule="auto"/>
        <w:ind w:right="77"/>
        <w:jc w:val="both"/>
        <w:rPr>
          <w:rFonts w:ascii="Arial" w:hAnsi="Arial" w:cs="Arial"/>
          <w:sz w:val="20"/>
          <w:szCs w:val="20"/>
          <w:lang w:val="en-US"/>
        </w:rPr>
      </w:pPr>
      <w:r w:rsidRPr="00DE4D69">
        <w:rPr>
          <w:rFonts w:ascii="Arial" w:hAnsi="Arial" w:cs="Arial"/>
          <w:sz w:val="20"/>
          <w:szCs w:val="20"/>
          <w:lang w:val="en-US"/>
        </w:rPr>
        <w:t xml:space="preserve">After having recorded a severe decline in the first quarter of 2016 (minus 1.3 percent), we observe significant recovery in private investments as of second quarter. Private investments grew by 6 percent compared to previous quarter and contributed 1.1 </w:t>
      </w:r>
      <w:r w:rsidR="0066376B" w:rsidRPr="00DE4D69">
        <w:rPr>
          <w:rFonts w:ascii="Arial" w:hAnsi="Arial" w:cs="Arial"/>
          <w:sz w:val="20"/>
          <w:szCs w:val="20"/>
          <w:lang w:val="en-US"/>
        </w:rPr>
        <w:t>percentage</w:t>
      </w:r>
      <w:r w:rsidRPr="00DE4D69">
        <w:rPr>
          <w:rFonts w:ascii="Arial" w:hAnsi="Arial" w:cs="Arial"/>
          <w:sz w:val="20"/>
          <w:szCs w:val="20"/>
          <w:lang w:val="en-US"/>
        </w:rPr>
        <w:t xml:space="preserve"> point to total GDP growth (</w:t>
      </w:r>
      <w:r w:rsidRPr="00DE4D69">
        <w:rPr>
          <w:rFonts w:ascii="Arial" w:hAnsi="Arial" w:cs="Arial"/>
          <w:sz w:val="20"/>
          <w:szCs w:val="20"/>
          <w:lang w:val="en-US"/>
        </w:rPr>
        <w:fldChar w:fldCharType="begin"/>
      </w:r>
      <w:r w:rsidRPr="00DE4D69">
        <w:rPr>
          <w:rFonts w:ascii="Arial" w:hAnsi="Arial" w:cs="Arial"/>
          <w:sz w:val="20"/>
          <w:szCs w:val="20"/>
          <w:lang w:val="en-US"/>
        </w:rPr>
        <w:instrText xml:space="preserve"> REF _Ref462150670 \h </w:instrText>
      </w:r>
      <w:r w:rsidRPr="00DE4D69">
        <w:rPr>
          <w:rFonts w:ascii="Arial" w:hAnsi="Arial" w:cs="Arial"/>
          <w:sz w:val="20"/>
          <w:szCs w:val="20"/>
          <w:lang w:val="en-US"/>
        </w:rPr>
      </w:r>
      <w:r w:rsidRPr="00DE4D69">
        <w:rPr>
          <w:rFonts w:ascii="Arial" w:hAnsi="Arial" w:cs="Arial"/>
          <w:sz w:val="20"/>
          <w:szCs w:val="20"/>
          <w:lang w:val="en-US"/>
        </w:rPr>
        <w:fldChar w:fldCharType="separate"/>
      </w:r>
      <w:r w:rsidR="00267E54" w:rsidRPr="00DE4D69">
        <w:rPr>
          <w:rFonts w:ascii="Arial" w:hAnsi="Arial" w:cs="Arial"/>
          <w:sz w:val="20"/>
          <w:szCs w:val="20"/>
          <w:lang w:val="en-US"/>
        </w:rPr>
        <w:t xml:space="preserve">Table </w:t>
      </w:r>
      <w:r w:rsidR="00267E54">
        <w:rPr>
          <w:rFonts w:ascii="Arial" w:hAnsi="Arial" w:cs="Arial"/>
          <w:noProof/>
          <w:sz w:val="20"/>
          <w:szCs w:val="20"/>
          <w:lang w:val="en-US"/>
        </w:rPr>
        <w:t>1</w:t>
      </w:r>
      <w:r w:rsidRPr="00DE4D69">
        <w:rPr>
          <w:rFonts w:ascii="Arial" w:hAnsi="Arial" w:cs="Arial"/>
          <w:sz w:val="20"/>
          <w:szCs w:val="20"/>
          <w:lang w:val="en-US"/>
        </w:rPr>
        <w:fldChar w:fldCharType="end"/>
      </w:r>
      <w:r w:rsidRPr="00DE4D69">
        <w:rPr>
          <w:rFonts w:ascii="Arial" w:hAnsi="Arial" w:cs="Arial"/>
          <w:sz w:val="20"/>
          <w:szCs w:val="20"/>
          <w:lang w:val="en-US"/>
        </w:rPr>
        <w:t>).</w:t>
      </w:r>
      <w:r w:rsidR="00D5415B" w:rsidRPr="00DE4D69">
        <w:rPr>
          <w:rFonts w:ascii="Arial" w:hAnsi="Arial" w:cs="Arial"/>
          <w:sz w:val="20"/>
          <w:szCs w:val="20"/>
          <w:lang w:val="en-US"/>
        </w:rPr>
        <w:t xml:space="preserve"> </w:t>
      </w:r>
      <w:r w:rsidR="0066376B" w:rsidRPr="00DE4D69">
        <w:rPr>
          <w:rFonts w:ascii="Arial" w:hAnsi="Arial" w:cs="Arial"/>
          <w:sz w:val="20"/>
          <w:szCs w:val="20"/>
          <w:lang w:val="en-US"/>
        </w:rPr>
        <w:t xml:space="preserve">We were observing a long-term </w:t>
      </w:r>
      <w:r w:rsidR="00741803">
        <w:rPr>
          <w:rFonts w:ascii="Arial" w:hAnsi="Arial" w:cs="Arial"/>
          <w:sz w:val="20"/>
          <w:szCs w:val="20"/>
          <w:lang w:val="en-US"/>
        </w:rPr>
        <w:t>stagnation</w:t>
      </w:r>
      <w:r w:rsidR="0066376B" w:rsidRPr="00DE4D69">
        <w:rPr>
          <w:rFonts w:ascii="Arial" w:hAnsi="Arial" w:cs="Arial"/>
          <w:sz w:val="20"/>
          <w:szCs w:val="20"/>
          <w:lang w:val="en-US"/>
        </w:rPr>
        <w:t xml:space="preserve"> in private investments and we were expecting it to continue during second quarter. We would like to note that this unexpected recovery is mainly due to machinery-equipment investments. According to </w:t>
      </w:r>
      <w:proofErr w:type="spellStart"/>
      <w:r w:rsidR="0066376B" w:rsidRPr="00DE4D69">
        <w:rPr>
          <w:rFonts w:ascii="Arial" w:hAnsi="Arial" w:cs="Arial"/>
          <w:sz w:val="20"/>
          <w:szCs w:val="20"/>
          <w:lang w:val="en-US"/>
        </w:rPr>
        <w:t>Turkstat</w:t>
      </w:r>
      <w:proofErr w:type="spellEnd"/>
      <w:r w:rsidR="0066376B" w:rsidRPr="00DE4D69">
        <w:rPr>
          <w:rFonts w:ascii="Arial" w:hAnsi="Arial" w:cs="Arial"/>
          <w:sz w:val="20"/>
          <w:szCs w:val="20"/>
          <w:lang w:val="en-US"/>
        </w:rPr>
        <w:t>,</w:t>
      </w:r>
      <w:r w:rsidR="00FF09FE" w:rsidRPr="00DE4D69">
        <w:rPr>
          <w:rFonts w:ascii="Arial" w:hAnsi="Arial" w:cs="Arial"/>
          <w:sz w:val="20"/>
          <w:szCs w:val="20"/>
          <w:lang w:val="en-US"/>
        </w:rPr>
        <w:t xml:space="preserve"> </w:t>
      </w:r>
      <w:r w:rsidR="0066376B" w:rsidRPr="00DE4D69">
        <w:rPr>
          <w:rFonts w:ascii="Arial" w:hAnsi="Arial" w:cs="Arial"/>
          <w:sz w:val="20"/>
          <w:szCs w:val="20"/>
          <w:lang w:val="en-US"/>
        </w:rPr>
        <w:t xml:space="preserve">machinery-equipment investments increased by 6.9 percent in second quarter whereas it had declined by 3.7 percent in the previous quarter. However, we need to </w:t>
      </w:r>
      <w:r w:rsidR="00741803">
        <w:rPr>
          <w:rFonts w:ascii="Arial" w:hAnsi="Arial" w:cs="Arial"/>
          <w:sz w:val="20"/>
          <w:szCs w:val="20"/>
          <w:lang w:val="en-US"/>
        </w:rPr>
        <w:t>observe private investment evolution during</w:t>
      </w:r>
      <w:r w:rsidR="0066376B" w:rsidRPr="00DE4D69">
        <w:rPr>
          <w:rFonts w:ascii="Arial" w:hAnsi="Arial" w:cs="Arial"/>
          <w:sz w:val="20"/>
          <w:szCs w:val="20"/>
          <w:lang w:val="en-US"/>
        </w:rPr>
        <w:t xml:space="preserve"> </w:t>
      </w:r>
      <w:r w:rsidR="00741803">
        <w:rPr>
          <w:rFonts w:ascii="Arial" w:hAnsi="Arial" w:cs="Arial"/>
          <w:sz w:val="20"/>
          <w:szCs w:val="20"/>
          <w:lang w:val="en-US"/>
        </w:rPr>
        <w:t>the next</w:t>
      </w:r>
      <w:r w:rsidR="0066376B" w:rsidRPr="00DE4D69">
        <w:rPr>
          <w:rFonts w:ascii="Arial" w:hAnsi="Arial" w:cs="Arial"/>
          <w:sz w:val="20"/>
          <w:szCs w:val="20"/>
          <w:lang w:val="en-US"/>
        </w:rPr>
        <w:t xml:space="preserve"> quarters in order to determine whether this unexpected development created a turning point in investment </w:t>
      </w:r>
      <w:r w:rsidR="00FF09FE" w:rsidRPr="00DE4D69">
        <w:rPr>
          <w:rFonts w:ascii="Arial" w:hAnsi="Arial" w:cs="Arial"/>
          <w:sz w:val="20"/>
          <w:szCs w:val="20"/>
          <w:lang w:val="en-US"/>
        </w:rPr>
        <w:t xml:space="preserve">trends or not. </w:t>
      </w:r>
    </w:p>
    <w:p w:rsidR="00FF09FE" w:rsidRPr="00DE4D69" w:rsidRDefault="00FF09FE" w:rsidP="00DD74D6">
      <w:pPr>
        <w:pStyle w:val="NormalWeb"/>
        <w:spacing w:before="0" w:beforeAutospacing="0" w:after="0" w:afterAutospacing="0" w:line="360" w:lineRule="auto"/>
        <w:ind w:right="77"/>
        <w:jc w:val="both"/>
        <w:rPr>
          <w:rFonts w:ascii="Arial" w:hAnsi="Arial" w:cs="Arial"/>
          <w:sz w:val="20"/>
          <w:szCs w:val="20"/>
          <w:lang w:val="en-US"/>
        </w:rPr>
      </w:pPr>
    </w:p>
    <w:p w:rsidR="00B620FC" w:rsidRPr="00DE4D69" w:rsidRDefault="00FF09FE" w:rsidP="00EB16D6">
      <w:pPr>
        <w:pStyle w:val="NormalWeb"/>
        <w:spacing w:before="0" w:beforeAutospacing="0" w:after="0" w:afterAutospacing="0" w:line="360" w:lineRule="auto"/>
        <w:ind w:right="77"/>
        <w:jc w:val="center"/>
        <w:rPr>
          <w:rFonts w:ascii="Arial" w:hAnsi="Arial" w:cs="Arial"/>
          <w:b/>
          <w:bCs/>
          <w:sz w:val="20"/>
          <w:szCs w:val="20"/>
          <w:lang w:val="en-US"/>
        </w:rPr>
      </w:pPr>
      <w:r w:rsidRPr="00DE4D69">
        <w:rPr>
          <w:rFonts w:ascii="Arial" w:hAnsi="Arial" w:cs="Arial"/>
          <w:b/>
          <w:bCs/>
          <w:sz w:val="20"/>
          <w:szCs w:val="20"/>
          <w:lang w:val="en-US"/>
        </w:rPr>
        <w:t>Increase in government spending</w:t>
      </w:r>
      <w:r w:rsidR="00EB16D6" w:rsidRPr="00DE4D69">
        <w:rPr>
          <w:rFonts w:ascii="Arial" w:hAnsi="Arial" w:cs="Arial"/>
          <w:b/>
          <w:bCs/>
          <w:sz w:val="20"/>
          <w:szCs w:val="20"/>
          <w:lang w:val="en-US"/>
        </w:rPr>
        <w:t xml:space="preserve"> persists</w:t>
      </w:r>
    </w:p>
    <w:p w:rsidR="000C4944" w:rsidRPr="00DE4D69" w:rsidRDefault="00FF09FE" w:rsidP="00B620FC">
      <w:pPr>
        <w:pStyle w:val="NormalWeb"/>
        <w:spacing w:before="0" w:beforeAutospacing="0" w:after="0" w:afterAutospacing="0" w:line="360" w:lineRule="auto"/>
        <w:ind w:right="77"/>
        <w:jc w:val="both"/>
        <w:rPr>
          <w:rFonts w:ascii="Arial" w:hAnsi="Arial" w:cs="Arial"/>
          <w:bCs/>
          <w:sz w:val="20"/>
          <w:szCs w:val="20"/>
          <w:lang w:val="en-US"/>
        </w:rPr>
      </w:pPr>
      <w:r w:rsidRPr="00DE4D69">
        <w:rPr>
          <w:rFonts w:ascii="Arial" w:hAnsi="Arial" w:cs="Arial"/>
          <w:bCs/>
          <w:sz w:val="20"/>
          <w:szCs w:val="20"/>
          <w:lang w:val="en-US"/>
        </w:rPr>
        <w:t xml:space="preserve">It has been seen that total government spending (final consumption + investments) which recorded 2.5 percent increase in the first quarter gained speed in this quarter and grew by 3.5 percent. In </w:t>
      </w:r>
      <w:r w:rsidRPr="00DE4D69">
        <w:rPr>
          <w:rFonts w:ascii="Arial" w:hAnsi="Arial" w:cs="Arial"/>
          <w:bCs/>
          <w:sz w:val="20"/>
          <w:szCs w:val="20"/>
          <w:lang w:val="en-US"/>
        </w:rPr>
        <w:lastRenderedPageBreak/>
        <w:t>addition to that, government spending contributed positively (0.6 percent)</w:t>
      </w:r>
      <w:r w:rsidR="003930EE" w:rsidRPr="00DE4D69">
        <w:rPr>
          <w:rFonts w:ascii="Arial" w:hAnsi="Arial" w:cs="Arial"/>
          <w:bCs/>
          <w:sz w:val="20"/>
          <w:szCs w:val="20"/>
          <w:lang w:val="en-US"/>
        </w:rPr>
        <w:t xml:space="preserve"> to total GDP growth (</w:t>
      </w:r>
      <w:r w:rsidR="003930EE" w:rsidRPr="00DE4D69">
        <w:rPr>
          <w:rFonts w:ascii="Arial" w:hAnsi="Arial" w:cs="Arial"/>
          <w:bCs/>
          <w:sz w:val="20"/>
          <w:szCs w:val="20"/>
          <w:lang w:val="en-US"/>
        </w:rPr>
        <w:fldChar w:fldCharType="begin"/>
      </w:r>
      <w:r w:rsidR="003930EE" w:rsidRPr="00DE4D69">
        <w:rPr>
          <w:rFonts w:ascii="Arial" w:hAnsi="Arial" w:cs="Arial"/>
          <w:bCs/>
          <w:sz w:val="20"/>
          <w:szCs w:val="20"/>
          <w:lang w:val="en-US"/>
        </w:rPr>
        <w:instrText xml:space="preserve"> REF _Ref462150670 \h </w:instrText>
      </w:r>
      <w:r w:rsidR="003930EE" w:rsidRPr="00DE4D69">
        <w:rPr>
          <w:rFonts w:ascii="Arial" w:hAnsi="Arial" w:cs="Arial"/>
          <w:bCs/>
          <w:sz w:val="20"/>
          <w:szCs w:val="20"/>
          <w:lang w:val="en-US"/>
        </w:rPr>
      </w:r>
      <w:r w:rsidR="003930EE" w:rsidRPr="00DE4D69">
        <w:rPr>
          <w:rFonts w:ascii="Arial" w:hAnsi="Arial" w:cs="Arial"/>
          <w:bCs/>
          <w:sz w:val="20"/>
          <w:szCs w:val="20"/>
          <w:lang w:val="en-US"/>
        </w:rPr>
        <w:fldChar w:fldCharType="separate"/>
      </w:r>
      <w:r w:rsidR="00267E54" w:rsidRPr="00DE4D69">
        <w:rPr>
          <w:rFonts w:ascii="Arial" w:hAnsi="Arial" w:cs="Arial"/>
          <w:sz w:val="20"/>
          <w:szCs w:val="20"/>
          <w:lang w:val="en-US"/>
        </w:rPr>
        <w:t xml:space="preserve">Table </w:t>
      </w:r>
      <w:r w:rsidR="00267E54">
        <w:rPr>
          <w:rFonts w:ascii="Arial" w:hAnsi="Arial" w:cs="Arial"/>
          <w:noProof/>
          <w:sz w:val="20"/>
          <w:szCs w:val="20"/>
          <w:lang w:val="en-US"/>
        </w:rPr>
        <w:t>1</w:t>
      </w:r>
      <w:r w:rsidR="003930EE" w:rsidRPr="00DE4D69">
        <w:rPr>
          <w:rFonts w:ascii="Arial" w:hAnsi="Arial" w:cs="Arial"/>
          <w:bCs/>
          <w:sz w:val="20"/>
          <w:szCs w:val="20"/>
          <w:lang w:val="en-US"/>
        </w:rPr>
        <w:fldChar w:fldCharType="end"/>
      </w:r>
      <w:r w:rsidR="003930EE" w:rsidRPr="00DE4D69">
        <w:rPr>
          <w:rFonts w:ascii="Arial" w:hAnsi="Arial" w:cs="Arial"/>
          <w:bCs/>
          <w:sz w:val="20"/>
          <w:szCs w:val="20"/>
          <w:lang w:val="en-US"/>
        </w:rPr>
        <w:t>).</w:t>
      </w:r>
      <w:r w:rsidR="00282018" w:rsidRPr="00DE4D69">
        <w:rPr>
          <w:rFonts w:ascii="Arial" w:hAnsi="Arial" w:cs="Arial"/>
          <w:bCs/>
          <w:sz w:val="20"/>
          <w:szCs w:val="20"/>
          <w:lang w:val="en-US"/>
        </w:rPr>
        <w:t xml:space="preserve"> </w:t>
      </w:r>
      <w:r w:rsidR="003930EE" w:rsidRPr="00DE4D69">
        <w:rPr>
          <w:rFonts w:ascii="Arial" w:hAnsi="Arial" w:cs="Arial"/>
          <w:bCs/>
          <w:sz w:val="20"/>
          <w:szCs w:val="20"/>
          <w:lang w:val="en-US"/>
        </w:rPr>
        <w:t xml:space="preserve">Having said that, considering </w:t>
      </w:r>
      <w:proofErr w:type="spellStart"/>
      <w:r w:rsidR="003930EE" w:rsidRPr="00DE4D69">
        <w:rPr>
          <w:rFonts w:ascii="Arial" w:hAnsi="Arial" w:cs="Arial"/>
          <w:bCs/>
          <w:sz w:val="20"/>
          <w:szCs w:val="20"/>
          <w:lang w:val="en-US"/>
        </w:rPr>
        <w:t>Turkstat</w:t>
      </w:r>
      <w:proofErr w:type="spellEnd"/>
      <w:r w:rsidR="003930EE" w:rsidRPr="00DE4D69">
        <w:rPr>
          <w:rFonts w:ascii="Arial" w:hAnsi="Arial" w:cs="Arial"/>
          <w:bCs/>
          <w:sz w:val="20"/>
          <w:szCs w:val="20"/>
          <w:lang w:val="en-US"/>
        </w:rPr>
        <w:t xml:space="preserve"> data, the increase in public consumption (compensation of employees + purchases of good</w:t>
      </w:r>
      <w:r w:rsidR="002347E2" w:rsidRPr="00DE4D69">
        <w:rPr>
          <w:rFonts w:ascii="Arial" w:hAnsi="Arial" w:cs="Arial"/>
          <w:bCs/>
          <w:sz w:val="20"/>
          <w:szCs w:val="20"/>
          <w:lang w:val="en-US"/>
        </w:rPr>
        <w:t>s</w:t>
      </w:r>
      <w:r w:rsidR="003930EE" w:rsidRPr="00DE4D69">
        <w:rPr>
          <w:rFonts w:ascii="Arial" w:hAnsi="Arial" w:cs="Arial"/>
          <w:bCs/>
          <w:sz w:val="20"/>
          <w:szCs w:val="20"/>
          <w:lang w:val="en-US"/>
        </w:rPr>
        <w:t xml:space="preserve"> and services) declined from 4.8 percent to 3.8 percent and the change in public investment showed a significant jump from -1.7 percent to 5.7 percent.</w:t>
      </w:r>
    </w:p>
    <w:p w:rsidR="00EB16D6" w:rsidRPr="00DE4D69" w:rsidRDefault="00EB16D6" w:rsidP="00EB16D6">
      <w:pPr>
        <w:pStyle w:val="NormalWeb"/>
        <w:spacing w:before="0" w:beforeAutospacing="0" w:after="0" w:afterAutospacing="0" w:line="360" w:lineRule="auto"/>
        <w:ind w:right="77" w:firstLine="708"/>
        <w:rPr>
          <w:rFonts w:ascii="Arial" w:hAnsi="Arial" w:cs="Arial"/>
          <w:b/>
          <w:bCs/>
          <w:sz w:val="20"/>
          <w:szCs w:val="20"/>
          <w:lang w:val="en-US"/>
        </w:rPr>
      </w:pPr>
    </w:p>
    <w:p w:rsidR="00B834FD" w:rsidRPr="00DE4D69" w:rsidRDefault="00EB16D6" w:rsidP="00EB16D6">
      <w:pPr>
        <w:pStyle w:val="NormalWeb"/>
        <w:spacing w:before="0" w:beforeAutospacing="0" w:after="0" w:afterAutospacing="0" w:line="360" w:lineRule="auto"/>
        <w:ind w:right="77" w:firstLine="708"/>
        <w:rPr>
          <w:rFonts w:ascii="Arial" w:hAnsi="Arial" w:cs="Arial"/>
          <w:b/>
          <w:bCs/>
          <w:sz w:val="20"/>
          <w:szCs w:val="20"/>
          <w:lang w:val="en-US"/>
        </w:rPr>
      </w:pPr>
      <w:r w:rsidRPr="00DE4D69">
        <w:rPr>
          <w:rFonts w:ascii="Arial" w:hAnsi="Arial" w:cs="Arial"/>
          <w:b/>
          <w:bCs/>
          <w:sz w:val="20"/>
          <w:szCs w:val="20"/>
          <w:lang w:val="en-US"/>
        </w:rPr>
        <w:t>Negative contribution of net export</w:t>
      </w:r>
      <w:r w:rsidR="00946D8B">
        <w:rPr>
          <w:rFonts w:ascii="Arial" w:hAnsi="Arial" w:cs="Arial"/>
          <w:b/>
          <w:bCs/>
          <w:sz w:val="20"/>
          <w:szCs w:val="20"/>
          <w:lang w:val="en-US"/>
        </w:rPr>
        <w:t>s</w:t>
      </w:r>
    </w:p>
    <w:p w:rsidR="0086402F" w:rsidRPr="00DE4D69" w:rsidRDefault="002347E2" w:rsidP="00592952">
      <w:pPr>
        <w:pStyle w:val="NormalWeb"/>
        <w:spacing w:before="0" w:beforeAutospacing="0" w:after="0" w:afterAutospacing="0" w:line="360" w:lineRule="auto"/>
        <w:ind w:right="77"/>
        <w:jc w:val="both"/>
        <w:rPr>
          <w:rFonts w:ascii="Arial" w:hAnsi="Arial" w:cs="Arial"/>
          <w:bCs/>
          <w:sz w:val="20"/>
          <w:szCs w:val="20"/>
          <w:lang w:val="en-US"/>
        </w:rPr>
      </w:pPr>
      <w:r w:rsidRPr="00DE4D69">
        <w:rPr>
          <w:rFonts w:ascii="Arial" w:hAnsi="Arial" w:cs="Arial"/>
          <w:bCs/>
          <w:sz w:val="20"/>
          <w:szCs w:val="20"/>
          <w:lang w:val="en-US"/>
        </w:rPr>
        <w:t>We were expecting a limited negative contribution of net export</w:t>
      </w:r>
      <w:r w:rsidR="00946D8B">
        <w:rPr>
          <w:rFonts w:ascii="Arial" w:hAnsi="Arial" w:cs="Arial"/>
          <w:bCs/>
          <w:sz w:val="20"/>
          <w:szCs w:val="20"/>
          <w:lang w:val="en-US"/>
        </w:rPr>
        <w:t>s</w:t>
      </w:r>
      <w:r w:rsidRPr="00DE4D69">
        <w:rPr>
          <w:rFonts w:ascii="Arial" w:hAnsi="Arial" w:cs="Arial"/>
          <w:bCs/>
          <w:sz w:val="20"/>
          <w:szCs w:val="20"/>
          <w:lang w:val="en-US"/>
        </w:rPr>
        <w:t xml:space="preserve"> on second quarter’s GDP growth.</w:t>
      </w:r>
      <w:r w:rsidR="009C4A62" w:rsidRPr="00DE4D69">
        <w:rPr>
          <w:rFonts w:ascii="Arial" w:hAnsi="Arial" w:cs="Arial"/>
          <w:bCs/>
          <w:sz w:val="20"/>
          <w:szCs w:val="20"/>
          <w:lang w:val="en-US"/>
        </w:rPr>
        <w:t xml:space="preserve"> </w:t>
      </w:r>
      <w:r w:rsidR="00946D8B">
        <w:rPr>
          <w:rFonts w:ascii="Arial" w:hAnsi="Arial" w:cs="Arial"/>
          <w:bCs/>
          <w:sz w:val="20"/>
          <w:szCs w:val="20"/>
          <w:lang w:val="en-US"/>
        </w:rPr>
        <w:t>Indeed,</w:t>
      </w:r>
      <w:r w:rsidR="00DE4D69" w:rsidRPr="00DE4D69">
        <w:rPr>
          <w:rFonts w:ascii="Arial" w:hAnsi="Arial" w:cs="Arial"/>
          <w:bCs/>
          <w:sz w:val="20"/>
          <w:szCs w:val="20"/>
          <w:lang w:val="en-US"/>
        </w:rPr>
        <w:t xml:space="preserve"> i</w:t>
      </w:r>
      <w:r w:rsidRPr="00DE4D69">
        <w:rPr>
          <w:rFonts w:ascii="Arial" w:hAnsi="Arial" w:cs="Arial"/>
          <w:bCs/>
          <w:sz w:val="20"/>
          <w:szCs w:val="20"/>
          <w:lang w:val="en-US"/>
        </w:rPr>
        <w:t>t</w:t>
      </w:r>
      <w:r w:rsidR="00DE4D69" w:rsidRPr="00DE4D69">
        <w:rPr>
          <w:rFonts w:ascii="Arial" w:hAnsi="Arial" w:cs="Arial"/>
          <w:bCs/>
          <w:sz w:val="20"/>
          <w:szCs w:val="20"/>
          <w:lang w:val="en-US"/>
        </w:rPr>
        <w:t xml:space="preserve"> </w:t>
      </w:r>
      <w:r w:rsidRPr="00DE4D69">
        <w:rPr>
          <w:rFonts w:ascii="Arial" w:hAnsi="Arial" w:cs="Arial"/>
          <w:bCs/>
          <w:sz w:val="20"/>
          <w:szCs w:val="20"/>
          <w:lang w:val="en-US"/>
        </w:rPr>
        <w:t>con</w:t>
      </w:r>
      <w:r w:rsidR="00DE4D69" w:rsidRPr="00DE4D69">
        <w:rPr>
          <w:rFonts w:ascii="Arial" w:hAnsi="Arial" w:cs="Arial"/>
          <w:bCs/>
          <w:sz w:val="20"/>
          <w:szCs w:val="20"/>
          <w:lang w:val="en-US"/>
        </w:rPr>
        <w:t xml:space="preserve">tributed </w:t>
      </w:r>
      <w:r w:rsidRPr="00DE4D69">
        <w:rPr>
          <w:rFonts w:ascii="Arial" w:hAnsi="Arial" w:cs="Arial"/>
          <w:bCs/>
          <w:sz w:val="20"/>
          <w:szCs w:val="20"/>
          <w:lang w:val="en-US"/>
        </w:rPr>
        <w:t>negatively but</w:t>
      </w:r>
      <w:r w:rsidR="00DE4D69" w:rsidRPr="00DE4D69">
        <w:rPr>
          <w:rFonts w:ascii="Arial" w:hAnsi="Arial" w:cs="Arial"/>
          <w:bCs/>
          <w:sz w:val="20"/>
          <w:szCs w:val="20"/>
          <w:lang w:val="en-US"/>
        </w:rPr>
        <w:t xml:space="preserve"> it was </w:t>
      </w:r>
      <w:r w:rsidRPr="00DE4D69">
        <w:rPr>
          <w:rFonts w:ascii="Arial" w:hAnsi="Arial" w:cs="Arial"/>
          <w:bCs/>
          <w:sz w:val="20"/>
          <w:szCs w:val="20"/>
          <w:lang w:val="en-US"/>
        </w:rPr>
        <w:t>above our expectations. The export of goods and services declined by 2.8 percent (-0.7 point contribution) while the import of goods and services increased by 0.5 percent (-0.1 point contribution) from first quarter to second quarter.</w:t>
      </w:r>
    </w:p>
    <w:p w:rsidR="00984090" w:rsidRPr="00DE4D69" w:rsidRDefault="00984090" w:rsidP="00984090">
      <w:pPr>
        <w:pStyle w:val="NormalWeb"/>
        <w:spacing w:before="0" w:beforeAutospacing="0" w:after="0" w:afterAutospacing="0" w:line="360" w:lineRule="auto"/>
        <w:ind w:right="77"/>
        <w:jc w:val="center"/>
        <w:rPr>
          <w:rFonts w:ascii="Arial" w:hAnsi="Arial" w:cs="Arial"/>
          <w:b/>
          <w:bCs/>
          <w:sz w:val="20"/>
          <w:szCs w:val="20"/>
          <w:highlight w:val="yellow"/>
          <w:lang w:val="en-US"/>
        </w:rPr>
      </w:pPr>
    </w:p>
    <w:p w:rsidR="001A4BCB" w:rsidRPr="00DE4D69" w:rsidRDefault="00EB16D6" w:rsidP="00EB16D6">
      <w:pPr>
        <w:pStyle w:val="NormalWeb"/>
        <w:spacing w:before="0" w:beforeAutospacing="0" w:after="0" w:afterAutospacing="0" w:line="360" w:lineRule="auto"/>
        <w:ind w:right="77"/>
        <w:jc w:val="center"/>
        <w:rPr>
          <w:rFonts w:ascii="Arial" w:hAnsi="Arial" w:cs="Arial"/>
          <w:b/>
          <w:bCs/>
          <w:sz w:val="20"/>
          <w:szCs w:val="20"/>
          <w:lang w:val="en-US"/>
        </w:rPr>
      </w:pPr>
      <w:r w:rsidRPr="00DE4D69">
        <w:rPr>
          <w:rFonts w:ascii="Arial" w:hAnsi="Arial" w:cs="Arial"/>
          <w:b/>
          <w:bCs/>
          <w:sz w:val="20"/>
          <w:szCs w:val="20"/>
          <w:lang w:val="en-US"/>
        </w:rPr>
        <w:t>Future of the Growth</w:t>
      </w:r>
    </w:p>
    <w:p w:rsidR="00EA742F" w:rsidRPr="00DE4D69" w:rsidRDefault="002347E2" w:rsidP="00EA742F">
      <w:pPr>
        <w:spacing w:line="360" w:lineRule="auto"/>
        <w:jc w:val="both"/>
        <w:rPr>
          <w:rFonts w:ascii="Arial" w:hAnsi="Arial" w:cs="Arial"/>
          <w:sz w:val="20"/>
          <w:szCs w:val="20"/>
          <w:lang w:val="en-US"/>
        </w:rPr>
      </w:pPr>
      <w:r w:rsidRPr="00DE4D69">
        <w:rPr>
          <w:rFonts w:ascii="Arial" w:hAnsi="Arial" w:cs="Arial"/>
          <w:sz w:val="20"/>
          <w:szCs w:val="20"/>
          <w:lang w:val="en-US"/>
        </w:rPr>
        <w:t>Consequently</w:t>
      </w:r>
      <w:r w:rsidR="00DE3D2F" w:rsidRPr="00DE4D69">
        <w:rPr>
          <w:rFonts w:ascii="Arial" w:hAnsi="Arial" w:cs="Arial"/>
          <w:sz w:val="20"/>
          <w:szCs w:val="20"/>
          <w:lang w:val="en-US"/>
        </w:rPr>
        <w:t xml:space="preserve">, </w:t>
      </w:r>
      <w:r w:rsidR="00EA742F" w:rsidRPr="00DE4D69">
        <w:rPr>
          <w:rFonts w:ascii="Arial" w:hAnsi="Arial" w:cs="Arial"/>
          <w:sz w:val="20"/>
          <w:szCs w:val="20"/>
          <w:lang w:val="en-US"/>
        </w:rPr>
        <w:t>despite the strong recovery in investments and the habitual increase in government spending, GDP growth is limited to 0.3 percent in second quarter mainly because of the unexpectedly high negative contribution of net export</w:t>
      </w:r>
      <w:r w:rsidR="003350C9">
        <w:rPr>
          <w:rFonts w:ascii="Arial" w:hAnsi="Arial" w:cs="Arial"/>
          <w:sz w:val="20"/>
          <w:szCs w:val="20"/>
          <w:lang w:val="en-US"/>
        </w:rPr>
        <w:t>s</w:t>
      </w:r>
      <w:r w:rsidR="00EA742F" w:rsidRPr="00DE4D69">
        <w:rPr>
          <w:rFonts w:ascii="Arial" w:hAnsi="Arial" w:cs="Arial"/>
          <w:sz w:val="20"/>
          <w:szCs w:val="20"/>
          <w:lang w:val="en-US"/>
        </w:rPr>
        <w:t xml:space="preserve"> and unforeseen decline of private consumption.</w:t>
      </w:r>
    </w:p>
    <w:p w:rsidR="001A4BCB" w:rsidRPr="00DE4D69" w:rsidRDefault="00E30A60" w:rsidP="00AF3A00">
      <w:pPr>
        <w:pStyle w:val="NormalWeb"/>
        <w:spacing w:before="0" w:beforeAutospacing="0" w:after="0" w:afterAutospacing="0" w:line="360" w:lineRule="auto"/>
        <w:ind w:right="77"/>
        <w:jc w:val="both"/>
        <w:rPr>
          <w:rFonts w:ascii="Arial" w:hAnsi="Arial" w:cs="Arial"/>
          <w:sz w:val="20"/>
          <w:szCs w:val="20"/>
          <w:highlight w:val="yellow"/>
          <w:lang w:val="en-US"/>
        </w:rPr>
      </w:pPr>
      <w:r w:rsidRPr="00DE4D69">
        <w:rPr>
          <w:rFonts w:ascii="Arial" w:hAnsi="Arial" w:cs="Arial"/>
          <w:sz w:val="20"/>
          <w:szCs w:val="20"/>
          <w:lang w:val="en-US"/>
        </w:rPr>
        <w:t>Also, it should be noted that 2016-Q2</w:t>
      </w:r>
      <w:r w:rsidR="00B911C9" w:rsidRPr="00DE4D69">
        <w:rPr>
          <w:rFonts w:ascii="Arial" w:hAnsi="Arial" w:cs="Arial"/>
          <w:sz w:val="20"/>
          <w:szCs w:val="20"/>
          <w:lang w:val="en-US"/>
        </w:rPr>
        <w:t xml:space="preserve"> quarterly growth recorded as the lowest growth in last 6 quarters. Therefore annually GDP growth regressed to 3.1 percent. Under these circumstances, </w:t>
      </w:r>
      <w:r w:rsidR="0017761C" w:rsidRPr="00DE4D69">
        <w:rPr>
          <w:rFonts w:ascii="Arial" w:hAnsi="Arial" w:cs="Arial"/>
          <w:sz w:val="20"/>
          <w:szCs w:val="20"/>
          <w:lang w:val="en-US"/>
        </w:rPr>
        <w:t xml:space="preserve">it is almost certain that 2016 annual growth will be below 4.5 percent target which was announced </w:t>
      </w:r>
      <w:r w:rsidR="00DE4D69" w:rsidRPr="00DE4D69">
        <w:rPr>
          <w:rFonts w:ascii="Arial" w:hAnsi="Arial" w:cs="Arial"/>
          <w:sz w:val="20"/>
          <w:szCs w:val="20"/>
          <w:lang w:val="en-US"/>
        </w:rPr>
        <w:t>in Medium Term Program</w:t>
      </w:r>
      <w:r w:rsidR="0017761C" w:rsidRPr="00DE4D69">
        <w:rPr>
          <w:rFonts w:ascii="Arial" w:hAnsi="Arial" w:cs="Arial"/>
          <w:sz w:val="20"/>
          <w:szCs w:val="20"/>
          <w:lang w:val="en-US"/>
        </w:rPr>
        <w:t>.</w:t>
      </w:r>
      <w:r w:rsidR="00DE4D69" w:rsidRPr="00DE4D69">
        <w:rPr>
          <w:rFonts w:ascii="Arial" w:hAnsi="Arial" w:cs="Arial"/>
          <w:sz w:val="20"/>
          <w:szCs w:val="20"/>
          <w:lang w:val="en-US"/>
        </w:rPr>
        <w:t xml:space="preserve"> To what extent that annual GDP deviate from the target will be shaped by the </w:t>
      </w:r>
      <w:r w:rsidR="001822FE">
        <w:rPr>
          <w:rFonts w:ascii="Arial" w:hAnsi="Arial" w:cs="Arial"/>
          <w:sz w:val="20"/>
          <w:szCs w:val="20"/>
          <w:lang w:val="en-US"/>
        </w:rPr>
        <w:t xml:space="preserve">performances of the Turkish economy in </w:t>
      </w:r>
      <w:r w:rsidR="00DE4D69" w:rsidRPr="00DE4D69">
        <w:rPr>
          <w:rFonts w:ascii="Arial" w:hAnsi="Arial" w:cs="Arial"/>
          <w:sz w:val="20"/>
          <w:szCs w:val="20"/>
          <w:lang w:val="en-US"/>
        </w:rPr>
        <w:t xml:space="preserve">second half </w:t>
      </w:r>
      <w:r w:rsidR="001822FE">
        <w:rPr>
          <w:rFonts w:ascii="Arial" w:hAnsi="Arial" w:cs="Arial"/>
          <w:sz w:val="20"/>
          <w:szCs w:val="20"/>
          <w:lang w:val="en-US"/>
        </w:rPr>
        <w:t>of the year.</w:t>
      </w:r>
      <w:r w:rsidR="00D37611" w:rsidRPr="00DE4D69">
        <w:rPr>
          <w:rFonts w:ascii="Arial" w:hAnsi="Arial" w:cs="Arial"/>
          <w:sz w:val="20"/>
          <w:szCs w:val="20"/>
          <w:lang w:val="en-US"/>
        </w:rPr>
        <w:t xml:space="preserve"> </w:t>
      </w:r>
    </w:p>
    <w:p w:rsidR="00A12F3A" w:rsidRPr="00DE4D69" w:rsidRDefault="00A12F3A" w:rsidP="00AF3A00">
      <w:pPr>
        <w:pStyle w:val="NormalWeb"/>
        <w:spacing w:before="0" w:beforeAutospacing="0" w:after="0" w:afterAutospacing="0" w:line="360" w:lineRule="auto"/>
        <w:ind w:right="77"/>
        <w:jc w:val="both"/>
        <w:rPr>
          <w:rFonts w:ascii="Arial" w:hAnsi="Arial" w:cs="Arial"/>
          <w:sz w:val="20"/>
          <w:szCs w:val="20"/>
          <w:highlight w:val="yellow"/>
          <w:lang w:val="en-US"/>
        </w:rPr>
      </w:pPr>
    </w:p>
    <w:p w:rsidR="00B834FD" w:rsidRPr="00DE4D69" w:rsidRDefault="00B834FD" w:rsidP="00572866">
      <w:pPr>
        <w:spacing w:line="288" w:lineRule="auto"/>
        <w:ind w:right="77"/>
        <w:jc w:val="both"/>
        <w:rPr>
          <w:rFonts w:ascii="Arial" w:hAnsi="Arial" w:cs="Arial"/>
          <w:sz w:val="20"/>
          <w:szCs w:val="20"/>
          <w:lang w:val="en-US"/>
        </w:rPr>
      </w:pPr>
    </w:p>
    <w:p w:rsidR="003047E8" w:rsidRPr="00DE4D69" w:rsidRDefault="003047E8" w:rsidP="00572866">
      <w:pPr>
        <w:spacing w:line="288" w:lineRule="auto"/>
        <w:ind w:right="77"/>
        <w:jc w:val="both"/>
        <w:rPr>
          <w:rFonts w:ascii="Arial" w:hAnsi="Arial" w:cs="Arial"/>
          <w:b/>
          <w:bCs/>
          <w:sz w:val="20"/>
          <w:szCs w:val="20"/>
          <w:lang w:val="en-US"/>
        </w:rPr>
      </w:pPr>
    </w:p>
    <w:p w:rsidR="003047E8" w:rsidRPr="00DE4D69" w:rsidRDefault="003047E8" w:rsidP="00572866">
      <w:pPr>
        <w:spacing w:line="288" w:lineRule="auto"/>
        <w:ind w:right="77"/>
        <w:jc w:val="both"/>
        <w:rPr>
          <w:rFonts w:ascii="Arial" w:hAnsi="Arial" w:cs="Arial"/>
          <w:b/>
          <w:bCs/>
          <w:sz w:val="20"/>
          <w:szCs w:val="20"/>
          <w:lang w:val="en-US"/>
        </w:rPr>
      </w:pPr>
    </w:p>
    <w:p w:rsidR="003047E8" w:rsidRPr="00DE4D69" w:rsidRDefault="003047E8" w:rsidP="00572866">
      <w:pPr>
        <w:spacing w:line="288" w:lineRule="auto"/>
        <w:ind w:right="77"/>
        <w:jc w:val="both"/>
        <w:rPr>
          <w:rFonts w:ascii="Arial" w:hAnsi="Arial" w:cs="Arial"/>
          <w:b/>
          <w:bCs/>
          <w:sz w:val="20"/>
          <w:szCs w:val="20"/>
          <w:lang w:val="en-US"/>
        </w:rPr>
      </w:pPr>
    </w:p>
    <w:p w:rsidR="003047E8" w:rsidRPr="00DE4D69" w:rsidRDefault="003047E8" w:rsidP="00572866">
      <w:pPr>
        <w:spacing w:line="288" w:lineRule="auto"/>
        <w:ind w:right="77"/>
        <w:jc w:val="both"/>
        <w:rPr>
          <w:rFonts w:ascii="Arial" w:hAnsi="Arial" w:cs="Arial"/>
          <w:b/>
          <w:bCs/>
          <w:sz w:val="20"/>
          <w:szCs w:val="20"/>
          <w:lang w:val="en-US"/>
        </w:rPr>
      </w:pPr>
    </w:p>
    <w:p w:rsidR="00E54A91" w:rsidRPr="00DE4D69" w:rsidRDefault="00B52576" w:rsidP="00E54A91">
      <w:pPr>
        <w:spacing w:line="288" w:lineRule="auto"/>
        <w:ind w:right="77"/>
        <w:jc w:val="both"/>
        <w:rPr>
          <w:rFonts w:ascii="Arial" w:hAnsi="Arial" w:cs="Arial"/>
          <w:b/>
          <w:bCs/>
          <w:sz w:val="20"/>
          <w:szCs w:val="20"/>
          <w:lang w:val="en-US"/>
        </w:rPr>
      </w:pPr>
      <w:proofErr w:type="gramStart"/>
      <w:r>
        <w:rPr>
          <w:rFonts w:ascii="Arial" w:hAnsi="Arial" w:cs="Arial"/>
          <w:b/>
          <w:bCs/>
          <w:sz w:val="20"/>
          <w:szCs w:val="20"/>
          <w:lang w:val="en-US"/>
        </w:rPr>
        <w:t xml:space="preserve">Figure </w:t>
      </w:r>
      <w:r w:rsidR="00E54A91" w:rsidRPr="00DE4D69">
        <w:rPr>
          <w:rFonts w:ascii="Arial" w:hAnsi="Arial" w:cs="Arial"/>
          <w:b/>
          <w:bCs/>
          <w:sz w:val="20"/>
          <w:szCs w:val="20"/>
          <w:lang w:val="en-US"/>
        </w:rPr>
        <w:fldChar w:fldCharType="begin"/>
      </w:r>
      <w:r w:rsidR="00E54A91" w:rsidRPr="00DE4D69">
        <w:rPr>
          <w:rFonts w:ascii="Arial" w:hAnsi="Arial" w:cs="Arial"/>
          <w:b/>
          <w:bCs/>
          <w:sz w:val="20"/>
          <w:szCs w:val="20"/>
          <w:lang w:val="en-US"/>
        </w:rPr>
        <w:instrText xml:space="preserve"> SEQ Figure \* ARABIC </w:instrText>
      </w:r>
      <w:r w:rsidR="00E54A91" w:rsidRPr="00DE4D69">
        <w:rPr>
          <w:rFonts w:ascii="Arial" w:hAnsi="Arial" w:cs="Arial"/>
          <w:b/>
          <w:bCs/>
          <w:sz w:val="20"/>
          <w:szCs w:val="20"/>
          <w:lang w:val="en-US"/>
        </w:rPr>
        <w:fldChar w:fldCharType="separate"/>
      </w:r>
      <w:r w:rsidR="00267E54">
        <w:rPr>
          <w:rFonts w:ascii="Arial" w:hAnsi="Arial" w:cs="Arial"/>
          <w:b/>
          <w:bCs/>
          <w:noProof/>
          <w:sz w:val="20"/>
          <w:szCs w:val="20"/>
          <w:lang w:val="en-US"/>
        </w:rPr>
        <w:t>3</w:t>
      </w:r>
      <w:r w:rsidR="00E54A91" w:rsidRPr="00DE4D69">
        <w:rPr>
          <w:rFonts w:ascii="Arial" w:hAnsi="Arial" w:cs="Arial"/>
          <w:b/>
          <w:bCs/>
          <w:sz w:val="20"/>
          <w:szCs w:val="20"/>
          <w:lang w:val="en-US"/>
        </w:rPr>
        <w:fldChar w:fldCharType="end"/>
      </w:r>
      <w:r w:rsidR="00D44D8D" w:rsidRPr="00DE4D69">
        <w:rPr>
          <w:rFonts w:ascii="Arial" w:hAnsi="Arial" w:cs="Arial"/>
          <w:b/>
          <w:bCs/>
          <w:sz w:val="20"/>
          <w:szCs w:val="20"/>
          <w:lang w:val="en-US"/>
        </w:rPr>
        <w:t>.</w:t>
      </w:r>
      <w:proofErr w:type="gramEnd"/>
      <w:r w:rsidR="00E54A91" w:rsidRPr="00DE4D69">
        <w:rPr>
          <w:rFonts w:ascii="Arial" w:hAnsi="Arial" w:cs="Arial"/>
          <w:b/>
          <w:bCs/>
          <w:sz w:val="20"/>
          <w:szCs w:val="20"/>
          <w:lang w:val="en-US"/>
        </w:rPr>
        <w:t xml:space="preserve"> Quarter-on-quarter real GDP growth rate</w:t>
      </w:r>
    </w:p>
    <w:p w:rsidR="00C23712" w:rsidRPr="00DE4D69" w:rsidRDefault="00A665F3" w:rsidP="000252CE">
      <w:pPr>
        <w:pStyle w:val="NormalWeb"/>
        <w:spacing w:before="0" w:beforeAutospacing="0" w:after="0" w:afterAutospacing="0"/>
        <w:jc w:val="both"/>
        <w:rPr>
          <w:lang w:val="en-US"/>
        </w:rPr>
      </w:pPr>
      <w:r w:rsidRPr="00DE4D69">
        <w:rPr>
          <w:noProof/>
        </w:rPr>
        <w:drawing>
          <wp:inline distT="0" distB="0" distL="0" distR="0" wp14:anchorId="0BB85F34" wp14:editId="3B28FB73">
            <wp:extent cx="2775356" cy="3047568"/>
            <wp:effectExtent l="19050" t="0" r="5944"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2778023" cy="3050497"/>
                    </a:xfrm>
                    <a:prstGeom prst="rect">
                      <a:avLst/>
                    </a:prstGeom>
                    <a:noFill/>
                    <a:ln w="9525">
                      <a:noFill/>
                      <a:miter lim="800000"/>
                      <a:headEnd/>
                      <a:tailEnd/>
                    </a:ln>
                  </pic:spPr>
                </pic:pic>
              </a:graphicData>
            </a:graphic>
          </wp:inline>
        </w:drawing>
      </w:r>
    </w:p>
    <w:p w:rsidR="00E54A91" w:rsidRPr="00DE4D69" w:rsidRDefault="00E54A91" w:rsidP="00E54A91">
      <w:pPr>
        <w:pStyle w:val="NormalWeb"/>
        <w:spacing w:before="0" w:beforeAutospacing="0" w:after="0" w:afterAutospacing="0"/>
        <w:jc w:val="both"/>
        <w:rPr>
          <w:rFonts w:ascii="Arial" w:hAnsi="Arial" w:cs="Arial"/>
          <w:sz w:val="20"/>
          <w:szCs w:val="20"/>
          <w:lang w:val="en-US"/>
        </w:rPr>
      </w:pPr>
      <w:r w:rsidRPr="00DE4D69">
        <w:rPr>
          <w:rFonts w:ascii="Arial" w:hAnsi="Arial" w:cs="Arial"/>
          <w:sz w:val="16"/>
          <w:szCs w:val="16"/>
          <w:lang w:val="en-US"/>
        </w:rPr>
        <w:t xml:space="preserve">Source: </w:t>
      </w:r>
      <w:proofErr w:type="spellStart"/>
      <w:r w:rsidRPr="00DE4D69">
        <w:rPr>
          <w:rFonts w:ascii="Arial" w:hAnsi="Arial" w:cs="Arial"/>
          <w:sz w:val="16"/>
          <w:szCs w:val="16"/>
          <w:lang w:val="en-US"/>
        </w:rPr>
        <w:t>Turkstat</w:t>
      </w:r>
      <w:proofErr w:type="spellEnd"/>
    </w:p>
    <w:p w:rsidR="00DA2051" w:rsidRPr="00DE4D69" w:rsidRDefault="00DA2051" w:rsidP="00535631">
      <w:pPr>
        <w:pStyle w:val="NormalWeb"/>
        <w:spacing w:before="0" w:beforeAutospacing="0" w:after="0" w:afterAutospacing="0"/>
        <w:ind w:right="77"/>
        <w:jc w:val="both"/>
        <w:rPr>
          <w:b/>
          <w:bCs/>
          <w:sz w:val="22"/>
          <w:szCs w:val="22"/>
          <w:lang w:val="en-US"/>
        </w:rPr>
      </w:pPr>
    </w:p>
    <w:p w:rsidR="00DA2051" w:rsidRPr="00DE4D69" w:rsidRDefault="00DA2051" w:rsidP="00535631">
      <w:pPr>
        <w:pStyle w:val="NormalWeb"/>
        <w:spacing w:before="0" w:beforeAutospacing="0" w:after="0" w:afterAutospacing="0"/>
        <w:ind w:right="77"/>
        <w:jc w:val="both"/>
        <w:rPr>
          <w:b/>
          <w:bCs/>
          <w:sz w:val="22"/>
          <w:szCs w:val="22"/>
          <w:lang w:val="en-US"/>
        </w:rPr>
      </w:pPr>
    </w:p>
    <w:p w:rsidR="00DA2051" w:rsidRPr="00DE4D69" w:rsidRDefault="00DA2051" w:rsidP="00535631">
      <w:pPr>
        <w:pStyle w:val="NormalWeb"/>
        <w:spacing w:before="0" w:beforeAutospacing="0" w:after="0" w:afterAutospacing="0"/>
        <w:ind w:right="77"/>
        <w:jc w:val="both"/>
        <w:rPr>
          <w:rFonts w:ascii="Arial" w:hAnsi="Arial" w:cs="Arial"/>
          <w:b/>
          <w:bCs/>
          <w:sz w:val="20"/>
          <w:szCs w:val="20"/>
          <w:lang w:val="en-US"/>
        </w:rPr>
      </w:pPr>
    </w:p>
    <w:p w:rsidR="00DA2051" w:rsidRPr="00DE4D69" w:rsidRDefault="00D44D8D" w:rsidP="003822FC">
      <w:pPr>
        <w:pStyle w:val="Caption"/>
        <w:rPr>
          <w:rFonts w:ascii="Arial" w:hAnsi="Arial" w:cs="Arial"/>
          <w:color w:val="auto"/>
          <w:sz w:val="20"/>
          <w:szCs w:val="20"/>
          <w:u w:val="single"/>
          <w:lang w:val="en-US"/>
        </w:rPr>
      </w:pPr>
      <w:bookmarkStart w:id="1" w:name="_Ref462150670"/>
      <w:proofErr w:type="gramStart"/>
      <w:r w:rsidRPr="00DE4D69">
        <w:rPr>
          <w:rFonts w:ascii="Arial" w:hAnsi="Arial" w:cs="Arial"/>
          <w:color w:val="auto"/>
          <w:sz w:val="20"/>
          <w:szCs w:val="20"/>
          <w:lang w:val="en-US"/>
        </w:rPr>
        <w:t xml:space="preserve">Table </w:t>
      </w:r>
      <w:r w:rsidRPr="00DE4D69">
        <w:rPr>
          <w:rFonts w:ascii="Arial" w:hAnsi="Arial" w:cs="Arial"/>
          <w:color w:val="auto"/>
          <w:sz w:val="20"/>
          <w:szCs w:val="20"/>
          <w:lang w:val="en-US"/>
        </w:rPr>
        <w:fldChar w:fldCharType="begin"/>
      </w:r>
      <w:r w:rsidRPr="00DE4D69">
        <w:rPr>
          <w:rFonts w:ascii="Arial" w:hAnsi="Arial" w:cs="Arial"/>
          <w:color w:val="auto"/>
          <w:sz w:val="20"/>
          <w:szCs w:val="20"/>
          <w:lang w:val="en-US"/>
        </w:rPr>
        <w:instrText xml:space="preserve"> SEQ Table \* ARABIC </w:instrText>
      </w:r>
      <w:r w:rsidRPr="00DE4D69">
        <w:rPr>
          <w:rFonts w:ascii="Arial" w:hAnsi="Arial" w:cs="Arial"/>
          <w:color w:val="auto"/>
          <w:sz w:val="20"/>
          <w:szCs w:val="20"/>
          <w:lang w:val="en-US"/>
        </w:rPr>
        <w:fldChar w:fldCharType="separate"/>
      </w:r>
      <w:r w:rsidR="00267E54">
        <w:rPr>
          <w:rFonts w:ascii="Arial" w:hAnsi="Arial" w:cs="Arial"/>
          <w:noProof/>
          <w:color w:val="auto"/>
          <w:sz w:val="20"/>
          <w:szCs w:val="20"/>
          <w:lang w:val="en-US"/>
        </w:rPr>
        <w:t>1</w:t>
      </w:r>
      <w:r w:rsidRPr="00DE4D69">
        <w:rPr>
          <w:rFonts w:ascii="Arial" w:hAnsi="Arial" w:cs="Arial"/>
          <w:color w:val="auto"/>
          <w:sz w:val="20"/>
          <w:szCs w:val="20"/>
          <w:lang w:val="en-US"/>
        </w:rPr>
        <w:fldChar w:fldCharType="end"/>
      </w:r>
      <w:bookmarkEnd w:id="1"/>
      <w:r w:rsidRPr="00DE4D69">
        <w:rPr>
          <w:rFonts w:ascii="Arial" w:hAnsi="Arial" w:cs="Arial"/>
          <w:color w:val="auto"/>
          <w:sz w:val="20"/>
          <w:szCs w:val="20"/>
          <w:lang w:val="en-US"/>
        </w:rPr>
        <w:t>.</w:t>
      </w:r>
      <w:proofErr w:type="gramEnd"/>
      <w:r w:rsidRPr="00DE4D69">
        <w:rPr>
          <w:rFonts w:ascii="Arial" w:hAnsi="Arial" w:cs="Arial"/>
          <w:color w:val="auto"/>
          <w:sz w:val="20"/>
          <w:szCs w:val="20"/>
          <w:lang w:val="en-US"/>
        </w:rPr>
        <w:t xml:space="preserve"> </w:t>
      </w:r>
      <w:proofErr w:type="gramStart"/>
      <w:r w:rsidRPr="00DE4D69">
        <w:rPr>
          <w:rFonts w:ascii="Arial" w:hAnsi="Arial" w:cs="Arial"/>
          <w:color w:val="auto"/>
          <w:sz w:val="20"/>
          <w:szCs w:val="20"/>
          <w:lang w:val="en-US"/>
        </w:rPr>
        <w:t xml:space="preserve">Changes in and contributions of GDP components for 2016Q1 and 2016Q2, </w:t>
      </w:r>
      <w:r w:rsidRPr="00DE4D69">
        <w:rPr>
          <w:rFonts w:ascii="Arial" w:hAnsi="Arial" w:cs="Arial"/>
          <w:color w:val="auto"/>
          <w:sz w:val="20"/>
          <w:szCs w:val="20"/>
          <w:u w:val="single"/>
          <w:lang w:val="en-US"/>
        </w:rPr>
        <w:t>compared to the previous quarter.</w:t>
      </w:r>
      <w:proofErr w:type="gramEnd"/>
    </w:p>
    <w:tbl>
      <w:tblPr>
        <w:tblW w:w="4820" w:type="dxa"/>
        <w:tblInd w:w="70" w:type="dxa"/>
        <w:tblLayout w:type="fixed"/>
        <w:tblCellMar>
          <w:left w:w="70" w:type="dxa"/>
          <w:right w:w="70" w:type="dxa"/>
        </w:tblCellMar>
        <w:tblLook w:val="0000" w:firstRow="0" w:lastRow="0" w:firstColumn="0" w:lastColumn="0" w:noHBand="0" w:noVBand="0"/>
      </w:tblPr>
      <w:tblGrid>
        <w:gridCol w:w="1980"/>
        <w:gridCol w:w="1350"/>
        <w:gridCol w:w="1490"/>
      </w:tblGrid>
      <w:tr w:rsidR="0074642A" w:rsidRPr="00DE4D69" w:rsidTr="0074642A">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74642A" w:rsidRPr="00DE4D69" w:rsidRDefault="0074642A" w:rsidP="003D6D66">
            <w:pPr>
              <w:rPr>
                <w:rFonts w:ascii="Arial TUR" w:hAnsi="Arial TUR" w:cs="Arial TUR"/>
                <w:b/>
                <w:bCs/>
                <w:sz w:val="20"/>
                <w:szCs w:val="20"/>
                <w:lang w:val="en-US"/>
              </w:rPr>
            </w:pPr>
            <w:r w:rsidRPr="00DE4D69">
              <w:rPr>
                <w:rFonts w:ascii="Arial TUR" w:hAnsi="Arial TUR" w:cs="Arial TUR"/>
                <w:b/>
                <w:bCs/>
                <w:sz w:val="20"/>
                <w:szCs w:val="20"/>
                <w:lang w:val="en-US"/>
              </w:rPr>
              <w:t>2016 – Q2</w:t>
            </w:r>
          </w:p>
        </w:tc>
        <w:tc>
          <w:tcPr>
            <w:tcW w:w="1350" w:type="dxa"/>
            <w:tcBorders>
              <w:top w:val="single" w:sz="4" w:space="0" w:color="auto"/>
              <w:left w:val="nil"/>
              <w:bottom w:val="single" w:sz="4" w:space="0" w:color="auto"/>
              <w:right w:val="single" w:sz="4" w:space="0" w:color="auto"/>
            </w:tcBorders>
            <w:noWrap/>
            <w:vAlign w:val="bottom"/>
          </w:tcPr>
          <w:p w:rsidR="0074642A" w:rsidRPr="00DE4D69" w:rsidRDefault="0074642A" w:rsidP="003822FC">
            <w:pPr>
              <w:jc w:val="center"/>
              <w:rPr>
                <w:rFonts w:ascii="Arial TUR" w:hAnsi="Arial TUR" w:cs="Arial TUR"/>
                <w:b/>
                <w:bCs/>
                <w:sz w:val="20"/>
                <w:szCs w:val="20"/>
                <w:lang w:val="en-US"/>
              </w:rPr>
            </w:pPr>
            <w:proofErr w:type="gramStart"/>
            <w:r w:rsidRPr="00DE4D69">
              <w:rPr>
                <w:rFonts w:ascii="Arial TUR" w:hAnsi="Arial TUR" w:cs="Arial TUR"/>
                <w:b/>
                <w:bCs/>
                <w:sz w:val="20"/>
                <w:szCs w:val="20"/>
                <w:lang w:val="en-US"/>
              </w:rPr>
              <w:t>Change</w:t>
            </w:r>
            <w:proofErr w:type="gramEnd"/>
            <w:r w:rsidRPr="00DE4D69">
              <w:rPr>
                <w:rFonts w:ascii="Arial TUR" w:hAnsi="Arial TUR" w:cs="Arial TUR"/>
                <w:b/>
                <w:bCs/>
                <w:sz w:val="20"/>
                <w:szCs w:val="20"/>
                <w:lang w:val="en-US"/>
              </w:rPr>
              <w:br/>
              <w:t>(%)</w:t>
            </w:r>
          </w:p>
        </w:tc>
        <w:tc>
          <w:tcPr>
            <w:tcW w:w="1490" w:type="dxa"/>
            <w:tcBorders>
              <w:top w:val="single" w:sz="4" w:space="0" w:color="auto"/>
              <w:left w:val="nil"/>
              <w:bottom w:val="single" w:sz="4" w:space="0" w:color="auto"/>
              <w:right w:val="single" w:sz="4" w:space="0" w:color="auto"/>
            </w:tcBorders>
            <w:noWrap/>
            <w:vAlign w:val="bottom"/>
          </w:tcPr>
          <w:p w:rsidR="0074642A" w:rsidRPr="00DE4D69" w:rsidRDefault="0074642A" w:rsidP="003822FC">
            <w:pPr>
              <w:jc w:val="center"/>
              <w:rPr>
                <w:rFonts w:ascii="Arial TUR" w:hAnsi="Arial TUR" w:cs="Arial TUR"/>
                <w:b/>
                <w:bCs/>
                <w:sz w:val="20"/>
                <w:szCs w:val="20"/>
                <w:lang w:val="en-US"/>
              </w:rPr>
            </w:pPr>
            <w:r w:rsidRPr="00DE4D69">
              <w:rPr>
                <w:rFonts w:ascii="Arial TUR" w:hAnsi="Arial TUR" w:cs="Arial TUR"/>
                <w:b/>
                <w:bCs/>
                <w:sz w:val="20"/>
                <w:szCs w:val="20"/>
                <w:lang w:val="en-US"/>
              </w:rPr>
              <w:t>Contributions   (pp)</w:t>
            </w:r>
            <w:r w:rsidR="007F030E" w:rsidRPr="00DE4D69">
              <w:rPr>
                <w:rStyle w:val="FootnoteReference"/>
                <w:rFonts w:ascii="Arial TUR" w:hAnsi="Arial TUR" w:cs="Arial TUR"/>
                <w:b/>
                <w:bCs/>
                <w:sz w:val="20"/>
                <w:szCs w:val="20"/>
                <w:lang w:val="en-US"/>
              </w:rPr>
              <w:footnoteReference w:id="1"/>
            </w:r>
          </w:p>
        </w:tc>
      </w:tr>
      <w:tr w:rsidR="00A665F3" w:rsidRPr="00DE4D69" w:rsidTr="0074642A">
        <w:trPr>
          <w:trHeight w:val="255"/>
        </w:trPr>
        <w:tc>
          <w:tcPr>
            <w:tcW w:w="1980" w:type="dxa"/>
            <w:tcBorders>
              <w:top w:val="nil"/>
              <w:left w:val="single" w:sz="4" w:space="0" w:color="auto"/>
              <w:bottom w:val="single" w:sz="4" w:space="0" w:color="auto"/>
              <w:right w:val="single" w:sz="4" w:space="0" w:color="auto"/>
            </w:tcBorders>
            <w:noWrap/>
            <w:vAlign w:val="bottom"/>
          </w:tcPr>
          <w:p w:rsidR="00A665F3" w:rsidRPr="00DE4D69" w:rsidRDefault="00FC4C0A" w:rsidP="00ED0B13">
            <w:pPr>
              <w:rPr>
                <w:rFonts w:ascii="Arial TUR" w:hAnsi="Arial TUR" w:cs="Arial TUR"/>
                <w:b/>
                <w:bCs/>
                <w:sz w:val="20"/>
                <w:szCs w:val="20"/>
                <w:lang w:val="en-US"/>
              </w:rPr>
            </w:pPr>
            <w:r w:rsidRPr="00DE4D69">
              <w:rPr>
                <w:rFonts w:ascii="Arial TUR" w:hAnsi="Arial TUR" w:cs="Arial TUR"/>
                <w:b/>
                <w:bCs/>
                <w:sz w:val="20"/>
                <w:szCs w:val="20"/>
                <w:lang w:val="en-US"/>
              </w:rPr>
              <w:t>Consumption</w:t>
            </w:r>
          </w:p>
        </w:tc>
        <w:tc>
          <w:tcPr>
            <w:tcW w:w="1350" w:type="dxa"/>
            <w:tcBorders>
              <w:top w:val="nil"/>
              <w:left w:val="nil"/>
              <w:bottom w:val="single" w:sz="4" w:space="0" w:color="auto"/>
              <w:right w:val="single" w:sz="4" w:space="0" w:color="auto"/>
            </w:tcBorders>
            <w:noWrap/>
            <w:vAlign w:val="bottom"/>
          </w:tcPr>
          <w:p w:rsidR="00A665F3" w:rsidRPr="00DE4D69" w:rsidRDefault="00A665F3" w:rsidP="00A665F3">
            <w:pPr>
              <w:jc w:val="right"/>
              <w:rPr>
                <w:rFonts w:ascii="Arial" w:hAnsi="Arial" w:cs="Arial"/>
                <w:sz w:val="20"/>
                <w:szCs w:val="20"/>
                <w:lang w:val="en-US"/>
              </w:rPr>
            </w:pPr>
            <w:r w:rsidRPr="00DE4D69">
              <w:rPr>
                <w:rFonts w:ascii="Arial" w:hAnsi="Arial" w:cs="Arial"/>
                <w:sz w:val="20"/>
                <w:szCs w:val="20"/>
                <w:lang w:val="en-US"/>
              </w:rPr>
              <w:t>-0.5</w:t>
            </w:r>
          </w:p>
        </w:tc>
        <w:tc>
          <w:tcPr>
            <w:tcW w:w="1490" w:type="dxa"/>
            <w:tcBorders>
              <w:top w:val="nil"/>
              <w:left w:val="nil"/>
              <w:bottom w:val="single" w:sz="4" w:space="0" w:color="auto"/>
              <w:right w:val="single" w:sz="4" w:space="0" w:color="auto"/>
            </w:tcBorders>
            <w:noWrap/>
            <w:vAlign w:val="bottom"/>
          </w:tcPr>
          <w:p w:rsidR="00A665F3" w:rsidRPr="00DE4D69" w:rsidRDefault="00A665F3">
            <w:pPr>
              <w:jc w:val="right"/>
              <w:rPr>
                <w:rFonts w:ascii="Arial" w:hAnsi="Arial" w:cs="Arial"/>
                <w:sz w:val="20"/>
                <w:szCs w:val="20"/>
                <w:lang w:val="en-US"/>
              </w:rPr>
            </w:pPr>
            <w:r w:rsidRPr="00DE4D69">
              <w:rPr>
                <w:rFonts w:ascii="Arial" w:hAnsi="Arial" w:cs="Arial"/>
                <w:sz w:val="20"/>
                <w:szCs w:val="20"/>
                <w:lang w:val="en-US"/>
              </w:rPr>
              <w:t>-0.4</w:t>
            </w:r>
          </w:p>
        </w:tc>
      </w:tr>
      <w:tr w:rsidR="00A665F3" w:rsidRPr="00DE4D69" w:rsidTr="0074642A">
        <w:trPr>
          <w:trHeight w:val="255"/>
        </w:trPr>
        <w:tc>
          <w:tcPr>
            <w:tcW w:w="1980" w:type="dxa"/>
            <w:tcBorders>
              <w:top w:val="nil"/>
              <w:left w:val="single" w:sz="4" w:space="0" w:color="auto"/>
              <w:bottom w:val="single" w:sz="4" w:space="0" w:color="auto"/>
              <w:right w:val="single" w:sz="4" w:space="0" w:color="auto"/>
            </w:tcBorders>
            <w:noWrap/>
            <w:vAlign w:val="bottom"/>
          </w:tcPr>
          <w:p w:rsidR="00A665F3" w:rsidRPr="00DE4D69" w:rsidRDefault="00FC4C0A" w:rsidP="00ED0B13">
            <w:pPr>
              <w:rPr>
                <w:rFonts w:ascii="Arial TUR" w:hAnsi="Arial TUR" w:cs="Arial TUR"/>
                <w:b/>
                <w:bCs/>
                <w:sz w:val="20"/>
                <w:szCs w:val="20"/>
                <w:lang w:val="en-US"/>
              </w:rPr>
            </w:pPr>
            <w:r w:rsidRPr="00DE4D69">
              <w:rPr>
                <w:rFonts w:ascii="Arial TUR" w:hAnsi="Arial TUR" w:cs="Arial TUR"/>
                <w:b/>
                <w:bCs/>
                <w:sz w:val="20"/>
                <w:szCs w:val="20"/>
                <w:lang w:val="en-US"/>
              </w:rPr>
              <w:t>Private Investments</w:t>
            </w:r>
          </w:p>
        </w:tc>
        <w:tc>
          <w:tcPr>
            <w:tcW w:w="1350" w:type="dxa"/>
            <w:tcBorders>
              <w:top w:val="nil"/>
              <w:left w:val="nil"/>
              <w:bottom w:val="single" w:sz="4" w:space="0" w:color="auto"/>
              <w:right w:val="single" w:sz="4" w:space="0" w:color="auto"/>
            </w:tcBorders>
            <w:noWrap/>
            <w:vAlign w:val="bottom"/>
          </w:tcPr>
          <w:p w:rsidR="00A665F3" w:rsidRPr="00DE4D69" w:rsidRDefault="00A665F3">
            <w:pPr>
              <w:jc w:val="right"/>
              <w:rPr>
                <w:rFonts w:ascii="Arial" w:hAnsi="Arial" w:cs="Arial"/>
                <w:sz w:val="20"/>
                <w:szCs w:val="20"/>
                <w:lang w:val="en-US"/>
              </w:rPr>
            </w:pPr>
            <w:r w:rsidRPr="00DE4D69">
              <w:rPr>
                <w:rFonts w:ascii="Arial" w:hAnsi="Arial" w:cs="Arial"/>
                <w:sz w:val="20"/>
                <w:szCs w:val="20"/>
                <w:lang w:val="en-US"/>
              </w:rPr>
              <w:t>6.0</w:t>
            </w:r>
          </w:p>
        </w:tc>
        <w:tc>
          <w:tcPr>
            <w:tcW w:w="1490" w:type="dxa"/>
            <w:tcBorders>
              <w:top w:val="nil"/>
              <w:left w:val="nil"/>
              <w:bottom w:val="single" w:sz="4" w:space="0" w:color="auto"/>
              <w:right w:val="single" w:sz="4" w:space="0" w:color="auto"/>
            </w:tcBorders>
            <w:noWrap/>
            <w:vAlign w:val="bottom"/>
          </w:tcPr>
          <w:p w:rsidR="00A665F3" w:rsidRPr="00DE4D69" w:rsidRDefault="00A665F3">
            <w:pPr>
              <w:jc w:val="right"/>
              <w:rPr>
                <w:rFonts w:ascii="Arial" w:hAnsi="Arial" w:cs="Arial"/>
                <w:sz w:val="20"/>
                <w:szCs w:val="20"/>
                <w:lang w:val="en-US"/>
              </w:rPr>
            </w:pPr>
            <w:r w:rsidRPr="00DE4D69">
              <w:rPr>
                <w:rFonts w:ascii="Arial" w:hAnsi="Arial" w:cs="Arial"/>
                <w:sz w:val="20"/>
                <w:szCs w:val="20"/>
                <w:lang w:val="en-US"/>
              </w:rPr>
              <w:t>1.1</w:t>
            </w:r>
          </w:p>
        </w:tc>
      </w:tr>
      <w:tr w:rsidR="00A665F3" w:rsidRPr="00DE4D69" w:rsidTr="0074642A">
        <w:trPr>
          <w:trHeight w:val="255"/>
        </w:trPr>
        <w:tc>
          <w:tcPr>
            <w:tcW w:w="1980" w:type="dxa"/>
            <w:tcBorders>
              <w:top w:val="nil"/>
              <w:left w:val="single" w:sz="4" w:space="0" w:color="auto"/>
              <w:bottom w:val="single" w:sz="4" w:space="0" w:color="auto"/>
              <w:right w:val="single" w:sz="4" w:space="0" w:color="auto"/>
            </w:tcBorders>
            <w:noWrap/>
            <w:vAlign w:val="bottom"/>
          </w:tcPr>
          <w:p w:rsidR="00A665F3" w:rsidRPr="00DE4D69" w:rsidRDefault="00FC4C0A" w:rsidP="00ED0B13">
            <w:pPr>
              <w:rPr>
                <w:rFonts w:ascii="Arial TUR" w:hAnsi="Arial TUR" w:cs="Arial TUR"/>
                <w:b/>
                <w:bCs/>
                <w:sz w:val="20"/>
                <w:szCs w:val="20"/>
                <w:lang w:val="en-US"/>
              </w:rPr>
            </w:pPr>
            <w:r w:rsidRPr="00DE4D69">
              <w:rPr>
                <w:rFonts w:ascii="Arial TUR" w:hAnsi="Arial TUR" w:cs="Arial TUR"/>
                <w:b/>
                <w:bCs/>
                <w:sz w:val="20"/>
                <w:szCs w:val="20"/>
                <w:lang w:val="en-US"/>
              </w:rPr>
              <w:t xml:space="preserve">Government </w:t>
            </w:r>
            <w:r w:rsidR="00B52576" w:rsidRPr="00DE4D69">
              <w:rPr>
                <w:rFonts w:ascii="Arial TUR" w:hAnsi="Arial TUR" w:cs="Arial TUR"/>
                <w:b/>
                <w:bCs/>
                <w:sz w:val="20"/>
                <w:szCs w:val="20"/>
                <w:lang w:val="en-US"/>
              </w:rPr>
              <w:t>spending</w:t>
            </w:r>
          </w:p>
        </w:tc>
        <w:tc>
          <w:tcPr>
            <w:tcW w:w="1350" w:type="dxa"/>
            <w:tcBorders>
              <w:top w:val="nil"/>
              <w:left w:val="nil"/>
              <w:bottom w:val="single" w:sz="4" w:space="0" w:color="auto"/>
              <w:right w:val="single" w:sz="4" w:space="0" w:color="auto"/>
            </w:tcBorders>
            <w:noWrap/>
            <w:vAlign w:val="bottom"/>
          </w:tcPr>
          <w:p w:rsidR="00A665F3" w:rsidRPr="00DE4D69" w:rsidRDefault="00A665F3">
            <w:pPr>
              <w:jc w:val="right"/>
              <w:rPr>
                <w:rFonts w:ascii="Arial" w:hAnsi="Arial" w:cs="Arial"/>
                <w:sz w:val="20"/>
                <w:szCs w:val="20"/>
                <w:lang w:val="en-US"/>
              </w:rPr>
            </w:pPr>
            <w:r w:rsidRPr="00DE4D69">
              <w:rPr>
                <w:rFonts w:ascii="Arial" w:hAnsi="Arial" w:cs="Arial"/>
                <w:sz w:val="20"/>
                <w:szCs w:val="20"/>
                <w:lang w:val="en-US"/>
              </w:rPr>
              <w:t>3.5</w:t>
            </w:r>
          </w:p>
        </w:tc>
        <w:tc>
          <w:tcPr>
            <w:tcW w:w="1490" w:type="dxa"/>
            <w:tcBorders>
              <w:top w:val="nil"/>
              <w:left w:val="nil"/>
              <w:bottom w:val="single" w:sz="4" w:space="0" w:color="auto"/>
              <w:right w:val="single" w:sz="4" w:space="0" w:color="auto"/>
            </w:tcBorders>
            <w:noWrap/>
            <w:vAlign w:val="bottom"/>
          </w:tcPr>
          <w:p w:rsidR="00A665F3" w:rsidRPr="00DE4D69" w:rsidRDefault="00A665F3">
            <w:pPr>
              <w:jc w:val="right"/>
              <w:rPr>
                <w:rFonts w:ascii="Arial" w:hAnsi="Arial" w:cs="Arial"/>
                <w:sz w:val="20"/>
                <w:szCs w:val="20"/>
                <w:lang w:val="en-US"/>
              </w:rPr>
            </w:pPr>
            <w:r w:rsidRPr="00DE4D69">
              <w:rPr>
                <w:rFonts w:ascii="Arial" w:hAnsi="Arial" w:cs="Arial"/>
                <w:sz w:val="20"/>
                <w:szCs w:val="20"/>
                <w:lang w:val="en-US"/>
              </w:rPr>
              <w:t>0.6</w:t>
            </w:r>
          </w:p>
        </w:tc>
      </w:tr>
      <w:tr w:rsidR="00A665F3" w:rsidRPr="00DE4D69" w:rsidTr="0074642A">
        <w:trPr>
          <w:trHeight w:val="255"/>
        </w:trPr>
        <w:tc>
          <w:tcPr>
            <w:tcW w:w="1980" w:type="dxa"/>
            <w:tcBorders>
              <w:top w:val="nil"/>
              <w:left w:val="single" w:sz="4" w:space="0" w:color="auto"/>
              <w:bottom w:val="single" w:sz="4" w:space="0" w:color="auto"/>
              <w:right w:val="single" w:sz="4" w:space="0" w:color="auto"/>
            </w:tcBorders>
            <w:noWrap/>
            <w:vAlign w:val="bottom"/>
          </w:tcPr>
          <w:p w:rsidR="00A665F3" w:rsidRPr="00DE4D69" w:rsidRDefault="00FC4C0A" w:rsidP="00ED0B13">
            <w:pPr>
              <w:rPr>
                <w:rFonts w:ascii="Arial TUR" w:hAnsi="Arial TUR" w:cs="Arial TUR"/>
                <w:b/>
                <w:bCs/>
                <w:sz w:val="20"/>
                <w:szCs w:val="20"/>
                <w:lang w:val="en-US"/>
              </w:rPr>
            </w:pPr>
            <w:r w:rsidRPr="00DE4D69">
              <w:rPr>
                <w:rFonts w:ascii="Arial TUR" w:hAnsi="Arial TUR" w:cs="Arial TUR"/>
                <w:b/>
                <w:bCs/>
                <w:sz w:val="20"/>
                <w:szCs w:val="20"/>
                <w:lang w:val="en-US"/>
              </w:rPr>
              <w:t>Change in stock</w:t>
            </w:r>
          </w:p>
        </w:tc>
        <w:tc>
          <w:tcPr>
            <w:tcW w:w="1350" w:type="dxa"/>
            <w:tcBorders>
              <w:top w:val="nil"/>
              <w:left w:val="nil"/>
              <w:bottom w:val="single" w:sz="4" w:space="0" w:color="auto"/>
              <w:right w:val="single" w:sz="4" w:space="0" w:color="auto"/>
            </w:tcBorders>
            <w:noWrap/>
            <w:vAlign w:val="bottom"/>
          </w:tcPr>
          <w:p w:rsidR="00A665F3" w:rsidRPr="00DE4D69" w:rsidRDefault="00A665F3">
            <w:pPr>
              <w:rPr>
                <w:rFonts w:ascii="Arial" w:hAnsi="Arial" w:cs="Arial"/>
                <w:sz w:val="20"/>
                <w:szCs w:val="20"/>
                <w:lang w:val="en-US"/>
              </w:rPr>
            </w:pPr>
            <w:r w:rsidRPr="00DE4D69">
              <w:rPr>
                <w:rFonts w:ascii="Arial" w:hAnsi="Arial" w:cs="Arial"/>
                <w:sz w:val="20"/>
                <w:szCs w:val="20"/>
                <w:lang w:val="en-US"/>
              </w:rPr>
              <w:t> </w:t>
            </w:r>
          </w:p>
        </w:tc>
        <w:tc>
          <w:tcPr>
            <w:tcW w:w="1490" w:type="dxa"/>
            <w:tcBorders>
              <w:top w:val="nil"/>
              <w:left w:val="nil"/>
              <w:bottom w:val="single" w:sz="4" w:space="0" w:color="auto"/>
              <w:right w:val="single" w:sz="4" w:space="0" w:color="auto"/>
            </w:tcBorders>
            <w:noWrap/>
            <w:vAlign w:val="bottom"/>
          </w:tcPr>
          <w:p w:rsidR="00A665F3" w:rsidRPr="00DE4D69" w:rsidRDefault="00A665F3">
            <w:pPr>
              <w:jc w:val="right"/>
              <w:rPr>
                <w:rFonts w:ascii="Arial" w:hAnsi="Arial" w:cs="Arial"/>
                <w:sz w:val="20"/>
                <w:szCs w:val="20"/>
                <w:lang w:val="en-US"/>
              </w:rPr>
            </w:pPr>
            <w:r w:rsidRPr="00DE4D69">
              <w:rPr>
                <w:rFonts w:ascii="Arial" w:hAnsi="Arial" w:cs="Arial"/>
                <w:sz w:val="20"/>
                <w:szCs w:val="20"/>
                <w:lang w:val="en-US"/>
              </w:rPr>
              <w:t>-0.2</w:t>
            </w:r>
          </w:p>
        </w:tc>
      </w:tr>
      <w:tr w:rsidR="00A665F3" w:rsidRPr="00DE4D69" w:rsidTr="0074642A">
        <w:trPr>
          <w:trHeight w:val="255"/>
        </w:trPr>
        <w:tc>
          <w:tcPr>
            <w:tcW w:w="1980" w:type="dxa"/>
            <w:tcBorders>
              <w:top w:val="nil"/>
              <w:left w:val="single" w:sz="4" w:space="0" w:color="auto"/>
              <w:bottom w:val="single" w:sz="4" w:space="0" w:color="auto"/>
              <w:right w:val="single" w:sz="4" w:space="0" w:color="auto"/>
            </w:tcBorders>
            <w:noWrap/>
            <w:vAlign w:val="bottom"/>
          </w:tcPr>
          <w:p w:rsidR="00A665F3" w:rsidRPr="00DE4D69" w:rsidRDefault="00EF4999" w:rsidP="00ED0B13">
            <w:pPr>
              <w:rPr>
                <w:rFonts w:ascii="Arial TUR" w:hAnsi="Arial TUR" w:cs="Arial TUR"/>
                <w:b/>
                <w:bCs/>
                <w:sz w:val="20"/>
                <w:szCs w:val="20"/>
                <w:lang w:val="en-US"/>
              </w:rPr>
            </w:pPr>
            <w:r w:rsidRPr="00DE4D69">
              <w:rPr>
                <w:rFonts w:ascii="Arial TUR" w:hAnsi="Arial TUR" w:cs="Arial TUR"/>
                <w:b/>
                <w:bCs/>
                <w:sz w:val="20"/>
                <w:szCs w:val="20"/>
                <w:lang w:val="en-US"/>
              </w:rPr>
              <w:t>Export</w:t>
            </w:r>
          </w:p>
        </w:tc>
        <w:tc>
          <w:tcPr>
            <w:tcW w:w="1350" w:type="dxa"/>
            <w:tcBorders>
              <w:top w:val="nil"/>
              <w:left w:val="nil"/>
              <w:bottom w:val="single" w:sz="4" w:space="0" w:color="auto"/>
              <w:right w:val="single" w:sz="4" w:space="0" w:color="auto"/>
            </w:tcBorders>
            <w:noWrap/>
            <w:vAlign w:val="bottom"/>
          </w:tcPr>
          <w:p w:rsidR="00A665F3" w:rsidRPr="00DE4D69" w:rsidRDefault="00A665F3">
            <w:pPr>
              <w:jc w:val="right"/>
              <w:rPr>
                <w:rFonts w:ascii="Arial" w:hAnsi="Arial" w:cs="Arial"/>
                <w:sz w:val="20"/>
                <w:szCs w:val="20"/>
                <w:lang w:val="en-US"/>
              </w:rPr>
            </w:pPr>
            <w:r w:rsidRPr="00DE4D69">
              <w:rPr>
                <w:rFonts w:ascii="Arial" w:hAnsi="Arial" w:cs="Arial"/>
                <w:sz w:val="20"/>
                <w:szCs w:val="20"/>
                <w:lang w:val="en-US"/>
              </w:rPr>
              <w:t>-2.8</w:t>
            </w:r>
          </w:p>
        </w:tc>
        <w:tc>
          <w:tcPr>
            <w:tcW w:w="1490" w:type="dxa"/>
            <w:tcBorders>
              <w:top w:val="nil"/>
              <w:left w:val="nil"/>
              <w:bottom w:val="single" w:sz="4" w:space="0" w:color="auto"/>
              <w:right w:val="single" w:sz="4" w:space="0" w:color="auto"/>
            </w:tcBorders>
            <w:noWrap/>
            <w:vAlign w:val="bottom"/>
          </w:tcPr>
          <w:p w:rsidR="00A665F3" w:rsidRPr="00DE4D69" w:rsidRDefault="00A665F3">
            <w:pPr>
              <w:jc w:val="right"/>
              <w:rPr>
                <w:rFonts w:ascii="Arial" w:hAnsi="Arial" w:cs="Arial"/>
                <w:sz w:val="20"/>
                <w:szCs w:val="20"/>
                <w:lang w:val="en-US"/>
              </w:rPr>
            </w:pPr>
            <w:r w:rsidRPr="00DE4D69">
              <w:rPr>
                <w:rFonts w:ascii="Arial" w:hAnsi="Arial" w:cs="Arial"/>
                <w:sz w:val="20"/>
                <w:szCs w:val="20"/>
                <w:lang w:val="en-US"/>
              </w:rPr>
              <w:t>-0.7</w:t>
            </w:r>
          </w:p>
        </w:tc>
      </w:tr>
      <w:tr w:rsidR="00A665F3" w:rsidRPr="00DE4D69" w:rsidTr="0074642A">
        <w:trPr>
          <w:trHeight w:val="255"/>
        </w:trPr>
        <w:tc>
          <w:tcPr>
            <w:tcW w:w="1980" w:type="dxa"/>
            <w:tcBorders>
              <w:top w:val="nil"/>
              <w:left w:val="single" w:sz="4" w:space="0" w:color="auto"/>
              <w:bottom w:val="single" w:sz="4" w:space="0" w:color="auto"/>
              <w:right w:val="single" w:sz="4" w:space="0" w:color="auto"/>
            </w:tcBorders>
            <w:noWrap/>
            <w:vAlign w:val="bottom"/>
          </w:tcPr>
          <w:p w:rsidR="00A665F3" w:rsidRPr="00DE4D69" w:rsidRDefault="00EF4999" w:rsidP="00ED0B13">
            <w:pPr>
              <w:rPr>
                <w:rFonts w:ascii="Arial TUR" w:hAnsi="Arial TUR" w:cs="Arial TUR"/>
                <w:b/>
                <w:bCs/>
                <w:sz w:val="20"/>
                <w:szCs w:val="20"/>
                <w:lang w:val="en-US"/>
              </w:rPr>
            </w:pPr>
            <w:r w:rsidRPr="00DE4D69">
              <w:rPr>
                <w:rFonts w:ascii="Arial TUR" w:hAnsi="Arial TUR" w:cs="Arial TUR"/>
                <w:b/>
                <w:bCs/>
                <w:sz w:val="20"/>
                <w:szCs w:val="20"/>
                <w:lang w:val="en-US"/>
              </w:rPr>
              <w:t>Import</w:t>
            </w:r>
          </w:p>
        </w:tc>
        <w:tc>
          <w:tcPr>
            <w:tcW w:w="1350" w:type="dxa"/>
            <w:tcBorders>
              <w:top w:val="nil"/>
              <w:left w:val="nil"/>
              <w:bottom w:val="single" w:sz="4" w:space="0" w:color="auto"/>
              <w:right w:val="single" w:sz="4" w:space="0" w:color="auto"/>
            </w:tcBorders>
            <w:noWrap/>
            <w:vAlign w:val="bottom"/>
          </w:tcPr>
          <w:p w:rsidR="00A665F3" w:rsidRPr="00DE4D69" w:rsidRDefault="00A665F3">
            <w:pPr>
              <w:jc w:val="right"/>
              <w:rPr>
                <w:rFonts w:ascii="Arial" w:hAnsi="Arial" w:cs="Arial"/>
                <w:sz w:val="20"/>
                <w:szCs w:val="20"/>
                <w:lang w:val="en-US"/>
              </w:rPr>
            </w:pPr>
            <w:r w:rsidRPr="00DE4D69">
              <w:rPr>
                <w:rFonts w:ascii="Arial" w:hAnsi="Arial" w:cs="Arial"/>
                <w:sz w:val="20"/>
                <w:szCs w:val="20"/>
                <w:lang w:val="en-US"/>
              </w:rPr>
              <w:t>0.5</w:t>
            </w:r>
          </w:p>
        </w:tc>
        <w:tc>
          <w:tcPr>
            <w:tcW w:w="1490" w:type="dxa"/>
            <w:tcBorders>
              <w:top w:val="nil"/>
              <w:left w:val="nil"/>
              <w:bottom w:val="single" w:sz="4" w:space="0" w:color="auto"/>
              <w:right w:val="single" w:sz="4" w:space="0" w:color="auto"/>
            </w:tcBorders>
            <w:noWrap/>
            <w:vAlign w:val="bottom"/>
          </w:tcPr>
          <w:p w:rsidR="00A665F3" w:rsidRPr="00DE4D69" w:rsidRDefault="00A665F3">
            <w:pPr>
              <w:jc w:val="right"/>
              <w:rPr>
                <w:rFonts w:ascii="Arial" w:hAnsi="Arial" w:cs="Arial"/>
                <w:sz w:val="20"/>
                <w:szCs w:val="20"/>
                <w:lang w:val="en-US"/>
              </w:rPr>
            </w:pPr>
            <w:r w:rsidRPr="00DE4D69">
              <w:rPr>
                <w:rFonts w:ascii="Arial" w:hAnsi="Arial" w:cs="Arial"/>
                <w:sz w:val="20"/>
                <w:szCs w:val="20"/>
                <w:lang w:val="en-US"/>
              </w:rPr>
              <w:t>-0.1</w:t>
            </w:r>
          </w:p>
        </w:tc>
      </w:tr>
      <w:tr w:rsidR="00535631" w:rsidRPr="00DE4D69" w:rsidTr="0074642A">
        <w:trPr>
          <w:trHeight w:val="255"/>
        </w:trPr>
        <w:tc>
          <w:tcPr>
            <w:tcW w:w="1980" w:type="dxa"/>
            <w:tcBorders>
              <w:top w:val="nil"/>
              <w:left w:val="single" w:sz="4" w:space="0" w:color="auto"/>
              <w:bottom w:val="single" w:sz="4" w:space="0" w:color="auto"/>
              <w:right w:val="single" w:sz="4" w:space="0" w:color="auto"/>
            </w:tcBorders>
            <w:noWrap/>
            <w:vAlign w:val="bottom"/>
          </w:tcPr>
          <w:p w:rsidR="00535631" w:rsidRPr="00DE4D69" w:rsidRDefault="00EF4999" w:rsidP="00ED0B13">
            <w:pPr>
              <w:rPr>
                <w:rFonts w:ascii="Arial" w:hAnsi="Arial" w:cs="Arial"/>
                <w:sz w:val="20"/>
                <w:szCs w:val="20"/>
                <w:lang w:val="en-US"/>
              </w:rPr>
            </w:pPr>
            <w:r w:rsidRPr="00DE4D69">
              <w:rPr>
                <w:rFonts w:ascii="Arial TUR" w:hAnsi="Arial TUR" w:cs="Arial TUR"/>
                <w:b/>
                <w:bCs/>
                <w:sz w:val="20"/>
                <w:szCs w:val="20"/>
                <w:lang w:val="en-US"/>
              </w:rPr>
              <w:t>Total</w:t>
            </w:r>
          </w:p>
        </w:tc>
        <w:tc>
          <w:tcPr>
            <w:tcW w:w="1350" w:type="dxa"/>
            <w:tcBorders>
              <w:top w:val="nil"/>
              <w:left w:val="nil"/>
              <w:bottom w:val="single" w:sz="4" w:space="0" w:color="auto"/>
              <w:right w:val="single" w:sz="4" w:space="0" w:color="auto"/>
            </w:tcBorders>
            <w:noWrap/>
            <w:vAlign w:val="bottom"/>
          </w:tcPr>
          <w:p w:rsidR="00535631" w:rsidRPr="00DE4D69" w:rsidRDefault="00535631" w:rsidP="00835C16">
            <w:pPr>
              <w:jc w:val="right"/>
              <w:rPr>
                <w:rFonts w:ascii="Arial" w:hAnsi="Arial" w:cs="Arial"/>
                <w:sz w:val="20"/>
                <w:szCs w:val="20"/>
                <w:lang w:val="en-US"/>
              </w:rPr>
            </w:pPr>
            <w:r w:rsidRPr="00DE4D69">
              <w:rPr>
                <w:rFonts w:ascii="Arial" w:hAnsi="Arial" w:cs="Arial"/>
                <w:sz w:val="20"/>
                <w:szCs w:val="20"/>
                <w:lang w:val="en-US"/>
              </w:rPr>
              <w:t> </w:t>
            </w:r>
            <w:r w:rsidR="00835C16" w:rsidRPr="00DE4D69">
              <w:rPr>
                <w:rFonts w:ascii="Arial" w:hAnsi="Arial" w:cs="Arial"/>
                <w:sz w:val="20"/>
                <w:szCs w:val="20"/>
                <w:lang w:val="en-US"/>
              </w:rPr>
              <w:t>0.3</w:t>
            </w:r>
          </w:p>
        </w:tc>
        <w:tc>
          <w:tcPr>
            <w:tcW w:w="1490" w:type="dxa"/>
            <w:tcBorders>
              <w:top w:val="nil"/>
              <w:left w:val="nil"/>
              <w:bottom w:val="single" w:sz="4" w:space="0" w:color="auto"/>
              <w:right w:val="single" w:sz="4" w:space="0" w:color="auto"/>
            </w:tcBorders>
            <w:noWrap/>
            <w:vAlign w:val="bottom"/>
          </w:tcPr>
          <w:p w:rsidR="00535631" w:rsidRPr="00DE4D69" w:rsidRDefault="00535631" w:rsidP="00ED0B13">
            <w:pPr>
              <w:rPr>
                <w:rFonts w:ascii="Arial" w:hAnsi="Arial" w:cs="Arial"/>
                <w:sz w:val="20"/>
                <w:szCs w:val="20"/>
                <w:lang w:val="en-US"/>
              </w:rPr>
            </w:pPr>
            <w:r w:rsidRPr="00DE4D69">
              <w:rPr>
                <w:rFonts w:ascii="Arial" w:hAnsi="Arial" w:cs="Arial"/>
                <w:sz w:val="20"/>
                <w:szCs w:val="20"/>
                <w:lang w:val="en-US"/>
              </w:rPr>
              <w:t> </w:t>
            </w:r>
          </w:p>
        </w:tc>
      </w:tr>
      <w:tr w:rsidR="00835C16" w:rsidRPr="00DE4D69" w:rsidTr="0074642A">
        <w:trPr>
          <w:trHeight w:val="255"/>
        </w:trPr>
        <w:tc>
          <w:tcPr>
            <w:tcW w:w="1980" w:type="dxa"/>
            <w:tcBorders>
              <w:top w:val="nil"/>
              <w:left w:val="single" w:sz="4" w:space="0" w:color="auto"/>
              <w:bottom w:val="single" w:sz="4" w:space="0" w:color="auto"/>
              <w:right w:val="single" w:sz="4" w:space="0" w:color="auto"/>
            </w:tcBorders>
            <w:noWrap/>
            <w:vAlign w:val="bottom"/>
          </w:tcPr>
          <w:p w:rsidR="00835C16" w:rsidRPr="00DE4D69" w:rsidRDefault="00835C16" w:rsidP="00ED0B13">
            <w:pPr>
              <w:rPr>
                <w:rFonts w:ascii="Arial" w:hAnsi="Arial" w:cs="Arial"/>
                <w:sz w:val="20"/>
                <w:szCs w:val="20"/>
                <w:lang w:val="en-US"/>
              </w:rPr>
            </w:pPr>
          </w:p>
        </w:tc>
        <w:tc>
          <w:tcPr>
            <w:tcW w:w="1350" w:type="dxa"/>
            <w:tcBorders>
              <w:top w:val="nil"/>
              <w:left w:val="nil"/>
              <w:bottom w:val="single" w:sz="4" w:space="0" w:color="auto"/>
              <w:right w:val="single" w:sz="4" w:space="0" w:color="auto"/>
            </w:tcBorders>
            <w:noWrap/>
            <w:vAlign w:val="bottom"/>
          </w:tcPr>
          <w:p w:rsidR="00835C16" w:rsidRPr="00DE4D69" w:rsidRDefault="00835C16" w:rsidP="00ED0B13">
            <w:pPr>
              <w:rPr>
                <w:rFonts w:ascii="Arial" w:hAnsi="Arial" w:cs="Arial"/>
                <w:sz w:val="20"/>
                <w:szCs w:val="20"/>
                <w:lang w:val="en-US"/>
              </w:rPr>
            </w:pPr>
          </w:p>
        </w:tc>
        <w:tc>
          <w:tcPr>
            <w:tcW w:w="1490" w:type="dxa"/>
            <w:tcBorders>
              <w:top w:val="nil"/>
              <w:left w:val="nil"/>
              <w:bottom w:val="single" w:sz="4" w:space="0" w:color="auto"/>
              <w:right w:val="single" w:sz="4" w:space="0" w:color="auto"/>
            </w:tcBorders>
            <w:noWrap/>
            <w:vAlign w:val="bottom"/>
          </w:tcPr>
          <w:p w:rsidR="00835C16" w:rsidRPr="00DE4D69" w:rsidRDefault="00835C16" w:rsidP="00ED0B13">
            <w:pPr>
              <w:rPr>
                <w:rFonts w:ascii="Arial" w:hAnsi="Arial" w:cs="Arial"/>
                <w:sz w:val="20"/>
                <w:szCs w:val="20"/>
                <w:lang w:val="en-US"/>
              </w:rPr>
            </w:pPr>
          </w:p>
        </w:tc>
      </w:tr>
      <w:tr w:rsidR="0074642A" w:rsidRPr="00DE4D69" w:rsidTr="0074642A">
        <w:trPr>
          <w:trHeight w:val="255"/>
        </w:trPr>
        <w:tc>
          <w:tcPr>
            <w:tcW w:w="1980" w:type="dxa"/>
            <w:tcBorders>
              <w:top w:val="nil"/>
              <w:left w:val="single" w:sz="4" w:space="0" w:color="auto"/>
              <w:bottom w:val="single" w:sz="4" w:space="0" w:color="auto"/>
              <w:right w:val="single" w:sz="4" w:space="0" w:color="auto"/>
            </w:tcBorders>
            <w:noWrap/>
            <w:vAlign w:val="bottom"/>
          </w:tcPr>
          <w:p w:rsidR="0074642A" w:rsidRPr="00DE4D69" w:rsidRDefault="00894C45" w:rsidP="00DA2051">
            <w:pPr>
              <w:rPr>
                <w:rFonts w:ascii="Arial TUR" w:hAnsi="Arial TUR" w:cs="Arial TUR"/>
                <w:b/>
                <w:bCs/>
                <w:sz w:val="20"/>
                <w:szCs w:val="20"/>
                <w:lang w:val="en-US"/>
              </w:rPr>
            </w:pPr>
            <w:r w:rsidRPr="00894C45">
              <w:rPr>
                <w:rFonts w:ascii="Arial TUR" w:hAnsi="Arial TUR" w:cs="Arial TUR"/>
                <w:b/>
                <w:bCs/>
                <w:sz w:val="20"/>
                <w:szCs w:val="20"/>
                <w:lang w:val="en-US"/>
              </w:rPr>
              <w:t>2016 – Q1</w:t>
            </w:r>
          </w:p>
        </w:tc>
        <w:tc>
          <w:tcPr>
            <w:tcW w:w="1350" w:type="dxa"/>
            <w:tcBorders>
              <w:top w:val="nil"/>
              <w:left w:val="nil"/>
              <w:bottom w:val="single" w:sz="4" w:space="0" w:color="auto"/>
              <w:right w:val="single" w:sz="4" w:space="0" w:color="auto"/>
            </w:tcBorders>
            <w:noWrap/>
            <w:vAlign w:val="bottom"/>
          </w:tcPr>
          <w:p w:rsidR="0074642A" w:rsidRPr="00DE4D69" w:rsidRDefault="0074642A" w:rsidP="003822FC">
            <w:pPr>
              <w:jc w:val="center"/>
              <w:rPr>
                <w:rFonts w:ascii="Arial TUR" w:hAnsi="Arial TUR" w:cs="Arial TUR"/>
                <w:b/>
                <w:bCs/>
                <w:sz w:val="20"/>
                <w:szCs w:val="20"/>
                <w:lang w:val="en-US"/>
              </w:rPr>
            </w:pPr>
            <w:proofErr w:type="gramStart"/>
            <w:r w:rsidRPr="00DE4D69">
              <w:rPr>
                <w:rFonts w:ascii="Arial TUR" w:hAnsi="Arial TUR" w:cs="Arial TUR"/>
                <w:b/>
                <w:bCs/>
                <w:sz w:val="20"/>
                <w:szCs w:val="20"/>
                <w:lang w:val="en-US"/>
              </w:rPr>
              <w:t>Change</w:t>
            </w:r>
            <w:proofErr w:type="gramEnd"/>
            <w:r w:rsidRPr="00DE4D69">
              <w:rPr>
                <w:rFonts w:ascii="Arial TUR" w:hAnsi="Arial TUR" w:cs="Arial TUR"/>
                <w:b/>
                <w:bCs/>
                <w:sz w:val="20"/>
                <w:szCs w:val="20"/>
                <w:lang w:val="en-US"/>
              </w:rPr>
              <w:br/>
              <w:t>(%)</w:t>
            </w:r>
          </w:p>
        </w:tc>
        <w:tc>
          <w:tcPr>
            <w:tcW w:w="1490" w:type="dxa"/>
            <w:tcBorders>
              <w:top w:val="nil"/>
              <w:left w:val="nil"/>
              <w:bottom w:val="single" w:sz="4" w:space="0" w:color="auto"/>
              <w:right w:val="single" w:sz="4" w:space="0" w:color="auto"/>
            </w:tcBorders>
            <w:noWrap/>
            <w:vAlign w:val="bottom"/>
          </w:tcPr>
          <w:p w:rsidR="0074642A" w:rsidRPr="00DE4D69" w:rsidRDefault="0074642A" w:rsidP="003822FC">
            <w:pPr>
              <w:jc w:val="center"/>
              <w:rPr>
                <w:rFonts w:ascii="Arial TUR" w:hAnsi="Arial TUR" w:cs="Arial TUR"/>
                <w:b/>
                <w:bCs/>
                <w:sz w:val="20"/>
                <w:szCs w:val="20"/>
                <w:lang w:val="en-US"/>
              </w:rPr>
            </w:pPr>
            <w:r w:rsidRPr="00DE4D69">
              <w:rPr>
                <w:rFonts w:ascii="Arial TUR" w:hAnsi="Arial TUR" w:cs="Arial TUR"/>
                <w:b/>
                <w:bCs/>
                <w:sz w:val="20"/>
                <w:szCs w:val="20"/>
                <w:lang w:val="en-US"/>
              </w:rPr>
              <w:t>Contributions   (pp)</w:t>
            </w:r>
          </w:p>
        </w:tc>
      </w:tr>
      <w:tr w:rsidR="00EF4999" w:rsidRPr="00DE4D69" w:rsidTr="0074642A">
        <w:trPr>
          <w:trHeight w:val="255"/>
        </w:trPr>
        <w:tc>
          <w:tcPr>
            <w:tcW w:w="1980" w:type="dxa"/>
            <w:tcBorders>
              <w:top w:val="nil"/>
              <w:left w:val="single" w:sz="4" w:space="0" w:color="auto"/>
              <w:bottom w:val="single" w:sz="4" w:space="0" w:color="auto"/>
              <w:right w:val="single" w:sz="4" w:space="0" w:color="auto"/>
            </w:tcBorders>
            <w:noWrap/>
            <w:vAlign w:val="bottom"/>
          </w:tcPr>
          <w:p w:rsidR="00EF4999" w:rsidRPr="00DE4D69" w:rsidRDefault="00EF4999" w:rsidP="003822FC">
            <w:pPr>
              <w:rPr>
                <w:rFonts w:ascii="Arial TUR" w:hAnsi="Arial TUR" w:cs="Arial TUR"/>
                <w:b/>
                <w:bCs/>
                <w:sz w:val="20"/>
                <w:szCs w:val="20"/>
                <w:lang w:val="en-US"/>
              </w:rPr>
            </w:pPr>
            <w:r w:rsidRPr="00DE4D69">
              <w:rPr>
                <w:rFonts w:ascii="Arial TUR" w:hAnsi="Arial TUR" w:cs="Arial TUR"/>
                <w:b/>
                <w:bCs/>
                <w:sz w:val="20"/>
                <w:szCs w:val="20"/>
                <w:lang w:val="en-US"/>
              </w:rPr>
              <w:t>Consumption</w:t>
            </w:r>
          </w:p>
        </w:tc>
        <w:tc>
          <w:tcPr>
            <w:tcW w:w="1350" w:type="dxa"/>
            <w:tcBorders>
              <w:top w:val="nil"/>
              <w:left w:val="nil"/>
              <w:bottom w:val="single" w:sz="4" w:space="0" w:color="auto"/>
              <w:right w:val="single" w:sz="4" w:space="0" w:color="auto"/>
            </w:tcBorders>
            <w:noWrap/>
            <w:vAlign w:val="bottom"/>
          </w:tcPr>
          <w:p w:rsidR="00EF4999" w:rsidRPr="00DE4D69" w:rsidRDefault="00EF4999">
            <w:pPr>
              <w:jc w:val="right"/>
              <w:rPr>
                <w:rFonts w:ascii="Arial" w:hAnsi="Arial" w:cs="Arial"/>
                <w:sz w:val="20"/>
                <w:szCs w:val="20"/>
                <w:lang w:val="en-US"/>
              </w:rPr>
            </w:pPr>
            <w:r w:rsidRPr="00DE4D69">
              <w:rPr>
                <w:rFonts w:ascii="Arial" w:hAnsi="Arial" w:cs="Arial"/>
                <w:sz w:val="20"/>
                <w:szCs w:val="20"/>
                <w:lang w:val="en-US"/>
              </w:rPr>
              <w:t>2.5</w:t>
            </w:r>
          </w:p>
        </w:tc>
        <w:tc>
          <w:tcPr>
            <w:tcW w:w="1490" w:type="dxa"/>
            <w:tcBorders>
              <w:top w:val="nil"/>
              <w:left w:val="nil"/>
              <w:bottom w:val="single" w:sz="4" w:space="0" w:color="auto"/>
              <w:right w:val="single" w:sz="4" w:space="0" w:color="auto"/>
            </w:tcBorders>
            <w:noWrap/>
            <w:vAlign w:val="bottom"/>
          </w:tcPr>
          <w:p w:rsidR="00EF4999" w:rsidRPr="00DE4D69" w:rsidRDefault="00EF4999">
            <w:pPr>
              <w:jc w:val="right"/>
              <w:rPr>
                <w:rFonts w:ascii="Arial" w:hAnsi="Arial" w:cs="Arial"/>
                <w:sz w:val="20"/>
                <w:szCs w:val="20"/>
                <w:lang w:val="en-US"/>
              </w:rPr>
            </w:pPr>
            <w:r w:rsidRPr="00DE4D69">
              <w:rPr>
                <w:rFonts w:ascii="Arial" w:hAnsi="Arial" w:cs="Arial"/>
                <w:sz w:val="20"/>
                <w:szCs w:val="20"/>
                <w:lang w:val="en-US"/>
              </w:rPr>
              <w:t>1.7</w:t>
            </w:r>
          </w:p>
        </w:tc>
      </w:tr>
      <w:tr w:rsidR="00EF4999" w:rsidRPr="00DE4D69" w:rsidTr="0074642A">
        <w:trPr>
          <w:trHeight w:val="255"/>
        </w:trPr>
        <w:tc>
          <w:tcPr>
            <w:tcW w:w="1980" w:type="dxa"/>
            <w:tcBorders>
              <w:top w:val="nil"/>
              <w:left w:val="single" w:sz="4" w:space="0" w:color="auto"/>
              <w:bottom w:val="single" w:sz="4" w:space="0" w:color="auto"/>
              <w:right w:val="single" w:sz="4" w:space="0" w:color="auto"/>
            </w:tcBorders>
            <w:noWrap/>
            <w:vAlign w:val="bottom"/>
          </w:tcPr>
          <w:p w:rsidR="00EF4999" w:rsidRPr="00DE4D69" w:rsidRDefault="00EF4999" w:rsidP="003822FC">
            <w:pPr>
              <w:rPr>
                <w:rFonts w:ascii="Arial TUR" w:hAnsi="Arial TUR" w:cs="Arial TUR"/>
                <w:b/>
                <w:bCs/>
                <w:sz w:val="20"/>
                <w:szCs w:val="20"/>
                <w:lang w:val="en-US"/>
              </w:rPr>
            </w:pPr>
            <w:r w:rsidRPr="00DE4D69">
              <w:rPr>
                <w:rFonts w:ascii="Arial TUR" w:hAnsi="Arial TUR" w:cs="Arial TUR"/>
                <w:b/>
                <w:bCs/>
                <w:sz w:val="20"/>
                <w:szCs w:val="20"/>
                <w:lang w:val="en-US"/>
              </w:rPr>
              <w:t>Private Investments</w:t>
            </w:r>
          </w:p>
        </w:tc>
        <w:tc>
          <w:tcPr>
            <w:tcW w:w="1350" w:type="dxa"/>
            <w:tcBorders>
              <w:top w:val="nil"/>
              <w:left w:val="nil"/>
              <w:bottom w:val="single" w:sz="4" w:space="0" w:color="auto"/>
              <w:right w:val="single" w:sz="4" w:space="0" w:color="auto"/>
            </w:tcBorders>
            <w:noWrap/>
            <w:vAlign w:val="bottom"/>
          </w:tcPr>
          <w:p w:rsidR="00EF4999" w:rsidRPr="00DE4D69" w:rsidRDefault="00EF4999">
            <w:pPr>
              <w:jc w:val="right"/>
              <w:rPr>
                <w:rFonts w:ascii="Arial" w:hAnsi="Arial" w:cs="Arial"/>
                <w:sz w:val="20"/>
                <w:szCs w:val="20"/>
                <w:lang w:val="en-US"/>
              </w:rPr>
            </w:pPr>
            <w:r w:rsidRPr="00DE4D69">
              <w:rPr>
                <w:rFonts w:ascii="Arial" w:hAnsi="Arial" w:cs="Arial"/>
                <w:sz w:val="20"/>
                <w:szCs w:val="20"/>
                <w:lang w:val="en-US"/>
              </w:rPr>
              <w:t>-1.3</w:t>
            </w:r>
          </w:p>
        </w:tc>
        <w:tc>
          <w:tcPr>
            <w:tcW w:w="1490" w:type="dxa"/>
            <w:tcBorders>
              <w:top w:val="nil"/>
              <w:left w:val="nil"/>
              <w:bottom w:val="single" w:sz="4" w:space="0" w:color="auto"/>
              <w:right w:val="single" w:sz="4" w:space="0" w:color="auto"/>
            </w:tcBorders>
            <w:noWrap/>
            <w:vAlign w:val="bottom"/>
          </w:tcPr>
          <w:p w:rsidR="00EF4999" w:rsidRPr="00DE4D69" w:rsidRDefault="00EF4999">
            <w:pPr>
              <w:jc w:val="right"/>
              <w:rPr>
                <w:rFonts w:ascii="Arial" w:hAnsi="Arial" w:cs="Arial"/>
                <w:sz w:val="20"/>
                <w:szCs w:val="20"/>
                <w:lang w:val="en-US"/>
              </w:rPr>
            </w:pPr>
            <w:r w:rsidRPr="00DE4D69">
              <w:rPr>
                <w:rFonts w:ascii="Arial" w:hAnsi="Arial" w:cs="Arial"/>
                <w:sz w:val="20"/>
                <w:szCs w:val="20"/>
                <w:lang w:val="en-US"/>
              </w:rPr>
              <w:t>-0.2</w:t>
            </w:r>
          </w:p>
        </w:tc>
      </w:tr>
      <w:tr w:rsidR="00EF4999" w:rsidRPr="00DE4D69" w:rsidTr="0074642A">
        <w:trPr>
          <w:trHeight w:val="255"/>
        </w:trPr>
        <w:tc>
          <w:tcPr>
            <w:tcW w:w="1980" w:type="dxa"/>
            <w:tcBorders>
              <w:top w:val="nil"/>
              <w:left w:val="single" w:sz="4" w:space="0" w:color="auto"/>
              <w:bottom w:val="single" w:sz="4" w:space="0" w:color="auto"/>
              <w:right w:val="single" w:sz="4" w:space="0" w:color="auto"/>
            </w:tcBorders>
            <w:noWrap/>
            <w:vAlign w:val="bottom"/>
          </w:tcPr>
          <w:p w:rsidR="00EF4999" w:rsidRPr="00DE4D69" w:rsidRDefault="00EF4999" w:rsidP="003822FC">
            <w:pPr>
              <w:rPr>
                <w:rFonts w:ascii="Arial TUR" w:hAnsi="Arial TUR" w:cs="Arial TUR"/>
                <w:b/>
                <w:bCs/>
                <w:sz w:val="20"/>
                <w:szCs w:val="20"/>
                <w:lang w:val="en-US"/>
              </w:rPr>
            </w:pPr>
            <w:r w:rsidRPr="00DE4D69">
              <w:rPr>
                <w:rFonts w:ascii="Arial TUR" w:hAnsi="Arial TUR" w:cs="Arial TUR"/>
                <w:b/>
                <w:bCs/>
                <w:sz w:val="20"/>
                <w:szCs w:val="20"/>
                <w:lang w:val="en-US"/>
              </w:rPr>
              <w:t xml:space="preserve">Government </w:t>
            </w:r>
            <w:r w:rsidR="00B52576" w:rsidRPr="00DE4D69">
              <w:rPr>
                <w:rFonts w:ascii="Arial TUR" w:hAnsi="Arial TUR" w:cs="Arial TUR"/>
                <w:b/>
                <w:bCs/>
                <w:sz w:val="20"/>
                <w:szCs w:val="20"/>
                <w:lang w:val="en-US"/>
              </w:rPr>
              <w:t>spending</w:t>
            </w:r>
          </w:p>
        </w:tc>
        <w:tc>
          <w:tcPr>
            <w:tcW w:w="1350" w:type="dxa"/>
            <w:tcBorders>
              <w:top w:val="nil"/>
              <w:left w:val="nil"/>
              <w:bottom w:val="single" w:sz="4" w:space="0" w:color="auto"/>
              <w:right w:val="single" w:sz="4" w:space="0" w:color="auto"/>
            </w:tcBorders>
            <w:noWrap/>
            <w:vAlign w:val="bottom"/>
          </w:tcPr>
          <w:p w:rsidR="00EF4999" w:rsidRPr="00DE4D69" w:rsidRDefault="00EF4999">
            <w:pPr>
              <w:jc w:val="right"/>
              <w:rPr>
                <w:rFonts w:ascii="Arial" w:hAnsi="Arial" w:cs="Arial"/>
                <w:sz w:val="20"/>
                <w:szCs w:val="20"/>
                <w:lang w:val="en-US"/>
              </w:rPr>
            </w:pPr>
            <w:r w:rsidRPr="00DE4D69">
              <w:rPr>
                <w:rFonts w:ascii="Arial" w:hAnsi="Arial" w:cs="Arial"/>
                <w:sz w:val="20"/>
                <w:szCs w:val="20"/>
                <w:lang w:val="en-US"/>
              </w:rPr>
              <w:t>2.5</w:t>
            </w:r>
          </w:p>
        </w:tc>
        <w:tc>
          <w:tcPr>
            <w:tcW w:w="1490" w:type="dxa"/>
            <w:tcBorders>
              <w:top w:val="nil"/>
              <w:left w:val="nil"/>
              <w:bottom w:val="single" w:sz="4" w:space="0" w:color="auto"/>
              <w:right w:val="single" w:sz="4" w:space="0" w:color="auto"/>
            </w:tcBorders>
            <w:noWrap/>
            <w:vAlign w:val="bottom"/>
          </w:tcPr>
          <w:p w:rsidR="00EF4999" w:rsidRPr="00DE4D69" w:rsidRDefault="00EF4999">
            <w:pPr>
              <w:jc w:val="right"/>
              <w:rPr>
                <w:rFonts w:ascii="Arial" w:hAnsi="Arial" w:cs="Arial"/>
                <w:sz w:val="20"/>
                <w:szCs w:val="20"/>
                <w:lang w:val="en-US"/>
              </w:rPr>
            </w:pPr>
            <w:r w:rsidRPr="00DE4D69">
              <w:rPr>
                <w:rFonts w:ascii="Arial" w:hAnsi="Arial" w:cs="Arial"/>
                <w:sz w:val="20"/>
                <w:szCs w:val="20"/>
                <w:lang w:val="en-US"/>
              </w:rPr>
              <w:t>0.4</w:t>
            </w:r>
          </w:p>
        </w:tc>
      </w:tr>
      <w:tr w:rsidR="00EF4999" w:rsidRPr="00DE4D69" w:rsidTr="0074642A">
        <w:trPr>
          <w:trHeight w:val="255"/>
        </w:trPr>
        <w:tc>
          <w:tcPr>
            <w:tcW w:w="1980" w:type="dxa"/>
            <w:tcBorders>
              <w:top w:val="nil"/>
              <w:left w:val="single" w:sz="4" w:space="0" w:color="auto"/>
              <w:bottom w:val="single" w:sz="4" w:space="0" w:color="auto"/>
              <w:right w:val="single" w:sz="4" w:space="0" w:color="auto"/>
            </w:tcBorders>
            <w:noWrap/>
            <w:vAlign w:val="bottom"/>
          </w:tcPr>
          <w:p w:rsidR="00EF4999" w:rsidRPr="00DE4D69" w:rsidRDefault="00EF4999" w:rsidP="003822FC">
            <w:pPr>
              <w:rPr>
                <w:rFonts w:ascii="Arial TUR" w:hAnsi="Arial TUR" w:cs="Arial TUR"/>
                <w:b/>
                <w:bCs/>
                <w:sz w:val="20"/>
                <w:szCs w:val="20"/>
                <w:lang w:val="en-US"/>
              </w:rPr>
            </w:pPr>
            <w:r w:rsidRPr="00DE4D69">
              <w:rPr>
                <w:rFonts w:ascii="Arial TUR" w:hAnsi="Arial TUR" w:cs="Arial TUR"/>
                <w:b/>
                <w:bCs/>
                <w:sz w:val="20"/>
                <w:szCs w:val="20"/>
                <w:lang w:val="en-US"/>
              </w:rPr>
              <w:t>Change in stock</w:t>
            </w:r>
          </w:p>
        </w:tc>
        <w:tc>
          <w:tcPr>
            <w:tcW w:w="1350" w:type="dxa"/>
            <w:tcBorders>
              <w:top w:val="nil"/>
              <w:left w:val="nil"/>
              <w:bottom w:val="single" w:sz="4" w:space="0" w:color="auto"/>
              <w:right w:val="single" w:sz="4" w:space="0" w:color="auto"/>
            </w:tcBorders>
            <w:noWrap/>
            <w:vAlign w:val="bottom"/>
          </w:tcPr>
          <w:p w:rsidR="00EF4999" w:rsidRPr="00DE4D69" w:rsidRDefault="00EF4999">
            <w:pPr>
              <w:rPr>
                <w:rFonts w:ascii="Arial" w:hAnsi="Arial" w:cs="Arial"/>
                <w:sz w:val="20"/>
                <w:szCs w:val="20"/>
                <w:lang w:val="en-US"/>
              </w:rPr>
            </w:pPr>
            <w:r w:rsidRPr="00DE4D69">
              <w:rPr>
                <w:rFonts w:ascii="Arial" w:hAnsi="Arial" w:cs="Arial"/>
                <w:sz w:val="20"/>
                <w:szCs w:val="20"/>
                <w:lang w:val="en-US"/>
              </w:rPr>
              <w:t> </w:t>
            </w:r>
          </w:p>
        </w:tc>
        <w:tc>
          <w:tcPr>
            <w:tcW w:w="1490" w:type="dxa"/>
            <w:tcBorders>
              <w:top w:val="nil"/>
              <w:left w:val="nil"/>
              <w:bottom w:val="single" w:sz="4" w:space="0" w:color="auto"/>
              <w:right w:val="single" w:sz="4" w:space="0" w:color="auto"/>
            </w:tcBorders>
            <w:noWrap/>
            <w:vAlign w:val="bottom"/>
          </w:tcPr>
          <w:p w:rsidR="00EF4999" w:rsidRPr="00DE4D69" w:rsidRDefault="00EF4999">
            <w:pPr>
              <w:jc w:val="right"/>
              <w:rPr>
                <w:rFonts w:ascii="Arial" w:hAnsi="Arial" w:cs="Arial"/>
                <w:sz w:val="20"/>
                <w:szCs w:val="20"/>
                <w:lang w:val="en-US"/>
              </w:rPr>
            </w:pPr>
            <w:r w:rsidRPr="00DE4D69">
              <w:rPr>
                <w:rFonts w:ascii="Arial" w:hAnsi="Arial" w:cs="Arial"/>
                <w:sz w:val="20"/>
                <w:szCs w:val="20"/>
                <w:lang w:val="en-US"/>
              </w:rPr>
              <w:t>-0.2</w:t>
            </w:r>
          </w:p>
        </w:tc>
      </w:tr>
      <w:tr w:rsidR="00EF4999" w:rsidRPr="00DE4D69" w:rsidTr="0074642A">
        <w:trPr>
          <w:trHeight w:val="255"/>
        </w:trPr>
        <w:tc>
          <w:tcPr>
            <w:tcW w:w="1980" w:type="dxa"/>
            <w:tcBorders>
              <w:top w:val="nil"/>
              <w:left w:val="single" w:sz="4" w:space="0" w:color="auto"/>
              <w:bottom w:val="single" w:sz="4" w:space="0" w:color="auto"/>
              <w:right w:val="single" w:sz="4" w:space="0" w:color="auto"/>
            </w:tcBorders>
            <w:noWrap/>
            <w:vAlign w:val="bottom"/>
          </w:tcPr>
          <w:p w:rsidR="00EF4999" w:rsidRPr="00DE4D69" w:rsidRDefault="00EF4999" w:rsidP="003822FC">
            <w:pPr>
              <w:rPr>
                <w:rFonts w:ascii="Arial TUR" w:hAnsi="Arial TUR" w:cs="Arial TUR"/>
                <w:b/>
                <w:bCs/>
                <w:sz w:val="20"/>
                <w:szCs w:val="20"/>
                <w:lang w:val="en-US"/>
              </w:rPr>
            </w:pPr>
            <w:r w:rsidRPr="00DE4D69">
              <w:rPr>
                <w:rFonts w:ascii="Arial TUR" w:hAnsi="Arial TUR" w:cs="Arial TUR"/>
                <w:b/>
                <w:bCs/>
                <w:sz w:val="20"/>
                <w:szCs w:val="20"/>
                <w:lang w:val="en-US"/>
              </w:rPr>
              <w:t>Export</w:t>
            </w:r>
          </w:p>
        </w:tc>
        <w:tc>
          <w:tcPr>
            <w:tcW w:w="1350" w:type="dxa"/>
            <w:tcBorders>
              <w:top w:val="nil"/>
              <w:left w:val="nil"/>
              <w:bottom w:val="single" w:sz="4" w:space="0" w:color="auto"/>
              <w:right w:val="single" w:sz="4" w:space="0" w:color="auto"/>
            </w:tcBorders>
            <w:noWrap/>
            <w:vAlign w:val="bottom"/>
          </w:tcPr>
          <w:p w:rsidR="00EF4999" w:rsidRPr="00DE4D69" w:rsidRDefault="00EF4999">
            <w:pPr>
              <w:jc w:val="right"/>
              <w:rPr>
                <w:rFonts w:ascii="Arial" w:hAnsi="Arial" w:cs="Arial"/>
                <w:sz w:val="20"/>
                <w:szCs w:val="20"/>
                <w:lang w:val="en-US"/>
              </w:rPr>
            </w:pPr>
            <w:r w:rsidRPr="00DE4D69">
              <w:rPr>
                <w:rFonts w:ascii="Arial" w:hAnsi="Arial" w:cs="Arial"/>
                <w:sz w:val="20"/>
                <w:szCs w:val="20"/>
                <w:lang w:val="en-US"/>
              </w:rPr>
              <w:t>2.3</w:t>
            </w:r>
          </w:p>
        </w:tc>
        <w:tc>
          <w:tcPr>
            <w:tcW w:w="1490" w:type="dxa"/>
            <w:tcBorders>
              <w:top w:val="nil"/>
              <w:left w:val="nil"/>
              <w:bottom w:val="single" w:sz="4" w:space="0" w:color="auto"/>
              <w:right w:val="single" w:sz="4" w:space="0" w:color="auto"/>
            </w:tcBorders>
            <w:noWrap/>
            <w:vAlign w:val="bottom"/>
          </w:tcPr>
          <w:p w:rsidR="00EF4999" w:rsidRPr="00DE4D69" w:rsidRDefault="00EF4999">
            <w:pPr>
              <w:jc w:val="right"/>
              <w:rPr>
                <w:rFonts w:ascii="Arial" w:hAnsi="Arial" w:cs="Arial"/>
                <w:sz w:val="20"/>
                <w:szCs w:val="20"/>
                <w:lang w:val="en-US"/>
              </w:rPr>
            </w:pPr>
            <w:r w:rsidRPr="00DE4D69">
              <w:rPr>
                <w:rFonts w:ascii="Arial" w:hAnsi="Arial" w:cs="Arial"/>
                <w:sz w:val="20"/>
                <w:szCs w:val="20"/>
                <w:lang w:val="en-US"/>
              </w:rPr>
              <w:t>0.6</w:t>
            </w:r>
          </w:p>
        </w:tc>
      </w:tr>
      <w:tr w:rsidR="00EF4999" w:rsidRPr="00DE4D69" w:rsidTr="0074642A">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EF4999" w:rsidRPr="00DE4D69" w:rsidRDefault="00EF4999" w:rsidP="003822FC">
            <w:pPr>
              <w:rPr>
                <w:rFonts w:ascii="Arial TUR" w:hAnsi="Arial TUR" w:cs="Arial TUR"/>
                <w:b/>
                <w:bCs/>
                <w:sz w:val="20"/>
                <w:szCs w:val="20"/>
                <w:lang w:val="en-US"/>
              </w:rPr>
            </w:pPr>
            <w:r w:rsidRPr="00DE4D69">
              <w:rPr>
                <w:rFonts w:ascii="Arial TUR" w:hAnsi="Arial TUR" w:cs="Arial TUR"/>
                <w:b/>
                <w:bCs/>
                <w:sz w:val="20"/>
                <w:szCs w:val="20"/>
                <w:lang w:val="en-US"/>
              </w:rPr>
              <w:t>Import</w:t>
            </w:r>
          </w:p>
        </w:tc>
        <w:tc>
          <w:tcPr>
            <w:tcW w:w="1350" w:type="dxa"/>
            <w:tcBorders>
              <w:top w:val="single" w:sz="4" w:space="0" w:color="auto"/>
              <w:left w:val="nil"/>
              <w:bottom w:val="single" w:sz="4" w:space="0" w:color="auto"/>
              <w:right w:val="single" w:sz="4" w:space="0" w:color="auto"/>
            </w:tcBorders>
            <w:noWrap/>
            <w:vAlign w:val="bottom"/>
          </w:tcPr>
          <w:p w:rsidR="00EF4999" w:rsidRPr="00DE4D69" w:rsidRDefault="00EF4999">
            <w:pPr>
              <w:jc w:val="right"/>
              <w:rPr>
                <w:rFonts w:ascii="Arial" w:hAnsi="Arial" w:cs="Arial"/>
                <w:sz w:val="20"/>
                <w:szCs w:val="20"/>
                <w:lang w:val="en-US"/>
              </w:rPr>
            </w:pPr>
            <w:r w:rsidRPr="00DE4D69">
              <w:rPr>
                <w:rFonts w:ascii="Arial" w:hAnsi="Arial" w:cs="Arial"/>
                <w:sz w:val="20"/>
                <w:szCs w:val="20"/>
                <w:lang w:val="en-US"/>
              </w:rPr>
              <w:t>5.4</w:t>
            </w:r>
          </w:p>
        </w:tc>
        <w:tc>
          <w:tcPr>
            <w:tcW w:w="1490" w:type="dxa"/>
            <w:tcBorders>
              <w:top w:val="single" w:sz="4" w:space="0" w:color="auto"/>
              <w:left w:val="nil"/>
              <w:bottom w:val="single" w:sz="4" w:space="0" w:color="auto"/>
              <w:right w:val="single" w:sz="4" w:space="0" w:color="auto"/>
            </w:tcBorders>
            <w:noWrap/>
            <w:vAlign w:val="bottom"/>
          </w:tcPr>
          <w:p w:rsidR="00EF4999" w:rsidRPr="00DE4D69" w:rsidRDefault="00EF4999">
            <w:pPr>
              <w:jc w:val="right"/>
              <w:rPr>
                <w:rFonts w:ascii="Arial" w:hAnsi="Arial" w:cs="Arial"/>
                <w:sz w:val="20"/>
                <w:szCs w:val="20"/>
                <w:lang w:val="en-US"/>
              </w:rPr>
            </w:pPr>
            <w:r w:rsidRPr="00DE4D69">
              <w:rPr>
                <w:rFonts w:ascii="Arial" w:hAnsi="Arial" w:cs="Arial"/>
                <w:sz w:val="20"/>
                <w:szCs w:val="20"/>
                <w:lang w:val="en-US"/>
              </w:rPr>
              <w:t>-1.5</w:t>
            </w:r>
          </w:p>
        </w:tc>
      </w:tr>
      <w:tr w:rsidR="00EF4999" w:rsidRPr="00DE4D69" w:rsidTr="0074642A">
        <w:trPr>
          <w:trHeight w:val="255"/>
        </w:trPr>
        <w:tc>
          <w:tcPr>
            <w:tcW w:w="1980" w:type="dxa"/>
            <w:tcBorders>
              <w:top w:val="single" w:sz="4" w:space="0" w:color="auto"/>
              <w:left w:val="single" w:sz="4" w:space="0" w:color="auto"/>
              <w:bottom w:val="single" w:sz="4" w:space="0" w:color="auto"/>
              <w:right w:val="single" w:sz="4" w:space="0" w:color="auto"/>
            </w:tcBorders>
            <w:noWrap/>
            <w:vAlign w:val="bottom"/>
          </w:tcPr>
          <w:p w:rsidR="00EF4999" w:rsidRPr="00DE4D69" w:rsidRDefault="00EF4999" w:rsidP="003822FC">
            <w:pPr>
              <w:rPr>
                <w:rFonts w:ascii="Arial" w:hAnsi="Arial" w:cs="Arial"/>
                <w:sz w:val="20"/>
                <w:szCs w:val="20"/>
                <w:lang w:val="en-US"/>
              </w:rPr>
            </w:pPr>
            <w:r w:rsidRPr="00DE4D69">
              <w:rPr>
                <w:rFonts w:ascii="Arial TUR" w:hAnsi="Arial TUR" w:cs="Arial TUR"/>
                <w:b/>
                <w:bCs/>
                <w:sz w:val="20"/>
                <w:szCs w:val="20"/>
                <w:lang w:val="en-US"/>
              </w:rPr>
              <w:t>Total</w:t>
            </w:r>
          </w:p>
        </w:tc>
        <w:tc>
          <w:tcPr>
            <w:tcW w:w="1350" w:type="dxa"/>
            <w:tcBorders>
              <w:top w:val="single" w:sz="4" w:space="0" w:color="auto"/>
              <w:left w:val="nil"/>
              <w:bottom w:val="single" w:sz="4" w:space="0" w:color="auto"/>
              <w:right w:val="single" w:sz="4" w:space="0" w:color="auto"/>
            </w:tcBorders>
            <w:noWrap/>
            <w:vAlign w:val="bottom"/>
          </w:tcPr>
          <w:p w:rsidR="00EF4999" w:rsidRPr="00DE4D69" w:rsidRDefault="00EF4999">
            <w:pPr>
              <w:jc w:val="right"/>
              <w:rPr>
                <w:rFonts w:ascii="Arial" w:hAnsi="Arial" w:cs="Arial"/>
                <w:sz w:val="20"/>
                <w:szCs w:val="20"/>
                <w:lang w:val="en-US"/>
              </w:rPr>
            </w:pPr>
            <w:r w:rsidRPr="00DE4D69">
              <w:rPr>
                <w:rFonts w:ascii="Arial" w:hAnsi="Arial" w:cs="Arial"/>
                <w:sz w:val="20"/>
                <w:szCs w:val="20"/>
                <w:lang w:val="en-US"/>
              </w:rPr>
              <w:t>0.8</w:t>
            </w:r>
          </w:p>
        </w:tc>
        <w:tc>
          <w:tcPr>
            <w:tcW w:w="1490" w:type="dxa"/>
            <w:tcBorders>
              <w:top w:val="single" w:sz="4" w:space="0" w:color="auto"/>
              <w:left w:val="nil"/>
              <w:bottom w:val="single" w:sz="4" w:space="0" w:color="auto"/>
              <w:right w:val="single" w:sz="4" w:space="0" w:color="auto"/>
            </w:tcBorders>
            <w:noWrap/>
            <w:vAlign w:val="bottom"/>
          </w:tcPr>
          <w:p w:rsidR="00EF4999" w:rsidRPr="00DE4D69" w:rsidRDefault="00EF4999">
            <w:pPr>
              <w:jc w:val="right"/>
              <w:rPr>
                <w:rFonts w:ascii="Arial" w:hAnsi="Arial" w:cs="Arial"/>
                <w:sz w:val="20"/>
                <w:szCs w:val="20"/>
                <w:lang w:val="en-US"/>
              </w:rPr>
            </w:pPr>
          </w:p>
        </w:tc>
      </w:tr>
    </w:tbl>
    <w:p w:rsidR="00E54A91" w:rsidRPr="00DE4D69" w:rsidRDefault="00E54A91" w:rsidP="00E54A91">
      <w:pPr>
        <w:pStyle w:val="NormalWeb"/>
        <w:spacing w:before="0" w:beforeAutospacing="0" w:after="0" w:afterAutospacing="0"/>
        <w:jc w:val="both"/>
        <w:rPr>
          <w:rFonts w:ascii="Arial" w:hAnsi="Arial" w:cs="Arial"/>
          <w:sz w:val="20"/>
          <w:szCs w:val="20"/>
          <w:lang w:val="en-US"/>
        </w:rPr>
      </w:pPr>
      <w:r w:rsidRPr="00DE4D69">
        <w:rPr>
          <w:rFonts w:ascii="Arial" w:hAnsi="Arial" w:cs="Arial"/>
          <w:sz w:val="16"/>
          <w:szCs w:val="16"/>
          <w:lang w:val="en-US"/>
        </w:rPr>
        <w:t xml:space="preserve">Source: </w:t>
      </w:r>
      <w:proofErr w:type="spellStart"/>
      <w:r w:rsidRPr="00DE4D69">
        <w:rPr>
          <w:rFonts w:ascii="Arial" w:hAnsi="Arial" w:cs="Arial"/>
          <w:sz w:val="16"/>
          <w:szCs w:val="16"/>
          <w:lang w:val="en-US"/>
        </w:rPr>
        <w:t>Turkstat</w:t>
      </w:r>
      <w:proofErr w:type="spellEnd"/>
    </w:p>
    <w:p w:rsidR="00C23712" w:rsidRPr="00DE4D69" w:rsidRDefault="00C23712" w:rsidP="000252CE">
      <w:pPr>
        <w:pStyle w:val="NormalWeb"/>
        <w:spacing w:before="0" w:beforeAutospacing="0" w:after="0" w:afterAutospacing="0"/>
        <w:jc w:val="both"/>
        <w:rPr>
          <w:rFonts w:ascii="Arial" w:hAnsi="Arial" w:cs="Arial"/>
          <w:sz w:val="16"/>
          <w:szCs w:val="16"/>
          <w:lang w:val="en-US"/>
        </w:rPr>
      </w:pPr>
    </w:p>
    <w:p w:rsidR="007C1284" w:rsidRPr="00B52576" w:rsidRDefault="00D44D8D" w:rsidP="007C1284">
      <w:pPr>
        <w:pStyle w:val="Caption"/>
        <w:rPr>
          <w:b w:val="0"/>
          <w:bCs w:val="0"/>
          <w:color w:val="FF0000"/>
          <w:sz w:val="22"/>
          <w:szCs w:val="22"/>
          <w:u w:val="single"/>
          <w:lang w:val="en-US"/>
        </w:rPr>
      </w:pPr>
      <w:proofErr w:type="gramStart"/>
      <w:r w:rsidRPr="00DE4D69">
        <w:rPr>
          <w:color w:val="auto"/>
          <w:sz w:val="22"/>
          <w:szCs w:val="22"/>
          <w:lang w:val="en-US"/>
        </w:rPr>
        <w:t xml:space="preserve">Table </w:t>
      </w:r>
      <w:r w:rsidRPr="00DE4D69">
        <w:rPr>
          <w:color w:val="auto"/>
          <w:sz w:val="22"/>
          <w:szCs w:val="22"/>
          <w:lang w:val="en-US"/>
        </w:rPr>
        <w:fldChar w:fldCharType="begin"/>
      </w:r>
      <w:r w:rsidRPr="00DE4D69">
        <w:rPr>
          <w:color w:val="auto"/>
          <w:sz w:val="22"/>
          <w:szCs w:val="22"/>
          <w:lang w:val="en-US"/>
        </w:rPr>
        <w:instrText xml:space="preserve"> SEQ Table \* ARABIC </w:instrText>
      </w:r>
      <w:r w:rsidRPr="00DE4D69">
        <w:rPr>
          <w:color w:val="auto"/>
          <w:sz w:val="22"/>
          <w:szCs w:val="22"/>
          <w:lang w:val="en-US"/>
        </w:rPr>
        <w:fldChar w:fldCharType="separate"/>
      </w:r>
      <w:r w:rsidR="00267E54">
        <w:rPr>
          <w:noProof/>
          <w:color w:val="auto"/>
          <w:sz w:val="22"/>
          <w:szCs w:val="22"/>
          <w:lang w:val="en-US"/>
        </w:rPr>
        <w:t>2</w:t>
      </w:r>
      <w:r w:rsidRPr="00DE4D69">
        <w:rPr>
          <w:color w:val="auto"/>
          <w:sz w:val="22"/>
          <w:szCs w:val="22"/>
          <w:lang w:val="en-US"/>
        </w:rPr>
        <w:fldChar w:fldCharType="end"/>
      </w:r>
      <w:r w:rsidR="007C1284" w:rsidRPr="00DE4D69">
        <w:rPr>
          <w:color w:val="auto"/>
          <w:sz w:val="22"/>
          <w:szCs w:val="22"/>
          <w:lang w:val="en-US"/>
        </w:rPr>
        <w:t>.</w:t>
      </w:r>
      <w:proofErr w:type="gramEnd"/>
      <w:r w:rsidRPr="00DE4D69">
        <w:rPr>
          <w:color w:val="auto"/>
          <w:sz w:val="22"/>
          <w:szCs w:val="22"/>
          <w:lang w:val="en-US"/>
        </w:rPr>
        <w:t xml:space="preserve"> Changes in and contributi</w:t>
      </w:r>
      <w:r w:rsidR="007C1284" w:rsidRPr="00DE4D69">
        <w:rPr>
          <w:color w:val="auto"/>
          <w:sz w:val="22"/>
          <w:szCs w:val="22"/>
          <w:lang w:val="en-US"/>
        </w:rPr>
        <w:t>ons of GDP components for 2016Q1 and 2016Q2</w:t>
      </w:r>
      <w:r w:rsidRPr="00DE4D69">
        <w:rPr>
          <w:color w:val="auto"/>
          <w:sz w:val="22"/>
          <w:szCs w:val="22"/>
          <w:lang w:val="en-US"/>
        </w:rPr>
        <w:t xml:space="preserve">, </w:t>
      </w:r>
      <w:r w:rsidR="007C1284" w:rsidRPr="00267E54">
        <w:rPr>
          <w:color w:val="000000" w:themeColor="text1"/>
          <w:sz w:val="22"/>
          <w:szCs w:val="22"/>
          <w:u w:val="single"/>
          <w:lang w:val="en-US"/>
        </w:rPr>
        <w:t xml:space="preserve">compared to </w:t>
      </w:r>
      <w:r w:rsidRPr="00267E54">
        <w:rPr>
          <w:color w:val="000000" w:themeColor="text1"/>
          <w:sz w:val="22"/>
          <w:szCs w:val="22"/>
          <w:u w:val="single"/>
          <w:lang w:val="en-US"/>
        </w:rPr>
        <w:t>the same quarter of previous year</w:t>
      </w:r>
    </w:p>
    <w:tbl>
      <w:tblPr>
        <w:tblpPr w:leftFromText="141" w:rightFromText="141" w:vertAnchor="page" w:horzAnchor="margin" w:tblpXSpec="right" w:tblpY="2566"/>
        <w:tblW w:w="4890" w:type="dxa"/>
        <w:tblLayout w:type="fixed"/>
        <w:tblCellMar>
          <w:left w:w="70" w:type="dxa"/>
          <w:right w:w="70" w:type="dxa"/>
        </w:tblCellMar>
        <w:tblLook w:val="0000" w:firstRow="0" w:lastRow="0" w:firstColumn="0" w:lastColumn="0" w:noHBand="0" w:noVBand="0"/>
      </w:tblPr>
      <w:tblGrid>
        <w:gridCol w:w="2101"/>
        <w:gridCol w:w="1325"/>
        <w:gridCol w:w="1464"/>
      </w:tblGrid>
      <w:tr w:rsidR="00FF09FE" w:rsidRPr="00DE4D69" w:rsidTr="00FF09FE">
        <w:trPr>
          <w:trHeight w:val="253"/>
        </w:trPr>
        <w:tc>
          <w:tcPr>
            <w:tcW w:w="2101" w:type="dxa"/>
            <w:tcBorders>
              <w:top w:val="single" w:sz="4" w:space="0" w:color="auto"/>
              <w:left w:val="single" w:sz="4" w:space="0" w:color="auto"/>
              <w:bottom w:val="single" w:sz="4" w:space="0" w:color="auto"/>
              <w:right w:val="single" w:sz="4" w:space="0" w:color="auto"/>
            </w:tcBorders>
            <w:vAlign w:val="bottom"/>
          </w:tcPr>
          <w:p w:rsidR="00FF09FE" w:rsidRPr="00DE4D69" w:rsidRDefault="00FF09FE" w:rsidP="00FF09FE">
            <w:pPr>
              <w:rPr>
                <w:rFonts w:ascii="Arial TUR" w:hAnsi="Arial TUR" w:cs="Arial TUR"/>
                <w:b/>
                <w:bCs/>
                <w:sz w:val="20"/>
                <w:szCs w:val="20"/>
                <w:lang w:val="en-US"/>
              </w:rPr>
            </w:pPr>
            <w:r w:rsidRPr="00DE4D69">
              <w:rPr>
                <w:rFonts w:ascii="Arial TUR" w:hAnsi="Arial TUR" w:cs="Arial TUR"/>
                <w:b/>
                <w:bCs/>
                <w:sz w:val="20"/>
                <w:szCs w:val="20"/>
                <w:lang w:val="en-US"/>
              </w:rPr>
              <w:t>2016 – Q2</w:t>
            </w:r>
          </w:p>
        </w:tc>
        <w:tc>
          <w:tcPr>
            <w:tcW w:w="1325" w:type="dxa"/>
            <w:tcBorders>
              <w:top w:val="single" w:sz="4" w:space="0" w:color="auto"/>
              <w:left w:val="nil"/>
              <w:bottom w:val="single" w:sz="4" w:space="0" w:color="auto"/>
              <w:right w:val="single" w:sz="4" w:space="0" w:color="auto"/>
            </w:tcBorders>
            <w:noWrap/>
            <w:vAlign w:val="bottom"/>
          </w:tcPr>
          <w:p w:rsidR="00FF09FE" w:rsidRPr="00DE4D69" w:rsidRDefault="00FF09FE" w:rsidP="00FF09FE">
            <w:pPr>
              <w:jc w:val="center"/>
              <w:rPr>
                <w:rFonts w:ascii="Arial TUR" w:hAnsi="Arial TUR" w:cs="Arial TUR"/>
                <w:b/>
                <w:bCs/>
                <w:sz w:val="20"/>
                <w:szCs w:val="20"/>
                <w:lang w:val="en-US"/>
              </w:rPr>
            </w:pPr>
            <w:proofErr w:type="gramStart"/>
            <w:r w:rsidRPr="00DE4D69">
              <w:rPr>
                <w:rFonts w:ascii="Arial TUR" w:hAnsi="Arial TUR" w:cs="Arial TUR"/>
                <w:b/>
                <w:bCs/>
                <w:sz w:val="20"/>
                <w:szCs w:val="20"/>
                <w:lang w:val="en-US"/>
              </w:rPr>
              <w:t>Change</w:t>
            </w:r>
            <w:proofErr w:type="gramEnd"/>
            <w:r w:rsidRPr="00DE4D69">
              <w:rPr>
                <w:rFonts w:ascii="Arial TUR" w:hAnsi="Arial TUR" w:cs="Arial TUR"/>
                <w:b/>
                <w:bCs/>
                <w:sz w:val="20"/>
                <w:szCs w:val="20"/>
                <w:lang w:val="en-US"/>
              </w:rPr>
              <w:br/>
              <w:t>(%)</w:t>
            </w:r>
          </w:p>
        </w:tc>
        <w:tc>
          <w:tcPr>
            <w:tcW w:w="1464" w:type="dxa"/>
            <w:tcBorders>
              <w:top w:val="single" w:sz="4" w:space="0" w:color="auto"/>
              <w:left w:val="nil"/>
              <w:bottom w:val="single" w:sz="4" w:space="0" w:color="auto"/>
              <w:right w:val="single" w:sz="4" w:space="0" w:color="auto"/>
            </w:tcBorders>
            <w:noWrap/>
            <w:vAlign w:val="bottom"/>
          </w:tcPr>
          <w:p w:rsidR="00FF09FE" w:rsidRPr="00DE4D69" w:rsidRDefault="00FF09FE" w:rsidP="00FF09FE">
            <w:pPr>
              <w:jc w:val="center"/>
              <w:rPr>
                <w:rFonts w:ascii="Arial TUR" w:hAnsi="Arial TUR" w:cs="Arial TUR"/>
                <w:b/>
                <w:bCs/>
                <w:sz w:val="20"/>
                <w:szCs w:val="20"/>
                <w:lang w:val="en-US"/>
              </w:rPr>
            </w:pPr>
            <w:r w:rsidRPr="00DE4D69">
              <w:rPr>
                <w:rFonts w:ascii="Arial TUR" w:hAnsi="Arial TUR" w:cs="Arial TUR"/>
                <w:b/>
                <w:bCs/>
                <w:sz w:val="20"/>
                <w:szCs w:val="20"/>
                <w:lang w:val="en-US"/>
              </w:rPr>
              <w:t>Contributions   (pp)</w:t>
            </w:r>
          </w:p>
        </w:tc>
      </w:tr>
      <w:tr w:rsidR="00FF09FE" w:rsidRPr="00DE4D69" w:rsidTr="00FF09FE">
        <w:trPr>
          <w:trHeight w:val="253"/>
        </w:trPr>
        <w:tc>
          <w:tcPr>
            <w:tcW w:w="2101" w:type="dxa"/>
            <w:tcBorders>
              <w:top w:val="nil"/>
              <w:left w:val="single" w:sz="4" w:space="0" w:color="auto"/>
              <w:bottom w:val="single" w:sz="4" w:space="0" w:color="auto"/>
              <w:right w:val="single" w:sz="4" w:space="0" w:color="auto"/>
            </w:tcBorders>
            <w:vAlign w:val="bottom"/>
          </w:tcPr>
          <w:p w:rsidR="00FF09FE" w:rsidRPr="00DE4D69" w:rsidRDefault="00FF09FE" w:rsidP="00FF09FE">
            <w:pPr>
              <w:rPr>
                <w:rFonts w:ascii="Arial TUR" w:hAnsi="Arial TUR" w:cs="Arial TUR"/>
                <w:b/>
                <w:bCs/>
                <w:sz w:val="20"/>
                <w:szCs w:val="20"/>
                <w:lang w:val="en-US"/>
              </w:rPr>
            </w:pPr>
            <w:r w:rsidRPr="00DE4D69">
              <w:rPr>
                <w:rFonts w:ascii="Arial TUR" w:hAnsi="Arial TUR" w:cs="Arial TUR"/>
                <w:b/>
                <w:bCs/>
                <w:sz w:val="20"/>
                <w:szCs w:val="20"/>
                <w:lang w:val="en-US"/>
              </w:rPr>
              <w:t>Consumption</w:t>
            </w:r>
          </w:p>
        </w:tc>
        <w:tc>
          <w:tcPr>
            <w:tcW w:w="1325" w:type="dxa"/>
            <w:tcBorders>
              <w:top w:val="nil"/>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r w:rsidRPr="00DE4D69">
              <w:rPr>
                <w:rFonts w:ascii="Arial" w:hAnsi="Arial" w:cs="Arial"/>
                <w:sz w:val="20"/>
                <w:szCs w:val="20"/>
                <w:lang w:val="en-US"/>
              </w:rPr>
              <w:t>5.2</w:t>
            </w:r>
          </w:p>
        </w:tc>
        <w:tc>
          <w:tcPr>
            <w:tcW w:w="1464" w:type="dxa"/>
            <w:tcBorders>
              <w:top w:val="nil"/>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r w:rsidRPr="00DE4D69">
              <w:rPr>
                <w:rFonts w:ascii="Arial" w:hAnsi="Arial" w:cs="Arial"/>
                <w:sz w:val="20"/>
                <w:szCs w:val="20"/>
                <w:lang w:val="en-US"/>
              </w:rPr>
              <w:t>3.4</w:t>
            </w:r>
          </w:p>
        </w:tc>
      </w:tr>
      <w:tr w:rsidR="00FF09FE" w:rsidRPr="00DE4D69" w:rsidTr="00FF09FE">
        <w:trPr>
          <w:trHeight w:val="253"/>
        </w:trPr>
        <w:tc>
          <w:tcPr>
            <w:tcW w:w="2101" w:type="dxa"/>
            <w:tcBorders>
              <w:top w:val="nil"/>
              <w:left w:val="single" w:sz="4" w:space="0" w:color="auto"/>
              <w:bottom w:val="single" w:sz="4" w:space="0" w:color="auto"/>
              <w:right w:val="single" w:sz="4" w:space="0" w:color="auto"/>
            </w:tcBorders>
            <w:vAlign w:val="bottom"/>
          </w:tcPr>
          <w:p w:rsidR="00FF09FE" w:rsidRPr="00DE4D69" w:rsidRDefault="00FF09FE" w:rsidP="00FF09FE">
            <w:pPr>
              <w:rPr>
                <w:rFonts w:ascii="Arial TUR" w:hAnsi="Arial TUR" w:cs="Arial TUR"/>
                <w:b/>
                <w:bCs/>
                <w:sz w:val="20"/>
                <w:szCs w:val="20"/>
                <w:lang w:val="en-US"/>
              </w:rPr>
            </w:pPr>
            <w:r w:rsidRPr="00DE4D69">
              <w:rPr>
                <w:rFonts w:ascii="Arial TUR" w:hAnsi="Arial TUR" w:cs="Arial TUR"/>
                <w:b/>
                <w:bCs/>
                <w:sz w:val="20"/>
                <w:szCs w:val="20"/>
                <w:lang w:val="en-US"/>
              </w:rPr>
              <w:t>Private Investments</w:t>
            </w:r>
          </w:p>
        </w:tc>
        <w:tc>
          <w:tcPr>
            <w:tcW w:w="1325" w:type="dxa"/>
            <w:tcBorders>
              <w:top w:val="nil"/>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r w:rsidRPr="00DE4D69">
              <w:rPr>
                <w:rFonts w:ascii="Arial" w:hAnsi="Arial" w:cs="Arial"/>
                <w:sz w:val="20"/>
                <w:szCs w:val="20"/>
                <w:lang w:val="en-US"/>
              </w:rPr>
              <w:t>-1.6</w:t>
            </w:r>
          </w:p>
        </w:tc>
        <w:tc>
          <w:tcPr>
            <w:tcW w:w="1464" w:type="dxa"/>
            <w:tcBorders>
              <w:top w:val="nil"/>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r w:rsidRPr="00DE4D69">
              <w:rPr>
                <w:rFonts w:ascii="Arial" w:hAnsi="Arial" w:cs="Arial"/>
                <w:sz w:val="20"/>
                <w:szCs w:val="20"/>
                <w:lang w:val="en-US"/>
              </w:rPr>
              <w:t>-0.3</w:t>
            </w:r>
          </w:p>
        </w:tc>
      </w:tr>
      <w:tr w:rsidR="00FF09FE" w:rsidRPr="00DE4D69" w:rsidTr="00FF09FE">
        <w:trPr>
          <w:trHeight w:val="253"/>
        </w:trPr>
        <w:tc>
          <w:tcPr>
            <w:tcW w:w="2101" w:type="dxa"/>
            <w:tcBorders>
              <w:top w:val="nil"/>
              <w:left w:val="single" w:sz="4" w:space="0" w:color="auto"/>
              <w:bottom w:val="single" w:sz="4" w:space="0" w:color="auto"/>
              <w:right w:val="single" w:sz="4" w:space="0" w:color="auto"/>
            </w:tcBorders>
            <w:vAlign w:val="bottom"/>
          </w:tcPr>
          <w:p w:rsidR="00FF09FE" w:rsidRPr="00DE4D69" w:rsidRDefault="00FF09FE" w:rsidP="00FF09FE">
            <w:pPr>
              <w:rPr>
                <w:rFonts w:ascii="Arial TUR" w:hAnsi="Arial TUR" w:cs="Arial TUR"/>
                <w:b/>
                <w:bCs/>
                <w:sz w:val="20"/>
                <w:szCs w:val="20"/>
                <w:lang w:val="en-US"/>
              </w:rPr>
            </w:pPr>
            <w:r w:rsidRPr="00DE4D69">
              <w:rPr>
                <w:rFonts w:ascii="Arial TUR" w:hAnsi="Arial TUR" w:cs="Arial TUR"/>
                <w:b/>
                <w:bCs/>
                <w:sz w:val="20"/>
                <w:szCs w:val="20"/>
                <w:lang w:val="en-US"/>
              </w:rPr>
              <w:t xml:space="preserve">Government </w:t>
            </w:r>
            <w:r w:rsidR="00B52576" w:rsidRPr="00DE4D69">
              <w:rPr>
                <w:rFonts w:ascii="Arial TUR" w:hAnsi="Arial TUR" w:cs="Arial TUR"/>
                <w:b/>
                <w:bCs/>
                <w:sz w:val="20"/>
                <w:szCs w:val="20"/>
                <w:lang w:val="en-US"/>
              </w:rPr>
              <w:t>Spending</w:t>
            </w:r>
          </w:p>
        </w:tc>
        <w:tc>
          <w:tcPr>
            <w:tcW w:w="1325" w:type="dxa"/>
            <w:tcBorders>
              <w:top w:val="nil"/>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r w:rsidRPr="00DE4D69">
              <w:rPr>
                <w:rFonts w:ascii="Arial" w:hAnsi="Arial" w:cs="Arial"/>
                <w:sz w:val="20"/>
                <w:szCs w:val="20"/>
                <w:lang w:val="en-US"/>
              </w:rPr>
              <w:t>12.7</w:t>
            </w:r>
          </w:p>
        </w:tc>
        <w:tc>
          <w:tcPr>
            <w:tcW w:w="1464" w:type="dxa"/>
            <w:tcBorders>
              <w:top w:val="nil"/>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r w:rsidRPr="00DE4D69">
              <w:rPr>
                <w:rFonts w:ascii="Arial" w:hAnsi="Arial" w:cs="Arial"/>
                <w:sz w:val="20"/>
                <w:szCs w:val="20"/>
                <w:lang w:val="en-US"/>
              </w:rPr>
              <w:t>2.0</w:t>
            </w:r>
          </w:p>
        </w:tc>
      </w:tr>
      <w:tr w:rsidR="00FF09FE" w:rsidRPr="00DE4D69" w:rsidTr="00FF09FE">
        <w:trPr>
          <w:trHeight w:val="253"/>
        </w:trPr>
        <w:tc>
          <w:tcPr>
            <w:tcW w:w="2101" w:type="dxa"/>
            <w:tcBorders>
              <w:top w:val="nil"/>
              <w:left w:val="single" w:sz="4" w:space="0" w:color="auto"/>
              <w:bottom w:val="single" w:sz="4" w:space="0" w:color="auto"/>
              <w:right w:val="single" w:sz="4" w:space="0" w:color="auto"/>
            </w:tcBorders>
            <w:vAlign w:val="bottom"/>
          </w:tcPr>
          <w:p w:rsidR="00FF09FE" w:rsidRPr="00DE4D69" w:rsidRDefault="00FF09FE" w:rsidP="00FF09FE">
            <w:pPr>
              <w:rPr>
                <w:rFonts w:ascii="Arial TUR" w:hAnsi="Arial TUR" w:cs="Arial TUR"/>
                <w:b/>
                <w:bCs/>
                <w:sz w:val="20"/>
                <w:szCs w:val="20"/>
                <w:lang w:val="en-US"/>
              </w:rPr>
            </w:pPr>
            <w:r w:rsidRPr="00DE4D69">
              <w:rPr>
                <w:rFonts w:ascii="Arial TUR" w:hAnsi="Arial TUR" w:cs="Arial TUR"/>
                <w:b/>
                <w:bCs/>
                <w:sz w:val="20"/>
                <w:szCs w:val="20"/>
                <w:lang w:val="en-US"/>
              </w:rPr>
              <w:t>Change in stock</w:t>
            </w:r>
          </w:p>
        </w:tc>
        <w:tc>
          <w:tcPr>
            <w:tcW w:w="1325" w:type="dxa"/>
            <w:tcBorders>
              <w:top w:val="nil"/>
              <w:left w:val="nil"/>
              <w:bottom w:val="single" w:sz="4" w:space="0" w:color="auto"/>
              <w:right w:val="single" w:sz="4" w:space="0" w:color="auto"/>
            </w:tcBorders>
            <w:noWrap/>
            <w:vAlign w:val="bottom"/>
          </w:tcPr>
          <w:p w:rsidR="00FF09FE" w:rsidRPr="00DE4D69" w:rsidRDefault="00FF09FE" w:rsidP="00FF09FE">
            <w:pPr>
              <w:rPr>
                <w:rFonts w:ascii="Arial" w:hAnsi="Arial" w:cs="Arial"/>
                <w:sz w:val="20"/>
                <w:szCs w:val="20"/>
                <w:lang w:val="en-US"/>
              </w:rPr>
            </w:pPr>
            <w:r w:rsidRPr="00DE4D69">
              <w:rPr>
                <w:rFonts w:ascii="Arial" w:hAnsi="Arial" w:cs="Arial"/>
                <w:sz w:val="20"/>
                <w:szCs w:val="20"/>
                <w:lang w:val="en-US"/>
              </w:rPr>
              <w:t> </w:t>
            </w:r>
          </w:p>
        </w:tc>
        <w:tc>
          <w:tcPr>
            <w:tcW w:w="1464" w:type="dxa"/>
            <w:tcBorders>
              <w:top w:val="nil"/>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r w:rsidRPr="00DE4D69">
              <w:rPr>
                <w:rFonts w:ascii="Arial" w:hAnsi="Arial" w:cs="Arial"/>
                <w:sz w:val="20"/>
                <w:szCs w:val="20"/>
                <w:lang w:val="en-US"/>
              </w:rPr>
              <w:t>0.2</w:t>
            </w:r>
          </w:p>
        </w:tc>
      </w:tr>
      <w:tr w:rsidR="00FF09FE" w:rsidRPr="00DE4D69" w:rsidTr="00FF09FE">
        <w:trPr>
          <w:trHeight w:val="253"/>
        </w:trPr>
        <w:tc>
          <w:tcPr>
            <w:tcW w:w="2101" w:type="dxa"/>
            <w:tcBorders>
              <w:top w:val="nil"/>
              <w:left w:val="single" w:sz="4" w:space="0" w:color="auto"/>
              <w:bottom w:val="single" w:sz="4" w:space="0" w:color="auto"/>
              <w:right w:val="single" w:sz="4" w:space="0" w:color="auto"/>
            </w:tcBorders>
            <w:vAlign w:val="bottom"/>
          </w:tcPr>
          <w:p w:rsidR="00FF09FE" w:rsidRPr="00DE4D69" w:rsidRDefault="00FF09FE" w:rsidP="00FF09FE">
            <w:pPr>
              <w:rPr>
                <w:rFonts w:ascii="Arial TUR" w:hAnsi="Arial TUR" w:cs="Arial TUR"/>
                <w:b/>
                <w:bCs/>
                <w:sz w:val="20"/>
                <w:szCs w:val="20"/>
                <w:lang w:val="en-US"/>
              </w:rPr>
            </w:pPr>
            <w:r w:rsidRPr="00DE4D69">
              <w:rPr>
                <w:rFonts w:ascii="Arial TUR" w:hAnsi="Arial TUR" w:cs="Arial TUR"/>
                <w:b/>
                <w:bCs/>
                <w:sz w:val="20"/>
                <w:szCs w:val="20"/>
                <w:lang w:val="en-US"/>
              </w:rPr>
              <w:t>Export</w:t>
            </w:r>
          </w:p>
        </w:tc>
        <w:tc>
          <w:tcPr>
            <w:tcW w:w="1325" w:type="dxa"/>
            <w:tcBorders>
              <w:top w:val="nil"/>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r w:rsidRPr="00DE4D69">
              <w:rPr>
                <w:rFonts w:ascii="Arial" w:hAnsi="Arial" w:cs="Arial"/>
                <w:sz w:val="20"/>
                <w:szCs w:val="20"/>
                <w:lang w:val="en-US"/>
              </w:rPr>
              <w:t>0.2</w:t>
            </w:r>
          </w:p>
        </w:tc>
        <w:tc>
          <w:tcPr>
            <w:tcW w:w="1464" w:type="dxa"/>
            <w:tcBorders>
              <w:top w:val="nil"/>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r w:rsidRPr="00DE4D69">
              <w:rPr>
                <w:rFonts w:ascii="Arial" w:hAnsi="Arial" w:cs="Arial"/>
                <w:sz w:val="20"/>
                <w:szCs w:val="20"/>
                <w:lang w:val="en-US"/>
              </w:rPr>
              <w:t>0.0</w:t>
            </w:r>
          </w:p>
        </w:tc>
      </w:tr>
      <w:tr w:rsidR="00FF09FE" w:rsidRPr="00DE4D69" w:rsidTr="00FF09FE">
        <w:trPr>
          <w:trHeight w:val="253"/>
        </w:trPr>
        <w:tc>
          <w:tcPr>
            <w:tcW w:w="2101" w:type="dxa"/>
            <w:tcBorders>
              <w:top w:val="nil"/>
              <w:left w:val="single" w:sz="4" w:space="0" w:color="auto"/>
              <w:bottom w:val="single" w:sz="4" w:space="0" w:color="auto"/>
              <w:right w:val="single" w:sz="4" w:space="0" w:color="auto"/>
            </w:tcBorders>
            <w:vAlign w:val="bottom"/>
          </w:tcPr>
          <w:p w:rsidR="00FF09FE" w:rsidRPr="00DE4D69" w:rsidRDefault="00FF09FE" w:rsidP="00FF09FE">
            <w:pPr>
              <w:rPr>
                <w:rFonts w:ascii="Arial TUR" w:hAnsi="Arial TUR" w:cs="Arial TUR"/>
                <w:b/>
                <w:bCs/>
                <w:sz w:val="20"/>
                <w:szCs w:val="20"/>
                <w:lang w:val="en-US"/>
              </w:rPr>
            </w:pPr>
            <w:r w:rsidRPr="00DE4D69">
              <w:rPr>
                <w:rFonts w:ascii="Arial TUR" w:hAnsi="Arial TUR" w:cs="Arial TUR"/>
                <w:b/>
                <w:bCs/>
                <w:sz w:val="20"/>
                <w:szCs w:val="20"/>
                <w:lang w:val="en-US"/>
              </w:rPr>
              <w:t>Import</w:t>
            </w:r>
          </w:p>
        </w:tc>
        <w:tc>
          <w:tcPr>
            <w:tcW w:w="1325" w:type="dxa"/>
            <w:tcBorders>
              <w:top w:val="nil"/>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r w:rsidRPr="00DE4D69">
              <w:rPr>
                <w:rFonts w:ascii="Arial" w:hAnsi="Arial" w:cs="Arial"/>
                <w:sz w:val="20"/>
                <w:szCs w:val="20"/>
                <w:lang w:val="en-US"/>
              </w:rPr>
              <w:t>7.7</w:t>
            </w:r>
          </w:p>
        </w:tc>
        <w:tc>
          <w:tcPr>
            <w:tcW w:w="1464" w:type="dxa"/>
            <w:tcBorders>
              <w:top w:val="nil"/>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r w:rsidRPr="00DE4D69">
              <w:rPr>
                <w:rFonts w:ascii="Arial" w:hAnsi="Arial" w:cs="Arial"/>
                <w:sz w:val="20"/>
                <w:szCs w:val="20"/>
                <w:lang w:val="en-US"/>
              </w:rPr>
              <w:t>-2.2</w:t>
            </w:r>
          </w:p>
        </w:tc>
      </w:tr>
      <w:tr w:rsidR="00FF09FE" w:rsidRPr="00DE4D69" w:rsidTr="00FF09FE">
        <w:trPr>
          <w:trHeight w:val="253"/>
        </w:trPr>
        <w:tc>
          <w:tcPr>
            <w:tcW w:w="2101" w:type="dxa"/>
            <w:tcBorders>
              <w:top w:val="nil"/>
              <w:left w:val="single" w:sz="4" w:space="0" w:color="auto"/>
              <w:bottom w:val="single" w:sz="4" w:space="0" w:color="auto"/>
              <w:right w:val="single" w:sz="4" w:space="0" w:color="auto"/>
            </w:tcBorders>
            <w:vAlign w:val="bottom"/>
          </w:tcPr>
          <w:p w:rsidR="00FF09FE" w:rsidRPr="00DE4D69" w:rsidRDefault="00FF09FE" w:rsidP="00FF09FE">
            <w:pPr>
              <w:rPr>
                <w:rFonts w:ascii="Arial" w:hAnsi="Arial" w:cs="Arial"/>
                <w:sz w:val="20"/>
                <w:szCs w:val="20"/>
                <w:lang w:val="en-US"/>
              </w:rPr>
            </w:pPr>
            <w:r w:rsidRPr="00DE4D69">
              <w:rPr>
                <w:rFonts w:ascii="Arial TUR" w:hAnsi="Arial TUR" w:cs="Arial TUR"/>
                <w:b/>
                <w:bCs/>
                <w:sz w:val="20"/>
                <w:szCs w:val="20"/>
                <w:lang w:val="en-US"/>
              </w:rPr>
              <w:t>Total</w:t>
            </w:r>
          </w:p>
        </w:tc>
        <w:tc>
          <w:tcPr>
            <w:tcW w:w="1325" w:type="dxa"/>
            <w:tcBorders>
              <w:top w:val="nil"/>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r w:rsidRPr="00DE4D69">
              <w:rPr>
                <w:rFonts w:ascii="Arial" w:hAnsi="Arial" w:cs="Arial"/>
                <w:sz w:val="20"/>
                <w:szCs w:val="20"/>
                <w:lang w:val="en-US"/>
              </w:rPr>
              <w:t> 3.1</w:t>
            </w:r>
          </w:p>
        </w:tc>
        <w:tc>
          <w:tcPr>
            <w:tcW w:w="1464" w:type="dxa"/>
            <w:tcBorders>
              <w:top w:val="nil"/>
              <w:left w:val="nil"/>
              <w:bottom w:val="single" w:sz="4" w:space="0" w:color="auto"/>
              <w:right w:val="single" w:sz="4" w:space="0" w:color="auto"/>
            </w:tcBorders>
            <w:noWrap/>
            <w:vAlign w:val="bottom"/>
          </w:tcPr>
          <w:p w:rsidR="00FF09FE" w:rsidRPr="00DE4D69" w:rsidRDefault="00FF09FE" w:rsidP="00FF09FE">
            <w:pPr>
              <w:rPr>
                <w:rFonts w:ascii="Arial" w:hAnsi="Arial" w:cs="Arial"/>
                <w:sz w:val="20"/>
                <w:szCs w:val="20"/>
                <w:lang w:val="en-US"/>
              </w:rPr>
            </w:pPr>
            <w:r w:rsidRPr="00DE4D69">
              <w:rPr>
                <w:rFonts w:ascii="Arial" w:hAnsi="Arial" w:cs="Arial"/>
                <w:sz w:val="20"/>
                <w:szCs w:val="20"/>
                <w:lang w:val="en-US"/>
              </w:rPr>
              <w:t> </w:t>
            </w:r>
          </w:p>
        </w:tc>
      </w:tr>
      <w:tr w:rsidR="00FF09FE" w:rsidRPr="00DE4D69" w:rsidTr="00FF09FE">
        <w:trPr>
          <w:trHeight w:val="253"/>
        </w:trPr>
        <w:tc>
          <w:tcPr>
            <w:tcW w:w="2101" w:type="dxa"/>
            <w:tcBorders>
              <w:top w:val="nil"/>
              <w:left w:val="single" w:sz="4" w:space="0" w:color="auto"/>
              <w:bottom w:val="single" w:sz="4" w:space="0" w:color="auto"/>
              <w:right w:val="single" w:sz="4" w:space="0" w:color="auto"/>
            </w:tcBorders>
            <w:vAlign w:val="bottom"/>
          </w:tcPr>
          <w:p w:rsidR="00FF09FE" w:rsidRPr="00DE4D69" w:rsidRDefault="00FF09FE" w:rsidP="00FF09FE">
            <w:pPr>
              <w:rPr>
                <w:rFonts w:ascii="Arial" w:hAnsi="Arial" w:cs="Arial"/>
                <w:sz w:val="20"/>
                <w:szCs w:val="20"/>
                <w:lang w:val="en-US"/>
              </w:rPr>
            </w:pPr>
          </w:p>
        </w:tc>
        <w:tc>
          <w:tcPr>
            <w:tcW w:w="1325" w:type="dxa"/>
            <w:tcBorders>
              <w:top w:val="nil"/>
              <w:left w:val="nil"/>
              <w:bottom w:val="single" w:sz="4" w:space="0" w:color="auto"/>
              <w:right w:val="single" w:sz="4" w:space="0" w:color="auto"/>
            </w:tcBorders>
            <w:noWrap/>
            <w:vAlign w:val="bottom"/>
          </w:tcPr>
          <w:p w:rsidR="00FF09FE" w:rsidRPr="00DE4D69" w:rsidRDefault="00FF09FE" w:rsidP="00FF09FE">
            <w:pPr>
              <w:rPr>
                <w:rFonts w:ascii="Arial" w:hAnsi="Arial" w:cs="Arial"/>
                <w:sz w:val="20"/>
                <w:szCs w:val="20"/>
                <w:lang w:val="en-US"/>
              </w:rPr>
            </w:pPr>
          </w:p>
        </w:tc>
        <w:tc>
          <w:tcPr>
            <w:tcW w:w="1464" w:type="dxa"/>
            <w:tcBorders>
              <w:top w:val="nil"/>
              <w:left w:val="nil"/>
              <w:bottom w:val="single" w:sz="4" w:space="0" w:color="auto"/>
              <w:right w:val="single" w:sz="4" w:space="0" w:color="auto"/>
            </w:tcBorders>
            <w:noWrap/>
            <w:vAlign w:val="bottom"/>
          </w:tcPr>
          <w:p w:rsidR="00FF09FE" w:rsidRPr="00DE4D69" w:rsidRDefault="00FF09FE" w:rsidP="00FF09FE">
            <w:pPr>
              <w:rPr>
                <w:rFonts w:ascii="Arial" w:hAnsi="Arial" w:cs="Arial"/>
                <w:sz w:val="20"/>
                <w:szCs w:val="20"/>
                <w:lang w:val="en-US"/>
              </w:rPr>
            </w:pPr>
          </w:p>
        </w:tc>
      </w:tr>
      <w:tr w:rsidR="00FF09FE" w:rsidRPr="00DE4D69" w:rsidTr="00FF09FE">
        <w:trPr>
          <w:trHeight w:val="253"/>
        </w:trPr>
        <w:tc>
          <w:tcPr>
            <w:tcW w:w="2101" w:type="dxa"/>
            <w:tcBorders>
              <w:top w:val="nil"/>
              <w:left w:val="single" w:sz="4" w:space="0" w:color="auto"/>
              <w:bottom w:val="single" w:sz="4" w:space="0" w:color="auto"/>
              <w:right w:val="single" w:sz="4" w:space="0" w:color="auto"/>
            </w:tcBorders>
            <w:vAlign w:val="bottom"/>
          </w:tcPr>
          <w:p w:rsidR="00FF09FE" w:rsidRPr="00DE4D69" w:rsidRDefault="00FF09FE" w:rsidP="00894C45">
            <w:pPr>
              <w:rPr>
                <w:rFonts w:ascii="Arial TUR" w:hAnsi="Arial TUR" w:cs="Arial TUR"/>
                <w:b/>
                <w:bCs/>
                <w:sz w:val="20"/>
                <w:szCs w:val="20"/>
                <w:lang w:val="en-US"/>
              </w:rPr>
            </w:pPr>
            <w:r w:rsidRPr="00894C45">
              <w:rPr>
                <w:rFonts w:ascii="Arial TUR" w:hAnsi="Arial TUR" w:cs="Arial TUR"/>
                <w:b/>
                <w:bCs/>
                <w:sz w:val="20"/>
                <w:szCs w:val="20"/>
                <w:lang w:val="en-US"/>
              </w:rPr>
              <w:t>2016 – Q</w:t>
            </w:r>
            <w:r w:rsidR="00894C45" w:rsidRPr="00894C45">
              <w:rPr>
                <w:rFonts w:ascii="Arial TUR" w:hAnsi="Arial TUR" w:cs="Arial TUR"/>
                <w:b/>
                <w:bCs/>
                <w:sz w:val="20"/>
                <w:szCs w:val="20"/>
                <w:lang w:val="en-US"/>
              </w:rPr>
              <w:t>1</w:t>
            </w:r>
          </w:p>
        </w:tc>
        <w:tc>
          <w:tcPr>
            <w:tcW w:w="1325" w:type="dxa"/>
            <w:tcBorders>
              <w:top w:val="nil"/>
              <w:left w:val="nil"/>
              <w:bottom w:val="single" w:sz="4" w:space="0" w:color="auto"/>
              <w:right w:val="single" w:sz="4" w:space="0" w:color="auto"/>
            </w:tcBorders>
            <w:noWrap/>
            <w:vAlign w:val="bottom"/>
          </w:tcPr>
          <w:p w:rsidR="00FF09FE" w:rsidRPr="00DE4D69" w:rsidRDefault="00FF09FE" w:rsidP="00FF09FE">
            <w:pPr>
              <w:jc w:val="center"/>
              <w:rPr>
                <w:rFonts w:ascii="Arial TUR" w:hAnsi="Arial TUR" w:cs="Arial TUR"/>
                <w:b/>
                <w:bCs/>
                <w:sz w:val="20"/>
                <w:szCs w:val="20"/>
                <w:lang w:val="en-US"/>
              </w:rPr>
            </w:pPr>
            <w:proofErr w:type="gramStart"/>
            <w:r w:rsidRPr="00DE4D69">
              <w:rPr>
                <w:rFonts w:ascii="Arial TUR" w:hAnsi="Arial TUR" w:cs="Arial TUR"/>
                <w:b/>
                <w:bCs/>
                <w:sz w:val="20"/>
                <w:szCs w:val="20"/>
                <w:lang w:val="en-US"/>
              </w:rPr>
              <w:t>Change</w:t>
            </w:r>
            <w:proofErr w:type="gramEnd"/>
            <w:r w:rsidRPr="00DE4D69">
              <w:rPr>
                <w:rFonts w:ascii="Arial TUR" w:hAnsi="Arial TUR" w:cs="Arial TUR"/>
                <w:b/>
                <w:bCs/>
                <w:sz w:val="20"/>
                <w:szCs w:val="20"/>
                <w:lang w:val="en-US"/>
              </w:rPr>
              <w:br/>
              <w:t>(%)</w:t>
            </w:r>
          </w:p>
        </w:tc>
        <w:tc>
          <w:tcPr>
            <w:tcW w:w="1464" w:type="dxa"/>
            <w:tcBorders>
              <w:top w:val="nil"/>
              <w:left w:val="nil"/>
              <w:bottom w:val="single" w:sz="4" w:space="0" w:color="auto"/>
              <w:right w:val="single" w:sz="4" w:space="0" w:color="auto"/>
            </w:tcBorders>
            <w:noWrap/>
            <w:vAlign w:val="bottom"/>
          </w:tcPr>
          <w:p w:rsidR="00FF09FE" w:rsidRPr="00DE4D69" w:rsidRDefault="00FF09FE" w:rsidP="00FF09FE">
            <w:pPr>
              <w:jc w:val="center"/>
              <w:rPr>
                <w:rFonts w:ascii="Arial TUR" w:hAnsi="Arial TUR" w:cs="Arial TUR"/>
                <w:b/>
                <w:bCs/>
                <w:sz w:val="20"/>
                <w:szCs w:val="20"/>
                <w:lang w:val="en-US"/>
              </w:rPr>
            </w:pPr>
            <w:r w:rsidRPr="00DE4D69">
              <w:rPr>
                <w:rFonts w:ascii="Arial TUR" w:hAnsi="Arial TUR" w:cs="Arial TUR"/>
                <w:b/>
                <w:bCs/>
                <w:sz w:val="20"/>
                <w:szCs w:val="20"/>
                <w:lang w:val="en-US"/>
              </w:rPr>
              <w:t>Contributions   (pp)</w:t>
            </w:r>
          </w:p>
        </w:tc>
      </w:tr>
      <w:tr w:rsidR="00FF09FE" w:rsidRPr="00DE4D69" w:rsidTr="00FF09FE">
        <w:trPr>
          <w:trHeight w:val="253"/>
        </w:trPr>
        <w:tc>
          <w:tcPr>
            <w:tcW w:w="2101" w:type="dxa"/>
            <w:tcBorders>
              <w:top w:val="nil"/>
              <w:left w:val="single" w:sz="4" w:space="0" w:color="auto"/>
              <w:bottom w:val="single" w:sz="4" w:space="0" w:color="auto"/>
              <w:right w:val="single" w:sz="4" w:space="0" w:color="auto"/>
            </w:tcBorders>
            <w:vAlign w:val="bottom"/>
          </w:tcPr>
          <w:p w:rsidR="00FF09FE" w:rsidRPr="00DE4D69" w:rsidRDefault="00FF09FE" w:rsidP="00FF09FE">
            <w:pPr>
              <w:rPr>
                <w:rFonts w:ascii="Arial TUR" w:hAnsi="Arial TUR" w:cs="Arial TUR"/>
                <w:b/>
                <w:bCs/>
                <w:sz w:val="20"/>
                <w:szCs w:val="20"/>
                <w:lang w:val="en-US"/>
              </w:rPr>
            </w:pPr>
            <w:r w:rsidRPr="00DE4D69">
              <w:rPr>
                <w:rFonts w:ascii="Arial TUR" w:hAnsi="Arial TUR" w:cs="Arial TUR"/>
                <w:b/>
                <w:bCs/>
                <w:sz w:val="20"/>
                <w:szCs w:val="20"/>
                <w:lang w:val="en-US"/>
              </w:rPr>
              <w:t>Consumption</w:t>
            </w:r>
          </w:p>
        </w:tc>
        <w:tc>
          <w:tcPr>
            <w:tcW w:w="1325" w:type="dxa"/>
            <w:tcBorders>
              <w:top w:val="nil"/>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r w:rsidRPr="00DE4D69">
              <w:rPr>
                <w:rFonts w:ascii="Arial" w:hAnsi="Arial" w:cs="Arial"/>
                <w:sz w:val="20"/>
                <w:szCs w:val="20"/>
                <w:lang w:val="en-US"/>
              </w:rPr>
              <w:t>7.1</w:t>
            </w:r>
          </w:p>
        </w:tc>
        <w:tc>
          <w:tcPr>
            <w:tcW w:w="1464" w:type="dxa"/>
            <w:tcBorders>
              <w:top w:val="nil"/>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r w:rsidRPr="00DE4D69">
              <w:rPr>
                <w:rFonts w:ascii="Arial" w:hAnsi="Arial" w:cs="Arial"/>
                <w:sz w:val="20"/>
                <w:szCs w:val="20"/>
                <w:lang w:val="en-US"/>
              </w:rPr>
              <w:t>4.9</w:t>
            </w:r>
          </w:p>
        </w:tc>
      </w:tr>
      <w:tr w:rsidR="00FF09FE" w:rsidRPr="00DE4D69" w:rsidTr="00FF09FE">
        <w:trPr>
          <w:trHeight w:val="253"/>
        </w:trPr>
        <w:tc>
          <w:tcPr>
            <w:tcW w:w="2101" w:type="dxa"/>
            <w:tcBorders>
              <w:top w:val="nil"/>
              <w:left w:val="single" w:sz="4" w:space="0" w:color="auto"/>
              <w:bottom w:val="single" w:sz="4" w:space="0" w:color="auto"/>
              <w:right w:val="single" w:sz="4" w:space="0" w:color="auto"/>
            </w:tcBorders>
            <w:vAlign w:val="bottom"/>
          </w:tcPr>
          <w:p w:rsidR="00FF09FE" w:rsidRPr="00DE4D69" w:rsidRDefault="00FF09FE" w:rsidP="00FF09FE">
            <w:pPr>
              <w:rPr>
                <w:rFonts w:ascii="Arial TUR" w:hAnsi="Arial TUR" w:cs="Arial TUR"/>
                <w:b/>
                <w:bCs/>
                <w:sz w:val="20"/>
                <w:szCs w:val="20"/>
                <w:lang w:val="en-US"/>
              </w:rPr>
            </w:pPr>
            <w:r w:rsidRPr="00DE4D69">
              <w:rPr>
                <w:rFonts w:ascii="Arial TUR" w:hAnsi="Arial TUR" w:cs="Arial TUR"/>
                <w:b/>
                <w:bCs/>
                <w:sz w:val="20"/>
                <w:szCs w:val="20"/>
                <w:lang w:val="en-US"/>
              </w:rPr>
              <w:t>Private Investments</w:t>
            </w:r>
          </w:p>
        </w:tc>
        <w:tc>
          <w:tcPr>
            <w:tcW w:w="1325" w:type="dxa"/>
            <w:tcBorders>
              <w:top w:val="nil"/>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r w:rsidRPr="00DE4D69">
              <w:rPr>
                <w:rFonts w:ascii="Arial" w:hAnsi="Arial" w:cs="Arial"/>
                <w:sz w:val="20"/>
                <w:szCs w:val="20"/>
                <w:lang w:val="en-US"/>
              </w:rPr>
              <w:t>-0.8</w:t>
            </w:r>
          </w:p>
        </w:tc>
        <w:tc>
          <w:tcPr>
            <w:tcW w:w="1464" w:type="dxa"/>
            <w:tcBorders>
              <w:top w:val="nil"/>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r w:rsidRPr="00DE4D69">
              <w:rPr>
                <w:rFonts w:ascii="Arial" w:hAnsi="Arial" w:cs="Arial"/>
                <w:sz w:val="20"/>
                <w:szCs w:val="20"/>
                <w:lang w:val="en-US"/>
              </w:rPr>
              <w:t>-0.2</w:t>
            </w:r>
          </w:p>
        </w:tc>
      </w:tr>
      <w:tr w:rsidR="00FF09FE" w:rsidRPr="00DE4D69" w:rsidTr="00FF09FE">
        <w:trPr>
          <w:trHeight w:val="253"/>
        </w:trPr>
        <w:tc>
          <w:tcPr>
            <w:tcW w:w="2101" w:type="dxa"/>
            <w:tcBorders>
              <w:top w:val="nil"/>
              <w:left w:val="single" w:sz="4" w:space="0" w:color="auto"/>
              <w:bottom w:val="single" w:sz="4" w:space="0" w:color="auto"/>
              <w:right w:val="single" w:sz="4" w:space="0" w:color="auto"/>
            </w:tcBorders>
            <w:vAlign w:val="bottom"/>
          </w:tcPr>
          <w:p w:rsidR="00FF09FE" w:rsidRPr="00DE4D69" w:rsidRDefault="00FF09FE" w:rsidP="00FF09FE">
            <w:pPr>
              <w:rPr>
                <w:rFonts w:ascii="Arial TUR" w:hAnsi="Arial TUR" w:cs="Arial TUR"/>
                <w:b/>
                <w:bCs/>
                <w:sz w:val="20"/>
                <w:szCs w:val="20"/>
                <w:lang w:val="en-US"/>
              </w:rPr>
            </w:pPr>
            <w:r w:rsidRPr="00DE4D69">
              <w:rPr>
                <w:rFonts w:ascii="Arial TUR" w:hAnsi="Arial TUR" w:cs="Arial TUR"/>
                <w:b/>
                <w:bCs/>
                <w:sz w:val="20"/>
                <w:szCs w:val="20"/>
                <w:lang w:val="en-US"/>
              </w:rPr>
              <w:t xml:space="preserve">Government </w:t>
            </w:r>
            <w:r w:rsidR="00B52576" w:rsidRPr="00DE4D69">
              <w:rPr>
                <w:rFonts w:ascii="Arial TUR" w:hAnsi="Arial TUR" w:cs="Arial TUR"/>
                <w:b/>
                <w:bCs/>
                <w:sz w:val="20"/>
                <w:szCs w:val="20"/>
                <w:lang w:val="en-US"/>
              </w:rPr>
              <w:t>spending</w:t>
            </w:r>
          </w:p>
        </w:tc>
        <w:tc>
          <w:tcPr>
            <w:tcW w:w="1325" w:type="dxa"/>
            <w:tcBorders>
              <w:top w:val="nil"/>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r w:rsidRPr="00DE4D69">
              <w:rPr>
                <w:rFonts w:ascii="Arial" w:hAnsi="Arial" w:cs="Arial"/>
                <w:sz w:val="20"/>
                <w:szCs w:val="20"/>
                <w:lang w:val="en-US"/>
              </w:rPr>
              <w:t>9.3</w:t>
            </w:r>
          </w:p>
        </w:tc>
        <w:tc>
          <w:tcPr>
            <w:tcW w:w="1464" w:type="dxa"/>
            <w:tcBorders>
              <w:top w:val="nil"/>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r w:rsidRPr="00DE4D69">
              <w:rPr>
                <w:rFonts w:ascii="Arial" w:hAnsi="Arial" w:cs="Arial"/>
                <w:sz w:val="20"/>
                <w:szCs w:val="20"/>
                <w:lang w:val="en-US"/>
              </w:rPr>
              <w:t>1.3</w:t>
            </w:r>
          </w:p>
        </w:tc>
      </w:tr>
      <w:tr w:rsidR="00FF09FE" w:rsidRPr="00DE4D69" w:rsidTr="00FF09FE">
        <w:trPr>
          <w:trHeight w:val="253"/>
        </w:trPr>
        <w:tc>
          <w:tcPr>
            <w:tcW w:w="2101" w:type="dxa"/>
            <w:tcBorders>
              <w:top w:val="nil"/>
              <w:left w:val="single" w:sz="4" w:space="0" w:color="auto"/>
              <w:bottom w:val="single" w:sz="4" w:space="0" w:color="auto"/>
              <w:right w:val="single" w:sz="4" w:space="0" w:color="auto"/>
            </w:tcBorders>
            <w:vAlign w:val="bottom"/>
          </w:tcPr>
          <w:p w:rsidR="00FF09FE" w:rsidRPr="00DE4D69" w:rsidRDefault="00FF09FE" w:rsidP="00FF09FE">
            <w:pPr>
              <w:rPr>
                <w:rFonts w:ascii="Arial TUR" w:hAnsi="Arial TUR" w:cs="Arial TUR"/>
                <w:b/>
                <w:bCs/>
                <w:sz w:val="20"/>
                <w:szCs w:val="20"/>
                <w:lang w:val="en-US"/>
              </w:rPr>
            </w:pPr>
            <w:r w:rsidRPr="00DE4D69">
              <w:rPr>
                <w:rFonts w:ascii="Arial TUR" w:hAnsi="Arial TUR" w:cs="Arial TUR"/>
                <w:b/>
                <w:bCs/>
                <w:sz w:val="20"/>
                <w:szCs w:val="20"/>
                <w:lang w:val="en-US"/>
              </w:rPr>
              <w:t>Change in stock</w:t>
            </w:r>
          </w:p>
        </w:tc>
        <w:tc>
          <w:tcPr>
            <w:tcW w:w="1325" w:type="dxa"/>
            <w:tcBorders>
              <w:top w:val="nil"/>
              <w:left w:val="nil"/>
              <w:bottom w:val="single" w:sz="4" w:space="0" w:color="auto"/>
              <w:right w:val="single" w:sz="4" w:space="0" w:color="auto"/>
            </w:tcBorders>
            <w:noWrap/>
            <w:vAlign w:val="bottom"/>
          </w:tcPr>
          <w:p w:rsidR="00FF09FE" w:rsidRPr="00DE4D69" w:rsidRDefault="00FF09FE" w:rsidP="00FF09FE">
            <w:pPr>
              <w:rPr>
                <w:rFonts w:ascii="Arial" w:hAnsi="Arial" w:cs="Arial"/>
                <w:sz w:val="20"/>
                <w:szCs w:val="20"/>
                <w:lang w:val="en-US"/>
              </w:rPr>
            </w:pPr>
            <w:r w:rsidRPr="00DE4D69">
              <w:rPr>
                <w:rFonts w:ascii="Arial" w:hAnsi="Arial" w:cs="Arial"/>
                <w:sz w:val="20"/>
                <w:szCs w:val="20"/>
                <w:lang w:val="en-US"/>
              </w:rPr>
              <w:t> </w:t>
            </w:r>
          </w:p>
        </w:tc>
        <w:tc>
          <w:tcPr>
            <w:tcW w:w="1464" w:type="dxa"/>
            <w:tcBorders>
              <w:top w:val="nil"/>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r w:rsidRPr="00DE4D69">
              <w:rPr>
                <w:rFonts w:ascii="Arial" w:hAnsi="Arial" w:cs="Arial"/>
                <w:sz w:val="20"/>
                <w:szCs w:val="20"/>
                <w:lang w:val="en-US"/>
              </w:rPr>
              <w:t>0.1</w:t>
            </w:r>
          </w:p>
        </w:tc>
      </w:tr>
      <w:tr w:rsidR="00FF09FE" w:rsidRPr="00DE4D69" w:rsidTr="00FF09FE">
        <w:trPr>
          <w:trHeight w:val="253"/>
        </w:trPr>
        <w:tc>
          <w:tcPr>
            <w:tcW w:w="2101" w:type="dxa"/>
            <w:tcBorders>
              <w:top w:val="nil"/>
              <w:left w:val="single" w:sz="4" w:space="0" w:color="auto"/>
              <w:bottom w:val="single" w:sz="4" w:space="0" w:color="auto"/>
              <w:right w:val="single" w:sz="4" w:space="0" w:color="auto"/>
            </w:tcBorders>
            <w:vAlign w:val="bottom"/>
          </w:tcPr>
          <w:p w:rsidR="00FF09FE" w:rsidRPr="00DE4D69" w:rsidRDefault="00FF09FE" w:rsidP="00FF09FE">
            <w:pPr>
              <w:rPr>
                <w:rFonts w:ascii="Arial TUR" w:hAnsi="Arial TUR" w:cs="Arial TUR"/>
                <w:b/>
                <w:bCs/>
                <w:sz w:val="20"/>
                <w:szCs w:val="20"/>
                <w:lang w:val="en-US"/>
              </w:rPr>
            </w:pPr>
            <w:r w:rsidRPr="00DE4D69">
              <w:rPr>
                <w:rFonts w:ascii="Arial TUR" w:hAnsi="Arial TUR" w:cs="Arial TUR"/>
                <w:b/>
                <w:bCs/>
                <w:sz w:val="20"/>
                <w:szCs w:val="20"/>
                <w:lang w:val="en-US"/>
              </w:rPr>
              <w:t>Export</w:t>
            </w:r>
          </w:p>
        </w:tc>
        <w:tc>
          <w:tcPr>
            <w:tcW w:w="1325" w:type="dxa"/>
            <w:tcBorders>
              <w:top w:val="nil"/>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r w:rsidRPr="00DE4D69">
              <w:rPr>
                <w:rFonts w:ascii="Arial" w:hAnsi="Arial" w:cs="Arial"/>
                <w:sz w:val="20"/>
                <w:szCs w:val="20"/>
                <w:lang w:val="en-US"/>
              </w:rPr>
              <w:t>2.4</w:t>
            </w:r>
          </w:p>
        </w:tc>
        <w:tc>
          <w:tcPr>
            <w:tcW w:w="1464" w:type="dxa"/>
            <w:tcBorders>
              <w:top w:val="nil"/>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r w:rsidRPr="00DE4D69">
              <w:rPr>
                <w:rFonts w:ascii="Arial" w:hAnsi="Arial" w:cs="Arial"/>
                <w:sz w:val="20"/>
                <w:szCs w:val="20"/>
                <w:lang w:val="en-US"/>
              </w:rPr>
              <w:t>0.6</w:t>
            </w:r>
          </w:p>
        </w:tc>
      </w:tr>
      <w:tr w:rsidR="00FF09FE" w:rsidRPr="00DE4D69" w:rsidTr="00FF09FE">
        <w:trPr>
          <w:trHeight w:val="253"/>
        </w:trPr>
        <w:tc>
          <w:tcPr>
            <w:tcW w:w="2101" w:type="dxa"/>
            <w:tcBorders>
              <w:top w:val="single" w:sz="4" w:space="0" w:color="auto"/>
              <w:left w:val="single" w:sz="4" w:space="0" w:color="auto"/>
              <w:bottom w:val="single" w:sz="4" w:space="0" w:color="auto"/>
              <w:right w:val="single" w:sz="4" w:space="0" w:color="auto"/>
            </w:tcBorders>
            <w:vAlign w:val="bottom"/>
          </w:tcPr>
          <w:p w:rsidR="00FF09FE" w:rsidRPr="00DE4D69" w:rsidRDefault="00FF09FE" w:rsidP="00FF09FE">
            <w:pPr>
              <w:rPr>
                <w:rFonts w:ascii="Arial TUR" w:hAnsi="Arial TUR" w:cs="Arial TUR"/>
                <w:b/>
                <w:bCs/>
                <w:sz w:val="20"/>
                <w:szCs w:val="20"/>
                <w:lang w:val="en-US"/>
              </w:rPr>
            </w:pPr>
            <w:r w:rsidRPr="00DE4D69">
              <w:rPr>
                <w:rFonts w:ascii="Arial TUR" w:hAnsi="Arial TUR" w:cs="Arial TUR"/>
                <w:b/>
                <w:bCs/>
                <w:sz w:val="20"/>
                <w:szCs w:val="20"/>
                <w:lang w:val="en-US"/>
              </w:rPr>
              <w:t>Import</w:t>
            </w:r>
          </w:p>
        </w:tc>
        <w:tc>
          <w:tcPr>
            <w:tcW w:w="1325" w:type="dxa"/>
            <w:tcBorders>
              <w:top w:val="single" w:sz="4" w:space="0" w:color="auto"/>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r w:rsidRPr="00DE4D69">
              <w:rPr>
                <w:rFonts w:ascii="Arial" w:hAnsi="Arial" w:cs="Arial"/>
                <w:sz w:val="20"/>
                <w:szCs w:val="20"/>
                <w:lang w:val="en-US"/>
              </w:rPr>
              <w:t>7.3</w:t>
            </w:r>
          </w:p>
        </w:tc>
        <w:tc>
          <w:tcPr>
            <w:tcW w:w="1464" w:type="dxa"/>
            <w:tcBorders>
              <w:top w:val="single" w:sz="4" w:space="0" w:color="auto"/>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r w:rsidRPr="00DE4D69">
              <w:rPr>
                <w:rFonts w:ascii="Arial" w:hAnsi="Arial" w:cs="Arial"/>
                <w:sz w:val="20"/>
                <w:szCs w:val="20"/>
                <w:lang w:val="en-US"/>
              </w:rPr>
              <w:t>-2.1</w:t>
            </w:r>
          </w:p>
        </w:tc>
      </w:tr>
      <w:tr w:rsidR="00FF09FE" w:rsidRPr="00DE4D69" w:rsidTr="00FF09FE">
        <w:trPr>
          <w:trHeight w:val="253"/>
        </w:trPr>
        <w:tc>
          <w:tcPr>
            <w:tcW w:w="2101" w:type="dxa"/>
            <w:tcBorders>
              <w:top w:val="single" w:sz="4" w:space="0" w:color="auto"/>
              <w:left w:val="single" w:sz="4" w:space="0" w:color="auto"/>
              <w:bottom w:val="single" w:sz="4" w:space="0" w:color="auto"/>
              <w:right w:val="single" w:sz="4" w:space="0" w:color="auto"/>
            </w:tcBorders>
            <w:vAlign w:val="bottom"/>
          </w:tcPr>
          <w:p w:rsidR="00FF09FE" w:rsidRPr="00DE4D69" w:rsidRDefault="00FF09FE" w:rsidP="00FF09FE">
            <w:pPr>
              <w:rPr>
                <w:rFonts w:ascii="Arial" w:hAnsi="Arial" w:cs="Arial"/>
                <w:sz w:val="20"/>
                <w:szCs w:val="20"/>
                <w:lang w:val="en-US"/>
              </w:rPr>
            </w:pPr>
            <w:r w:rsidRPr="00DE4D69">
              <w:rPr>
                <w:rFonts w:ascii="Arial TUR" w:hAnsi="Arial TUR" w:cs="Arial TUR"/>
                <w:b/>
                <w:bCs/>
                <w:sz w:val="20"/>
                <w:szCs w:val="20"/>
                <w:lang w:val="en-US"/>
              </w:rPr>
              <w:t>Total</w:t>
            </w:r>
          </w:p>
        </w:tc>
        <w:tc>
          <w:tcPr>
            <w:tcW w:w="1325" w:type="dxa"/>
            <w:tcBorders>
              <w:top w:val="single" w:sz="4" w:space="0" w:color="auto"/>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r w:rsidRPr="00DE4D69">
              <w:rPr>
                <w:rFonts w:ascii="Arial" w:hAnsi="Arial" w:cs="Arial"/>
                <w:sz w:val="20"/>
                <w:szCs w:val="20"/>
                <w:lang w:val="en-US"/>
              </w:rPr>
              <w:t>4.8</w:t>
            </w:r>
          </w:p>
        </w:tc>
        <w:tc>
          <w:tcPr>
            <w:tcW w:w="1464" w:type="dxa"/>
            <w:tcBorders>
              <w:top w:val="single" w:sz="4" w:space="0" w:color="auto"/>
              <w:left w:val="nil"/>
              <w:bottom w:val="single" w:sz="4" w:space="0" w:color="auto"/>
              <w:right w:val="single" w:sz="4" w:space="0" w:color="auto"/>
            </w:tcBorders>
            <w:noWrap/>
            <w:vAlign w:val="bottom"/>
          </w:tcPr>
          <w:p w:rsidR="00FF09FE" w:rsidRPr="00DE4D69" w:rsidRDefault="00FF09FE" w:rsidP="00FF09FE">
            <w:pPr>
              <w:jc w:val="right"/>
              <w:rPr>
                <w:rFonts w:ascii="Arial" w:hAnsi="Arial" w:cs="Arial"/>
                <w:sz w:val="20"/>
                <w:szCs w:val="20"/>
                <w:lang w:val="en-US"/>
              </w:rPr>
            </w:pPr>
          </w:p>
        </w:tc>
      </w:tr>
    </w:tbl>
    <w:p w:rsidR="00E528B1" w:rsidRPr="00DE4D69" w:rsidRDefault="00E528B1" w:rsidP="00D561EE">
      <w:pPr>
        <w:pStyle w:val="NormalWeb"/>
        <w:spacing w:before="0" w:beforeAutospacing="0" w:after="0" w:afterAutospacing="0"/>
        <w:ind w:right="77"/>
        <w:jc w:val="both"/>
        <w:rPr>
          <w:b/>
          <w:bCs/>
          <w:sz w:val="22"/>
          <w:szCs w:val="22"/>
          <w:lang w:val="en-US"/>
        </w:rPr>
      </w:pPr>
    </w:p>
    <w:p w:rsidR="00E528B1" w:rsidRPr="00DE4D69" w:rsidRDefault="007C1284" w:rsidP="00D561EE">
      <w:pPr>
        <w:pStyle w:val="NormalWeb"/>
        <w:spacing w:before="0" w:beforeAutospacing="0" w:after="0" w:afterAutospacing="0"/>
        <w:ind w:right="77"/>
        <w:jc w:val="both"/>
        <w:rPr>
          <w:b/>
          <w:bCs/>
          <w:sz w:val="22"/>
          <w:szCs w:val="22"/>
          <w:lang w:val="en-US"/>
        </w:rPr>
      </w:pPr>
      <w:r w:rsidRPr="00DE4D69">
        <w:rPr>
          <w:rFonts w:ascii="Arial" w:hAnsi="Arial" w:cs="Arial"/>
          <w:sz w:val="16"/>
          <w:szCs w:val="16"/>
          <w:lang w:val="en-US"/>
        </w:rPr>
        <w:t xml:space="preserve">Source: </w:t>
      </w:r>
      <w:proofErr w:type="spellStart"/>
      <w:r w:rsidRPr="00DE4D69">
        <w:rPr>
          <w:rFonts w:ascii="Arial" w:hAnsi="Arial" w:cs="Arial"/>
          <w:sz w:val="16"/>
          <w:szCs w:val="16"/>
          <w:lang w:val="en-US"/>
        </w:rPr>
        <w:t>Turkstat</w:t>
      </w:r>
      <w:proofErr w:type="spellEnd"/>
    </w:p>
    <w:p w:rsidR="00E528B1" w:rsidRPr="00DE4D69" w:rsidRDefault="00E528B1" w:rsidP="00D561EE">
      <w:pPr>
        <w:pStyle w:val="NormalWeb"/>
        <w:spacing w:before="0" w:beforeAutospacing="0" w:after="0" w:afterAutospacing="0"/>
        <w:ind w:right="77"/>
        <w:jc w:val="both"/>
        <w:rPr>
          <w:b/>
          <w:bCs/>
          <w:sz w:val="22"/>
          <w:szCs w:val="22"/>
          <w:lang w:val="en-US"/>
        </w:rPr>
      </w:pPr>
    </w:p>
    <w:p w:rsidR="00DA2051" w:rsidRPr="00DE4D69" w:rsidRDefault="00DA2051" w:rsidP="00D561EE">
      <w:pPr>
        <w:pStyle w:val="NormalWeb"/>
        <w:spacing w:before="0" w:beforeAutospacing="0" w:after="0" w:afterAutospacing="0"/>
        <w:ind w:right="77"/>
        <w:jc w:val="both"/>
        <w:rPr>
          <w:b/>
          <w:bCs/>
          <w:sz w:val="22"/>
          <w:szCs w:val="22"/>
          <w:lang w:val="en-US"/>
        </w:rPr>
      </w:pPr>
    </w:p>
    <w:p w:rsidR="00E528B1" w:rsidRPr="00DE4D69" w:rsidRDefault="00E528B1" w:rsidP="00D561EE">
      <w:pPr>
        <w:pStyle w:val="NormalWeb"/>
        <w:spacing w:before="0" w:beforeAutospacing="0" w:after="0" w:afterAutospacing="0"/>
        <w:ind w:right="77"/>
        <w:jc w:val="both"/>
        <w:rPr>
          <w:b/>
          <w:bCs/>
          <w:sz w:val="22"/>
          <w:szCs w:val="22"/>
          <w:lang w:val="en-US"/>
        </w:rPr>
      </w:pPr>
    </w:p>
    <w:p w:rsidR="00E528B1" w:rsidRPr="00DE4D69" w:rsidRDefault="00E528B1" w:rsidP="00D561EE">
      <w:pPr>
        <w:pStyle w:val="NormalWeb"/>
        <w:spacing w:before="0" w:beforeAutospacing="0" w:after="0" w:afterAutospacing="0"/>
        <w:ind w:right="77"/>
        <w:jc w:val="both"/>
        <w:rPr>
          <w:b/>
          <w:bCs/>
          <w:sz w:val="22"/>
          <w:szCs w:val="22"/>
          <w:lang w:val="en-US"/>
        </w:rPr>
      </w:pPr>
    </w:p>
    <w:p w:rsidR="00E528B1" w:rsidRPr="00DE4D69" w:rsidRDefault="00E528B1" w:rsidP="00D561EE">
      <w:pPr>
        <w:pStyle w:val="NormalWeb"/>
        <w:spacing w:before="0" w:beforeAutospacing="0" w:after="0" w:afterAutospacing="0"/>
        <w:ind w:right="77"/>
        <w:jc w:val="both"/>
        <w:rPr>
          <w:b/>
          <w:bCs/>
          <w:sz w:val="22"/>
          <w:szCs w:val="22"/>
          <w:lang w:val="en-US"/>
        </w:rPr>
      </w:pPr>
    </w:p>
    <w:p w:rsidR="00E528B1" w:rsidRPr="00DE4D69" w:rsidRDefault="00E528B1" w:rsidP="00D561EE">
      <w:pPr>
        <w:pStyle w:val="NormalWeb"/>
        <w:spacing w:before="0" w:beforeAutospacing="0" w:after="0" w:afterAutospacing="0"/>
        <w:ind w:right="77"/>
        <w:jc w:val="both"/>
        <w:rPr>
          <w:b/>
          <w:bCs/>
          <w:sz w:val="22"/>
          <w:szCs w:val="22"/>
          <w:lang w:val="en-US"/>
        </w:rPr>
      </w:pPr>
    </w:p>
    <w:p w:rsidR="00A132C2" w:rsidRPr="00DE4D69" w:rsidRDefault="00A132C2" w:rsidP="00D561EE">
      <w:pPr>
        <w:pStyle w:val="NormalWeb"/>
        <w:spacing w:before="0" w:beforeAutospacing="0" w:after="0" w:afterAutospacing="0"/>
        <w:ind w:right="77"/>
        <w:jc w:val="both"/>
        <w:rPr>
          <w:b/>
          <w:bCs/>
          <w:sz w:val="22"/>
          <w:szCs w:val="22"/>
          <w:lang w:val="en-US"/>
        </w:rPr>
      </w:pPr>
    </w:p>
    <w:p w:rsidR="00B834FD" w:rsidRPr="00DE4D69" w:rsidRDefault="00B834FD" w:rsidP="00A7746C">
      <w:pPr>
        <w:pStyle w:val="NormalWeb"/>
        <w:spacing w:before="0" w:beforeAutospacing="0" w:after="0" w:afterAutospacing="0"/>
        <w:ind w:right="77"/>
        <w:rPr>
          <w:b/>
          <w:bCs/>
          <w:sz w:val="22"/>
          <w:szCs w:val="22"/>
          <w:lang w:val="en-US"/>
        </w:rPr>
      </w:pPr>
    </w:p>
    <w:tbl>
      <w:tblPr>
        <w:tblpPr w:leftFromText="141" w:rightFromText="141" w:vertAnchor="text" w:horzAnchor="margin" w:tblpY="79"/>
        <w:tblW w:w="10544" w:type="dxa"/>
        <w:tblCellMar>
          <w:left w:w="70" w:type="dxa"/>
          <w:right w:w="70" w:type="dxa"/>
        </w:tblCellMar>
        <w:tblLook w:val="04A0" w:firstRow="1" w:lastRow="0" w:firstColumn="1" w:lastColumn="0" w:noHBand="0" w:noVBand="1"/>
      </w:tblPr>
      <w:tblGrid>
        <w:gridCol w:w="1417"/>
        <w:gridCol w:w="1429"/>
        <w:gridCol w:w="1196"/>
        <w:gridCol w:w="1319"/>
        <w:gridCol w:w="1196"/>
        <w:gridCol w:w="960"/>
        <w:gridCol w:w="1107"/>
        <w:gridCol w:w="960"/>
        <w:gridCol w:w="960"/>
      </w:tblGrid>
      <w:tr w:rsidR="00811DF9" w:rsidRPr="00DE4D69" w:rsidTr="00DE4D69">
        <w:trPr>
          <w:trHeight w:val="765"/>
        </w:trPr>
        <w:tc>
          <w:tcPr>
            <w:tcW w:w="10544" w:type="dxa"/>
            <w:gridSpan w:val="9"/>
            <w:tcBorders>
              <w:bottom w:val="single" w:sz="4" w:space="0" w:color="auto"/>
            </w:tcBorders>
            <w:shd w:val="clear" w:color="auto" w:fill="auto"/>
            <w:noWrap/>
            <w:vAlign w:val="bottom"/>
            <w:hideMark/>
          </w:tcPr>
          <w:p w:rsidR="007C1284" w:rsidRPr="00DE4D69" w:rsidRDefault="007C1284" w:rsidP="007C1284">
            <w:pPr>
              <w:pStyle w:val="Caption"/>
              <w:rPr>
                <w:color w:val="auto"/>
                <w:sz w:val="22"/>
                <w:szCs w:val="22"/>
                <w:lang w:val="en-US"/>
              </w:rPr>
            </w:pPr>
            <w:r w:rsidRPr="00DE4D69">
              <w:rPr>
                <w:color w:val="auto"/>
                <w:sz w:val="22"/>
                <w:szCs w:val="22"/>
                <w:lang w:val="en-US"/>
              </w:rPr>
              <w:lastRenderedPageBreak/>
              <w:t xml:space="preserve">Table </w:t>
            </w:r>
            <w:r w:rsidRPr="00DE4D69">
              <w:rPr>
                <w:color w:val="auto"/>
                <w:sz w:val="22"/>
                <w:szCs w:val="22"/>
                <w:lang w:val="en-US"/>
              </w:rPr>
              <w:fldChar w:fldCharType="begin"/>
            </w:r>
            <w:r w:rsidRPr="00DE4D69">
              <w:rPr>
                <w:color w:val="auto"/>
                <w:sz w:val="22"/>
                <w:szCs w:val="22"/>
                <w:lang w:val="en-US"/>
              </w:rPr>
              <w:instrText xml:space="preserve"> SEQ Table \* ARABIC </w:instrText>
            </w:r>
            <w:r w:rsidRPr="00DE4D69">
              <w:rPr>
                <w:color w:val="auto"/>
                <w:sz w:val="22"/>
                <w:szCs w:val="22"/>
                <w:lang w:val="en-US"/>
              </w:rPr>
              <w:fldChar w:fldCharType="separate"/>
            </w:r>
            <w:r w:rsidR="00267E54">
              <w:rPr>
                <w:noProof/>
                <w:color w:val="auto"/>
                <w:sz w:val="22"/>
                <w:szCs w:val="22"/>
                <w:lang w:val="en-US"/>
              </w:rPr>
              <w:t>3</w:t>
            </w:r>
            <w:r w:rsidRPr="00DE4D69">
              <w:rPr>
                <w:color w:val="auto"/>
                <w:sz w:val="22"/>
                <w:szCs w:val="22"/>
                <w:lang w:val="en-US"/>
              </w:rPr>
              <w:fldChar w:fldCharType="end"/>
            </w:r>
            <w:r w:rsidRPr="00DE4D69">
              <w:rPr>
                <w:color w:val="auto"/>
                <w:sz w:val="22"/>
                <w:szCs w:val="22"/>
                <w:lang w:val="en-US"/>
              </w:rPr>
              <w:t xml:space="preserve"> Contributions of GDP components compared to the previous quarter and total growth</w:t>
            </w:r>
          </w:p>
        </w:tc>
      </w:tr>
      <w:tr w:rsidR="0074642A" w:rsidRPr="00DE4D69" w:rsidTr="00DE4D69">
        <w:trPr>
          <w:trHeight w:val="76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42A" w:rsidRPr="00DE4D69" w:rsidRDefault="0074642A" w:rsidP="0074642A">
            <w:pPr>
              <w:rPr>
                <w:rFonts w:ascii="Arial" w:hAnsi="Arial" w:cs="Arial"/>
                <w:sz w:val="20"/>
                <w:szCs w:val="20"/>
                <w:lang w:val="en-US"/>
              </w:rPr>
            </w:pPr>
            <w:r w:rsidRPr="00DE4D69">
              <w:rPr>
                <w:rFonts w:ascii="Arial" w:hAnsi="Arial" w:cs="Arial"/>
                <w:sz w:val="20"/>
                <w:szCs w:val="20"/>
                <w:lang w:val="en-US"/>
              </w:rPr>
              <w:t> </w:t>
            </w:r>
          </w:p>
        </w:tc>
        <w:tc>
          <w:tcPr>
            <w:tcW w:w="1429" w:type="dxa"/>
            <w:tcBorders>
              <w:top w:val="single" w:sz="4" w:space="0" w:color="auto"/>
              <w:left w:val="nil"/>
              <w:bottom w:val="single" w:sz="4" w:space="0" w:color="auto"/>
              <w:right w:val="single" w:sz="4" w:space="0" w:color="auto"/>
            </w:tcBorders>
            <w:shd w:val="clear" w:color="auto" w:fill="auto"/>
            <w:vAlign w:val="center"/>
            <w:hideMark/>
          </w:tcPr>
          <w:p w:rsidR="0074642A" w:rsidRPr="00DE4D69" w:rsidRDefault="0074642A" w:rsidP="0074642A">
            <w:pPr>
              <w:jc w:val="center"/>
              <w:rPr>
                <w:rFonts w:ascii="Arial" w:hAnsi="Arial" w:cs="Arial"/>
                <w:b/>
                <w:sz w:val="20"/>
                <w:szCs w:val="20"/>
                <w:lang w:val="en-US"/>
              </w:rPr>
            </w:pPr>
            <w:r w:rsidRPr="00DE4D69">
              <w:rPr>
                <w:rFonts w:ascii="Arial" w:hAnsi="Arial" w:cs="Arial"/>
                <w:b/>
                <w:sz w:val="20"/>
                <w:szCs w:val="20"/>
                <w:lang w:val="en-US"/>
              </w:rPr>
              <w:t>Consumption</w:t>
            </w:r>
            <w:r w:rsidRPr="00DE4D69">
              <w:rPr>
                <w:rFonts w:ascii="Arial" w:hAnsi="Arial" w:cs="Arial"/>
                <w:b/>
                <w:sz w:val="20"/>
                <w:szCs w:val="20"/>
                <w:lang w:val="en-US"/>
              </w:rPr>
              <w:br/>
              <w:t>(pp)</w:t>
            </w:r>
            <w:r w:rsidRPr="00DE4D69">
              <w:rPr>
                <w:rStyle w:val="FootnoteReference"/>
                <w:rFonts w:ascii="Arial" w:hAnsi="Arial" w:cs="Arial"/>
                <w:b/>
                <w:sz w:val="20"/>
                <w:szCs w:val="20"/>
                <w:lang w:val="en-US"/>
              </w:rPr>
              <w:footnoteReference w:id="2"/>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74642A" w:rsidRPr="00DE4D69" w:rsidRDefault="0074642A" w:rsidP="0074642A">
            <w:pPr>
              <w:jc w:val="center"/>
              <w:rPr>
                <w:rFonts w:ascii="Arial" w:hAnsi="Arial" w:cs="Arial"/>
                <w:b/>
                <w:sz w:val="20"/>
                <w:szCs w:val="20"/>
                <w:lang w:val="en-US"/>
              </w:rPr>
            </w:pPr>
            <w:r w:rsidRPr="00DE4D69">
              <w:rPr>
                <w:rFonts w:ascii="Arial" w:hAnsi="Arial" w:cs="Arial"/>
                <w:b/>
                <w:sz w:val="20"/>
                <w:szCs w:val="20"/>
                <w:lang w:val="en-US"/>
              </w:rPr>
              <w:t>Private Investment</w:t>
            </w:r>
            <w:r w:rsidRPr="00DE4D69">
              <w:rPr>
                <w:rFonts w:ascii="Arial" w:hAnsi="Arial" w:cs="Arial"/>
                <w:b/>
                <w:sz w:val="20"/>
                <w:szCs w:val="20"/>
                <w:lang w:val="en-US"/>
              </w:rPr>
              <w:br/>
              <w:t>(pp)</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74642A" w:rsidRPr="00DE4D69" w:rsidRDefault="0074642A" w:rsidP="0074642A">
            <w:pPr>
              <w:jc w:val="center"/>
              <w:rPr>
                <w:rFonts w:ascii="Arial" w:hAnsi="Arial" w:cs="Arial"/>
                <w:b/>
                <w:sz w:val="20"/>
                <w:szCs w:val="20"/>
                <w:lang w:val="en-US"/>
              </w:rPr>
            </w:pPr>
            <w:r w:rsidRPr="00DE4D69">
              <w:rPr>
                <w:rFonts w:ascii="Arial" w:hAnsi="Arial" w:cs="Arial"/>
                <w:b/>
                <w:sz w:val="20"/>
                <w:szCs w:val="20"/>
                <w:lang w:val="en-US"/>
              </w:rPr>
              <w:t>Government Spending</w:t>
            </w:r>
            <w:r w:rsidRPr="00DE4D69">
              <w:rPr>
                <w:rFonts w:ascii="Arial" w:hAnsi="Arial" w:cs="Arial"/>
                <w:b/>
                <w:sz w:val="20"/>
                <w:szCs w:val="20"/>
                <w:lang w:val="en-US"/>
              </w:rPr>
              <w:br/>
              <w:t>(pp)</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74642A" w:rsidRPr="00DE4D69" w:rsidRDefault="0074642A" w:rsidP="0074642A">
            <w:pPr>
              <w:jc w:val="center"/>
              <w:rPr>
                <w:rFonts w:ascii="Arial" w:hAnsi="Arial" w:cs="Arial"/>
                <w:b/>
                <w:sz w:val="20"/>
                <w:szCs w:val="20"/>
                <w:lang w:val="en-US"/>
              </w:rPr>
            </w:pPr>
            <w:r w:rsidRPr="00DE4D69">
              <w:rPr>
                <w:rFonts w:ascii="Arial" w:hAnsi="Arial" w:cs="Arial"/>
                <w:b/>
                <w:sz w:val="20"/>
                <w:szCs w:val="20"/>
                <w:lang w:val="en-US"/>
              </w:rPr>
              <w:t>Inventory Investment</w:t>
            </w:r>
            <w:r w:rsidRPr="00DE4D69">
              <w:rPr>
                <w:rFonts w:ascii="Arial" w:hAnsi="Arial" w:cs="Arial"/>
                <w:b/>
                <w:sz w:val="20"/>
                <w:szCs w:val="20"/>
                <w:lang w:val="en-US"/>
              </w:rPr>
              <w:br/>
              <w:t>(pp)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4642A" w:rsidRPr="00DE4D69" w:rsidRDefault="0074642A" w:rsidP="0074642A">
            <w:pPr>
              <w:jc w:val="center"/>
              <w:rPr>
                <w:rFonts w:ascii="Arial" w:hAnsi="Arial" w:cs="Arial"/>
                <w:b/>
                <w:sz w:val="20"/>
                <w:szCs w:val="20"/>
                <w:lang w:val="en-US"/>
              </w:rPr>
            </w:pPr>
            <w:r w:rsidRPr="00DE4D69">
              <w:rPr>
                <w:rFonts w:ascii="Arial" w:hAnsi="Arial" w:cs="Arial"/>
                <w:b/>
                <w:sz w:val="20"/>
                <w:szCs w:val="20"/>
                <w:lang w:val="en-US"/>
              </w:rPr>
              <w:t>Net Exports</w:t>
            </w:r>
            <w:r w:rsidRPr="00DE4D69">
              <w:rPr>
                <w:rFonts w:ascii="Arial" w:hAnsi="Arial" w:cs="Arial"/>
                <w:b/>
                <w:sz w:val="20"/>
                <w:szCs w:val="20"/>
                <w:lang w:val="en-US"/>
              </w:rPr>
              <w:br/>
              <w:t>(pp)</w:t>
            </w:r>
          </w:p>
        </w:tc>
        <w:tc>
          <w:tcPr>
            <w:tcW w:w="1107" w:type="dxa"/>
            <w:tcBorders>
              <w:top w:val="single" w:sz="4" w:space="0" w:color="auto"/>
              <w:left w:val="nil"/>
              <w:bottom w:val="single" w:sz="4" w:space="0" w:color="auto"/>
              <w:right w:val="single" w:sz="4" w:space="0" w:color="auto"/>
            </w:tcBorders>
            <w:shd w:val="clear" w:color="auto" w:fill="auto"/>
            <w:vAlign w:val="center"/>
            <w:hideMark/>
          </w:tcPr>
          <w:p w:rsidR="0074642A" w:rsidRPr="00DE4D69" w:rsidRDefault="0074642A" w:rsidP="0074642A">
            <w:pPr>
              <w:jc w:val="center"/>
              <w:rPr>
                <w:rFonts w:ascii="Arial" w:hAnsi="Arial" w:cs="Arial"/>
                <w:b/>
                <w:sz w:val="20"/>
                <w:szCs w:val="20"/>
                <w:lang w:val="en-US"/>
              </w:rPr>
            </w:pPr>
            <w:r w:rsidRPr="00DE4D69">
              <w:rPr>
                <w:rFonts w:ascii="Arial" w:hAnsi="Arial" w:cs="Arial"/>
                <w:b/>
                <w:sz w:val="20"/>
                <w:szCs w:val="20"/>
                <w:lang w:val="en-US"/>
              </w:rPr>
              <w:t>Exports</w:t>
            </w:r>
            <w:r w:rsidRPr="00DE4D69">
              <w:rPr>
                <w:rFonts w:ascii="Arial" w:hAnsi="Arial" w:cs="Arial"/>
                <w:b/>
                <w:sz w:val="20"/>
                <w:szCs w:val="20"/>
                <w:lang w:val="en-US"/>
              </w:rPr>
              <w:br/>
              <w:t>(pp)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4642A" w:rsidRPr="00DE4D69" w:rsidRDefault="0074642A" w:rsidP="0074642A">
            <w:pPr>
              <w:jc w:val="center"/>
              <w:rPr>
                <w:rFonts w:ascii="Arial" w:hAnsi="Arial" w:cs="Arial"/>
                <w:b/>
                <w:sz w:val="20"/>
                <w:szCs w:val="20"/>
                <w:lang w:val="en-US"/>
              </w:rPr>
            </w:pPr>
            <w:r w:rsidRPr="00DE4D69">
              <w:rPr>
                <w:rFonts w:ascii="Arial" w:hAnsi="Arial" w:cs="Arial"/>
                <w:b/>
                <w:sz w:val="20"/>
                <w:szCs w:val="20"/>
                <w:lang w:val="en-US"/>
              </w:rPr>
              <w:t>Imports</w:t>
            </w:r>
            <w:r w:rsidRPr="00DE4D69">
              <w:rPr>
                <w:rFonts w:ascii="Arial" w:hAnsi="Arial" w:cs="Arial"/>
                <w:b/>
                <w:sz w:val="20"/>
                <w:szCs w:val="20"/>
                <w:lang w:val="en-US"/>
              </w:rPr>
              <w:br/>
              <w:t>(pp)</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74642A" w:rsidRPr="00DE4D69" w:rsidRDefault="0074642A" w:rsidP="0074642A">
            <w:pPr>
              <w:jc w:val="center"/>
              <w:rPr>
                <w:rFonts w:ascii="Arial" w:hAnsi="Arial" w:cs="Arial"/>
                <w:b/>
                <w:sz w:val="20"/>
                <w:szCs w:val="20"/>
                <w:lang w:val="en-US"/>
              </w:rPr>
            </w:pPr>
            <w:proofErr w:type="gramStart"/>
            <w:r w:rsidRPr="00DE4D69">
              <w:rPr>
                <w:rFonts w:ascii="Arial" w:hAnsi="Arial" w:cs="Arial"/>
                <w:b/>
                <w:sz w:val="20"/>
                <w:szCs w:val="20"/>
                <w:lang w:val="en-US"/>
              </w:rPr>
              <w:t>Sum</w:t>
            </w:r>
            <w:proofErr w:type="gramEnd"/>
            <w:r w:rsidRPr="00DE4D69">
              <w:rPr>
                <w:rFonts w:ascii="Arial" w:hAnsi="Arial" w:cs="Arial"/>
                <w:b/>
                <w:sz w:val="20"/>
                <w:szCs w:val="20"/>
                <w:lang w:val="en-US"/>
              </w:rPr>
              <w:br/>
              <w:t>(%)</w:t>
            </w:r>
          </w:p>
        </w:tc>
      </w:tr>
      <w:tr w:rsidR="009A659A" w:rsidRPr="00DE4D69" w:rsidTr="00DE4D69">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A659A" w:rsidRPr="00DE4D69" w:rsidRDefault="009A659A" w:rsidP="007C1284">
            <w:pPr>
              <w:rPr>
                <w:rFonts w:ascii="Arial" w:hAnsi="Arial" w:cs="Arial"/>
                <w:b/>
                <w:bCs/>
                <w:sz w:val="20"/>
                <w:szCs w:val="20"/>
                <w:lang w:val="en-US"/>
              </w:rPr>
            </w:pPr>
            <w:r w:rsidRPr="00DE4D69">
              <w:rPr>
                <w:rFonts w:ascii="Arial" w:hAnsi="Arial" w:cs="Arial"/>
                <w:b/>
                <w:bCs/>
                <w:sz w:val="20"/>
                <w:szCs w:val="20"/>
                <w:lang w:val="en-US"/>
              </w:rPr>
              <w:t>2012(1)</w:t>
            </w:r>
          </w:p>
        </w:tc>
        <w:tc>
          <w:tcPr>
            <w:tcW w:w="1429"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-0.5</w:t>
            </w:r>
          </w:p>
        </w:tc>
        <w:tc>
          <w:tcPr>
            <w:tcW w:w="1196"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0.3</w:t>
            </w:r>
          </w:p>
        </w:tc>
        <w:tc>
          <w:tcPr>
            <w:tcW w:w="1319"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0.3</w:t>
            </w:r>
          </w:p>
        </w:tc>
        <w:tc>
          <w:tcPr>
            <w:tcW w:w="1196"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-0.3</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-0.1</w:t>
            </w:r>
          </w:p>
        </w:tc>
        <w:tc>
          <w:tcPr>
            <w:tcW w:w="1107"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1.4</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-1.5</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-0.3</w:t>
            </w:r>
          </w:p>
        </w:tc>
      </w:tr>
      <w:tr w:rsidR="009A659A" w:rsidRPr="00DE4D69" w:rsidTr="00DE4D69">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A659A" w:rsidRPr="00DE4D69" w:rsidRDefault="009A659A" w:rsidP="007C1284">
            <w:pPr>
              <w:rPr>
                <w:rFonts w:ascii="Arial" w:hAnsi="Arial" w:cs="Arial"/>
                <w:b/>
                <w:bCs/>
                <w:sz w:val="20"/>
                <w:szCs w:val="20"/>
                <w:lang w:val="en-US"/>
              </w:rPr>
            </w:pPr>
            <w:r w:rsidRPr="00DE4D69">
              <w:rPr>
                <w:rFonts w:ascii="Arial" w:hAnsi="Arial" w:cs="Arial"/>
                <w:b/>
                <w:bCs/>
                <w:sz w:val="20"/>
                <w:szCs w:val="20"/>
                <w:lang w:val="en-US"/>
              </w:rPr>
              <w:t>2012(2)</w:t>
            </w:r>
          </w:p>
        </w:tc>
        <w:tc>
          <w:tcPr>
            <w:tcW w:w="1429"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-0.7</w:t>
            </w:r>
          </w:p>
        </w:tc>
        <w:tc>
          <w:tcPr>
            <w:tcW w:w="1196"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-0.8</w:t>
            </w:r>
          </w:p>
        </w:tc>
        <w:tc>
          <w:tcPr>
            <w:tcW w:w="1319"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0.8</w:t>
            </w:r>
          </w:p>
        </w:tc>
        <w:tc>
          <w:tcPr>
            <w:tcW w:w="1196"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0.3</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1.6</w:t>
            </w:r>
          </w:p>
        </w:tc>
        <w:tc>
          <w:tcPr>
            <w:tcW w:w="1107"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2.1</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-0.5</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1.2</w:t>
            </w:r>
          </w:p>
        </w:tc>
      </w:tr>
      <w:tr w:rsidR="009A659A" w:rsidRPr="00DE4D69" w:rsidTr="00DE4D69">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A659A" w:rsidRPr="00DE4D69" w:rsidRDefault="009A659A" w:rsidP="007C1284">
            <w:pPr>
              <w:rPr>
                <w:rFonts w:ascii="Arial" w:hAnsi="Arial" w:cs="Arial"/>
                <w:b/>
                <w:bCs/>
                <w:sz w:val="20"/>
                <w:szCs w:val="20"/>
                <w:lang w:val="en-US"/>
              </w:rPr>
            </w:pPr>
            <w:r w:rsidRPr="00DE4D69">
              <w:rPr>
                <w:rFonts w:ascii="Arial" w:hAnsi="Arial" w:cs="Arial"/>
                <w:b/>
                <w:bCs/>
                <w:sz w:val="20"/>
                <w:szCs w:val="20"/>
                <w:lang w:val="en-US"/>
              </w:rPr>
              <w:t>2012(3)</w:t>
            </w:r>
          </w:p>
        </w:tc>
        <w:tc>
          <w:tcPr>
            <w:tcW w:w="1429"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1.1</w:t>
            </w:r>
          </w:p>
        </w:tc>
        <w:tc>
          <w:tcPr>
            <w:tcW w:w="1196"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-0.7</w:t>
            </w:r>
          </w:p>
        </w:tc>
        <w:tc>
          <w:tcPr>
            <w:tcW w:w="1319"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0.6</w:t>
            </w:r>
          </w:p>
        </w:tc>
        <w:tc>
          <w:tcPr>
            <w:tcW w:w="1196"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0.0</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-0.7</w:t>
            </w:r>
          </w:p>
        </w:tc>
        <w:tc>
          <w:tcPr>
            <w:tcW w:w="1107"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-0.2</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-0.5</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0.2</w:t>
            </w:r>
          </w:p>
        </w:tc>
      </w:tr>
      <w:tr w:rsidR="009A659A" w:rsidRPr="00DE4D69" w:rsidTr="00DE4D69">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A659A" w:rsidRPr="00DE4D69" w:rsidRDefault="009A659A" w:rsidP="007C1284">
            <w:pPr>
              <w:rPr>
                <w:rFonts w:ascii="Arial" w:hAnsi="Arial" w:cs="Arial"/>
                <w:b/>
                <w:bCs/>
                <w:sz w:val="20"/>
                <w:szCs w:val="20"/>
                <w:lang w:val="en-US"/>
              </w:rPr>
            </w:pPr>
            <w:r w:rsidRPr="00DE4D69">
              <w:rPr>
                <w:rFonts w:ascii="Arial" w:hAnsi="Arial" w:cs="Arial"/>
                <w:b/>
                <w:bCs/>
                <w:sz w:val="20"/>
                <w:szCs w:val="20"/>
                <w:lang w:val="en-US"/>
              </w:rPr>
              <w:t>2012(4)</w:t>
            </w:r>
          </w:p>
        </w:tc>
        <w:tc>
          <w:tcPr>
            <w:tcW w:w="1429"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-0.1</w:t>
            </w:r>
          </w:p>
        </w:tc>
        <w:tc>
          <w:tcPr>
            <w:tcW w:w="1196"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-0.3</w:t>
            </w:r>
          </w:p>
        </w:tc>
        <w:tc>
          <w:tcPr>
            <w:tcW w:w="1319"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-0.1</w:t>
            </w:r>
          </w:p>
        </w:tc>
        <w:tc>
          <w:tcPr>
            <w:tcW w:w="1196"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-0.3</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1.2</w:t>
            </w:r>
          </w:p>
        </w:tc>
        <w:tc>
          <w:tcPr>
            <w:tcW w:w="1107"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0.2</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0.9</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0.4</w:t>
            </w:r>
          </w:p>
        </w:tc>
      </w:tr>
      <w:tr w:rsidR="009A659A" w:rsidRPr="00DE4D69" w:rsidTr="00DE4D69">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A659A" w:rsidRPr="00DE4D69" w:rsidRDefault="009A659A" w:rsidP="007C1284">
            <w:pPr>
              <w:rPr>
                <w:rFonts w:ascii="Arial" w:hAnsi="Arial" w:cs="Arial"/>
                <w:b/>
                <w:bCs/>
                <w:sz w:val="20"/>
                <w:szCs w:val="20"/>
                <w:lang w:val="en-US"/>
              </w:rPr>
            </w:pPr>
            <w:r w:rsidRPr="00DE4D69">
              <w:rPr>
                <w:rFonts w:ascii="Arial" w:hAnsi="Arial" w:cs="Arial"/>
                <w:b/>
                <w:bCs/>
                <w:sz w:val="20"/>
                <w:szCs w:val="20"/>
                <w:lang w:val="en-US"/>
              </w:rPr>
              <w:t>2013(1)</w:t>
            </w:r>
          </w:p>
        </w:tc>
        <w:tc>
          <w:tcPr>
            <w:tcW w:w="1429"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1.6</w:t>
            </w:r>
          </w:p>
        </w:tc>
        <w:tc>
          <w:tcPr>
            <w:tcW w:w="1196"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0.6</w:t>
            </w:r>
          </w:p>
        </w:tc>
        <w:tc>
          <w:tcPr>
            <w:tcW w:w="1319"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1.1</w:t>
            </w:r>
          </w:p>
        </w:tc>
        <w:tc>
          <w:tcPr>
            <w:tcW w:w="1196"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1.4</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-3.2</w:t>
            </w:r>
          </w:p>
        </w:tc>
        <w:tc>
          <w:tcPr>
            <w:tcW w:w="1107"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-1.9</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1.5</w:t>
            </w:r>
          </w:p>
        </w:tc>
      </w:tr>
      <w:tr w:rsidR="009A659A" w:rsidRPr="00DE4D69" w:rsidTr="00DE4D69">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A659A" w:rsidRPr="00DE4D69" w:rsidRDefault="009A659A" w:rsidP="007C1284">
            <w:pPr>
              <w:rPr>
                <w:rFonts w:ascii="Arial" w:hAnsi="Arial" w:cs="Arial"/>
                <w:b/>
                <w:bCs/>
                <w:sz w:val="20"/>
                <w:szCs w:val="20"/>
                <w:lang w:val="en-US"/>
              </w:rPr>
            </w:pPr>
            <w:r w:rsidRPr="00DE4D69">
              <w:rPr>
                <w:rFonts w:ascii="Arial" w:hAnsi="Arial" w:cs="Arial"/>
                <w:b/>
                <w:bCs/>
                <w:sz w:val="20"/>
                <w:szCs w:val="20"/>
                <w:lang w:val="en-US"/>
              </w:rPr>
              <w:t>2013(2)</w:t>
            </w:r>
          </w:p>
        </w:tc>
        <w:tc>
          <w:tcPr>
            <w:tcW w:w="1429"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1.4</w:t>
            </w:r>
          </w:p>
        </w:tc>
        <w:tc>
          <w:tcPr>
            <w:tcW w:w="1196"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0.3</w:t>
            </w:r>
          </w:p>
        </w:tc>
        <w:tc>
          <w:tcPr>
            <w:tcW w:w="1319"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0.2</w:t>
            </w:r>
          </w:p>
        </w:tc>
        <w:tc>
          <w:tcPr>
            <w:tcW w:w="1196"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1.6</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-1.1</w:t>
            </w:r>
          </w:p>
        </w:tc>
        <w:tc>
          <w:tcPr>
            <w:tcW w:w="1107"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0.9</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-2.</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2.3</w:t>
            </w:r>
          </w:p>
        </w:tc>
      </w:tr>
      <w:tr w:rsidR="009A659A" w:rsidRPr="00DE4D69" w:rsidTr="00DE4D69">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A659A" w:rsidRPr="00DE4D69" w:rsidRDefault="009A659A" w:rsidP="007C1284">
            <w:pPr>
              <w:rPr>
                <w:rFonts w:ascii="Arial" w:hAnsi="Arial" w:cs="Arial"/>
                <w:b/>
                <w:bCs/>
                <w:sz w:val="20"/>
                <w:szCs w:val="20"/>
                <w:lang w:val="en-US"/>
              </w:rPr>
            </w:pPr>
            <w:r w:rsidRPr="00DE4D69">
              <w:rPr>
                <w:rFonts w:ascii="Arial" w:hAnsi="Arial" w:cs="Arial"/>
                <w:b/>
                <w:bCs/>
                <w:sz w:val="20"/>
                <w:szCs w:val="20"/>
                <w:lang w:val="en-US"/>
              </w:rPr>
              <w:t>2013(3)</w:t>
            </w:r>
          </w:p>
        </w:tc>
        <w:tc>
          <w:tcPr>
            <w:tcW w:w="1429"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1.0</w:t>
            </w:r>
          </w:p>
        </w:tc>
        <w:tc>
          <w:tcPr>
            <w:tcW w:w="1196"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-0.1</w:t>
            </w:r>
          </w:p>
        </w:tc>
        <w:tc>
          <w:tcPr>
            <w:tcW w:w="1319"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-0.3</w:t>
            </w:r>
          </w:p>
        </w:tc>
        <w:tc>
          <w:tcPr>
            <w:tcW w:w="1196"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-1.2</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0.8</w:t>
            </w:r>
          </w:p>
        </w:tc>
        <w:tc>
          <w:tcPr>
            <w:tcW w:w="1107"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-0.7</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1.5</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0.2</w:t>
            </w:r>
          </w:p>
        </w:tc>
      </w:tr>
      <w:tr w:rsidR="009A659A" w:rsidRPr="00DE4D69" w:rsidTr="00DE4D69">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A659A" w:rsidRPr="00DE4D69" w:rsidRDefault="009A659A" w:rsidP="007C1284">
            <w:pPr>
              <w:rPr>
                <w:rFonts w:ascii="Arial" w:hAnsi="Arial" w:cs="Arial"/>
                <w:b/>
                <w:bCs/>
                <w:sz w:val="20"/>
                <w:szCs w:val="20"/>
                <w:lang w:val="en-US"/>
              </w:rPr>
            </w:pPr>
            <w:r w:rsidRPr="00DE4D69">
              <w:rPr>
                <w:rFonts w:ascii="Arial" w:hAnsi="Arial" w:cs="Arial"/>
                <w:b/>
                <w:bCs/>
                <w:sz w:val="20"/>
                <w:szCs w:val="20"/>
                <w:lang w:val="en-US"/>
              </w:rPr>
              <w:t>2013(4)</w:t>
            </w:r>
          </w:p>
        </w:tc>
        <w:tc>
          <w:tcPr>
            <w:tcW w:w="1429"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0.0</w:t>
            </w:r>
          </w:p>
        </w:tc>
        <w:tc>
          <w:tcPr>
            <w:tcW w:w="1196"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0.2</w:t>
            </w:r>
          </w:p>
        </w:tc>
        <w:tc>
          <w:tcPr>
            <w:tcW w:w="1319"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0.6</w:t>
            </w:r>
          </w:p>
        </w:tc>
        <w:tc>
          <w:tcPr>
            <w:tcW w:w="1196"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-1.1</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0.7</w:t>
            </w:r>
          </w:p>
        </w:tc>
        <w:tc>
          <w:tcPr>
            <w:tcW w:w="1107"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1.2</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-0.5</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0.5</w:t>
            </w:r>
          </w:p>
        </w:tc>
      </w:tr>
      <w:tr w:rsidR="009A659A" w:rsidRPr="00DE4D69" w:rsidTr="00DE4D69">
        <w:trPr>
          <w:trHeight w:val="255"/>
        </w:trPr>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9A659A" w:rsidRPr="00DE4D69" w:rsidRDefault="009A659A" w:rsidP="007C1284">
            <w:pPr>
              <w:rPr>
                <w:rFonts w:ascii="Arial" w:hAnsi="Arial" w:cs="Arial"/>
                <w:b/>
                <w:bCs/>
                <w:sz w:val="20"/>
                <w:szCs w:val="20"/>
                <w:lang w:val="en-US"/>
              </w:rPr>
            </w:pPr>
            <w:r w:rsidRPr="00DE4D69">
              <w:rPr>
                <w:rFonts w:ascii="Arial" w:hAnsi="Arial" w:cs="Arial"/>
                <w:b/>
                <w:bCs/>
                <w:sz w:val="20"/>
                <w:szCs w:val="20"/>
                <w:lang w:val="en-US"/>
              </w:rPr>
              <w:t>2014(1)</w:t>
            </w:r>
          </w:p>
        </w:tc>
        <w:tc>
          <w:tcPr>
            <w:tcW w:w="1429"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-0.9</w:t>
            </w:r>
          </w:p>
        </w:tc>
        <w:tc>
          <w:tcPr>
            <w:tcW w:w="1196"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-0.2</w:t>
            </w:r>
          </w:p>
        </w:tc>
        <w:tc>
          <w:tcPr>
            <w:tcW w:w="1319"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0.0</w:t>
            </w:r>
          </w:p>
        </w:tc>
        <w:tc>
          <w:tcPr>
            <w:tcW w:w="1196"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0.5</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2.3</w:t>
            </w:r>
          </w:p>
        </w:tc>
        <w:tc>
          <w:tcPr>
            <w:tcW w:w="1107"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1.4</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0.8</w:t>
            </w:r>
          </w:p>
        </w:tc>
        <w:tc>
          <w:tcPr>
            <w:tcW w:w="960" w:type="dxa"/>
            <w:tcBorders>
              <w:top w:val="nil"/>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1.6</w:t>
            </w:r>
          </w:p>
        </w:tc>
      </w:tr>
      <w:tr w:rsidR="009A659A" w:rsidRPr="00DE4D69" w:rsidTr="00DE4D69">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59A" w:rsidRPr="00DE4D69" w:rsidRDefault="009A659A" w:rsidP="007C1284">
            <w:pPr>
              <w:rPr>
                <w:rFonts w:ascii="Arial" w:hAnsi="Arial" w:cs="Arial"/>
                <w:b/>
                <w:bCs/>
                <w:sz w:val="20"/>
                <w:szCs w:val="20"/>
                <w:lang w:val="en-US"/>
              </w:rPr>
            </w:pPr>
            <w:r w:rsidRPr="00DE4D69">
              <w:rPr>
                <w:rFonts w:ascii="Arial" w:hAnsi="Arial" w:cs="Arial"/>
                <w:b/>
                <w:bCs/>
                <w:sz w:val="20"/>
                <w:szCs w:val="20"/>
                <w:lang w:val="en-US"/>
              </w:rPr>
              <w:t>2014(2)</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0.3</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-0.3</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-0.7</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-0.4</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0.0</w:t>
            </w:r>
          </w:p>
        </w:tc>
      </w:tr>
      <w:tr w:rsidR="009A659A" w:rsidRPr="00DE4D69" w:rsidTr="00DE4D69">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659A" w:rsidRPr="00DE4D69" w:rsidRDefault="009A659A" w:rsidP="007C1284">
            <w:pPr>
              <w:rPr>
                <w:rFonts w:ascii="Arial" w:hAnsi="Arial" w:cs="Arial"/>
                <w:b/>
                <w:bCs/>
                <w:sz w:val="20"/>
                <w:szCs w:val="20"/>
                <w:lang w:val="en-US"/>
              </w:rPr>
            </w:pPr>
            <w:r w:rsidRPr="00DE4D69">
              <w:rPr>
                <w:rFonts w:ascii="Arial" w:hAnsi="Arial" w:cs="Arial"/>
                <w:b/>
                <w:bCs/>
                <w:sz w:val="20"/>
                <w:szCs w:val="20"/>
                <w:lang w:val="en-US"/>
              </w:rPr>
              <w:t>2014(3)</w:t>
            </w:r>
          </w:p>
        </w:tc>
        <w:tc>
          <w:tcPr>
            <w:tcW w:w="1429" w:type="dxa"/>
            <w:tcBorders>
              <w:top w:val="single" w:sz="4" w:space="0" w:color="auto"/>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1.1</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0.6</w:t>
            </w:r>
          </w:p>
        </w:tc>
        <w:tc>
          <w:tcPr>
            <w:tcW w:w="1319" w:type="dxa"/>
            <w:tcBorders>
              <w:top w:val="single" w:sz="4" w:space="0" w:color="auto"/>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0.3</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-1.9</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0.2</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0.3</w:t>
            </w:r>
          </w:p>
        </w:tc>
      </w:tr>
      <w:tr w:rsidR="009A659A" w:rsidRPr="00DE4D69" w:rsidTr="00DE4D69">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59A" w:rsidRPr="00DE4D69" w:rsidRDefault="009A659A" w:rsidP="007C1284">
            <w:pPr>
              <w:rPr>
                <w:rFonts w:ascii="Arial" w:hAnsi="Arial" w:cs="Arial"/>
                <w:b/>
                <w:bCs/>
                <w:sz w:val="20"/>
                <w:szCs w:val="20"/>
                <w:lang w:val="en-US"/>
              </w:rPr>
            </w:pPr>
            <w:r w:rsidRPr="00DE4D69">
              <w:rPr>
                <w:rFonts w:ascii="Arial" w:hAnsi="Arial" w:cs="Arial"/>
                <w:b/>
                <w:bCs/>
                <w:sz w:val="20"/>
                <w:szCs w:val="20"/>
                <w:lang w:val="en-US"/>
              </w:rPr>
              <w:t>2014(4)</w:t>
            </w:r>
          </w:p>
        </w:tc>
        <w:tc>
          <w:tcPr>
            <w:tcW w:w="1429"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1.2</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-0.2</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0.2</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2.5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-2.6</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-2.3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1.2</w:t>
            </w:r>
          </w:p>
        </w:tc>
      </w:tr>
      <w:tr w:rsidR="009A659A" w:rsidRPr="00DE4D69" w:rsidTr="00DE4D69">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59A" w:rsidRPr="00DE4D69" w:rsidRDefault="009A659A" w:rsidP="007C1284">
            <w:pPr>
              <w:rPr>
                <w:rFonts w:ascii="Arial" w:hAnsi="Arial" w:cs="Arial"/>
                <w:b/>
                <w:bCs/>
                <w:sz w:val="20"/>
                <w:szCs w:val="20"/>
                <w:lang w:val="en-US"/>
              </w:rPr>
            </w:pPr>
            <w:r w:rsidRPr="00DE4D69">
              <w:rPr>
                <w:rFonts w:ascii="Arial" w:hAnsi="Arial" w:cs="Arial"/>
                <w:b/>
                <w:bCs/>
                <w:sz w:val="20"/>
                <w:szCs w:val="20"/>
                <w:lang w:val="en-US"/>
              </w:rPr>
              <w:t>2015(1)</w:t>
            </w:r>
          </w:p>
        </w:tc>
        <w:tc>
          <w:tcPr>
            <w:tcW w:w="1429"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0.3</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0.1</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0.3</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1.4</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1.1</w:t>
            </w:r>
          </w:p>
        </w:tc>
      </w:tr>
      <w:tr w:rsidR="009A659A" w:rsidRPr="00DE4D69" w:rsidTr="00DE4D69">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59A" w:rsidRPr="00DE4D69" w:rsidRDefault="009A659A" w:rsidP="007C1284">
            <w:pPr>
              <w:rPr>
                <w:rFonts w:ascii="Arial" w:hAnsi="Arial" w:cs="Arial"/>
                <w:b/>
                <w:bCs/>
                <w:sz w:val="20"/>
                <w:szCs w:val="20"/>
                <w:lang w:val="en-US"/>
              </w:rPr>
            </w:pPr>
            <w:r w:rsidRPr="00DE4D69">
              <w:rPr>
                <w:rFonts w:ascii="Arial" w:hAnsi="Arial" w:cs="Arial"/>
                <w:b/>
                <w:bCs/>
                <w:sz w:val="20"/>
                <w:szCs w:val="20"/>
                <w:lang w:val="en-US"/>
              </w:rPr>
              <w:t>2015(2)</w:t>
            </w:r>
          </w:p>
        </w:tc>
        <w:tc>
          <w:tcPr>
            <w:tcW w:w="1429"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0.7</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1.5</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0.3</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0.0</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1.4</w:t>
            </w:r>
          </w:p>
        </w:tc>
      </w:tr>
      <w:tr w:rsidR="009A659A" w:rsidRPr="00DE4D69" w:rsidTr="00DE4D69">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59A" w:rsidRPr="00DE4D69" w:rsidRDefault="009A659A" w:rsidP="007C1284">
            <w:pPr>
              <w:rPr>
                <w:rFonts w:ascii="Arial" w:hAnsi="Arial" w:cs="Arial"/>
                <w:b/>
                <w:bCs/>
                <w:sz w:val="20"/>
                <w:szCs w:val="20"/>
                <w:lang w:val="en-US"/>
              </w:rPr>
            </w:pPr>
            <w:r w:rsidRPr="00DE4D69">
              <w:rPr>
                <w:rFonts w:ascii="Arial" w:hAnsi="Arial" w:cs="Arial"/>
                <w:b/>
                <w:bCs/>
                <w:sz w:val="20"/>
                <w:szCs w:val="20"/>
                <w:lang w:val="en-US"/>
              </w:rPr>
              <w:t>2015(3)</w:t>
            </w:r>
          </w:p>
        </w:tc>
        <w:tc>
          <w:tcPr>
            <w:tcW w:w="1429"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1.4</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-1.5</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0.5</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1.6</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1.0</w:t>
            </w:r>
          </w:p>
        </w:tc>
      </w:tr>
      <w:tr w:rsidR="009A659A" w:rsidRPr="00DE4D69" w:rsidTr="00DE4D69">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59A" w:rsidRPr="00DE4D69" w:rsidRDefault="009A659A" w:rsidP="007C1284">
            <w:pPr>
              <w:rPr>
                <w:rFonts w:ascii="Arial" w:hAnsi="Arial" w:cs="Arial"/>
                <w:b/>
                <w:bCs/>
                <w:sz w:val="20"/>
                <w:szCs w:val="20"/>
                <w:lang w:val="en-US"/>
              </w:rPr>
            </w:pPr>
            <w:r w:rsidRPr="00DE4D69">
              <w:rPr>
                <w:rFonts w:ascii="Arial" w:hAnsi="Arial" w:cs="Arial"/>
                <w:b/>
                <w:bCs/>
                <w:sz w:val="20"/>
                <w:szCs w:val="20"/>
                <w:lang w:val="en-US"/>
              </w:rPr>
              <w:t>2015(4)</w:t>
            </w:r>
          </w:p>
        </w:tc>
        <w:tc>
          <w:tcPr>
            <w:tcW w:w="1429"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0.6</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0.2</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0.4</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2.1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-2.2</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-0.4</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-1.8</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1.1</w:t>
            </w:r>
          </w:p>
        </w:tc>
      </w:tr>
      <w:tr w:rsidR="009A659A" w:rsidRPr="00DE4D69" w:rsidTr="00DE4D69">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59A" w:rsidRPr="00DE4D69" w:rsidRDefault="009A659A" w:rsidP="007C1284">
            <w:pPr>
              <w:rPr>
                <w:rFonts w:ascii="Arial" w:hAnsi="Arial" w:cs="Arial"/>
                <w:b/>
                <w:bCs/>
                <w:sz w:val="20"/>
                <w:szCs w:val="20"/>
                <w:lang w:val="en-US"/>
              </w:rPr>
            </w:pPr>
            <w:r w:rsidRPr="00DE4D69">
              <w:rPr>
                <w:rFonts w:ascii="Arial" w:hAnsi="Arial" w:cs="Arial"/>
                <w:b/>
                <w:bCs/>
                <w:sz w:val="20"/>
                <w:szCs w:val="20"/>
                <w:lang w:val="en-US"/>
              </w:rPr>
              <w:t>2016(1)</w:t>
            </w:r>
          </w:p>
        </w:tc>
        <w:tc>
          <w:tcPr>
            <w:tcW w:w="1429"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1.7</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-0.2</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0.4</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-0.9</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0.6</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-1.5</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0.7</w:t>
            </w:r>
          </w:p>
        </w:tc>
      </w:tr>
      <w:tr w:rsidR="009A659A" w:rsidRPr="00DE4D69" w:rsidTr="00DE4D69">
        <w:trPr>
          <w:trHeight w:val="255"/>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659A" w:rsidRPr="00DE4D69" w:rsidRDefault="009A659A" w:rsidP="007C1284">
            <w:pPr>
              <w:rPr>
                <w:rFonts w:ascii="Arial" w:hAnsi="Arial" w:cs="Arial"/>
                <w:b/>
                <w:bCs/>
                <w:sz w:val="20"/>
                <w:szCs w:val="20"/>
                <w:lang w:val="en-US"/>
              </w:rPr>
            </w:pPr>
            <w:r w:rsidRPr="00DE4D69">
              <w:rPr>
                <w:rFonts w:ascii="Arial" w:hAnsi="Arial" w:cs="Arial"/>
                <w:b/>
                <w:bCs/>
                <w:sz w:val="20"/>
                <w:szCs w:val="20"/>
                <w:lang w:val="en-US"/>
              </w:rPr>
              <w:t>2016(2)</w:t>
            </w:r>
          </w:p>
        </w:tc>
        <w:tc>
          <w:tcPr>
            <w:tcW w:w="1429"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-0.4</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1.1</w:t>
            </w:r>
          </w:p>
        </w:tc>
        <w:tc>
          <w:tcPr>
            <w:tcW w:w="1319"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0.6</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-0.9</w:t>
            </w:r>
          </w:p>
        </w:tc>
        <w:tc>
          <w:tcPr>
            <w:tcW w:w="1107"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9A659A" w:rsidRPr="00DE4D69" w:rsidRDefault="00686F1C" w:rsidP="007C1284">
            <w:pPr>
              <w:jc w:val="right"/>
              <w:rPr>
                <w:rFonts w:ascii="Arial" w:hAnsi="Arial" w:cs="Arial"/>
                <w:sz w:val="20"/>
                <w:szCs w:val="20"/>
                <w:lang w:val="en-US"/>
              </w:rPr>
            </w:pPr>
            <w:r w:rsidRPr="00DE4D69">
              <w:rPr>
                <w:rFonts w:ascii="Arial" w:hAnsi="Arial" w:cs="Arial"/>
                <w:sz w:val="20"/>
                <w:szCs w:val="20"/>
                <w:lang w:val="en-US"/>
              </w:rPr>
              <w:t>0.3</w:t>
            </w:r>
          </w:p>
        </w:tc>
      </w:tr>
      <w:tr w:rsidR="00811DF9" w:rsidRPr="00DE4D69" w:rsidTr="00DE4D69">
        <w:trPr>
          <w:trHeight w:val="255"/>
        </w:trPr>
        <w:tc>
          <w:tcPr>
            <w:tcW w:w="1417" w:type="dxa"/>
            <w:tcBorders>
              <w:top w:val="single" w:sz="4" w:space="0" w:color="auto"/>
            </w:tcBorders>
            <w:shd w:val="clear" w:color="auto" w:fill="auto"/>
            <w:noWrap/>
            <w:vAlign w:val="bottom"/>
            <w:hideMark/>
          </w:tcPr>
          <w:p w:rsidR="0074642A" w:rsidRPr="00DE4D69" w:rsidRDefault="0074642A" w:rsidP="007C1284">
            <w:pPr>
              <w:pStyle w:val="NormalWeb"/>
              <w:spacing w:before="0" w:beforeAutospacing="0" w:after="0" w:afterAutospacing="0"/>
              <w:jc w:val="both"/>
              <w:rPr>
                <w:rFonts w:ascii="Arial" w:hAnsi="Arial" w:cs="Arial"/>
                <w:sz w:val="16"/>
                <w:szCs w:val="16"/>
                <w:lang w:val="en-US"/>
              </w:rPr>
            </w:pPr>
          </w:p>
          <w:p w:rsidR="00811DF9" w:rsidRPr="00DE4D69" w:rsidRDefault="00E54A91" w:rsidP="007C1284">
            <w:pPr>
              <w:pStyle w:val="NormalWeb"/>
              <w:spacing w:before="0" w:beforeAutospacing="0" w:after="0" w:afterAutospacing="0"/>
              <w:jc w:val="both"/>
              <w:rPr>
                <w:rFonts w:ascii="Arial" w:hAnsi="Arial" w:cs="Arial"/>
                <w:sz w:val="20"/>
                <w:szCs w:val="20"/>
                <w:lang w:val="en-US"/>
              </w:rPr>
            </w:pPr>
            <w:r w:rsidRPr="00DE4D69">
              <w:rPr>
                <w:rFonts w:ascii="Arial" w:hAnsi="Arial" w:cs="Arial"/>
                <w:sz w:val="16"/>
                <w:szCs w:val="16"/>
                <w:lang w:val="en-US"/>
              </w:rPr>
              <w:t xml:space="preserve">Source: </w:t>
            </w:r>
            <w:proofErr w:type="spellStart"/>
            <w:r w:rsidRPr="00DE4D69">
              <w:rPr>
                <w:rFonts w:ascii="Arial" w:hAnsi="Arial" w:cs="Arial"/>
                <w:sz w:val="16"/>
                <w:szCs w:val="16"/>
                <w:lang w:val="en-US"/>
              </w:rPr>
              <w:t>Turkstat</w:t>
            </w:r>
            <w:proofErr w:type="spellEnd"/>
          </w:p>
          <w:p w:rsidR="00811DF9" w:rsidRPr="00DE4D69" w:rsidRDefault="00811DF9" w:rsidP="007C1284">
            <w:pPr>
              <w:rPr>
                <w:rFonts w:ascii="Arial" w:hAnsi="Arial" w:cs="Arial"/>
                <w:b/>
                <w:bCs/>
                <w:sz w:val="20"/>
                <w:szCs w:val="20"/>
                <w:lang w:val="en-US"/>
              </w:rPr>
            </w:pPr>
          </w:p>
        </w:tc>
        <w:tc>
          <w:tcPr>
            <w:tcW w:w="1429" w:type="dxa"/>
            <w:tcBorders>
              <w:top w:val="single" w:sz="4" w:space="0" w:color="auto"/>
            </w:tcBorders>
            <w:shd w:val="clear" w:color="auto" w:fill="auto"/>
            <w:noWrap/>
            <w:vAlign w:val="bottom"/>
            <w:hideMark/>
          </w:tcPr>
          <w:p w:rsidR="00811DF9" w:rsidRPr="00DE4D69" w:rsidRDefault="00811DF9" w:rsidP="007C1284">
            <w:pPr>
              <w:jc w:val="right"/>
              <w:rPr>
                <w:rFonts w:ascii="Arial" w:hAnsi="Arial" w:cs="Arial"/>
                <w:sz w:val="20"/>
                <w:szCs w:val="20"/>
                <w:lang w:val="en-US"/>
              </w:rPr>
            </w:pPr>
          </w:p>
        </w:tc>
        <w:tc>
          <w:tcPr>
            <w:tcW w:w="1196" w:type="dxa"/>
            <w:tcBorders>
              <w:top w:val="single" w:sz="4" w:space="0" w:color="auto"/>
            </w:tcBorders>
            <w:shd w:val="clear" w:color="auto" w:fill="auto"/>
            <w:noWrap/>
            <w:vAlign w:val="bottom"/>
            <w:hideMark/>
          </w:tcPr>
          <w:p w:rsidR="00811DF9" w:rsidRPr="00DE4D69" w:rsidRDefault="00811DF9" w:rsidP="007C1284">
            <w:pPr>
              <w:jc w:val="right"/>
              <w:rPr>
                <w:rFonts w:ascii="Arial" w:hAnsi="Arial" w:cs="Arial"/>
                <w:sz w:val="20"/>
                <w:szCs w:val="20"/>
                <w:lang w:val="en-US"/>
              </w:rPr>
            </w:pPr>
          </w:p>
        </w:tc>
        <w:tc>
          <w:tcPr>
            <w:tcW w:w="1319" w:type="dxa"/>
            <w:tcBorders>
              <w:top w:val="single" w:sz="4" w:space="0" w:color="auto"/>
            </w:tcBorders>
            <w:shd w:val="clear" w:color="auto" w:fill="auto"/>
            <w:noWrap/>
            <w:vAlign w:val="bottom"/>
            <w:hideMark/>
          </w:tcPr>
          <w:p w:rsidR="00811DF9" w:rsidRPr="00DE4D69" w:rsidRDefault="00811DF9" w:rsidP="007C1284">
            <w:pPr>
              <w:jc w:val="right"/>
              <w:rPr>
                <w:rFonts w:ascii="Arial" w:hAnsi="Arial" w:cs="Arial"/>
                <w:sz w:val="20"/>
                <w:szCs w:val="20"/>
                <w:lang w:val="en-US"/>
              </w:rPr>
            </w:pPr>
          </w:p>
        </w:tc>
        <w:tc>
          <w:tcPr>
            <w:tcW w:w="1196" w:type="dxa"/>
            <w:tcBorders>
              <w:top w:val="single" w:sz="4" w:space="0" w:color="auto"/>
            </w:tcBorders>
            <w:shd w:val="clear" w:color="auto" w:fill="auto"/>
            <w:noWrap/>
            <w:vAlign w:val="bottom"/>
            <w:hideMark/>
          </w:tcPr>
          <w:p w:rsidR="00811DF9" w:rsidRPr="00DE4D69" w:rsidRDefault="00811DF9" w:rsidP="007C1284">
            <w:pPr>
              <w:jc w:val="right"/>
              <w:rPr>
                <w:rFonts w:ascii="Arial" w:hAnsi="Arial" w:cs="Arial"/>
                <w:sz w:val="20"/>
                <w:szCs w:val="20"/>
                <w:lang w:val="en-US"/>
              </w:rPr>
            </w:pPr>
          </w:p>
        </w:tc>
        <w:tc>
          <w:tcPr>
            <w:tcW w:w="960" w:type="dxa"/>
            <w:tcBorders>
              <w:top w:val="single" w:sz="4" w:space="0" w:color="auto"/>
            </w:tcBorders>
            <w:shd w:val="clear" w:color="auto" w:fill="auto"/>
            <w:noWrap/>
            <w:vAlign w:val="bottom"/>
            <w:hideMark/>
          </w:tcPr>
          <w:p w:rsidR="00811DF9" w:rsidRPr="00DE4D69" w:rsidRDefault="00811DF9" w:rsidP="007C1284">
            <w:pPr>
              <w:jc w:val="right"/>
              <w:rPr>
                <w:rFonts w:ascii="Arial" w:hAnsi="Arial" w:cs="Arial"/>
                <w:sz w:val="20"/>
                <w:szCs w:val="20"/>
                <w:lang w:val="en-US"/>
              </w:rPr>
            </w:pPr>
          </w:p>
        </w:tc>
        <w:tc>
          <w:tcPr>
            <w:tcW w:w="1107" w:type="dxa"/>
            <w:tcBorders>
              <w:top w:val="single" w:sz="4" w:space="0" w:color="auto"/>
            </w:tcBorders>
            <w:shd w:val="clear" w:color="auto" w:fill="auto"/>
            <w:noWrap/>
            <w:vAlign w:val="bottom"/>
            <w:hideMark/>
          </w:tcPr>
          <w:p w:rsidR="00811DF9" w:rsidRPr="00DE4D69" w:rsidRDefault="00811DF9" w:rsidP="007C1284">
            <w:pPr>
              <w:jc w:val="right"/>
              <w:rPr>
                <w:rFonts w:ascii="Arial" w:hAnsi="Arial" w:cs="Arial"/>
                <w:sz w:val="20"/>
                <w:szCs w:val="20"/>
                <w:lang w:val="en-US"/>
              </w:rPr>
            </w:pPr>
          </w:p>
        </w:tc>
        <w:tc>
          <w:tcPr>
            <w:tcW w:w="960" w:type="dxa"/>
            <w:tcBorders>
              <w:top w:val="single" w:sz="4" w:space="0" w:color="auto"/>
            </w:tcBorders>
            <w:shd w:val="clear" w:color="auto" w:fill="auto"/>
            <w:noWrap/>
            <w:vAlign w:val="bottom"/>
            <w:hideMark/>
          </w:tcPr>
          <w:p w:rsidR="00811DF9" w:rsidRPr="00DE4D69" w:rsidRDefault="00811DF9" w:rsidP="007C1284">
            <w:pPr>
              <w:jc w:val="right"/>
              <w:rPr>
                <w:rFonts w:ascii="Arial" w:hAnsi="Arial" w:cs="Arial"/>
                <w:sz w:val="20"/>
                <w:szCs w:val="20"/>
                <w:lang w:val="en-US"/>
              </w:rPr>
            </w:pPr>
          </w:p>
        </w:tc>
        <w:tc>
          <w:tcPr>
            <w:tcW w:w="960" w:type="dxa"/>
            <w:tcBorders>
              <w:top w:val="single" w:sz="4" w:space="0" w:color="auto"/>
            </w:tcBorders>
            <w:shd w:val="clear" w:color="auto" w:fill="auto"/>
            <w:noWrap/>
            <w:vAlign w:val="bottom"/>
            <w:hideMark/>
          </w:tcPr>
          <w:p w:rsidR="00811DF9" w:rsidRPr="00DE4D69" w:rsidRDefault="00811DF9" w:rsidP="007C1284">
            <w:pPr>
              <w:jc w:val="right"/>
              <w:rPr>
                <w:rFonts w:ascii="Arial" w:hAnsi="Arial" w:cs="Arial"/>
                <w:sz w:val="20"/>
                <w:szCs w:val="20"/>
                <w:lang w:val="en-US"/>
              </w:rPr>
            </w:pPr>
          </w:p>
        </w:tc>
      </w:tr>
    </w:tbl>
    <w:p w:rsidR="00B834FD" w:rsidRPr="00DE4D69" w:rsidRDefault="00B834FD" w:rsidP="00D561EE">
      <w:pPr>
        <w:pStyle w:val="NormalWeb"/>
        <w:spacing w:before="0" w:beforeAutospacing="0" w:after="0" w:afterAutospacing="0"/>
        <w:ind w:right="77"/>
        <w:jc w:val="both"/>
        <w:rPr>
          <w:b/>
          <w:bCs/>
          <w:sz w:val="22"/>
          <w:szCs w:val="22"/>
          <w:lang w:val="en-US"/>
        </w:rPr>
      </w:pPr>
    </w:p>
    <w:p w:rsidR="00D90384" w:rsidRPr="00DE4D69" w:rsidRDefault="00D90384" w:rsidP="00A7746C">
      <w:pPr>
        <w:pStyle w:val="NormalWeb"/>
        <w:spacing w:before="0" w:beforeAutospacing="0" w:after="0" w:afterAutospacing="0" w:line="360" w:lineRule="auto"/>
        <w:ind w:right="77"/>
        <w:rPr>
          <w:rFonts w:ascii="Arial" w:hAnsi="Arial" w:cs="Arial"/>
          <w:b/>
          <w:bCs/>
          <w:sz w:val="20"/>
          <w:szCs w:val="20"/>
          <w:lang w:val="en-US"/>
        </w:rPr>
        <w:sectPr w:rsidR="00D90384" w:rsidRPr="00DE4D69" w:rsidSect="00C335E9">
          <w:type w:val="continuous"/>
          <w:pgSz w:w="11906" w:h="16838"/>
          <w:pgMar w:top="1417" w:right="1106" w:bottom="1417" w:left="900" w:header="708" w:footer="708" w:gutter="0"/>
          <w:cols w:num="2" w:space="386"/>
          <w:docGrid w:linePitch="360"/>
        </w:sectPr>
      </w:pPr>
    </w:p>
    <w:p w:rsidR="00535631" w:rsidRPr="00DE4D69" w:rsidRDefault="00535631" w:rsidP="00535631">
      <w:pPr>
        <w:pStyle w:val="NormalWeb"/>
        <w:spacing w:before="0" w:beforeAutospacing="0" w:after="0" w:afterAutospacing="0" w:line="360" w:lineRule="auto"/>
        <w:ind w:right="77"/>
        <w:rPr>
          <w:rFonts w:ascii="Arial" w:hAnsi="Arial" w:cs="Arial"/>
          <w:b/>
          <w:bCs/>
          <w:sz w:val="20"/>
          <w:szCs w:val="20"/>
          <w:lang w:val="en-US"/>
        </w:rPr>
      </w:pPr>
    </w:p>
    <w:p w:rsidR="00C5707D" w:rsidRPr="00DE4D69" w:rsidRDefault="00C5707D" w:rsidP="00D90384">
      <w:pPr>
        <w:pStyle w:val="NormalWeb"/>
        <w:spacing w:before="0" w:beforeAutospacing="0" w:after="0" w:afterAutospacing="0" w:line="360" w:lineRule="auto"/>
        <w:ind w:right="77"/>
        <w:rPr>
          <w:rFonts w:ascii="Arial" w:hAnsi="Arial" w:cs="Arial"/>
          <w:b/>
          <w:bCs/>
          <w:sz w:val="20"/>
          <w:szCs w:val="20"/>
          <w:lang w:val="en-US"/>
        </w:rPr>
      </w:pPr>
    </w:p>
    <w:p w:rsidR="00C5707D" w:rsidRPr="00DE4D69" w:rsidRDefault="00C5707D" w:rsidP="00D90384">
      <w:pPr>
        <w:pStyle w:val="NormalWeb"/>
        <w:spacing w:before="0" w:beforeAutospacing="0" w:after="0" w:afterAutospacing="0" w:line="360" w:lineRule="auto"/>
        <w:ind w:right="77"/>
        <w:rPr>
          <w:rFonts w:ascii="Arial" w:hAnsi="Arial" w:cs="Arial"/>
          <w:b/>
          <w:bCs/>
          <w:sz w:val="20"/>
          <w:szCs w:val="20"/>
          <w:lang w:val="en-US"/>
        </w:rPr>
      </w:pPr>
    </w:p>
    <w:p w:rsidR="00C5707D" w:rsidRPr="00DE4D69" w:rsidRDefault="00C5707D" w:rsidP="00D90384">
      <w:pPr>
        <w:pStyle w:val="NormalWeb"/>
        <w:spacing w:before="0" w:beforeAutospacing="0" w:after="0" w:afterAutospacing="0" w:line="360" w:lineRule="auto"/>
        <w:ind w:right="77"/>
        <w:rPr>
          <w:rFonts w:ascii="Arial" w:hAnsi="Arial" w:cs="Arial"/>
          <w:b/>
          <w:bCs/>
          <w:sz w:val="20"/>
          <w:szCs w:val="20"/>
          <w:lang w:val="en-US"/>
        </w:rPr>
      </w:pPr>
    </w:p>
    <w:p w:rsidR="00C5707D" w:rsidRPr="00DE4D69" w:rsidRDefault="00C5707D" w:rsidP="00D90384">
      <w:pPr>
        <w:pStyle w:val="NormalWeb"/>
        <w:spacing w:before="0" w:beforeAutospacing="0" w:after="0" w:afterAutospacing="0" w:line="360" w:lineRule="auto"/>
        <w:ind w:right="77"/>
        <w:rPr>
          <w:rFonts w:ascii="Arial" w:hAnsi="Arial" w:cs="Arial"/>
          <w:b/>
          <w:bCs/>
          <w:sz w:val="20"/>
          <w:szCs w:val="20"/>
          <w:lang w:val="en-US"/>
        </w:rPr>
      </w:pPr>
    </w:p>
    <w:sectPr w:rsidR="00C5707D" w:rsidRPr="00DE4D69" w:rsidSect="00D90384">
      <w:type w:val="continuous"/>
      <w:pgSz w:w="11906" w:h="16838"/>
      <w:pgMar w:top="1417" w:right="1106" w:bottom="1417" w:left="900" w:header="708" w:footer="708" w:gutter="0"/>
      <w:cols w:num="2" w:space="3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22" w:rsidRDefault="00776722">
      <w:r>
        <w:separator/>
      </w:r>
    </w:p>
  </w:endnote>
  <w:endnote w:type="continuationSeparator" w:id="0">
    <w:p w:rsidR="00776722" w:rsidRDefault="0077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2FC" w:rsidRDefault="003822FC" w:rsidP="007344A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E19">
      <w:rPr>
        <w:rStyle w:val="PageNumber"/>
        <w:noProof/>
      </w:rPr>
      <w:t>1</w:t>
    </w:r>
    <w:r>
      <w:rPr>
        <w:rStyle w:val="PageNumber"/>
      </w:rPr>
      <w:fldChar w:fldCharType="end"/>
    </w:r>
  </w:p>
  <w:p w:rsidR="003822FC" w:rsidRPr="007750EF" w:rsidRDefault="003822FC" w:rsidP="00017426">
    <w:pPr>
      <w:pStyle w:val="Footer"/>
      <w:ind w:right="360"/>
      <w:jc w:val="center"/>
      <w:rPr>
        <w:rFonts w:ascii="Arial" w:hAnsi="Arial" w:cs="Arial"/>
        <w:b/>
        <w:bCs/>
        <w:i/>
        <w:iCs/>
        <w:sz w:val="20"/>
        <w:szCs w:val="20"/>
      </w:rPr>
    </w:pPr>
    <w:r w:rsidRPr="007750EF">
      <w:rPr>
        <w:rFonts w:ascii="Arial" w:hAnsi="Arial" w:cs="Arial"/>
        <w:b/>
        <w:bCs/>
        <w:i/>
        <w:iCs/>
        <w:sz w:val="20"/>
        <w:szCs w:val="20"/>
      </w:rPr>
      <w:t>www.betam.bahcesehir.edu.tr</w:t>
    </w:r>
  </w:p>
  <w:p w:rsidR="003822FC" w:rsidRDefault="003822FC" w:rsidP="00B7233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22" w:rsidRDefault="00776722">
      <w:r>
        <w:separator/>
      </w:r>
    </w:p>
  </w:footnote>
  <w:footnote w:type="continuationSeparator" w:id="0">
    <w:p w:rsidR="00776722" w:rsidRDefault="00776722">
      <w:r>
        <w:continuationSeparator/>
      </w:r>
    </w:p>
  </w:footnote>
  <w:footnote w:id="1">
    <w:p w:rsidR="003822FC" w:rsidRDefault="003822FC">
      <w:pPr>
        <w:pStyle w:val="FootnoteText"/>
      </w:pPr>
      <w:r>
        <w:rPr>
          <w:rStyle w:val="FootnoteReference"/>
        </w:rPr>
        <w:footnoteRef/>
      </w:r>
      <w:r>
        <w:t xml:space="preserve"> Percentage point</w:t>
      </w:r>
    </w:p>
  </w:footnote>
  <w:footnote w:id="2">
    <w:p w:rsidR="003822FC" w:rsidRDefault="003822FC">
      <w:pPr>
        <w:pStyle w:val="FootnoteText"/>
      </w:pPr>
      <w:r>
        <w:rPr>
          <w:rStyle w:val="FootnoteReference"/>
        </w:rPr>
        <w:footnoteRef/>
      </w:r>
      <w:r>
        <w:t xml:space="preserve"> Percentage point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F5F4EC5"/>
    <w:multiLevelType w:val="hybridMultilevel"/>
    <w:tmpl w:val="5A30769A"/>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nsid w:val="5CCE1052"/>
    <w:multiLevelType w:val="multilevel"/>
    <w:tmpl w:val="4C40BD4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7DF506F2"/>
    <w:multiLevelType w:val="hybridMultilevel"/>
    <w:tmpl w:val="4C40BD48"/>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BB"/>
    <w:rsid w:val="00001444"/>
    <w:rsid w:val="00002880"/>
    <w:rsid w:val="00002CEE"/>
    <w:rsid w:val="00003437"/>
    <w:rsid w:val="000038DF"/>
    <w:rsid w:val="000046A3"/>
    <w:rsid w:val="000055A2"/>
    <w:rsid w:val="0000598D"/>
    <w:rsid w:val="000103E6"/>
    <w:rsid w:val="000129C2"/>
    <w:rsid w:val="00017426"/>
    <w:rsid w:val="00020EB8"/>
    <w:rsid w:val="000231C7"/>
    <w:rsid w:val="000252CE"/>
    <w:rsid w:val="000301E5"/>
    <w:rsid w:val="00032B1D"/>
    <w:rsid w:val="00033759"/>
    <w:rsid w:val="00034ECF"/>
    <w:rsid w:val="00035FEE"/>
    <w:rsid w:val="00041917"/>
    <w:rsid w:val="000440B1"/>
    <w:rsid w:val="00052B36"/>
    <w:rsid w:val="00054DF2"/>
    <w:rsid w:val="00057C0F"/>
    <w:rsid w:val="00060E9B"/>
    <w:rsid w:val="00060EC4"/>
    <w:rsid w:val="00062A47"/>
    <w:rsid w:val="0007393F"/>
    <w:rsid w:val="00076A31"/>
    <w:rsid w:val="00076E68"/>
    <w:rsid w:val="00083ED6"/>
    <w:rsid w:val="000847EA"/>
    <w:rsid w:val="00087951"/>
    <w:rsid w:val="00092686"/>
    <w:rsid w:val="000961D9"/>
    <w:rsid w:val="000A0B90"/>
    <w:rsid w:val="000A1C83"/>
    <w:rsid w:val="000A3710"/>
    <w:rsid w:val="000A4BD1"/>
    <w:rsid w:val="000A6CA9"/>
    <w:rsid w:val="000A701D"/>
    <w:rsid w:val="000B1F93"/>
    <w:rsid w:val="000B3E5D"/>
    <w:rsid w:val="000C04C5"/>
    <w:rsid w:val="000C2004"/>
    <w:rsid w:val="000C38EC"/>
    <w:rsid w:val="000C4944"/>
    <w:rsid w:val="000C57E2"/>
    <w:rsid w:val="000C5B7E"/>
    <w:rsid w:val="000C5C8B"/>
    <w:rsid w:val="000D1E9B"/>
    <w:rsid w:val="000D321F"/>
    <w:rsid w:val="000D4F14"/>
    <w:rsid w:val="000D79EC"/>
    <w:rsid w:val="000E10A3"/>
    <w:rsid w:val="000E468B"/>
    <w:rsid w:val="000F0FAB"/>
    <w:rsid w:val="000F4567"/>
    <w:rsid w:val="000F4941"/>
    <w:rsid w:val="001009DB"/>
    <w:rsid w:val="0010138D"/>
    <w:rsid w:val="0010192C"/>
    <w:rsid w:val="00105A12"/>
    <w:rsid w:val="00107363"/>
    <w:rsid w:val="0010795F"/>
    <w:rsid w:val="001105B2"/>
    <w:rsid w:val="00110EBA"/>
    <w:rsid w:val="00111AD6"/>
    <w:rsid w:val="001125E5"/>
    <w:rsid w:val="00113284"/>
    <w:rsid w:val="00116868"/>
    <w:rsid w:val="001168BF"/>
    <w:rsid w:val="00123843"/>
    <w:rsid w:val="001241C3"/>
    <w:rsid w:val="00124F5D"/>
    <w:rsid w:val="0013046A"/>
    <w:rsid w:val="00130FEE"/>
    <w:rsid w:val="00141A2F"/>
    <w:rsid w:val="00141FFF"/>
    <w:rsid w:val="00144245"/>
    <w:rsid w:val="00150C5D"/>
    <w:rsid w:val="0015266B"/>
    <w:rsid w:val="00160FA3"/>
    <w:rsid w:val="001635A4"/>
    <w:rsid w:val="0016522D"/>
    <w:rsid w:val="00166F89"/>
    <w:rsid w:val="0016736A"/>
    <w:rsid w:val="001679A2"/>
    <w:rsid w:val="001707BB"/>
    <w:rsid w:val="00174319"/>
    <w:rsid w:val="0017761C"/>
    <w:rsid w:val="00177D70"/>
    <w:rsid w:val="00177FE3"/>
    <w:rsid w:val="001822FE"/>
    <w:rsid w:val="00185A12"/>
    <w:rsid w:val="00186207"/>
    <w:rsid w:val="00187FA0"/>
    <w:rsid w:val="001942E3"/>
    <w:rsid w:val="001A0A58"/>
    <w:rsid w:val="001A1E7D"/>
    <w:rsid w:val="001A2605"/>
    <w:rsid w:val="001A46BF"/>
    <w:rsid w:val="001A4BCB"/>
    <w:rsid w:val="001A4D86"/>
    <w:rsid w:val="001A6323"/>
    <w:rsid w:val="001A713D"/>
    <w:rsid w:val="001A7176"/>
    <w:rsid w:val="001B0683"/>
    <w:rsid w:val="001B4591"/>
    <w:rsid w:val="001B5BDA"/>
    <w:rsid w:val="001C396B"/>
    <w:rsid w:val="001C5776"/>
    <w:rsid w:val="001C5F08"/>
    <w:rsid w:val="001C629C"/>
    <w:rsid w:val="001D404B"/>
    <w:rsid w:val="001D4057"/>
    <w:rsid w:val="001D5D8E"/>
    <w:rsid w:val="001E0A72"/>
    <w:rsid w:val="001E1DFE"/>
    <w:rsid w:val="001E2576"/>
    <w:rsid w:val="001E5D74"/>
    <w:rsid w:val="001F0A81"/>
    <w:rsid w:val="001F19DC"/>
    <w:rsid w:val="001F24EF"/>
    <w:rsid w:val="001F74A2"/>
    <w:rsid w:val="002063D4"/>
    <w:rsid w:val="00206831"/>
    <w:rsid w:val="0021041C"/>
    <w:rsid w:val="002111EE"/>
    <w:rsid w:val="00213C2C"/>
    <w:rsid w:val="00217042"/>
    <w:rsid w:val="00222F74"/>
    <w:rsid w:val="0022485B"/>
    <w:rsid w:val="002304FE"/>
    <w:rsid w:val="002310A4"/>
    <w:rsid w:val="00232927"/>
    <w:rsid w:val="002347E2"/>
    <w:rsid w:val="00236E7A"/>
    <w:rsid w:val="00240B3E"/>
    <w:rsid w:val="00242460"/>
    <w:rsid w:val="002548F5"/>
    <w:rsid w:val="00256199"/>
    <w:rsid w:val="00263147"/>
    <w:rsid w:val="00263F19"/>
    <w:rsid w:val="00267E54"/>
    <w:rsid w:val="002763DA"/>
    <w:rsid w:val="002776F4"/>
    <w:rsid w:val="002803EC"/>
    <w:rsid w:val="00282018"/>
    <w:rsid w:val="002829AF"/>
    <w:rsid w:val="00284C3D"/>
    <w:rsid w:val="002872E8"/>
    <w:rsid w:val="002A1249"/>
    <w:rsid w:val="002A66ED"/>
    <w:rsid w:val="002C3E28"/>
    <w:rsid w:val="002C664B"/>
    <w:rsid w:val="002D1EEA"/>
    <w:rsid w:val="002D2C9F"/>
    <w:rsid w:val="002D45B3"/>
    <w:rsid w:val="002E24C3"/>
    <w:rsid w:val="002E4241"/>
    <w:rsid w:val="002E4EBB"/>
    <w:rsid w:val="002E6BBD"/>
    <w:rsid w:val="002F27AE"/>
    <w:rsid w:val="002F4D4C"/>
    <w:rsid w:val="002F5134"/>
    <w:rsid w:val="002F7168"/>
    <w:rsid w:val="00301610"/>
    <w:rsid w:val="00303668"/>
    <w:rsid w:val="003047E8"/>
    <w:rsid w:val="0031043B"/>
    <w:rsid w:val="00311DAA"/>
    <w:rsid w:val="00312D10"/>
    <w:rsid w:val="003142BA"/>
    <w:rsid w:val="00315A38"/>
    <w:rsid w:val="00322B46"/>
    <w:rsid w:val="003232C7"/>
    <w:rsid w:val="00323B97"/>
    <w:rsid w:val="003308FF"/>
    <w:rsid w:val="00334029"/>
    <w:rsid w:val="003350C9"/>
    <w:rsid w:val="003356CA"/>
    <w:rsid w:val="0034029D"/>
    <w:rsid w:val="003435D7"/>
    <w:rsid w:val="0034543C"/>
    <w:rsid w:val="0035035A"/>
    <w:rsid w:val="003515B5"/>
    <w:rsid w:val="00351ABF"/>
    <w:rsid w:val="00351F97"/>
    <w:rsid w:val="0035245B"/>
    <w:rsid w:val="00355207"/>
    <w:rsid w:val="0035628A"/>
    <w:rsid w:val="00356DF5"/>
    <w:rsid w:val="00357446"/>
    <w:rsid w:val="00361B32"/>
    <w:rsid w:val="003632EB"/>
    <w:rsid w:val="0036512F"/>
    <w:rsid w:val="00370430"/>
    <w:rsid w:val="00373696"/>
    <w:rsid w:val="00380585"/>
    <w:rsid w:val="00380C92"/>
    <w:rsid w:val="003822FC"/>
    <w:rsid w:val="00382E15"/>
    <w:rsid w:val="00382F0E"/>
    <w:rsid w:val="00384835"/>
    <w:rsid w:val="00384C18"/>
    <w:rsid w:val="003858F8"/>
    <w:rsid w:val="00385A9C"/>
    <w:rsid w:val="003930EE"/>
    <w:rsid w:val="00397F47"/>
    <w:rsid w:val="003A0ECD"/>
    <w:rsid w:val="003A1EAF"/>
    <w:rsid w:val="003B36AB"/>
    <w:rsid w:val="003B6551"/>
    <w:rsid w:val="003C0C43"/>
    <w:rsid w:val="003C1ECC"/>
    <w:rsid w:val="003C2E6D"/>
    <w:rsid w:val="003C4A71"/>
    <w:rsid w:val="003C69E4"/>
    <w:rsid w:val="003D15E0"/>
    <w:rsid w:val="003D29C7"/>
    <w:rsid w:val="003D6D66"/>
    <w:rsid w:val="003D7E7F"/>
    <w:rsid w:val="003D7ECF"/>
    <w:rsid w:val="003E02D6"/>
    <w:rsid w:val="003E3634"/>
    <w:rsid w:val="003E6684"/>
    <w:rsid w:val="003F0603"/>
    <w:rsid w:val="003F1C26"/>
    <w:rsid w:val="003F3737"/>
    <w:rsid w:val="00400B76"/>
    <w:rsid w:val="00401CFC"/>
    <w:rsid w:val="00402989"/>
    <w:rsid w:val="00403BAD"/>
    <w:rsid w:val="00405EC6"/>
    <w:rsid w:val="004063B7"/>
    <w:rsid w:val="0040666B"/>
    <w:rsid w:val="0040754A"/>
    <w:rsid w:val="004131D0"/>
    <w:rsid w:val="00414520"/>
    <w:rsid w:val="0041456D"/>
    <w:rsid w:val="00423CB6"/>
    <w:rsid w:val="004254C3"/>
    <w:rsid w:val="00425675"/>
    <w:rsid w:val="004337B1"/>
    <w:rsid w:val="004360BB"/>
    <w:rsid w:val="004411DB"/>
    <w:rsid w:val="00444446"/>
    <w:rsid w:val="004458F8"/>
    <w:rsid w:val="00450ACD"/>
    <w:rsid w:val="004512C9"/>
    <w:rsid w:val="004529AD"/>
    <w:rsid w:val="00453FA5"/>
    <w:rsid w:val="0046338A"/>
    <w:rsid w:val="00463F06"/>
    <w:rsid w:val="00470351"/>
    <w:rsid w:val="004714CD"/>
    <w:rsid w:val="00475519"/>
    <w:rsid w:val="004836E3"/>
    <w:rsid w:val="00484F5F"/>
    <w:rsid w:val="00492063"/>
    <w:rsid w:val="004947B8"/>
    <w:rsid w:val="00497E5F"/>
    <w:rsid w:val="004A260F"/>
    <w:rsid w:val="004A3A86"/>
    <w:rsid w:val="004A4704"/>
    <w:rsid w:val="004B27BA"/>
    <w:rsid w:val="004B63B3"/>
    <w:rsid w:val="004C2F4B"/>
    <w:rsid w:val="004C6B9A"/>
    <w:rsid w:val="004C7967"/>
    <w:rsid w:val="004C7BD6"/>
    <w:rsid w:val="004D4750"/>
    <w:rsid w:val="004D4E11"/>
    <w:rsid w:val="004E0453"/>
    <w:rsid w:val="004E272F"/>
    <w:rsid w:val="004E3889"/>
    <w:rsid w:val="004E6D54"/>
    <w:rsid w:val="004F085C"/>
    <w:rsid w:val="004F156C"/>
    <w:rsid w:val="004F40CF"/>
    <w:rsid w:val="004F7017"/>
    <w:rsid w:val="00500002"/>
    <w:rsid w:val="0050111C"/>
    <w:rsid w:val="0050593C"/>
    <w:rsid w:val="00510B8E"/>
    <w:rsid w:val="00512338"/>
    <w:rsid w:val="005125B3"/>
    <w:rsid w:val="00513310"/>
    <w:rsid w:val="00514451"/>
    <w:rsid w:val="00514BF6"/>
    <w:rsid w:val="0051655D"/>
    <w:rsid w:val="005171AD"/>
    <w:rsid w:val="00520C9F"/>
    <w:rsid w:val="00526178"/>
    <w:rsid w:val="00530734"/>
    <w:rsid w:val="00530EC8"/>
    <w:rsid w:val="00531B2C"/>
    <w:rsid w:val="00535631"/>
    <w:rsid w:val="00542058"/>
    <w:rsid w:val="005458AF"/>
    <w:rsid w:val="00550844"/>
    <w:rsid w:val="00552BF8"/>
    <w:rsid w:val="005608F6"/>
    <w:rsid w:val="00572866"/>
    <w:rsid w:val="00572982"/>
    <w:rsid w:val="00576F19"/>
    <w:rsid w:val="005774A6"/>
    <w:rsid w:val="00580A75"/>
    <w:rsid w:val="00584956"/>
    <w:rsid w:val="00585B90"/>
    <w:rsid w:val="0058720D"/>
    <w:rsid w:val="005876F2"/>
    <w:rsid w:val="0058797D"/>
    <w:rsid w:val="00591DB9"/>
    <w:rsid w:val="00592952"/>
    <w:rsid w:val="005943C0"/>
    <w:rsid w:val="00595B85"/>
    <w:rsid w:val="00597E04"/>
    <w:rsid w:val="005A0E4F"/>
    <w:rsid w:val="005A112A"/>
    <w:rsid w:val="005A5C33"/>
    <w:rsid w:val="005A7A25"/>
    <w:rsid w:val="005B3336"/>
    <w:rsid w:val="005B6197"/>
    <w:rsid w:val="005C0934"/>
    <w:rsid w:val="005C0F45"/>
    <w:rsid w:val="005C34F6"/>
    <w:rsid w:val="005C5B4F"/>
    <w:rsid w:val="005C6DF4"/>
    <w:rsid w:val="005D32E4"/>
    <w:rsid w:val="005D387D"/>
    <w:rsid w:val="005D4715"/>
    <w:rsid w:val="005D47AA"/>
    <w:rsid w:val="005D4824"/>
    <w:rsid w:val="005D5BA2"/>
    <w:rsid w:val="005D7AE5"/>
    <w:rsid w:val="005E26C6"/>
    <w:rsid w:val="005E35F5"/>
    <w:rsid w:val="005E4725"/>
    <w:rsid w:val="005E4EF0"/>
    <w:rsid w:val="005E5915"/>
    <w:rsid w:val="005E5A0A"/>
    <w:rsid w:val="005E756F"/>
    <w:rsid w:val="005E763B"/>
    <w:rsid w:val="005F31BE"/>
    <w:rsid w:val="005F51ED"/>
    <w:rsid w:val="005F60FF"/>
    <w:rsid w:val="00600703"/>
    <w:rsid w:val="00602F65"/>
    <w:rsid w:val="00604C1F"/>
    <w:rsid w:val="006057A0"/>
    <w:rsid w:val="0060621C"/>
    <w:rsid w:val="00614670"/>
    <w:rsid w:val="00615C7F"/>
    <w:rsid w:val="00621B82"/>
    <w:rsid w:val="00624BED"/>
    <w:rsid w:val="006273E5"/>
    <w:rsid w:val="00630B75"/>
    <w:rsid w:val="00632E2B"/>
    <w:rsid w:val="00633032"/>
    <w:rsid w:val="00633C51"/>
    <w:rsid w:val="00636BAF"/>
    <w:rsid w:val="00640AB0"/>
    <w:rsid w:val="0064496A"/>
    <w:rsid w:val="00653D02"/>
    <w:rsid w:val="0065789B"/>
    <w:rsid w:val="00660DE2"/>
    <w:rsid w:val="0066110F"/>
    <w:rsid w:val="0066376B"/>
    <w:rsid w:val="006641E9"/>
    <w:rsid w:val="006701A7"/>
    <w:rsid w:val="00671A37"/>
    <w:rsid w:val="00680D3E"/>
    <w:rsid w:val="00682FDA"/>
    <w:rsid w:val="0068321E"/>
    <w:rsid w:val="00686F1C"/>
    <w:rsid w:val="006878CD"/>
    <w:rsid w:val="00692DB0"/>
    <w:rsid w:val="0069530D"/>
    <w:rsid w:val="00696C53"/>
    <w:rsid w:val="00697C0A"/>
    <w:rsid w:val="006A1FBF"/>
    <w:rsid w:val="006A343A"/>
    <w:rsid w:val="006A46FE"/>
    <w:rsid w:val="006A538E"/>
    <w:rsid w:val="006A5F3A"/>
    <w:rsid w:val="006A6263"/>
    <w:rsid w:val="006A6C5B"/>
    <w:rsid w:val="006B4D2C"/>
    <w:rsid w:val="006C0E86"/>
    <w:rsid w:val="006C2514"/>
    <w:rsid w:val="006C3D2D"/>
    <w:rsid w:val="006C405A"/>
    <w:rsid w:val="006C4458"/>
    <w:rsid w:val="006C59C1"/>
    <w:rsid w:val="006D04DD"/>
    <w:rsid w:val="006D0CA9"/>
    <w:rsid w:val="006D316F"/>
    <w:rsid w:val="006D3857"/>
    <w:rsid w:val="006D5B7E"/>
    <w:rsid w:val="006E0CBB"/>
    <w:rsid w:val="006E3721"/>
    <w:rsid w:val="006F0F53"/>
    <w:rsid w:val="006F40CE"/>
    <w:rsid w:val="006F4388"/>
    <w:rsid w:val="006F4A63"/>
    <w:rsid w:val="006F6EBA"/>
    <w:rsid w:val="00700658"/>
    <w:rsid w:val="00701EFF"/>
    <w:rsid w:val="007041DF"/>
    <w:rsid w:val="007075C8"/>
    <w:rsid w:val="00710098"/>
    <w:rsid w:val="00712EDE"/>
    <w:rsid w:val="00716632"/>
    <w:rsid w:val="00716BBE"/>
    <w:rsid w:val="00717B60"/>
    <w:rsid w:val="00720EA3"/>
    <w:rsid w:val="0072389D"/>
    <w:rsid w:val="007249F6"/>
    <w:rsid w:val="00726749"/>
    <w:rsid w:val="00727963"/>
    <w:rsid w:val="00731175"/>
    <w:rsid w:val="00731766"/>
    <w:rsid w:val="00731FDD"/>
    <w:rsid w:val="0073287D"/>
    <w:rsid w:val="00732FC5"/>
    <w:rsid w:val="007344A9"/>
    <w:rsid w:val="007347D7"/>
    <w:rsid w:val="0073660E"/>
    <w:rsid w:val="007415A5"/>
    <w:rsid w:val="00741803"/>
    <w:rsid w:val="00744ACB"/>
    <w:rsid w:val="0074642A"/>
    <w:rsid w:val="00752C9A"/>
    <w:rsid w:val="00754536"/>
    <w:rsid w:val="0075696F"/>
    <w:rsid w:val="00757338"/>
    <w:rsid w:val="00757C3D"/>
    <w:rsid w:val="00762F7B"/>
    <w:rsid w:val="0076354F"/>
    <w:rsid w:val="00763C67"/>
    <w:rsid w:val="00771C75"/>
    <w:rsid w:val="00773D7C"/>
    <w:rsid w:val="007750EF"/>
    <w:rsid w:val="00776722"/>
    <w:rsid w:val="0077714A"/>
    <w:rsid w:val="007777F0"/>
    <w:rsid w:val="007818BA"/>
    <w:rsid w:val="00783713"/>
    <w:rsid w:val="007848CD"/>
    <w:rsid w:val="007849D7"/>
    <w:rsid w:val="00785292"/>
    <w:rsid w:val="00785F81"/>
    <w:rsid w:val="007868A5"/>
    <w:rsid w:val="007929BD"/>
    <w:rsid w:val="00792E44"/>
    <w:rsid w:val="007972B3"/>
    <w:rsid w:val="007A32CF"/>
    <w:rsid w:val="007A35F3"/>
    <w:rsid w:val="007A669F"/>
    <w:rsid w:val="007B0061"/>
    <w:rsid w:val="007B5709"/>
    <w:rsid w:val="007B71AC"/>
    <w:rsid w:val="007C06E9"/>
    <w:rsid w:val="007C1284"/>
    <w:rsid w:val="007C2C17"/>
    <w:rsid w:val="007C3006"/>
    <w:rsid w:val="007C5DDE"/>
    <w:rsid w:val="007C6AE5"/>
    <w:rsid w:val="007D0DA1"/>
    <w:rsid w:val="007D27BC"/>
    <w:rsid w:val="007D3FA1"/>
    <w:rsid w:val="007D51E5"/>
    <w:rsid w:val="007D6427"/>
    <w:rsid w:val="007E2BBD"/>
    <w:rsid w:val="007E3AB3"/>
    <w:rsid w:val="007E6250"/>
    <w:rsid w:val="007F030E"/>
    <w:rsid w:val="007F3106"/>
    <w:rsid w:val="007F41B8"/>
    <w:rsid w:val="007F50E5"/>
    <w:rsid w:val="008038AF"/>
    <w:rsid w:val="00803E3E"/>
    <w:rsid w:val="00805D70"/>
    <w:rsid w:val="008070A4"/>
    <w:rsid w:val="00811DF9"/>
    <w:rsid w:val="008178BE"/>
    <w:rsid w:val="00823EC8"/>
    <w:rsid w:val="00835C16"/>
    <w:rsid w:val="00835D6F"/>
    <w:rsid w:val="008372C4"/>
    <w:rsid w:val="008372E2"/>
    <w:rsid w:val="008462F4"/>
    <w:rsid w:val="008503B3"/>
    <w:rsid w:val="008517F6"/>
    <w:rsid w:val="00854EE0"/>
    <w:rsid w:val="00855AA6"/>
    <w:rsid w:val="008562BF"/>
    <w:rsid w:val="00862742"/>
    <w:rsid w:val="0086402F"/>
    <w:rsid w:val="0087093F"/>
    <w:rsid w:val="00873672"/>
    <w:rsid w:val="00876AF8"/>
    <w:rsid w:val="00876D88"/>
    <w:rsid w:val="0088054E"/>
    <w:rsid w:val="00882D27"/>
    <w:rsid w:val="0088409A"/>
    <w:rsid w:val="00886F8E"/>
    <w:rsid w:val="008870E7"/>
    <w:rsid w:val="008905DC"/>
    <w:rsid w:val="00890B1D"/>
    <w:rsid w:val="00891099"/>
    <w:rsid w:val="00893531"/>
    <w:rsid w:val="0089443A"/>
    <w:rsid w:val="00894C45"/>
    <w:rsid w:val="008A14F5"/>
    <w:rsid w:val="008A1528"/>
    <w:rsid w:val="008A5FC4"/>
    <w:rsid w:val="008A6647"/>
    <w:rsid w:val="008B4630"/>
    <w:rsid w:val="008B6FB2"/>
    <w:rsid w:val="008D2EB9"/>
    <w:rsid w:val="008D3D8C"/>
    <w:rsid w:val="008D5294"/>
    <w:rsid w:val="008D59AC"/>
    <w:rsid w:val="008D711C"/>
    <w:rsid w:val="008E1AE4"/>
    <w:rsid w:val="008E3765"/>
    <w:rsid w:val="008E42E2"/>
    <w:rsid w:val="008E5192"/>
    <w:rsid w:val="008F1406"/>
    <w:rsid w:val="008F61F6"/>
    <w:rsid w:val="0090470E"/>
    <w:rsid w:val="0091124D"/>
    <w:rsid w:val="0091445B"/>
    <w:rsid w:val="009151D5"/>
    <w:rsid w:val="009232E3"/>
    <w:rsid w:val="00923AE7"/>
    <w:rsid w:val="00926C28"/>
    <w:rsid w:val="00930C26"/>
    <w:rsid w:val="00930D19"/>
    <w:rsid w:val="0093214C"/>
    <w:rsid w:val="009344D3"/>
    <w:rsid w:val="00934718"/>
    <w:rsid w:val="0093777C"/>
    <w:rsid w:val="009377F5"/>
    <w:rsid w:val="00937D5B"/>
    <w:rsid w:val="00940E4D"/>
    <w:rsid w:val="00944454"/>
    <w:rsid w:val="00945FFA"/>
    <w:rsid w:val="00946D8B"/>
    <w:rsid w:val="00952683"/>
    <w:rsid w:val="00953EFF"/>
    <w:rsid w:val="00956784"/>
    <w:rsid w:val="009575C3"/>
    <w:rsid w:val="009608B2"/>
    <w:rsid w:val="00970251"/>
    <w:rsid w:val="0097246B"/>
    <w:rsid w:val="009757A8"/>
    <w:rsid w:val="00983059"/>
    <w:rsid w:val="0098333B"/>
    <w:rsid w:val="00984090"/>
    <w:rsid w:val="0098521E"/>
    <w:rsid w:val="009860B5"/>
    <w:rsid w:val="00990D6A"/>
    <w:rsid w:val="00995F40"/>
    <w:rsid w:val="00996034"/>
    <w:rsid w:val="009969B5"/>
    <w:rsid w:val="009A0C2F"/>
    <w:rsid w:val="009A0FAF"/>
    <w:rsid w:val="009A13FB"/>
    <w:rsid w:val="009A290D"/>
    <w:rsid w:val="009A31DE"/>
    <w:rsid w:val="009A38F2"/>
    <w:rsid w:val="009A3A23"/>
    <w:rsid w:val="009A3EBF"/>
    <w:rsid w:val="009A5CBE"/>
    <w:rsid w:val="009A6269"/>
    <w:rsid w:val="009A659A"/>
    <w:rsid w:val="009B3ADD"/>
    <w:rsid w:val="009B5D1C"/>
    <w:rsid w:val="009C11E1"/>
    <w:rsid w:val="009C4A62"/>
    <w:rsid w:val="009C7AA9"/>
    <w:rsid w:val="009D0F22"/>
    <w:rsid w:val="009D2D8C"/>
    <w:rsid w:val="009D708E"/>
    <w:rsid w:val="009E0021"/>
    <w:rsid w:val="009E0068"/>
    <w:rsid w:val="009F1285"/>
    <w:rsid w:val="009F61FA"/>
    <w:rsid w:val="009F76E5"/>
    <w:rsid w:val="00A00808"/>
    <w:rsid w:val="00A10419"/>
    <w:rsid w:val="00A12F3A"/>
    <w:rsid w:val="00A132C2"/>
    <w:rsid w:val="00A13AC7"/>
    <w:rsid w:val="00A208D0"/>
    <w:rsid w:val="00A21846"/>
    <w:rsid w:val="00A22A10"/>
    <w:rsid w:val="00A27158"/>
    <w:rsid w:val="00A27217"/>
    <w:rsid w:val="00A30A09"/>
    <w:rsid w:val="00A3171E"/>
    <w:rsid w:val="00A31D44"/>
    <w:rsid w:val="00A31E19"/>
    <w:rsid w:val="00A45794"/>
    <w:rsid w:val="00A501F8"/>
    <w:rsid w:val="00A50DE6"/>
    <w:rsid w:val="00A5363B"/>
    <w:rsid w:val="00A54173"/>
    <w:rsid w:val="00A57199"/>
    <w:rsid w:val="00A610C8"/>
    <w:rsid w:val="00A61B09"/>
    <w:rsid w:val="00A62AB4"/>
    <w:rsid w:val="00A631F0"/>
    <w:rsid w:val="00A665F3"/>
    <w:rsid w:val="00A70CB2"/>
    <w:rsid w:val="00A76BDF"/>
    <w:rsid w:val="00A7746C"/>
    <w:rsid w:val="00A8325A"/>
    <w:rsid w:val="00A85A9E"/>
    <w:rsid w:val="00A86B36"/>
    <w:rsid w:val="00A95582"/>
    <w:rsid w:val="00AA3B29"/>
    <w:rsid w:val="00AB0D3B"/>
    <w:rsid w:val="00AC53E9"/>
    <w:rsid w:val="00AD319F"/>
    <w:rsid w:val="00AD3AA9"/>
    <w:rsid w:val="00AD4BFF"/>
    <w:rsid w:val="00AD7A02"/>
    <w:rsid w:val="00AE0BBB"/>
    <w:rsid w:val="00AE12DE"/>
    <w:rsid w:val="00AE1863"/>
    <w:rsid w:val="00AE2554"/>
    <w:rsid w:val="00AE26E3"/>
    <w:rsid w:val="00AF0547"/>
    <w:rsid w:val="00AF26BD"/>
    <w:rsid w:val="00AF2B70"/>
    <w:rsid w:val="00AF2D7A"/>
    <w:rsid w:val="00AF3511"/>
    <w:rsid w:val="00AF3A00"/>
    <w:rsid w:val="00AF3F62"/>
    <w:rsid w:val="00B00EBD"/>
    <w:rsid w:val="00B04DBF"/>
    <w:rsid w:val="00B05BBA"/>
    <w:rsid w:val="00B05F7E"/>
    <w:rsid w:val="00B073E3"/>
    <w:rsid w:val="00B10A46"/>
    <w:rsid w:val="00B123F5"/>
    <w:rsid w:val="00B14F53"/>
    <w:rsid w:val="00B157B3"/>
    <w:rsid w:val="00B171D8"/>
    <w:rsid w:val="00B213B6"/>
    <w:rsid w:val="00B2212D"/>
    <w:rsid w:val="00B2242E"/>
    <w:rsid w:val="00B30B41"/>
    <w:rsid w:val="00B32289"/>
    <w:rsid w:val="00B33421"/>
    <w:rsid w:val="00B3427A"/>
    <w:rsid w:val="00B34AC5"/>
    <w:rsid w:val="00B373FE"/>
    <w:rsid w:val="00B37C4D"/>
    <w:rsid w:val="00B40C86"/>
    <w:rsid w:val="00B43EAF"/>
    <w:rsid w:val="00B44918"/>
    <w:rsid w:val="00B47CEA"/>
    <w:rsid w:val="00B523D2"/>
    <w:rsid w:val="00B52576"/>
    <w:rsid w:val="00B52C1B"/>
    <w:rsid w:val="00B5451C"/>
    <w:rsid w:val="00B56EE9"/>
    <w:rsid w:val="00B60160"/>
    <w:rsid w:val="00B620FC"/>
    <w:rsid w:val="00B626DF"/>
    <w:rsid w:val="00B6365A"/>
    <w:rsid w:val="00B662BD"/>
    <w:rsid w:val="00B67FF5"/>
    <w:rsid w:val="00B70759"/>
    <w:rsid w:val="00B71D85"/>
    <w:rsid w:val="00B71DA7"/>
    <w:rsid w:val="00B72337"/>
    <w:rsid w:val="00B7456E"/>
    <w:rsid w:val="00B75A4B"/>
    <w:rsid w:val="00B80E25"/>
    <w:rsid w:val="00B834FD"/>
    <w:rsid w:val="00B84E62"/>
    <w:rsid w:val="00B86B6B"/>
    <w:rsid w:val="00B911C9"/>
    <w:rsid w:val="00B9258D"/>
    <w:rsid w:val="00B92F70"/>
    <w:rsid w:val="00B9586E"/>
    <w:rsid w:val="00BA30B6"/>
    <w:rsid w:val="00BA3435"/>
    <w:rsid w:val="00BA4A96"/>
    <w:rsid w:val="00BA4C88"/>
    <w:rsid w:val="00BA58D1"/>
    <w:rsid w:val="00BA5935"/>
    <w:rsid w:val="00BB42CE"/>
    <w:rsid w:val="00BB69A7"/>
    <w:rsid w:val="00BB721D"/>
    <w:rsid w:val="00BC0F31"/>
    <w:rsid w:val="00BD3858"/>
    <w:rsid w:val="00BE04C6"/>
    <w:rsid w:val="00BE1028"/>
    <w:rsid w:val="00BE1068"/>
    <w:rsid w:val="00BF099B"/>
    <w:rsid w:val="00BF331F"/>
    <w:rsid w:val="00BF5284"/>
    <w:rsid w:val="00C03A61"/>
    <w:rsid w:val="00C07AB0"/>
    <w:rsid w:val="00C10CAB"/>
    <w:rsid w:val="00C12A4B"/>
    <w:rsid w:val="00C17269"/>
    <w:rsid w:val="00C2177C"/>
    <w:rsid w:val="00C22135"/>
    <w:rsid w:val="00C23712"/>
    <w:rsid w:val="00C23AF4"/>
    <w:rsid w:val="00C26C89"/>
    <w:rsid w:val="00C30753"/>
    <w:rsid w:val="00C32546"/>
    <w:rsid w:val="00C32B59"/>
    <w:rsid w:val="00C335E9"/>
    <w:rsid w:val="00C338A0"/>
    <w:rsid w:val="00C33984"/>
    <w:rsid w:val="00C402A3"/>
    <w:rsid w:val="00C402F7"/>
    <w:rsid w:val="00C41105"/>
    <w:rsid w:val="00C424B0"/>
    <w:rsid w:val="00C45103"/>
    <w:rsid w:val="00C5094B"/>
    <w:rsid w:val="00C51B09"/>
    <w:rsid w:val="00C529B2"/>
    <w:rsid w:val="00C52A68"/>
    <w:rsid w:val="00C5707D"/>
    <w:rsid w:val="00C6121C"/>
    <w:rsid w:val="00C61305"/>
    <w:rsid w:val="00C63F61"/>
    <w:rsid w:val="00C65F21"/>
    <w:rsid w:val="00C7064D"/>
    <w:rsid w:val="00C7235A"/>
    <w:rsid w:val="00C76C32"/>
    <w:rsid w:val="00C776FB"/>
    <w:rsid w:val="00C805B9"/>
    <w:rsid w:val="00C805F7"/>
    <w:rsid w:val="00C837A3"/>
    <w:rsid w:val="00C8511A"/>
    <w:rsid w:val="00C87DB6"/>
    <w:rsid w:val="00C90178"/>
    <w:rsid w:val="00C91E59"/>
    <w:rsid w:val="00C9454F"/>
    <w:rsid w:val="00C956D5"/>
    <w:rsid w:val="00CA5BA6"/>
    <w:rsid w:val="00CB111E"/>
    <w:rsid w:val="00CB43D8"/>
    <w:rsid w:val="00CB4BF1"/>
    <w:rsid w:val="00CB52DE"/>
    <w:rsid w:val="00CB6FAC"/>
    <w:rsid w:val="00CC2A39"/>
    <w:rsid w:val="00CD2D22"/>
    <w:rsid w:val="00CD4AC2"/>
    <w:rsid w:val="00CD673E"/>
    <w:rsid w:val="00CF1794"/>
    <w:rsid w:val="00CF7EDB"/>
    <w:rsid w:val="00D04A46"/>
    <w:rsid w:val="00D065A3"/>
    <w:rsid w:val="00D06CBF"/>
    <w:rsid w:val="00D12C47"/>
    <w:rsid w:val="00D139DF"/>
    <w:rsid w:val="00D1509B"/>
    <w:rsid w:val="00D157C3"/>
    <w:rsid w:val="00D16840"/>
    <w:rsid w:val="00D16F40"/>
    <w:rsid w:val="00D24BE3"/>
    <w:rsid w:val="00D31213"/>
    <w:rsid w:val="00D37611"/>
    <w:rsid w:val="00D42355"/>
    <w:rsid w:val="00D43561"/>
    <w:rsid w:val="00D44D8D"/>
    <w:rsid w:val="00D5415B"/>
    <w:rsid w:val="00D5417D"/>
    <w:rsid w:val="00D561EE"/>
    <w:rsid w:val="00D61C20"/>
    <w:rsid w:val="00D6349F"/>
    <w:rsid w:val="00D705E1"/>
    <w:rsid w:val="00D74DD4"/>
    <w:rsid w:val="00D761B0"/>
    <w:rsid w:val="00D77718"/>
    <w:rsid w:val="00D83B77"/>
    <w:rsid w:val="00D854EE"/>
    <w:rsid w:val="00D866CE"/>
    <w:rsid w:val="00D86BC9"/>
    <w:rsid w:val="00D87EC4"/>
    <w:rsid w:val="00D90384"/>
    <w:rsid w:val="00D91378"/>
    <w:rsid w:val="00D9168B"/>
    <w:rsid w:val="00D92555"/>
    <w:rsid w:val="00D97362"/>
    <w:rsid w:val="00DA2051"/>
    <w:rsid w:val="00DA49D6"/>
    <w:rsid w:val="00DA4A6D"/>
    <w:rsid w:val="00DA7445"/>
    <w:rsid w:val="00DA78DD"/>
    <w:rsid w:val="00DB0051"/>
    <w:rsid w:val="00DB028A"/>
    <w:rsid w:val="00DB0999"/>
    <w:rsid w:val="00DB1A7F"/>
    <w:rsid w:val="00DB315A"/>
    <w:rsid w:val="00DB54D8"/>
    <w:rsid w:val="00DB5757"/>
    <w:rsid w:val="00DB591D"/>
    <w:rsid w:val="00DC1783"/>
    <w:rsid w:val="00DC1BA5"/>
    <w:rsid w:val="00DC4D42"/>
    <w:rsid w:val="00DC523D"/>
    <w:rsid w:val="00DC6957"/>
    <w:rsid w:val="00DC7F3E"/>
    <w:rsid w:val="00DD51D1"/>
    <w:rsid w:val="00DD74D6"/>
    <w:rsid w:val="00DE0BBF"/>
    <w:rsid w:val="00DE356A"/>
    <w:rsid w:val="00DE3D2F"/>
    <w:rsid w:val="00DE3FDF"/>
    <w:rsid w:val="00DE4D69"/>
    <w:rsid w:val="00DE5762"/>
    <w:rsid w:val="00DE7222"/>
    <w:rsid w:val="00DF1F53"/>
    <w:rsid w:val="00DF6F26"/>
    <w:rsid w:val="00E02B7E"/>
    <w:rsid w:val="00E060FD"/>
    <w:rsid w:val="00E06534"/>
    <w:rsid w:val="00E079FF"/>
    <w:rsid w:val="00E12EA6"/>
    <w:rsid w:val="00E14F6E"/>
    <w:rsid w:val="00E159A6"/>
    <w:rsid w:val="00E172B6"/>
    <w:rsid w:val="00E22400"/>
    <w:rsid w:val="00E2274D"/>
    <w:rsid w:val="00E23A5D"/>
    <w:rsid w:val="00E30A60"/>
    <w:rsid w:val="00E33156"/>
    <w:rsid w:val="00E3525B"/>
    <w:rsid w:val="00E3611F"/>
    <w:rsid w:val="00E416B0"/>
    <w:rsid w:val="00E4342A"/>
    <w:rsid w:val="00E50802"/>
    <w:rsid w:val="00E51786"/>
    <w:rsid w:val="00E528B1"/>
    <w:rsid w:val="00E532A7"/>
    <w:rsid w:val="00E54A91"/>
    <w:rsid w:val="00E558A0"/>
    <w:rsid w:val="00E55FDA"/>
    <w:rsid w:val="00E663A9"/>
    <w:rsid w:val="00E70298"/>
    <w:rsid w:val="00E70DB2"/>
    <w:rsid w:val="00E71405"/>
    <w:rsid w:val="00E72C4C"/>
    <w:rsid w:val="00E749EF"/>
    <w:rsid w:val="00E74A0E"/>
    <w:rsid w:val="00E74B7B"/>
    <w:rsid w:val="00E74CCB"/>
    <w:rsid w:val="00E76458"/>
    <w:rsid w:val="00E76F2B"/>
    <w:rsid w:val="00E81A3A"/>
    <w:rsid w:val="00E826E3"/>
    <w:rsid w:val="00E83685"/>
    <w:rsid w:val="00E878C3"/>
    <w:rsid w:val="00E930BD"/>
    <w:rsid w:val="00E96583"/>
    <w:rsid w:val="00E96A0A"/>
    <w:rsid w:val="00EA1EF9"/>
    <w:rsid w:val="00EA32A9"/>
    <w:rsid w:val="00EA32FB"/>
    <w:rsid w:val="00EA55F1"/>
    <w:rsid w:val="00EA742F"/>
    <w:rsid w:val="00EB1620"/>
    <w:rsid w:val="00EB16D6"/>
    <w:rsid w:val="00EB170C"/>
    <w:rsid w:val="00EB2FE3"/>
    <w:rsid w:val="00EB5E9B"/>
    <w:rsid w:val="00EC19E1"/>
    <w:rsid w:val="00EC6DBA"/>
    <w:rsid w:val="00ED0B13"/>
    <w:rsid w:val="00ED17CA"/>
    <w:rsid w:val="00EE23A3"/>
    <w:rsid w:val="00EE36D3"/>
    <w:rsid w:val="00EE5495"/>
    <w:rsid w:val="00EF1140"/>
    <w:rsid w:val="00EF4999"/>
    <w:rsid w:val="00F00AA0"/>
    <w:rsid w:val="00F02C52"/>
    <w:rsid w:val="00F04250"/>
    <w:rsid w:val="00F11CBF"/>
    <w:rsid w:val="00F1314F"/>
    <w:rsid w:val="00F13CED"/>
    <w:rsid w:val="00F20918"/>
    <w:rsid w:val="00F22BF1"/>
    <w:rsid w:val="00F26339"/>
    <w:rsid w:val="00F26435"/>
    <w:rsid w:val="00F26692"/>
    <w:rsid w:val="00F26946"/>
    <w:rsid w:val="00F27DE2"/>
    <w:rsid w:val="00F30AE4"/>
    <w:rsid w:val="00F30DA8"/>
    <w:rsid w:val="00F30F41"/>
    <w:rsid w:val="00F3293D"/>
    <w:rsid w:val="00F3766D"/>
    <w:rsid w:val="00F37AEE"/>
    <w:rsid w:val="00F4134F"/>
    <w:rsid w:val="00F428BE"/>
    <w:rsid w:val="00F44735"/>
    <w:rsid w:val="00F46B44"/>
    <w:rsid w:val="00F50073"/>
    <w:rsid w:val="00F528C6"/>
    <w:rsid w:val="00F576A3"/>
    <w:rsid w:val="00F5790B"/>
    <w:rsid w:val="00F6419E"/>
    <w:rsid w:val="00F64E65"/>
    <w:rsid w:val="00F65CAA"/>
    <w:rsid w:val="00F66727"/>
    <w:rsid w:val="00F6722D"/>
    <w:rsid w:val="00F7054C"/>
    <w:rsid w:val="00F709AB"/>
    <w:rsid w:val="00F70C3E"/>
    <w:rsid w:val="00F70D82"/>
    <w:rsid w:val="00F724E8"/>
    <w:rsid w:val="00F73EE2"/>
    <w:rsid w:val="00F8008F"/>
    <w:rsid w:val="00F83753"/>
    <w:rsid w:val="00F86020"/>
    <w:rsid w:val="00F91738"/>
    <w:rsid w:val="00F94357"/>
    <w:rsid w:val="00FA01C6"/>
    <w:rsid w:val="00FA0645"/>
    <w:rsid w:val="00FA1EEF"/>
    <w:rsid w:val="00FA4BA1"/>
    <w:rsid w:val="00FA7C62"/>
    <w:rsid w:val="00FB3BC1"/>
    <w:rsid w:val="00FB4CD9"/>
    <w:rsid w:val="00FB622B"/>
    <w:rsid w:val="00FB7D81"/>
    <w:rsid w:val="00FB7E08"/>
    <w:rsid w:val="00FC018D"/>
    <w:rsid w:val="00FC232E"/>
    <w:rsid w:val="00FC4C0A"/>
    <w:rsid w:val="00FD0510"/>
    <w:rsid w:val="00FD1FE2"/>
    <w:rsid w:val="00FD2781"/>
    <w:rsid w:val="00FD27E0"/>
    <w:rsid w:val="00FD3EF7"/>
    <w:rsid w:val="00FD70DC"/>
    <w:rsid w:val="00FE3990"/>
    <w:rsid w:val="00FE7CE6"/>
    <w:rsid w:val="00FF09FE"/>
    <w:rsid w:val="00FF0FE7"/>
    <w:rsid w:val="00FF11D0"/>
    <w:rsid w:val="00FF66BD"/>
    <w:rsid w:val="00FF73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D"/>
    <w:rPr>
      <w:sz w:val="24"/>
      <w:szCs w:val="24"/>
    </w:rPr>
  </w:style>
  <w:style w:type="paragraph" w:styleId="Heading1">
    <w:name w:val="heading 1"/>
    <w:basedOn w:val="Normal"/>
    <w:next w:val="Normal"/>
    <w:link w:val="Heading1Char"/>
    <w:uiPriority w:val="99"/>
    <w:qFormat/>
    <w:rsid w:val="007750EF"/>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10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10FC"/>
    <w:rPr>
      <w:rFonts w:asciiTheme="majorHAnsi" w:eastAsiaTheme="majorEastAsia" w:hAnsiTheme="majorHAnsi" w:cstheme="majorBidi"/>
      <w:b/>
      <w:bCs/>
      <w:sz w:val="26"/>
      <w:szCs w:val="26"/>
    </w:rPr>
  </w:style>
  <w:style w:type="character" w:styleId="Hyperlink">
    <w:name w:val="Hyperlink"/>
    <w:basedOn w:val="DefaultParagraphFont"/>
    <w:uiPriority w:val="99"/>
    <w:rsid w:val="001F0A81"/>
    <w:rPr>
      <w:color w:val="0000FF"/>
      <w:u w:val="single"/>
    </w:rPr>
  </w:style>
  <w:style w:type="paragraph" w:styleId="DocumentMap">
    <w:name w:val="Document Map"/>
    <w:basedOn w:val="Normal"/>
    <w:link w:val="DocumentMapChar"/>
    <w:uiPriority w:val="99"/>
    <w:semiHidden/>
    <w:rsid w:val="00C805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10FC"/>
    <w:rPr>
      <w:sz w:val="0"/>
      <w:szCs w:val="0"/>
    </w:rPr>
  </w:style>
  <w:style w:type="paragraph" w:styleId="Footer">
    <w:name w:val="footer"/>
    <w:basedOn w:val="Normal"/>
    <w:link w:val="FooterChar"/>
    <w:uiPriority w:val="99"/>
    <w:rsid w:val="00B72337"/>
    <w:pPr>
      <w:tabs>
        <w:tab w:val="center" w:pos="4536"/>
        <w:tab w:val="right" w:pos="9072"/>
      </w:tabs>
    </w:pPr>
  </w:style>
  <w:style w:type="character" w:customStyle="1" w:styleId="FooterChar">
    <w:name w:val="Footer Char"/>
    <w:basedOn w:val="DefaultParagraphFont"/>
    <w:link w:val="Footer"/>
    <w:uiPriority w:val="99"/>
    <w:semiHidden/>
    <w:rsid w:val="005210FC"/>
    <w:rPr>
      <w:sz w:val="24"/>
      <w:szCs w:val="24"/>
    </w:rPr>
  </w:style>
  <w:style w:type="character" w:styleId="PageNumber">
    <w:name w:val="page number"/>
    <w:basedOn w:val="DefaultParagraphFont"/>
    <w:uiPriority w:val="99"/>
    <w:rsid w:val="00B72337"/>
  </w:style>
  <w:style w:type="paragraph" w:styleId="Header">
    <w:name w:val="header"/>
    <w:basedOn w:val="Normal"/>
    <w:link w:val="HeaderChar"/>
    <w:uiPriority w:val="99"/>
    <w:rsid w:val="00017426"/>
    <w:pPr>
      <w:tabs>
        <w:tab w:val="center" w:pos="4536"/>
        <w:tab w:val="right" w:pos="9072"/>
      </w:tabs>
    </w:pPr>
  </w:style>
  <w:style w:type="character" w:customStyle="1" w:styleId="HeaderChar">
    <w:name w:val="Header Char"/>
    <w:basedOn w:val="DefaultParagraphFont"/>
    <w:link w:val="Header"/>
    <w:uiPriority w:val="99"/>
    <w:semiHidden/>
    <w:rsid w:val="005210FC"/>
    <w:rPr>
      <w:sz w:val="24"/>
      <w:szCs w:val="24"/>
    </w:rPr>
  </w:style>
  <w:style w:type="character" w:customStyle="1" w:styleId="EmailStyle261">
    <w:name w:val="EmailStyle261"/>
    <w:basedOn w:val="DefaultParagraphFont"/>
    <w:uiPriority w:val="99"/>
    <w:semiHidden/>
    <w:rsid w:val="005171AD"/>
    <w:rPr>
      <w:rFonts w:ascii="Arial" w:hAnsi="Arial" w:cs="Arial"/>
      <w:color w:val="auto"/>
      <w:sz w:val="20"/>
      <w:szCs w:val="20"/>
    </w:rPr>
  </w:style>
  <w:style w:type="paragraph" w:styleId="FootnoteText">
    <w:name w:val="footnote text"/>
    <w:basedOn w:val="Normal"/>
    <w:link w:val="FootnoteTextChar"/>
    <w:uiPriority w:val="99"/>
    <w:semiHidden/>
    <w:rsid w:val="000C5C8B"/>
    <w:rPr>
      <w:sz w:val="20"/>
      <w:szCs w:val="20"/>
    </w:rPr>
  </w:style>
  <w:style w:type="character" w:customStyle="1" w:styleId="FootnoteTextChar">
    <w:name w:val="Footnote Text Char"/>
    <w:basedOn w:val="DefaultParagraphFont"/>
    <w:link w:val="FootnoteText"/>
    <w:uiPriority w:val="99"/>
    <w:semiHidden/>
    <w:rsid w:val="005210FC"/>
    <w:rPr>
      <w:sz w:val="20"/>
      <w:szCs w:val="20"/>
    </w:rPr>
  </w:style>
  <w:style w:type="character" w:styleId="FootnoteReference">
    <w:name w:val="footnote reference"/>
    <w:basedOn w:val="DefaultParagraphFont"/>
    <w:uiPriority w:val="99"/>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uiPriority w:val="99"/>
    <w:semiHidden/>
    <w:rsid w:val="00370430"/>
    <w:rPr>
      <w:rFonts w:ascii="Tahoma" w:hAnsi="Tahoma" w:cs="Tahoma"/>
      <w:sz w:val="16"/>
      <w:szCs w:val="16"/>
    </w:rPr>
  </w:style>
  <w:style w:type="character" w:customStyle="1" w:styleId="BalloonTextChar">
    <w:name w:val="Balloon Text Char"/>
    <w:basedOn w:val="DefaultParagraphFont"/>
    <w:link w:val="BalloonText"/>
    <w:uiPriority w:val="99"/>
    <w:semiHidden/>
    <w:rsid w:val="005210FC"/>
    <w:rPr>
      <w:sz w:val="0"/>
      <w:szCs w:val="0"/>
    </w:rPr>
  </w:style>
  <w:style w:type="paragraph" w:styleId="Caption">
    <w:name w:val="caption"/>
    <w:basedOn w:val="Normal"/>
    <w:next w:val="Normal"/>
    <w:unhideWhenUsed/>
    <w:qFormat/>
    <w:locked/>
    <w:rsid w:val="00174319"/>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D"/>
    <w:rPr>
      <w:sz w:val="24"/>
      <w:szCs w:val="24"/>
    </w:rPr>
  </w:style>
  <w:style w:type="paragraph" w:styleId="Heading1">
    <w:name w:val="heading 1"/>
    <w:basedOn w:val="Normal"/>
    <w:next w:val="Normal"/>
    <w:link w:val="Heading1Char"/>
    <w:uiPriority w:val="99"/>
    <w:qFormat/>
    <w:rsid w:val="007750EF"/>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7750EF"/>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qFormat/>
    <w:rsid w:val="007750EF"/>
    <w:pPr>
      <w:keepNext/>
      <w:tabs>
        <w:tab w:val="num" w:pos="720"/>
      </w:tabs>
      <w:suppressAutoHyphens/>
      <w:spacing w:before="240" w:after="60"/>
      <w:ind w:left="720" w:hanging="720"/>
      <w:outlineLvl w:val="2"/>
    </w:pPr>
    <w:rPr>
      <w:rFonts w:ascii="Arial" w:hAnsi="Arial" w:cs="Arial"/>
      <w:b/>
      <w:bCs/>
      <w:sz w:val="26"/>
      <w:szCs w:val="26"/>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10F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210F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210FC"/>
    <w:rPr>
      <w:rFonts w:asciiTheme="majorHAnsi" w:eastAsiaTheme="majorEastAsia" w:hAnsiTheme="majorHAnsi" w:cstheme="majorBidi"/>
      <w:b/>
      <w:bCs/>
      <w:sz w:val="26"/>
      <w:szCs w:val="26"/>
    </w:rPr>
  </w:style>
  <w:style w:type="character" w:styleId="Hyperlink">
    <w:name w:val="Hyperlink"/>
    <w:basedOn w:val="DefaultParagraphFont"/>
    <w:uiPriority w:val="99"/>
    <w:rsid w:val="001F0A81"/>
    <w:rPr>
      <w:color w:val="0000FF"/>
      <w:u w:val="single"/>
    </w:rPr>
  </w:style>
  <w:style w:type="paragraph" w:styleId="DocumentMap">
    <w:name w:val="Document Map"/>
    <w:basedOn w:val="Normal"/>
    <w:link w:val="DocumentMapChar"/>
    <w:uiPriority w:val="99"/>
    <w:semiHidden/>
    <w:rsid w:val="00C805B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5210FC"/>
    <w:rPr>
      <w:sz w:val="0"/>
      <w:szCs w:val="0"/>
    </w:rPr>
  </w:style>
  <w:style w:type="paragraph" w:styleId="Footer">
    <w:name w:val="footer"/>
    <w:basedOn w:val="Normal"/>
    <w:link w:val="FooterChar"/>
    <w:uiPriority w:val="99"/>
    <w:rsid w:val="00B72337"/>
    <w:pPr>
      <w:tabs>
        <w:tab w:val="center" w:pos="4536"/>
        <w:tab w:val="right" w:pos="9072"/>
      </w:tabs>
    </w:pPr>
  </w:style>
  <w:style w:type="character" w:customStyle="1" w:styleId="FooterChar">
    <w:name w:val="Footer Char"/>
    <w:basedOn w:val="DefaultParagraphFont"/>
    <w:link w:val="Footer"/>
    <w:uiPriority w:val="99"/>
    <w:semiHidden/>
    <w:rsid w:val="005210FC"/>
    <w:rPr>
      <w:sz w:val="24"/>
      <w:szCs w:val="24"/>
    </w:rPr>
  </w:style>
  <w:style w:type="character" w:styleId="PageNumber">
    <w:name w:val="page number"/>
    <w:basedOn w:val="DefaultParagraphFont"/>
    <w:uiPriority w:val="99"/>
    <w:rsid w:val="00B72337"/>
  </w:style>
  <w:style w:type="paragraph" w:styleId="Header">
    <w:name w:val="header"/>
    <w:basedOn w:val="Normal"/>
    <w:link w:val="HeaderChar"/>
    <w:uiPriority w:val="99"/>
    <w:rsid w:val="00017426"/>
    <w:pPr>
      <w:tabs>
        <w:tab w:val="center" w:pos="4536"/>
        <w:tab w:val="right" w:pos="9072"/>
      </w:tabs>
    </w:pPr>
  </w:style>
  <w:style w:type="character" w:customStyle="1" w:styleId="HeaderChar">
    <w:name w:val="Header Char"/>
    <w:basedOn w:val="DefaultParagraphFont"/>
    <w:link w:val="Header"/>
    <w:uiPriority w:val="99"/>
    <w:semiHidden/>
    <w:rsid w:val="005210FC"/>
    <w:rPr>
      <w:sz w:val="24"/>
      <w:szCs w:val="24"/>
    </w:rPr>
  </w:style>
  <w:style w:type="character" w:customStyle="1" w:styleId="EmailStyle261">
    <w:name w:val="EmailStyle261"/>
    <w:basedOn w:val="DefaultParagraphFont"/>
    <w:uiPriority w:val="99"/>
    <w:semiHidden/>
    <w:rsid w:val="005171AD"/>
    <w:rPr>
      <w:rFonts w:ascii="Arial" w:hAnsi="Arial" w:cs="Arial"/>
      <w:color w:val="auto"/>
      <w:sz w:val="20"/>
      <w:szCs w:val="20"/>
    </w:rPr>
  </w:style>
  <w:style w:type="paragraph" w:styleId="FootnoteText">
    <w:name w:val="footnote text"/>
    <w:basedOn w:val="Normal"/>
    <w:link w:val="FootnoteTextChar"/>
    <w:uiPriority w:val="99"/>
    <w:semiHidden/>
    <w:rsid w:val="000C5C8B"/>
    <w:rPr>
      <w:sz w:val="20"/>
      <w:szCs w:val="20"/>
    </w:rPr>
  </w:style>
  <w:style w:type="character" w:customStyle="1" w:styleId="FootnoteTextChar">
    <w:name w:val="Footnote Text Char"/>
    <w:basedOn w:val="DefaultParagraphFont"/>
    <w:link w:val="FootnoteText"/>
    <w:uiPriority w:val="99"/>
    <w:semiHidden/>
    <w:rsid w:val="005210FC"/>
    <w:rPr>
      <w:sz w:val="20"/>
      <w:szCs w:val="20"/>
    </w:rPr>
  </w:style>
  <w:style w:type="character" w:styleId="FootnoteReference">
    <w:name w:val="footnote reference"/>
    <w:basedOn w:val="DefaultParagraphFont"/>
    <w:uiPriority w:val="99"/>
    <w:semiHidden/>
    <w:rsid w:val="000C5C8B"/>
    <w:rPr>
      <w:vertAlign w:val="superscript"/>
    </w:rPr>
  </w:style>
  <w:style w:type="paragraph" w:styleId="NormalWeb">
    <w:name w:val="Normal (Web)"/>
    <w:basedOn w:val="Normal"/>
    <w:uiPriority w:val="99"/>
    <w:rsid w:val="005F51ED"/>
    <w:pPr>
      <w:spacing w:before="100" w:beforeAutospacing="1" w:after="100" w:afterAutospacing="1"/>
    </w:pPr>
  </w:style>
  <w:style w:type="paragraph" w:styleId="BalloonText">
    <w:name w:val="Balloon Text"/>
    <w:basedOn w:val="Normal"/>
    <w:link w:val="BalloonTextChar"/>
    <w:uiPriority w:val="99"/>
    <w:semiHidden/>
    <w:rsid w:val="00370430"/>
    <w:rPr>
      <w:rFonts w:ascii="Tahoma" w:hAnsi="Tahoma" w:cs="Tahoma"/>
      <w:sz w:val="16"/>
      <w:szCs w:val="16"/>
    </w:rPr>
  </w:style>
  <w:style w:type="character" w:customStyle="1" w:styleId="BalloonTextChar">
    <w:name w:val="Balloon Text Char"/>
    <w:basedOn w:val="DefaultParagraphFont"/>
    <w:link w:val="BalloonText"/>
    <w:uiPriority w:val="99"/>
    <w:semiHidden/>
    <w:rsid w:val="005210FC"/>
    <w:rPr>
      <w:sz w:val="0"/>
      <w:szCs w:val="0"/>
    </w:rPr>
  </w:style>
  <w:style w:type="paragraph" w:styleId="Caption">
    <w:name w:val="caption"/>
    <w:basedOn w:val="Normal"/>
    <w:next w:val="Normal"/>
    <w:unhideWhenUsed/>
    <w:qFormat/>
    <w:locked/>
    <w:rsid w:val="00174319"/>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98887">
      <w:bodyDiv w:val="1"/>
      <w:marLeft w:val="0"/>
      <w:marRight w:val="0"/>
      <w:marTop w:val="0"/>
      <w:marBottom w:val="0"/>
      <w:divBdr>
        <w:top w:val="none" w:sz="0" w:space="0" w:color="auto"/>
        <w:left w:val="none" w:sz="0" w:space="0" w:color="auto"/>
        <w:bottom w:val="none" w:sz="0" w:space="0" w:color="auto"/>
        <w:right w:val="none" w:sz="0" w:space="0" w:color="auto"/>
      </w:divBdr>
    </w:div>
    <w:div w:id="396904430">
      <w:bodyDiv w:val="1"/>
      <w:marLeft w:val="0"/>
      <w:marRight w:val="0"/>
      <w:marTop w:val="0"/>
      <w:marBottom w:val="0"/>
      <w:divBdr>
        <w:top w:val="none" w:sz="0" w:space="0" w:color="auto"/>
        <w:left w:val="none" w:sz="0" w:space="0" w:color="auto"/>
        <w:bottom w:val="none" w:sz="0" w:space="0" w:color="auto"/>
        <w:right w:val="none" w:sz="0" w:space="0" w:color="auto"/>
      </w:divBdr>
    </w:div>
    <w:div w:id="717120473">
      <w:bodyDiv w:val="1"/>
      <w:marLeft w:val="0"/>
      <w:marRight w:val="0"/>
      <w:marTop w:val="0"/>
      <w:marBottom w:val="0"/>
      <w:divBdr>
        <w:top w:val="none" w:sz="0" w:space="0" w:color="auto"/>
        <w:left w:val="none" w:sz="0" w:space="0" w:color="auto"/>
        <w:bottom w:val="none" w:sz="0" w:space="0" w:color="auto"/>
        <w:right w:val="none" w:sz="0" w:space="0" w:color="auto"/>
      </w:divBdr>
    </w:div>
    <w:div w:id="1357537453">
      <w:bodyDiv w:val="1"/>
      <w:marLeft w:val="0"/>
      <w:marRight w:val="0"/>
      <w:marTop w:val="0"/>
      <w:marBottom w:val="0"/>
      <w:divBdr>
        <w:top w:val="none" w:sz="0" w:space="0" w:color="auto"/>
        <w:left w:val="none" w:sz="0" w:space="0" w:color="auto"/>
        <w:bottom w:val="none" w:sz="0" w:space="0" w:color="auto"/>
        <w:right w:val="none" w:sz="0" w:space="0" w:color="auto"/>
      </w:divBdr>
    </w:div>
    <w:div w:id="1456632100">
      <w:marLeft w:val="0"/>
      <w:marRight w:val="0"/>
      <w:marTop w:val="0"/>
      <w:marBottom w:val="0"/>
      <w:divBdr>
        <w:top w:val="none" w:sz="0" w:space="0" w:color="auto"/>
        <w:left w:val="none" w:sz="0" w:space="0" w:color="auto"/>
        <w:bottom w:val="none" w:sz="0" w:space="0" w:color="auto"/>
        <w:right w:val="none" w:sz="0" w:space="0" w:color="auto"/>
      </w:divBdr>
    </w:div>
    <w:div w:id="1456632101">
      <w:marLeft w:val="0"/>
      <w:marRight w:val="0"/>
      <w:marTop w:val="0"/>
      <w:marBottom w:val="0"/>
      <w:divBdr>
        <w:top w:val="none" w:sz="0" w:space="0" w:color="auto"/>
        <w:left w:val="none" w:sz="0" w:space="0" w:color="auto"/>
        <w:bottom w:val="none" w:sz="0" w:space="0" w:color="auto"/>
        <w:right w:val="none" w:sz="0" w:space="0" w:color="auto"/>
      </w:divBdr>
    </w:div>
    <w:div w:id="1456632102">
      <w:marLeft w:val="0"/>
      <w:marRight w:val="0"/>
      <w:marTop w:val="0"/>
      <w:marBottom w:val="0"/>
      <w:divBdr>
        <w:top w:val="none" w:sz="0" w:space="0" w:color="auto"/>
        <w:left w:val="none" w:sz="0" w:space="0" w:color="auto"/>
        <w:bottom w:val="none" w:sz="0" w:space="0" w:color="auto"/>
        <w:right w:val="none" w:sz="0" w:space="0" w:color="auto"/>
      </w:divBdr>
    </w:div>
    <w:div w:id="1456632103">
      <w:marLeft w:val="0"/>
      <w:marRight w:val="0"/>
      <w:marTop w:val="0"/>
      <w:marBottom w:val="0"/>
      <w:divBdr>
        <w:top w:val="none" w:sz="0" w:space="0" w:color="auto"/>
        <w:left w:val="none" w:sz="0" w:space="0" w:color="auto"/>
        <w:bottom w:val="none" w:sz="0" w:space="0" w:color="auto"/>
        <w:right w:val="none" w:sz="0" w:space="0" w:color="auto"/>
      </w:divBdr>
    </w:div>
    <w:div w:id="1497187402">
      <w:bodyDiv w:val="1"/>
      <w:marLeft w:val="0"/>
      <w:marRight w:val="0"/>
      <w:marTop w:val="0"/>
      <w:marBottom w:val="0"/>
      <w:divBdr>
        <w:top w:val="none" w:sz="0" w:space="0" w:color="auto"/>
        <w:left w:val="none" w:sz="0" w:space="0" w:color="auto"/>
        <w:bottom w:val="none" w:sz="0" w:space="0" w:color="auto"/>
        <w:right w:val="none" w:sz="0" w:space="0" w:color="auto"/>
      </w:divBdr>
    </w:div>
    <w:div w:id="1713723818">
      <w:bodyDiv w:val="1"/>
      <w:marLeft w:val="0"/>
      <w:marRight w:val="0"/>
      <w:marTop w:val="0"/>
      <w:marBottom w:val="0"/>
      <w:divBdr>
        <w:top w:val="none" w:sz="0" w:space="0" w:color="auto"/>
        <w:left w:val="none" w:sz="0" w:space="0" w:color="auto"/>
        <w:bottom w:val="none" w:sz="0" w:space="0" w:color="auto"/>
        <w:right w:val="none" w:sz="0" w:space="0" w:color="auto"/>
      </w:divBdr>
    </w:div>
    <w:div w:id="1748729192">
      <w:bodyDiv w:val="1"/>
      <w:marLeft w:val="0"/>
      <w:marRight w:val="0"/>
      <w:marTop w:val="0"/>
      <w:marBottom w:val="0"/>
      <w:divBdr>
        <w:top w:val="none" w:sz="0" w:space="0" w:color="auto"/>
        <w:left w:val="none" w:sz="0" w:space="0" w:color="auto"/>
        <w:bottom w:val="none" w:sz="0" w:space="0" w:color="auto"/>
        <w:right w:val="none" w:sz="0" w:space="0" w:color="auto"/>
      </w:divBdr>
    </w:div>
    <w:div w:id="18654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lin.koksal@eas.bau.edu.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erve.akgul\AppData\Local\Microsoft\Windows\Temporary%20Internet%20Files\Content.Outlook\XQDM7WCV\seyfettin.gursel@eas.bahcesehir.edu.tr" TargetMode="Externa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AA2C8B-0CEE-4B9E-98F7-BB25FC691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1092</Words>
  <Characters>6230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baris.soybilgen</dc:creator>
  <cp:lastModifiedBy>merve.akgul</cp:lastModifiedBy>
  <cp:revision>2</cp:revision>
  <cp:lastPrinted>2016-09-21T13:55:00Z</cp:lastPrinted>
  <dcterms:created xsi:type="dcterms:W3CDTF">2016-09-22T08:22:00Z</dcterms:created>
  <dcterms:modified xsi:type="dcterms:W3CDTF">2016-09-22T08:22:00Z</dcterms:modified>
</cp:coreProperties>
</file>