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Pr="00F20918" w:rsidRDefault="0093214C" w:rsidP="00AE0BBB">
      <w:pPr>
        <w:spacing w:line="288" w:lineRule="auto"/>
        <w:ind w:right="-319"/>
        <w:jc w:val="center"/>
        <w:rPr>
          <w:rFonts w:ascii="Arial" w:hAnsi="Arial" w:cs="Arial"/>
          <w:b/>
          <w:bCs/>
          <w:sz w:val="20"/>
          <w:szCs w:val="20"/>
        </w:rPr>
      </w:pPr>
      <w:r w:rsidRPr="00F20918">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-77470</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AC" w:rsidRDefault="00CB6FAC"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CB6FAC" w:rsidRPr="00803E3E" w:rsidRDefault="00CB6FAC" w:rsidP="00803E3E">
                            <w:pPr>
                              <w:pStyle w:val="Heading1"/>
                              <w:rPr>
                                <w:rFonts w:ascii="Times New Roman" w:hAnsi="Times New Roman" w:cs="Times New Roman"/>
                                <w:sz w:val="40"/>
                                <w:szCs w:val="40"/>
                              </w:rPr>
                            </w:pPr>
                            <w:r>
                              <w:rPr>
                                <w:rFonts w:ascii="Times New Roman" w:hAnsi="Times New Roman" w:cs="Times New Roman"/>
                                <w:sz w:val="40"/>
                                <w:szCs w:val="40"/>
                              </w:rPr>
                              <w:t xml:space="preserve">2016 </w:t>
                            </w:r>
                            <w:r w:rsidR="00E749EF">
                              <w:rPr>
                                <w:rFonts w:ascii="Times New Roman" w:hAnsi="Times New Roman" w:cs="Times New Roman"/>
                                <w:sz w:val="40"/>
                                <w:szCs w:val="40"/>
                              </w:rPr>
                              <w:t>2</w:t>
                            </w:r>
                            <w:r w:rsidRPr="00803E3E">
                              <w:rPr>
                                <w:rFonts w:ascii="Times New Roman" w:hAnsi="Times New Roman" w:cs="Times New Roman"/>
                                <w:sz w:val="40"/>
                                <w:szCs w:val="40"/>
                              </w:rPr>
                              <w:t>. Çeyrek</w:t>
                            </w:r>
                          </w:p>
                          <w:p w:rsidR="00CB6FAC" w:rsidRPr="00526178" w:rsidRDefault="00CB6FAC"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9pt;margin-top:-6.1pt;width:342pt;height:51.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VuiQIAAB0FAAAOAAAAZHJzL2Uyb0RvYy54bWysVG1v2yAQ/j5p/wHxPfXL3DS26lRNukyT&#10;uhep3Q8gGMdoGBiQ2F21/74D4vRlX6ZpjkQO7nh47u6By6uxF+jAjOVK1jg7SzFikqqGy12Nv91v&#10;ZguMrCOyIUJJVuMHZvHV8u2by0FXLFedEg0zCECkrQZd4845XSWJpR3riT1Tmklwtsr0xMHU7JLG&#10;kAHQe5HkaTpPBmUabRRl1sLqTXTiZcBvW0bdl7a1zCFRY+DmwmjCuPVjsrwk1c4Q3XF6pEH+gUVP&#10;uIRDT1A3xBG0N/wPqJ5To6xq3RlVfaLallMWcoBssvRVNncd0SzkAsWx+lQm+/9g6efDV4N4U+Mc&#10;yiNJDz26Z6NDKzWi3Jdn0LaCqDsNcW6EZWhzSNXqW0W/WyTVuiNyx66NUUPHSAP0Mr8zebY14lgP&#10;sh0+qQaOIXunAtDYmt7XDqqBAB14PJxa46lQWCzewS8FFwXfvFiUF6F3Camm3dpY94GpHnmjxgZa&#10;H9DJ4dY6z4ZUU4g/zCrBmw0XIkzMbrsWBh0IyGQTvrhX6I7E1ek4G0MD3gsMIT2SVB4zHhdXIAMg&#10;4H0+l6CJxzLLi3SVl7PNfHExKzbF+QwSWszSrFyV87Qoi5vNL88gK6qONw2Tt1yySZ9Z8Xf9P96U&#10;qKygUDTUuDzPz0NyL9gf0zrmmvovtPBVoXru4LoK3td4cQoile/6e9lA2qRyhItoJy/ph5JBDab/&#10;UJWgES+LKBA3bkdA8cLZquYB1GIUNBP6Dm8MGJ0yPzEa4L7W2P7YE8MwEh8lKA5C3GSYydhOBpEU&#10;ttbYYRTNtYuPwF4bvusAOWpaqmtQZcuDYJ5YAGU/gTsYyB/fC3/Jn89D1NOrtvwNAAD//wMAUEsD&#10;BBQABgAIAAAAIQA5k7B13QAAAAoBAAAPAAAAZHJzL2Rvd25yZXYueG1sTI/BTsMwEETvSPyDtUjc&#10;WqdGAifEqaAIroiA1KubbOMo8TqK3Tb8PcsJjjM7mn1Tbhc/ijPOsQ9kYLPOQCA1oe2pM/D1+brS&#10;IGKy1NoxEBr4xgjb6vqqtEUbLvSB5zp1gksoFtaAS2kqpIyNQ2/jOkxIfDuG2dvEcu5kO9sLl/tR&#10;qiy7l972xB+cnXDnsBnqkzdw964e9vGtftlNe8wHHZ+HIzljbm+Wp0cQCZf0F4ZffEaHipkO4URt&#10;FCPrXPOWZGC1UQoEJ7RW7BwM5FkGsirl/wnVDwAAAP//AwBQSwECLQAUAAYACAAAACEAtoM4kv4A&#10;AADhAQAAEwAAAAAAAAAAAAAAAAAAAAAAW0NvbnRlbnRfVHlwZXNdLnhtbFBLAQItABQABgAIAAAA&#10;IQA4/SH/1gAAAJQBAAALAAAAAAAAAAAAAAAAAC8BAABfcmVscy8ucmVsc1BLAQItABQABgAIAAAA&#10;IQCzqTVuiQIAAB0FAAAOAAAAAAAAAAAAAAAAAC4CAABkcnMvZTJvRG9jLnhtbFBLAQItABQABgAI&#10;AAAAIQA5k7B13QAAAAoBAAAPAAAAAAAAAAAAAAAAAOMEAABkcnMvZG93bnJldi54bWxQSwUGAAAA&#10;AAQABADzAAAA7QUAAAAA&#10;" stroked="f">
                <v:fill opacity="0"/>
                <v:textbox inset="0,0,0,0">
                  <w:txbxContent>
                    <w:p w:rsidR="00CB6FAC" w:rsidRDefault="00CB6FAC"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CB6FAC" w:rsidRPr="00803E3E" w:rsidRDefault="00CB6FAC" w:rsidP="00803E3E">
                      <w:pPr>
                        <w:pStyle w:val="Heading1"/>
                        <w:rPr>
                          <w:rFonts w:ascii="Times New Roman" w:hAnsi="Times New Roman" w:cs="Times New Roman"/>
                          <w:sz w:val="40"/>
                          <w:szCs w:val="40"/>
                        </w:rPr>
                      </w:pPr>
                      <w:r>
                        <w:rPr>
                          <w:rFonts w:ascii="Times New Roman" w:hAnsi="Times New Roman" w:cs="Times New Roman"/>
                          <w:sz w:val="40"/>
                          <w:szCs w:val="40"/>
                        </w:rPr>
                        <w:t xml:space="preserve">2016 </w:t>
                      </w:r>
                      <w:r w:rsidR="00E749EF">
                        <w:rPr>
                          <w:rFonts w:ascii="Times New Roman" w:hAnsi="Times New Roman" w:cs="Times New Roman"/>
                          <w:sz w:val="40"/>
                          <w:szCs w:val="40"/>
                        </w:rPr>
                        <w:t>2</w:t>
                      </w:r>
                      <w:r w:rsidRPr="00803E3E">
                        <w:rPr>
                          <w:rFonts w:ascii="Times New Roman" w:hAnsi="Times New Roman" w:cs="Times New Roman"/>
                          <w:sz w:val="40"/>
                          <w:szCs w:val="40"/>
                        </w:rPr>
                        <w:t>. Çeyrek</w:t>
                      </w:r>
                    </w:p>
                    <w:p w:rsidR="00CB6FAC" w:rsidRPr="00526178" w:rsidRDefault="00CB6FAC" w:rsidP="007750EF">
                      <w:pPr>
                        <w:pStyle w:val="Heading2"/>
                        <w:rPr>
                          <w:b w:val="0"/>
                          <w:bCs w:val="0"/>
                          <w:i w:val="0"/>
                          <w:iCs w:val="0"/>
                        </w:rPr>
                      </w:pPr>
                    </w:p>
                  </w:txbxContent>
                </v:textbox>
              </v:shape>
            </w:pict>
          </mc:Fallback>
        </mc:AlternateContent>
      </w:r>
      <w:r w:rsidR="005A7A25" w:rsidRPr="00F20918">
        <w:rPr>
          <w:noProof/>
        </w:rPr>
        <w:drawing>
          <wp:anchor distT="0" distB="0" distL="114300" distR="114300" simplePos="0" relativeHeight="251654144"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93214C" w:rsidP="00AE0BBB">
      <w:pPr>
        <w:spacing w:line="288" w:lineRule="auto"/>
        <w:ind w:right="-319"/>
        <w:jc w:val="center"/>
        <w:rPr>
          <w:rFonts w:ascii="Arial" w:hAnsi="Arial" w:cs="Arial"/>
          <w:b/>
          <w:bCs/>
          <w:sz w:val="20"/>
          <w:szCs w:val="20"/>
        </w:rPr>
      </w:pPr>
      <w:r w:rsidRPr="00F20918">
        <w:rPr>
          <w:noProof/>
        </w:rPr>
        <mc:AlternateContent>
          <mc:Choice Requires="wps">
            <w:drawing>
              <wp:anchor distT="0" distB="0" distL="114935" distR="114935" simplePos="0" relativeHeight="251658240" behindDoc="0" locked="0" layoutInCell="1" allowOverlap="1">
                <wp:simplePos x="0" y="0"/>
                <wp:positionH relativeFrom="column">
                  <wp:posOffset>4740910</wp:posOffset>
                </wp:positionH>
                <wp:positionV relativeFrom="paragraph">
                  <wp:posOffset>127635</wp:posOffset>
                </wp:positionV>
                <wp:extent cx="1711960"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AC" w:rsidRPr="00187FA0" w:rsidRDefault="00CB6FAC" w:rsidP="007750EF">
                            <w:pPr>
                              <w:pStyle w:val="Heading3"/>
                              <w:rPr>
                                <w:color w:val="FFFFFF"/>
                                <w:sz w:val="22"/>
                                <w:szCs w:val="22"/>
                                <w:lang w:val="tr-TR"/>
                              </w:rPr>
                            </w:pPr>
                            <w:r w:rsidRPr="00187FA0">
                              <w:rPr>
                                <w:color w:val="FFFFFF"/>
                                <w:sz w:val="22"/>
                                <w:szCs w:val="22"/>
                                <w:lang w:val="tr-TR"/>
                              </w:rPr>
                              <w:t xml:space="preserve">               </w:t>
                            </w:r>
                            <w:r w:rsidR="00E749EF">
                              <w:rPr>
                                <w:color w:val="FFFFFF"/>
                                <w:sz w:val="22"/>
                                <w:szCs w:val="22"/>
                                <w:lang w:val="tr-TR"/>
                              </w:rPr>
                              <w:t xml:space="preserve">9 </w:t>
                            </w:r>
                            <w:r w:rsidR="00E749EF">
                              <w:rPr>
                                <w:color w:val="FFFFFF"/>
                                <w:sz w:val="22"/>
                                <w:szCs w:val="22"/>
                                <w:lang w:val="tr-TR"/>
                              </w:rPr>
                              <w:t>Eylül</w:t>
                            </w:r>
                            <w:r>
                              <w:rPr>
                                <w:color w:val="FFFFFF"/>
                                <w:sz w:val="22"/>
                                <w:szCs w:val="22"/>
                                <w:lang w:val="tr-TR"/>
                              </w:rPr>
                              <w:t xml:space="preserve"> 2016</w:t>
                            </w:r>
                          </w:p>
                          <w:p w:rsidR="00CB6FAC" w:rsidRPr="00187FA0" w:rsidRDefault="00CB6FAC"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left:0;text-align:left;margin-left:373.3pt;margin-top:10.0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9igIAACQ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1b&#10;YCRJBz16ZINDGzWgN748vbYleD1o8HMDLINroGr1vaJfLZLqtiVyz26MUX3LSA3pZf5k8uJoxLEe&#10;ZNd/UDWEIQenAtDQmM7XDqqBAB3a9HRujU+F+pCLLCvmsEVhL5/lc7B9CFKOp7Wx7h1THfJGhQ20&#10;PqCT47110XV08cGsErzeciHCxOx3t8KgIwGZbMMXzwrdkrg6hrPRNYS+wBDSI0nlMWO4uAIMIAG/&#10;57kETTwX2TRPN9Nisp0vF5N8m88mxSJdTtKs2ADLvMjvtj98Blletryumbznko36zPK/6//ppkRl&#10;BYWivsLFbDoL5C6yP9E6cU39d6rvhVvHHVxXwbsKL89OpPRdfytroE1KR7iIdnKZfigZ1GD8h6oE&#10;jXhZRIG4YTdENY7S26n6CURjFPQU2g9PDRitMt8x6uHaVth+OxDDMBLvJQjP3/HRMKOxGw0iKRyt&#10;sMMomrcuvgUHbfi+BeQobaluQJwND7rxKo5ZQOZ+AlcxcDg9G/6uv5wHr1+P2/onAAAA//8DAFBL&#10;AwQUAAYACAAAACEAQplB6d4AAAAKAQAADwAAAGRycy9kb3ducmV2LnhtbEyPwU7DMBBE70j9B2sr&#10;caN2AkraEKeCIrgiAlKvbryNo8TrKHbb8Pe4J3pczdPM23I724GdcfKdIwnJSgBDapzuqJXw8/3+&#10;sAbmgyKtBkco4Rc9bKvFXakK7S70hec6tCyWkC+UBBPCWHDuG4NW+ZUbkWJ2dJNVIZ5Ty/WkLrHc&#10;DjwVIuNWdRQXjBpxZ7Dp65OV8PiZ5nv/Ub/txj1u+rV/7Y9kpLxfzi/PwALO4R+Gq35Uhyo6HdyJ&#10;tGeDhPwpyyIqIRUJsCsgkiwFdpCwSXLgVclvX6j+AAAA//8DAFBLAQItABQABgAIAAAAIQC2gziS&#10;/gAAAOEBAAATAAAAAAAAAAAAAAAAAAAAAABbQ29udGVudF9UeXBlc10ueG1sUEsBAi0AFAAGAAgA&#10;AAAhADj9If/WAAAAlAEAAAsAAAAAAAAAAAAAAAAALwEAAF9yZWxzLy5yZWxzUEsBAi0AFAAGAAgA&#10;AAAhAGawNf2KAgAAJAUAAA4AAAAAAAAAAAAAAAAALgIAAGRycy9lMm9Eb2MueG1sUEsBAi0AFAAG&#10;AAgAAAAhAEKZQeneAAAACgEAAA8AAAAAAAAAAAAAAAAA5AQAAGRycy9kb3ducmV2LnhtbFBLBQYA&#10;AAAABAAEAPMAAADvBQAAAAA=&#10;" stroked="f">
                <v:fill opacity="0"/>
                <v:textbox inset="0,0,0,0">
                  <w:txbxContent>
                    <w:p w:rsidR="00CB6FAC" w:rsidRPr="00187FA0" w:rsidRDefault="00CB6FAC" w:rsidP="007750EF">
                      <w:pPr>
                        <w:pStyle w:val="Heading3"/>
                        <w:rPr>
                          <w:color w:val="FFFFFF"/>
                          <w:sz w:val="22"/>
                          <w:szCs w:val="22"/>
                          <w:lang w:val="tr-TR"/>
                        </w:rPr>
                      </w:pPr>
                      <w:r w:rsidRPr="00187FA0">
                        <w:rPr>
                          <w:color w:val="FFFFFF"/>
                          <w:sz w:val="22"/>
                          <w:szCs w:val="22"/>
                          <w:lang w:val="tr-TR"/>
                        </w:rPr>
                        <w:t xml:space="preserve">               </w:t>
                      </w:r>
                      <w:r w:rsidR="00E749EF">
                        <w:rPr>
                          <w:color w:val="FFFFFF"/>
                          <w:sz w:val="22"/>
                          <w:szCs w:val="22"/>
                          <w:lang w:val="tr-TR"/>
                        </w:rPr>
                        <w:t>9 Eylül</w:t>
                      </w:r>
                      <w:r>
                        <w:rPr>
                          <w:color w:val="FFFFFF"/>
                          <w:sz w:val="22"/>
                          <w:szCs w:val="22"/>
                          <w:lang w:val="tr-TR"/>
                        </w:rPr>
                        <w:t xml:space="preserve"> 2016</w:t>
                      </w:r>
                    </w:p>
                    <w:p w:rsidR="00CB6FAC" w:rsidRPr="00187FA0" w:rsidRDefault="00CB6FAC" w:rsidP="007750EF"/>
                  </w:txbxContent>
                </v:textbox>
              </v:shape>
            </w:pict>
          </mc:Fallback>
        </mc:AlternateContent>
      </w: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B834FD" w:rsidP="00C805B9">
      <w:pPr>
        <w:spacing w:line="288" w:lineRule="auto"/>
        <w:ind w:right="-319"/>
        <w:jc w:val="center"/>
        <w:outlineLvl w:val="0"/>
        <w:rPr>
          <w:rFonts w:ascii="Arial" w:hAnsi="Arial" w:cs="Arial"/>
          <w:b/>
          <w:bCs/>
          <w:sz w:val="28"/>
          <w:szCs w:val="28"/>
        </w:rPr>
      </w:pPr>
    </w:p>
    <w:p w:rsidR="00B834FD" w:rsidRPr="00F20918" w:rsidRDefault="00B834FD" w:rsidP="007750EF">
      <w:pPr>
        <w:spacing w:line="288" w:lineRule="auto"/>
        <w:ind w:right="-319"/>
        <w:outlineLvl w:val="0"/>
        <w:rPr>
          <w:rFonts w:ascii="Arial" w:hAnsi="Arial" w:cs="Arial"/>
          <w:b/>
          <w:bCs/>
          <w:sz w:val="28"/>
          <w:szCs w:val="28"/>
        </w:rPr>
      </w:pPr>
    </w:p>
    <w:p w:rsidR="00FE3990" w:rsidRPr="00F20918" w:rsidRDefault="0093214C" w:rsidP="00C805B9">
      <w:pPr>
        <w:spacing w:line="288" w:lineRule="auto"/>
        <w:ind w:right="-319"/>
        <w:jc w:val="center"/>
        <w:outlineLvl w:val="0"/>
        <w:rPr>
          <w:rFonts w:ascii="Arial" w:hAnsi="Arial" w:cs="Arial"/>
          <w:b/>
          <w:bCs/>
          <w:sz w:val="28"/>
          <w:szCs w:val="28"/>
        </w:rPr>
      </w:pPr>
      <w:r w:rsidRPr="00F20918">
        <w:rPr>
          <w:rFonts w:ascii="Arial" w:hAnsi="Arial" w:cs="Arial"/>
          <w:b/>
          <w:bCs/>
          <w:sz w:val="28"/>
          <w:szCs w:val="28"/>
        </w:rPr>
        <w:t>İKİNCİ ÇEYREKTE BÜYÜMEDE SERT FREN</w:t>
      </w:r>
      <w:r w:rsidRPr="00F20918">
        <w:rPr>
          <w:rFonts w:ascii="Arial" w:hAnsi="Arial" w:cs="Arial"/>
          <w:b/>
          <w:bCs/>
          <w:sz w:val="28"/>
          <w:szCs w:val="28"/>
          <w:highlight w:val="yellow"/>
        </w:rPr>
        <w:t xml:space="preserve"> </w:t>
      </w:r>
    </w:p>
    <w:p w:rsidR="00B834FD" w:rsidRPr="00F20918" w:rsidRDefault="00B834FD" w:rsidP="00C805B9">
      <w:pPr>
        <w:spacing w:line="288" w:lineRule="auto"/>
        <w:ind w:right="-319"/>
        <w:jc w:val="center"/>
        <w:outlineLvl w:val="0"/>
        <w:rPr>
          <w:rFonts w:ascii="Arial" w:hAnsi="Arial" w:cs="Arial"/>
          <w:b/>
          <w:bCs/>
          <w:sz w:val="22"/>
          <w:szCs w:val="22"/>
        </w:rPr>
      </w:pPr>
    </w:p>
    <w:p w:rsidR="00B834FD" w:rsidRPr="00F20918" w:rsidRDefault="00B834FD" w:rsidP="00C805B9">
      <w:pPr>
        <w:spacing w:line="288" w:lineRule="auto"/>
        <w:ind w:right="-319"/>
        <w:jc w:val="center"/>
        <w:outlineLvl w:val="0"/>
        <w:rPr>
          <w:rFonts w:ascii="Arial" w:hAnsi="Arial" w:cs="Arial"/>
          <w:b/>
          <w:bCs/>
          <w:sz w:val="22"/>
          <w:szCs w:val="22"/>
        </w:rPr>
      </w:pPr>
      <w:r w:rsidRPr="00F20918">
        <w:rPr>
          <w:rFonts w:ascii="Arial" w:hAnsi="Arial" w:cs="Arial"/>
          <w:b/>
          <w:bCs/>
          <w:sz w:val="22"/>
          <w:szCs w:val="22"/>
        </w:rPr>
        <w:t>Seyfettin Gürsel</w:t>
      </w:r>
      <w:r w:rsidRPr="00F20918">
        <w:rPr>
          <w:rFonts w:ascii="Arial" w:hAnsi="Arial" w:cs="Arial"/>
          <w:b/>
          <w:bCs/>
          <w:sz w:val="22"/>
          <w:szCs w:val="22"/>
          <w:vertAlign w:val="superscript"/>
        </w:rPr>
        <w:t>•</w:t>
      </w:r>
      <w:r w:rsidR="00633032" w:rsidRPr="00F20918">
        <w:rPr>
          <w:rFonts w:ascii="Arial" w:hAnsi="Arial" w:cs="Arial"/>
          <w:b/>
          <w:bCs/>
          <w:sz w:val="22"/>
          <w:szCs w:val="22"/>
          <w:vertAlign w:val="superscript"/>
        </w:rPr>
        <w:t xml:space="preserve"> </w:t>
      </w:r>
      <w:r w:rsidR="003B36AB">
        <w:rPr>
          <w:rFonts w:ascii="Arial" w:hAnsi="Arial" w:cs="Arial"/>
          <w:b/>
          <w:bCs/>
          <w:sz w:val="22"/>
          <w:szCs w:val="22"/>
        </w:rPr>
        <w:t xml:space="preserve"> </w:t>
      </w:r>
      <w:r w:rsidRPr="00F20918">
        <w:rPr>
          <w:rFonts w:ascii="Arial" w:hAnsi="Arial" w:cs="Arial"/>
          <w:b/>
          <w:bCs/>
          <w:sz w:val="22"/>
          <w:szCs w:val="22"/>
        </w:rPr>
        <w:t xml:space="preserve">ve </w:t>
      </w:r>
      <w:r w:rsidR="00E749EF" w:rsidRPr="00F20918">
        <w:rPr>
          <w:rFonts w:ascii="Arial" w:hAnsi="Arial" w:cs="Arial"/>
          <w:b/>
          <w:bCs/>
          <w:sz w:val="22"/>
          <w:szCs w:val="22"/>
        </w:rPr>
        <w:t>Selin Köksal</w:t>
      </w:r>
      <w:r w:rsidRPr="00F20918">
        <w:rPr>
          <w:rFonts w:ascii="Arial" w:hAnsi="Arial" w:cs="Arial"/>
          <w:b/>
          <w:bCs/>
          <w:sz w:val="22"/>
          <w:szCs w:val="22"/>
          <w:vertAlign w:val="superscript"/>
        </w:rPr>
        <w:t>†</w:t>
      </w:r>
    </w:p>
    <w:p w:rsidR="00B834FD" w:rsidRPr="00F20918" w:rsidRDefault="00B834FD" w:rsidP="00AE0BBB">
      <w:pPr>
        <w:spacing w:line="288" w:lineRule="auto"/>
        <w:ind w:right="-318"/>
        <w:jc w:val="both"/>
        <w:rPr>
          <w:rFonts w:ascii="Arial" w:hAnsi="Arial" w:cs="Arial"/>
          <w:b/>
          <w:bCs/>
          <w:sz w:val="20"/>
          <w:szCs w:val="20"/>
        </w:rPr>
      </w:pPr>
    </w:p>
    <w:p w:rsidR="00B834FD" w:rsidRPr="00F20918" w:rsidRDefault="00B834FD" w:rsidP="00AE0BBB">
      <w:pPr>
        <w:spacing w:line="288" w:lineRule="auto"/>
        <w:ind w:right="-318"/>
        <w:jc w:val="both"/>
        <w:rPr>
          <w:rFonts w:ascii="Arial" w:hAnsi="Arial" w:cs="Arial"/>
          <w:b/>
          <w:bCs/>
          <w:sz w:val="20"/>
          <w:szCs w:val="20"/>
        </w:rPr>
        <w:sectPr w:rsidR="00B834FD" w:rsidRPr="00F20918"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F20918" w:rsidRDefault="00B834FD" w:rsidP="00110EBA">
      <w:pPr>
        <w:pStyle w:val="NormalWeb"/>
        <w:spacing w:before="0" w:beforeAutospacing="0" w:after="0" w:afterAutospacing="0"/>
        <w:jc w:val="both"/>
        <w:rPr>
          <w:rFonts w:ascii="Arial" w:hAnsi="Arial" w:cs="Arial"/>
          <w:sz w:val="22"/>
          <w:szCs w:val="22"/>
        </w:rPr>
      </w:pPr>
    </w:p>
    <w:p w:rsidR="00B834FD" w:rsidRPr="00F20918" w:rsidRDefault="00B834FD" w:rsidP="001C629C">
      <w:pPr>
        <w:pStyle w:val="NormalWeb"/>
        <w:spacing w:before="0" w:beforeAutospacing="0" w:after="0" w:afterAutospacing="0"/>
        <w:jc w:val="center"/>
        <w:rPr>
          <w:rFonts w:ascii="Arial" w:hAnsi="Arial" w:cs="Arial"/>
          <w:b/>
          <w:bCs/>
          <w:sz w:val="22"/>
          <w:szCs w:val="22"/>
        </w:rPr>
      </w:pPr>
      <w:r w:rsidRPr="00F20918">
        <w:rPr>
          <w:rFonts w:ascii="Arial" w:hAnsi="Arial" w:cs="Arial"/>
          <w:b/>
          <w:bCs/>
          <w:sz w:val="22"/>
          <w:szCs w:val="22"/>
        </w:rPr>
        <w:t>Yönetici özeti</w:t>
      </w:r>
    </w:p>
    <w:p w:rsidR="00B834FD" w:rsidRPr="00F20918" w:rsidRDefault="00B834FD" w:rsidP="0058797D">
      <w:pPr>
        <w:pStyle w:val="NormalWeb"/>
        <w:spacing w:before="0" w:beforeAutospacing="0" w:after="0" w:afterAutospacing="0"/>
        <w:rPr>
          <w:rFonts w:ascii="Arial" w:hAnsi="Arial" w:cs="Arial"/>
          <w:b/>
          <w:bCs/>
          <w:sz w:val="22"/>
          <w:szCs w:val="22"/>
          <w:highlight w:val="yellow"/>
        </w:rPr>
      </w:pPr>
    </w:p>
    <w:p w:rsidR="00621B82" w:rsidRPr="00F20918" w:rsidRDefault="00653D02" w:rsidP="004E3889">
      <w:pPr>
        <w:pStyle w:val="NormalWeb"/>
        <w:spacing w:before="0" w:beforeAutospacing="0" w:after="0" w:afterAutospacing="0" w:line="300" w:lineRule="atLeast"/>
        <w:jc w:val="both"/>
        <w:rPr>
          <w:rFonts w:ascii="Arial" w:hAnsi="Arial" w:cs="Arial"/>
          <w:sz w:val="20"/>
          <w:szCs w:val="20"/>
        </w:rPr>
      </w:pPr>
      <w:r w:rsidRPr="00F20918">
        <w:rPr>
          <w:rFonts w:ascii="Arial" w:hAnsi="Arial" w:cs="Arial"/>
          <w:sz w:val="20"/>
          <w:szCs w:val="20"/>
        </w:rPr>
        <w:t xml:space="preserve">Birinci çeyrekten ikinci çeyreğe </w:t>
      </w:r>
      <w:r w:rsidR="00DB1A7F" w:rsidRPr="00F20918">
        <w:rPr>
          <w:rFonts w:ascii="Arial" w:hAnsi="Arial" w:cs="Arial"/>
          <w:sz w:val="20"/>
          <w:szCs w:val="20"/>
        </w:rPr>
        <w:t xml:space="preserve">Gayri Safi Yurtiçi Hasıla (GSYH) mevsim ve takvim etkilerinden arındırılmış rakamlarla </w:t>
      </w:r>
      <w:r w:rsidRPr="00F20918">
        <w:rPr>
          <w:rFonts w:ascii="Arial" w:hAnsi="Arial" w:cs="Arial"/>
          <w:sz w:val="20"/>
          <w:szCs w:val="20"/>
        </w:rPr>
        <w:t xml:space="preserve">beklentilerin altında yüzde 0,3’lük bir artış gerçekleşti. </w:t>
      </w:r>
      <w:r w:rsidR="00DB1A7F" w:rsidRPr="00F20918">
        <w:rPr>
          <w:rFonts w:ascii="Arial" w:hAnsi="Arial" w:cs="Arial"/>
          <w:sz w:val="20"/>
          <w:szCs w:val="20"/>
        </w:rPr>
        <w:t xml:space="preserve">Yıllık olarak da </w:t>
      </w:r>
      <w:r w:rsidR="003F3737" w:rsidRPr="00F20918">
        <w:rPr>
          <w:rFonts w:ascii="Arial" w:hAnsi="Arial" w:cs="Arial"/>
          <w:sz w:val="20"/>
          <w:szCs w:val="20"/>
        </w:rPr>
        <w:t>201</w:t>
      </w:r>
      <w:r w:rsidR="00CB6FAC" w:rsidRPr="00F20918">
        <w:rPr>
          <w:rFonts w:ascii="Arial" w:hAnsi="Arial" w:cs="Arial"/>
          <w:sz w:val="20"/>
          <w:szCs w:val="20"/>
        </w:rPr>
        <w:t>6</w:t>
      </w:r>
      <w:r w:rsidR="00B834FD" w:rsidRPr="00F20918">
        <w:rPr>
          <w:rFonts w:ascii="Arial" w:hAnsi="Arial" w:cs="Arial"/>
          <w:sz w:val="20"/>
          <w:szCs w:val="20"/>
        </w:rPr>
        <w:t xml:space="preserve"> </w:t>
      </w:r>
      <w:r w:rsidRPr="00F20918">
        <w:rPr>
          <w:rFonts w:ascii="Arial" w:hAnsi="Arial" w:cs="Arial"/>
          <w:sz w:val="20"/>
          <w:szCs w:val="20"/>
        </w:rPr>
        <w:t>ikinci</w:t>
      </w:r>
      <w:r w:rsidR="00621B82" w:rsidRPr="00F20918">
        <w:rPr>
          <w:rFonts w:ascii="Arial" w:hAnsi="Arial" w:cs="Arial"/>
          <w:sz w:val="20"/>
          <w:szCs w:val="20"/>
        </w:rPr>
        <w:t xml:space="preserve"> </w:t>
      </w:r>
      <w:r w:rsidR="00B834FD" w:rsidRPr="00F20918">
        <w:rPr>
          <w:rFonts w:ascii="Arial" w:hAnsi="Arial" w:cs="Arial"/>
          <w:sz w:val="20"/>
          <w:szCs w:val="20"/>
        </w:rPr>
        <w:t>çeyreğinde</w:t>
      </w:r>
      <w:r w:rsidR="00DB1A7F" w:rsidRPr="00F20918">
        <w:rPr>
          <w:rFonts w:ascii="Arial" w:hAnsi="Arial" w:cs="Arial"/>
          <w:sz w:val="20"/>
          <w:szCs w:val="20"/>
        </w:rPr>
        <w:t xml:space="preserve"> Türkiye ekonomisi </w:t>
      </w:r>
      <w:r w:rsidR="00B834FD" w:rsidRPr="00F20918">
        <w:rPr>
          <w:rFonts w:ascii="Arial" w:hAnsi="Arial" w:cs="Arial"/>
          <w:sz w:val="20"/>
          <w:szCs w:val="20"/>
        </w:rPr>
        <w:t xml:space="preserve">yüzde </w:t>
      </w:r>
      <w:r w:rsidRPr="00F20918">
        <w:rPr>
          <w:rFonts w:ascii="Arial" w:hAnsi="Arial" w:cs="Arial"/>
          <w:sz w:val="20"/>
          <w:szCs w:val="20"/>
        </w:rPr>
        <w:t xml:space="preserve">3,1 gibi düşük bir oranda büyümüş oldu. </w:t>
      </w:r>
      <w:r w:rsidR="00B834FD" w:rsidRPr="00F20918">
        <w:rPr>
          <w:rFonts w:ascii="Arial" w:hAnsi="Arial" w:cs="Arial"/>
          <w:sz w:val="20"/>
          <w:szCs w:val="20"/>
        </w:rPr>
        <w:t xml:space="preserve"> </w:t>
      </w:r>
    </w:p>
    <w:p w:rsidR="00AB0D3B" w:rsidRPr="00F20918" w:rsidRDefault="00AB0D3B" w:rsidP="004E3889">
      <w:pPr>
        <w:pStyle w:val="NormalWeb"/>
        <w:spacing w:before="0" w:beforeAutospacing="0" w:after="0" w:afterAutospacing="0" w:line="300" w:lineRule="atLeast"/>
        <w:jc w:val="both"/>
        <w:rPr>
          <w:rFonts w:ascii="Arial" w:hAnsi="Arial" w:cs="Arial"/>
          <w:sz w:val="20"/>
          <w:szCs w:val="20"/>
          <w:highlight w:val="yellow"/>
        </w:rPr>
      </w:pPr>
    </w:p>
    <w:p w:rsidR="008B4630" w:rsidRPr="00F20918" w:rsidRDefault="00621B82" w:rsidP="00470351">
      <w:pPr>
        <w:pStyle w:val="NormalWeb"/>
        <w:spacing w:before="0" w:beforeAutospacing="0" w:after="0" w:afterAutospacing="0" w:line="300" w:lineRule="atLeast"/>
        <w:jc w:val="both"/>
        <w:rPr>
          <w:rFonts w:ascii="Arial" w:hAnsi="Arial" w:cs="Arial"/>
          <w:sz w:val="20"/>
          <w:szCs w:val="20"/>
        </w:rPr>
      </w:pPr>
      <w:r w:rsidRPr="00F20918">
        <w:rPr>
          <w:rFonts w:ascii="Arial" w:hAnsi="Arial" w:cs="Arial"/>
          <w:sz w:val="20"/>
          <w:szCs w:val="20"/>
        </w:rPr>
        <w:t xml:space="preserve">Çeyrekten çeyreğe </w:t>
      </w:r>
      <w:r w:rsidR="00653D02" w:rsidRPr="00F20918">
        <w:rPr>
          <w:rFonts w:ascii="Arial" w:hAnsi="Arial" w:cs="Arial"/>
          <w:sz w:val="20"/>
          <w:szCs w:val="20"/>
        </w:rPr>
        <w:t>ekonomik büyümeyi aşağı çeken başlıca iki kalem net ihracat ve özel tüketim o</w:t>
      </w:r>
      <w:r w:rsidR="00B620FC">
        <w:rPr>
          <w:rFonts w:ascii="Arial" w:hAnsi="Arial" w:cs="Arial"/>
          <w:sz w:val="20"/>
          <w:szCs w:val="20"/>
        </w:rPr>
        <w:t>ldu. Net ihracatın negatif katk</w:t>
      </w:r>
      <w:r w:rsidR="00653D02" w:rsidRPr="00F20918">
        <w:rPr>
          <w:rFonts w:ascii="Arial" w:hAnsi="Arial" w:cs="Arial"/>
          <w:sz w:val="20"/>
          <w:szCs w:val="20"/>
        </w:rPr>
        <w:t>ı yapması bekleniyordu ancak mal ve hizmet ihracatının yüzde 2,8 gibi yüksek bir oranda gerilemesi</w:t>
      </w:r>
      <w:r w:rsidR="00380C92" w:rsidRPr="00F20918">
        <w:rPr>
          <w:rFonts w:ascii="Arial" w:hAnsi="Arial" w:cs="Arial"/>
          <w:sz w:val="20"/>
          <w:szCs w:val="20"/>
        </w:rPr>
        <w:t xml:space="preserve"> özel tüketimde de görülen yüzde 0,5 oranında beklenmedik azalış büyümeyi olumsuz etkiledi. Buna karşılık olumlu bir sürpriz yüzde 6 büyüyen özel yatırım kalemi</w:t>
      </w:r>
      <w:r w:rsidR="007249F6" w:rsidRPr="00F20918">
        <w:rPr>
          <w:rFonts w:ascii="Arial" w:hAnsi="Arial" w:cs="Arial"/>
          <w:sz w:val="20"/>
          <w:szCs w:val="20"/>
        </w:rPr>
        <w:t>nden kaynaklandı. Kamu harcamalar</w:t>
      </w:r>
      <w:r w:rsidR="00380C92" w:rsidRPr="00F20918">
        <w:rPr>
          <w:rFonts w:ascii="Arial" w:hAnsi="Arial" w:cs="Arial"/>
          <w:sz w:val="20"/>
          <w:szCs w:val="20"/>
        </w:rPr>
        <w:t xml:space="preserve">ında gerçekleşen yüzde 3,5’luk artış eklenince GSYH sınırlı da olsa artış kaydedebildi. </w:t>
      </w:r>
    </w:p>
    <w:p w:rsidR="000C4944" w:rsidRPr="00F20918" w:rsidRDefault="000C4944" w:rsidP="00470351">
      <w:pPr>
        <w:pStyle w:val="NormalWeb"/>
        <w:spacing w:before="0" w:beforeAutospacing="0" w:after="0" w:afterAutospacing="0" w:line="300" w:lineRule="atLeast"/>
        <w:jc w:val="both"/>
        <w:rPr>
          <w:rFonts w:ascii="Arial" w:hAnsi="Arial" w:cs="Arial"/>
          <w:sz w:val="20"/>
          <w:szCs w:val="20"/>
        </w:rPr>
      </w:pPr>
    </w:p>
    <w:p w:rsidR="00F6722D" w:rsidRPr="00F20918" w:rsidRDefault="00F6722D" w:rsidP="00470351">
      <w:pPr>
        <w:pStyle w:val="NormalWeb"/>
        <w:spacing w:before="0" w:beforeAutospacing="0" w:after="0" w:afterAutospacing="0" w:line="300" w:lineRule="atLeast"/>
        <w:jc w:val="both"/>
        <w:rPr>
          <w:rFonts w:ascii="Arial" w:hAnsi="Arial" w:cs="Arial"/>
          <w:sz w:val="20"/>
          <w:szCs w:val="20"/>
        </w:rPr>
      </w:pPr>
    </w:p>
    <w:p w:rsidR="00FC232E" w:rsidRPr="00F20918" w:rsidRDefault="00FC232E" w:rsidP="00470351">
      <w:pPr>
        <w:pStyle w:val="NormalWeb"/>
        <w:spacing w:before="0" w:beforeAutospacing="0" w:after="0" w:afterAutospacing="0" w:line="300" w:lineRule="atLeast"/>
        <w:jc w:val="both"/>
        <w:rPr>
          <w:rFonts w:ascii="Arial" w:hAnsi="Arial" w:cs="Arial"/>
          <w:sz w:val="20"/>
          <w:szCs w:val="20"/>
        </w:rPr>
      </w:pPr>
    </w:p>
    <w:p w:rsidR="00FC232E" w:rsidRPr="00F20918" w:rsidRDefault="00FC232E" w:rsidP="00470351">
      <w:pPr>
        <w:pStyle w:val="NormalWeb"/>
        <w:spacing w:before="0" w:beforeAutospacing="0" w:after="0" w:afterAutospacing="0" w:line="300" w:lineRule="atLeast"/>
        <w:jc w:val="both"/>
        <w:rPr>
          <w:rFonts w:ascii="Arial" w:hAnsi="Arial" w:cs="Arial"/>
          <w:sz w:val="20"/>
          <w:szCs w:val="20"/>
        </w:rPr>
      </w:pPr>
    </w:p>
    <w:p w:rsidR="00FC232E" w:rsidRPr="00F20918" w:rsidRDefault="00FC232E" w:rsidP="00470351">
      <w:pPr>
        <w:pStyle w:val="NormalWeb"/>
        <w:spacing w:before="0" w:beforeAutospacing="0" w:after="0" w:afterAutospacing="0" w:line="300" w:lineRule="atLeast"/>
        <w:jc w:val="both"/>
        <w:rPr>
          <w:rFonts w:ascii="Arial" w:hAnsi="Arial" w:cs="Arial"/>
          <w:sz w:val="20"/>
          <w:szCs w:val="20"/>
        </w:rPr>
      </w:pPr>
    </w:p>
    <w:p w:rsidR="00FC232E" w:rsidRPr="00F20918" w:rsidRDefault="00FC232E" w:rsidP="00470351">
      <w:pPr>
        <w:pStyle w:val="NormalWeb"/>
        <w:spacing w:before="0" w:beforeAutospacing="0" w:after="0" w:afterAutospacing="0" w:line="300" w:lineRule="atLeast"/>
        <w:jc w:val="both"/>
        <w:rPr>
          <w:rFonts w:ascii="Arial" w:hAnsi="Arial" w:cs="Arial"/>
          <w:sz w:val="20"/>
          <w:szCs w:val="20"/>
        </w:rPr>
      </w:pPr>
    </w:p>
    <w:p w:rsidR="00FC232E" w:rsidRPr="00F20918" w:rsidRDefault="00FC232E" w:rsidP="00470351">
      <w:pPr>
        <w:pStyle w:val="NormalWeb"/>
        <w:spacing w:before="0" w:beforeAutospacing="0" w:after="0" w:afterAutospacing="0" w:line="300" w:lineRule="atLeast"/>
        <w:jc w:val="both"/>
        <w:rPr>
          <w:rFonts w:ascii="Arial" w:hAnsi="Arial" w:cs="Arial"/>
          <w:sz w:val="20"/>
          <w:szCs w:val="20"/>
        </w:rPr>
      </w:pPr>
    </w:p>
    <w:p w:rsidR="00F6722D" w:rsidRPr="00F20918" w:rsidRDefault="00F6722D" w:rsidP="00470351">
      <w:pPr>
        <w:pStyle w:val="NormalWeb"/>
        <w:spacing w:before="0" w:beforeAutospacing="0" w:after="0" w:afterAutospacing="0" w:line="300" w:lineRule="atLeast"/>
        <w:jc w:val="both"/>
        <w:rPr>
          <w:rFonts w:ascii="Arial" w:hAnsi="Arial" w:cs="Arial"/>
          <w:sz w:val="20"/>
          <w:szCs w:val="20"/>
        </w:rPr>
      </w:pPr>
    </w:p>
    <w:p w:rsidR="00F6722D" w:rsidRPr="00F20918" w:rsidRDefault="00F6722D" w:rsidP="00470351">
      <w:pPr>
        <w:pStyle w:val="NormalWeb"/>
        <w:spacing w:before="0" w:beforeAutospacing="0" w:after="0" w:afterAutospacing="0" w:line="300" w:lineRule="atLeast"/>
        <w:jc w:val="both"/>
        <w:rPr>
          <w:rFonts w:ascii="Arial" w:hAnsi="Arial" w:cs="Arial"/>
          <w:sz w:val="20"/>
          <w:szCs w:val="20"/>
        </w:rPr>
      </w:pPr>
    </w:p>
    <w:p w:rsidR="000C4944" w:rsidRPr="00F20918" w:rsidRDefault="000C4944" w:rsidP="00470351">
      <w:pPr>
        <w:pStyle w:val="NormalWeb"/>
        <w:spacing w:before="0" w:beforeAutospacing="0" w:after="0" w:afterAutospacing="0" w:line="300" w:lineRule="atLeast"/>
        <w:jc w:val="both"/>
        <w:rPr>
          <w:rFonts w:ascii="Arial" w:hAnsi="Arial" w:cs="Arial"/>
          <w:sz w:val="20"/>
          <w:szCs w:val="20"/>
        </w:rPr>
      </w:pPr>
    </w:p>
    <w:p w:rsidR="00B834FD" w:rsidRPr="00F20918" w:rsidRDefault="0093214C" w:rsidP="00A7746C">
      <w:pPr>
        <w:pStyle w:val="NormalWeb"/>
        <w:spacing w:before="0" w:beforeAutospacing="0" w:after="0" w:afterAutospacing="0"/>
        <w:jc w:val="both"/>
        <w:rPr>
          <w:sz w:val="20"/>
          <w:szCs w:val="20"/>
        </w:rPr>
      </w:pPr>
      <w:r w:rsidRPr="00F20918">
        <w:rPr>
          <w:noProof/>
        </w:rPr>
        <mc:AlternateContent>
          <mc:Choice Requires="wps">
            <w:drawing>
              <wp:anchor distT="4294967291" distB="4294967291" distL="114300" distR="114300" simplePos="0" relativeHeight="251660288"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CAC57E"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F20918">
        <w:rPr>
          <w:sz w:val="20"/>
          <w:szCs w:val="20"/>
        </w:rPr>
        <w:t xml:space="preserve"> </w:t>
      </w:r>
    </w:p>
    <w:p w:rsidR="00B834FD" w:rsidRPr="00F20918" w:rsidRDefault="00B834FD" w:rsidP="00A7746C">
      <w:pPr>
        <w:pStyle w:val="NormalWeb"/>
        <w:spacing w:before="0" w:beforeAutospacing="0" w:after="0" w:afterAutospacing="0"/>
        <w:jc w:val="both"/>
        <w:rPr>
          <w:rFonts w:ascii="Arial" w:hAnsi="Arial" w:cs="Arial"/>
          <w:sz w:val="16"/>
          <w:szCs w:val="16"/>
        </w:rPr>
      </w:pPr>
      <w:r w:rsidRPr="00F20918">
        <w:rPr>
          <w:rFonts w:ascii="Arial" w:hAnsi="Arial" w:cs="Arial"/>
          <w:sz w:val="16"/>
          <w:szCs w:val="16"/>
        </w:rPr>
        <w:t>• Prof. Dr. Seyfettin Gürsel, Betam, Direktör</w:t>
      </w:r>
    </w:p>
    <w:p w:rsidR="00B834FD" w:rsidRPr="00F20918" w:rsidRDefault="007D51E5" w:rsidP="00A7746C">
      <w:pPr>
        <w:pStyle w:val="NormalWeb"/>
        <w:spacing w:before="0" w:beforeAutospacing="0" w:after="0" w:afterAutospacing="0"/>
        <w:jc w:val="both"/>
        <w:rPr>
          <w:rFonts w:ascii="Arial" w:hAnsi="Arial" w:cs="Arial"/>
          <w:sz w:val="16"/>
          <w:szCs w:val="16"/>
        </w:rPr>
      </w:pPr>
      <w:hyperlink r:id="rId11" w:history="1">
        <w:r w:rsidR="00B834FD" w:rsidRPr="00F20918">
          <w:rPr>
            <w:rStyle w:val="Hyperlink"/>
            <w:rFonts w:ascii="Arial" w:hAnsi="Arial" w:cs="Arial"/>
            <w:sz w:val="16"/>
            <w:szCs w:val="16"/>
          </w:rPr>
          <w:t>seyfettin.gursel@</w:t>
        </w:r>
        <w:r w:rsidR="00492063" w:rsidRPr="00F20918">
          <w:rPr>
            <w:rStyle w:val="Hyperlink"/>
            <w:rFonts w:ascii="Arial" w:hAnsi="Arial" w:cs="Arial"/>
            <w:sz w:val="16"/>
            <w:szCs w:val="16"/>
          </w:rPr>
          <w:t>eas.</w:t>
        </w:r>
        <w:r w:rsidR="00B834FD" w:rsidRPr="00F20918">
          <w:rPr>
            <w:rStyle w:val="Hyperlink"/>
            <w:rFonts w:ascii="Arial" w:hAnsi="Arial" w:cs="Arial"/>
            <w:sz w:val="16"/>
            <w:szCs w:val="16"/>
          </w:rPr>
          <w:t>ba</w:t>
        </w:r>
        <w:r w:rsidR="005C0934" w:rsidRPr="00F20918">
          <w:rPr>
            <w:rStyle w:val="Hyperlink"/>
            <w:rFonts w:ascii="Arial" w:hAnsi="Arial" w:cs="Arial"/>
            <w:sz w:val="16"/>
            <w:szCs w:val="16"/>
          </w:rPr>
          <w:t>u</w:t>
        </w:r>
        <w:r w:rsidR="00B834FD" w:rsidRPr="00F20918">
          <w:rPr>
            <w:rStyle w:val="Hyperlink"/>
            <w:rFonts w:ascii="Arial" w:hAnsi="Arial" w:cs="Arial"/>
            <w:sz w:val="16"/>
            <w:szCs w:val="16"/>
          </w:rPr>
          <w:t>.edu.tr</w:t>
        </w:r>
      </w:hyperlink>
    </w:p>
    <w:p w:rsidR="005C0934" w:rsidRPr="00F20918" w:rsidRDefault="00B834FD" w:rsidP="005C0934">
      <w:pPr>
        <w:pStyle w:val="NormalWeb"/>
        <w:spacing w:before="0" w:beforeAutospacing="0" w:after="0" w:afterAutospacing="0"/>
        <w:jc w:val="both"/>
        <w:rPr>
          <w:rFonts w:ascii="Arial" w:hAnsi="Arial" w:cs="Arial"/>
          <w:sz w:val="16"/>
          <w:szCs w:val="16"/>
        </w:rPr>
      </w:pPr>
      <w:r w:rsidRPr="00F20918">
        <w:rPr>
          <w:rFonts w:ascii="Arial" w:hAnsi="Arial" w:cs="Arial"/>
          <w:sz w:val="16"/>
          <w:szCs w:val="16"/>
        </w:rPr>
        <w:t xml:space="preserve">† </w:t>
      </w:r>
      <w:r w:rsidR="00686F1C" w:rsidRPr="00F20918">
        <w:rPr>
          <w:rFonts w:ascii="Arial" w:hAnsi="Arial" w:cs="Arial"/>
          <w:sz w:val="16"/>
          <w:szCs w:val="16"/>
        </w:rPr>
        <w:t>Selin Köksal</w:t>
      </w:r>
      <w:r w:rsidR="005C0934" w:rsidRPr="00F20918">
        <w:rPr>
          <w:rFonts w:ascii="Arial" w:hAnsi="Arial" w:cs="Arial"/>
          <w:sz w:val="16"/>
          <w:szCs w:val="16"/>
        </w:rPr>
        <w:t>, Betam, Araştırma Görevlisi</w:t>
      </w:r>
    </w:p>
    <w:p w:rsidR="005C0934" w:rsidRPr="00F20918" w:rsidRDefault="007D51E5" w:rsidP="005C0934">
      <w:pPr>
        <w:pStyle w:val="NormalWeb"/>
        <w:spacing w:before="0" w:beforeAutospacing="0" w:after="0" w:afterAutospacing="0"/>
        <w:jc w:val="both"/>
        <w:rPr>
          <w:rFonts w:ascii="Arial" w:hAnsi="Arial" w:cs="Arial"/>
          <w:sz w:val="16"/>
          <w:szCs w:val="16"/>
        </w:rPr>
      </w:pPr>
      <w:hyperlink r:id="rId12" w:history="1">
        <w:r w:rsidR="00686F1C" w:rsidRPr="00F20918">
          <w:rPr>
            <w:rStyle w:val="Hyperlink"/>
            <w:rFonts w:ascii="Arial" w:hAnsi="Arial" w:cs="Arial"/>
            <w:sz w:val="16"/>
            <w:szCs w:val="16"/>
          </w:rPr>
          <w:t>selin.koksal@eas.bau.edu.tr</w:t>
        </w:r>
      </w:hyperlink>
    </w:p>
    <w:p w:rsidR="00B834FD" w:rsidRPr="00F20918" w:rsidRDefault="00B834FD" w:rsidP="005C0934">
      <w:pPr>
        <w:pStyle w:val="NormalWeb"/>
        <w:spacing w:before="0" w:beforeAutospacing="0" w:after="0" w:afterAutospacing="0"/>
        <w:jc w:val="both"/>
        <w:rPr>
          <w:rFonts w:ascii="Arial" w:hAnsi="Arial" w:cs="Arial"/>
          <w:sz w:val="16"/>
          <w:szCs w:val="16"/>
        </w:rPr>
      </w:pPr>
    </w:p>
    <w:p w:rsidR="00B834FD" w:rsidRPr="00F20918" w:rsidRDefault="00B834FD" w:rsidP="002548F5">
      <w:pPr>
        <w:ind w:right="77"/>
        <w:jc w:val="both"/>
        <w:rPr>
          <w:rFonts w:ascii="Arial" w:hAnsi="Arial" w:cs="Arial"/>
          <w:b/>
          <w:bCs/>
          <w:sz w:val="20"/>
          <w:szCs w:val="20"/>
        </w:rPr>
      </w:pPr>
    </w:p>
    <w:p w:rsidR="00B834FD" w:rsidRPr="00F20918" w:rsidRDefault="00B834FD" w:rsidP="002548F5">
      <w:pPr>
        <w:ind w:right="77"/>
        <w:jc w:val="both"/>
        <w:rPr>
          <w:rFonts w:ascii="Arial" w:hAnsi="Arial" w:cs="Arial"/>
          <w:b/>
          <w:bCs/>
          <w:sz w:val="20"/>
          <w:szCs w:val="20"/>
        </w:rPr>
      </w:pPr>
    </w:p>
    <w:p w:rsidR="00B834FD" w:rsidRPr="00F20918" w:rsidRDefault="00B834FD" w:rsidP="002548F5">
      <w:pPr>
        <w:ind w:right="77"/>
        <w:jc w:val="both"/>
        <w:rPr>
          <w:rFonts w:ascii="Arial" w:hAnsi="Arial" w:cs="Arial"/>
          <w:b/>
          <w:bCs/>
          <w:sz w:val="20"/>
          <w:szCs w:val="20"/>
        </w:rPr>
      </w:pPr>
    </w:p>
    <w:p w:rsidR="00174319" w:rsidRPr="00F20918" w:rsidRDefault="00174319" w:rsidP="002548F5">
      <w:pPr>
        <w:ind w:right="77"/>
        <w:jc w:val="both"/>
        <w:rPr>
          <w:rFonts w:ascii="Arial" w:hAnsi="Arial" w:cs="Arial"/>
          <w:b/>
          <w:bCs/>
          <w:sz w:val="20"/>
          <w:szCs w:val="20"/>
        </w:rPr>
      </w:pPr>
    </w:p>
    <w:p w:rsidR="00B834FD" w:rsidRPr="00F20918" w:rsidRDefault="00B834FD" w:rsidP="002548F5">
      <w:pPr>
        <w:ind w:right="77"/>
        <w:jc w:val="both"/>
        <w:rPr>
          <w:rFonts w:ascii="Arial" w:hAnsi="Arial" w:cs="Arial"/>
          <w:b/>
          <w:bCs/>
          <w:sz w:val="20"/>
          <w:szCs w:val="20"/>
        </w:rPr>
      </w:pPr>
      <w:r w:rsidRPr="00F20918">
        <w:rPr>
          <w:rFonts w:ascii="Arial" w:hAnsi="Arial" w:cs="Arial"/>
          <w:b/>
          <w:bCs/>
          <w:sz w:val="20"/>
          <w:szCs w:val="20"/>
        </w:rPr>
        <w:lastRenderedPageBreak/>
        <w:t xml:space="preserve">Şekil 1: GSYH alt kalemlerinin </w:t>
      </w:r>
      <w:r w:rsidR="00EB1620" w:rsidRPr="00F20918">
        <w:rPr>
          <w:rFonts w:ascii="Arial" w:hAnsi="Arial" w:cs="Arial"/>
          <w:b/>
          <w:bCs/>
          <w:sz w:val="20"/>
          <w:szCs w:val="20"/>
        </w:rPr>
        <w:t>201</w:t>
      </w:r>
      <w:r w:rsidR="00E749EF" w:rsidRPr="00F20918">
        <w:rPr>
          <w:rFonts w:ascii="Arial" w:hAnsi="Arial" w:cs="Arial"/>
          <w:b/>
          <w:bCs/>
          <w:sz w:val="20"/>
          <w:szCs w:val="20"/>
        </w:rPr>
        <w:t>6</w:t>
      </w:r>
      <w:r w:rsidR="006F6EBA" w:rsidRPr="00F20918">
        <w:rPr>
          <w:rFonts w:ascii="Arial" w:hAnsi="Arial" w:cs="Arial"/>
          <w:b/>
          <w:bCs/>
          <w:sz w:val="20"/>
          <w:szCs w:val="20"/>
        </w:rPr>
        <w:t xml:space="preserve"> </w:t>
      </w:r>
      <w:r w:rsidR="00E749EF" w:rsidRPr="00F20918">
        <w:rPr>
          <w:rFonts w:ascii="Arial" w:hAnsi="Arial" w:cs="Arial"/>
          <w:b/>
          <w:bCs/>
          <w:sz w:val="20"/>
          <w:szCs w:val="20"/>
        </w:rPr>
        <w:t>1</w:t>
      </w:r>
      <w:r w:rsidR="003D6D66" w:rsidRPr="00F20918">
        <w:rPr>
          <w:rFonts w:ascii="Arial" w:hAnsi="Arial" w:cs="Arial"/>
          <w:b/>
          <w:bCs/>
          <w:sz w:val="20"/>
          <w:szCs w:val="20"/>
        </w:rPr>
        <w:t>. çeyrekten 2016</w:t>
      </w:r>
      <w:r w:rsidR="006F6EBA" w:rsidRPr="00F20918">
        <w:rPr>
          <w:rFonts w:ascii="Arial" w:hAnsi="Arial" w:cs="Arial"/>
          <w:b/>
          <w:bCs/>
          <w:sz w:val="20"/>
          <w:szCs w:val="20"/>
        </w:rPr>
        <w:t xml:space="preserve"> </w:t>
      </w:r>
      <w:r w:rsidR="00E749EF" w:rsidRPr="00F20918">
        <w:rPr>
          <w:rFonts w:ascii="Arial" w:hAnsi="Arial" w:cs="Arial"/>
          <w:b/>
          <w:bCs/>
          <w:sz w:val="20"/>
          <w:szCs w:val="20"/>
        </w:rPr>
        <w:t>2</w:t>
      </w:r>
      <w:r w:rsidRPr="00F20918">
        <w:rPr>
          <w:rFonts w:ascii="Arial" w:hAnsi="Arial" w:cs="Arial"/>
          <w:b/>
          <w:bCs/>
          <w:sz w:val="20"/>
          <w:szCs w:val="20"/>
        </w:rPr>
        <w:t xml:space="preserve">. çeyreğe değişimleri </w:t>
      </w:r>
    </w:p>
    <w:p w:rsidR="00B834FD" w:rsidRPr="00F20918" w:rsidRDefault="00E749EF" w:rsidP="00660DE2">
      <w:pPr>
        <w:ind w:right="77"/>
        <w:jc w:val="both"/>
      </w:pPr>
      <w:r w:rsidRPr="00F20918">
        <w:rPr>
          <w:noProof/>
        </w:rPr>
        <w:drawing>
          <wp:inline distT="0" distB="0" distL="0" distR="0" wp14:anchorId="73405D74" wp14:editId="074E13D2">
            <wp:extent cx="3020695" cy="1961743"/>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20695" cy="1961743"/>
                    </a:xfrm>
                    <a:prstGeom prst="rect">
                      <a:avLst/>
                    </a:prstGeom>
                    <a:noFill/>
                    <a:ln w="9525">
                      <a:noFill/>
                      <a:miter lim="800000"/>
                      <a:headEnd/>
                      <a:tailEnd/>
                    </a:ln>
                  </pic:spPr>
                </pic:pic>
              </a:graphicData>
            </a:graphic>
          </wp:inline>
        </w:drawing>
      </w:r>
    </w:p>
    <w:p w:rsidR="00B834FD" w:rsidRPr="00F20918" w:rsidRDefault="00EB1620" w:rsidP="00660DE2">
      <w:pPr>
        <w:ind w:right="77"/>
        <w:jc w:val="both"/>
        <w:rPr>
          <w:rFonts w:ascii="Arial" w:hAnsi="Arial" w:cs="Arial"/>
          <w:sz w:val="16"/>
          <w:szCs w:val="16"/>
        </w:rPr>
      </w:pPr>
      <w:r w:rsidRPr="00F20918">
        <w:rPr>
          <w:rFonts w:ascii="Arial" w:hAnsi="Arial" w:cs="Arial"/>
          <w:sz w:val="16"/>
          <w:szCs w:val="16"/>
        </w:rPr>
        <w:t>Kaynak</w:t>
      </w:r>
      <w:r w:rsidR="00B834FD" w:rsidRPr="00F20918">
        <w:rPr>
          <w:rFonts w:ascii="Arial" w:hAnsi="Arial" w:cs="Arial"/>
          <w:sz w:val="16"/>
          <w:szCs w:val="16"/>
        </w:rPr>
        <w:t>: TÜİK. Çeyreklik göstergeler mevsim ve takvim etkisinden arındırılmıştır.</w:t>
      </w:r>
    </w:p>
    <w:p w:rsidR="00B834FD" w:rsidRPr="00F20918" w:rsidRDefault="00B834FD" w:rsidP="00DD51D1">
      <w:pPr>
        <w:spacing w:line="360" w:lineRule="auto"/>
        <w:ind w:right="77"/>
        <w:jc w:val="both"/>
        <w:rPr>
          <w:rFonts w:ascii="Arial" w:hAnsi="Arial" w:cs="Arial"/>
          <w:b/>
          <w:bCs/>
          <w:sz w:val="20"/>
          <w:szCs w:val="20"/>
        </w:rPr>
      </w:pPr>
    </w:p>
    <w:p w:rsidR="00B834FD" w:rsidRPr="00F20918" w:rsidRDefault="00B834FD" w:rsidP="002548F5">
      <w:pPr>
        <w:ind w:right="77"/>
        <w:jc w:val="both"/>
        <w:rPr>
          <w:rFonts w:ascii="Arial" w:hAnsi="Arial" w:cs="Arial"/>
          <w:b/>
          <w:bCs/>
          <w:sz w:val="20"/>
          <w:szCs w:val="20"/>
        </w:rPr>
      </w:pPr>
      <w:r w:rsidRPr="00F20918">
        <w:rPr>
          <w:rFonts w:ascii="Arial" w:hAnsi="Arial" w:cs="Arial"/>
          <w:b/>
          <w:bCs/>
          <w:sz w:val="20"/>
          <w:szCs w:val="20"/>
        </w:rPr>
        <w:t>Şekil 2: GSYH alt kalemlerinin</w:t>
      </w:r>
      <w:r w:rsidR="00EB1620" w:rsidRPr="00F20918">
        <w:rPr>
          <w:rFonts w:ascii="Arial" w:hAnsi="Arial" w:cs="Arial"/>
          <w:b/>
          <w:bCs/>
          <w:sz w:val="20"/>
          <w:szCs w:val="20"/>
        </w:rPr>
        <w:t xml:space="preserve"> </w:t>
      </w:r>
      <w:r w:rsidR="00E749EF" w:rsidRPr="00F20918">
        <w:rPr>
          <w:rFonts w:ascii="Arial" w:hAnsi="Arial" w:cs="Arial"/>
          <w:b/>
          <w:bCs/>
          <w:sz w:val="20"/>
          <w:szCs w:val="20"/>
        </w:rPr>
        <w:t>2016 1. çeyrekten 2016 2. çeyreğe</w:t>
      </w:r>
      <w:r w:rsidRPr="00F20918">
        <w:rPr>
          <w:rFonts w:ascii="Arial" w:hAnsi="Arial" w:cs="Arial"/>
          <w:b/>
          <w:bCs/>
          <w:sz w:val="20"/>
          <w:szCs w:val="20"/>
        </w:rPr>
        <w:t xml:space="preserve"> GSYH büyümesine katkıları</w:t>
      </w:r>
    </w:p>
    <w:p w:rsidR="00B834FD" w:rsidRPr="00F20918" w:rsidRDefault="00E749EF" w:rsidP="001C5776">
      <w:pPr>
        <w:ind w:right="77"/>
        <w:jc w:val="both"/>
      </w:pPr>
      <w:r w:rsidRPr="00F20918">
        <w:rPr>
          <w:noProof/>
        </w:rPr>
        <w:drawing>
          <wp:inline distT="0" distB="0" distL="0" distR="0" wp14:anchorId="595B0953" wp14:editId="14818B2C">
            <wp:extent cx="3020695" cy="2040374"/>
            <wp:effectExtent l="1905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20695" cy="2040374"/>
                    </a:xfrm>
                    <a:prstGeom prst="rect">
                      <a:avLst/>
                    </a:prstGeom>
                    <a:noFill/>
                    <a:ln w="9525">
                      <a:noFill/>
                      <a:miter lim="800000"/>
                      <a:headEnd/>
                      <a:tailEnd/>
                    </a:ln>
                  </pic:spPr>
                </pic:pic>
              </a:graphicData>
            </a:graphic>
          </wp:inline>
        </w:drawing>
      </w:r>
    </w:p>
    <w:p w:rsidR="00B834FD" w:rsidRPr="00F20918" w:rsidRDefault="00EB1620" w:rsidP="00660DE2">
      <w:pPr>
        <w:ind w:right="77"/>
        <w:jc w:val="both"/>
        <w:rPr>
          <w:rFonts w:ascii="Arial" w:hAnsi="Arial" w:cs="Arial"/>
          <w:sz w:val="16"/>
          <w:szCs w:val="16"/>
        </w:rPr>
      </w:pPr>
      <w:r w:rsidRPr="00F20918">
        <w:rPr>
          <w:rFonts w:ascii="Arial" w:hAnsi="Arial" w:cs="Arial"/>
          <w:sz w:val="16"/>
          <w:szCs w:val="16"/>
        </w:rPr>
        <w:t>Kaynak</w:t>
      </w:r>
      <w:r w:rsidR="00B834FD" w:rsidRPr="00F20918">
        <w:rPr>
          <w:rFonts w:ascii="Arial" w:hAnsi="Arial" w:cs="Arial"/>
          <w:sz w:val="16"/>
          <w:szCs w:val="16"/>
        </w:rPr>
        <w:t>: TÜİK. Çeyreklik göstergeler mevsim ve takvim etkisinden arındırılmıştır.</w:t>
      </w:r>
    </w:p>
    <w:p w:rsidR="001B5BDA" w:rsidRPr="00F20918" w:rsidRDefault="001B5BDA" w:rsidP="00FA1EEF">
      <w:pPr>
        <w:pStyle w:val="NormalWeb"/>
        <w:spacing w:before="0" w:beforeAutospacing="0" w:after="0" w:afterAutospacing="0" w:line="360" w:lineRule="auto"/>
        <w:ind w:right="77"/>
        <w:jc w:val="both"/>
        <w:rPr>
          <w:rFonts w:ascii="Arial" w:hAnsi="Arial" w:cs="Arial"/>
          <w:sz w:val="20"/>
          <w:szCs w:val="20"/>
        </w:rPr>
      </w:pPr>
    </w:p>
    <w:p w:rsidR="00F6722D" w:rsidRPr="00F20918" w:rsidRDefault="00F6722D" w:rsidP="00FA1EEF">
      <w:pPr>
        <w:pStyle w:val="NormalWeb"/>
        <w:spacing w:before="0" w:beforeAutospacing="0" w:after="0" w:afterAutospacing="0" w:line="360" w:lineRule="auto"/>
        <w:ind w:right="77"/>
        <w:jc w:val="both"/>
        <w:rPr>
          <w:rFonts w:ascii="Arial" w:hAnsi="Arial" w:cs="Arial"/>
          <w:sz w:val="20"/>
          <w:szCs w:val="20"/>
        </w:rPr>
      </w:pPr>
    </w:p>
    <w:p w:rsidR="0035245B" w:rsidRPr="00F20918" w:rsidRDefault="0093214C" w:rsidP="0035245B">
      <w:pPr>
        <w:pStyle w:val="NormalWeb"/>
        <w:spacing w:before="0" w:beforeAutospacing="0" w:after="0" w:afterAutospacing="0" w:line="360" w:lineRule="auto"/>
        <w:ind w:right="77"/>
        <w:jc w:val="center"/>
        <w:rPr>
          <w:rFonts w:ascii="Arial" w:hAnsi="Arial" w:cs="Arial"/>
          <w:b/>
          <w:bCs/>
          <w:sz w:val="20"/>
          <w:szCs w:val="20"/>
        </w:rPr>
      </w:pPr>
      <w:r w:rsidRPr="00F20918">
        <w:rPr>
          <w:rFonts w:ascii="Arial" w:hAnsi="Arial" w:cs="Arial"/>
          <w:b/>
          <w:bCs/>
          <w:sz w:val="20"/>
          <w:szCs w:val="20"/>
        </w:rPr>
        <w:t>Özel tüketimde beklenmedik düşüş</w:t>
      </w:r>
    </w:p>
    <w:p w:rsidR="0035245B" w:rsidRPr="00F20918" w:rsidRDefault="0035245B" w:rsidP="00FA1EEF">
      <w:pPr>
        <w:pStyle w:val="NormalWeb"/>
        <w:spacing w:before="0" w:beforeAutospacing="0" w:after="0" w:afterAutospacing="0" w:line="360" w:lineRule="auto"/>
        <w:ind w:right="77"/>
        <w:jc w:val="both"/>
        <w:rPr>
          <w:rFonts w:ascii="Arial" w:hAnsi="Arial" w:cs="Arial"/>
          <w:sz w:val="20"/>
          <w:szCs w:val="20"/>
          <w:highlight w:val="yellow"/>
        </w:rPr>
      </w:pPr>
    </w:p>
    <w:p w:rsidR="00B626DF" w:rsidRPr="00F20918" w:rsidRDefault="0035245B" w:rsidP="00FA1EEF">
      <w:pPr>
        <w:pStyle w:val="NormalWeb"/>
        <w:spacing w:before="0" w:beforeAutospacing="0" w:after="0" w:afterAutospacing="0" w:line="360" w:lineRule="auto"/>
        <w:ind w:right="77"/>
        <w:jc w:val="both"/>
        <w:rPr>
          <w:rFonts w:ascii="Arial" w:hAnsi="Arial" w:cs="Arial"/>
          <w:sz w:val="20"/>
          <w:szCs w:val="20"/>
          <w:highlight w:val="yellow"/>
        </w:rPr>
      </w:pPr>
      <w:r w:rsidRPr="00F20918">
        <w:rPr>
          <w:rFonts w:ascii="Arial" w:hAnsi="Arial" w:cs="Arial"/>
          <w:sz w:val="20"/>
          <w:szCs w:val="20"/>
        </w:rPr>
        <w:t xml:space="preserve">Mevsim ve takvim etkilerinden arındırılmış rakamlara göre </w:t>
      </w:r>
      <w:r w:rsidR="0093214C" w:rsidRPr="00F20918">
        <w:rPr>
          <w:rFonts w:ascii="Arial" w:hAnsi="Arial" w:cs="Arial"/>
          <w:sz w:val="20"/>
          <w:szCs w:val="20"/>
        </w:rPr>
        <w:t>ikinci</w:t>
      </w:r>
      <w:r w:rsidR="004F085C" w:rsidRPr="00F20918">
        <w:rPr>
          <w:rFonts w:ascii="Arial" w:hAnsi="Arial" w:cs="Arial"/>
          <w:sz w:val="20"/>
          <w:szCs w:val="20"/>
        </w:rPr>
        <w:t xml:space="preserve"> </w:t>
      </w:r>
      <w:r w:rsidR="001F24EF" w:rsidRPr="00F20918">
        <w:rPr>
          <w:rFonts w:ascii="Arial" w:hAnsi="Arial" w:cs="Arial"/>
          <w:sz w:val="20"/>
          <w:szCs w:val="20"/>
        </w:rPr>
        <w:t>çeyre</w:t>
      </w:r>
      <w:r w:rsidR="00FB622B" w:rsidRPr="00F20918">
        <w:rPr>
          <w:rFonts w:ascii="Arial" w:hAnsi="Arial" w:cs="Arial"/>
          <w:sz w:val="20"/>
          <w:szCs w:val="20"/>
        </w:rPr>
        <w:t>kte</w:t>
      </w:r>
      <w:r w:rsidR="00732FC5" w:rsidRPr="00F20918">
        <w:rPr>
          <w:rFonts w:ascii="Arial" w:hAnsi="Arial" w:cs="Arial"/>
          <w:sz w:val="20"/>
          <w:szCs w:val="20"/>
        </w:rPr>
        <w:t xml:space="preserve"> özel</w:t>
      </w:r>
      <w:r w:rsidR="00FB622B" w:rsidRPr="00F20918">
        <w:rPr>
          <w:rFonts w:ascii="Arial" w:hAnsi="Arial" w:cs="Arial"/>
          <w:sz w:val="20"/>
          <w:szCs w:val="20"/>
        </w:rPr>
        <w:t xml:space="preserve"> tüketim harcamaları </w:t>
      </w:r>
      <w:r w:rsidR="001009DB" w:rsidRPr="00F20918">
        <w:rPr>
          <w:rFonts w:ascii="Arial" w:hAnsi="Arial" w:cs="Arial"/>
          <w:sz w:val="20"/>
          <w:szCs w:val="20"/>
        </w:rPr>
        <w:t>önceki</w:t>
      </w:r>
      <w:r w:rsidRPr="00F20918">
        <w:rPr>
          <w:rFonts w:ascii="Arial" w:hAnsi="Arial" w:cs="Arial"/>
          <w:sz w:val="20"/>
          <w:szCs w:val="20"/>
        </w:rPr>
        <w:t xml:space="preserve"> çeyreğe kıyasla yüzde </w:t>
      </w:r>
      <w:r w:rsidR="0093214C" w:rsidRPr="00F20918">
        <w:rPr>
          <w:rFonts w:ascii="Arial" w:hAnsi="Arial" w:cs="Arial"/>
          <w:sz w:val="20"/>
          <w:szCs w:val="20"/>
        </w:rPr>
        <w:t>0,5</w:t>
      </w:r>
      <w:r w:rsidR="00B626DF" w:rsidRPr="00F20918">
        <w:rPr>
          <w:rFonts w:ascii="Arial" w:hAnsi="Arial" w:cs="Arial"/>
          <w:sz w:val="20"/>
          <w:szCs w:val="20"/>
        </w:rPr>
        <w:t xml:space="preserve"> oranında a</w:t>
      </w:r>
      <w:r w:rsidR="0093214C" w:rsidRPr="00F20918">
        <w:rPr>
          <w:rFonts w:ascii="Arial" w:hAnsi="Arial" w:cs="Arial"/>
          <w:sz w:val="20"/>
          <w:szCs w:val="20"/>
        </w:rPr>
        <w:t>zaldı</w:t>
      </w:r>
      <w:r w:rsidR="00B626DF" w:rsidRPr="00F20918">
        <w:rPr>
          <w:rFonts w:ascii="Arial" w:hAnsi="Arial" w:cs="Arial"/>
          <w:sz w:val="20"/>
          <w:szCs w:val="20"/>
        </w:rPr>
        <w:t xml:space="preserve"> ve </w:t>
      </w:r>
      <w:r w:rsidR="00F00AA0" w:rsidRPr="00F20918">
        <w:rPr>
          <w:rFonts w:ascii="Arial" w:hAnsi="Arial" w:cs="Arial"/>
          <w:sz w:val="20"/>
          <w:szCs w:val="20"/>
        </w:rPr>
        <w:t>ekonomik büyümeye 0,4 puan eksi katkı yaptı</w:t>
      </w:r>
      <w:r w:rsidR="004F085C" w:rsidRPr="00F20918">
        <w:rPr>
          <w:rFonts w:ascii="Arial" w:hAnsi="Arial" w:cs="Arial"/>
          <w:sz w:val="20"/>
          <w:szCs w:val="20"/>
        </w:rPr>
        <w:t>.</w:t>
      </w:r>
      <w:r w:rsidR="00F00AA0" w:rsidRPr="00F20918">
        <w:rPr>
          <w:rFonts w:ascii="Arial" w:hAnsi="Arial" w:cs="Arial"/>
          <w:sz w:val="20"/>
          <w:szCs w:val="20"/>
        </w:rPr>
        <w:t xml:space="preserve">İlk </w:t>
      </w:r>
      <w:r w:rsidR="00F00AA0" w:rsidRPr="00F20918">
        <w:rPr>
          <w:rFonts w:ascii="Arial" w:hAnsi="Arial" w:cs="Arial"/>
          <w:sz w:val="20"/>
          <w:szCs w:val="20"/>
        </w:rPr>
        <w:lastRenderedPageBreak/>
        <w:t xml:space="preserve">çeyrekte belirgin bir canlanma kaydeden özel tüketim büyümeyi </w:t>
      </w:r>
      <w:r w:rsidR="0090470E" w:rsidRPr="00F20918">
        <w:rPr>
          <w:rFonts w:ascii="Arial" w:hAnsi="Arial" w:cs="Arial"/>
          <w:sz w:val="20"/>
          <w:szCs w:val="20"/>
        </w:rPr>
        <w:t>s</w:t>
      </w:r>
      <w:r w:rsidR="00F00AA0" w:rsidRPr="00F20918">
        <w:rPr>
          <w:rFonts w:ascii="Arial" w:hAnsi="Arial" w:cs="Arial"/>
          <w:sz w:val="20"/>
          <w:szCs w:val="20"/>
        </w:rPr>
        <w:t>ürükleyen başlıca kalemdi (Tablo 1)</w:t>
      </w:r>
      <w:r w:rsidR="0090470E" w:rsidRPr="00F20918">
        <w:rPr>
          <w:rFonts w:ascii="Arial" w:hAnsi="Arial" w:cs="Arial"/>
          <w:sz w:val="20"/>
          <w:szCs w:val="20"/>
        </w:rPr>
        <w:t>.</w:t>
      </w:r>
      <w:r w:rsidR="007D0DA1" w:rsidRPr="00F20918">
        <w:rPr>
          <w:rFonts w:ascii="Arial" w:hAnsi="Arial" w:cs="Arial"/>
          <w:sz w:val="20"/>
          <w:szCs w:val="20"/>
        </w:rPr>
        <w:t xml:space="preserve"> </w:t>
      </w:r>
      <w:r w:rsidR="00D5415B" w:rsidRPr="00F20918">
        <w:rPr>
          <w:rFonts w:ascii="Arial" w:hAnsi="Arial" w:cs="Arial"/>
          <w:sz w:val="20"/>
          <w:szCs w:val="20"/>
        </w:rPr>
        <w:t>İkinci çeyrek öncü tüketim göstergeleri zıt yönlere işaret etmekle birlikte bu kalemde ılımlı bir artış bekliyorduk. Giyime ve sağlık harcmalarında önemli azalmalar dikkat çekiyor.</w:t>
      </w:r>
    </w:p>
    <w:p w:rsidR="00B6365A" w:rsidRPr="00F20918" w:rsidRDefault="00B6365A" w:rsidP="00696C53">
      <w:pPr>
        <w:pStyle w:val="NormalWeb"/>
        <w:spacing w:before="0" w:beforeAutospacing="0" w:after="0" w:afterAutospacing="0" w:line="360" w:lineRule="auto"/>
        <w:ind w:right="77"/>
        <w:jc w:val="center"/>
        <w:rPr>
          <w:rFonts w:ascii="Arial" w:hAnsi="Arial" w:cs="Arial"/>
          <w:b/>
          <w:sz w:val="20"/>
          <w:szCs w:val="20"/>
          <w:highlight w:val="yellow"/>
        </w:rPr>
      </w:pPr>
    </w:p>
    <w:p w:rsidR="00696C53" w:rsidRPr="00F20918" w:rsidRDefault="00D5415B" w:rsidP="00696C53">
      <w:pPr>
        <w:pStyle w:val="NormalWeb"/>
        <w:spacing w:before="0" w:beforeAutospacing="0" w:after="0" w:afterAutospacing="0" w:line="360" w:lineRule="auto"/>
        <w:ind w:right="77"/>
        <w:jc w:val="center"/>
        <w:rPr>
          <w:rFonts w:ascii="Arial" w:hAnsi="Arial" w:cs="Arial"/>
          <w:b/>
          <w:sz w:val="20"/>
          <w:szCs w:val="20"/>
        </w:rPr>
      </w:pPr>
      <w:r w:rsidRPr="00F20918">
        <w:rPr>
          <w:rFonts w:ascii="Arial" w:hAnsi="Arial" w:cs="Arial"/>
          <w:b/>
          <w:sz w:val="20"/>
          <w:szCs w:val="20"/>
        </w:rPr>
        <w:t>Özel y</w:t>
      </w:r>
      <w:r w:rsidR="00696C53" w:rsidRPr="00F20918">
        <w:rPr>
          <w:rFonts w:ascii="Arial" w:hAnsi="Arial" w:cs="Arial"/>
          <w:b/>
          <w:sz w:val="20"/>
          <w:szCs w:val="20"/>
        </w:rPr>
        <w:t>atırımlar</w:t>
      </w:r>
      <w:r w:rsidR="00732FC5" w:rsidRPr="00F20918">
        <w:rPr>
          <w:rFonts w:ascii="Arial" w:hAnsi="Arial" w:cs="Arial"/>
          <w:b/>
          <w:sz w:val="20"/>
          <w:szCs w:val="20"/>
        </w:rPr>
        <w:t xml:space="preserve">da </w:t>
      </w:r>
      <w:r w:rsidR="0010192C" w:rsidRPr="00F20918">
        <w:rPr>
          <w:rFonts w:ascii="Arial" w:hAnsi="Arial" w:cs="Arial"/>
          <w:b/>
          <w:sz w:val="20"/>
          <w:szCs w:val="20"/>
        </w:rPr>
        <w:t xml:space="preserve">beklenmedik </w:t>
      </w:r>
      <w:r w:rsidR="007D0DA1" w:rsidRPr="00F20918">
        <w:rPr>
          <w:rFonts w:ascii="Arial" w:hAnsi="Arial" w:cs="Arial"/>
          <w:b/>
          <w:sz w:val="20"/>
          <w:szCs w:val="20"/>
        </w:rPr>
        <w:t>artış</w:t>
      </w:r>
    </w:p>
    <w:p w:rsidR="007C06E9" w:rsidRPr="00F20918" w:rsidRDefault="007C06E9" w:rsidP="00696C53">
      <w:pPr>
        <w:pStyle w:val="NormalWeb"/>
        <w:spacing w:before="0" w:beforeAutospacing="0" w:after="0" w:afterAutospacing="0" w:line="360" w:lineRule="auto"/>
        <w:ind w:right="77"/>
        <w:jc w:val="center"/>
        <w:rPr>
          <w:rFonts w:ascii="Arial" w:hAnsi="Arial" w:cs="Arial"/>
          <w:b/>
          <w:sz w:val="20"/>
          <w:szCs w:val="20"/>
          <w:highlight w:val="yellow"/>
        </w:rPr>
      </w:pPr>
    </w:p>
    <w:p w:rsidR="006C0E86" w:rsidRPr="00F20918" w:rsidRDefault="00D5415B" w:rsidP="00D157C3">
      <w:pPr>
        <w:pStyle w:val="NormalWeb"/>
        <w:spacing w:before="0" w:beforeAutospacing="0" w:after="0" w:afterAutospacing="0" w:line="360" w:lineRule="auto"/>
        <w:ind w:right="77"/>
        <w:jc w:val="both"/>
        <w:rPr>
          <w:rFonts w:ascii="Arial" w:hAnsi="Arial" w:cs="Arial"/>
          <w:sz w:val="20"/>
          <w:szCs w:val="20"/>
        </w:rPr>
      </w:pPr>
      <w:r w:rsidRPr="00F20918">
        <w:rPr>
          <w:rFonts w:ascii="Arial" w:hAnsi="Arial" w:cs="Arial"/>
          <w:sz w:val="20"/>
          <w:szCs w:val="20"/>
        </w:rPr>
        <w:t>Yılın ilk çeyreğinde sert bir düşüş (eksi yüzde 1,3) yaşayan özel yatırımlarda ikinci çeyrekte belirgin bir canlanmanın gerçekleştiği görülüyor. Birinci çeyrekten ikinci çeyreğe yüzde 6 oranında artış sergileyen özel yatırımların büyüme katk</w:t>
      </w:r>
      <w:r w:rsidR="006701A7" w:rsidRPr="00F20918">
        <w:rPr>
          <w:rFonts w:ascii="Arial" w:hAnsi="Arial" w:cs="Arial"/>
          <w:sz w:val="20"/>
          <w:szCs w:val="20"/>
        </w:rPr>
        <w:t>ı</w:t>
      </w:r>
      <w:r w:rsidRPr="00F20918">
        <w:rPr>
          <w:rFonts w:ascii="Arial" w:hAnsi="Arial" w:cs="Arial"/>
          <w:sz w:val="20"/>
          <w:szCs w:val="20"/>
        </w:rPr>
        <w:t xml:space="preserve">sı 1,1 puan </w:t>
      </w:r>
      <w:r w:rsidR="00C32B59" w:rsidRPr="00F20918">
        <w:rPr>
          <w:rFonts w:ascii="Arial" w:hAnsi="Arial" w:cs="Arial"/>
          <w:sz w:val="20"/>
          <w:szCs w:val="20"/>
        </w:rPr>
        <w:t xml:space="preserve">oldu </w:t>
      </w:r>
      <w:r w:rsidRPr="00F20918">
        <w:rPr>
          <w:rFonts w:ascii="Arial" w:hAnsi="Arial" w:cs="Arial"/>
          <w:sz w:val="20"/>
          <w:szCs w:val="20"/>
        </w:rPr>
        <w:t xml:space="preserve">(Tablo 1). </w:t>
      </w:r>
      <w:r w:rsidR="006701A7" w:rsidRPr="00F20918">
        <w:rPr>
          <w:rFonts w:ascii="Arial" w:hAnsi="Arial" w:cs="Arial"/>
          <w:sz w:val="20"/>
          <w:szCs w:val="20"/>
        </w:rPr>
        <w:t xml:space="preserve">Özel yatırımlarda uzun süredir görülen  durgunluğun devam etmesini bekliyorduk. </w:t>
      </w:r>
      <w:r w:rsidR="0073660E" w:rsidRPr="00F20918">
        <w:rPr>
          <w:rFonts w:ascii="Arial" w:hAnsi="Arial" w:cs="Arial"/>
          <w:sz w:val="20"/>
          <w:szCs w:val="20"/>
        </w:rPr>
        <w:t xml:space="preserve">Yatırımlarda ortaya çıkan bu beklenmedik </w:t>
      </w:r>
      <w:r w:rsidR="006701A7" w:rsidRPr="00F20918">
        <w:rPr>
          <w:rFonts w:ascii="Arial" w:hAnsi="Arial" w:cs="Arial"/>
          <w:sz w:val="20"/>
          <w:szCs w:val="20"/>
        </w:rPr>
        <w:t xml:space="preserve">canlanmanın özellikle makina teçhizat yatırımlarından kaynaklandığını not etmek isteriz. </w:t>
      </w:r>
      <w:r w:rsidR="00E3525B" w:rsidRPr="00F20918">
        <w:rPr>
          <w:rFonts w:ascii="Arial" w:hAnsi="Arial" w:cs="Arial"/>
          <w:sz w:val="20"/>
          <w:szCs w:val="20"/>
        </w:rPr>
        <w:t>TÜİK’un yayınladığı 2. Çeyrek büyüme verilerine göre b</w:t>
      </w:r>
      <w:r w:rsidR="006701A7" w:rsidRPr="00F20918">
        <w:rPr>
          <w:rFonts w:ascii="Arial" w:hAnsi="Arial" w:cs="Arial"/>
          <w:sz w:val="20"/>
          <w:szCs w:val="20"/>
        </w:rPr>
        <w:t xml:space="preserve">irinci çeyrekte yüzde 3,7 oranında daralan </w:t>
      </w:r>
      <w:r w:rsidR="00E3525B" w:rsidRPr="00F20918">
        <w:rPr>
          <w:rFonts w:ascii="Arial" w:hAnsi="Arial" w:cs="Arial"/>
          <w:sz w:val="20"/>
          <w:szCs w:val="20"/>
        </w:rPr>
        <w:t>makina teçhizat yatırımları</w:t>
      </w:r>
      <w:r w:rsidR="006701A7" w:rsidRPr="00F20918">
        <w:rPr>
          <w:rFonts w:ascii="Arial" w:hAnsi="Arial" w:cs="Arial"/>
          <w:sz w:val="20"/>
          <w:szCs w:val="20"/>
        </w:rPr>
        <w:t xml:space="preserve"> ikinci çeyrekte yüzde 6,9 oranında artış g</w:t>
      </w:r>
      <w:r w:rsidR="00E3525B" w:rsidRPr="00F20918">
        <w:rPr>
          <w:rFonts w:ascii="Arial" w:hAnsi="Arial" w:cs="Arial"/>
          <w:sz w:val="20"/>
          <w:szCs w:val="20"/>
        </w:rPr>
        <w:t>österdi</w:t>
      </w:r>
      <w:r w:rsidR="006701A7" w:rsidRPr="00F20918">
        <w:rPr>
          <w:rFonts w:ascii="Arial" w:hAnsi="Arial" w:cs="Arial"/>
          <w:sz w:val="20"/>
          <w:szCs w:val="20"/>
        </w:rPr>
        <w:t>. Bu beklenmedik gelişmenin yatırım eğiliminde bir dönüm noktası teşkil edip etmediğini belirleyebilmek için izleyen çeyrekleri beklemek gerekiyor.</w:t>
      </w:r>
    </w:p>
    <w:p w:rsidR="00940E4D" w:rsidRPr="00F20918" w:rsidRDefault="00940E4D" w:rsidP="00DD74D6">
      <w:pPr>
        <w:pStyle w:val="NormalWeb"/>
        <w:spacing w:before="0" w:beforeAutospacing="0" w:after="0" w:afterAutospacing="0" w:line="360" w:lineRule="auto"/>
        <w:ind w:right="77"/>
        <w:jc w:val="both"/>
        <w:rPr>
          <w:rFonts w:ascii="Arial" w:hAnsi="Arial" w:cs="Arial"/>
          <w:sz w:val="20"/>
          <w:szCs w:val="20"/>
          <w:highlight w:val="yellow"/>
        </w:rPr>
      </w:pPr>
    </w:p>
    <w:p w:rsidR="002D1EEA"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F20918">
        <w:rPr>
          <w:rFonts w:ascii="Arial" w:hAnsi="Arial" w:cs="Arial"/>
          <w:b/>
          <w:bCs/>
          <w:sz w:val="20"/>
          <w:szCs w:val="20"/>
        </w:rPr>
        <w:t>Kamu harcamaları</w:t>
      </w:r>
      <w:r w:rsidR="00DB0051" w:rsidRPr="00F20918">
        <w:rPr>
          <w:rFonts w:ascii="Arial" w:hAnsi="Arial" w:cs="Arial"/>
          <w:b/>
          <w:bCs/>
          <w:sz w:val="20"/>
          <w:szCs w:val="20"/>
        </w:rPr>
        <w:t>nda artış</w:t>
      </w:r>
      <w:r w:rsidR="00E51786" w:rsidRPr="00F20918">
        <w:rPr>
          <w:rFonts w:ascii="Arial" w:hAnsi="Arial" w:cs="Arial"/>
          <w:b/>
          <w:bCs/>
          <w:sz w:val="20"/>
          <w:szCs w:val="20"/>
        </w:rPr>
        <w:t xml:space="preserve"> devam ediyor</w:t>
      </w:r>
    </w:p>
    <w:p w:rsidR="00B620FC" w:rsidRPr="00F20918" w:rsidRDefault="00B620FC" w:rsidP="002D1EEA">
      <w:pPr>
        <w:pStyle w:val="NormalWeb"/>
        <w:spacing w:before="0" w:beforeAutospacing="0" w:after="0" w:afterAutospacing="0" w:line="360" w:lineRule="auto"/>
        <w:ind w:right="77"/>
        <w:jc w:val="center"/>
        <w:rPr>
          <w:rFonts w:ascii="Arial" w:hAnsi="Arial" w:cs="Arial"/>
          <w:b/>
          <w:bCs/>
          <w:sz w:val="20"/>
          <w:szCs w:val="20"/>
        </w:rPr>
      </w:pPr>
    </w:p>
    <w:p w:rsidR="000C4944" w:rsidRPr="00B620FC" w:rsidRDefault="00282018" w:rsidP="00B620FC">
      <w:pPr>
        <w:pStyle w:val="NormalWeb"/>
        <w:spacing w:before="0" w:beforeAutospacing="0" w:after="0" w:afterAutospacing="0" w:line="360" w:lineRule="auto"/>
        <w:ind w:right="77"/>
        <w:jc w:val="both"/>
        <w:rPr>
          <w:rFonts w:ascii="Arial" w:hAnsi="Arial" w:cs="Arial"/>
          <w:bCs/>
          <w:sz w:val="20"/>
          <w:szCs w:val="20"/>
        </w:rPr>
      </w:pPr>
      <w:r w:rsidRPr="00F20918">
        <w:rPr>
          <w:rFonts w:ascii="Arial" w:hAnsi="Arial" w:cs="Arial"/>
          <w:bCs/>
          <w:sz w:val="20"/>
          <w:szCs w:val="20"/>
        </w:rPr>
        <w:t>Birinci çeyrekte yüzde 2,5 oranında artış kaydeden toplam kamu harcamalarının (nihai tüketim + yatırımlar) ikinci çeyrekte hızlanarak artış oranının yüzde 3,5’e yüksel</w:t>
      </w:r>
      <w:r w:rsidR="00CB43D8" w:rsidRPr="00F20918">
        <w:rPr>
          <w:rFonts w:ascii="Arial" w:hAnsi="Arial" w:cs="Arial"/>
          <w:bCs/>
          <w:sz w:val="20"/>
          <w:szCs w:val="20"/>
        </w:rPr>
        <w:t>erek büyümeye 0,6 puan katkı yaptığı</w:t>
      </w:r>
      <w:r w:rsidRPr="00F20918">
        <w:rPr>
          <w:rFonts w:ascii="Arial" w:hAnsi="Arial" w:cs="Arial"/>
          <w:bCs/>
          <w:sz w:val="20"/>
          <w:szCs w:val="20"/>
        </w:rPr>
        <w:t xml:space="preserve"> görülüyor (Tablo 1). Bununla birlikte </w:t>
      </w:r>
      <w:r w:rsidR="00E3525B" w:rsidRPr="00F20918">
        <w:rPr>
          <w:rFonts w:ascii="Arial" w:hAnsi="Arial" w:cs="Arial"/>
          <w:sz w:val="20"/>
          <w:szCs w:val="20"/>
        </w:rPr>
        <w:t xml:space="preserve">TÜİK’un yayınladığı verilerde </w:t>
      </w:r>
      <w:r w:rsidRPr="00F20918">
        <w:rPr>
          <w:rFonts w:ascii="Arial" w:hAnsi="Arial" w:cs="Arial"/>
          <w:bCs/>
          <w:sz w:val="20"/>
          <w:szCs w:val="20"/>
        </w:rPr>
        <w:t>alt kalemlere bakıldığında, kamu tüketiminde (maaş-ücret + mal ve hizmet alımı) artışın yüzde 4,8’den 3,8’e gerilediği buna karşılık kamu yatırımlarınd</w:t>
      </w:r>
      <w:r w:rsidR="00B620FC">
        <w:rPr>
          <w:rFonts w:ascii="Arial" w:hAnsi="Arial" w:cs="Arial"/>
          <w:bCs/>
          <w:sz w:val="20"/>
          <w:szCs w:val="20"/>
        </w:rPr>
        <w:t>a değişimin büyük bir sıçrama gö</w:t>
      </w:r>
      <w:r w:rsidRPr="00F20918">
        <w:rPr>
          <w:rFonts w:ascii="Arial" w:hAnsi="Arial" w:cs="Arial"/>
          <w:bCs/>
          <w:sz w:val="20"/>
          <w:szCs w:val="20"/>
        </w:rPr>
        <w:t xml:space="preserve">stererek eksi yüzde 1,7’den artı 5,7’ye çıktığı görülüyor. </w:t>
      </w:r>
    </w:p>
    <w:p w:rsidR="00B834FD" w:rsidRPr="00F20918" w:rsidRDefault="00F22BF1" w:rsidP="00B620FC">
      <w:pPr>
        <w:pStyle w:val="NormalWeb"/>
        <w:spacing w:before="0" w:beforeAutospacing="0" w:after="0" w:afterAutospacing="0" w:line="360" w:lineRule="auto"/>
        <w:ind w:right="77"/>
        <w:jc w:val="center"/>
        <w:rPr>
          <w:rFonts w:ascii="Arial" w:hAnsi="Arial" w:cs="Arial"/>
          <w:b/>
          <w:bCs/>
          <w:sz w:val="20"/>
          <w:szCs w:val="20"/>
        </w:rPr>
      </w:pPr>
      <w:r w:rsidRPr="00F20918">
        <w:rPr>
          <w:rFonts w:ascii="Arial" w:hAnsi="Arial" w:cs="Arial"/>
          <w:b/>
          <w:bCs/>
          <w:sz w:val="20"/>
          <w:szCs w:val="20"/>
        </w:rPr>
        <w:lastRenderedPageBreak/>
        <w:t>Net ihracatta</w:t>
      </w:r>
      <w:r w:rsidR="00930C26" w:rsidRPr="00F20918">
        <w:rPr>
          <w:rFonts w:ascii="Arial" w:hAnsi="Arial" w:cs="Arial"/>
          <w:b/>
          <w:bCs/>
          <w:sz w:val="20"/>
          <w:szCs w:val="20"/>
        </w:rPr>
        <w:t>n büyümeye negatif</w:t>
      </w:r>
      <w:r w:rsidR="000C57E2" w:rsidRPr="00F20918">
        <w:rPr>
          <w:rFonts w:ascii="Arial" w:hAnsi="Arial" w:cs="Arial"/>
          <w:b/>
          <w:bCs/>
          <w:sz w:val="20"/>
          <w:szCs w:val="20"/>
        </w:rPr>
        <w:t xml:space="preserve"> katkı</w:t>
      </w:r>
    </w:p>
    <w:p w:rsidR="0086402F" w:rsidRPr="00F20918" w:rsidRDefault="009C4A62" w:rsidP="00592952">
      <w:pPr>
        <w:pStyle w:val="NormalWeb"/>
        <w:spacing w:before="0" w:beforeAutospacing="0" w:after="0" w:afterAutospacing="0" w:line="360" w:lineRule="auto"/>
        <w:ind w:right="77"/>
        <w:jc w:val="both"/>
        <w:rPr>
          <w:rFonts w:ascii="Arial" w:hAnsi="Arial" w:cs="Arial"/>
          <w:bCs/>
          <w:sz w:val="20"/>
          <w:szCs w:val="20"/>
        </w:rPr>
      </w:pPr>
      <w:r w:rsidRPr="00F20918">
        <w:rPr>
          <w:rFonts w:ascii="Arial" w:hAnsi="Arial" w:cs="Arial"/>
          <w:bCs/>
          <w:sz w:val="20"/>
          <w:szCs w:val="20"/>
        </w:rPr>
        <w:t xml:space="preserve">Net ihracat kaleminin büyümeye sınırlı da olsa negatif katkı yapmasını bekliyorduk. </w:t>
      </w:r>
      <w:r w:rsidR="00C32B59" w:rsidRPr="00F20918">
        <w:rPr>
          <w:rFonts w:ascii="Arial" w:hAnsi="Arial" w:cs="Arial"/>
          <w:bCs/>
          <w:sz w:val="20"/>
          <w:szCs w:val="20"/>
        </w:rPr>
        <w:t>Gerçekleşme beklentilerin de üstünde oldu.</w:t>
      </w:r>
      <w:r w:rsidRPr="00F20918">
        <w:rPr>
          <w:rFonts w:ascii="Arial" w:hAnsi="Arial" w:cs="Arial"/>
          <w:bCs/>
          <w:sz w:val="20"/>
          <w:szCs w:val="20"/>
        </w:rPr>
        <w:t xml:space="preserve"> Birinci çeyrekten ikinci çeyreğe mal ve hizmet ihracatı yüzde 2,8 oranında gerilerken (eksi 0,7 puan katkı) ithalatta yüzde 0,5 artış (eksi 0,1 puan katkı) gerçekleşmiş durumda. </w:t>
      </w:r>
      <w:r w:rsidR="0093777C" w:rsidRPr="00F20918">
        <w:rPr>
          <w:rFonts w:ascii="Arial" w:hAnsi="Arial" w:cs="Arial"/>
          <w:bCs/>
          <w:sz w:val="20"/>
          <w:szCs w:val="20"/>
          <w:highlight w:val="yellow"/>
        </w:rPr>
        <w:t xml:space="preserve">   </w:t>
      </w:r>
    </w:p>
    <w:p w:rsidR="00984090" w:rsidRPr="00F20918" w:rsidRDefault="00984090" w:rsidP="00984090">
      <w:pPr>
        <w:pStyle w:val="NormalWeb"/>
        <w:spacing w:before="0" w:beforeAutospacing="0" w:after="0" w:afterAutospacing="0" w:line="360" w:lineRule="auto"/>
        <w:ind w:right="77"/>
        <w:jc w:val="center"/>
        <w:rPr>
          <w:rFonts w:ascii="Arial" w:hAnsi="Arial" w:cs="Arial"/>
          <w:b/>
          <w:bCs/>
          <w:sz w:val="20"/>
          <w:szCs w:val="20"/>
          <w:highlight w:val="yellow"/>
        </w:rPr>
      </w:pPr>
    </w:p>
    <w:p w:rsidR="00984090" w:rsidRPr="00F20918" w:rsidRDefault="00984090" w:rsidP="00984090">
      <w:pPr>
        <w:pStyle w:val="NormalWeb"/>
        <w:spacing w:before="0" w:beforeAutospacing="0" w:after="0" w:afterAutospacing="0" w:line="360" w:lineRule="auto"/>
        <w:ind w:right="77"/>
        <w:jc w:val="center"/>
        <w:rPr>
          <w:rFonts w:ascii="Arial" w:hAnsi="Arial" w:cs="Arial"/>
          <w:b/>
          <w:bCs/>
          <w:sz w:val="20"/>
          <w:szCs w:val="20"/>
        </w:rPr>
      </w:pPr>
      <w:r w:rsidRPr="00F20918">
        <w:rPr>
          <w:rFonts w:ascii="Arial" w:hAnsi="Arial" w:cs="Arial"/>
          <w:b/>
          <w:bCs/>
          <w:sz w:val="20"/>
          <w:szCs w:val="20"/>
        </w:rPr>
        <w:t>Büyümenin geleceği</w:t>
      </w:r>
    </w:p>
    <w:p w:rsidR="001A4BCB" w:rsidRPr="00F20918" w:rsidRDefault="001A4BCB" w:rsidP="00984090">
      <w:pPr>
        <w:pStyle w:val="NormalWeb"/>
        <w:spacing w:before="0" w:beforeAutospacing="0" w:after="0" w:afterAutospacing="0" w:line="360" w:lineRule="auto"/>
        <w:ind w:right="77"/>
        <w:jc w:val="center"/>
        <w:rPr>
          <w:rFonts w:ascii="Arial" w:hAnsi="Arial" w:cs="Arial"/>
          <w:b/>
          <w:bCs/>
          <w:sz w:val="20"/>
          <w:szCs w:val="20"/>
          <w:highlight w:val="yellow"/>
        </w:rPr>
      </w:pPr>
    </w:p>
    <w:p w:rsidR="00D04A46" w:rsidRPr="00F20918" w:rsidRDefault="00D04A46" w:rsidP="00AF3A00">
      <w:pPr>
        <w:pStyle w:val="NormalWeb"/>
        <w:spacing w:before="0" w:beforeAutospacing="0" w:after="0" w:afterAutospacing="0" w:line="360" w:lineRule="auto"/>
        <w:ind w:right="77"/>
        <w:jc w:val="both"/>
        <w:rPr>
          <w:rFonts w:ascii="Arial" w:hAnsi="Arial" w:cs="Arial"/>
          <w:sz w:val="20"/>
          <w:szCs w:val="20"/>
        </w:rPr>
      </w:pPr>
      <w:r w:rsidRPr="00F20918">
        <w:rPr>
          <w:rFonts w:ascii="Arial" w:hAnsi="Arial" w:cs="Arial"/>
          <w:sz w:val="20"/>
          <w:szCs w:val="20"/>
        </w:rPr>
        <w:t xml:space="preserve">Sonuç olarak ikinci çeyrekte yatırımlarda güçlü bir canlanmaya ve kamu harcmalarındaki mutat artışa rağmen çeyrekten çeyreğe GSYH artışının yüzde 0,3 ile sınırlı kalması net ihracatın beklenin üzerindeki negatif katkısından ve özel tüketimdeki beklenmedik düşüşten kaynaklanmış durumda. Çeyrekten çeyreğe GSYH artışlarının son 6 çeyrekten bu yana ilk kez bu kadar düşük çıktığı not edilmelidir. </w:t>
      </w:r>
      <w:r w:rsidR="00D37611" w:rsidRPr="00F20918">
        <w:rPr>
          <w:rFonts w:ascii="Arial" w:hAnsi="Arial" w:cs="Arial"/>
          <w:sz w:val="20"/>
          <w:szCs w:val="20"/>
        </w:rPr>
        <w:t>Bu nedenle y</w:t>
      </w:r>
      <w:r w:rsidRPr="00F20918">
        <w:rPr>
          <w:rFonts w:ascii="Arial" w:hAnsi="Arial" w:cs="Arial"/>
          <w:sz w:val="20"/>
          <w:szCs w:val="20"/>
        </w:rPr>
        <w:t>ıllık GSYH artışı da ikinci çeyrekte</w:t>
      </w:r>
      <w:r w:rsidR="00D37611" w:rsidRPr="00F20918">
        <w:rPr>
          <w:rFonts w:ascii="Arial" w:hAnsi="Arial" w:cs="Arial"/>
          <w:sz w:val="20"/>
          <w:szCs w:val="20"/>
        </w:rPr>
        <w:t xml:space="preserve"> yüzde </w:t>
      </w:r>
      <w:r w:rsidR="006273E5" w:rsidRPr="00F20918">
        <w:rPr>
          <w:rFonts w:ascii="Arial" w:hAnsi="Arial" w:cs="Arial"/>
          <w:sz w:val="20"/>
          <w:szCs w:val="20"/>
        </w:rPr>
        <w:t>3,1’e gerilemiş bulunuyor. Bu ko</w:t>
      </w:r>
      <w:r w:rsidR="00B620FC">
        <w:rPr>
          <w:rFonts w:ascii="Arial" w:hAnsi="Arial" w:cs="Arial"/>
          <w:sz w:val="20"/>
          <w:szCs w:val="20"/>
        </w:rPr>
        <w:t>şullarda ekonomi yönetim</w:t>
      </w:r>
      <w:r w:rsidR="00D37611" w:rsidRPr="00F20918">
        <w:rPr>
          <w:rFonts w:ascii="Arial" w:hAnsi="Arial" w:cs="Arial"/>
          <w:sz w:val="20"/>
          <w:szCs w:val="20"/>
        </w:rPr>
        <w:t>cilerinin de kabul ettiği gibi 2016 ekonomik büyümesinin Orta Vadeli P</w:t>
      </w:r>
      <w:r w:rsidR="00E3525B" w:rsidRPr="00F20918">
        <w:rPr>
          <w:rFonts w:ascii="Arial" w:hAnsi="Arial" w:cs="Arial"/>
          <w:sz w:val="20"/>
          <w:szCs w:val="20"/>
        </w:rPr>
        <w:t>rogramda hedeflenen yüzde 4,5’li</w:t>
      </w:r>
      <w:r w:rsidR="00D37611" w:rsidRPr="00F20918">
        <w:rPr>
          <w:rFonts w:ascii="Arial" w:hAnsi="Arial" w:cs="Arial"/>
          <w:sz w:val="20"/>
          <w:szCs w:val="20"/>
        </w:rPr>
        <w:t xml:space="preserve">k büyüme oranın altında gerçekleşmesi kesinleşmiş görünüyor. Hedefin ne kadar altında kalınacağı ikinci yarı büyüme gerçekleşmelerine bağlı olarak şekillenecektir.   </w:t>
      </w:r>
      <w:r w:rsidRPr="00F20918">
        <w:rPr>
          <w:rFonts w:ascii="Arial" w:hAnsi="Arial" w:cs="Arial"/>
          <w:sz w:val="20"/>
          <w:szCs w:val="20"/>
        </w:rPr>
        <w:t xml:space="preserve">  </w:t>
      </w:r>
    </w:p>
    <w:p w:rsidR="001A4BCB" w:rsidRPr="00F20918" w:rsidRDefault="001A4BCB" w:rsidP="00AF3A00">
      <w:pPr>
        <w:pStyle w:val="NormalWeb"/>
        <w:spacing w:before="0" w:beforeAutospacing="0" w:after="0" w:afterAutospacing="0" w:line="360" w:lineRule="auto"/>
        <w:ind w:right="77"/>
        <w:jc w:val="both"/>
        <w:rPr>
          <w:rFonts w:ascii="Arial" w:hAnsi="Arial" w:cs="Arial"/>
          <w:sz w:val="20"/>
          <w:szCs w:val="20"/>
          <w:highlight w:val="yellow"/>
        </w:rPr>
      </w:pPr>
    </w:p>
    <w:p w:rsidR="00A12F3A" w:rsidRPr="00F20918" w:rsidRDefault="00A12F3A" w:rsidP="00AF3A00">
      <w:pPr>
        <w:pStyle w:val="NormalWeb"/>
        <w:spacing w:before="0" w:beforeAutospacing="0" w:after="0" w:afterAutospacing="0" w:line="360" w:lineRule="auto"/>
        <w:ind w:right="77"/>
        <w:jc w:val="both"/>
        <w:rPr>
          <w:rFonts w:ascii="Arial" w:hAnsi="Arial" w:cs="Arial"/>
          <w:sz w:val="20"/>
          <w:szCs w:val="20"/>
          <w:highlight w:val="yellow"/>
        </w:rPr>
      </w:pPr>
    </w:p>
    <w:p w:rsidR="00B834FD" w:rsidRPr="00F20918" w:rsidRDefault="00B834FD" w:rsidP="00572866">
      <w:pPr>
        <w:spacing w:line="288" w:lineRule="auto"/>
        <w:ind w:right="77"/>
        <w:jc w:val="both"/>
        <w:rPr>
          <w:rFonts w:ascii="Arial" w:hAnsi="Arial" w:cs="Arial"/>
          <w:sz w:val="20"/>
          <w:szCs w:val="20"/>
        </w:rPr>
      </w:pPr>
    </w:p>
    <w:p w:rsidR="003047E8" w:rsidRPr="00F20918" w:rsidRDefault="003047E8" w:rsidP="00572866">
      <w:pPr>
        <w:spacing w:line="288" w:lineRule="auto"/>
        <w:ind w:right="77"/>
        <w:jc w:val="both"/>
        <w:rPr>
          <w:rFonts w:ascii="Arial" w:hAnsi="Arial" w:cs="Arial"/>
          <w:b/>
          <w:bCs/>
          <w:sz w:val="20"/>
          <w:szCs w:val="20"/>
        </w:rPr>
      </w:pPr>
    </w:p>
    <w:p w:rsidR="003047E8" w:rsidRPr="00F20918" w:rsidRDefault="003047E8" w:rsidP="00572866">
      <w:pPr>
        <w:spacing w:line="288" w:lineRule="auto"/>
        <w:ind w:right="77"/>
        <w:jc w:val="both"/>
        <w:rPr>
          <w:rFonts w:ascii="Arial" w:hAnsi="Arial" w:cs="Arial"/>
          <w:b/>
          <w:bCs/>
          <w:sz w:val="20"/>
          <w:szCs w:val="20"/>
        </w:rPr>
      </w:pPr>
    </w:p>
    <w:p w:rsidR="003047E8" w:rsidRPr="00F20918" w:rsidRDefault="003047E8" w:rsidP="00572866">
      <w:pPr>
        <w:spacing w:line="288" w:lineRule="auto"/>
        <w:ind w:right="77"/>
        <w:jc w:val="both"/>
        <w:rPr>
          <w:rFonts w:ascii="Arial" w:hAnsi="Arial" w:cs="Arial"/>
          <w:b/>
          <w:bCs/>
          <w:sz w:val="20"/>
          <w:szCs w:val="20"/>
        </w:rPr>
      </w:pPr>
    </w:p>
    <w:p w:rsidR="003047E8" w:rsidRPr="00F20918" w:rsidRDefault="003047E8"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057C0F" w:rsidRPr="00F20918" w:rsidRDefault="00057C0F" w:rsidP="00572866">
      <w:pPr>
        <w:spacing w:line="288" w:lineRule="auto"/>
        <w:ind w:right="77"/>
        <w:jc w:val="both"/>
        <w:rPr>
          <w:rFonts w:ascii="Arial" w:hAnsi="Arial" w:cs="Arial"/>
          <w:b/>
          <w:bCs/>
          <w:sz w:val="20"/>
          <w:szCs w:val="20"/>
        </w:rPr>
      </w:pPr>
    </w:p>
    <w:p w:rsidR="00FC232E" w:rsidRPr="00F20918" w:rsidRDefault="00FC232E" w:rsidP="00572866">
      <w:pPr>
        <w:spacing w:line="288" w:lineRule="auto"/>
        <w:ind w:right="77"/>
        <w:jc w:val="both"/>
        <w:rPr>
          <w:rFonts w:ascii="Arial" w:hAnsi="Arial" w:cs="Arial"/>
          <w:b/>
          <w:bCs/>
          <w:sz w:val="20"/>
          <w:szCs w:val="20"/>
        </w:rPr>
      </w:pPr>
    </w:p>
    <w:p w:rsidR="00FC232E" w:rsidRPr="00F20918" w:rsidRDefault="00FC232E" w:rsidP="00572866">
      <w:pPr>
        <w:spacing w:line="288" w:lineRule="auto"/>
        <w:ind w:right="77"/>
        <w:jc w:val="both"/>
        <w:rPr>
          <w:rFonts w:ascii="Arial" w:hAnsi="Arial" w:cs="Arial"/>
          <w:b/>
          <w:bCs/>
          <w:sz w:val="20"/>
          <w:szCs w:val="20"/>
        </w:rPr>
      </w:pPr>
    </w:p>
    <w:p w:rsidR="003D7ECF" w:rsidRPr="00F20918" w:rsidRDefault="003D7ECF" w:rsidP="00572866">
      <w:pPr>
        <w:spacing w:line="288" w:lineRule="auto"/>
        <w:ind w:right="77"/>
        <w:jc w:val="both"/>
        <w:rPr>
          <w:rFonts w:ascii="Arial" w:hAnsi="Arial" w:cs="Arial"/>
          <w:b/>
          <w:bCs/>
          <w:sz w:val="20"/>
          <w:szCs w:val="20"/>
        </w:rPr>
      </w:pPr>
    </w:p>
    <w:p w:rsidR="00B834FD" w:rsidRPr="00F20918" w:rsidRDefault="00B834FD" w:rsidP="00572866">
      <w:pPr>
        <w:spacing w:line="288" w:lineRule="auto"/>
        <w:ind w:right="77"/>
        <w:jc w:val="both"/>
        <w:rPr>
          <w:rFonts w:ascii="Arial" w:hAnsi="Arial" w:cs="Arial"/>
          <w:b/>
          <w:bCs/>
          <w:sz w:val="20"/>
          <w:szCs w:val="20"/>
        </w:rPr>
      </w:pPr>
      <w:r w:rsidRPr="00F20918">
        <w:rPr>
          <w:rFonts w:ascii="Arial" w:hAnsi="Arial" w:cs="Arial"/>
          <w:b/>
          <w:bCs/>
          <w:sz w:val="20"/>
          <w:szCs w:val="20"/>
        </w:rPr>
        <w:t>Şekil 3: GSYH, Önceki çeyreğe göre büyüme</w:t>
      </w:r>
    </w:p>
    <w:p w:rsidR="00C23712" w:rsidRPr="00F20918" w:rsidRDefault="00A665F3" w:rsidP="000252CE">
      <w:pPr>
        <w:pStyle w:val="NormalWeb"/>
        <w:spacing w:before="0" w:beforeAutospacing="0" w:after="0" w:afterAutospacing="0"/>
        <w:jc w:val="both"/>
      </w:pPr>
      <w:r w:rsidRPr="00F20918">
        <w:rPr>
          <w:noProof/>
        </w:rPr>
        <w:drawing>
          <wp:inline distT="0" distB="0" distL="0" distR="0" wp14:anchorId="48C4DE8A" wp14:editId="439A3FE1">
            <wp:extent cx="2775356" cy="3047568"/>
            <wp:effectExtent l="19050" t="0" r="59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78023" cy="3050497"/>
                    </a:xfrm>
                    <a:prstGeom prst="rect">
                      <a:avLst/>
                    </a:prstGeom>
                    <a:noFill/>
                    <a:ln w="9525">
                      <a:noFill/>
                      <a:miter lim="800000"/>
                      <a:headEnd/>
                      <a:tailEnd/>
                    </a:ln>
                  </pic:spPr>
                </pic:pic>
              </a:graphicData>
            </a:graphic>
          </wp:inline>
        </w:drawing>
      </w:r>
    </w:p>
    <w:p w:rsidR="00C23712" w:rsidRPr="00F20918" w:rsidRDefault="00CB6FAC" w:rsidP="000252CE">
      <w:pPr>
        <w:pStyle w:val="NormalWeb"/>
        <w:spacing w:before="0" w:beforeAutospacing="0" w:after="0" w:afterAutospacing="0"/>
        <w:jc w:val="both"/>
        <w:rPr>
          <w:rFonts w:ascii="Arial" w:hAnsi="Arial" w:cs="Arial"/>
          <w:sz w:val="16"/>
          <w:szCs w:val="16"/>
        </w:rPr>
      </w:pPr>
      <w:r w:rsidRPr="00F20918">
        <w:rPr>
          <w:rFonts w:ascii="Arial" w:hAnsi="Arial" w:cs="Arial"/>
          <w:sz w:val="16"/>
          <w:szCs w:val="16"/>
        </w:rPr>
        <w:t>Kaynak</w:t>
      </w:r>
      <w:r w:rsidR="00B834FD" w:rsidRPr="00F20918">
        <w:rPr>
          <w:rFonts w:ascii="Arial" w:hAnsi="Arial" w:cs="Arial"/>
          <w:sz w:val="16"/>
          <w:szCs w:val="16"/>
        </w:rPr>
        <w:t>: TÜİK.</w:t>
      </w:r>
    </w:p>
    <w:p w:rsidR="00DA2051" w:rsidRPr="00F20918" w:rsidRDefault="00DA2051" w:rsidP="00535631">
      <w:pPr>
        <w:pStyle w:val="NormalWeb"/>
        <w:spacing w:before="0" w:beforeAutospacing="0" w:after="0" w:afterAutospacing="0"/>
        <w:ind w:right="77"/>
        <w:jc w:val="both"/>
        <w:rPr>
          <w:b/>
          <w:bCs/>
          <w:sz w:val="22"/>
          <w:szCs w:val="22"/>
        </w:rPr>
      </w:pPr>
    </w:p>
    <w:p w:rsidR="00DA2051" w:rsidRPr="00F20918" w:rsidRDefault="00DA2051" w:rsidP="00535631">
      <w:pPr>
        <w:pStyle w:val="NormalWeb"/>
        <w:spacing w:before="0" w:beforeAutospacing="0" w:after="0" w:afterAutospacing="0"/>
        <w:ind w:right="77"/>
        <w:jc w:val="both"/>
        <w:rPr>
          <w:b/>
          <w:bCs/>
          <w:sz w:val="22"/>
          <w:szCs w:val="22"/>
        </w:rPr>
      </w:pPr>
    </w:p>
    <w:p w:rsidR="00DA2051" w:rsidRPr="00F20918" w:rsidRDefault="00DA2051" w:rsidP="00535631">
      <w:pPr>
        <w:pStyle w:val="NormalWeb"/>
        <w:spacing w:before="0" w:beforeAutospacing="0" w:after="0" w:afterAutospacing="0"/>
        <w:ind w:right="77"/>
        <w:jc w:val="both"/>
        <w:rPr>
          <w:b/>
          <w:bCs/>
          <w:sz w:val="22"/>
          <w:szCs w:val="22"/>
        </w:rPr>
      </w:pPr>
    </w:p>
    <w:p w:rsidR="00535631" w:rsidRPr="00F20918" w:rsidRDefault="00535631" w:rsidP="00535631">
      <w:pPr>
        <w:pStyle w:val="NormalWeb"/>
        <w:spacing w:before="0" w:beforeAutospacing="0" w:after="0" w:afterAutospacing="0"/>
        <w:ind w:right="77"/>
        <w:jc w:val="both"/>
        <w:rPr>
          <w:b/>
          <w:bCs/>
          <w:sz w:val="22"/>
          <w:szCs w:val="22"/>
        </w:rPr>
      </w:pPr>
      <w:r w:rsidRPr="00F20918">
        <w:rPr>
          <w:b/>
          <w:bCs/>
          <w:sz w:val="22"/>
          <w:szCs w:val="22"/>
        </w:rPr>
        <w:t xml:space="preserve">Tablo 1. </w:t>
      </w:r>
      <w:r w:rsidR="00A665F3" w:rsidRPr="00F20918">
        <w:rPr>
          <w:b/>
          <w:bCs/>
          <w:sz w:val="22"/>
          <w:szCs w:val="22"/>
        </w:rPr>
        <w:t xml:space="preserve">2016 1. çeyrekte </w:t>
      </w:r>
      <w:r w:rsidR="003D6D66" w:rsidRPr="00F20918">
        <w:rPr>
          <w:b/>
          <w:bCs/>
          <w:sz w:val="22"/>
          <w:szCs w:val="22"/>
        </w:rPr>
        <w:t>ve 2016</w:t>
      </w:r>
      <w:r w:rsidRPr="00F20918">
        <w:rPr>
          <w:b/>
          <w:bCs/>
          <w:sz w:val="22"/>
          <w:szCs w:val="22"/>
        </w:rPr>
        <w:t xml:space="preserve"> </w:t>
      </w:r>
      <w:r w:rsidR="00A665F3" w:rsidRPr="00F20918">
        <w:rPr>
          <w:b/>
          <w:bCs/>
          <w:sz w:val="22"/>
          <w:szCs w:val="22"/>
        </w:rPr>
        <w:t>2</w:t>
      </w:r>
      <w:r w:rsidRPr="00F20918">
        <w:rPr>
          <w:b/>
          <w:bCs/>
          <w:sz w:val="22"/>
          <w:szCs w:val="22"/>
        </w:rPr>
        <w:t>. çeyrekte GSYH alt</w:t>
      </w:r>
      <w:r w:rsidR="004E0453" w:rsidRPr="00F20918">
        <w:rPr>
          <w:b/>
          <w:bCs/>
          <w:sz w:val="22"/>
          <w:szCs w:val="22"/>
        </w:rPr>
        <w:t xml:space="preserve"> </w:t>
      </w:r>
      <w:r w:rsidRPr="00F20918">
        <w:rPr>
          <w:b/>
          <w:bCs/>
          <w:sz w:val="22"/>
          <w:szCs w:val="22"/>
        </w:rPr>
        <w:t xml:space="preserve">kalemlerinin, </w:t>
      </w:r>
      <w:r w:rsidRPr="00F20918">
        <w:rPr>
          <w:b/>
          <w:bCs/>
          <w:sz w:val="22"/>
          <w:szCs w:val="22"/>
          <w:u w:val="single"/>
        </w:rPr>
        <w:t>bir önceki çeyreğe</w:t>
      </w:r>
      <w:r w:rsidRPr="00F20918">
        <w:rPr>
          <w:b/>
          <w:bCs/>
          <w:sz w:val="22"/>
          <w:szCs w:val="22"/>
        </w:rPr>
        <w:t xml:space="preserve"> göre değişimleri ve büyümeye katkıları</w:t>
      </w:r>
    </w:p>
    <w:p w:rsidR="00DA2051" w:rsidRPr="00F20918" w:rsidRDefault="00DA2051" w:rsidP="00535631">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535631" w:rsidRPr="00F20918" w:rsidTr="00ED0B13">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535631" w:rsidRPr="00F20918" w:rsidRDefault="00535631" w:rsidP="003D6D66">
            <w:pPr>
              <w:rPr>
                <w:rFonts w:ascii="Arial TUR" w:hAnsi="Arial TUR" w:cs="Arial TUR"/>
                <w:b/>
                <w:bCs/>
                <w:sz w:val="20"/>
                <w:szCs w:val="20"/>
              </w:rPr>
            </w:pPr>
            <w:r w:rsidRPr="00F20918">
              <w:rPr>
                <w:rFonts w:ascii="Arial TUR" w:hAnsi="Arial TUR" w:cs="Arial TUR"/>
                <w:b/>
                <w:bCs/>
                <w:sz w:val="20"/>
                <w:szCs w:val="20"/>
              </w:rPr>
              <w:t>201</w:t>
            </w:r>
            <w:r w:rsidR="003D6D66" w:rsidRPr="00F20918">
              <w:rPr>
                <w:rFonts w:ascii="Arial TUR" w:hAnsi="Arial TUR" w:cs="Arial TUR"/>
                <w:b/>
                <w:bCs/>
                <w:sz w:val="20"/>
                <w:szCs w:val="20"/>
              </w:rPr>
              <w:t>6</w:t>
            </w:r>
            <w:r w:rsidRPr="00F20918">
              <w:rPr>
                <w:rFonts w:ascii="Arial TUR" w:hAnsi="Arial TUR" w:cs="Arial TUR"/>
                <w:b/>
                <w:bCs/>
                <w:sz w:val="20"/>
                <w:szCs w:val="20"/>
              </w:rPr>
              <w:t xml:space="preserve"> – </w:t>
            </w:r>
            <w:r w:rsidR="00A665F3" w:rsidRPr="00F20918">
              <w:rPr>
                <w:rFonts w:ascii="Arial TUR" w:hAnsi="Arial TUR" w:cs="Arial TUR"/>
                <w:b/>
                <w:bCs/>
                <w:sz w:val="20"/>
                <w:szCs w:val="20"/>
              </w:rPr>
              <w:t>2</w:t>
            </w:r>
            <w:r w:rsidRPr="00F20918">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535631" w:rsidRPr="00F20918" w:rsidRDefault="00B523D2" w:rsidP="00ED0B13">
            <w:pPr>
              <w:jc w:val="center"/>
              <w:rPr>
                <w:rFonts w:ascii="Arial TUR" w:hAnsi="Arial TUR" w:cs="Arial TUR"/>
                <w:b/>
                <w:bCs/>
                <w:sz w:val="20"/>
                <w:szCs w:val="20"/>
              </w:rPr>
            </w:pPr>
            <w:r w:rsidRPr="00F20918">
              <w:rPr>
                <w:rFonts w:ascii="Arial TUR" w:hAnsi="Arial TUR" w:cs="Arial TUR"/>
                <w:b/>
                <w:bCs/>
                <w:sz w:val="20"/>
                <w:szCs w:val="20"/>
              </w:rPr>
              <w:t>Değişim</w:t>
            </w:r>
            <w:r w:rsidR="00633032" w:rsidRPr="00F20918">
              <w:rPr>
                <w:rFonts w:ascii="Arial TUR" w:hAnsi="Arial TUR" w:cs="Arial TUR"/>
                <w:b/>
                <w:bCs/>
                <w:sz w:val="20"/>
                <w:szCs w:val="20"/>
              </w:rPr>
              <w:t xml:space="preserve"> (%)</w:t>
            </w:r>
          </w:p>
        </w:tc>
        <w:tc>
          <w:tcPr>
            <w:tcW w:w="1350" w:type="dxa"/>
            <w:tcBorders>
              <w:top w:val="single" w:sz="4" w:space="0" w:color="auto"/>
              <w:left w:val="nil"/>
              <w:bottom w:val="single" w:sz="4" w:space="0" w:color="auto"/>
              <w:right w:val="single" w:sz="4" w:space="0" w:color="auto"/>
            </w:tcBorders>
            <w:noWrap/>
            <w:vAlign w:val="bottom"/>
          </w:tcPr>
          <w:p w:rsidR="00535631" w:rsidRPr="00F20918" w:rsidRDefault="00535631" w:rsidP="00ED0B13">
            <w:pPr>
              <w:jc w:val="center"/>
              <w:rPr>
                <w:rFonts w:ascii="Arial TUR" w:hAnsi="Arial TUR" w:cs="Arial TUR"/>
                <w:b/>
                <w:bCs/>
                <w:sz w:val="20"/>
                <w:szCs w:val="20"/>
              </w:rPr>
            </w:pPr>
            <w:r w:rsidRPr="00F20918">
              <w:rPr>
                <w:rFonts w:ascii="Arial TUR" w:hAnsi="Arial TUR" w:cs="Arial TUR"/>
                <w:b/>
                <w:bCs/>
                <w:sz w:val="20"/>
                <w:szCs w:val="20"/>
              </w:rPr>
              <w:t>Katkılar</w:t>
            </w:r>
            <w:r w:rsidR="00633032" w:rsidRPr="00F20918">
              <w:rPr>
                <w:rFonts w:ascii="Arial TUR" w:hAnsi="Arial TUR" w:cs="Arial TUR"/>
                <w:b/>
                <w:bCs/>
                <w:sz w:val="20"/>
                <w:szCs w:val="20"/>
              </w:rPr>
              <w:t xml:space="preserve"> (%)</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A665F3" w:rsidRPr="00F20918" w:rsidRDefault="00A665F3" w:rsidP="00A665F3">
            <w:pPr>
              <w:jc w:val="right"/>
              <w:rPr>
                <w:rFonts w:ascii="Arial" w:hAnsi="Arial" w:cs="Arial"/>
                <w:sz w:val="20"/>
                <w:szCs w:val="20"/>
              </w:rPr>
            </w:pPr>
            <w:r w:rsidRPr="00F20918">
              <w:rPr>
                <w:rFonts w:ascii="Arial" w:hAnsi="Arial" w:cs="Arial"/>
                <w:sz w:val="20"/>
                <w:szCs w:val="20"/>
              </w:rPr>
              <w:t>-0.5</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-0.4</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6.0</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1.1</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3.5</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0.6</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A665F3" w:rsidRPr="00F20918" w:rsidRDefault="00A665F3">
            <w:pPr>
              <w:rPr>
                <w:rFonts w:ascii="Arial" w:hAnsi="Arial" w:cs="Arial"/>
                <w:sz w:val="20"/>
                <w:szCs w:val="20"/>
              </w:rPr>
            </w:pPr>
            <w:r w:rsidRPr="00F20918">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-2.8</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-0.7</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0.5</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-0.1</w:t>
            </w:r>
          </w:p>
        </w:tc>
      </w:tr>
      <w:tr w:rsidR="00535631"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F20918" w:rsidRDefault="00835C16" w:rsidP="00ED0B13">
            <w:pPr>
              <w:rPr>
                <w:rFonts w:ascii="Arial" w:hAnsi="Arial" w:cs="Arial"/>
                <w:sz w:val="20"/>
                <w:szCs w:val="20"/>
              </w:rPr>
            </w:pPr>
            <w:r w:rsidRPr="00F20918">
              <w:rPr>
                <w:rFonts w:ascii="Arial TUR" w:hAnsi="Arial TUR" w:cs="Arial TUR"/>
                <w:b/>
                <w:bCs/>
                <w:sz w:val="20"/>
                <w:szCs w:val="20"/>
              </w:rPr>
              <w:t>Toplam</w:t>
            </w:r>
          </w:p>
        </w:tc>
        <w:tc>
          <w:tcPr>
            <w:tcW w:w="1350" w:type="dxa"/>
            <w:tcBorders>
              <w:top w:val="nil"/>
              <w:left w:val="nil"/>
              <w:bottom w:val="single" w:sz="4" w:space="0" w:color="auto"/>
              <w:right w:val="single" w:sz="4" w:space="0" w:color="auto"/>
            </w:tcBorders>
            <w:noWrap/>
            <w:vAlign w:val="bottom"/>
          </w:tcPr>
          <w:p w:rsidR="00535631" w:rsidRPr="00F20918" w:rsidRDefault="00535631" w:rsidP="00835C16">
            <w:pPr>
              <w:jc w:val="right"/>
              <w:rPr>
                <w:rFonts w:ascii="Arial" w:hAnsi="Arial" w:cs="Arial"/>
                <w:sz w:val="20"/>
                <w:szCs w:val="20"/>
              </w:rPr>
            </w:pPr>
            <w:r w:rsidRPr="00F20918">
              <w:rPr>
                <w:rFonts w:ascii="Arial" w:hAnsi="Arial" w:cs="Arial"/>
                <w:sz w:val="20"/>
                <w:szCs w:val="20"/>
              </w:rPr>
              <w:t> </w:t>
            </w:r>
            <w:r w:rsidR="00835C16" w:rsidRPr="00F20918">
              <w:rPr>
                <w:rFonts w:ascii="Arial" w:hAnsi="Arial" w:cs="Arial"/>
                <w:sz w:val="20"/>
                <w:szCs w:val="20"/>
              </w:rPr>
              <w:t>0.3</w:t>
            </w:r>
          </w:p>
        </w:tc>
        <w:tc>
          <w:tcPr>
            <w:tcW w:w="1350" w:type="dxa"/>
            <w:tcBorders>
              <w:top w:val="nil"/>
              <w:left w:val="nil"/>
              <w:bottom w:val="single" w:sz="4" w:space="0" w:color="auto"/>
              <w:right w:val="single" w:sz="4" w:space="0" w:color="auto"/>
            </w:tcBorders>
            <w:noWrap/>
            <w:vAlign w:val="bottom"/>
          </w:tcPr>
          <w:p w:rsidR="00535631" w:rsidRPr="00F20918" w:rsidRDefault="00535631" w:rsidP="00ED0B13">
            <w:pPr>
              <w:rPr>
                <w:rFonts w:ascii="Arial" w:hAnsi="Arial" w:cs="Arial"/>
                <w:sz w:val="20"/>
                <w:szCs w:val="20"/>
              </w:rPr>
            </w:pPr>
            <w:r w:rsidRPr="00F20918">
              <w:rPr>
                <w:rFonts w:ascii="Arial" w:hAnsi="Arial" w:cs="Arial"/>
                <w:sz w:val="20"/>
                <w:szCs w:val="20"/>
              </w:rPr>
              <w:t> </w:t>
            </w:r>
          </w:p>
        </w:tc>
      </w:tr>
      <w:tr w:rsidR="00835C16"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835C16" w:rsidRPr="00F20918" w:rsidRDefault="00835C16" w:rsidP="00ED0B13">
            <w:pPr>
              <w:rPr>
                <w:rFonts w:ascii="Arial" w:hAnsi="Arial" w:cs="Arial"/>
                <w:sz w:val="20"/>
                <w:szCs w:val="20"/>
              </w:rPr>
            </w:pPr>
          </w:p>
        </w:tc>
        <w:tc>
          <w:tcPr>
            <w:tcW w:w="1350" w:type="dxa"/>
            <w:tcBorders>
              <w:top w:val="nil"/>
              <w:left w:val="nil"/>
              <w:bottom w:val="single" w:sz="4" w:space="0" w:color="auto"/>
              <w:right w:val="single" w:sz="4" w:space="0" w:color="auto"/>
            </w:tcBorders>
            <w:noWrap/>
            <w:vAlign w:val="bottom"/>
          </w:tcPr>
          <w:p w:rsidR="00835C16" w:rsidRPr="00F20918" w:rsidRDefault="00835C16" w:rsidP="00ED0B13">
            <w:pPr>
              <w:rPr>
                <w:rFonts w:ascii="Arial" w:hAnsi="Arial" w:cs="Arial"/>
                <w:sz w:val="20"/>
                <w:szCs w:val="20"/>
              </w:rPr>
            </w:pPr>
          </w:p>
        </w:tc>
        <w:tc>
          <w:tcPr>
            <w:tcW w:w="1350" w:type="dxa"/>
            <w:tcBorders>
              <w:top w:val="nil"/>
              <w:left w:val="nil"/>
              <w:bottom w:val="single" w:sz="4" w:space="0" w:color="auto"/>
              <w:right w:val="single" w:sz="4" w:space="0" w:color="auto"/>
            </w:tcBorders>
            <w:noWrap/>
            <w:vAlign w:val="bottom"/>
          </w:tcPr>
          <w:p w:rsidR="00835C16" w:rsidRPr="00F20918" w:rsidRDefault="00835C16" w:rsidP="00ED0B13">
            <w:pPr>
              <w:rPr>
                <w:rFonts w:ascii="Arial" w:hAnsi="Arial" w:cs="Arial"/>
                <w:sz w:val="20"/>
                <w:szCs w:val="20"/>
              </w:rPr>
            </w:pPr>
          </w:p>
        </w:tc>
      </w:tr>
      <w:tr w:rsidR="00535631"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F20918" w:rsidRDefault="00A665F3" w:rsidP="00DA2051">
            <w:pPr>
              <w:rPr>
                <w:rFonts w:ascii="Arial TUR" w:hAnsi="Arial TUR" w:cs="Arial TUR"/>
                <w:b/>
                <w:bCs/>
                <w:sz w:val="20"/>
                <w:szCs w:val="20"/>
              </w:rPr>
            </w:pPr>
            <w:r w:rsidRPr="00F20918">
              <w:rPr>
                <w:rFonts w:ascii="Arial TUR" w:hAnsi="Arial TUR" w:cs="Arial TUR"/>
                <w:b/>
                <w:bCs/>
                <w:sz w:val="20"/>
                <w:szCs w:val="20"/>
              </w:rPr>
              <w:t>2016 – 1. Ç</w:t>
            </w:r>
          </w:p>
        </w:tc>
        <w:tc>
          <w:tcPr>
            <w:tcW w:w="1350" w:type="dxa"/>
            <w:tcBorders>
              <w:top w:val="nil"/>
              <w:left w:val="nil"/>
              <w:bottom w:val="single" w:sz="4" w:space="0" w:color="auto"/>
              <w:right w:val="single" w:sz="4" w:space="0" w:color="auto"/>
            </w:tcBorders>
            <w:noWrap/>
            <w:vAlign w:val="bottom"/>
          </w:tcPr>
          <w:p w:rsidR="00535631" w:rsidRPr="00F20918" w:rsidRDefault="00B523D2" w:rsidP="00ED0B13">
            <w:pPr>
              <w:jc w:val="center"/>
              <w:rPr>
                <w:rFonts w:ascii="Arial TUR" w:hAnsi="Arial TUR" w:cs="Arial TUR"/>
                <w:b/>
                <w:bCs/>
                <w:sz w:val="20"/>
                <w:szCs w:val="20"/>
              </w:rPr>
            </w:pPr>
            <w:r w:rsidRPr="00F20918">
              <w:rPr>
                <w:rFonts w:ascii="Arial TUR" w:hAnsi="Arial TUR" w:cs="Arial TUR"/>
                <w:b/>
                <w:bCs/>
                <w:sz w:val="20"/>
                <w:szCs w:val="20"/>
              </w:rPr>
              <w:t>Değişim</w:t>
            </w:r>
            <w:r w:rsidR="00C65F21" w:rsidRPr="00F20918">
              <w:rPr>
                <w:rFonts w:ascii="Arial TUR" w:hAnsi="Arial TUR" w:cs="Arial TUR"/>
                <w:b/>
                <w:bCs/>
                <w:sz w:val="20"/>
                <w:szCs w:val="20"/>
              </w:rPr>
              <w:t xml:space="preserve"> (%)</w:t>
            </w:r>
          </w:p>
        </w:tc>
        <w:tc>
          <w:tcPr>
            <w:tcW w:w="1350" w:type="dxa"/>
            <w:tcBorders>
              <w:top w:val="nil"/>
              <w:left w:val="nil"/>
              <w:bottom w:val="single" w:sz="4" w:space="0" w:color="auto"/>
              <w:right w:val="single" w:sz="4" w:space="0" w:color="auto"/>
            </w:tcBorders>
            <w:noWrap/>
            <w:vAlign w:val="bottom"/>
          </w:tcPr>
          <w:p w:rsidR="00535631" w:rsidRPr="00F20918" w:rsidRDefault="00535631" w:rsidP="00ED0B13">
            <w:pPr>
              <w:jc w:val="center"/>
              <w:rPr>
                <w:rFonts w:ascii="Arial TUR" w:hAnsi="Arial TUR" w:cs="Arial TUR"/>
                <w:b/>
                <w:bCs/>
                <w:sz w:val="20"/>
                <w:szCs w:val="20"/>
              </w:rPr>
            </w:pPr>
            <w:r w:rsidRPr="00F20918">
              <w:rPr>
                <w:rFonts w:ascii="Arial TUR" w:hAnsi="Arial TUR" w:cs="Arial TUR"/>
                <w:b/>
                <w:bCs/>
                <w:sz w:val="20"/>
                <w:szCs w:val="20"/>
              </w:rPr>
              <w:t>Katkılar</w:t>
            </w:r>
            <w:r w:rsidR="00C65F21" w:rsidRPr="00F20918">
              <w:rPr>
                <w:rFonts w:ascii="Arial TUR" w:hAnsi="Arial TUR" w:cs="Arial TUR"/>
                <w:b/>
                <w:bCs/>
                <w:sz w:val="20"/>
                <w:szCs w:val="20"/>
              </w:rPr>
              <w:t xml:space="preserve"> (%)</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2.5</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1.7</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-1.3</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2.5</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0.4</w:t>
            </w:r>
          </w:p>
        </w:tc>
      </w:tr>
      <w:tr w:rsidR="00A665F3" w:rsidRPr="00F20918"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A665F3" w:rsidRPr="00F20918" w:rsidRDefault="00A665F3">
            <w:pPr>
              <w:rPr>
                <w:rFonts w:ascii="Arial" w:hAnsi="Arial" w:cs="Arial"/>
                <w:sz w:val="20"/>
                <w:szCs w:val="20"/>
              </w:rPr>
            </w:pPr>
            <w:r w:rsidRPr="00F20918">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r>
      <w:tr w:rsidR="00A665F3" w:rsidRPr="00F20918" w:rsidTr="00835C16">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2.3</w:t>
            </w:r>
          </w:p>
        </w:tc>
        <w:tc>
          <w:tcPr>
            <w:tcW w:w="1350"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0.6</w:t>
            </w:r>
          </w:p>
        </w:tc>
      </w:tr>
      <w:tr w:rsidR="00A665F3" w:rsidRPr="00F20918" w:rsidTr="00835C16">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A665F3" w:rsidRPr="00F20918" w:rsidRDefault="00A665F3" w:rsidP="00ED0B13">
            <w:pPr>
              <w:rPr>
                <w:rFonts w:ascii="Arial TUR" w:hAnsi="Arial TUR" w:cs="Arial TUR"/>
                <w:b/>
                <w:bCs/>
                <w:sz w:val="20"/>
                <w:szCs w:val="20"/>
              </w:rPr>
            </w:pPr>
            <w:r w:rsidRPr="00F20918">
              <w:rPr>
                <w:rFonts w:ascii="Arial TUR" w:hAnsi="Arial TUR" w:cs="Arial TUR"/>
                <w:b/>
                <w:bCs/>
                <w:sz w:val="20"/>
                <w:szCs w:val="20"/>
              </w:rPr>
              <w:t>İthalat</w:t>
            </w:r>
          </w:p>
        </w:tc>
        <w:tc>
          <w:tcPr>
            <w:tcW w:w="1350" w:type="dxa"/>
            <w:tcBorders>
              <w:top w:val="single" w:sz="4" w:space="0" w:color="auto"/>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5.4</w:t>
            </w:r>
          </w:p>
        </w:tc>
        <w:tc>
          <w:tcPr>
            <w:tcW w:w="1350" w:type="dxa"/>
            <w:tcBorders>
              <w:top w:val="single" w:sz="4" w:space="0" w:color="auto"/>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-1.5</w:t>
            </w:r>
          </w:p>
        </w:tc>
      </w:tr>
      <w:tr w:rsidR="00835C16" w:rsidRPr="00F20918" w:rsidTr="00835C16">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35C16" w:rsidRPr="00F20918" w:rsidRDefault="00835C16" w:rsidP="00ED0B13">
            <w:pPr>
              <w:rPr>
                <w:rFonts w:ascii="Arial TUR" w:hAnsi="Arial TUR" w:cs="Arial TUR"/>
                <w:b/>
                <w:bCs/>
                <w:sz w:val="20"/>
                <w:szCs w:val="20"/>
              </w:rPr>
            </w:pPr>
            <w:r w:rsidRPr="00F20918">
              <w:rPr>
                <w:rFonts w:ascii="Arial TUR" w:hAnsi="Arial TUR" w:cs="Arial TUR"/>
                <w:b/>
                <w:bCs/>
                <w:sz w:val="20"/>
                <w:szCs w:val="20"/>
              </w:rPr>
              <w:t>Toplam</w:t>
            </w:r>
          </w:p>
        </w:tc>
        <w:tc>
          <w:tcPr>
            <w:tcW w:w="1350" w:type="dxa"/>
            <w:tcBorders>
              <w:top w:val="single" w:sz="4" w:space="0" w:color="auto"/>
              <w:left w:val="nil"/>
              <w:bottom w:val="single" w:sz="4" w:space="0" w:color="auto"/>
              <w:right w:val="single" w:sz="4" w:space="0" w:color="auto"/>
            </w:tcBorders>
            <w:noWrap/>
            <w:vAlign w:val="bottom"/>
          </w:tcPr>
          <w:p w:rsidR="00835C16" w:rsidRPr="00F20918" w:rsidRDefault="00835C16">
            <w:pPr>
              <w:jc w:val="right"/>
              <w:rPr>
                <w:rFonts w:ascii="Arial" w:hAnsi="Arial" w:cs="Arial"/>
                <w:sz w:val="20"/>
                <w:szCs w:val="20"/>
              </w:rPr>
            </w:pPr>
            <w:r w:rsidRPr="00F20918">
              <w:rPr>
                <w:rFonts w:ascii="Arial" w:hAnsi="Arial" w:cs="Arial"/>
                <w:sz w:val="20"/>
                <w:szCs w:val="20"/>
              </w:rPr>
              <w:t>0.8</w:t>
            </w:r>
          </w:p>
        </w:tc>
        <w:tc>
          <w:tcPr>
            <w:tcW w:w="1350" w:type="dxa"/>
            <w:tcBorders>
              <w:top w:val="single" w:sz="4" w:space="0" w:color="auto"/>
              <w:left w:val="nil"/>
              <w:bottom w:val="single" w:sz="4" w:space="0" w:color="auto"/>
              <w:right w:val="single" w:sz="4" w:space="0" w:color="auto"/>
            </w:tcBorders>
            <w:noWrap/>
            <w:vAlign w:val="bottom"/>
          </w:tcPr>
          <w:p w:rsidR="00835C16" w:rsidRPr="00F20918" w:rsidRDefault="00835C16">
            <w:pPr>
              <w:jc w:val="right"/>
              <w:rPr>
                <w:rFonts w:ascii="Arial" w:hAnsi="Arial" w:cs="Arial"/>
                <w:sz w:val="20"/>
                <w:szCs w:val="20"/>
              </w:rPr>
            </w:pPr>
          </w:p>
        </w:tc>
      </w:tr>
    </w:tbl>
    <w:p w:rsidR="00535631" w:rsidRPr="00F20918" w:rsidRDefault="00E060FD" w:rsidP="00535631">
      <w:pPr>
        <w:pStyle w:val="NormalWeb"/>
        <w:spacing w:before="0" w:beforeAutospacing="0" w:after="0" w:afterAutospacing="0"/>
        <w:jc w:val="both"/>
        <w:rPr>
          <w:rFonts w:ascii="Arial" w:hAnsi="Arial" w:cs="Arial"/>
          <w:sz w:val="20"/>
          <w:szCs w:val="20"/>
        </w:rPr>
      </w:pPr>
      <w:r w:rsidRPr="00F20918">
        <w:rPr>
          <w:rFonts w:ascii="Arial" w:hAnsi="Arial" w:cs="Arial"/>
          <w:sz w:val="16"/>
          <w:szCs w:val="16"/>
        </w:rPr>
        <w:t>Kaynak</w:t>
      </w:r>
      <w:r w:rsidR="00535631" w:rsidRPr="00F20918">
        <w:rPr>
          <w:rFonts w:ascii="Arial" w:hAnsi="Arial" w:cs="Arial"/>
          <w:sz w:val="16"/>
          <w:szCs w:val="16"/>
        </w:rPr>
        <w:t>: TÜİK.</w:t>
      </w: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C23712" w:rsidRPr="00F20918" w:rsidRDefault="00C23712" w:rsidP="000252CE">
      <w:pPr>
        <w:pStyle w:val="NormalWeb"/>
        <w:spacing w:before="0" w:beforeAutospacing="0" w:after="0" w:afterAutospacing="0"/>
        <w:jc w:val="both"/>
        <w:rPr>
          <w:rFonts w:ascii="Arial" w:hAnsi="Arial" w:cs="Arial"/>
          <w:sz w:val="16"/>
          <w:szCs w:val="16"/>
        </w:rPr>
      </w:pPr>
    </w:p>
    <w:p w:rsidR="00DA2051" w:rsidRPr="00F20918" w:rsidRDefault="00DA2051" w:rsidP="000252CE">
      <w:pPr>
        <w:pStyle w:val="NormalWeb"/>
        <w:spacing w:before="0" w:beforeAutospacing="0" w:after="0" w:afterAutospacing="0"/>
        <w:jc w:val="both"/>
        <w:rPr>
          <w:rFonts w:ascii="Arial" w:hAnsi="Arial" w:cs="Arial"/>
          <w:sz w:val="16"/>
          <w:szCs w:val="16"/>
        </w:rPr>
      </w:pPr>
    </w:p>
    <w:p w:rsidR="001A4D86" w:rsidRPr="00F20918" w:rsidRDefault="001A4D86" w:rsidP="000252CE">
      <w:pPr>
        <w:pStyle w:val="NormalWeb"/>
        <w:spacing w:before="0" w:beforeAutospacing="0" w:after="0" w:afterAutospacing="0"/>
        <w:jc w:val="both"/>
        <w:rPr>
          <w:rFonts w:ascii="Arial" w:hAnsi="Arial" w:cs="Arial"/>
          <w:sz w:val="16"/>
          <w:szCs w:val="16"/>
        </w:rPr>
      </w:pPr>
    </w:p>
    <w:tbl>
      <w:tblPr>
        <w:tblpPr w:leftFromText="141" w:rightFromText="141" w:vertAnchor="page" w:horzAnchor="margin" w:tblpXSpec="right" w:tblpY="2777"/>
        <w:tblW w:w="4751" w:type="dxa"/>
        <w:tblLayout w:type="fixed"/>
        <w:tblCellMar>
          <w:left w:w="70" w:type="dxa"/>
          <w:right w:w="70" w:type="dxa"/>
        </w:tblCellMar>
        <w:tblLook w:val="0000" w:firstRow="0" w:lastRow="0" w:firstColumn="0" w:lastColumn="0" w:noHBand="0" w:noVBand="0"/>
      </w:tblPr>
      <w:tblGrid>
        <w:gridCol w:w="2101"/>
        <w:gridCol w:w="1325"/>
        <w:gridCol w:w="1325"/>
      </w:tblGrid>
      <w:tr w:rsidR="00535631" w:rsidRPr="00F20918" w:rsidTr="00E060FD">
        <w:trPr>
          <w:trHeight w:val="253"/>
        </w:trPr>
        <w:tc>
          <w:tcPr>
            <w:tcW w:w="2101" w:type="dxa"/>
            <w:tcBorders>
              <w:top w:val="single" w:sz="4" w:space="0" w:color="auto"/>
              <w:left w:val="single" w:sz="4" w:space="0" w:color="auto"/>
              <w:bottom w:val="single" w:sz="4" w:space="0" w:color="auto"/>
              <w:right w:val="single" w:sz="4" w:space="0" w:color="auto"/>
            </w:tcBorders>
            <w:noWrap/>
            <w:vAlign w:val="bottom"/>
          </w:tcPr>
          <w:p w:rsidR="00535631" w:rsidRPr="00F20918" w:rsidRDefault="00A665F3" w:rsidP="00DA2051">
            <w:pPr>
              <w:rPr>
                <w:rFonts w:ascii="Arial" w:hAnsi="Arial" w:cs="Arial"/>
                <w:b/>
                <w:bCs/>
                <w:sz w:val="20"/>
                <w:szCs w:val="20"/>
              </w:rPr>
            </w:pPr>
            <w:r w:rsidRPr="00F20918">
              <w:rPr>
                <w:rFonts w:ascii="Arial TUR" w:hAnsi="Arial TUR" w:cs="Arial TUR"/>
                <w:b/>
                <w:bCs/>
                <w:sz w:val="20"/>
                <w:szCs w:val="20"/>
              </w:rPr>
              <w:t>2016 – 2. Ç</w:t>
            </w:r>
          </w:p>
        </w:tc>
        <w:tc>
          <w:tcPr>
            <w:tcW w:w="1325" w:type="dxa"/>
            <w:tcBorders>
              <w:top w:val="single" w:sz="4" w:space="0" w:color="auto"/>
              <w:left w:val="nil"/>
              <w:bottom w:val="single" w:sz="4" w:space="0" w:color="auto"/>
              <w:right w:val="single" w:sz="4" w:space="0" w:color="auto"/>
            </w:tcBorders>
            <w:noWrap/>
            <w:vAlign w:val="bottom"/>
          </w:tcPr>
          <w:p w:rsidR="00535631" w:rsidRPr="00F20918" w:rsidRDefault="00B523D2" w:rsidP="00DA2051">
            <w:pPr>
              <w:jc w:val="center"/>
              <w:rPr>
                <w:rFonts w:ascii="Arial" w:hAnsi="Arial" w:cs="Arial"/>
                <w:b/>
                <w:bCs/>
                <w:sz w:val="20"/>
                <w:szCs w:val="20"/>
              </w:rPr>
            </w:pPr>
            <w:r w:rsidRPr="00F20918">
              <w:rPr>
                <w:rFonts w:ascii="Arial" w:hAnsi="Arial" w:cs="Arial"/>
                <w:b/>
                <w:bCs/>
                <w:sz w:val="20"/>
                <w:szCs w:val="20"/>
              </w:rPr>
              <w:t>Değişim</w:t>
            </w:r>
            <w:r w:rsidR="00633032" w:rsidRPr="00F20918">
              <w:rPr>
                <w:rFonts w:ascii="Arial" w:hAnsi="Arial" w:cs="Arial"/>
                <w:b/>
                <w:bCs/>
                <w:sz w:val="20"/>
                <w:szCs w:val="20"/>
              </w:rPr>
              <w:t xml:space="preserve"> </w:t>
            </w:r>
            <w:r w:rsidR="00633032" w:rsidRPr="00F20918">
              <w:rPr>
                <w:rFonts w:ascii="Arial TUR" w:hAnsi="Arial TUR" w:cs="Arial TUR"/>
                <w:b/>
                <w:bCs/>
                <w:sz w:val="20"/>
                <w:szCs w:val="20"/>
              </w:rPr>
              <w:t>(%)</w:t>
            </w:r>
          </w:p>
        </w:tc>
        <w:tc>
          <w:tcPr>
            <w:tcW w:w="1325" w:type="dxa"/>
            <w:tcBorders>
              <w:top w:val="single" w:sz="4" w:space="0" w:color="auto"/>
              <w:left w:val="nil"/>
              <w:bottom w:val="single" w:sz="4" w:space="0" w:color="auto"/>
              <w:right w:val="single" w:sz="4" w:space="0" w:color="auto"/>
            </w:tcBorders>
            <w:noWrap/>
            <w:vAlign w:val="bottom"/>
          </w:tcPr>
          <w:p w:rsidR="00535631" w:rsidRPr="00F20918" w:rsidRDefault="00535631" w:rsidP="00DA2051">
            <w:pPr>
              <w:jc w:val="center"/>
              <w:rPr>
                <w:rFonts w:ascii="Arial" w:hAnsi="Arial" w:cs="Arial"/>
                <w:b/>
                <w:bCs/>
                <w:sz w:val="20"/>
                <w:szCs w:val="20"/>
              </w:rPr>
            </w:pPr>
            <w:r w:rsidRPr="00F20918">
              <w:rPr>
                <w:rFonts w:ascii="Arial" w:hAnsi="Arial" w:cs="Arial"/>
                <w:b/>
                <w:bCs/>
                <w:sz w:val="20"/>
                <w:szCs w:val="20"/>
              </w:rPr>
              <w:t>Katkılar</w:t>
            </w:r>
            <w:r w:rsidR="00633032" w:rsidRPr="00F20918">
              <w:rPr>
                <w:rFonts w:ascii="Arial" w:hAnsi="Arial" w:cs="Arial"/>
                <w:b/>
                <w:bCs/>
                <w:sz w:val="20"/>
                <w:szCs w:val="20"/>
              </w:rPr>
              <w:t xml:space="preserve"> </w:t>
            </w:r>
            <w:r w:rsidR="00633032" w:rsidRPr="00F20918">
              <w:rPr>
                <w:rFonts w:ascii="Arial TUR" w:hAnsi="Arial TUR" w:cs="Arial TUR"/>
                <w:b/>
                <w:bCs/>
                <w:sz w:val="20"/>
                <w:szCs w:val="20"/>
              </w:rPr>
              <w:t>(%)</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5.2</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3.4</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-1.6</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-0.3</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12.7</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2.0</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A665F3" w:rsidRPr="00F20918" w:rsidRDefault="00A665F3">
            <w:pPr>
              <w:rPr>
                <w:rFonts w:ascii="Arial" w:hAnsi="Arial" w:cs="Arial"/>
                <w:sz w:val="20"/>
                <w:szCs w:val="20"/>
              </w:rPr>
            </w:pPr>
            <w:r w:rsidRPr="00F20918">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0.0</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İthalat</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7.7</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-2.2</w:t>
            </w:r>
          </w:p>
        </w:tc>
      </w:tr>
      <w:tr w:rsidR="00535631"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F20918" w:rsidRDefault="00835C16" w:rsidP="00DA2051">
            <w:pPr>
              <w:rPr>
                <w:rFonts w:ascii="Arial" w:hAnsi="Arial" w:cs="Arial"/>
                <w:b/>
                <w:bCs/>
                <w:sz w:val="20"/>
                <w:szCs w:val="20"/>
              </w:rPr>
            </w:pPr>
            <w:r w:rsidRPr="00F20918">
              <w:rPr>
                <w:rFonts w:ascii="Arial" w:hAnsi="Arial" w:cs="Arial"/>
                <w:b/>
                <w:bCs/>
                <w:sz w:val="20"/>
                <w:szCs w:val="20"/>
              </w:rPr>
              <w:t>Toplam</w:t>
            </w:r>
          </w:p>
        </w:tc>
        <w:tc>
          <w:tcPr>
            <w:tcW w:w="1325" w:type="dxa"/>
            <w:tcBorders>
              <w:top w:val="nil"/>
              <w:left w:val="nil"/>
              <w:bottom w:val="single" w:sz="4" w:space="0" w:color="auto"/>
              <w:right w:val="single" w:sz="4" w:space="0" w:color="auto"/>
            </w:tcBorders>
            <w:noWrap/>
            <w:vAlign w:val="bottom"/>
          </w:tcPr>
          <w:p w:rsidR="00535631" w:rsidRPr="00F20918" w:rsidRDefault="00535631" w:rsidP="00835C16">
            <w:pPr>
              <w:jc w:val="right"/>
              <w:rPr>
                <w:rFonts w:ascii="Arial" w:hAnsi="Arial" w:cs="Arial"/>
                <w:sz w:val="20"/>
                <w:szCs w:val="20"/>
              </w:rPr>
            </w:pPr>
            <w:r w:rsidRPr="00F20918">
              <w:rPr>
                <w:rFonts w:ascii="Arial" w:hAnsi="Arial" w:cs="Arial"/>
                <w:sz w:val="20"/>
                <w:szCs w:val="20"/>
              </w:rPr>
              <w:t> </w:t>
            </w:r>
            <w:r w:rsidR="00835C16" w:rsidRPr="00F20918">
              <w:rPr>
                <w:rFonts w:ascii="Arial" w:hAnsi="Arial" w:cs="Arial"/>
                <w:sz w:val="20"/>
                <w:szCs w:val="20"/>
              </w:rPr>
              <w:t>3.1</w:t>
            </w:r>
          </w:p>
        </w:tc>
        <w:tc>
          <w:tcPr>
            <w:tcW w:w="1325" w:type="dxa"/>
            <w:tcBorders>
              <w:top w:val="nil"/>
              <w:left w:val="nil"/>
              <w:bottom w:val="single" w:sz="4" w:space="0" w:color="auto"/>
              <w:right w:val="single" w:sz="4" w:space="0" w:color="auto"/>
            </w:tcBorders>
            <w:noWrap/>
            <w:vAlign w:val="bottom"/>
          </w:tcPr>
          <w:p w:rsidR="00535631" w:rsidRPr="00F20918" w:rsidRDefault="00535631" w:rsidP="00DA2051">
            <w:pPr>
              <w:rPr>
                <w:rFonts w:ascii="Arial" w:hAnsi="Arial" w:cs="Arial"/>
                <w:sz w:val="20"/>
                <w:szCs w:val="20"/>
              </w:rPr>
            </w:pPr>
            <w:r w:rsidRPr="00F20918">
              <w:rPr>
                <w:rFonts w:ascii="Arial" w:hAnsi="Arial" w:cs="Arial"/>
                <w:sz w:val="20"/>
                <w:szCs w:val="20"/>
              </w:rPr>
              <w:t> </w:t>
            </w:r>
          </w:p>
        </w:tc>
      </w:tr>
      <w:tr w:rsidR="00835C16"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835C16" w:rsidRPr="00F20918" w:rsidRDefault="00835C16" w:rsidP="00DA2051">
            <w:pPr>
              <w:rPr>
                <w:rFonts w:ascii="Arial" w:hAnsi="Arial" w:cs="Arial"/>
                <w:b/>
                <w:bCs/>
                <w:sz w:val="20"/>
                <w:szCs w:val="20"/>
              </w:rPr>
            </w:pPr>
          </w:p>
        </w:tc>
        <w:tc>
          <w:tcPr>
            <w:tcW w:w="1325" w:type="dxa"/>
            <w:tcBorders>
              <w:top w:val="nil"/>
              <w:left w:val="nil"/>
              <w:bottom w:val="single" w:sz="4" w:space="0" w:color="auto"/>
              <w:right w:val="single" w:sz="4" w:space="0" w:color="auto"/>
            </w:tcBorders>
            <w:noWrap/>
            <w:vAlign w:val="bottom"/>
          </w:tcPr>
          <w:p w:rsidR="00835C16" w:rsidRPr="00F20918" w:rsidRDefault="00835C16" w:rsidP="00DA2051">
            <w:pPr>
              <w:rPr>
                <w:rFonts w:ascii="Arial" w:hAnsi="Arial" w:cs="Arial"/>
                <w:sz w:val="20"/>
                <w:szCs w:val="20"/>
              </w:rPr>
            </w:pPr>
          </w:p>
        </w:tc>
        <w:tc>
          <w:tcPr>
            <w:tcW w:w="1325" w:type="dxa"/>
            <w:tcBorders>
              <w:top w:val="nil"/>
              <w:left w:val="nil"/>
              <w:bottom w:val="single" w:sz="4" w:space="0" w:color="auto"/>
              <w:right w:val="single" w:sz="4" w:space="0" w:color="auto"/>
            </w:tcBorders>
            <w:noWrap/>
            <w:vAlign w:val="bottom"/>
          </w:tcPr>
          <w:p w:rsidR="00835C16" w:rsidRPr="00F20918" w:rsidRDefault="00835C16" w:rsidP="00DA2051">
            <w:pPr>
              <w:rPr>
                <w:rFonts w:ascii="Arial" w:hAnsi="Arial" w:cs="Arial"/>
                <w:sz w:val="20"/>
                <w:szCs w:val="20"/>
              </w:rPr>
            </w:pPr>
          </w:p>
        </w:tc>
      </w:tr>
      <w:tr w:rsidR="00535631"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F20918" w:rsidRDefault="00A665F3" w:rsidP="00DA2051">
            <w:pPr>
              <w:rPr>
                <w:rFonts w:ascii="Arial" w:hAnsi="Arial" w:cs="Arial"/>
                <w:b/>
                <w:bCs/>
                <w:sz w:val="20"/>
                <w:szCs w:val="20"/>
              </w:rPr>
            </w:pPr>
            <w:r w:rsidRPr="00F20918">
              <w:rPr>
                <w:rFonts w:ascii="Arial TUR" w:hAnsi="Arial TUR" w:cs="Arial TUR"/>
                <w:b/>
                <w:bCs/>
                <w:sz w:val="20"/>
                <w:szCs w:val="20"/>
              </w:rPr>
              <w:t>2016 – 1. Ç</w:t>
            </w:r>
          </w:p>
        </w:tc>
        <w:tc>
          <w:tcPr>
            <w:tcW w:w="1325" w:type="dxa"/>
            <w:tcBorders>
              <w:top w:val="nil"/>
              <w:left w:val="nil"/>
              <w:bottom w:val="single" w:sz="4" w:space="0" w:color="auto"/>
              <w:right w:val="single" w:sz="4" w:space="0" w:color="auto"/>
            </w:tcBorders>
            <w:noWrap/>
            <w:vAlign w:val="bottom"/>
          </w:tcPr>
          <w:p w:rsidR="00535631" w:rsidRPr="00F20918" w:rsidRDefault="00B523D2" w:rsidP="00DA2051">
            <w:pPr>
              <w:jc w:val="center"/>
              <w:rPr>
                <w:rFonts w:ascii="Arial" w:hAnsi="Arial" w:cs="Arial"/>
                <w:b/>
                <w:bCs/>
                <w:sz w:val="20"/>
                <w:szCs w:val="20"/>
              </w:rPr>
            </w:pPr>
            <w:r w:rsidRPr="00F20918">
              <w:rPr>
                <w:rFonts w:ascii="Arial" w:hAnsi="Arial" w:cs="Arial"/>
                <w:b/>
                <w:bCs/>
                <w:sz w:val="20"/>
                <w:szCs w:val="20"/>
              </w:rPr>
              <w:t>Değişim</w:t>
            </w:r>
            <w:r w:rsidR="00C65F21" w:rsidRPr="00F20918">
              <w:rPr>
                <w:rFonts w:ascii="Arial" w:hAnsi="Arial" w:cs="Arial"/>
                <w:b/>
                <w:bCs/>
                <w:sz w:val="20"/>
                <w:szCs w:val="20"/>
              </w:rPr>
              <w:t xml:space="preserve"> </w:t>
            </w:r>
            <w:r w:rsidR="00C65F21" w:rsidRPr="00F20918">
              <w:rPr>
                <w:rFonts w:ascii="Arial TUR" w:hAnsi="Arial TUR" w:cs="Arial TUR"/>
                <w:b/>
                <w:bCs/>
                <w:sz w:val="20"/>
                <w:szCs w:val="20"/>
              </w:rPr>
              <w:t>(%)</w:t>
            </w:r>
          </w:p>
        </w:tc>
        <w:tc>
          <w:tcPr>
            <w:tcW w:w="1325" w:type="dxa"/>
            <w:tcBorders>
              <w:top w:val="nil"/>
              <w:left w:val="nil"/>
              <w:bottom w:val="single" w:sz="4" w:space="0" w:color="auto"/>
              <w:right w:val="single" w:sz="4" w:space="0" w:color="auto"/>
            </w:tcBorders>
            <w:noWrap/>
            <w:vAlign w:val="bottom"/>
          </w:tcPr>
          <w:p w:rsidR="00535631" w:rsidRPr="00F20918" w:rsidRDefault="00535631" w:rsidP="00DA2051">
            <w:pPr>
              <w:jc w:val="center"/>
              <w:rPr>
                <w:rFonts w:ascii="Arial" w:hAnsi="Arial" w:cs="Arial"/>
                <w:b/>
                <w:bCs/>
                <w:sz w:val="20"/>
                <w:szCs w:val="20"/>
              </w:rPr>
            </w:pPr>
            <w:r w:rsidRPr="00F20918">
              <w:rPr>
                <w:rFonts w:ascii="Arial" w:hAnsi="Arial" w:cs="Arial"/>
                <w:b/>
                <w:bCs/>
                <w:sz w:val="20"/>
                <w:szCs w:val="20"/>
              </w:rPr>
              <w:t>Katkılar</w:t>
            </w:r>
            <w:r w:rsidR="00C65F21" w:rsidRPr="00F20918">
              <w:rPr>
                <w:rFonts w:ascii="Arial" w:hAnsi="Arial" w:cs="Arial"/>
                <w:b/>
                <w:bCs/>
                <w:sz w:val="20"/>
                <w:szCs w:val="20"/>
              </w:rPr>
              <w:t xml:space="preserve"> </w:t>
            </w:r>
            <w:r w:rsidR="00C65F21" w:rsidRPr="00F20918">
              <w:rPr>
                <w:rFonts w:ascii="Arial TUR" w:hAnsi="Arial TUR" w:cs="Arial TUR"/>
                <w:b/>
                <w:bCs/>
                <w:sz w:val="20"/>
                <w:szCs w:val="20"/>
              </w:rPr>
              <w:t>(%)</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7.1</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4.9</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-0.8</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-0.2</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9.3</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1.3</w:t>
            </w:r>
          </w:p>
        </w:tc>
      </w:tr>
      <w:tr w:rsidR="00A665F3" w:rsidRPr="00F20918"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A665F3" w:rsidRPr="00F20918" w:rsidRDefault="00A665F3">
            <w:pPr>
              <w:rPr>
                <w:rFonts w:ascii="Arial" w:hAnsi="Arial" w:cs="Arial"/>
                <w:sz w:val="20"/>
                <w:szCs w:val="20"/>
              </w:rPr>
            </w:pPr>
            <w:r w:rsidRPr="00F20918">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0.1</w:t>
            </w:r>
          </w:p>
        </w:tc>
      </w:tr>
      <w:tr w:rsidR="00A665F3" w:rsidRPr="00F20918" w:rsidTr="00835C16">
        <w:trPr>
          <w:trHeight w:val="253"/>
        </w:trPr>
        <w:tc>
          <w:tcPr>
            <w:tcW w:w="2101" w:type="dxa"/>
            <w:tcBorders>
              <w:top w:val="nil"/>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2.4</w:t>
            </w:r>
          </w:p>
        </w:tc>
        <w:tc>
          <w:tcPr>
            <w:tcW w:w="1325" w:type="dxa"/>
            <w:tcBorders>
              <w:top w:val="nil"/>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0.6</w:t>
            </w:r>
          </w:p>
        </w:tc>
      </w:tr>
      <w:tr w:rsidR="00A665F3" w:rsidRPr="00F20918" w:rsidTr="00835C16">
        <w:trPr>
          <w:trHeight w:val="253"/>
        </w:trPr>
        <w:tc>
          <w:tcPr>
            <w:tcW w:w="2101" w:type="dxa"/>
            <w:tcBorders>
              <w:top w:val="single" w:sz="4" w:space="0" w:color="auto"/>
              <w:left w:val="single" w:sz="4" w:space="0" w:color="auto"/>
              <w:bottom w:val="single" w:sz="4" w:space="0" w:color="auto"/>
              <w:right w:val="single" w:sz="4" w:space="0" w:color="auto"/>
            </w:tcBorders>
            <w:noWrap/>
            <w:vAlign w:val="bottom"/>
          </w:tcPr>
          <w:p w:rsidR="00A665F3" w:rsidRPr="00F20918" w:rsidRDefault="00A665F3" w:rsidP="00DA2051">
            <w:pPr>
              <w:rPr>
                <w:rFonts w:ascii="Arial" w:hAnsi="Arial" w:cs="Arial"/>
                <w:b/>
                <w:bCs/>
                <w:sz w:val="20"/>
                <w:szCs w:val="20"/>
              </w:rPr>
            </w:pPr>
            <w:r w:rsidRPr="00F20918">
              <w:rPr>
                <w:rFonts w:ascii="Arial" w:hAnsi="Arial" w:cs="Arial"/>
                <w:b/>
                <w:bCs/>
                <w:sz w:val="20"/>
                <w:szCs w:val="20"/>
              </w:rPr>
              <w:t>İthalat</w:t>
            </w:r>
          </w:p>
        </w:tc>
        <w:tc>
          <w:tcPr>
            <w:tcW w:w="1325" w:type="dxa"/>
            <w:tcBorders>
              <w:top w:val="single" w:sz="4" w:space="0" w:color="auto"/>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7.3</w:t>
            </w:r>
          </w:p>
        </w:tc>
        <w:tc>
          <w:tcPr>
            <w:tcW w:w="1325" w:type="dxa"/>
            <w:tcBorders>
              <w:top w:val="single" w:sz="4" w:space="0" w:color="auto"/>
              <w:left w:val="nil"/>
              <w:bottom w:val="single" w:sz="4" w:space="0" w:color="auto"/>
              <w:right w:val="single" w:sz="4" w:space="0" w:color="auto"/>
            </w:tcBorders>
            <w:noWrap/>
            <w:vAlign w:val="bottom"/>
          </w:tcPr>
          <w:p w:rsidR="00A665F3" w:rsidRPr="00F20918" w:rsidRDefault="00A665F3">
            <w:pPr>
              <w:jc w:val="right"/>
              <w:rPr>
                <w:rFonts w:ascii="Arial" w:hAnsi="Arial" w:cs="Arial"/>
                <w:sz w:val="20"/>
                <w:szCs w:val="20"/>
              </w:rPr>
            </w:pPr>
            <w:r w:rsidRPr="00F20918">
              <w:rPr>
                <w:rFonts w:ascii="Arial" w:hAnsi="Arial" w:cs="Arial"/>
                <w:sz w:val="20"/>
                <w:szCs w:val="20"/>
              </w:rPr>
              <w:t>-2.1</w:t>
            </w:r>
          </w:p>
        </w:tc>
      </w:tr>
      <w:tr w:rsidR="00835C16" w:rsidRPr="00F20918" w:rsidTr="00835C16">
        <w:trPr>
          <w:trHeight w:val="253"/>
        </w:trPr>
        <w:tc>
          <w:tcPr>
            <w:tcW w:w="2101" w:type="dxa"/>
            <w:tcBorders>
              <w:top w:val="single" w:sz="4" w:space="0" w:color="auto"/>
              <w:left w:val="single" w:sz="4" w:space="0" w:color="auto"/>
              <w:bottom w:val="single" w:sz="4" w:space="0" w:color="auto"/>
              <w:right w:val="single" w:sz="4" w:space="0" w:color="auto"/>
            </w:tcBorders>
            <w:noWrap/>
            <w:vAlign w:val="bottom"/>
          </w:tcPr>
          <w:p w:rsidR="00835C16" w:rsidRPr="00F20918" w:rsidRDefault="00835C16" w:rsidP="00DA2051">
            <w:pPr>
              <w:rPr>
                <w:rFonts w:ascii="Arial" w:hAnsi="Arial" w:cs="Arial"/>
                <w:b/>
                <w:bCs/>
                <w:sz w:val="20"/>
                <w:szCs w:val="20"/>
              </w:rPr>
            </w:pPr>
            <w:r w:rsidRPr="00F20918">
              <w:rPr>
                <w:rFonts w:ascii="Arial" w:hAnsi="Arial" w:cs="Arial"/>
                <w:b/>
                <w:bCs/>
                <w:sz w:val="20"/>
                <w:szCs w:val="20"/>
              </w:rPr>
              <w:t>Toplam</w:t>
            </w:r>
          </w:p>
        </w:tc>
        <w:tc>
          <w:tcPr>
            <w:tcW w:w="1325" w:type="dxa"/>
            <w:tcBorders>
              <w:top w:val="single" w:sz="4" w:space="0" w:color="auto"/>
              <w:left w:val="nil"/>
              <w:bottom w:val="single" w:sz="4" w:space="0" w:color="auto"/>
              <w:right w:val="single" w:sz="4" w:space="0" w:color="auto"/>
            </w:tcBorders>
            <w:noWrap/>
            <w:vAlign w:val="bottom"/>
          </w:tcPr>
          <w:p w:rsidR="00835C16" w:rsidRPr="00F20918" w:rsidRDefault="00835C16">
            <w:pPr>
              <w:jc w:val="right"/>
              <w:rPr>
                <w:rFonts w:ascii="Arial" w:hAnsi="Arial" w:cs="Arial"/>
                <w:sz w:val="20"/>
                <w:szCs w:val="20"/>
              </w:rPr>
            </w:pPr>
            <w:r w:rsidRPr="00F20918">
              <w:rPr>
                <w:rFonts w:ascii="Arial" w:hAnsi="Arial" w:cs="Arial"/>
                <w:sz w:val="20"/>
                <w:szCs w:val="20"/>
              </w:rPr>
              <w:t>4.8</w:t>
            </w:r>
          </w:p>
        </w:tc>
        <w:tc>
          <w:tcPr>
            <w:tcW w:w="1325" w:type="dxa"/>
            <w:tcBorders>
              <w:top w:val="single" w:sz="4" w:space="0" w:color="auto"/>
              <w:left w:val="nil"/>
              <w:bottom w:val="single" w:sz="4" w:space="0" w:color="auto"/>
              <w:right w:val="single" w:sz="4" w:space="0" w:color="auto"/>
            </w:tcBorders>
            <w:noWrap/>
            <w:vAlign w:val="bottom"/>
          </w:tcPr>
          <w:p w:rsidR="00835C16" w:rsidRPr="00F20918" w:rsidRDefault="00835C16">
            <w:pPr>
              <w:jc w:val="right"/>
              <w:rPr>
                <w:rFonts w:ascii="Arial" w:hAnsi="Arial" w:cs="Arial"/>
                <w:sz w:val="20"/>
                <w:szCs w:val="20"/>
              </w:rPr>
            </w:pPr>
          </w:p>
        </w:tc>
      </w:tr>
    </w:tbl>
    <w:p w:rsidR="00E528B1" w:rsidRPr="00F20918" w:rsidRDefault="00E528B1" w:rsidP="00D561EE">
      <w:pPr>
        <w:pStyle w:val="NormalWeb"/>
        <w:spacing w:before="0" w:beforeAutospacing="0" w:after="0" w:afterAutospacing="0"/>
        <w:ind w:right="77"/>
        <w:jc w:val="both"/>
        <w:rPr>
          <w:b/>
          <w:bCs/>
          <w:sz w:val="22"/>
          <w:szCs w:val="22"/>
        </w:rPr>
      </w:pPr>
    </w:p>
    <w:p w:rsidR="00ED0B13" w:rsidRPr="00F20918" w:rsidRDefault="00ED0B13" w:rsidP="00D561EE">
      <w:pPr>
        <w:pStyle w:val="NormalWeb"/>
        <w:spacing w:before="0" w:beforeAutospacing="0" w:after="0" w:afterAutospacing="0"/>
        <w:ind w:right="77"/>
        <w:jc w:val="both"/>
        <w:rPr>
          <w:b/>
          <w:bCs/>
          <w:sz w:val="22"/>
          <w:szCs w:val="22"/>
        </w:rPr>
      </w:pPr>
    </w:p>
    <w:p w:rsidR="00E528B1" w:rsidRPr="00F20918" w:rsidRDefault="00535631" w:rsidP="00D561EE">
      <w:pPr>
        <w:pStyle w:val="NormalWeb"/>
        <w:spacing w:before="0" w:beforeAutospacing="0" w:after="0" w:afterAutospacing="0"/>
        <w:ind w:right="77"/>
        <w:jc w:val="both"/>
        <w:rPr>
          <w:b/>
          <w:bCs/>
          <w:sz w:val="22"/>
          <w:szCs w:val="22"/>
        </w:rPr>
      </w:pPr>
      <w:r w:rsidRPr="00F20918">
        <w:rPr>
          <w:b/>
          <w:bCs/>
          <w:sz w:val="22"/>
          <w:szCs w:val="22"/>
        </w:rPr>
        <w:t xml:space="preserve">Tablo 2. </w:t>
      </w:r>
      <w:r w:rsidR="00A665F3" w:rsidRPr="00F20918">
        <w:rPr>
          <w:b/>
          <w:bCs/>
          <w:sz w:val="22"/>
          <w:szCs w:val="22"/>
        </w:rPr>
        <w:t xml:space="preserve">2016 1. çeyrekte ve 2016 2. çeyrekte </w:t>
      </w:r>
      <w:r w:rsidR="00DA2051" w:rsidRPr="00F20918">
        <w:rPr>
          <w:b/>
          <w:bCs/>
          <w:sz w:val="22"/>
          <w:szCs w:val="22"/>
        </w:rPr>
        <w:t xml:space="preserve">GSYH alt kalemlerinin, </w:t>
      </w:r>
      <w:r w:rsidR="00DA2051" w:rsidRPr="00F20918">
        <w:rPr>
          <w:b/>
          <w:bCs/>
          <w:sz w:val="22"/>
          <w:szCs w:val="22"/>
          <w:u w:val="single"/>
        </w:rPr>
        <w:t xml:space="preserve">bir önceki yılın aynı çeyreğine göre </w:t>
      </w:r>
      <w:r w:rsidR="00DA2051" w:rsidRPr="00F20918">
        <w:rPr>
          <w:b/>
          <w:bCs/>
          <w:sz w:val="22"/>
          <w:szCs w:val="22"/>
        </w:rPr>
        <w:t>değişimleri ve büyümeye katkıları</w:t>
      </w:r>
    </w:p>
    <w:p w:rsidR="00263F19" w:rsidRPr="00F20918" w:rsidRDefault="00E060FD" w:rsidP="00E060FD">
      <w:pPr>
        <w:pStyle w:val="NormalWeb"/>
        <w:spacing w:before="0" w:beforeAutospacing="0" w:after="0" w:afterAutospacing="0"/>
        <w:jc w:val="both"/>
        <w:rPr>
          <w:b/>
          <w:bCs/>
          <w:sz w:val="22"/>
          <w:szCs w:val="22"/>
        </w:rPr>
      </w:pPr>
      <w:r w:rsidRPr="00F20918">
        <w:rPr>
          <w:b/>
          <w:bCs/>
          <w:sz w:val="22"/>
          <w:szCs w:val="22"/>
        </w:rPr>
        <w:t xml:space="preserve">   </w:t>
      </w:r>
    </w:p>
    <w:p w:rsidR="00E060FD" w:rsidRPr="00F20918" w:rsidRDefault="00E060FD" w:rsidP="00E060FD">
      <w:pPr>
        <w:pStyle w:val="NormalWeb"/>
        <w:spacing w:before="0" w:beforeAutospacing="0" w:after="0" w:afterAutospacing="0"/>
        <w:jc w:val="both"/>
        <w:rPr>
          <w:rFonts w:ascii="Arial" w:hAnsi="Arial" w:cs="Arial"/>
          <w:sz w:val="20"/>
          <w:szCs w:val="20"/>
        </w:rPr>
      </w:pPr>
      <w:bookmarkStart w:id="0" w:name="_GoBack"/>
      <w:bookmarkEnd w:id="0"/>
      <w:r w:rsidRPr="00F20918">
        <w:rPr>
          <w:rFonts w:ascii="Arial" w:hAnsi="Arial" w:cs="Arial"/>
          <w:sz w:val="16"/>
          <w:szCs w:val="16"/>
        </w:rPr>
        <w:t>Kaynak: TÜİK.</w:t>
      </w: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DA2051" w:rsidRPr="00F20918" w:rsidRDefault="00DA205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E528B1" w:rsidRPr="00F20918" w:rsidRDefault="00E528B1" w:rsidP="00D561EE">
      <w:pPr>
        <w:pStyle w:val="NormalWeb"/>
        <w:spacing w:before="0" w:beforeAutospacing="0" w:after="0" w:afterAutospacing="0"/>
        <w:ind w:right="77"/>
        <w:jc w:val="both"/>
        <w:rPr>
          <w:b/>
          <w:bCs/>
          <w:sz w:val="22"/>
          <w:szCs w:val="22"/>
        </w:rPr>
      </w:pPr>
    </w:p>
    <w:p w:rsidR="00A132C2" w:rsidRPr="00F20918" w:rsidRDefault="00A132C2" w:rsidP="00D561EE">
      <w:pPr>
        <w:pStyle w:val="NormalWeb"/>
        <w:spacing w:before="0" w:beforeAutospacing="0" w:after="0" w:afterAutospacing="0"/>
        <w:ind w:right="77"/>
        <w:jc w:val="both"/>
        <w:rPr>
          <w:b/>
          <w:bCs/>
          <w:sz w:val="22"/>
          <w:szCs w:val="22"/>
        </w:rPr>
      </w:pPr>
    </w:p>
    <w:p w:rsidR="00B834FD" w:rsidRPr="00F20918" w:rsidRDefault="00B834FD" w:rsidP="00A7746C">
      <w:pPr>
        <w:pStyle w:val="NormalWeb"/>
        <w:spacing w:before="0" w:beforeAutospacing="0" w:after="0" w:afterAutospacing="0"/>
        <w:ind w:right="77"/>
        <w:rPr>
          <w:b/>
          <w:bCs/>
          <w:sz w:val="22"/>
          <w:szCs w:val="22"/>
        </w:rPr>
      </w:pPr>
    </w:p>
    <w:p w:rsidR="00811DF9" w:rsidRPr="00F20918" w:rsidRDefault="00B86B6B" w:rsidP="00D561EE">
      <w:pPr>
        <w:pStyle w:val="NormalWeb"/>
        <w:spacing w:before="0" w:beforeAutospacing="0" w:after="0" w:afterAutospacing="0"/>
        <w:ind w:right="77"/>
        <w:jc w:val="both"/>
        <w:rPr>
          <w:b/>
          <w:bCs/>
          <w:sz w:val="22"/>
          <w:szCs w:val="22"/>
        </w:rPr>
      </w:pPr>
      <w:r w:rsidRPr="00F20918">
        <w:rPr>
          <w:b/>
          <w:bCs/>
          <w:sz w:val="22"/>
          <w:szCs w:val="22"/>
        </w:rPr>
        <w:t xml:space="preserve"> </w:t>
      </w:r>
      <w:r w:rsidR="00C23712" w:rsidRPr="00F20918">
        <w:rPr>
          <w:b/>
          <w:bCs/>
          <w:sz w:val="22"/>
          <w:szCs w:val="22"/>
        </w:rPr>
        <w:br w:type="column"/>
      </w:r>
    </w:p>
    <w:tbl>
      <w:tblPr>
        <w:tblpPr w:leftFromText="141" w:rightFromText="141" w:vertAnchor="text" w:horzAnchor="margin" w:tblpY="-446"/>
        <w:tblW w:w="9842" w:type="dxa"/>
        <w:tblCellMar>
          <w:left w:w="70" w:type="dxa"/>
          <w:right w:w="70" w:type="dxa"/>
        </w:tblCellMar>
        <w:tblLook w:val="04A0" w:firstRow="1" w:lastRow="0" w:firstColumn="1" w:lastColumn="0" w:noHBand="0" w:noVBand="1"/>
      </w:tblPr>
      <w:tblGrid>
        <w:gridCol w:w="1417"/>
        <w:gridCol w:w="1218"/>
        <w:gridCol w:w="960"/>
        <w:gridCol w:w="1286"/>
        <w:gridCol w:w="974"/>
        <w:gridCol w:w="960"/>
        <w:gridCol w:w="1107"/>
        <w:gridCol w:w="960"/>
        <w:gridCol w:w="960"/>
      </w:tblGrid>
      <w:tr w:rsidR="00811DF9" w:rsidRPr="00F20918" w:rsidTr="00DA2051">
        <w:trPr>
          <w:trHeight w:val="765"/>
        </w:trPr>
        <w:tc>
          <w:tcPr>
            <w:tcW w:w="9842" w:type="dxa"/>
            <w:gridSpan w:val="9"/>
            <w:tcBorders>
              <w:bottom w:val="single" w:sz="4" w:space="0" w:color="auto"/>
            </w:tcBorders>
            <w:shd w:val="clear" w:color="auto" w:fill="auto"/>
            <w:noWrap/>
            <w:vAlign w:val="bottom"/>
            <w:hideMark/>
          </w:tcPr>
          <w:p w:rsidR="00811DF9" w:rsidRPr="00F20918" w:rsidRDefault="00811DF9" w:rsidP="00811DF9">
            <w:pPr>
              <w:pStyle w:val="NormalWeb"/>
              <w:spacing w:before="0" w:beforeAutospacing="0" w:after="0" w:afterAutospacing="0"/>
              <w:ind w:right="79"/>
              <w:rPr>
                <w:rFonts w:ascii="Arial" w:hAnsi="Arial" w:cs="Arial"/>
                <w:b/>
                <w:bCs/>
                <w:sz w:val="20"/>
                <w:szCs w:val="20"/>
              </w:rPr>
            </w:pPr>
            <w:r w:rsidRPr="00F20918">
              <w:rPr>
                <w:rFonts w:ascii="Arial" w:hAnsi="Arial" w:cs="Arial"/>
                <w:b/>
                <w:bCs/>
                <w:sz w:val="20"/>
                <w:szCs w:val="20"/>
              </w:rPr>
              <w:t xml:space="preserve">Tablo 3. </w:t>
            </w:r>
            <w:r w:rsidRPr="00F20918">
              <w:rPr>
                <w:b/>
                <w:bCs/>
                <w:sz w:val="22"/>
                <w:szCs w:val="22"/>
              </w:rPr>
              <w:t xml:space="preserve">GSYH alt kalemlerinin bir önceki çeyreğe göre büyümeye katkıları ve toplam büyüme </w:t>
            </w:r>
          </w:p>
        </w:tc>
      </w:tr>
      <w:tr w:rsidR="00811DF9" w:rsidRPr="00F20918" w:rsidTr="00ED0B13">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Pr="00F20918" w:rsidRDefault="00811DF9" w:rsidP="00811DF9">
            <w:pPr>
              <w:rPr>
                <w:rFonts w:ascii="Arial" w:hAnsi="Arial" w:cs="Arial"/>
                <w:sz w:val="20"/>
                <w:szCs w:val="20"/>
              </w:rPr>
            </w:pPr>
            <w:r w:rsidRPr="00F20918">
              <w:rPr>
                <w:rFonts w:ascii="Arial" w:hAnsi="Arial" w:cs="Arial"/>
                <w:sz w:val="20"/>
                <w:szCs w:val="20"/>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34029D">
            <w:pPr>
              <w:jc w:val="center"/>
              <w:rPr>
                <w:rFonts w:ascii="Arial" w:hAnsi="Arial" w:cs="Arial"/>
                <w:b/>
                <w:sz w:val="18"/>
                <w:szCs w:val="18"/>
              </w:rPr>
            </w:pPr>
            <w:r w:rsidRPr="00F20918">
              <w:rPr>
                <w:rFonts w:ascii="Arial" w:hAnsi="Arial" w:cs="Arial"/>
                <w:b/>
                <w:sz w:val="18"/>
                <w:szCs w:val="18"/>
              </w:rPr>
              <w:t>Tüketim</w:t>
            </w:r>
            <w:r w:rsidR="0034029D" w:rsidRPr="00F20918">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Özel Yatırım</w:t>
            </w:r>
            <w:r w:rsidR="0016736A" w:rsidRPr="00F20918">
              <w:rPr>
                <w:rFonts w:ascii="Arial" w:hAnsi="Arial" w:cs="Arial"/>
                <w:b/>
                <w:sz w:val="18"/>
                <w:szCs w:val="18"/>
              </w:rPr>
              <w:t xml:space="preserve"> </w:t>
            </w:r>
            <w:r w:rsidR="00ED0B13" w:rsidRPr="00F20918">
              <w:rPr>
                <w:rFonts w:ascii="Arial" w:hAnsi="Arial" w:cs="Arial"/>
                <w:b/>
                <w:sz w:val="18"/>
                <w:szCs w:val="18"/>
              </w:rPr>
              <w:t>(yüzde puan)</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Kamu Harcamaları</w:t>
            </w:r>
            <w:r w:rsidR="0016736A" w:rsidRPr="00F20918">
              <w:rPr>
                <w:rFonts w:ascii="Arial" w:hAnsi="Arial" w:cs="Arial"/>
                <w:b/>
                <w:sz w:val="18"/>
                <w:szCs w:val="18"/>
              </w:rPr>
              <w:t xml:space="preserve"> </w:t>
            </w:r>
            <w:r w:rsidR="00ED0B13" w:rsidRPr="00F20918">
              <w:rPr>
                <w:rFonts w:ascii="Arial" w:hAnsi="Arial" w:cs="Arial"/>
                <w:b/>
                <w:sz w:val="18"/>
                <w:szCs w:val="18"/>
              </w:rPr>
              <w:t>(yüzde puan)</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Stok Değişimi</w:t>
            </w:r>
            <w:r w:rsidR="0016736A" w:rsidRPr="00F20918">
              <w:rPr>
                <w:rFonts w:ascii="Arial" w:hAnsi="Arial" w:cs="Arial"/>
                <w:b/>
                <w:sz w:val="18"/>
                <w:szCs w:val="18"/>
              </w:rPr>
              <w:t xml:space="preserve"> </w:t>
            </w:r>
            <w:r w:rsidR="00ED0B13" w:rsidRPr="00F20918">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Net İhracat</w:t>
            </w:r>
            <w:r w:rsidR="0016736A" w:rsidRPr="00F20918">
              <w:rPr>
                <w:rFonts w:ascii="Arial" w:hAnsi="Arial" w:cs="Arial"/>
                <w:b/>
                <w:sz w:val="18"/>
                <w:szCs w:val="18"/>
              </w:rPr>
              <w:t xml:space="preserve"> </w:t>
            </w:r>
            <w:r w:rsidR="00ED0B13" w:rsidRPr="00F20918">
              <w:rPr>
                <w:rFonts w:ascii="Arial" w:hAnsi="Arial" w:cs="Arial"/>
                <w:b/>
                <w:sz w:val="18"/>
                <w:szCs w:val="18"/>
              </w:rPr>
              <w:t>(yüzde puan)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İhracat</w:t>
            </w:r>
            <w:r w:rsidR="00ED0B13" w:rsidRPr="00F20918">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İthalat</w:t>
            </w:r>
            <w:r w:rsidR="0016736A" w:rsidRPr="00F20918">
              <w:rPr>
                <w:rFonts w:ascii="Arial" w:hAnsi="Arial" w:cs="Arial"/>
                <w:b/>
                <w:sz w:val="18"/>
                <w:szCs w:val="18"/>
              </w:rPr>
              <w:t xml:space="preserve"> </w:t>
            </w:r>
            <w:r w:rsidR="00ED0B13" w:rsidRPr="00F20918">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F20918" w:rsidRDefault="00811DF9" w:rsidP="00811DF9">
            <w:pPr>
              <w:jc w:val="center"/>
              <w:rPr>
                <w:rFonts w:ascii="Arial" w:hAnsi="Arial" w:cs="Arial"/>
                <w:b/>
                <w:sz w:val="18"/>
                <w:szCs w:val="18"/>
              </w:rPr>
            </w:pPr>
            <w:r w:rsidRPr="00F20918">
              <w:rPr>
                <w:rFonts w:ascii="Arial" w:hAnsi="Arial" w:cs="Arial"/>
                <w:b/>
                <w:sz w:val="18"/>
                <w:szCs w:val="18"/>
              </w:rPr>
              <w:t>Toplam</w:t>
            </w:r>
            <w:r w:rsidR="0016736A" w:rsidRPr="00F20918">
              <w:rPr>
                <w:rFonts w:ascii="Arial" w:hAnsi="Arial" w:cs="Arial"/>
                <w:b/>
                <w:sz w:val="18"/>
                <w:szCs w:val="18"/>
              </w:rPr>
              <w:t xml:space="preserve"> (%)</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2012(1)</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2012(2)</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-0.8</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0.8</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1.6</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2.1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1.2</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2012(3)</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2012(4)</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1.2</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0.4</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2013(1)</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-3.2</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1.5</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2013(2)</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2.3</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2013(3)</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0.8</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2013(4)</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r>
      <w:tr w:rsidR="009A659A" w:rsidRPr="00F20918"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2014(1)</w:t>
            </w:r>
          </w:p>
        </w:tc>
        <w:tc>
          <w:tcPr>
            <w:tcW w:w="1218"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286"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0.0</w:t>
            </w:r>
          </w:p>
        </w:tc>
        <w:tc>
          <w:tcPr>
            <w:tcW w:w="974"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2.3</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1.6</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2014(2)</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0.0</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59A" w:rsidRPr="00F20918" w:rsidRDefault="009A659A">
            <w:pPr>
              <w:rPr>
                <w:rFonts w:ascii="Arial" w:hAnsi="Arial" w:cs="Arial"/>
                <w:b/>
                <w:bCs/>
                <w:sz w:val="20"/>
                <w:szCs w:val="20"/>
              </w:rPr>
            </w:pPr>
            <w:r w:rsidRPr="00F20918">
              <w:rPr>
                <w:rFonts w:ascii="Arial" w:hAnsi="Arial" w:cs="Arial"/>
                <w:b/>
                <w:bCs/>
                <w:sz w:val="20"/>
                <w:szCs w:val="20"/>
              </w:rPr>
              <w:t>2014(3)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F20918" w:rsidRDefault="00686F1C">
            <w:pPr>
              <w:jc w:val="right"/>
              <w:rPr>
                <w:rFonts w:ascii="Arial" w:hAnsi="Arial" w:cs="Arial"/>
                <w:sz w:val="20"/>
                <w:szCs w:val="20"/>
              </w:rPr>
            </w:pPr>
            <w:r w:rsidRPr="00F20918">
              <w:rPr>
                <w:rFonts w:ascii="Arial" w:hAnsi="Arial" w:cs="Arial"/>
                <w:sz w:val="20"/>
                <w:szCs w:val="20"/>
              </w:rPr>
              <w:t>0.3</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2014(4)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-2.6</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-2.3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1.2</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2015(1)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1.1</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2015(2)</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0.0</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1.4</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2015(3)</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-1.5</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0.5</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1.6</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1.0</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2015(4)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2.1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-2.2</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1.1</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pPr>
              <w:rPr>
                <w:rFonts w:ascii="Arial" w:hAnsi="Arial" w:cs="Arial"/>
                <w:b/>
                <w:bCs/>
                <w:sz w:val="20"/>
                <w:szCs w:val="20"/>
              </w:rPr>
            </w:pPr>
            <w:r w:rsidRPr="00F20918">
              <w:rPr>
                <w:rFonts w:ascii="Arial" w:hAnsi="Arial" w:cs="Arial"/>
                <w:b/>
                <w:bCs/>
                <w:sz w:val="20"/>
                <w:szCs w:val="20"/>
              </w:rPr>
              <w:t>2016(1)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0.7</w:t>
            </w:r>
          </w:p>
        </w:tc>
      </w:tr>
      <w:tr w:rsidR="009A659A" w:rsidRPr="00F20918"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F20918" w:rsidRDefault="009A659A" w:rsidP="00222F74">
            <w:pPr>
              <w:rPr>
                <w:rFonts w:ascii="Arial" w:hAnsi="Arial" w:cs="Arial"/>
                <w:b/>
                <w:bCs/>
                <w:sz w:val="20"/>
                <w:szCs w:val="20"/>
              </w:rPr>
            </w:pPr>
            <w:r w:rsidRPr="00F20918">
              <w:rPr>
                <w:rFonts w:ascii="Arial" w:hAnsi="Arial" w:cs="Arial"/>
                <w:b/>
                <w:bCs/>
                <w:sz w:val="20"/>
                <w:szCs w:val="20"/>
              </w:rPr>
              <w:t>2016(2)</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1.1</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0.6</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F20918" w:rsidRDefault="00686F1C">
            <w:pPr>
              <w:jc w:val="right"/>
              <w:rPr>
                <w:rFonts w:ascii="Arial" w:hAnsi="Arial" w:cs="Arial"/>
                <w:sz w:val="20"/>
                <w:szCs w:val="20"/>
              </w:rPr>
            </w:pPr>
            <w:r w:rsidRPr="00F20918">
              <w:rPr>
                <w:rFonts w:ascii="Arial" w:hAnsi="Arial" w:cs="Arial"/>
                <w:sz w:val="20"/>
                <w:szCs w:val="20"/>
              </w:rPr>
              <w:t>0.3</w:t>
            </w:r>
          </w:p>
        </w:tc>
      </w:tr>
      <w:tr w:rsidR="00811DF9" w:rsidRPr="00F20918" w:rsidTr="00ED0B13">
        <w:trPr>
          <w:trHeight w:val="255"/>
        </w:trPr>
        <w:tc>
          <w:tcPr>
            <w:tcW w:w="1417" w:type="dxa"/>
            <w:tcBorders>
              <w:top w:val="single" w:sz="4" w:space="0" w:color="auto"/>
            </w:tcBorders>
            <w:shd w:val="clear" w:color="auto" w:fill="auto"/>
            <w:noWrap/>
            <w:vAlign w:val="bottom"/>
            <w:hideMark/>
          </w:tcPr>
          <w:p w:rsidR="00811DF9" w:rsidRPr="00F20918" w:rsidRDefault="00DA2051" w:rsidP="00811DF9">
            <w:pPr>
              <w:pStyle w:val="NormalWeb"/>
              <w:spacing w:before="0" w:beforeAutospacing="0" w:after="0" w:afterAutospacing="0"/>
              <w:jc w:val="both"/>
              <w:rPr>
                <w:rFonts w:ascii="Arial" w:hAnsi="Arial" w:cs="Arial"/>
                <w:sz w:val="20"/>
                <w:szCs w:val="20"/>
              </w:rPr>
            </w:pPr>
            <w:r w:rsidRPr="00F20918">
              <w:rPr>
                <w:rFonts w:ascii="Arial" w:hAnsi="Arial" w:cs="Arial"/>
                <w:sz w:val="16"/>
                <w:szCs w:val="16"/>
              </w:rPr>
              <w:t>Kaynak</w:t>
            </w:r>
            <w:r w:rsidR="00811DF9" w:rsidRPr="00F20918">
              <w:rPr>
                <w:rFonts w:ascii="Arial" w:hAnsi="Arial" w:cs="Arial"/>
                <w:sz w:val="16"/>
                <w:szCs w:val="16"/>
              </w:rPr>
              <w:t>: TÜİK.</w:t>
            </w:r>
          </w:p>
          <w:p w:rsidR="00811DF9" w:rsidRPr="00F20918" w:rsidRDefault="00811DF9" w:rsidP="00811DF9">
            <w:pPr>
              <w:rPr>
                <w:rFonts w:ascii="Arial" w:hAnsi="Arial" w:cs="Arial"/>
                <w:b/>
                <w:bCs/>
                <w:sz w:val="20"/>
                <w:szCs w:val="20"/>
              </w:rPr>
            </w:pPr>
          </w:p>
        </w:tc>
        <w:tc>
          <w:tcPr>
            <w:tcW w:w="1218"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1107"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Pr="00F20918" w:rsidRDefault="00811DF9" w:rsidP="00811DF9">
            <w:pPr>
              <w:jc w:val="right"/>
              <w:rPr>
                <w:rFonts w:ascii="Arial" w:hAnsi="Arial" w:cs="Arial"/>
                <w:sz w:val="20"/>
                <w:szCs w:val="20"/>
              </w:rPr>
            </w:pPr>
          </w:p>
        </w:tc>
      </w:tr>
    </w:tbl>
    <w:p w:rsidR="00B834FD" w:rsidRPr="00F20918" w:rsidRDefault="00B834FD" w:rsidP="00D561EE">
      <w:pPr>
        <w:pStyle w:val="NormalWeb"/>
        <w:spacing w:before="0" w:beforeAutospacing="0" w:after="0" w:afterAutospacing="0"/>
        <w:ind w:right="77"/>
        <w:jc w:val="both"/>
        <w:rPr>
          <w:b/>
          <w:bCs/>
          <w:sz w:val="22"/>
          <w:szCs w:val="22"/>
        </w:rPr>
      </w:pPr>
    </w:p>
    <w:p w:rsidR="00D90384" w:rsidRPr="00F20918" w:rsidRDefault="00D90384" w:rsidP="00A7746C">
      <w:pPr>
        <w:pStyle w:val="NormalWeb"/>
        <w:spacing w:before="0" w:beforeAutospacing="0" w:after="0" w:afterAutospacing="0" w:line="360" w:lineRule="auto"/>
        <w:ind w:right="77"/>
        <w:rPr>
          <w:rFonts w:ascii="Arial" w:hAnsi="Arial" w:cs="Arial"/>
          <w:b/>
          <w:bCs/>
          <w:sz w:val="20"/>
          <w:szCs w:val="20"/>
        </w:rPr>
        <w:sectPr w:rsidR="00D90384" w:rsidRPr="00F20918" w:rsidSect="00C335E9">
          <w:type w:val="continuous"/>
          <w:pgSz w:w="11906" w:h="16838"/>
          <w:pgMar w:top="1417" w:right="1106" w:bottom="1417" w:left="900" w:header="708" w:footer="708" w:gutter="0"/>
          <w:cols w:num="2" w:space="386"/>
          <w:docGrid w:linePitch="360"/>
        </w:sectPr>
      </w:pPr>
    </w:p>
    <w:p w:rsidR="00535631" w:rsidRPr="00F20918" w:rsidRDefault="00535631" w:rsidP="00535631">
      <w:pPr>
        <w:pStyle w:val="NormalWeb"/>
        <w:spacing w:before="0" w:beforeAutospacing="0" w:after="0" w:afterAutospacing="0" w:line="360" w:lineRule="auto"/>
        <w:ind w:right="77"/>
        <w:rPr>
          <w:rFonts w:ascii="Arial" w:hAnsi="Arial" w:cs="Arial"/>
          <w:b/>
          <w:bCs/>
          <w:sz w:val="20"/>
          <w:szCs w:val="20"/>
        </w:rPr>
      </w:pPr>
    </w:p>
    <w:p w:rsidR="00C5707D" w:rsidRPr="00F20918"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Pr="00F20918"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Pr="00F20918"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Pr="00F20918"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RPr="00F20918"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E5" w:rsidRDefault="007D51E5">
      <w:r>
        <w:separator/>
      </w:r>
    </w:p>
  </w:endnote>
  <w:endnote w:type="continuationSeparator" w:id="0">
    <w:p w:rsidR="007D51E5" w:rsidRDefault="007D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AC" w:rsidRDefault="005D387D" w:rsidP="007344A9">
    <w:pPr>
      <w:pStyle w:val="Footer"/>
      <w:framePr w:wrap="auto" w:vAnchor="text" w:hAnchor="margin" w:xAlign="right" w:y="1"/>
      <w:rPr>
        <w:rStyle w:val="PageNumber"/>
      </w:rPr>
    </w:pPr>
    <w:r>
      <w:rPr>
        <w:rStyle w:val="PageNumber"/>
      </w:rPr>
      <w:fldChar w:fldCharType="begin"/>
    </w:r>
    <w:r w:rsidR="00CB6FAC">
      <w:rPr>
        <w:rStyle w:val="PageNumber"/>
      </w:rPr>
      <w:instrText xml:space="preserve">PAGE  </w:instrText>
    </w:r>
    <w:r>
      <w:rPr>
        <w:rStyle w:val="PageNumber"/>
      </w:rPr>
      <w:fldChar w:fldCharType="separate"/>
    </w:r>
    <w:r w:rsidR="00DF1F53">
      <w:rPr>
        <w:rStyle w:val="PageNumber"/>
        <w:noProof/>
      </w:rPr>
      <w:t>3</w:t>
    </w:r>
    <w:r>
      <w:rPr>
        <w:rStyle w:val="PageNumber"/>
      </w:rPr>
      <w:fldChar w:fldCharType="end"/>
    </w:r>
  </w:p>
  <w:p w:rsidR="00CB6FAC" w:rsidRPr="007750EF" w:rsidRDefault="00CB6FAC"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CB6FAC" w:rsidRDefault="00CB6FAC"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E5" w:rsidRDefault="007D51E5">
      <w:r>
        <w:separator/>
      </w:r>
    </w:p>
  </w:footnote>
  <w:footnote w:type="continuationSeparator" w:id="0">
    <w:p w:rsidR="007D51E5" w:rsidRDefault="007D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437"/>
    <w:rsid w:val="000038DF"/>
    <w:rsid w:val="000046A3"/>
    <w:rsid w:val="0000598D"/>
    <w:rsid w:val="000103E6"/>
    <w:rsid w:val="000129C2"/>
    <w:rsid w:val="00017426"/>
    <w:rsid w:val="00020EB8"/>
    <w:rsid w:val="000231C7"/>
    <w:rsid w:val="000252CE"/>
    <w:rsid w:val="000301E5"/>
    <w:rsid w:val="00032B1D"/>
    <w:rsid w:val="00033759"/>
    <w:rsid w:val="00034ECF"/>
    <w:rsid w:val="00035FEE"/>
    <w:rsid w:val="00041917"/>
    <w:rsid w:val="000440B1"/>
    <w:rsid w:val="00052B36"/>
    <w:rsid w:val="00054DF2"/>
    <w:rsid w:val="00057C0F"/>
    <w:rsid w:val="00060E9B"/>
    <w:rsid w:val="00060EC4"/>
    <w:rsid w:val="00062A47"/>
    <w:rsid w:val="0007393F"/>
    <w:rsid w:val="00076A31"/>
    <w:rsid w:val="00076E68"/>
    <w:rsid w:val="00083ED6"/>
    <w:rsid w:val="000847EA"/>
    <w:rsid w:val="00087951"/>
    <w:rsid w:val="00092686"/>
    <w:rsid w:val="000961D9"/>
    <w:rsid w:val="000A1C83"/>
    <w:rsid w:val="000A3710"/>
    <w:rsid w:val="000A4BD1"/>
    <w:rsid w:val="000A6CA9"/>
    <w:rsid w:val="000A701D"/>
    <w:rsid w:val="000B1F93"/>
    <w:rsid w:val="000B3E5D"/>
    <w:rsid w:val="000C04C5"/>
    <w:rsid w:val="000C2004"/>
    <w:rsid w:val="000C38EC"/>
    <w:rsid w:val="000C4944"/>
    <w:rsid w:val="000C57E2"/>
    <w:rsid w:val="000C5B7E"/>
    <w:rsid w:val="000C5C8B"/>
    <w:rsid w:val="000D1E9B"/>
    <w:rsid w:val="000D321F"/>
    <w:rsid w:val="000D4F14"/>
    <w:rsid w:val="000D79EC"/>
    <w:rsid w:val="000E10A3"/>
    <w:rsid w:val="000E468B"/>
    <w:rsid w:val="000F0FAB"/>
    <w:rsid w:val="000F4567"/>
    <w:rsid w:val="000F4941"/>
    <w:rsid w:val="001009DB"/>
    <w:rsid w:val="0010192C"/>
    <w:rsid w:val="00105A12"/>
    <w:rsid w:val="00107363"/>
    <w:rsid w:val="0010795F"/>
    <w:rsid w:val="001105B2"/>
    <w:rsid w:val="00110EBA"/>
    <w:rsid w:val="00111AD6"/>
    <w:rsid w:val="001125E5"/>
    <w:rsid w:val="00113284"/>
    <w:rsid w:val="00116868"/>
    <w:rsid w:val="001168BF"/>
    <w:rsid w:val="00123843"/>
    <w:rsid w:val="001241C3"/>
    <w:rsid w:val="00124F5D"/>
    <w:rsid w:val="0013046A"/>
    <w:rsid w:val="00130FEE"/>
    <w:rsid w:val="00141A2F"/>
    <w:rsid w:val="00141FFF"/>
    <w:rsid w:val="00144245"/>
    <w:rsid w:val="00150C5D"/>
    <w:rsid w:val="0015266B"/>
    <w:rsid w:val="00160FA3"/>
    <w:rsid w:val="001635A4"/>
    <w:rsid w:val="0016522D"/>
    <w:rsid w:val="00166F89"/>
    <w:rsid w:val="0016736A"/>
    <w:rsid w:val="001679A2"/>
    <w:rsid w:val="001707BB"/>
    <w:rsid w:val="00174319"/>
    <w:rsid w:val="00177D70"/>
    <w:rsid w:val="00177FE3"/>
    <w:rsid w:val="00185A12"/>
    <w:rsid w:val="00186207"/>
    <w:rsid w:val="00187FA0"/>
    <w:rsid w:val="001942E3"/>
    <w:rsid w:val="001A0A58"/>
    <w:rsid w:val="001A1E7D"/>
    <w:rsid w:val="001A2605"/>
    <w:rsid w:val="001A46BF"/>
    <w:rsid w:val="001A4BCB"/>
    <w:rsid w:val="001A4D86"/>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24EF"/>
    <w:rsid w:val="001F74A2"/>
    <w:rsid w:val="002063D4"/>
    <w:rsid w:val="00206831"/>
    <w:rsid w:val="0021041C"/>
    <w:rsid w:val="002111EE"/>
    <w:rsid w:val="00213C2C"/>
    <w:rsid w:val="00217042"/>
    <w:rsid w:val="00222F74"/>
    <w:rsid w:val="0022485B"/>
    <w:rsid w:val="002304FE"/>
    <w:rsid w:val="002310A4"/>
    <w:rsid w:val="00232927"/>
    <w:rsid w:val="00236E7A"/>
    <w:rsid w:val="00240B3E"/>
    <w:rsid w:val="00242460"/>
    <w:rsid w:val="002548F5"/>
    <w:rsid w:val="00256199"/>
    <w:rsid w:val="00263147"/>
    <w:rsid w:val="00263F19"/>
    <w:rsid w:val="002763DA"/>
    <w:rsid w:val="002776F4"/>
    <w:rsid w:val="002803EC"/>
    <w:rsid w:val="00282018"/>
    <w:rsid w:val="002829AF"/>
    <w:rsid w:val="00284C3D"/>
    <w:rsid w:val="002872E8"/>
    <w:rsid w:val="002A1249"/>
    <w:rsid w:val="002A66ED"/>
    <w:rsid w:val="002C3E28"/>
    <w:rsid w:val="002C664B"/>
    <w:rsid w:val="002D1EEA"/>
    <w:rsid w:val="002D2C9F"/>
    <w:rsid w:val="002D45B3"/>
    <w:rsid w:val="002E24C3"/>
    <w:rsid w:val="002E4241"/>
    <w:rsid w:val="002E4EBB"/>
    <w:rsid w:val="002E6BBD"/>
    <w:rsid w:val="002F27AE"/>
    <w:rsid w:val="002F4D4C"/>
    <w:rsid w:val="002F5134"/>
    <w:rsid w:val="002F7168"/>
    <w:rsid w:val="00301610"/>
    <w:rsid w:val="00303668"/>
    <w:rsid w:val="003047E8"/>
    <w:rsid w:val="0031043B"/>
    <w:rsid w:val="00311DAA"/>
    <w:rsid w:val="00312D10"/>
    <w:rsid w:val="003142BA"/>
    <w:rsid w:val="00315A38"/>
    <w:rsid w:val="00322B46"/>
    <w:rsid w:val="003232C7"/>
    <w:rsid w:val="00323B97"/>
    <w:rsid w:val="003308FF"/>
    <w:rsid w:val="00334029"/>
    <w:rsid w:val="003356CA"/>
    <w:rsid w:val="0034029D"/>
    <w:rsid w:val="003435D7"/>
    <w:rsid w:val="0034543C"/>
    <w:rsid w:val="0035035A"/>
    <w:rsid w:val="003515B5"/>
    <w:rsid w:val="00351ABF"/>
    <w:rsid w:val="00351F97"/>
    <w:rsid w:val="0035245B"/>
    <w:rsid w:val="00355207"/>
    <w:rsid w:val="0035628A"/>
    <w:rsid w:val="00356DF5"/>
    <w:rsid w:val="00357446"/>
    <w:rsid w:val="00361B32"/>
    <w:rsid w:val="003632EB"/>
    <w:rsid w:val="0036512F"/>
    <w:rsid w:val="00370430"/>
    <w:rsid w:val="00373696"/>
    <w:rsid w:val="00380585"/>
    <w:rsid w:val="00380C92"/>
    <w:rsid w:val="00382E15"/>
    <w:rsid w:val="00382F0E"/>
    <w:rsid w:val="00384835"/>
    <w:rsid w:val="00384C18"/>
    <w:rsid w:val="003858F8"/>
    <w:rsid w:val="00385A9C"/>
    <w:rsid w:val="00397F47"/>
    <w:rsid w:val="003A0ECD"/>
    <w:rsid w:val="003A1EAF"/>
    <w:rsid w:val="003B36AB"/>
    <w:rsid w:val="003C0C43"/>
    <w:rsid w:val="003C1ECC"/>
    <w:rsid w:val="003C2E6D"/>
    <w:rsid w:val="003C4A71"/>
    <w:rsid w:val="003C69E4"/>
    <w:rsid w:val="003D15E0"/>
    <w:rsid w:val="003D29C7"/>
    <w:rsid w:val="003D6D66"/>
    <w:rsid w:val="003D7E7F"/>
    <w:rsid w:val="003D7ECF"/>
    <w:rsid w:val="003E02D6"/>
    <w:rsid w:val="003E3634"/>
    <w:rsid w:val="003E6684"/>
    <w:rsid w:val="003F0603"/>
    <w:rsid w:val="003F1C26"/>
    <w:rsid w:val="003F3737"/>
    <w:rsid w:val="00400B76"/>
    <w:rsid w:val="00401CFC"/>
    <w:rsid w:val="00402989"/>
    <w:rsid w:val="00403BAD"/>
    <w:rsid w:val="00405EC6"/>
    <w:rsid w:val="0040666B"/>
    <w:rsid w:val="0040754A"/>
    <w:rsid w:val="004131D0"/>
    <w:rsid w:val="00414520"/>
    <w:rsid w:val="0041456D"/>
    <w:rsid w:val="00423CB6"/>
    <w:rsid w:val="004254C3"/>
    <w:rsid w:val="00425675"/>
    <w:rsid w:val="004337B1"/>
    <w:rsid w:val="004360BB"/>
    <w:rsid w:val="004411DB"/>
    <w:rsid w:val="00444446"/>
    <w:rsid w:val="004458F8"/>
    <w:rsid w:val="00450ACD"/>
    <w:rsid w:val="004512C9"/>
    <w:rsid w:val="004529AD"/>
    <w:rsid w:val="00453FA5"/>
    <w:rsid w:val="0046338A"/>
    <w:rsid w:val="00463F06"/>
    <w:rsid w:val="00470351"/>
    <w:rsid w:val="004714CD"/>
    <w:rsid w:val="00475519"/>
    <w:rsid w:val="004836E3"/>
    <w:rsid w:val="00484F5F"/>
    <w:rsid w:val="00492063"/>
    <w:rsid w:val="004947B8"/>
    <w:rsid w:val="00497E5F"/>
    <w:rsid w:val="004A260F"/>
    <w:rsid w:val="004A3A86"/>
    <w:rsid w:val="004A4704"/>
    <w:rsid w:val="004B27BA"/>
    <w:rsid w:val="004B63B3"/>
    <w:rsid w:val="004C2F4B"/>
    <w:rsid w:val="004C6B9A"/>
    <w:rsid w:val="004C7967"/>
    <w:rsid w:val="004C7BD6"/>
    <w:rsid w:val="004D4750"/>
    <w:rsid w:val="004D4E11"/>
    <w:rsid w:val="004E0453"/>
    <w:rsid w:val="004E272F"/>
    <w:rsid w:val="004E3889"/>
    <w:rsid w:val="004E6D54"/>
    <w:rsid w:val="004F085C"/>
    <w:rsid w:val="004F156C"/>
    <w:rsid w:val="004F40CF"/>
    <w:rsid w:val="004F7017"/>
    <w:rsid w:val="00500002"/>
    <w:rsid w:val="0050111C"/>
    <w:rsid w:val="0050593C"/>
    <w:rsid w:val="00510B8E"/>
    <w:rsid w:val="00512338"/>
    <w:rsid w:val="005125B3"/>
    <w:rsid w:val="00513310"/>
    <w:rsid w:val="00514BF6"/>
    <w:rsid w:val="0051655D"/>
    <w:rsid w:val="005171AD"/>
    <w:rsid w:val="00520C9F"/>
    <w:rsid w:val="00526178"/>
    <w:rsid w:val="00530734"/>
    <w:rsid w:val="00530EC8"/>
    <w:rsid w:val="00531B2C"/>
    <w:rsid w:val="00535631"/>
    <w:rsid w:val="00542058"/>
    <w:rsid w:val="005458AF"/>
    <w:rsid w:val="00550844"/>
    <w:rsid w:val="00552BF8"/>
    <w:rsid w:val="005608F6"/>
    <w:rsid w:val="00572866"/>
    <w:rsid w:val="00572982"/>
    <w:rsid w:val="00576F19"/>
    <w:rsid w:val="005774A6"/>
    <w:rsid w:val="00580A75"/>
    <w:rsid w:val="00584956"/>
    <w:rsid w:val="00585B90"/>
    <w:rsid w:val="0058720D"/>
    <w:rsid w:val="005876F2"/>
    <w:rsid w:val="0058797D"/>
    <w:rsid w:val="00591DB9"/>
    <w:rsid w:val="00592952"/>
    <w:rsid w:val="005943C0"/>
    <w:rsid w:val="00595B85"/>
    <w:rsid w:val="00597E04"/>
    <w:rsid w:val="005A0E4F"/>
    <w:rsid w:val="005A112A"/>
    <w:rsid w:val="005A5C33"/>
    <w:rsid w:val="005A7A25"/>
    <w:rsid w:val="005B3336"/>
    <w:rsid w:val="005C0934"/>
    <w:rsid w:val="005C0F45"/>
    <w:rsid w:val="005C34F6"/>
    <w:rsid w:val="005C5B4F"/>
    <w:rsid w:val="005C6DF4"/>
    <w:rsid w:val="005D32E4"/>
    <w:rsid w:val="005D387D"/>
    <w:rsid w:val="005D4715"/>
    <w:rsid w:val="005D47AA"/>
    <w:rsid w:val="005D4824"/>
    <w:rsid w:val="005D7AE5"/>
    <w:rsid w:val="005E26C6"/>
    <w:rsid w:val="005E35F5"/>
    <w:rsid w:val="005E4725"/>
    <w:rsid w:val="005E4EF0"/>
    <w:rsid w:val="005E5915"/>
    <w:rsid w:val="005E756F"/>
    <w:rsid w:val="005E763B"/>
    <w:rsid w:val="005F31BE"/>
    <w:rsid w:val="005F51ED"/>
    <w:rsid w:val="005F60FF"/>
    <w:rsid w:val="00600703"/>
    <w:rsid w:val="00604C1F"/>
    <w:rsid w:val="006057A0"/>
    <w:rsid w:val="0060621C"/>
    <w:rsid w:val="00614670"/>
    <w:rsid w:val="00615C7F"/>
    <w:rsid w:val="00621B82"/>
    <w:rsid w:val="00624BED"/>
    <w:rsid w:val="006273E5"/>
    <w:rsid w:val="00630B75"/>
    <w:rsid w:val="00632E2B"/>
    <w:rsid w:val="00633032"/>
    <w:rsid w:val="00633C51"/>
    <w:rsid w:val="00636BAF"/>
    <w:rsid w:val="00640AB0"/>
    <w:rsid w:val="0064496A"/>
    <w:rsid w:val="00653D02"/>
    <w:rsid w:val="0065789B"/>
    <w:rsid w:val="00660DE2"/>
    <w:rsid w:val="0066110F"/>
    <w:rsid w:val="006641E9"/>
    <w:rsid w:val="006701A7"/>
    <w:rsid w:val="00671A37"/>
    <w:rsid w:val="00680D3E"/>
    <w:rsid w:val="00682FDA"/>
    <w:rsid w:val="0068321E"/>
    <w:rsid w:val="00686F1C"/>
    <w:rsid w:val="006878CD"/>
    <w:rsid w:val="00692DB0"/>
    <w:rsid w:val="0069530D"/>
    <w:rsid w:val="00696C53"/>
    <w:rsid w:val="00697C0A"/>
    <w:rsid w:val="006A1FBF"/>
    <w:rsid w:val="006A343A"/>
    <w:rsid w:val="006A46FE"/>
    <w:rsid w:val="006A538E"/>
    <w:rsid w:val="006A5F3A"/>
    <w:rsid w:val="006A6263"/>
    <w:rsid w:val="006A6C5B"/>
    <w:rsid w:val="006B4D2C"/>
    <w:rsid w:val="006C0E86"/>
    <w:rsid w:val="006C2514"/>
    <w:rsid w:val="006C3D2D"/>
    <w:rsid w:val="006C405A"/>
    <w:rsid w:val="006C4458"/>
    <w:rsid w:val="006C59C1"/>
    <w:rsid w:val="006D04DD"/>
    <w:rsid w:val="006D0CA9"/>
    <w:rsid w:val="006D316F"/>
    <w:rsid w:val="006D3857"/>
    <w:rsid w:val="006D5B7E"/>
    <w:rsid w:val="006E0CBB"/>
    <w:rsid w:val="006E3721"/>
    <w:rsid w:val="006F0F53"/>
    <w:rsid w:val="006F40CE"/>
    <w:rsid w:val="006F4388"/>
    <w:rsid w:val="006F4A63"/>
    <w:rsid w:val="006F6EBA"/>
    <w:rsid w:val="00700658"/>
    <w:rsid w:val="00701EFF"/>
    <w:rsid w:val="007041DF"/>
    <w:rsid w:val="007075C8"/>
    <w:rsid w:val="00710098"/>
    <w:rsid w:val="00712EDE"/>
    <w:rsid w:val="00716632"/>
    <w:rsid w:val="00716BBE"/>
    <w:rsid w:val="00717B60"/>
    <w:rsid w:val="00720EA3"/>
    <w:rsid w:val="0072389D"/>
    <w:rsid w:val="007249F6"/>
    <w:rsid w:val="00726749"/>
    <w:rsid w:val="00727963"/>
    <w:rsid w:val="00731175"/>
    <w:rsid w:val="00731766"/>
    <w:rsid w:val="00731FDD"/>
    <w:rsid w:val="0073287D"/>
    <w:rsid w:val="00732FC5"/>
    <w:rsid w:val="007344A9"/>
    <w:rsid w:val="007347D7"/>
    <w:rsid w:val="0073660E"/>
    <w:rsid w:val="007415A5"/>
    <w:rsid w:val="00744ACB"/>
    <w:rsid w:val="00752C9A"/>
    <w:rsid w:val="00754536"/>
    <w:rsid w:val="0075696F"/>
    <w:rsid w:val="00757338"/>
    <w:rsid w:val="00757C3D"/>
    <w:rsid w:val="00762F7B"/>
    <w:rsid w:val="0076354F"/>
    <w:rsid w:val="00763C67"/>
    <w:rsid w:val="00771C75"/>
    <w:rsid w:val="00773D7C"/>
    <w:rsid w:val="007750EF"/>
    <w:rsid w:val="0077714A"/>
    <w:rsid w:val="007777F0"/>
    <w:rsid w:val="007818BA"/>
    <w:rsid w:val="00783713"/>
    <w:rsid w:val="007848CD"/>
    <w:rsid w:val="007849D7"/>
    <w:rsid w:val="00785292"/>
    <w:rsid w:val="00785F81"/>
    <w:rsid w:val="007868A5"/>
    <w:rsid w:val="007929BD"/>
    <w:rsid w:val="00792E44"/>
    <w:rsid w:val="007972B3"/>
    <w:rsid w:val="007A32CF"/>
    <w:rsid w:val="007A35F3"/>
    <w:rsid w:val="007A669F"/>
    <w:rsid w:val="007B0061"/>
    <w:rsid w:val="007B5709"/>
    <w:rsid w:val="007B71AC"/>
    <w:rsid w:val="007C06E9"/>
    <w:rsid w:val="007C2C17"/>
    <w:rsid w:val="007C3006"/>
    <w:rsid w:val="007C5DDE"/>
    <w:rsid w:val="007C6AE5"/>
    <w:rsid w:val="007D0DA1"/>
    <w:rsid w:val="007D27BC"/>
    <w:rsid w:val="007D3FA1"/>
    <w:rsid w:val="007D51E5"/>
    <w:rsid w:val="007D6427"/>
    <w:rsid w:val="007E2BBD"/>
    <w:rsid w:val="007E3AB3"/>
    <w:rsid w:val="007E6250"/>
    <w:rsid w:val="007F3106"/>
    <w:rsid w:val="007F41B8"/>
    <w:rsid w:val="007F50E5"/>
    <w:rsid w:val="008038AF"/>
    <w:rsid w:val="00803E3E"/>
    <w:rsid w:val="00805D70"/>
    <w:rsid w:val="008070A4"/>
    <w:rsid w:val="00811DF9"/>
    <w:rsid w:val="008178BE"/>
    <w:rsid w:val="00823EC8"/>
    <w:rsid w:val="00835C16"/>
    <w:rsid w:val="00835D6F"/>
    <w:rsid w:val="008372C4"/>
    <w:rsid w:val="008372E2"/>
    <w:rsid w:val="008503B3"/>
    <w:rsid w:val="008517F6"/>
    <w:rsid w:val="00854EE0"/>
    <w:rsid w:val="00855AA6"/>
    <w:rsid w:val="008562BF"/>
    <w:rsid w:val="00862742"/>
    <w:rsid w:val="0086402F"/>
    <w:rsid w:val="0087093F"/>
    <w:rsid w:val="00873672"/>
    <w:rsid w:val="00876AF8"/>
    <w:rsid w:val="00876D88"/>
    <w:rsid w:val="0088054E"/>
    <w:rsid w:val="00882D27"/>
    <w:rsid w:val="0088409A"/>
    <w:rsid w:val="00886F8E"/>
    <w:rsid w:val="008870E7"/>
    <w:rsid w:val="008905DC"/>
    <w:rsid w:val="00890B1D"/>
    <w:rsid w:val="00891099"/>
    <w:rsid w:val="00893531"/>
    <w:rsid w:val="0089443A"/>
    <w:rsid w:val="008A14F5"/>
    <w:rsid w:val="008A1528"/>
    <w:rsid w:val="008A5FC4"/>
    <w:rsid w:val="008A6647"/>
    <w:rsid w:val="008B4630"/>
    <w:rsid w:val="008B6FB2"/>
    <w:rsid w:val="008D2EB9"/>
    <w:rsid w:val="008D3D8C"/>
    <w:rsid w:val="008D5294"/>
    <w:rsid w:val="008D711C"/>
    <w:rsid w:val="008E1AE4"/>
    <w:rsid w:val="008E3765"/>
    <w:rsid w:val="008E42E2"/>
    <w:rsid w:val="008E5192"/>
    <w:rsid w:val="008F1406"/>
    <w:rsid w:val="008F61F6"/>
    <w:rsid w:val="0090470E"/>
    <w:rsid w:val="0091124D"/>
    <w:rsid w:val="0091445B"/>
    <w:rsid w:val="009151D5"/>
    <w:rsid w:val="009232E3"/>
    <w:rsid w:val="00923AE7"/>
    <w:rsid w:val="00926C28"/>
    <w:rsid w:val="00930C26"/>
    <w:rsid w:val="00930D19"/>
    <w:rsid w:val="0093214C"/>
    <w:rsid w:val="009344D3"/>
    <w:rsid w:val="00934718"/>
    <w:rsid w:val="0093777C"/>
    <w:rsid w:val="009377F5"/>
    <w:rsid w:val="00937D5B"/>
    <w:rsid w:val="00940E4D"/>
    <w:rsid w:val="00944454"/>
    <w:rsid w:val="00945FFA"/>
    <w:rsid w:val="00952683"/>
    <w:rsid w:val="00953EFF"/>
    <w:rsid w:val="00956784"/>
    <w:rsid w:val="009575C3"/>
    <w:rsid w:val="009608B2"/>
    <w:rsid w:val="00970251"/>
    <w:rsid w:val="0097246B"/>
    <w:rsid w:val="009757A8"/>
    <w:rsid w:val="00983059"/>
    <w:rsid w:val="0098333B"/>
    <w:rsid w:val="00984090"/>
    <w:rsid w:val="0098521E"/>
    <w:rsid w:val="009860B5"/>
    <w:rsid w:val="00990D6A"/>
    <w:rsid w:val="00995F40"/>
    <w:rsid w:val="00996034"/>
    <w:rsid w:val="009969B5"/>
    <w:rsid w:val="009A0C2F"/>
    <w:rsid w:val="009A0FAF"/>
    <w:rsid w:val="009A13FB"/>
    <w:rsid w:val="009A290D"/>
    <w:rsid w:val="009A31DE"/>
    <w:rsid w:val="009A38F2"/>
    <w:rsid w:val="009A3A23"/>
    <w:rsid w:val="009A3EBF"/>
    <w:rsid w:val="009A5CBE"/>
    <w:rsid w:val="009A6269"/>
    <w:rsid w:val="009A659A"/>
    <w:rsid w:val="009B3ADD"/>
    <w:rsid w:val="009B5D1C"/>
    <w:rsid w:val="009C11E1"/>
    <w:rsid w:val="009C4A62"/>
    <w:rsid w:val="009C7AA9"/>
    <w:rsid w:val="009D0F22"/>
    <w:rsid w:val="009D2D8C"/>
    <w:rsid w:val="009D708E"/>
    <w:rsid w:val="009E0021"/>
    <w:rsid w:val="009E0068"/>
    <w:rsid w:val="009F1285"/>
    <w:rsid w:val="009F61FA"/>
    <w:rsid w:val="009F76E5"/>
    <w:rsid w:val="00A00808"/>
    <w:rsid w:val="00A10419"/>
    <w:rsid w:val="00A12F3A"/>
    <w:rsid w:val="00A132C2"/>
    <w:rsid w:val="00A13AC7"/>
    <w:rsid w:val="00A208D0"/>
    <w:rsid w:val="00A21846"/>
    <w:rsid w:val="00A22A10"/>
    <w:rsid w:val="00A27158"/>
    <w:rsid w:val="00A27217"/>
    <w:rsid w:val="00A30A09"/>
    <w:rsid w:val="00A3171E"/>
    <w:rsid w:val="00A31D44"/>
    <w:rsid w:val="00A45794"/>
    <w:rsid w:val="00A501F8"/>
    <w:rsid w:val="00A50DE6"/>
    <w:rsid w:val="00A5363B"/>
    <w:rsid w:val="00A54173"/>
    <w:rsid w:val="00A57199"/>
    <w:rsid w:val="00A610C8"/>
    <w:rsid w:val="00A61B09"/>
    <w:rsid w:val="00A62AB4"/>
    <w:rsid w:val="00A631F0"/>
    <w:rsid w:val="00A665F3"/>
    <w:rsid w:val="00A70CB2"/>
    <w:rsid w:val="00A76BDF"/>
    <w:rsid w:val="00A7746C"/>
    <w:rsid w:val="00A8325A"/>
    <w:rsid w:val="00A85A9E"/>
    <w:rsid w:val="00A86B36"/>
    <w:rsid w:val="00A95582"/>
    <w:rsid w:val="00AA3B29"/>
    <w:rsid w:val="00AB0D3B"/>
    <w:rsid w:val="00AC53E9"/>
    <w:rsid w:val="00AD319F"/>
    <w:rsid w:val="00AD4BFF"/>
    <w:rsid w:val="00AD7A02"/>
    <w:rsid w:val="00AE0BBB"/>
    <w:rsid w:val="00AE12DE"/>
    <w:rsid w:val="00AE1863"/>
    <w:rsid w:val="00AE2554"/>
    <w:rsid w:val="00AE26E3"/>
    <w:rsid w:val="00AF0547"/>
    <w:rsid w:val="00AF26BD"/>
    <w:rsid w:val="00AF2B70"/>
    <w:rsid w:val="00AF2D7A"/>
    <w:rsid w:val="00AF3511"/>
    <w:rsid w:val="00AF3A00"/>
    <w:rsid w:val="00AF3F62"/>
    <w:rsid w:val="00B00EBD"/>
    <w:rsid w:val="00B04DBF"/>
    <w:rsid w:val="00B05BBA"/>
    <w:rsid w:val="00B05F7E"/>
    <w:rsid w:val="00B073E3"/>
    <w:rsid w:val="00B10A46"/>
    <w:rsid w:val="00B123F5"/>
    <w:rsid w:val="00B14F53"/>
    <w:rsid w:val="00B157B3"/>
    <w:rsid w:val="00B171D8"/>
    <w:rsid w:val="00B213B6"/>
    <w:rsid w:val="00B2212D"/>
    <w:rsid w:val="00B2242E"/>
    <w:rsid w:val="00B30B41"/>
    <w:rsid w:val="00B32289"/>
    <w:rsid w:val="00B33421"/>
    <w:rsid w:val="00B3427A"/>
    <w:rsid w:val="00B34AC5"/>
    <w:rsid w:val="00B373FE"/>
    <w:rsid w:val="00B37C4D"/>
    <w:rsid w:val="00B40C86"/>
    <w:rsid w:val="00B43EAF"/>
    <w:rsid w:val="00B44918"/>
    <w:rsid w:val="00B47CEA"/>
    <w:rsid w:val="00B523D2"/>
    <w:rsid w:val="00B52C1B"/>
    <w:rsid w:val="00B5451C"/>
    <w:rsid w:val="00B56EE9"/>
    <w:rsid w:val="00B60160"/>
    <w:rsid w:val="00B620FC"/>
    <w:rsid w:val="00B626DF"/>
    <w:rsid w:val="00B6365A"/>
    <w:rsid w:val="00B662BD"/>
    <w:rsid w:val="00B70759"/>
    <w:rsid w:val="00B71D85"/>
    <w:rsid w:val="00B71DA7"/>
    <w:rsid w:val="00B72337"/>
    <w:rsid w:val="00B7456E"/>
    <w:rsid w:val="00B75A4B"/>
    <w:rsid w:val="00B80E25"/>
    <w:rsid w:val="00B834FD"/>
    <w:rsid w:val="00B84E62"/>
    <w:rsid w:val="00B86B6B"/>
    <w:rsid w:val="00B9258D"/>
    <w:rsid w:val="00B92F70"/>
    <w:rsid w:val="00B9586E"/>
    <w:rsid w:val="00BA30B6"/>
    <w:rsid w:val="00BA3435"/>
    <w:rsid w:val="00BA4A96"/>
    <w:rsid w:val="00BA4C88"/>
    <w:rsid w:val="00BA58D1"/>
    <w:rsid w:val="00BA5935"/>
    <w:rsid w:val="00BB42CE"/>
    <w:rsid w:val="00BB69A7"/>
    <w:rsid w:val="00BB721D"/>
    <w:rsid w:val="00BC0F31"/>
    <w:rsid w:val="00BD3858"/>
    <w:rsid w:val="00BE04C6"/>
    <w:rsid w:val="00BE1028"/>
    <w:rsid w:val="00BE1068"/>
    <w:rsid w:val="00BF099B"/>
    <w:rsid w:val="00BF331F"/>
    <w:rsid w:val="00BF5284"/>
    <w:rsid w:val="00C03A61"/>
    <w:rsid w:val="00C07AB0"/>
    <w:rsid w:val="00C10CAB"/>
    <w:rsid w:val="00C12A4B"/>
    <w:rsid w:val="00C17269"/>
    <w:rsid w:val="00C2177C"/>
    <w:rsid w:val="00C22135"/>
    <w:rsid w:val="00C23712"/>
    <w:rsid w:val="00C23AF4"/>
    <w:rsid w:val="00C26C89"/>
    <w:rsid w:val="00C30753"/>
    <w:rsid w:val="00C32546"/>
    <w:rsid w:val="00C32B59"/>
    <w:rsid w:val="00C335E9"/>
    <w:rsid w:val="00C338A0"/>
    <w:rsid w:val="00C33984"/>
    <w:rsid w:val="00C402A3"/>
    <w:rsid w:val="00C402F7"/>
    <w:rsid w:val="00C41105"/>
    <w:rsid w:val="00C45103"/>
    <w:rsid w:val="00C5094B"/>
    <w:rsid w:val="00C51B09"/>
    <w:rsid w:val="00C529B2"/>
    <w:rsid w:val="00C52A68"/>
    <w:rsid w:val="00C5707D"/>
    <w:rsid w:val="00C6121C"/>
    <w:rsid w:val="00C61305"/>
    <w:rsid w:val="00C63F61"/>
    <w:rsid w:val="00C65F21"/>
    <w:rsid w:val="00C7064D"/>
    <w:rsid w:val="00C7235A"/>
    <w:rsid w:val="00C76C32"/>
    <w:rsid w:val="00C776FB"/>
    <w:rsid w:val="00C805B9"/>
    <w:rsid w:val="00C805F7"/>
    <w:rsid w:val="00C837A3"/>
    <w:rsid w:val="00C8511A"/>
    <w:rsid w:val="00C87DB6"/>
    <w:rsid w:val="00C90178"/>
    <w:rsid w:val="00C91E59"/>
    <w:rsid w:val="00C9454F"/>
    <w:rsid w:val="00C956D5"/>
    <w:rsid w:val="00CA5BA6"/>
    <w:rsid w:val="00CB111E"/>
    <w:rsid w:val="00CB43D8"/>
    <w:rsid w:val="00CB4BF1"/>
    <w:rsid w:val="00CB52DE"/>
    <w:rsid w:val="00CB6FAC"/>
    <w:rsid w:val="00CC2A39"/>
    <w:rsid w:val="00CD2D22"/>
    <w:rsid w:val="00CD4AC2"/>
    <w:rsid w:val="00CD673E"/>
    <w:rsid w:val="00CF1794"/>
    <w:rsid w:val="00CF7EDB"/>
    <w:rsid w:val="00D04A46"/>
    <w:rsid w:val="00D065A3"/>
    <w:rsid w:val="00D06CBF"/>
    <w:rsid w:val="00D12C47"/>
    <w:rsid w:val="00D139DF"/>
    <w:rsid w:val="00D1509B"/>
    <w:rsid w:val="00D157C3"/>
    <w:rsid w:val="00D16840"/>
    <w:rsid w:val="00D16F40"/>
    <w:rsid w:val="00D24BE3"/>
    <w:rsid w:val="00D31213"/>
    <w:rsid w:val="00D37611"/>
    <w:rsid w:val="00D42355"/>
    <w:rsid w:val="00D43561"/>
    <w:rsid w:val="00D5415B"/>
    <w:rsid w:val="00D5417D"/>
    <w:rsid w:val="00D561EE"/>
    <w:rsid w:val="00D61C20"/>
    <w:rsid w:val="00D6349F"/>
    <w:rsid w:val="00D705E1"/>
    <w:rsid w:val="00D74DD4"/>
    <w:rsid w:val="00D77718"/>
    <w:rsid w:val="00D83B77"/>
    <w:rsid w:val="00D854EE"/>
    <w:rsid w:val="00D866CE"/>
    <w:rsid w:val="00D86BC9"/>
    <w:rsid w:val="00D87EC4"/>
    <w:rsid w:val="00D90384"/>
    <w:rsid w:val="00D91378"/>
    <w:rsid w:val="00D92555"/>
    <w:rsid w:val="00D97362"/>
    <w:rsid w:val="00DA2051"/>
    <w:rsid w:val="00DA49D6"/>
    <w:rsid w:val="00DA4A6D"/>
    <w:rsid w:val="00DA7445"/>
    <w:rsid w:val="00DA78DD"/>
    <w:rsid w:val="00DB0051"/>
    <w:rsid w:val="00DB028A"/>
    <w:rsid w:val="00DB0999"/>
    <w:rsid w:val="00DB1A7F"/>
    <w:rsid w:val="00DB315A"/>
    <w:rsid w:val="00DB54D8"/>
    <w:rsid w:val="00DB5757"/>
    <w:rsid w:val="00DB591D"/>
    <w:rsid w:val="00DC1783"/>
    <w:rsid w:val="00DC1BA5"/>
    <w:rsid w:val="00DC4D42"/>
    <w:rsid w:val="00DC523D"/>
    <w:rsid w:val="00DC6957"/>
    <w:rsid w:val="00DC7F3E"/>
    <w:rsid w:val="00DD51D1"/>
    <w:rsid w:val="00DD74D6"/>
    <w:rsid w:val="00DE0BBF"/>
    <w:rsid w:val="00DE356A"/>
    <w:rsid w:val="00DE3FDF"/>
    <w:rsid w:val="00DE5762"/>
    <w:rsid w:val="00DE7222"/>
    <w:rsid w:val="00DF1F53"/>
    <w:rsid w:val="00DF6F26"/>
    <w:rsid w:val="00E02B7E"/>
    <w:rsid w:val="00E060FD"/>
    <w:rsid w:val="00E06534"/>
    <w:rsid w:val="00E12EA6"/>
    <w:rsid w:val="00E14F6E"/>
    <w:rsid w:val="00E159A6"/>
    <w:rsid w:val="00E172B6"/>
    <w:rsid w:val="00E22400"/>
    <w:rsid w:val="00E2274D"/>
    <w:rsid w:val="00E23A5D"/>
    <w:rsid w:val="00E33156"/>
    <w:rsid w:val="00E3525B"/>
    <w:rsid w:val="00E3611F"/>
    <w:rsid w:val="00E416B0"/>
    <w:rsid w:val="00E4342A"/>
    <w:rsid w:val="00E50802"/>
    <w:rsid w:val="00E51786"/>
    <w:rsid w:val="00E528B1"/>
    <w:rsid w:val="00E532A7"/>
    <w:rsid w:val="00E558A0"/>
    <w:rsid w:val="00E55FDA"/>
    <w:rsid w:val="00E663A9"/>
    <w:rsid w:val="00E70298"/>
    <w:rsid w:val="00E70DB2"/>
    <w:rsid w:val="00E71405"/>
    <w:rsid w:val="00E72C4C"/>
    <w:rsid w:val="00E749EF"/>
    <w:rsid w:val="00E74A0E"/>
    <w:rsid w:val="00E74B7B"/>
    <w:rsid w:val="00E74CCB"/>
    <w:rsid w:val="00E76458"/>
    <w:rsid w:val="00E76F2B"/>
    <w:rsid w:val="00E81A3A"/>
    <w:rsid w:val="00E826E3"/>
    <w:rsid w:val="00E83685"/>
    <w:rsid w:val="00E878C3"/>
    <w:rsid w:val="00E930BD"/>
    <w:rsid w:val="00E96583"/>
    <w:rsid w:val="00E96A0A"/>
    <w:rsid w:val="00EA1EF9"/>
    <w:rsid w:val="00EA32A9"/>
    <w:rsid w:val="00EA32FB"/>
    <w:rsid w:val="00EA55F1"/>
    <w:rsid w:val="00EB1620"/>
    <w:rsid w:val="00EB170C"/>
    <w:rsid w:val="00EB2FE3"/>
    <w:rsid w:val="00EB5E9B"/>
    <w:rsid w:val="00EC19E1"/>
    <w:rsid w:val="00EC6DBA"/>
    <w:rsid w:val="00ED0B13"/>
    <w:rsid w:val="00ED17CA"/>
    <w:rsid w:val="00EE23A3"/>
    <w:rsid w:val="00EE36D3"/>
    <w:rsid w:val="00EE5495"/>
    <w:rsid w:val="00EF1140"/>
    <w:rsid w:val="00F00AA0"/>
    <w:rsid w:val="00F02C52"/>
    <w:rsid w:val="00F04250"/>
    <w:rsid w:val="00F11CBF"/>
    <w:rsid w:val="00F1314F"/>
    <w:rsid w:val="00F13CED"/>
    <w:rsid w:val="00F20918"/>
    <w:rsid w:val="00F22BF1"/>
    <w:rsid w:val="00F26339"/>
    <w:rsid w:val="00F26435"/>
    <w:rsid w:val="00F26692"/>
    <w:rsid w:val="00F26946"/>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5CAA"/>
    <w:rsid w:val="00F66727"/>
    <w:rsid w:val="00F6722D"/>
    <w:rsid w:val="00F7054C"/>
    <w:rsid w:val="00F709AB"/>
    <w:rsid w:val="00F70C3E"/>
    <w:rsid w:val="00F70D82"/>
    <w:rsid w:val="00F724E8"/>
    <w:rsid w:val="00F73EE2"/>
    <w:rsid w:val="00F8008F"/>
    <w:rsid w:val="00F83753"/>
    <w:rsid w:val="00F86020"/>
    <w:rsid w:val="00F91738"/>
    <w:rsid w:val="00FA01C6"/>
    <w:rsid w:val="00FA0645"/>
    <w:rsid w:val="00FA1EEF"/>
    <w:rsid w:val="00FA4BA1"/>
    <w:rsid w:val="00FA7C62"/>
    <w:rsid w:val="00FB3BC1"/>
    <w:rsid w:val="00FB4CD9"/>
    <w:rsid w:val="00FB622B"/>
    <w:rsid w:val="00FB7D81"/>
    <w:rsid w:val="00FB7E08"/>
    <w:rsid w:val="00FC018D"/>
    <w:rsid w:val="00FC232E"/>
    <w:rsid w:val="00FD0510"/>
    <w:rsid w:val="00FD1FE2"/>
    <w:rsid w:val="00FD2781"/>
    <w:rsid w:val="00FD27E0"/>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in.koksal@eas.ba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rve.akgul\AppData\Local\Microsoft\Windows\Temporary%20Internet%20Files\Content.Outlook\XQDM7WCV\seyfettin.gursel@eas.bahcesehir.edu.t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C88B0-CC37-4A88-8823-A2F531C2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Selin KOKSAL</cp:lastModifiedBy>
  <cp:revision>3</cp:revision>
  <cp:lastPrinted>2016-09-09T13:11:00Z</cp:lastPrinted>
  <dcterms:created xsi:type="dcterms:W3CDTF">2016-09-09T13:11:00Z</dcterms:created>
  <dcterms:modified xsi:type="dcterms:W3CDTF">2016-09-09T13:12:00Z</dcterms:modified>
</cp:coreProperties>
</file>