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85" w:rsidRDefault="00E65638" w:rsidP="005C739A">
      <w:pPr>
        <w:rPr>
          <w:lang w:val="tr-TR"/>
        </w:rPr>
      </w:pPr>
      <w:r w:rsidRPr="00E5747D">
        <w:rPr>
          <w:lang w:val="tr-TR" w:eastAsia="tr-TR"/>
        </w:rPr>
        <w:drawing>
          <wp:anchor distT="0" distB="0" distL="114300" distR="114300" simplePos="0" relativeHeight="251656192" behindDoc="1" locked="0" layoutInCell="1" allowOverlap="1" wp14:anchorId="337366F8" wp14:editId="6D4214ED">
            <wp:simplePos x="0" y="0"/>
            <wp:positionH relativeFrom="column">
              <wp:posOffset>-836295</wp:posOffset>
            </wp:positionH>
            <wp:positionV relativeFrom="paragraph">
              <wp:posOffset>-852170</wp:posOffset>
            </wp:positionV>
            <wp:extent cx="7491730" cy="1419225"/>
            <wp:effectExtent l="0" t="0" r="0" b="9525"/>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491730" cy="1419225"/>
                    </a:xfrm>
                    <a:prstGeom prst="rect">
                      <a:avLst/>
                    </a:prstGeom>
                    <a:noFill/>
                  </pic:spPr>
                </pic:pic>
              </a:graphicData>
            </a:graphic>
            <wp14:sizeRelH relativeFrom="margin">
              <wp14:pctWidth>0</wp14:pctWidth>
            </wp14:sizeRelH>
          </wp:anchor>
        </w:drawing>
      </w:r>
      <w:r w:rsidR="00AB5C78">
        <w:rPr>
          <w:lang w:val="tr-TR" w:eastAsia="tr-TR"/>
        </w:rPr>
        <mc:AlternateContent>
          <mc:Choice Requires="wps">
            <w:drawing>
              <wp:anchor distT="0" distB="0" distL="114935" distR="114935" simplePos="0" relativeHeight="251658240" behindDoc="0" locked="0" layoutInCell="1" allowOverlap="1" wp14:anchorId="6A626F62" wp14:editId="5D57FBE9">
                <wp:simplePos x="0" y="0"/>
                <wp:positionH relativeFrom="column">
                  <wp:posOffset>1798955</wp:posOffset>
                </wp:positionH>
                <wp:positionV relativeFrom="paragraph">
                  <wp:posOffset>-545465</wp:posOffset>
                </wp:positionV>
                <wp:extent cx="3963670" cy="466725"/>
                <wp:effectExtent l="0" t="0" r="0" b="0"/>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CA1" w:rsidRPr="00200D68" w:rsidRDefault="003A1CA1" w:rsidP="003A1CA1">
                            <w:pPr>
                              <w:rPr>
                                <w:rFonts w:ascii="Times New Roman" w:hAnsi="Times New Roman"/>
                                <w:b/>
                                <w:sz w:val="52"/>
                                <w:szCs w:val="52"/>
                              </w:rPr>
                            </w:pPr>
                            <w:r w:rsidRPr="00200D68">
                              <w:rPr>
                                <w:rFonts w:ascii="Times New Roman" w:hAnsi="Times New Roman"/>
                                <w:b/>
                                <w:sz w:val="52"/>
                                <w:szCs w:val="52"/>
                              </w:rPr>
                              <w:t>Araştırma Notu 16/</w:t>
                            </w:r>
                            <w:r w:rsidR="0090093B">
                              <w:rPr>
                                <w:rFonts w:ascii="Times New Roman" w:hAnsi="Times New Roman"/>
                                <w:b/>
                                <w:sz w:val="52"/>
                                <w:szCs w:val="52"/>
                              </w:rPr>
                              <w:t>197</w:t>
                            </w:r>
                          </w:p>
                          <w:p w:rsidR="003A1CA1" w:rsidRPr="00200D68" w:rsidRDefault="003A1CA1" w:rsidP="003A1CA1">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5DD20B8" id="_x0000_t202" coordsize="21600,21600" o:spt="202" path="m,l,21600r21600,l21600,xe">
                <v:stroke joinstyle="miter"/>
                <v:path gradientshapeok="t" o:connecttype="rect"/>
              </v:shapetype>
              <v:shape id="Metin Kutusu 3" o:spid="_x0000_s1026" type="#_x0000_t202" style="position:absolute;margin-left:141.65pt;margin-top:-42.95pt;width:312.1pt;height:36.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" stroked="f">
                <v:fill opacity="0"/>
                <v:textbox inset="0,0,0,0">
                  <w:txbxContent>
                    <w:p w:rsidR="003A1CA1" w:rsidRPr="00200D68" w:rsidRDefault="003A1CA1" w:rsidP="003A1CA1">
                      <w:pPr>
                        <w:rPr>
                          <w:rFonts w:ascii="Times New Roman" w:hAnsi="Times New Roman"/>
                          <w:b/>
                          <w:sz w:val="52"/>
                          <w:szCs w:val="52"/>
                        </w:rPr>
                      </w:pPr>
                      <w:r w:rsidRPr="00200D68">
                        <w:rPr>
                          <w:rFonts w:ascii="Times New Roman" w:hAnsi="Times New Roman"/>
                          <w:b/>
                          <w:sz w:val="52"/>
                          <w:szCs w:val="52"/>
                        </w:rPr>
                        <w:t>Araştırma Notu 16/</w:t>
                      </w:r>
                      <w:r w:rsidR="0090093B">
                        <w:rPr>
                          <w:rFonts w:ascii="Times New Roman" w:hAnsi="Times New Roman"/>
                          <w:b/>
                          <w:sz w:val="52"/>
                          <w:szCs w:val="52"/>
                        </w:rPr>
                        <w:t>197</w:t>
                      </w:r>
                    </w:p>
                    <w:p w:rsidR="003A1CA1" w:rsidRPr="00200D68" w:rsidRDefault="003A1CA1" w:rsidP="003A1CA1">
                      <w:pPr>
                        <w:rPr>
                          <w:b/>
                        </w:rPr>
                      </w:pPr>
                    </w:p>
                  </w:txbxContent>
                </v:textbox>
              </v:shape>
            </w:pict>
          </mc:Fallback>
        </mc:AlternateContent>
      </w:r>
      <w:r w:rsidR="000312D3">
        <w:rPr>
          <w:lang w:val="tr-TR" w:eastAsia="tr-TR"/>
        </w:rPr>
        <mc:AlternateContent>
          <mc:Choice Requires="wps">
            <w:drawing>
              <wp:anchor distT="0" distB="0" distL="114935" distR="114935" simplePos="0" relativeHeight="251659264" behindDoc="0" locked="0" layoutInCell="1" allowOverlap="1" wp14:anchorId="1367F669" wp14:editId="1664C8AE">
                <wp:simplePos x="0" y="0"/>
                <wp:positionH relativeFrom="column">
                  <wp:posOffset>5177155</wp:posOffset>
                </wp:positionH>
                <wp:positionV relativeFrom="paragraph">
                  <wp:posOffset>176530</wp:posOffset>
                </wp:positionV>
                <wp:extent cx="1478280" cy="299085"/>
                <wp:effectExtent l="0" t="0" r="0" b="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02E" w:rsidRPr="00200D68" w:rsidRDefault="00BE102E" w:rsidP="00BE102E">
                            <w:pPr>
                              <w:jc w:val="center"/>
                              <w:rPr>
                                <w:b/>
                              </w:rPr>
                            </w:pPr>
                            <w:r w:rsidRPr="00200D68">
                              <w:rPr>
                                <w:b/>
                                <w:color w:val="FFFFFF"/>
                                <w:lang w:val="tr-TR"/>
                              </w:rPr>
                              <w:t xml:space="preserve"> </w:t>
                            </w:r>
                            <w:r w:rsidR="00B03E0F">
                              <w:rPr>
                                <w:b/>
                                <w:color w:val="FFFFFF"/>
                                <w:lang w:val="tr-TR"/>
                              </w:rPr>
                              <w:t>8</w:t>
                            </w:r>
                            <w:r w:rsidRPr="00200D68">
                              <w:rPr>
                                <w:b/>
                                <w:color w:val="FFFFFF"/>
                                <w:lang w:val="tr-TR"/>
                              </w:rPr>
                              <w:t xml:space="preserve"> </w:t>
                            </w:r>
                            <w:r w:rsidR="00B03E0F">
                              <w:rPr>
                                <w:b/>
                                <w:color w:val="FFFFFF"/>
                                <w:lang w:val="tr-TR"/>
                              </w:rPr>
                              <w:t>Eylül</w:t>
                            </w:r>
                            <w:r w:rsidRPr="00200D68">
                              <w:rPr>
                                <w:b/>
                                <w:color w:val="FFFFFF"/>
                                <w:lang w:val="tr-TR"/>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407.65pt;margin-top:13.9pt;width:116.4pt;height:23.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" stroked="f">
                <v:fill opacity="0"/>
                <v:textbox inset="0,0,0,0">
                  <w:txbxContent>
                    <w:p w:rsidR="00BE102E" w:rsidRPr="00200D68" w:rsidRDefault="00BE102E" w:rsidP="00BE102E">
                      <w:pPr>
                        <w:jc w:val="center"/>
                        <w:rPr>
                          <w:b/>
                        </w:rPr>
                      </w:pPr>
                      <w:r w:rsidRPr="00200D68">
                        <w:rPr>
                          <w:b/>
                          <w:color w:val="FFFFFF"/>
                          <w:lang w:val="tr-TR"/>
                        </w:rPr>
                        <w:t xml:space="preserve"> </w:t>
                      </w:r>
                      <w:r w:rsidR="00B03E0F">
                        <w:rPr>
                          <w:b/>
                          <w:color w:val="FFFFFF"/>
                          <w:lang w:val="tr-TR"/>
                        </w:rPr>
                        <w:t>8</w:t>
                      </w:r>
                      <w:r w:rsidRPr="00200D68">
                        <w:rPr>
                          <w:b/>
                          <w:color w:val="FFFFFF"/>
                          <w:lang w:val="tr-TR"/>
                        </w:rPr>
                        <w:t xml:space="preserve"> </w:t>
                      </w:r>
                      <w:r w:rsidR="00B03E0F">
                        <w:rPr>
                          <w:b/>
                          <w:color w:val="FFFFFF"/>
                          <w:lang w:val="tr-TR"/>
                        </w:rPr>
                        <w:t>Eylül</w:t>
                      </w:r>
                      <w:r w:rsidRPr="00200D68">
                        <w:rPr>
                          <w:b/>
                          <w:color w:val="FFFFFF"/>
                          <w:lang w:val="tr-TR"/>
                        </w:rPr>
                        <w:t xml:space="preserve"> 2016</w:t>
                      </w:r>
                    </w:p>
                  </w:txbxContent>
                </v:textbox>
              </v:shape>
            </w:pict>
          </mc:Fallback>
        </mc:AlternateContent>
      </w:r>
    </w:p>
    <w:p w:rsidR="00A26A85" w:rsidRDefault="00A26A85" w:rsidP="005C739A">
      <w:pPr>
        <w:rPr>
          <w:lang w:val="tr-TR"/>
        </w:rPr>
      </w:pPr>
    </w:p>
    <w:p w:rsidR="00E65638" w:rsidRDefault="00E65638" w:rsidP="0051060D">
      <w:pPr>
        <w:spacing w:before="120"/>
        <w:jc w:val="center"/>
        <w:rPr>
          <w:rFonts w:cs="Arial"/>
          <w:b/>
          <w:bCs/>
          <w:sz w:val="28"/>
          <w:szCs w:val="28"/>
          <w:lang w:val="tr-TR"/>
        </w:rPr>
      </w:pPr>
    </w:p>
    <w:p w:rsidR="0051060D" w:rsidRPr="00974A84" w:rsidRDefault="00974A84" w:rsidP="0051060D">
      <w:pPr>
        <w:spacing w:before="120"/>
        <w:jc w:val="center"/>
        <w:rPr>
          <w:rFonts w:cs="Arial"/>
          <w:b/>
          <w:bCs/>
          <w:sz w:val="28"/>
          <w:szCs w:val="28"/>
          <w:lang w:val="tr-TR"/>
        </w:rPr>
      </w:pPr>
      <w:r>
        <w:rPr>
          <w:rFonts w:cs="Arial"/>
          <w:b/>
          <w:bCs/>
          <w:sz w:val="28"/>
          <w:szCs w:val="28"/>
          <w:lang w:val="tr-TR"/>
        </w:rPr>
        <w:t>GELİR ARTIŞINA RAĞMEN HANEHALKI TASAR</w:t>
      </w:r>
      <w:r w:rsidR="001D0599">
        <w:rPr>
          <w:rFonts w:cs="Arial"/>
          <w:b/>
          <w:bCs/>
          <w:sz w:val="28"/>
          <w:szCs w:val="28"/>
          <w:lang w:val="tr-TR"/>
        </w:rPr>
        <w:t>R</w:t>
      </w:r>
      <w:r>
        <w:rPr>
          <w:rFonts w:cs="Arial"/>
          <w:b/>
          <w:bCs/>
          <w:sz w:val="28"/>
          <w:szCs w:val="28"/>
          <w:lang w:val="tr-TR"/>
        </w:rPr>
        <w:t>UFLARI NEDEN AZALDI?</w:t>
      </w:r>
    </w:p>
    <w:p w:rsidR="0051060D" w:rsidRPr="00E5747D" w:rsidRDefault="0051060D" w:rsidP="0051060D">
      <w:pPr>
        <w:spacing w:before="120"/>
        <w:jc w:val="center"/>
        <w:rPr>
          <w:rFonts w:cs="Arial"/>
          <w:b/>
          <w:bCs/>
          <w:sz w:val="20"/>
          <w:szCs w:val="20"/>
          <w:lang w:val="tr-TR"/>
        </w:rPr>
      </w:pPr>
      <w:r w:rsidRPr="00E5747D">
        <w:rPr>
          <w:rFonts w:cs="Arial"/>
          <w:b/>
          <w:bCs/>
          <w:sz w:val="20"/>
          <w:szCs w:val="20"/>
          <w:lang w:val="tr-TR"/>
        </w:rPr>
        <w:t>Seyfettin Gürsel</w:t>
      </w:r>
      <w:r w:rsidRPr="00E5747D">
        <w:rPr>
          <w:rStyle w:val="FootnoteReference"/>
          <w:lang w:val="tr-TR"/>
        </w:rPr>
        <w:footnoteReference w:customMarkFollows="1" w:id="1"/>
        <w:t>*</w:t>
      </w:r>
      <w:r w:rsidRPr="00E5747D">
        <w:rPr>
          <w:rFonts w:cs="Arial"/>
          <w:b/>
          <w:bCs/>
          <w:sz w:val="20"/>
          <w:szCs w:val="20"/>
          <w:lang w:val="tr-TR"/>
        </w:rPr>
        <w:t xml:space="preserve"> Gökçe Uysal</w:t>
      </w:r>
      <w:r w:rsidRPr="00E5747D">
        <w:rPr>
          <w:rStyle w:val="FootnoteReference"/>
          <w:lang w:val="tr-TR"/>
        </w:rPr>
        <w:footnoteReference w:customMarkFollows="1" w:id="2"/>
        <w:sym w:font="Symbol" w:char="F02A"/>
      </w:r>
      <w:r w:rsidRPr="00E5747D">
        <w:rPr>
          <w:rStyle w:val="FootnoteReference"/>
          <w:lang w:val="tr-TR"/>
        </w:rPr>
        <w:sym w:font="Symbol" w:char="F02A"/>
      </w:r>
      <w:r w:rsidRPr="00E5747D">
        <w:rPr>
          <w:rFonts w:cs="Arial"/>
          <w:b/>
          <w:bCs/>
          <w:sz w:val="20"/>
          <w:szCs w:val="20"/>
          <w:lang w:val="tr-TR"/>
        </w:rPr>
        <w:t xml:space="preserve"> ve Melike Kökkızıl</w:t>
      </w:r>
      <w:r w:rsidRPr="00E5747D">
        <w:rPr>
          <w:rStyle w:val="FootnoteReference"/>
          <w:lang w:val="tr-TR"/>
        </w:rPr>
        <w:footnoteReference w:customMarkFollows="1" w:id="3"/>
        <w:sym w:font="Symbol" w:char="F02A"/>
      </w:r>
      <w:r w:rsidRPr="00E5747D">
        <w:rPr>
          <w:rStyle w:val="FootnoteReference"/>
          <w:lang w:val="tr-TR"/>
        </w:rPr>
        <w:sym w:font="Symbol" w:char="F02A"/>
      </w:r>
      <w:r w:rsidRPr="00E5747D">
        <w:rPr>
          <w:rStyle w:val="FootnoteReference"/>
          <w:lang w:val="tr-TR"/>
        </w:rPr>
        <w:sym w:font="Symbol" w:char="F02A"/>
      </w:r>
    </w:p>
    <w:p w:rsidR="00E65638" w:rsidRDefault="00E65638" w:rsidP="0051060D">
      <w:pPr>
        <w:jc w:val="center"/>
        <w:rPr>
          <w:b/>
          <w:lang w:val="tr-TR"/>
        </w:rPr>
      </w:pPr>
    </w:p>
    <w:p w:rsidR="0051060D" w:rsidRDefault="0051060D" w:rsidP="0051060D">
      <w:pPr>
        <w:jc w:val="center"/>
        <w:rPr>
          <w:b/>
          <w:lang w:val="tr-TR"/>
        </w:rPr>
      </w:pPr>
      <w:r w:rsidRPr="00E5747D">
        <w:rPr>
          <w:b/>
          <w:lang w:val="tr-TR"/>
        </w:rPr>
        <w:t>Yönetici Özeti</w:t>
      </w:r>
    </w:p>
    <w:p w:rsidR="00060433" w:rsidRDefault="006B0FA9" w:rsidP="00884F5B">
      <w:pPr>
        <w:jc w:val="both"/>
        <w:rPr>
          <w:lang w:val="tr-TR"/>
        </w:rPr>
      </w:pPr>
      <w:r w:rsidRPr="006B0FA9">
        <w:rPr>
          <w:lang w:val="tr-TR"/>
        </w:rPr>
        <w:t xml:space="preserve">Bu </w:t>
      </w:r>
      <w:r w:rsidR="00B8006F">
        <w:rPr>
          <w:lang w:val="tr-TR"/>
        </w:rPr>
        <w:t>çalışmada</w:t>
      </w:r>
      <w:r w:rsidRPr="006B0FA9">
        <w:rPr>
          <w:lang w:val="tr-TR"/>
        </w:rPr>
        <w:t xml:space="preserve"> hanehalkı tasarruf oranlarının 2003-2014 dönemindeki değişimi Hanehalkı Bütçe Anketi (HBA) </w:t>
      </w:r>
      <w:r w:rsidR="000E30B4">
        <w:rPr>
          <w:lang w:val="tr-TR"/>
        </w:rPr>
        <w:t xml:space="preserve">kesit </w:t>
      </w:r>
      <w:r w:rsidRPr="006B0FA9">
        <w:rPr>
          <w:lang w:val="tr-TR"/>
        </w:rPr>
        <w:t xml:space="preserve">mikro verileri kullanılarak incelenmektedir. </w:t>
      </w:r>
      <w:r w:rsidR="00B8006F" w:rsidRPr="00B8006F">
        <w:rPr>
          <w:lang w:val="tr-TR"/>
        </w:rPr>
        <w:t>2003 yılında yüzde 13,7 olarak hesapladığımız hanehalkı tasarruf oranı dönem</w:t>
      </w:r>
      <w:r w:rsidR="00E8128B">
        <w:rPr>
          <w:lang w:val="tr-TR"/>
        </w:rPr>
        <w:t xml:space="preserve"> içinde</w:t>
      </w:r>
      <w:r w:rsidR="00B8006F" w:rsidRPr="00B8006F">
        <w:rPr>
          <w:lang w:val="tr-TR"/>
        </w:rPr>
        <w:t xml:space="preserve"> yüzde 5 civarına gerilemiştir.</w:t>
      </w:r>
      <w:r w:rsidR="00B8006F">
        <w:rPr>
          <w:lang w:val="tr-TR"/>
        </w:rPr>
        <w:t xml:space="preserve"> Bu çerçevede </w:t>
      </w:r>
      <w:r w:rsidR="00B8006F" w:rsidRPr="00C80292">
        <w:rPr>
          <w:lang w:val="tr-TR"/>
        </w:rPr>
        <w:t>dış açığı yüksek düzeyde tutarak yatırımlara kısıt oluşturması bakımından Türkiye ekonomisinin başlıca yapısa</w:t>
      </w:r>
      <w:r w:rsidR="001D3B7D">
        <w:rPr>
          <w:lang w:val="tr-TR"/>
        </w:rPr>
        <w:t>l sorunları arasında sayılan ta</w:t>
      </w:r>
      <w:bookmarkStart w:id="0" w:name="_GoBack"/>
      <w:bookmarkEnd w:id="0"/>
      <w:r w:rsidR="00B8006F" w:rsidRPr="00C80292">
        <w:rPr>
          <w:lang w:val="tr-TR"/>
        </w:rPr>
        <w:t>sarruf yetersizliğinin büyük ölçüde hanehalkı tasarruflarındaki düşüşten kaynaklandığı</w:t>
      </w:r>
      <w:r w:rsidR="00B8006F" w:rsidRPr="00791411">
        <w:rPr>
          <w:lang w:val="tr-TR"/>
        </w:rPr>
        <w:t xml:space="preserve"> söylenebilir. </w:t>
      </w:r>
      <w:r w:rsidR="00106A13">
        <w:rPr>
          <w:lang w:val="tr-TR"/>
        </w:rPr>
        <w:t>Bu z</w:t>
      </w:r>
      <w:r w:rsidR="00C80292" w:rsidRPr="00326C8E">
        <w:rPr>
          <w:lang w:val="tr-TR"/>
        </w:rPr>
        <w:t>afiyet</w:t>
      </w:r>
      <w:r w:rsidR="00884F5B">
        <w:rPr>
          <w:lang w:val="tr-TR"/>
        </w:rPr>
        <w:t xml:space="preserve">, </w:t>
      </w:r>
      <w:r w:rsidR="00C80292" w:rsidRPr="00326C8E">
        <w:rPr>
          <w:lang w:val="tr-TR"/>
        </w:rPr>
        <w:t xml:space="preserve">hanelerin kullanılabilir gelirlerinin </w:t>
      </w:r>
      <w:r w:rsidR="00326C8E" w:rsidRPr="00326C8E">
        <w:rPr>
          <w:lang w:val="tr-TR"/>
        </w:rPr>
        <w:t xml:space="preserve">daha </w:t>
      </w:r>
      <w:r w:rsidR="00C80292" w:rsidRPr="00326C8E">
        <w:rPr>
          <w:lang w:val="tr-TR"/>
        </w:rPr>
        <w:t>küçük bir kısmını tasarruf etmelerinden kaynaklan</w:t>
      </w:r>
      <w:r w:rsidR="00E8128B">
        <w:rPr>
          <w:lang w:val="tr-TR"/>
        </w:rPr>
        <w:t>dığı</w:t>
      </w:r>
      <w:r w:rsidR="00C80292" w:rsidRPr="00326C8E">
        <w:rPr>
          <w:lang w:val="tr-TR"/>
        </w:rPr>
        <w:t xml:space="preserve"> gibi tasarruf </w:t>
      </w:r>
      <w:r w:rsidR="00E8128B">
        <w:rPr>
          <w:lang w:val="tr-TR"/>
        </w:rPr>
        <w:t>yapabilen hane sayısının azalmasından da</w:t>
      </w:r>
      <w:r w:rsidR="00C80292" w:rsidRPr="00326C8E">
        <w:rPr>
          <w:lang w:val="tr-TR"/>
        </w:rPr>
        <w:t xml:space="preserve"> kaynaklanmaktadır.</w:t>
      </w:r>
      <w:r w:rsidR="00326C8E">
        <w:rPr>
          <w:lang w:val="tr-TR"/>
        </w:rPr>
        <w:t xml:space="preserve"> </w:t>
      </w:r>
      <w:r w:rsidR="00E8128B">
        <w:rPr>
          <w:lang w:val="tr-TR"/>
        </w:rPr>
        <w:t>Bununla birlikte t</w:t>
      </w:r>
      <w:r w:rsidR="00B03E0F">
        <w:rPr>
          <w:lang w:val="tr-TR"/>
        </w:rPr>
        <w:t>asarruf tanımı genişletildiğinde</w:t>
      </w:r>
      <w:r w:rsidR="00A25667">
        <w:rPr>
          <w:lang w:val="tr-TR"/>
        </w:rPr>
        <w:t xml:space="preserve"> (uzun dönemli yatırım </w:t>
      </w:r>
      <w:r w:rsidR="00E8128B">
        <w:rPr>
          <w:lang w:val="tr-TR"/>
        </w:rPr>
        <w:t xml:space="preserve">olarak kabul edilen </w:t>
      </w:r>
      <w:r w:rsidR="00A25667">
        <w:rPr>
          <w:lang w:val="tr-TR"/>
        </w:rPr>
        <w:t xml:space="preserve">dayanıklı tüketim mallarına yönelik harcamalar </w:t>
      </w:r>
      <w:r w:rsidR="00E8128B">
        <w:rPr>
          <w:lang w:val="tr-TR"/>
        </w:rPr>
        <w:t>tasarruf olarak kabul edildiğinde</w:t>
      </w:r>
      <w:r w:rsidR="00A25667">
        <w:rPr>
          <w:lang w:val="tr-TR"/>
        </w:rPr>
        <w:t>)</w:t>
      </w:r>
      <w:r w:rsidR="00B03E0F">
        <w:rPr>
          <w:lang w:val="tr-TR"/>
        </w:rPr>
        <w:t xml:space="preserve"> </w:t>
      </w:r>
      <w:r w:rsidR="00884F5B" w:rsidRPr="00884F5B">
        <w:rPr>
          <w:lang w:val="tr-TR"/>
        </w:rPr>
        <w:t xml:space="preserve">hanehalkı tasarruflarında </w:t>
      </w:r>
      <w:r w:rsidR="00E8128B">
        <w:rPr>
          <w:lang w:val="tr-TR"/>
        </w:rPr>
        <w:t>azalma görülmemektedir. Bu bakımdan hanehalkı tasarruflarındaki düşüşün</w:t>
      </w:r>
      <w:r w:rsidR="00884F5B" w:rsidRPr="00884F5B">
        <w:rPr>
          <w:lang w:val="tr-TR"/>
        </w:rPr>
        <w:t xml:space="preserve"> esas olarak dayanıklı tüketim mallarına yapılan harcamaların gelir artışlarından çok daha hızlı artmasından kaynaklandığı</w:t>
      </w:r>
      <w:r w:rsidR="00417510">
        <w:rPr>
          <w:lang w:val="tr-TR"/>
        </w:rPr>
        <w:t xml:space="preserve"> </w:t>
      </w:r>
      <w:r w:rsidR="00E8128B">
        <w:rPr>
          <w:lang w:val="tr-TR"/>
        </w:rPr>
        <w:t>anl</w:t>
      </w:r>
      <w:r w:rsidR="0059211F">
        <w:rPr>
          <w:lang w:val="tr-TR"/>
        </w:rPr>
        <w:t>a</w:t>
      </w:r>
      <w:r w:rsidR="00E8128B">
        <w:rPr>
          <w:lang w:val="tr-TR"/>
        </w:rPr>
        <w:t>şılmaktadır</w:t>
      </w:r>
      <w:r w:rsidR="00884F5B" w:rsidRPr="00884F5B">
        <w:rPr>
          <w:lang w:val="tr-TR"/>
        </w:rPr>
        <w:t>.</w:t>
      </w:r>
      <w:r w:rsidR="00884F5B">
        <w:rPr>
          <w:lang w:val="tr-TR"/>
        </w:rPr>
        <w:t xml:space="preserve"> </w:t>
      </w:r>
    </w:p>
    <w:p w:rsidR="004963A8" w:rsidRDefault="004963A8" w:rsidP="004963A8">
      <w:pPr>
        <w:rPr>
          <w:lang w:val="tr-TR"/>
        </w:rPr>
      </w:pPr>
    </w:p>
    <w:p w:rsidR="00A43947" w:rsidRPr="00A43947" w:rsidRDefault="000F0FFB" w:rsidP="005C739A">
      <w:pPr>
        <w:rPr>
          <w:b/>
          <w:sz w:val="24"/>
          <w:szCs w:val="24"/>
          <w:lang w:val="tr-TR"/>
        </w:rPr>
      </w:pPr>
      <w:r w:rsidRPr="00791411">
        <w:rPr>
          <w:b/>
          <w:sz w:val="24"/>
          <w:szCs w:val="24"/>
          <w:lang w:val="tr-TR"/>
        </w:rPr>
        <w:t xml:space="preserve">Özel tasarruflarda </w:t>
      </w:r>
      <w:r w:rsidR="00642A96" w:rsidRPr="00791411">
        <w:rPr>
          <w:b/>
          <w:sz w:val="24"/>
          <w:szCs w:val="24"/>
          <w:lang w:val="tr-TR"/>
        </w:rPr>
        <w:t>hanehalkı kaynaklı büyük</w:t>
      </w:r>
      <w:r w:rsidRPr="00791411">
        <w:rPr>
          <w:b/>
          <w:sz w:val="24"/>
          <w:szCs w:val="24"/>
          <w:lang w:val="tr-TR"/>
        </w:rPr>
        <w:t xml:space="preserve"> düşüş</w:t>
      </w:r>
    </w:p>
    <w:p w:rsidR="00806C5C" w:rsidRDefault="003B2801" w:rsidP="003B2801">
      <w:pPr>
        <w:rPr>
          <w:lang w:val="tr-TR"/>
        </w:rPr>
      </w:pPr>
      <w:r w:rsidRPr="001A73E9">
        <w:rPr>
          <w:lang w:val="tr-TR"/>
        </w:rPr>
        <w:t xml:space="preserve">Bu araştırma notunda </w:t>
      </w:r>
      <w:r w:rsidR="00EE729E" w:rsidRPr="001A73E9">
        <w:rPr>
          <w:lang w:val="tr-TR"/>
        </w:rPr>
        <w:t xml:space="preserve">hanehalkı </w:t>
      </w:r>
      <w:r w:rsidRPr="001A73E9">
        <w:rPr>
          <w:lang w:val="tr-TR"/>
        </w:rPr>
        <w:t xml:space="preserve">tasarruf oranlarının 2003-2014 dönemindeki değişimi </w:t>
      </w:r>
      <w:r w:rsidR="00EE729E" w:rsidRPr="001A73E9">
        <w:rPr>
          <w:lang w:val="tr-TR"/>
        </w:rPr>
        <w:t xml:space="preserve">Hanehalkı Bütçe Anketi (HBA) mikro verileri kullanılarak </w:t>
      </w:r>
      <w:r w:rsidRPr="001A73E9">
        <w:rPr>
          <w:lang w:val="tr-TR"/>
        </w:rPr>
        <w:t>incelenmektedir.</w:t>
      </w:r>
      <w:r w:rsidR="001E5CED" w:rsidRPr="009D727E">
        <w:rPr>
          <w:lang w:val="tr-TR"/>
        </w:rPr>
        <w:t xml:space="preserve"> </w:t>
      </w:r>
      <w:r w:rsidR="00AE0040" w:rsidRPr="001E5CED">
        <w:rPr>
          <w:lang w:val="tr-TR"/>
        </w:rPr>
        <w:t>Hanehalkı</w:t>
      </w:r>
      <w:r w:rsidR="00AE0040">
        <w:rPr>
          <w:lang w:val="tr-TR"/>
        </w:rPr>
        <w:t xml:space="preserve"> Bütçe Anketleri doğrudan tasarruflara ilişkin veri içermemektedir</w:t>
      </w:r>
      <w:r w:rsidR="00AE0040" w:rsidRPr="00AE44A8">
        <w:rPr>
          <w:lang w:val="tr-TR"/>
        </w:rPr>
        <w:t xml:space="preserve">. Bu </w:t>
      </w:r>
      <w:r w:rsidR="00606056" w:rsidRPr="00AE44A8">
        <w:rPr>
          <w:lang w:val="tr-TR"/>
        </w:rPr>
        <w:t>nedenle</w:t>
      </w:r>
      <w:r w:rsidR="00AE0040" w:rsidRPr="00AE44A8">
        <w:rPr>
          <w:lang w:val="tr-TR"/>
        </w:rPr>
        <w:t xml:space="preserve"> ekonomi yazınında sıklıkla kullanılan tanımlar doğrultusunda </w:t>
      </w:r>
      <w:r w:rsidR="004728F1" w:rsidRPr="00AE44A8">
        <w:rPr>
          <w:lang w:val="tr-TR"/>
        </w:rPr>
        <w:t xml:space="preserve">hane </w:t>
      </w:r>
      <w:r w:rsidR="00AE0040" w:rsidRPr="00AE44A8">
        <w:rPr>
          <w:lang w:val="tr-TR"/>
        </w:rPr>
        <w:t>tasarruf</w:t>
      </w:r>
      <w:r w:rsidR="004728F1" w:rsidRPr="00AE44A8">
        <w:rPr>
          <w:lang w:val="tr-TR"/>
        </w:rPr>
        <w:t>u</w:t>
      </w:r>
      <w:r w:rsidR="00AE0040" w:rsidRPr="00AE44A8">
        <w:rPr>
          <w:lang w:val="tr-TR"/>
        </w:rPr>
        <w:t xml:space="preserve"> hane</w:t>
      </w:r>
      <w:r w:rsidR="004728F1" w:rsidRPr="00AE44A8">
        <w:rPr>
          <w:lang w:val="tr-TR"/>
        </w:rPr>
        <w:t>n</w:t>
      </w:r>
      <w:r w:rsidR="00C4481D" w:rsidRPr="00AE44A8">
        <w:rPr>
          <w:lang w:val="tr-TR"/>
        </w:rPr>
        <w:t>in harcanabilir</w:t>
      </w:r>
      <w:r w:rsidR="00AE0040" w:rsidRPr="00AE44A8">
        <w:rPr>
          <w:lang w:val="tr-TR"/>
        </w:rPr>
        <w:t xml:space="preserve"> geliri ile </w:t>
      </w:r>
      <w:r w:rsidR="00C4481D" w:rsidRPr="00AE44A8">
        <w:rPr>
          <w:lang w:val="tr-TR"/>
        </w:rPr>
        <w:t>harcama</w:t>
      </w:r>
      <w:r w:rsidR="004728F1" w:rsidRPr="00AE44A8">
        <w:rPr>
          <w:lang w:val="tr-TR"/>
        </w:rPr>
        <w:t>s</w:t>
      </w:r>
      <w:r w:rsidR="00C4481D" w:rsidRPr="00AE44A8">
        <w:rPr>
          <w:lang w:val="tr-TR"/>
        </w:rPr>
        <w:t>ı arasındaki fark</w:t>
      </w:r>
      <w:r w:rsidR="001E5CED" w:rsidRPr="00AE44A8">
        <w:rPr>
          <w:lang w:val="tr-TR"/>
        </w:rPr>
        <w:t xml:space="preserve"> hesaplanmış ve bu t</w:t>
      </w:r>
      <w:r w:rsidR="004728F1" w:rsidRPr="00AE44A8">
        <w:rPr>
          <w:lang w:val="tr-TR"/>
        </w:rPr>
        <w:t>asarruf miktarının</w:t>
      </w:r>
      <w:r w:rsidR="001C5C48" w:rsidRPr="00AE44A8">
        <w:rPr>
          <w:lang w:val="tr-TR"/>
        </w:rPr>
        <w:t xml:space="preserve"> kullanılabilir hane ge</w:t>
      </w:r>
      <w:r w:rsidR="004728F1" w:rsidRPr="00AE44A8">
        <w:rPr>
          <w:lang w:val="tr-TR"/>
        </w:rPr>
        <w:t>lirine bölünmesiyle de her bir hanenin</w:t>
      </w:r>
      <w:r w:rsidR="001C5C48" w:rsidRPr="00AE44A8">
        <w:rPr>
          <w:lang w:val="tr-TR"/>
        </w:rPr>
        <w:t xml:space="preserve"> tasarruf oranı hesaplanm</w:t>
      </w:r>
      <w:r w:rsidR="001E5CED" w:rsidRPr="00AE44A8">
        <w:rPr>
          <w:lang w:val="tr-TR"/>
        </w:rPr>
        <w:t>ışt</w:t>
      </w:r>
      <w:r w:rsidR="001C5C48" w:rsidRPr="00AE44A8">
        <w:rPr>
          <w:lang w:val="tr-TR"/>
        </w:rPr>
        <w:t xml:space="preserve">ır. </w:t>
      </w:r>
      <w:r w:rsidR="001E5CED" w:rsidRPr="00AE44A8">
        <w:rPr>
          <w:lang w:val="tr-TR"/>
        </w:rPr>
        <w:t xml:space="preserve">Türkiye için ortalama bir tasarruf oranı hesaplamak </w:t>
      </w:r>
      <w:r w:rsidR="00695232">
        <w:rPr>
          <w:lang w:val="tr-TR"/>
        </w:rPr>
        <w:t xml:space="preserve">amacıyla </w:t>
      </w:r>
      <w:r w:rsidR="004728F1" w:rsidRPr="00AE44A8">
        <w:rPr>
          <w:lang w:val="tr-TR"/>
        </w:rPr>
        <w:t xml:space="preserve">hesaplanan </w:t>
      </w:r>
      <w:r w:rsidR="00F03160">
        <w:rPr>
          <w:lang w:val="tr-TR"/>
        </w:rPr>
        <w:t xml:space="preserve">hanehalkı </w:t>
      </w:r>
      <w:r w:rsidR="001C5C48" w:rsidRPr="00AE44A8">
        <w:rPr>
          <w:lang w:val="tr-TR"/>
        </w:rPr>
        <w:t>tasarruf oran</w:t>
      </w:r>
      <w:r w:rsidR="00F03160">
        <w:rPr>
          <w:lang w:val="tr-TR"/>
        </w:rPr>
        <w:t>ları</w:t>
      </w:r>
      <w:r w:rsidR="001C5C48" w:rsidRPr="00AE44A8">
        <w:rPr>
          <w:lang w:val="tr-TR"/>
        </w:rPr>
        <w:t xml:space="preserve">, </w:t>
      </w:r>
      <w:r w:rsidR="00F03160">
        <w:rPr>
          <w:lang w:val="tr-TR"/>
        </w:rPr>
        <w:t>hanelerin</w:t>
      </w:r>
      <w:r w:rsidR="001C5C48" w:rsidRPr="00AE44A8">
        <w:rPr>
          <w:lang w:val="tr-TR"/>
        </w:rPr>
        <w:t xml:space="preserve"> gelirine göre </w:t>
      </w:r>
      <w:r w:rsidR="000D117F">
        <w:rPr>
          <w:lang w:val="tr-TR"/>
        </w:rPr>
        <w:t>ağırl</w:t>
      </w:r>
      <w:r w:rsidR="0082137A">
        <w:rPr>
          <w:lang w:val="tr-TR"/>
        </w:rPr>
        <w:t>ıklı</w:t>
      </w:r>
      <w:r w:rsidR="00D1609C">
        <w:rPr>
          <w:lang w:val="tr-TR"/>
        </w:rPr>
        <w:t xml:space="preserve"> ortalaması alınmıştır</w:t>
      </w:r>
      <w:r w:rsidR="00022414" w:rsidRPr="00695232">
        <w:rPr>
          <w:rStyle w:val="FootnoteReference"/>
          <w:lang w:val="tr-TR"/>
        </w:rPr>
        <w:footnoteReference w:id="4"/>
      </w:r>
      <w:r w:rsidR="00AE0040" w:rsidRPr="00695232">
        <w:rPr>
          <w:lang w:val="tr-TR"/>
        </w:rPr>
        <w:t>.</w:t>
      </w:r>
    </w:p>
    <w:p w:rsidR="00D0512B" w:rsidRPr="001A73E9" w:rsidRDefault="00806C5C" w:rsidP="003B2801">
      <w:pPr>
        <w:rPr>
          <w:lang w:val="tr-TR"/>
        </w:rPr>
      </w:pPr>
      <w:r w:rsidRPr="00791411">
        <w:rPr>
          <w:lang w:val="tr-TR"/>
        </w:rPr>
        <w:t>Bilindiği gibi Türkiye’de özel tasarufları oluşturan hanehakı tasa</w:t>
      </w:r>
      <w:r w:rsidR="00791411" w:rsidRPr="00791411">
        <w:rPr>
          <w:lang w:val="tr-TR"/>
        </w:rPr>
        <w:t>r</w:t>
      </w:r>
      <w:r w:rsidRPr="00791411">
        <w:rPr>
          <w:lang w:val="tr-TR"/>
        </w:rPr>
        <w:t xml:space="preserve">rufları ile firma tasarrufları (temettü olarak dağıtılmayan net kâr) istatistiki olarak ayrıştırılamamaktadır. </w:t>
      </w:r>
      <w:r w:rsidR="00AE0040" w:rsidRPr="00791411">
        <w:rPr>
          <w:lang w:val="tr-TR"/>
        </w:rPr>
        <w:t xml:space="preserve"> </w:t>
      </w:r>
      <w:r w:rsidRPr="00791411">
        <w:rPr>
          <w:lang w:val="tr-TR"/>
        </w:rPr>
        <w:t>Kalkınma Bakanlığı dış açıktan yola çıkarak ilk adımda ulusal tasarruf miktarını hesaplamakta ardından da kamu kesimi hesaplarında verili olan kamu tasa</w:t>
      </w:r>
      <w:r w:rsidR="00791411" w:rsidRPr="00791411">
        <w:rPr>
          <w:lang w:val="tr-TR"/>
        </w:rPr>
        <w:t>r</w:t>
      </w:r>
      <w:r w:rsidRPr="00791411">
        <w:rPr>
          <w:lang w:val="tr-TR"/>
        </w:rPr>
        <w:t>ruf miktarını ulusal tasarruf miktarından çıkartarak özel tasarruf miktarını ve oranlarını belirle</w:t>
      </w:r>
      <w:r w:rsidR="00606056">
        <w:rPr>
          <w:lang w:val="tr-TR"/>
        </w:rPr>
        <w:t>mekte ve</w:t>
      </w:r>
      <w:r w:rsidRPr="00791411">
        <w:rPr>
          <w:lang w:val="tr-TR"/>
        </w:rPr>
        <w:t xml:space="preserve"> yıllık olarak yayınlamaktadır. </w:t>
      </w:r>
      <w:r w:rsidR="00732F77">
        <w:rPr>
          <w:lang w:val="tr-TR"/>
        </w:rPr>
        <w:fldChar w:fldCharType="begin"/>
      </w:r>
      <w:r w:rsidR="00732F77">
        <w:rPr>
          <w:lang w:val="tr-TR"/>
        </w:rPr>
        <w:instrText xml:space="preserve"> REF _Ref460232338 \h </w:instrText>
      </w:r>
      <w:r w:rsidR="00732F77">
        <w:rPr>
          <w:lang w:val="tr-TR"/>
        </w:rPr>
      </w:r>
      <w:r w:rsidR="00732F77">
        <w:rPr>
          <w:lang w:val="tr-TR"/>
        </w:rPr>
        <w:fldChar w:fldCharType="separate"/>
      </w:r>
      <w:r w:rsidR="00732F77">
        <w:rPr>
          <w:lang w:val="tr-TR"/>
        </w:rPr>
        <w:t>Ş</w:t>
      </w:r>
      <w:r w:rsidR="00732F77" w:rsidRPr="00CA31E9">
        <w:rPr>
          <w:lang w:val="tr-TR"/>
        </w:rPr>
        <w:t xml:space="preserve">ekil </w:t>
      </w:r>
      <w:r w:rsidR="00732F77">
        <w:rPr>
          <w:lang w:val="tr-TR"/>
        </w:rPr>
        <w:t>1</w:t>
      </w:r>
      <w:r w:rsidR="00732F77">
        <w:rPr>
          <w:lang w:val="tr-TR"/>
        </w:rPr>
        <w:fldChar w:fldCharType="end"/>
      </w:r>
      <w:r w:rsidRPr="00791411">
        <w:rPr>
          <w:lang w:val="tr-TR"/>
        </w:rPr>
        <w:t>’de görüldüğü gibi özel tass</w:t>
      </w:r>
      <w:r w:rsidR="00791411" w:rsidRPr="00791411">
        <w:rPr>
          <w:lang w:val="tr-TR"/>
        </w:rPr>
        <w:t>a</w:t>
      </w:r>
      <w:r w:rsidRPr="00791411">
        <w:rPr>
          <w:lang w:val="tr-TR"/>
        </w:rPr>
        <w:t>r</w:t>
      </w:r>
      <w:r w:rsidR="00791411" w:rsidRPr="00791411">
        <w:rPr>
          <w:lang w:val="tr-TR"/>
        </w:rPr>
        <w:t xml:space="preserve">uf oranları </w:t>
      </w:r>
      <w:r w:rsidR="00606056">
        <w:rPr>
          <w:lang w:val="tr-TR"/>
        </w:rPr>
        <w:t xml:space="preserve">firma tasaruflarını da içerdiğinden </w:t>
      </w:r>
      <w:r w:rsidR="00791411" w:rsidRPr="00791411">
        <w:rPr>
          <w:lang w:val="tr-TR"/>
        </w:rPr>
        <w:t xml:space="preserve">HBA </w:t>
      </w:r>
      <w:r w:rsidRPr="00791411">
        <w:rPr>
          <w:lang w:val="tr-TR"/>
        </w:rPr>
        <w:t xml:space="preserve">verisinden </w:t>
      </w:r>
      <w:r w:rsidR="00A74D4F" w:rsidRPr="00791411">
        <w:rPr>
          <w:lang w:val="tr-TR"/>
        </w:rPr>
        <w:t xml:space="preserve">hesaplanan hanehalkı tasarruf oranlarının doğal </w:t>
      </w:r>
      <w:r w:rsidR="00A74D4F" w:rsidRPr="00791411">
        <w:rPr>
          <w:lang w:val="tr-TR"/>
        </w:rPr>
        <w:lastRenderedPageBreak/>
        <w:t>o</w:t>
      </w:r>
      <w:r w:rsidR="00791411" w:rsidRPr="00791411">
        <w:rPr>
          <w:lang w:val="tr-TR"/>
        </w:rPr>
        <w:t>larak üzerindedir. Ancak aradaki</w:t>
      </w:r>
      <w:r w:rsidR="00A74D4F" w:rsidRPr="00791411">
        <w:rPr>
          <w:lang w:val="tr-TR"/>
        </w:rPr>
        <w:t xml:space="preserve"> fark firma tasarruf oranlarını doğrudan tahmini olarak kabul edilmemektedir. Bununla birlikte </w:t>
      </w:r>
      <w:r w:rsidR="00334A0E">
        <w:rPr>
          <w:lang w:val="tr-TR"/>
        </w:rPr>
        <w:t xml:space="preserve">tasarruflardaki </w:t>
      </w:r>
      <w:r w:rsidR="00A74D4F" w:rsidRPr="00791411">
        <w:rPr>
          <w:lang w:val="tr-TR"/>
        </w:rPr>
        <w:t>genel düşüş eğilimi gerek makroekonomik düzeyde artık olarak hesaplanan özel tasarruflarda gerek</w:t>
      </w:r>
      <w:r w:rsidR="00D0512B" w:rsidRPr="00791411">
        <w:rPr>
          <w:lang w:val="tr-TR"/>
        </w:rPr>
        <w:t>se</w:t>
      </w:r>
      <w:r w:rsidR="00A74D4F" w:rsidRPr="00791411">
        <w:rPr>
          <w:lang w:val="tr-TR"/>
        </w:rPr>
        <w:t xml:space="preserve"> HBA verilerinden hesapla</w:t>
      </w:r>
      <w:r w:rsidR="00D30ED3">
        <w:rPr>
          <w:lang w:val="tr-TR"/>
        </w:rPr>
        <w:t>dığımız</w:t>
      </w:r>
      <w:r w:rsidR="00A74D4F" w:rsidRPr="00791411">
        <w:rPr>
          <w:lang w:val="tr-TR"/>
        </w:rPr>
        <w:t xml:space="preserve"> hanehalkı tasarruf oranlarında </w:t>
      </w:r>
      <w:r w:rsidR="00A74D4F" w:rsidRPr="001A73E9">
        <w:rPr>
          <w:lang w:val="tr-TR"/>
        </w:rPr>
        <w:t xml:space="preserve">gözlemlenmektedir. 2003 yılında yüzde 19,6 olan özel tasarruf oranı son yıllarda yüzde 10 civarına kadar düşmüş, yüzde 13,7 olarak hesapladığımız hanehalkı tasarruf oranı da aynı dönemde yüzde 5 civarına gerilemiştir. </w:t>
      </w:r>
    </w:p>
    <w:p w:rsidR="00AE0040" w:rsidRDefault="007E317A" w:rsidP="003B2801">
      <w:pPr>
        <w:rPr>
          <w:lang w:val="tr-TR"/>
        </w:rPr>
      </w:pPr>
      <w:r w:rsidRPr="001A73E9">
        <w:rPr>
          <w:lang w:val="tr-TR"/>
        </w:rPr>
        <w:t>Bu veriler çerçevesinde d</w:t>
      </w:r>
      <w:r w:rsidR="00D0512B" w:rsidRPr="001A73E9">
        <w:rPr>
          <w:lang w:val="tr-TR"/>
        </w:rPr>
        <w:t xml:space="preserve">ış açığı yüksek düzeyde tutarak yatırımlara kısıt oluşturması bakımından Türkiye ekonomisinin </w:t>
      </w:r>
      <w:r w:rsidR="004F45ED" w:rsidRPr="001A73E9">
        <w:rPr>
          <w:lang w:val="tr-TR"/>
        </w:rPr>
        <w:t xml:space="preserve">başlıca yapısal sorunları arasında sayılan tassarruf yetersizliğinin büyük ölçüde hanehalkı tasarruflarındaki düşüşten kaynaklandığı söylenebilir. </w:t>
      </w:r>
      <w:r w:rsidR="00A74D4F" w:rsidRPr="001A73E9">
        <w:rPr>
          <w:lang w:val="tr-TR"/>
        </w:rPr>
        <w:t xml:space="preserve"> </w:t>
      </w:r>
      <w:r w:rsidR="00106A13">
        <w:rPr>
          <w:lang w:val="tr-TR"/>
        </w:rPr>
        <w:t>Bu z</w:t>
      </w:r>
      <w:r w:rsidR="00813F05" w:rsidRPr="001A73E9">
        <w:rPr>
          <w:lang w:val="tr-TR"/>
        </w:rPr>
        <w:t>afiyetin nedenlerinin araştırılması</w:t>
      </w:r>
      <w:r w:rsidR="00A74D4F" w:rsidRPr="001A73E9">
        <w:rPr>
          <w:lang w:val="tr-TR"/>
        </w:rPr>
        <w:t xml:space="preserve"> </w:t>
      </w:r>
      <w:r w:rsidR="00813F05" w:rsidRPr="001A73E9">
        <w:rPr>
          <w:lang w:val="tr-TR"/>
        </w:rPr>
        <w:t>bu bağlamda önem kazanmaktadır.</w:t>
      </w:r>
    </w:p>
    <w:p w:rsidR="00933864" w:rsidRDefault="00791411" w:rsidP="00BA2250">
      <w:pPr>
        <w:pStyle w:val="Caption"/>
        <w:keepNext/>
        <w:rPr>
          <w:rFonts w:cs="Arial"/>
          <w:sz w:val="20"/>
          <w:szCs w:val="20"/>
          <w:lang w:val="tr-TR"/>
        </w:rPr>
      </w:pPr>
      <w:bookmarkStart w:id="1" w:name="_Ref460232338"/>
      <w:r>
        <w:rPr>
          <w:color w:val="auto"/>
          <w:sz w:val="22"/>
          <w:szCs w:val="22"/>
          <w:lang w:val="tr-TR"/>
        </w:rPr>
        <w:t>Ş</w:t>
      </w:r>
      <w:r w:rsidR="00933864" w:rsidRPr="00CA31E9">
        <w:rPr>
          <w:color w:val="auto"/>
          <w:sz w:val="22"/>
          <w:szCs w:val="22"/>
          <w:lang w:val="tr-TR"/>
        </w:rPr>
        <w:t xml:space="preserve">ekil </w:t>
      </w:r>
      <w:r w:rsidR="0080097F" w:rsidRPr="00CA31E9">
        <w:rPr>
          <w:color w:val="auto"/>
          <w:sz w:val="22"/>
          <w:szCs w:val="22"/>
          <w:lang w:val="tr-TR"/>
        </w:rPr>
        <w:fldChar w:fldCharType="begin"/>
      </w:r>
      <w:r w:rsidR="00081F3D" w:rsidRPr="00CA31E9">
        <w:rPr>
          <w:color w:val="auto"/>
          <w:sz w:val="22"/>
          <w:szCs w:val="22"/>
          <w:lang w:val="tr-TR"/>
        </w:rPr>
        <w:instrText xml:space="preserve"> SEQ Şekil \* ARABIC </w:instrText>
      </w:r>
      <w:r w:rsidR="0080097F" w:rsidRPr="00CA31E9">
        <w:rPr>
          <w:color w:val="auto"/>
          <w:sz w:val="22"/>
          <w:szCs w:val="22"/>
          <w:lang w:val="tr-TR"/>
        </w:rPr>
        <w:fldChar w:fldCharType="separate"/>
      </w:r>
      <w:r w:rsidR="00261E94">
        <w:rPr>
          <w:color w:val="auto"/>
          <w:sz w:val="22"/>
          <w:szCs w:val="22"/>
          <w:lang w:val="tr-TR"/>
        </w:rPr>
        <w:t>1</w:t>
      </w:r>
      <w:r w:rsidR="0080097F" w:rsidRPr="00CA31E9">
        <w:rPr>
          <w:color w:val="auto"/>
          <w:sz w:val="22"/>
          <w:szCs w:val="22"/>
          <w:lang w:val="tr-TR"/>
        </w:rPr>
        <w:fldChar w:fldCharType="end"/>
      </w:r>
      <w:bookmarkEnd w:id="1"/>
      <w:r w:rsidR="00933864" w:rsidRPr="00CA31E9">
        <w:rPr>
          <w:color w:val="auto"/>
          <w:sz w:val="22"/>
          <w:szCs w:val="22"/>
          <w:lang w:val="tr-TR"/>
        </w:rPr>
        <w:t xml:space="preserve"> 2003-2014 dönemi hanehalkı tasarruf oranları ve özel </w:t>
      </w:r>
      <w:r w:rsidR="005C739A">
        <w:rPr>
          <w:color w:val="auto"/>
          <w:sz w:val="22"/>
          <w:szCs w:val="22"/>
          <w:lang w:val="tr-TR"/>
        </w:rPr>
        <w:t>tasarrufların</w:t>
      </w:r>
      <w:r w:rsidR="00933864" w:rsidRPr="00CA31E9">
        <w:rPr>
          <w:color w:val="auto"/>
          <w:sz w:val="22"/>
          <w:szCs w:val="22"/>
          <w:lang w:val="tr-TR"/>
        </w:rPr>
        <w:t xml:space="preserve"> GSYH içindeki payı</w:t>
      </w:r>
      <w:r w:rsidR="00A25072" w:rsidRPr="00A25072">
        <w:rPr>
          <w:lang w:val="tr-TR" w:eastAsia="tr-TR"/>
        </w:rPr>
        <w:drawing>
          <wp:inline distT="0" distB="0" distL="0" distR="0">
            <wp:extent cx="5760720" cy="2566549"/>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03B7E" w:rsidRPr="00BA2250">
        <w:rPr>
          <w:rFonts w:cs="Arial"/>
          <w:b w:val="0"/>
          <w:color w:val="auto"/>
          <w:sz w:val="20"/>
          <w:szCs w:val="20"/>
          <w:lang w:val="tr-TR"/>
        </w:rPr>
        <w:t xml:space="preserve">Kaynak: </w:t>
      </w:r>
      <w:r w:rsidR="008023D6" w:rsidRPr="00BA2250">
        <w:rPr>
          <w:rFonts w:cs="Arial"/>
          <w:b w:val="0"/>
          <w:color w:val="auto"/>
          <w:sz w:val="20"/>
          <w:szCs w:val="20"/>
          <w:lang w:val="tr-TR"/>
        </w:rPr>
        <w:t xml:space="preserve">2003-2014 </w:t>
      </w:r>
      <w:r w:rsidR="00103B7E" w:rsidRPr="00BA2250">
        <w:rPr>
          <w:rFonts w:cs="Arial"/>
          <w:b w:val="0"/>
          <w:color w:val="auto"/>
          <w:sz w:val="20"/>
          <w:szCs w:val="20"/>
          <w:lang w:val="tr-TR"/>
        </w:rPr>
        <w:t>Hanehalkı Bütçe Anketi kesit mikro verisetleri</w:t>
      </w:r>
      <w:r w:rsidR="008D7E43" w:rsidRPr="00BA2250">
        <w:rPr>
          <w:rFonts w:cs="Arial"/>
          <w:b w:val="0"/>
          <w:color w:val="auto"/>
          <w:sz w:val="20"/>
          <w:szCs w:val="20"/>
          <w:lang w:val="tr-TR"/>
        </w:rPr>
        <w:t>; Betam hesaplamaları</w:t>
      </w:r>
      <w:r w:rsidR="00103B7E" w:rsidRPr="00BA2250">
        <w:rPr>
          <w:rFonts w:cs="Arial"/>
          <w:b w:val="0"/>
          <w:color w:val="auto"/>
          <w:sz w:val="20"/>
          <w:szCs w:val="20"/>
          <w:lang w:val="tr-TR"/>
        </w:rPr>
        <w:t>, Kalkınma Bakanlığı İstatistikleri</w:t>
      </w:r>
      <w:r w:rsidR="00103B7E" w:rsidRPr="00EB792A">
        <w:rPr>
          <w:rFonts w:cs="Arial"/>
          <w:sz w:val="20"/>
          <w:szCs w:val="20"/>
          <w:lang w:val="tr-TR"/>
        </w:rPr>
        <w:t xml:space="preserve"> </w:t>
      </w:r>
    </w:p>
    <w:p w:rsidR="002F5425" w:rsidRPr="00EB792A" w:rsidRDefault="002F5425" w:rsidP="00103B7E">
      <w:pPr>
        <w:spacing w:after="0" w:line="240" w:lineRule="auto"/>
        <w:rPr>
          <w:rFonts w:cs="Arial"/>
          <w:sz w:val="20"/>
          <w:szCs w:val="20"/>
          <w:lang w:val="tr-TR"/>
        </w:rPr>
      </w:pPr>
    </w:p>
    <w:p w:rsidR="00383AB0" w:rsidRPr="00383AB0" w:rsidRDefault="00235DD5" w:rsidP="00933864">
      <w:pPr>
        <w:rPr>
          <w:b/>
          <w:sz w:val="24"/>
          <w:szCs w:val="24"/>
          <w:lang w:val="tr-TR"/>
        </w:rPr>
      </w:pPr>
      <w:r w:rsidRPr="00791411">
        <w:rPr>
          <w:b/>
          <w:sz w:val="24"/>
          <w:szCs w:val="24"/>
          <w:lang w:val="tr-TR"/>
        </w:rPr>
        <w:t>Hanelerin yaklaşık yarısı tasarruf yapmıyor ya da yapamıyor</w:t>
      </w:r>
    </w:p>
    <w:p w:rsidR="004C6E41" w:rsidRDefault="006557E7" w:rsidP="00E3724C">
      <w:pPr>
        <w:rPr>
          <w:lang w:val="tr-TR"/>
        </w:rPr>
      </w:pPr>
      <w:r w:rsidRPr="001A73E9">
        <w:rPr>
          <w:lang w:val="tr-TR"/>
        </w:rPr>
        <w:t>Hanehalkı düşük tasarruf oranları</w:t>
      </w:r>
      <w:r w:rsidR="00EA77C7" w:rsidRPr="001A73E9">
        <w:rPr>
          <w:lang w:val="tr-TR"/>
        </w:rPr>
        <w:t xml:space="preserve"> hanelerin kullanılabilir gelirlerinin küçük bir kısmını tasarruf etmelerinden kaynaklanabileceği gibi az sayıda hanenin tasarrruf edebilmesinden de kaynaklan</w:t>
      </w:r>
      <w:r w:rsidR="00103768" w:rsidRPr="001A73E9">
        <w:rPr>
          <w:lang w:val="tr-TR"/>
        </w:rPr>
        <w:t>maktadır</w:t>
      </w:r>
      <w:r w:rsidR="00EA77C7" w:rsidRPr="001A73E9">
        <w:rPr>
          <w:lang w:val="tr-TR"/>
        </w:rPr>
        <w:t>. Bu iki durum arasındaki farkı</w:t>
      </w:r>
      <w:r w:rsidR="00383AB0" w:rsidRPr="001A73E9">
        <w:rPr>
          <w:lang w:val="tr-TR"/>
        </w:rPr>
        <w:t xml:space="preserve"> incelemek amacıyla </w:t>
      </w:r>
      <w:r w:rsidR="007B358A" w:rsidRPr="001A73E9">
        <w:fldChar w:fldCharType="begin"/>
      </w:r>
      <w:r w:rsidR="007B358A" w:rsidRPr="001A73E9">
        <w:rPr>
          <w:lang w:val="tr-TR"/>
        </w:rPr>
        <w:instrText xml:space="preserve"> REF _Ref460232390 \h  \* MERGEFORMAT </w:instrText>
      </w:r>
      <w:r w:rsidR="007B358A" w:rsidRPr="001A73E9">
        <w:fldChar w:fldCharType="separate"/>
      </w:r>
      <w:r w:rsidR="00383AB0" w:rsidRPr="001A73E9">
        <w:rPr>
          <w:lang w:val="tr-TR"/>
        </w:rPr>
        <w:t>Tablo 1</w:t>
      </w:r>
      <w:r w:rsidR="007B358A" w:rsidRPr="001A73E9">
        <w:fldChar w:fldCharType="end"/>
      </w:r>
      <w:r w:rsidR="00383AB0" w:rsidRPr="001A73E9">
        <w:rPr>
          <w:lang w:val="tr-TR"/>
        </w:rPr>
        <w:t>’de tasarruf edebilme sıklığı incelenmiştir. Tablo</w:t>
      </w:r>
      <w:r w:rsidR="00103768" w:rsidRPr="001A73E9">
        <w:rPr>
          <w:lang w:val="tr-TR"/>
        </w:rPr>
        <w:t>da</w:t>
      </w:r>
      <w:r w:rsidR="00383AB0" w:rsidRPr="001A73E9">
        <w:rPr>
          <w:lang w:val="tr-TR"/>
        </w:rPr>
        <w:t xml:space="preserve">  </w:t>
      </w:r>
      <w:r w:rsidR="004B2EBD" w:rsidRPr="001A73E9">
        <w:rPr>
          <w:lang w:val="tr-TR"/>
        </w:rPr>
        <w:t xml:space="preserve">tasarruf edebilen </w:t>
      </w:r>
      <w:r w:rsidR="00D17424" w:rsidRPr="001A73E9">
        <w:rPr>
          <w:lang w:val="tr-TR"/>
        </w:rPr>
        <w:t xml:space="preserve">(aylık ortalama gelirlerinin aylık harcamalarına denk veya daha yüksek olan) </w:t>
      </w:r>
      <w:r w:rsidR="00103768" w:rsidRPr="001A73E9">
        <w:rPr>
          <w:lang w:val="tr-TR"/>
        </w:rPr>
        <w:t>haneler ile</w:t>
      </w:r>
      <w:r w:rsidR="00D17424" w:rsidRPr="001A73E9">
        <w:rPr>
          <w:lang w:val="tr-TR"/>
        </w:rPr>
        <w:t xml:space="preserve"> tasarruf edemeyen (aylık harcamaların aylık ortalama gelirlerinden fazla olan) haneleri</w:t>
      </w:r>
      <w:r w:rsidR="00103768" w:rsidRPr="001A73E9">
        <w:rPr>
          <w:lang w:val="tr-TR"/>
        </w:rPr>
        <w:t>n sayı ve payları</w:t>
      </w:r>
      <w:r w:rsidR="00E3724C" w:rsidRPr="001A73E9">
        <w:rPr>
          <w:lang w:val="tr-TR"/>
        </w:rPr>
        <w:t xml:space="preserve"> </w:t>
      </w:r>
      <w:r w:rsidRPr="001A73E9">
        <w:rPr>
          <w:lang w:val="tr-TR"/>
        </w:rPr>
        <w:t>göster</w:t>
      </w:r>
      <w:r w:rsidR="00103768" w:rsidRPr="001A73E9">
        <w:rPr>
          <w:lang w:val="tr-TR"/>
        </w:rPr>
        <w:t>il</w:t>
      </w:r>
      <w:r w:rsidRPr="001A73E9">
        <w:rPr>
          <w:lang w:val="tr-TR"/>
        </w:rPr>
        <w:t>mektedir</w:t>
      </w:r>
      <w:r w:rsidR="00E3724C" w:rsidRPr="001A73E9">
        <w:rPr>
          <w:lang w:val="tr-TR"/>
        </w:rPr>
        <w:t xml:space="preserve">. Veriler tasarruf etmeyen ya da edemeyen hanelerin payının oldukça yüksek olduğunu </w:t>
      </w:r>
      <w:r w:rsidR="00383AB0" w:rsidRPr="001A73E9">
        <w:rPr>
          <w:lang w:val="tr-TR"/>
        </w:rPr>
        <w:t xml:space="preserve">göstermektedir. </w:t>
      </w:r>
      <w:r w:rsidR="00193E69" w:rsidRPr="001A73E9">
        <w:rPr>
          <w:lang w:val="tr-TR"/>
        </w:rPr>
        <w:t xml:space="preserve">Tasarruf </w:t>
      </w:r>
      <w:r w:rsidR="00174DAD" w:rsidRPr="001A73E9">
        <w:rPr>
          <w:lang w:val="tr-TR"/>
        </w:rPr>
        <w:t>etmeyen hanelerin oranı 2003 ile 2007 yılları arasında yüzde 40 civarında seyretmiş, 2008 yılından itibaren ise bir sıçrama kaydederek yüzde 4</w:t>
      </w:r>
      <w:r w:rsidR="009D4153" w:rsidRPr="001A73E9">
        <w:rPr>
          <w:lang w:val="tr-TR"/>
        </w:rPr>
        <w:t>8’e yaklaşmıştır</w:t>
      </w:r>
      <w:r w:rsidR="00174DAD" w:rsidRPr="001A73E9">
        <w:rPr>
          <w:lang w:val="tr-TR"/>
        </w:rPr>
        <w:t xml:space="preserve">. </w:t>
      </w:r>
      <w:r w:rsidR="004C6E41" w:rsidRPr="001A73E9">
        <w:rPr>
          <w:lang w:val="tr-TR"/>
        </w:rPr>
        <w:t>Küresel ekonomik krizin Türkiye’ye yansıması sonucu işsizliğin artması ve gelirlerin düşmesi sonucu bu beklenen</w:t>
      </w:r>
      <w:r w:rsidR="004C6E41">
        <w:rPr>
          <w:lang w:val="tr-TR"/>
        </w:rPr>
        <w:t xml:space="preserve"> bir gelişme olabilir. Ancak 2014 yılında hanelerin yüzde 44’ünün hala tasarruf etmiyor ya da edemiyor olması </w:t>
      </w:r>
      <w:r w:rsidR="009D4153">
        <w:rPr>
          <w:lang w:val="tr-TR"/>
        </w:rPr>
        <w:t>dönem başlangıcına kıyasla tasarruf etmeyen hane sayısının arttığını göstermektedir</w:t>
      </w:r>
      <w:r w:rsidR="00A329DB">
        <w:rPr>
          <w:lang w:val="tr-TR"/>
        </w:rPr>
        <w:t>.</w:t>
      </w:r>
    </w:p>
    <w:p w:rsidR="00080BCC" w:rsidRDefault="00080BCC" w:rsidP="00080BCC">
      <w:pPr>
        <w:rPr>
          <w:lang w:val="tr-TR"/>
        </w:rPr>
      </w:pPr>
      <w:r w:rsidRPr="001A73E9">
        <w:rPr>
          <w:lang w:val="tr-TR"/>
        </w:rPr>
        <w:t xml:space="preserve">Hanehalkı tasarruf oranlarındaki düşüşün diğer nedeni ise tasarruf yapa(bile)n hanelerin de tasarruf oranlarının azalmasıdır. </w:t>
      </w:r>
      <w:r>
        <w:rPr>
          <w:lang w:val="tr-TR"/>
        </w:rPr>
        <w:fldChar w:fldCharType="begin"/>
      </w:r>
      <w:r>
        <w:rPr>
          <w:lang w:val="tr-TR"/>
        </w:rPr>
        <w:instrText xml:space="preserve"> REF _Ref461010920 \h </w:instrText>
      </w:r>
      <w:r>
        <w:rPr>
          <w:lang w:val="tr-TR"/>
        </w:rPr>
      </w:r>
      <w:r>
        <w:rPr>
          <w:lang w:val="tr-TR"/>
        </w:rPr>
        <w:fldChar w:fldCharType="separate"/>
      </w:r>
      <w:r w:rsidRPr="00606056">
        <w:rPr>
          <w:lang w:val="tr-TR"/>
        </w:rPr>
        <w:t xml:space="preserve">Şekil </w:t>
      </w:r>
      <w:r>
        <w:rPr>
          <w:lang w:val="tr-TR"/>
        </w:rPr>
        <w:t>2</w:t>
      </w:r>
      <w:r>
        <w:rPr>
          <w:lang w:val="tr-TR"/>
        </w:rPr>
        <w:fldChar w:fldCharType="end"/>
      </w:r>
      <w:r w:rsidRPr="001A73E9">
        <w:rPr>
          <w:lang w:val="tr-TR"/>
        </w:rPr>
        <w:t>’de tüm hanelerin tasarruf oranları (</w:t>
      </w:r>
      <w:r>
        <w:rPr>
          <w:lang w:val="tr-TR"/>
        </w:rPr>
        <w:fldChar w:fldCharType="begin"/>
      </w:r>
      <w:r>
        <w:rPr>
          <w:lang w:val="tr-TR"/>
        </w:rPr>
        <w:instrText xml:space="preserve"> REF _Ref460232338 \h </w:instrText>
      </w:r>
      <w:r>
        <w:rPr>
          <w:lang w:val="tr-TR"/>
        </w:rPr>
      </w:r>
      <w:r>
        <w:rPr>
          <w:lang w:val="tr-TR"/>
        </w:rPr>
        <w:fldChar w:fldCharType="separate"/>
      </w:r>
      <w:r>
        <w:rPr>
          <w:lang w:val="tr-TR"/>
        </w:rPr>
        <w:t>Ş</w:t>
      </w:r>
      <w:r w:rsidRPr="00CA31E9">
        <w:rPr>
          <w:lang w:val="tr-TR"/>
        </w:rPr>
        <w:t xml:space="preserve">ekil </w:t>
      </w:r>
      <w:r>
        <w:rPr>
          <w:lang w:val="tr-TR"/>
        </w:rPr>
        <w:t>1</w:t>
      </w:r>
      <w:r>
        <w:rPr>
          <w:lang w:val="tr-TR"/>
        </w:rPr>
        <w:fldChar w:fldCharType="end"/>
      </w:r>
      <w:r w:rsidRPr="001A73E9">
        <w:rPr>
          <w:lang w:val="tr-TR"/>
        </w:rPr>
        <w:t xml:space="preserve">) ile tasarrufta bulunan </w:t>
      </w:r>
      <w:r w:rsidRPr="001A73E9">
        <w:rPr>
          <w:lang w:val="tr-TR"/>
        </w:rPr>
        <w:lastRenderedPageBreak/>
        <w:t>hanelerin tasarruf oranları bir</w:t>
      </w:r>
      <w:r>
        <w:rPr>
          <w:lang w:val="tr-TR"/>
        </w:rPr>
        <w:t xml:space="preserve"> arada gösterilmektedir.</w:t>
      </w:r>
      <w:r w:rsidRPr="009C057A">
        <w:rPr>
          <w:lang w:val="tr-TR"/>
        </w:rPr>
        <w:t xml:space="preserve"> </w:t>
      </w:r>
      <w:r>
        <w:rPr>
          <w:lang w:val="tr-TR"/>
        </w:rPr>
        <w:t xml:space="preserve"> G</w:t>
      </w:r>
      <w:r w:rsidRPr="00544DD4">
        <w:rPr>
          <w:lang w:val="tr-TR"/>
        </w:rPr>
        <w:t>elirlerinin bir kısmını harcamayan/biriktiren hanelerin tasarruf oranları 2003’te yüzde 24 civarındayken 2010’da yüzde 18,9</w:t>
      </w:r>
      <w:r>
        <w:rPr>
          <w:lang w:val="tr-TR"/>
        </w:rPr>
        <w:t>’a kadar gerilemiş ardından</w:t>
      </w:r>
      <w:r w:rsidRPr="00544DD4">
        <w:rPr>
          <w:lang w:val="tr-TR"/>
        </w:rPr>
        <w:t xml:space="preserve"> </w:t>
      </w:r>
      <w:r>
        <w:rPr>
          <w:lang w:val="tr-TR"/>
        </w:rPr>
        <w:t>ılımlı</w:t>
      </w:r>
      <w:r w:rsidRPr="00544DD4">
        <w:rPr>
          <w:lang w:val="tr-TR"/>
        </w:rPr>
        <w:t xml:space="preserve"> bir yükselme eğilimine geçmesine rağmen 2014’te ancak yüzde 20,5’e ulaşmıştır. Diğer bir deyişle güncel  tasarruf oranı 2003’teki tasarruf oranın</w:t>
      </w:r>
      <w:r>
        <w:rPr>
          <w:lang w:val="tr-TR"/>
        </w:rPr>
        <w:t>ın</w:t>
      </w:r>
      <w:r w:rsidRPr="00544DD4">
        <w:rPr>
          <w:lang w:val="tr-TR"/>
        </w:rPr>
        <w:t xml:space="preserve"> hayli </w:t>
      </w:r>
      <w:r>
        <w:rPr>
          <w:lang w:val="tr-TR"/>
        </w:rPr>
        <w:t>altındadır</w:t>
      </w:r>
      <w:r w:rsidRPr="00544DD4">
        <w:rPr>
          <w:lang w:val="tr-TR"/>
        </w:rPr>
        <w:t>.</w:t>
      </w:r>
      <w:r>
        <w:rPr>
          <w:lang w:val="tr-TR"/>
        </w:rPr>
        <w:t xml:space="preserve"> </w:t>
      </w:r>
    </w:p>
    <w:p w:rsidR="00A43947" w:rsidRPr="00EB792A" w:rsidRDefault="00A43947" w:rsidP="00A43947">
      <w:pPr>
        <w:pStyle w:val="Caption"/>
        <w:keepNext/>
        <w:rPr>
          <w:color w:val="auto"/>
          <w:sz w:val="22"/>
          <w:szCs w:val="22"/>
          <w:lang w:val="tr-TR"/>
        </w:rPr>
      </w:pPr>
      <w:bookmarkStart w:id="2" w:name="_Ref460232390"/>
      <w:r w:rsidRPr="00EB792A">
        <w:rPr>
          <w:color w:val="auto"/>
          <w:sz w:val="22"/>
          <w:szCs w:val="22"/>
          <w:lang w:val="tr-TR"/>
        </w:rPr>
        <w:t xml:space="preserve">Tablo </w:t>
      </w:r>
      <w:r w:rsidR="0080097F" w:rsidRPr="00EB792A">
        <w:rPr>
          <w:color w:val="auto"/>
          <w:sz w:val="22"/>
          <w:szCs w:val="22"/>
          <w:lang w:val="tr-TR"/>
        </w:rPr>
        <w:fldChar w:fldCharType="begin"/>
      </w:r>
      <w:r w:rsidRPr="00EB792A">
        <w:rPr>
          <w:color w:val="auto"/>
          <w:sz w:val="22"/>
          <w:szCs w:val="22"/>
          <w:lang w:val="tr-TR"/>
        </w:rPr>
        <w:instrText xml:space="preserve"> SEQ Tablo \* ARABIC </w:instrText>
      </w:r>
      <w:r w:rsidR="0080097F" w:rsidRPr="00EB792A">
        <w:rPr>
          <w:color w:val="auto"/>
          <w:sz w:val="22"/>
          <w:szCs w:val="22"/>
          <w:lang w:val="tr-TR"/>
        </w:rPr>
        <w:fldChar w:fldCharType="separate"/>
      </w:r>
      <w:r>
        <w:rPr>
          <w:color w:val="auto"/>
          <w:sz w:val="22"/>
          <w:szCs w:val="22"/>
          <w:lang w:val="tr-TR"/>
        </w:rPr>
        <w:t>1</w:t>
      </w:r>
      <w:r w:rsidR="0080097F" w:rsidRPr="00EB792A">
        <w:rPr>
          <w:color w:val="auto"/>
          <w:sz w:val="22"/>
          <w:szCs w:val="22"/>
          <w:lang w:val="tr-TR"/>
        </w:rPr>
        <w:fldChar w:fldCharType="end"/>
      </w:r>
      <w:bookmarkEnd w:id="2"/>
      <w:r w:rsidRPr="00EB792A">
        <w:rPr>
          <w:color w:val="auto"/>
          <w:sz w:val="22"/>
          <w:szCs w:val="22"/>
          <w:lang w:val="tr-TR"/>
        </w:rPr>
        <w:t xml:space="preserve"> 2003-2014 dönemi aylık gelirlerin aylık ortalama harcamaya göre değerlendirmesi</w:t>
      </w:r>
    </w:p>
    <w:tbl>
      <w:tblPr>
        <w:tblW w:w="7034" w:type="dxa"/>
        <w:tblInd w:w="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2170"/>
        <w:gridCol w:w="990"/>
        <w:gridCol w:w="1012"/>
        <w:gridCol w:w="897"/>
        <w:gridCol w:w="1105"/>
        <w:gridCol w:w="860"/>
      </w:tblGrid>
      <w:tr w:rsidR="00A43947" w:rsidRPr="00EB792A" w:rsidTr="00770215">
        <w:trPr>
          <w:trHeight w:val="364"/>
        </w:trPr>
        <w:tc>
          <w:tcPr>
            <w:tcW w:w="2170" w:type="dxa"/>
            <w:shd w:val="clear" w:color="auto" w:fill="auto"/>
            <w:noWrap/>
            <w:vAlign w:val="bottom"/>
            <w:hideMark/>
          </w:tcPr>
          <w:p w:rsidR="00A43947" w:rsidRPr="00EB792A" w:rsidRDefault="00A43947" w:rsidP="00770215">
            <w:pPr>
              <w:spacing w:after="0" w:line="240" w:lineRule="auto"/>
              <w:rPr>
                <w:rFonts w:ascii="Calibri" w:eastAsia="Times New Roman" w:hAnsi="Calibri" w:cs="Times New Roman"/>
                <w:noProof w:val="0"/>
                <w:color w:val="000000"/>
                <w:lang w:val="tr-TR" w:eastAsia="tr-TR"/>
              </w:rPr>
            </w:pPr>
          </w:p>
        </w:tc>
        <w:tc>
          <w:tcPr>
            <w:tcW w:w="2002" w:type="dxa"/>
            <w:gridSpan w:val="2"/>
            <w:shd w:val="clear" w:color="auto" w:fill="auto"/>
            <w:noWrap/>
            <w:vAlign w:val="bottom"/>
            <w:hideMark/>
          </w:tcPr>
          <w:p w:rsidR="00A43947" w:rsidRPr="00EB792A" w:rsidRDefault="00A43947" w:rsidP="00770215">
            <w:pPr>
              <w:spacing w:after="0" w:line="240" w:lineRule="auto"/>
              <w:jc w:val="center"/>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Tasarruf edenler</w:t>
            </w:r>
          </w:p>
        </w:tc>
        <w:tc>
          <w:tcPr>
            <w:tcW w:w="2002" w:type="dxa"/>
            <w:gridSpan w:val="2"/>
            <w:shd w:val="clear" w:color="auto" w:fill="auto"/>
            <w:noWrap/>
            <w:vAlign w:val="bottom"/>
            <w:hideMark/>
          </w:tcPr>
          <w:p w:rsidR="00A43947" w:rsidRPr="00EB792A" w:rsidRDefault="00A43947" w:rsidP="00770215">
            <w:pPr>
              <w:spacing w:after="0" w:line="240" w:lineRule="auto"/>
              <w:jc w:val="center"/>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Tasarruf etmeyenler</w:t>
            </w:r>
          </w:p>
        </w:tc>
        <w:tc>
          <w:tcPr>
            <w:tcW w:w="860" w:type="dxa"/>
            <w:shd w:val="clear" w:color="auto" w:fill="auto"/>
            <w:noWrap/>
            <w:vAlign w:val="bottom"/>
            <w:hideMark/>
          </w:tcPr>
          <w:p w:rsidR="00A43947" w:rsidRPr="00EB792A" w:rsidRDefault="00A43947"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Toplam</w:t>
            </w:r>
          </w:p>
        </w:tc>
      </w:tr>
      <w:tr w:rsidR="00A43947" w:rsidRPr="00EB792A" w:rsidTr="00193E69">
        <w:trPr>
          <w:trHeight w:val="364"/>
        </w:trPr>
        <w:tc>
          <w:tcPr>
            <w:tcW w:w="2170" w:type="dxa"/>
            <w:shd w:val="clear" w:color="auto" w:fill="auto"/>
            <w:noWrap/>
            <w:vAlign w:val="bottom"/>
            <w:hideMark/>
          </w:tcPr>
          <w:p w:rsidR="00A43947" w:rsidRPr="00EB792A" w:rsidRDefault="00A43947" w:rsidP="00770215">
            <w:pPr>
              <w:spacing w:after="0" w:line="240" w:lineRule="auto"/>
              <w:rPr>
                <w:rFonts w:ascii="Calibri" w:eastAsia="Times New Roman" w:hAnsi="Calibri" w:cs="Times New Roman"/>
                <w:noProof w:val="0"/>
                <w:color w:val="000000"/>
                <w:lang w:val="tr-TR" w:eastAsia="tr-TR"/>
              </w:rPr>
            </w:pPr>
          </w:p>
        </w:tc>
        <w:tc>
          <w:tcPr>
            <w:tcW w:w="990" w:type="dxa"/>
            <w:shd w:val="clear" w:color="auto" w:fill="auto"/>
            <w:noWrap/>
            <w:vAlign w:val="bottom"/>
            <w:hideMark/>
          </w:tcPr>
          <w:p w:rsidR="00A43947" w:rsidRPr="00EB792A" w:rsidRDefault="00B276C3" w:rsidP="00770215">
            <w:pPr>
              <w:spacing w:after="0" w:line="240" w:lineRule="auto"/>
              <w:jc w:val="center"/>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Hane</w:t>
            </w:r>
            <w:r w:rsidR="00A43947">
              <w:rPr>
                <w:rFonts w:ascii="Calibri" w:eastAsia="Times New Roman" w:hAnsi="Calibri" w:cs="Times New Roman"/>
                <w:b/>
                <w:bCs/>
                <w:noProof w:val="0"/>
                <w:color w:val="000000"/>
                <w:lang w:val="tr-TR" w:eastAsia="tr-TR"/>
              </w:rPr>
              <w:t xml:space="preserve"> sayısı (000)</w:t>
            </w:r>
          </w:p>
        </w:tc>
        <w:tc>
          <w:tcPr>
            <w:tcW w:w="1012" w:type="dxa"/>
            <w:shd w:val="clear" w:color="auto" w:fill="auto"/>
            <w:noWrap/>
            <w:vAlign w:val="bottom"/>
            <w:hideMark/>
          </w:tcPr>
          <w:p w:rsidR="00A43947" w:rsidRPr="00EB792A" w:rsidRDefault="00A43947" w:rsidP="00770215">
            <w:pPr>
              <w:spacing w:after="0" w:line="240" w:lineRule="auto"/>
              <w:jc w:val="center"/>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Yüzde payı</w:t>
            </w:r>
            <w:r w:rsidR="00711BB0">
              <w:rPr>
                <w:rFonts w:ascii="Calibri" w:eastAsia="Times New Roman" w:hAnsi="Calibri" w:cs="Times New Roman"/>
                <w:b/>
                <w:bCs/>
                <w:noProof w:val="0"/>
                <w:color w:val="000000"/>
                <w:lang w:val="tr-TR" w:eastAsia="tr-TR"/>
              </w:rPr>
              <w:t xml:space="preserve"> (%)</w:t>
            </w:r>
          </w:p>
        </w:tc>
        <w:tc>
          <w:tcPr>
            <w:tcW w:w="897" w:type="dxa"/>
            <w:shd w:val="clear" w:color="auto" w:fill="auto"/>
            <w:noWrap/>
            <w:vAlign w:val="bottom"/>
            <w:hideMark/>
          </w:tcPr>
          <w:p w:rsidR="00A43947" w:rsidRPr="00EB792A" w:rsidRDefault="00B276C3" w:rsidP="00770215">
            <w:pPr>
              <w:spacing w:after="0" w:line="240" w:lineRule="auto"/>
              <w:jc w:val="center"/>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Hane</w:t>
            </w:r>
            <w:r w:rsidR="00A43947">
              <w:rPr>
                <w:rFonts w:ascii="Calibri" w:eastAsia="Times New Roman" w:hAnsi="Calibri" w:cs="Times New Roman"/>
                <w:b/>
                <w:bCs/>
                <w:noProof w:val="0"/>
                <w:color w:val="000000"/>
                <w:lang w:val="tr-TR" w:eastAsia="tr-TR"/>
              </w:rPr>
              <w:t xml:space="preserve"> sayısı (000)</w:t>
            </w:r>
          </w:p>
        </w:tc>
        <w:tc>
          <w:tcPr>
            <w:tcW w:w="1105" w:type="dxa"/>
            <w:shd w:val="clear" w:color="auto" w:fill="auto"/>
            <w:noWrap/>
            <w:vAlign w:val="bottom"/>
            <w:hideMark/>
          </w:tcPr>
          <w:p w:rsidR="00A43947" w:rsidRPr="00EB792A" w:rsidRDefault="00A43947" w:rsidP="00770215">
            <w:pPr>
              <w:spacing w:after="0" w:line="240" w:lineRule="auto"/>
              <w:jc w:val="center"/>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Yüzde payı</w:t>
            </w:r>
            <w:r w:rsidR="00711BB0">
              <w:rPr>
                <w:rFonts w:ascii="Calibri" w:eastAsia="Times New Roman" w:hAnsi="Calibri" w:cs="Times New Roman"/>
                <w:b/>
                <w:bCs/>
                <w:noProof w:val="0"/>
                <w:color w:val="000000"/>
                <w:lang w:val="tr-TR" w:eastAsia="tr-TR"/>
              </w:rPr>
              <w:t xml:space="preserve"> (%)</w:t>
            </w:r>
          </w:p>
        </w:tc>
        <w:tc>
          <w:tcPr>
            <w:tcW w:w="860" w:type="dxa"/>
            <w:shd w:val="clear" w:color="auto" w:fill="auto"/>
            <w:noWrap/>
            <w:vAlign w:val="bottom"/>
            <w:hideMark/>
          </w:tcPr>
          <w:p w:rsidR="00A43947" w:rsidRPr="00EB792A" w:rsidRDefault="00B276C3" w:rsidP="00770215">
            <w:pPr>
              <w:spacing w:after="0" w:line="240" w:lineRule="auto"/>
              <w:jc w:val="center"/>
              <w:rPr>
                <w:rFonts w:ascii="Calibri" w:eastAsia="Times New Roman" w:hAnsi="Calibri" w:cs="Times New Roman"/>
                <w:b/>
                <w:bCs/>
                <w:noProof w:val="0"/>
                <w:color w:val="000000"/>
                <w:lang w:val="tr-TR" w:eastAsia="tr-TR"/>
              </w:rPr>
            </w:pPr>
            <w:r>
              <w:rPr>
                <w:rFonts w:ascii="Calibri" w:eastAsia="Times New Roman" w:hAnsi="Calibri" w:cs="Times New Roman"/>
                <w:b/>
                <w:bCs/>
                <w:noProof w:val="0"/>
                <w:color w:val="000000"/>
                <w:lang w:val="tr-TR" w:eastAsia="tr-TR"/>
              </w:rPr>
              <w:t xml:space="preserve">Hane </w:t>
            </w:r>
            <w:r w:rsidR="00A43947">
              <w:rPr>
                <w:rFonts w:ascii="Calibri" w:eastAsia="Times New Roman" w:hAnsi="Calibri" w:cs="Times New Roman"/>
                <w:b/>
                <w:bCs/>
                <w:noProof w:val="0"/>
                <w:color w:val="000000"/>
                <w:lang w:val="tr-TR" w:eastAsia="tr-TR"/>
              </w:rPr>
              <w:t>sayısı (000)</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2003</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696</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733</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41</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429</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2004</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10</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257</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61</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1</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526</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38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9</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783</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2005</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895</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283</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42</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4</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178</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2006</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10</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058</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9</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328</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42</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2</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386</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2007</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10</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354</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60</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9</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653</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39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1</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007</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2008</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086</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52</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3</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283</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7</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369</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2009</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309</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53</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7</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044</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4</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353</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2010</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144</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51</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594</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5</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17</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738</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2011</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983</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53</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642</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4</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625</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2012</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10</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500</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54</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8</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952</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452</w:t>
            </w:r>
          </w:p>
        </w:tc>
      </w:tr>
      <w:tr w:rsidR="00A25072" w:rsidRPr="00EB792A" w:rsidTr="00193E69">
        <w:trPr>
          <w:trHeight w:val="364"/>
        </w:trPr>
        <w:tc>
          <w:tcPr>
            <w:tcW w:w="2170" w:type="dxa"/>
            <w:shd w:val="clear" w:color="auto" w:fill="auto"/>
            <w:noWrap/>
            <w:vAlign w:val="bottom"/>
            <w:hideMark/>
          </w:tcPr>
          <w:p w:rsidR="00A25072" w:rsidRPr="00EB792A" w:rsidRDefault="00A25072" w:rsidP="00770215">
            <w:pPr>
              <w:spacing w:after="0" w:line="240" w:lineRule="auto"/>
              <w:rPr>
                <w:rFonts w:ascii="Calibri" w:eastAsia="Times New Roman" w:hAnsi="Calibri" w:cs="Times New Roman"/>
                <w:b/>
                <w:bCs/>
                <w:noProof w:val="0"/>
                <w:color w:val="000000"/>
                <w:lang w:val="tr-TR" w:eastAsia="tr-TR"/>
              </w:rPr>
            </w:pPr>
            <w:r w:rsidRPr="00EB792A">
              <w:rPr>
                <w:rFonts w:ascii="Calibri" w:eastAsia="Times New Roman" w:hAnsi="Calibri" w:cs="Times New Roman"/>
                <w:b/>
                <w:bCs/>
                <w:noProof w:val="0"/>
                <w:color w:val="000000"/>
                <w:lang w:val="tr-TR" w:eastAsia="tr-TR"/>
              </w:rPr>
              <w:t>2013</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10</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832</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54</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5</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050</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45</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5</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882</w:t>
            </w:r>
          </w:p>
        </w:tc>
      </w:tr>
      <w:tr w:rsidR="00A25072" w:rsidRPr="00EB792A" w:rsidTr="00193E69">
        <w:trPr>
          <w:trHeight w:val="364"/>
        </w:trPr>
        <w:tc>
          <w:tcPr>
            <w:tcW w:w="2170" w:type="dxa"/>
            <w:shd w:val="clear" w:color="auto" w:fill="auto"/>
            <w:noWrap/>
            <w:vAlign w:val="bottom"/>
            <w:hideMark/>
          </w:tcPr>
          <w:p w:rsidR="00A25072" w:rsidRPr="00662817" w:rsidRDefault="00A25072" w:rsidP="00770215">
            <w:pPr>
              <w:spacing w:after="0" w:line="240" w:lineRule="auto"/>
              <w:rPr>
                <w:rFonts w:ascii="Calibri" w:eastAsia="Times New Roman" w:hAnsi="Calibri" w:cs="Times New Roman"/>
                <w:b/>
                <w:bCs/>
                <w:noProof w:val="0"/>
                <w:lang w:val="tr-TR" w:eastAsia="tr-TR"/>
              </w:rPr>
            </w:pPr>
            <w:r w:rsidRPr="00662817">
              <w:rPr>
                <w:rFonts w:ascii="Calibri" w:eastAsia="Times New Roman" w:hAnsi="Calibri" w:cs="Times New Roman"/>
                <w:b/>
                <w:bCs/>
                <w:noProof w:val="0"/>
                <w:lang w:val="tr-TR" w:eastAsia="tr-TR"/>
              </w:rPr>
              <w:t>2014</w:t>
            </w:r>
          </w:p>
        </w:tc>
        <w:tc>
          <w:tcPr>
            <w:tcW w:w="99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11</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672</w:t>
            </w:r>
          </w:p>
        </w:tc>
        <w:tc>
          <w:tcPr>
            <w:tcW w:w="1012"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56</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2</w:t>
            </w:r>
          </w:p>
        </w:tc>
        <w:tc>
          <w:tcPr>
            <w:tcW w:w="897"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9</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113</w:t>
            </w:r>
          </w:p>
        </w:tc>
        <w:tc>
          <w:tcPr>
            <w:tcW w:w="1105"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43</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8</w:t>
            </w:r>
          </w:p>
        </w:tc>
        <w:tc>
          <w:tcPr>
            <w:tcW w:w="860" w:type="dxa"/>
            <w:shd w:val="clear" w:color="auto" w:fill="auto"/>
            <w:noWrap/>
            <w:vAlign w:val="bottom"/>
            <w:hideMark/>
          </w:tcPr>
          <w:p w:rsidR="00A25072" w:rsidRPr="00EF0F03" w:rsidRDefault="00A25072" w:rsidP="00817C7E">
            <w:pPr>
              <w:spacing w:after="0" w:line="240" w:lineRule="auto"/>
              <w:jc w:val="right"/>
              <w:rPr>
                <w:rFonts w:ascii="Calibri" w:eastAsia="Times New Roman" w:hAnsi="Calibri" w:cs="Times New Roman"/>
                <w:noProof w:val="0"/>
                <w:color w:val="000000"/>
                <w:lang w:val="tr-TR" w:eastAsia="tr-TR"/>
              </w:rPr>
            </w:pPr>
            <w:r w:rsidRPr="00EF0F03">
              <w:rPr>
                <w:rFonts w:ascii="Calibri" w:eastAsia="Times New Roman" w:hAnsi="Calibri" w:cs="Times New Roman"/>
                <w:noProof w:val="0"/>
                <w:color w:val="000000"/>
                <w:lang w:val="tr-TR" w:eastAsia="tr-TR"/>
              </w:rPr>
              <w:t>20</w:t>
            </w:r>
            <w:r>
              <w:rPr>
                <w:rFonts w:ascii="Calibri" w:eastAsia="Times New Roman" w:hAnsi="Calibri" w:cs="Times New Roman"/>
                <w:noProof w:val="0"/>
                <w:color w:val="000000"/>
                <w:lang w:val="tr-TR" w:eastAsia="tr-TR"/>
              </w:rPr>
              <w:t>.</w:t>
            </w:r>
            <w:r w:rsidRPr="00EF0F03">
              <w:rPr>
                <w:rFonts w:ascii="Calibri" w:eastAsia="Times New Roman" w:hAnsi="Calibri" w:cs="Times New Roman"/>
                <w:noProof w:val="0"/>
                <w:color w:val="000000"/>
                <w:lang w:val="tr-TR" w:eastAsia="tr-TR"/>
              </w:rPr>
              <w:t>785</w:t>
            </w:r>
          </w:p>
        </w:tc>
      </w:tr>
    </w:tbl>
    <w:p w:rsidR="00B77249" w:rsidRPr="00B77249" w:rsidRDefault="00A43947" w:rsidP="005366C3">
      <w:pPr>
        <w:rPr>
          <w:rFonts w:cs="Arial"/>
          <w:sz w:val="20"/>
          <w:szCs w:val="20"/>
          <w:lang w:val="tr-TR"/>
        </w:rPr>
      </w:pPr>
      <w:r w:rsidRPr="00EB792A">
        <w:rPr>
          <w:rFonts w:cs="Arial"/>
          <w:sz w:val="20"/>
          <w:szCs w:val="20"/>
          <w:lang w:val="tr-TR"/>
        </w:rPr>
        <w:t>Kaynak: 2003-2014</w:t>
      </w:r>
      <w:r>
        <w:rPr>
          <w:rFonts w:cs="Arial"/>
          <w:sz w:val="20"/>
          <w:szCs w:val="20"/>
          <w:lang w:val="tr-TR"/>
        </w:rPr>
        <w:t xml:space="preserve"> </w:t>
      </w:r>
      <w:r w:rsidRPr="00EB792A">
        <w:rPr>
          <w:rFonts w:cs="Arial"/>
          <w:sz w:val="20"/>
          <w:szCs w:val="20"/>
          <w:lang w:val="tr-TR"/>
        </w:rPr>
        <w:t>Hanehalkı Bütçe Anketi kesit mikro verisetleri</w:t>
      </w:r>
      <w:r>
        <w:rPr>
          <w:rFonts w:cs="Arial"/>
          <w:sz w:val="20"/>
          <w:szCs w:val="20"/>
          <w:lang w:val="tr-TR"/>
        </w:rPr>
        <w:t>; Betam hesaplamaları</w:t>
      </w:r>
    </w:p>
    <w:p w:rsidR="00080BCC" w:rsidRPr="00B77249" w:rsidRDefault="00080BCC" w:rsidP="00080BCC">
      <w:pPr>
        <w:rPr>
          <w:b/>
          <w:sz w:val="24"/>
          <w:szCs w:val="24"/>
          <w:lang w:val="tr-TR"/>
        </w:rPr>
      </w:pPr>
      <w:r>
        <w:rPr>
          <w:b/>
          <w:sz w:val="24"/>
          <w:szCs w:val="24"/>
          <w:lang w:val="tr-TR"/>
        </w:rPr>
        <w:t xml:space="preserve">Tasarruf tanımı genişletildiğinde görünüm farklılaşıyor </w:t>
      </w:r>
    </w:p>
    <w:p w:rsidR="00080BCC" w:rsidRDefault="00080BCC" w:rsidP="00080BCC">
      <w:pPr>
        <w:rPr>
          <w:lang w:val="tr-TR"/>
        </w:rPr>
      </w:pPr>
      <w:r>
        <w:rPr>
          <w:lang w:val="tr-TR"/>
        </w:rPr>
        <w:t xml:space="preserve">İktisat yazınında hanehalkı tasarruflarının daha geniş kapsamlı olarak tanımlanması tartışılmaktadır. Bu yazında </w:t>
      </w:r>
      <w:r w:rsidRPr="00CB73BB">
        <w:rPr>
          <w:lang w:val="tr-TR"/>
        </w:rPr>
        <w:t xml:space="preserve">harcamalar kısa vadeli ve uzun vadeli olarak iki gruba ayrılarak uzun vadeli harcamaların tasarruf niteliği taşıdığı </w:t>
      </w:r>
      <w:r>
        <w:rPr>
          <w:lang w:val="tr-TR"/>
        </w:rPr>
        <w:t>savunulmaktadır</w:t>
      </w:r>
      <w:r w:rsidRPr="00EC12C0">
        <w:rPr>
          <w:lang w:val="tr-TR"/>
        </w:rPr>
        <w:t xml:space="preserve"> (Székely </w:t>
      </w:r>
      <w:r>
        <w:rPr>
          <w:lang w:val="tr-TR"/>
        </w:rPr>
        <w:t>ve</w:t>
      </w:r>
      <w:r w:rsidRPr="00EC12C0">
        <w:rPr>
          <w:lang w:val="tr-TR"/>
        </w:rPr>
        <w:t xml:space="preserve"> </w:t>
      </w:r>
      <w:r>
        <w:rPr>
          <w:lang w:val="tr-TR"/>
        </w:rPr>
        <w:t>Attanasio,</w:t>
      </w:r>
      <w:r w:rsidRPr="00EC12C0">
        <w:rPr>
          <w:lang w:val="tr-TR"/>
        </w:rPr>
        <w:t>2000</w:t>
      </w:r>
      <w:r>
        <w:rPr>
          <w:lang w:val="tr-TR"/>
        </w:rPr>
        <w:t>; Gourinchas ve Parker,2002)</w:t>
      </w:r>
      <w:r>
        <w:rPr>
          <w:rStyle w:val="FootnoteReference"/>
          <w:lang w:val="tr-TR"/>
        </w:rPr>
        <w:footnoteReference w:id="5"/>
      </w:r>
      <w:r w:rsidRPr="00CB73BB">
        <w:rPr>
          <w:lang w:val="tr-TR"/>
        </w:rPr>
        <w:t xml:space="preserve">. Bu kabul doğrultusunda özellikle dayanıklı tüketim malları harcamaları ile eğitim ve sağlık harcamaları gibi beşeri sermaye yatırımları farklı tasarruf biçimleri olarak ayrıca değerlendirmeye tabi tutulur. Bu bağlamda biri dayanıklı tüketim mallarına yapılan harcamaları diğeri de eğitim ve sağlık harcamalarını tasarruf kabul eden iki </w:t>
      </w:r>
      <w:r>
        <w:rPr>
          <w:lang w:val="tr-TR"/>
        </w:rPr>
        <w:t>genişletilmiş</w:t>
      </w:r>
      <w:r w:rsidRPr="00CB73BB">
        <w:rPr>
          <w:lang w:val="tr-TR"/>
        </w:rPr>
        <w:t xml:space="preserve"> tasarruf oranı hesapladık. </w:t>
      </w:r>
    </w:p>
    <w:p w:rsidR="002F0FDC" w:rsidRDefault="002F0FDC" w:rsidP="002F0FDC">
      <w:pPr>
        <w:pStyle w:val="Caption"/>
        <w:keepNext/>
        <w:rPr>
          <w:color w:val="auto"/>
          <w:sz w:val="22"/>
          <w:szCs w:val="22"/>
          <w:lang w:val="tr-TR"/>
        </w:rPr>
      </w:pPr>
      <w:bookmarkStart w:id="3" w:name="_Ref461010920"/>
      <w:r w:rsidRPr="00606056">
        <w:rPr>
          <w:color w:val="auto"/>
          <w:sz w:val="22"/>
          <w:szCs w:val="22"/>
          <w:lang w:val="tr-TR"/>
        </w:rPr>
        <w:lastRenderedPageBreak/>
        <w:t xml:space="preserve">Şekil </w:t>
      </w:r>
      <w:r w:rsidRPr="00261E94">
        <w:rPr>
          <w:color w:val="auto"/>
          <w:sz w:val="22"/>
          <w:szCs w:val="22"/>
        </w:rPr>
        <w:fldChar w:fldCharType="begin"/>
      </w:r>
      <w:r w:rsidRPr="00606056">
        <w:rPr>
          <w:color w:val="auto"/>
          <w:sz w:val="22"/>
          <w:szCs w:val="22"/>
          <w:lang w:val="tr-TR"/>
        </w:rPr>
        <w:instrText xml:space="preserve"> SEQ Şekil \* ARABIC </w:instrText>
      </w:r>
      <w:r w:rsidRPr="00261E94">
        <w:rPr>
          <w:color w:val="auto"/>
          <w:sz w:val="22"/>
          <w:szCs w:val="22"/>
        </w:rPr>
        <w:fldChar w:fldCharType="separate"/>
      </w:r>
      <w:r w:rsidR="00782E1D">
        <w:rPr>
          <w:color w:val="auto"/>
          <w:sz w:val="22"/>
          <w:szCs w:val="22"/>
          <w:lang w:val="tr-TR"/>
        </w:rPr>
        <w:t>2</w:t>
      </w:r>
      <w:r w:rsidRPr="00261E94">
        <w:rPr>
          <w:color w:val="auto"/>
          <w:sz w:val="22"/>
          <w:szCs w:val="22"/>
        </w:rPr>
        <w:fldChar w:fldCharType="end"/>
      </w:r>
      <w:bookmarkEnd w:id="3"/>
      <w:r w:rsidRPr="00606056">
        <w:rPr>
          <w:color w:val="auto"/>
          <w:sz w:val="22"/>
          <w:szCs w:val="22"/>
          <w:lang w:val="tr-TR"/>
        </w:rPr>
        <w:t xml:space="preserve"> Tasarruf edebilen haneler</w:t>
      </w:r>
      <w:r w:rsidR="009C057A">
        <w:rPr>
          <w:color w:val="auto"/>
          <w:sz w:val="22"/>
          <w:szCs w:val="22"/>
          <w:lang w:val="tr-TR"/>
        </w:rPr>
        <w:t>in</w:t>
      </w:r>
      <w:r w:rsidRPr="00606056">
        <w:rPr>
          <w:color w:val="auto"/>
          <w:sz w:val="22"/>
          <w:szCs w:val="22"/>
          <w:lang w:val="tr-TR"/>
        </w:rPr>
        <w:t xml:space="preserve"> tasarruf </w:t>
      </w:r>
      <w:r w:rsidR="009C057A">
        <w:rPr>
          <w:color w:val="auto"/>
          <w:sz w:val="22"/>
          <w:szCs w:val="22"/>
          <w:lang w:val="tr-TR"/>
        </w:rPr>
        <w:t xml:space="preserve">oranları ile </w:t>
      </w:r>
      <w:r w:rsidRPr="00606056">
        <w:rPr>
          <w:color w:val="auto"/>
          <w:sz w:val="22"/>
          <w:szCs w:val="22"/>
          <w:lang w:val="tr-TR"/>
        </w:rPr>
        <w:t>tüm hanehalklarını</w:t>
      </w:r>
      <w:r w:rsidR="009C057A">
        <w:rPr>
          <w:color w:val="auto"/>
          <w:sz w:val="22"/>
          <w:szCs w:val="22"/>
          <w:lang w:val="tr-TR"/>
        </w:rPr>
        <w:t>n</w:t>
      </w:r>
      <w:r w:rsidRPr="00606056">
        <w:rPr>
          <w:color w:val="auto"/>
          <w:sz w:val="22"/>
          <w:szCs w:val="22"/>
          <w:lang w:val="tr-TR"/>
        </w:rPr>
        <w:t xml:space="preserve"> tasarruf oran</w:t>
      </w:r>
      <w:r w:rsidR="009C057A">
        <w:rPr>
          <w:color w:val="auto"/>
          <w:sz w:val="22"/>
          <w:szCs w:val="22"/>
          <w:lang w:val="tr-TR"/>
        </w:rPr>
        <w:t>larının</w:t>
      </w:r>
      <w:r w:rsidRPr="00606056">
        <w:rPr>
          <w:color w:val="auto"/>
          <w:sz w:val="22"/>
          <w:szCs w:val="22"/>
          <w:lang w:val="tr-TR"/>
        </w:rPr>
        <w:t xml:space="preserve"> karşılaştırması, 2003-2014</w:t>
      </w:r>
    </w:p>
    <w:p w:rsidR="002F0FDC" w:rsidRDefault="00C322D7" w:rsidP="002F0FDC">
      <w:pPr>
        <w:rPr>
          <w:lang w:val="tr-TR"/>
        </w:rPr>
      </w:pPr>
      <w:r>
        <w:rPr>
          <w:lang w:val="tr-TR" w:eastAsia="tr-TR"/>
        </w:rPr>
        <w:drawing>
          <wp:inline distT="0" distB="0" distL="0" distR="0" wp14:anchorId="27806087" wp14:editId="3A2A688C">
            <wp:extent cx="5760720" cy="39116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F0FDC" w:rsidRPr="00EB792A">
        <w:rPr>
          <w:rFonts w:cs="Arial"/>
          <w:sz w:val="20"/>
          <w:szCs w:val="20"/>
          <w:lang w:val="tr-TR"/>
        </w:rPr>
        <w:t>Kaynak: 2003-2014</w:t>
      </w:r>
      <w:r w:rsidR="002F0FDC">
        <w:rPr>
          <w:rFonts w:cs="Arial"/>
          <w:sz w:val="20"/>
          <w:szCs w:val="20"/>
          <w:lang w:val="tr-TR"/>
        </w:rPr>
        <w:t xml:space="preserve"> </w:t>
      </w:r>
      <w:r w:rsidR="002F0FDC" w:rsidRPr="00EB792A">
        <w:rPr>
          <w:rFonts w:cs="Arial"/>
          <w:sz w:val="20"/>
          <w:szCs w:val="20"/>
          <w:lang w:val="tr-TR"/>
        </w:rPr>
        <w:t>Hanehalkı Bütçe Anketi kesit mikro verisetleri</w:t>
      </w:r>
      <w:r w:rsidR="002F0FDC">
        <w:rPr>
          <w:rFonts w:cs="Arial"/>
          <w:sz w:val="20"/>
          <w:szCs w:val="20"/>
          <w:lang w:val="tr-TR"/>
        </w:rPr>
        <w:t>; Betam hesaplamaları</w:t>
      </w:r>
    </w:p>
    <w:p w:rsidR="00240DB6" w:rsidRPr="006A4588" w:rsidRDefault="001B18AA" w:rsidP="005366C3">
      <w:pPr>
        <w:rPr>
          <w:lang w:val="tr-TR"/>
        </w:rPr>
      </w:pPr>
      <w:r w:rsidRPr="00CB73BB">
        <w:rPr>
          <w:lang w:val="tr-TR"/>
        </w:rPr>
        <w:t>İlk aşamada y</w:t>
      </w:r>
      <w:r w:rsidR="00BB1835" w:rsidRPr="00CB73BB">
        <w:rPr>
          <w:lang w:val="tr-TR"/>
        </w:rPr>
        <w:t>eni otomobil, beyaz eşya, mobilya gibi çeşitli dayanıklı tüketim malları</w:t>
      </w:r>
      <w:r w:rsidRPr="00CB73BB">
        <w:rPr>
          <w:lang w:val="tr-TR"/>
        </w:rPr>
        <w:t>na</w:t>
      </w:r>
      <w:r w:rsidR="00BB1835" w:rsidRPr="00CB73BB">
        <w:rPr>
          <w:rStyle w:val="FootnoteReference"/>
          <w:lang w:val="tr-TR"/>
        </w:rPr>
        <w:footnoteReference w:id="6"/>
      </w:r>
      <w:r w:rsidR="00BB1835" w:rsidRPr="00CB73BB">
        <w:rPr>
          <w:lang w:val="tr-TR"/>
        </w:rPr>
        <w:t xml:space="preserve"> </w:t>
      </w:r>
      <w:r w:rsidR="00ED6E7B" w:rsidRPr="00CB73BB">
        <w:rPr>
          <w:lang w:val="tr-TR"/>
        </w:rPr>
        <w:t xml:space="preserve"> yapılan harcamalar</w:t>
      </w:r>
      <w:r w:rsidR="00AF03A5" w:rsidRPr="00CB73BB">
        <w:rPr>
          <w:lang w:val="tr-TR"/>
        </w:rPr>
        <w:t>ı</w:t>
      </w:r>
      <w:r w:rsidR="00ED6E7B" w:rsidRPr="00CB73BB">
        <w:rPr>
          <w:lang w:val="tr-TR"/>
        </w:rPr>
        <w:t xml:space="preserve"> tasarruf</w:t>
      </w:r>
      <w:r w:rsidRPr="00CB73BB">
        <w:rPr>
          <w:lang w:val="tr-TR"/>
        </w:rPr>
        <w:t>lara</w:t>
      </w:r>
      <w:r w:rsidR="00ED6E7B" w:rsidRPr="00CB73BB">
        <w:rPr>
          <w:lang w:val="tr-TR"/>
        </w:rPr>
        <w:t xml:space="preserve"> dahil edi</w:t>
      </w:r>
      <w:r w:rsidRPr="00CB73BB">
        <w:rPr>
          <w:lang w:val="tr-TR"/>
        </w:rPr>
        <w:t>yoruz</w:t>
      </w:r>
      <w:r w:rsidR="00ED6E7B" w:rsidRPr="00CB73BB">
        <w:rPr>
          <w:lang w:val="tr-TR"/>
        </w:rPr>
        <w:t>.</w:t>
      </w:r>
      <w:r w:rsidR="00ED6E7B" w:rsidRPr="00CB73BB">
        <w:rPr>
          <w:rStyle w:val="FootnoteReference"/>
          <w:lang w:val="tr-TR"/>
        </w:rPr>
        <w:t xml:space="preserve"> </w:t>
      </w:r>
      <w:r w:rsidR="00397758" w:rsidRPr="00CB73BB">
        <w:rPr>
          <w:lang w:val="tr-TR"/>
        </w:rPr>
        <w:t xml:space="preserve">Dolayısıyla </w:t>
      </w:r>
      <w:r w:rsidRPr="00CB73BB">
        <w:rPr>
          <w:lang w:val="tr-TR"/>
        </w:rPr>
        <w:t>sade tasarruflar</w:t>
      </w:r>
      <w:r w:rsidR="00D3747D">
        <w:rPr>
          <w:lang w:val="tr-TR"/>
        </w:rPr>
        <w:t xml:space="preserve"> (TO1)</w:t>
      </w:r>
      <w:r w:rsidRPr="00CB73BB">
        <w:rPr>
          <w:lang w:val="tr-TR"/>
        </w:rPr>
        <w:t xml:space="preserve"> ile genişletilmiş tasaruflar</w:t>
      </w:r>
      <w:r w:rsidR="00D3747D">
        <w:rPr>
          <w:lang w:val="tr-TR"/>
        </w:rPr>
        <w:t xml:space="preserve"> (TO2)</w:t>
      </w:r>
      <w:r w:rsidRPr="00CB73BB">
        <w:rPr>
          <w:lang w:val="tr-TR"/>
        </w:rPr>
        <w:t xml:space="preserve"> </w:t>
      </w:r>
      <w:r w:rsidR="00397758" w:rsidRPr="00CB73BB">
        <w:rPr>
          <w:lang w:val="tr-TR"/>
        </w:rPr>
        <w:t>arasındaki fark dayanıklı tüketim mallarına yönelik harcamaların gelir iç</w:t>
      </w:r>
      <w:r w:rsidRPr="00CB73BB">
        <w:rPr>
          <w:lang w:val="tr-TR"/>
        </w:rPr>
        <w:t>indeki</w:t>
      </w:r>
      <w:r w:rsidR="00397758" w:rsidRPr="00CB73BB">
        <w:rPr>
          <w:lang w:val="tr-TR"/>
        </w:rPr>
        <w:t xml:space="preserve"> payının zaman seyrini yansıtmaktadır. </w:t>
      </w:r>
      <w:r w:rsidRPr="00CB73BB">
        <w:rPr>
          <w:lang w:val="tr-TR"/>
        </w:rPr>
        <w:t xml:space="preserve">İkinci aşamada </w:t>
      </w:r>
      <w:r w:rsidR="00ED6E7B" w:rsidRPr="00CB73BB">
        <w:rPr>
          <w:lang w:val="tr-TR"/>
        </w:rPr>
        <w:t>tasarruf</w:t>
      </w:r>
      <w:r w:rsidRPr="00CB73BB">
        <w:rPr>
          <w:lang w:val="tr-TR"/>
        </w:rPr>
        <w:t xml:space="preserve">lara tüketim malı harcamlarına ilave olarak </w:t>
      </w:r>
      <w:r w:rsidR="00ED6E7B" w:rsidRPr="00CB73BB">
        <w:rPr>
          <w:lang w:val="tr-TR"/>
        </w:rPr>
        <w:t>eğitim ve sağlık harcama</w:t>
      </w:r>
      <w:r w:rsidRPr="00CB73BB">
        <w:rPr>
          <w:lang w:val="tr-TR"/>
        </w:rPr>
        <w:t>larını dahil</w:t>
      </w:r>
      <w:r w:rsidR="00ED6E7B" w:rsidRPr="00CB73BB">
        <w:rPr>
          <w:lang w:val="tr-TR"/>
        </w:rPr>
        <w:t xml:space="preserve"> </w:t>
      </w:r>
      <w:r w:rsidRPr="00CB73BB">
        <w:rPr>
          <w:lang w:val="tr-TR"/>
        </w:rPr>
        <w:t>ediyoruz</w:t>
      </w:r>
      <w:r w:rsidR="008D40BB" w:rsidRPr="00CB73BB">
        <w:rPr>
          <w:rStyle w:val="FootnoteReference"/>
          <w:lang w:val="tr-TR"/>
        </w:rPr>
        <w:footnoteReference w:id="7"/>
      </w:r>
      <w:r w:rsidR="00D3747D">
        <w:rPr>
          <w:lang w:val="tr-TR"/>
        </w:rPr>
        <w:t xml:space="preserve">. </w:t>
      </w:r>
      <w:r w:rsidR="00ED6E7B" w:rsidRPr="00CB73BB">
        <w:rPr>
          <w:lang w:val="tr-TR"/>
        </w:rPr>
        <w:t xml:space="preserve"> </w:t>
      </w:r>
      <w:r w:rsidR="00397758" w:rsidRPr="00CB73BB">
        <w:rPr>
          <w:lang w:val="tr-TR"/>
        </w:rPr>
        <w:t xml:space="preserve">Benzer şekilde </w:t>
      </w:r>
      <w:r w:rsidR="001651EF" w:rsidRPr="00CB73BB">
        <w:rPr>
          <w:lang w:val="tr-TR"/>
        </w:rPr>
        <w:t>süper genişletilmiş tasarruflar</w:t>
      </w:r>
      <w:r w:rsidR="00D3747D">
        <w:rPr>
          <w:lang w:val="tr-TR"/>
        </w:rPr>
        <w:t xml:space="preserve"> (TO3)</w:t>
      </w:r>
      <w:r w:rsidR="001651EF" w:rsidRPr="00CB73BB">
        <w:rPr>
          <w:lang w:val="tr-TR"/>
        </w:rPr>
        <w:t xml:space="preserve"> ile genişletilmiş tasarruflar</w:t>
      </w:r>
      <w:r w:rsidR="00D3747D">
        <w:rPr>
          <w:lang w:val="tr-TR"/>
        </w:rPr>
        <w:t xml:space="preserve"> (TO2)</w:t>
      </w:r>
      <w:r w:rsidR="00397758" w:rsidRPr="00CB73BB">
        <w:rPr>
          <w:lang w:val="tr-TR"/>
        </w:rPr>
        <w:t xml:space="preserve"> arasındaki fark </w:t>
      </w:r>
      <w:r w:rsidR="001651EF" w:rsidRPr="00CB73BB">
        <w:rPr>
          <w:lang w:val="tr-TR"/>
        </w:rPr>
        <w:t xml:space="preserve">ise </w:t>
      </w:r>
      <w:r w:rsidR="00397758" w:rsidRPr="00CB73BB">
        <w:rPr>
          <w:lang w:val="tr-TR"/>
        </w:rPr>
        <w:t>eğitim ve sağlık harcamalarının kullan</w:t>
      </w:r>
      <w:r w:rsidR="00AF03A5" w:rsidRPr="00CB73BB">
        <w:rPr>
          <w:lang w:val="tr-TR"/>
        </w:rPr>
        <w:t xml:space="preserve">ılabilir gelirdeki payının zaman </w:t>
      </w:r>
      <w:r w:rsidR="00397758" w:rsidRPr="00CB73BB">
        <w:rPr>
          <w:lang w:val="tr-TR"/>
        </w:rPr>
        <w:t xml:space="preserve">seyrini </w:t>
      </w:r>
      <w:r w:rsidR="001651EF" w:rsidRPr="00CB73BB">
        <w:rPr>
          <w:lang w:val="tr-TR"/>
        </w:rPr>
        <w:t>yansıtmaktadır</w:t>
      </w:r>
      <w:r w:rsidR="00AF03A5" w:rsidRPr="00CB73BB">
        <w:rPr>
          <w:lang w:val="tr-TR"/>
        </w:rPr>
        <w:t>.</w:t>
      </w:r>
      <w:r w:rsidR="00397758">
        <w:rPr>
          <w:lang w:val="tr-TR"/>
        </w:rPr>
        <w:t xml:space="preserve"> </w:t>
      </w:r>
      <w:r w:rsidR="00080BCC">
        <w:rPr>
          <w:lang w:val="tr-TR"/>
        </w:rPr>
        <w:fldChar w:fldCharType="begin"/>
      </w:r>
      <w:r w:rsidR="00080BCC">
        <w:rPr>
          <w:lang w:val="tr-TR"/>
        </w:rPr>
        <w:instrText xml:space="preserve"> REF _Ref460253256 \h </w:instrText>
      </w:r>
      <w:r w:rsidR="00080BCC">
        <w:rPr>
          <w:lang w:val="tr-TR"/>
        </w:rPr>
      </w:r>
      <w:r w:rsidR="00080BCC">
        <w:rPr>
          <w:lang w:val="tr-TR"/>
        </w:rPr>
        <w:fldChar w:fldCharType="separate"/>
      </w:r>
      <w:r w:rsidR="00080BCC" w:rsidRPr="00EE729E">
        <w:rPr>
          <w:lang w:val="tr-TR"/>
        </w:rPr>
        <w:t xml:space="preserve">Şekil </w:t>
      </w:r>
      <w:r w:rsidR="00080BCC">
        <w:rPr>
          <w:lang w:val="tr-TR"/>
        </w:rPr>
        <w:t>3</w:t>
      </w:r>
      <w:r w:rsidR="00080BCC">
        <w:rPr>
          <w:lang w:val="tr-TR"/>
        </w:rPr>
        <w:fldChar w:fldCharType="end"/>
      </w:r>
      <w:r w:rsidR="00122B8C" w:rsidRPr="00EE729E">
        <w:rPr>
          <w:lang w:val="tr-TR"/>
        </w:rPr>
        <w:t xml:space="preserve">’de </w:t>
      </w:r>
      <w:r w:rsidR="009C4251" w:rsidRPr="00EE729E">
        <w:rPr>
          <w:lang w:val="tr-TR"/>
        </w:rPr>
        <w:t xml:space="preserve">farklı </w:t>
      </w:r>
      <w:r w:rsidR="00122B8C" w:rsidRPr="00EE729E">
        <w:rPr>
          <w:lang w:val="tr-TR"/>
        </w:rPr>
        <w:t>hanehalkı tasarruf tanım</w:t>
      </w:r>
      <w:r w:rsidR="001651EF">
        <w:rPr>
          <w:lang w:val="tr-TR"/>
        </w:rPr>
        <w:t>ına göre hesaplanmış oranlara</w:t>
      </w:r>
      <w:r w:rsidR="00AF03A5">
        <w:rPr>
          <w:lang w:val="tr-TR"/>
        </w:rPr>
        <w:t xml:space="preserve"> </w:t>
      </w:r>
      <w:r w:rsidR="00C0145B" w:rsidRPr="00EE729E">
        <w:rPr>
          <w:lang w:val="tr-TR"/>
        </w:rPr>
        <w:t>bir arada yer verilmiştir.</w:t>
      </w:r>
    </w:p>
    <w:p w:rsidR="00033A25" w:rsidRPr="00606056" w:rsidRDefault="00033A25" w:rsidP="00033A25">
      <w:pPr>
        <w:pStyle w:val="Caption"/>
        <w:keepNext/>
        <w:rPr>
          <w:color w:val="auto"/>
          <w:sz w:val="22"/>
          <w:szCs w:val="22"/>
          <w:lang w:val="tr-TR"/>
        </w:rPr>
      </w:pPr>
      <w:bookmarkStart w:id="4" w:name="_Ref460253256"/>
      <w:r w:rsidRPr="00EE729E">
        <w:rPr>
          <w:color w:val="auto"/>
          <w:sz w:val="22"/>
          <w:szCs w:val="22"/>
          <w:lang w:val="tr-TR"/>
        </w:rPr>
        <w:lastRenderedPageBreak/>
        <w:t xml:space="preserve">Şekil </w:t>
      </w:r>
      <w:r w:rsidR="0080097F" w:rsidRPr="00883204">
        <w:rPr>
          <w:color w:val="auto"/>
          <w:sz w:val="22"/>
          <w:szCs w:val="22"/>
        </w:rPr>
        <w:fldChar w:fldCharType="begin"/>
      </w:r>
      <w:r w:rsidRPr="00EE729E">
        <w:rPr>
          <w:color w:val="auto"/>
          <w:sz w:val="22"/>
          <w:szCs w:val="22"/>
          <w:lang w:val="tr-TR"/>
        </w:rPr>
        <w:instrText xml:space="preserve"> SEQ Şekil \* ARABIC </w:instrText>
      </w:r>
      <w:r w:rsidR="0080097F" w:rsidRPr="00883204">
        <w:rPr>
          <w:color w:val="auto"/>
          <w:sz w:val="22"/>
          <w:szCs w:val="22"/>
        </w:rPr>
        <w:fldChar w:fldCharType="separate"/>
      </w:r>
      <w:r w:rsidR="00080BCC">
        <w:rPr>
          <w:color w:val="auto"/>
          <w:sz w:val="22"/>
          <w:szCs w:val="22"/>
          <w:lang w:val="tr-TR"/>
        </w:rPr>
        <w:t>3</w:t>
      </w:r>
      <w:r w:rsidR="0080097F" w:rsidRPr="00883204">
        <w:rPr>
          <w:color w:val="auto"/>
          <w:sz w:val="22"/>
          <w:szCs w:val="22"/>
        </w:rPr>
        <w:fldChar w:fldCharType="end"/>
      </w:r>
      <w:bookmarkEnd w:id="4"/>
      <w:r w:rsidR="00FC1A43" w:rsidRPr="00606056">
        <w:rPr>
          <w:color w:val="auto"/>
          <w:sz w:val="22"/>
          <w:szCs w:val="22"/>
          <w:lang w:val="tr-TR"/>
        </w:rPr>
        <w:t xml:space="preserve"> 2003-2014 döneminde hanehalkı tasarruf oranları</w:t>
      </w:r>
    </w:p>
    <w:p w:rsidR="00883204" w:rsidRPr="00606056" w:rsidRDefault="00FC1A43" w:rsidP="00947EEC">
      <w:pPr>
        <w:rPr>
          <w:lang w:val="tr-TR"/>
        </w:rPr>
      </w:pPr>
      <w:r w:rsidRPr="00FC1A43">
        <w:rPr>
          <w:lang w:val="tr-TR" w:eastAsia="tr-TR"/>
        </w:rPr>
        <w:drawing>
          <wp:inline distT="0" distB="0" distL="0" distR="0">
            <wp:extent cx="5915025" cy="3143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83204" w:rsidRPr="00EB792A">
        <w:rPr>
          <w:rFonts w:cs="Arial"/>
          <w:sz w:val="20"/>
          <w:szCs w:val="20"/>
          <w:lang w:val="tr-TR"/>
        </w:rPr>
        <w:t>Kaynak: 2003-2014</w:t>
      </w:r>
      <w:r w:rsidR="00883204">
        <w:rPr>
          <w:rFonts w:cs="Arial"/>
          <w:sz w:val="20"/>
          <w:szCs w:val="20"/>
          <w:lang w:val="tr-TR"/>
        </w:rPr>
        <w:t xml:space="preserve"> </w:t>
      </w:r>
      <w:r w:rsidR="00883204" w:rsidRPr="00EB792A">
        <w:rPr>
          <w:rFonts w:cs="Arial"/>
          <w:sz w:val="20"/>
          <w:szCs w:val="20"/>
          <w:lang w:val="tr-TR"/>
        </w:rPr>
        <w:t>Hanehalkı Bütçe Anketi kesit mikro verisetleri</w:t>
      </w:r>
      <w:r w:rsidR="00883204">
        <w:rPr>
          <w:rFonts w:cs="Arial"/>
          <w:sz w:val="20"/>
          <w:szCs w:val="20"/>
          <w:lang w:val="tr-TR"/>
        </w:rPr>
        <w:t>; Betam hesaplamaları</w:t>
      </w:r>
    </w:p>
    <w:p w:rsidR="0021603D" w:rsidRPr="001A73E9" w:rsidRDefault="0021603D" w:rsidP="005366C3">
      <w:pPr>
        <w:rPr>
          <w:lang w:val="tr-TR"/>
        </w:rPr>
      </w:pPr>
      <w:r w:rsidRPr="001A73E9">
        <w:rPr>
          <w:lang w:val="tr-TR"/>
        </w:rPr>
        <w:t xml:space="preserve">Verilerde ilk dikkat çeken nokta </w:t>
      </w:r>
      <w:r w:rsidR="000655C6" w:rsidRPr="001A73E9">
        <w:rPr>
          <w:lang w:val="tr-TR"/>
        </w:rPr>
        <w:t xml:space="preserve">sade </w:t>
      </w:r>
      <w:r w:rsidRPr="001A73E9">
        <w:rPr>
          <w:lang w:val="tr-TR"/>
        </w:rPr>
        <w:t>tasarruf oranlarının</w:t>
      </w:r>
      <w:r w:rsidR="00CD1726" w:rsidRPr="001A73E9">
        <w:rPr>
          <w:lang w:val="tr-TR"/>
        </w:rPr>
        <w:t xml:space="preserve"> (TO1)</w:t>
      </w:r>
      <w:r w:rsidRPr="001A73E9">
        <w:rPr>
          <w:lang w:val="tr-TR"/>
        </w:rPr>
        <w:t xml:space="preserve"> </w:t>
      </w:r>
      <w:r w:rsidR="000655C6" w:rsidRPr="001A73E9">
        <w:rPr>
          <w:lang w:val="tr-TR"/>
        </w:rPr>
        <w:t xml:space="preserve">düşen eğrisine </w:t>
      </w:r>
      <w:r w:rsidRPr="001A73E9">
        <w:rPr>
          <w:lang w:val="tr-TR"/>
        </w:rPr>
        <w:t xml:space="preserve">karşın </w:t>
      </w:r>
      <w:r w:rsidR="000655C6" w:rsidRPr="001A73E9">
        <w:rPr>
          <w:lang w:val="tr-TR"/>
        </w:rPr>
        <w:t xml:space="preserve">genişletilmiş </w:t>
      </w:r>
      <w:r w:rsidRPr="001A73E9">
        <w:rPr>
          <w:lang w:val="tr-TR"/>
        </w:rPr>
        <w:t>tasarruf oranların</w:t>
      </w:r>
      <w:r w:rsidR="007070F3" w:rsidRPr="001A73E9">
        <w:rPr>
          <w:lang w:val="tr-TR"/>
        </w:rPr>
        <w:t>da</w:t>
      </w:r>
      <w:r w:rsidRPr="001A73E9">
        <w:rPr>
          <w:lang w:val="tr-TR"/>
        </w:rPr>
        <w:t xml:space="preserve"> </w:t>
      </w:r>
      <w:r w:rsidR="007070F3" w:rsidRPr="001A73E9">
        <w:rPr>
          <w:lang w:val="tr-TR"/>
        </w:rPr>
        <w:t>(TO2 ve TO3) düşüş eğilminin gözlemlenmemesidir</w:t>
      </w:r>
      <w:r w:rsidRPr="001A73E9">
        <w:rPr>
          <w:lang w:val="tr-TR"/>
        </w:rPr>
        <w:t xml:space="preserve">. </w:t>
      </w:r>
      <w:r w:rsidR="007070F3" w:rsidRPr="001A73E9">
        <w:rPr>
          <w:lang w:val="tr-TR"/>
        </w:rPr>
        <w:t xml:space="preserve">Dayanıklı tüketim malı harcamaları tasarruflara dahil edildiğinde, </w:t>
      </w:r>
      <w:r w:rsidR="006A4588" w:rsidRPr="001A73E9">
        <w:rPr>
          <w:lang w:val="tr-TR"/>
        </w:rPr>
        <w:t>2008 yılın</w:t>
      </w:r>
      <w:r w:rsidR="007070F3" w:rsidRPr="001A73E9">
        <w:rPr>
          <w:lang w:val="tr-TR"/>
        </w:rPr>
        <w:t>a kadar tasarruf oranlarında sınırlı bir düşüş görülmekte (yüzde 20’den 16’7’ye)</w:t>
      </w:r>
      <w:r w:rsidR="006A4588" w:rsidRPr="001A73E9">
        <w:rPr>
          <w:lang w:val="tr-TR"/>
        </w:rPr>
        <w:t xml:space="preserve"> </w:t>
      </w:r>
      <w:r w:rsidR="0019726A" w:rsidRPr="001A73E9">
        <w:rPr>
          <w:lang w:val="tr-TR"/>
        </w:rPr>
        <w:t xml:space="preserve">ardından </w:t>
      </w:r>
      <w:r w:rsidR="007070F3" w:rsidRPr="001A73E9">
        <w:rPr>
          <w:lang w:val="tr-TR"/>
        </w:rPr>
        <w:t>gelen y</w:t>
      </w:r>
      <w:r w:rsidR="006B0FA9" w:rsidRPr="001A73E9">
        <w:rPr>
          <w:lang w:val="tr-TR"/>
        </w:rPr>
        <w:t>ükselişle bir</w:t>
      </w:r>
      <w:r w:rsidR="007070F3" w:rsidRPr="001A73E9">
        <w:rPr>
          <w:lang w:val="tr-TR"/>
        </w:rPr>
        <w:t>likte oran 2014 yılında yüzde</w:t>
      </w:r>
      <w:r w:rsidR="007070F3">
        <w:rPr>
          <w:lang w:val="tr-TR"/>
        </w:rPr>
        <w:t xml:space="preserve"> </w:t>
      </w:r>
      <w:r w:rsidR="006B0FA9">
        <w:rPr>
          <w:lang w:val="tr-TR"/>
        </w:rPr>
        <w:t xml:space="preserve">21,2’ye çıktığı </w:t>
      </w:r>
      <w:r w:rsidR="006B0FA9" w:rsidRPr="001A73E9">
        <w:rPr>
          <w:lang w:val="tr-TR"/>
        </w:rPr>
        <w:t xml:space="preserve">görülmektedir. </w:t>
      </w:r>
      <w:r w:rsidR="0019726A" w:rsidRPr="001A73E9">
        <w:rPr>
          <w:lang w:val="tr-TR"/>
        </w:rPr>
        <w:t>Bu 2003’e kıyasla az da olsa daha yüksek bir tasarruf oranıdır</w:t>
      </w:r>
      <w:r w:rsidR="00CB73BB" w:rsidRPr="001A73E9">
        <w:rPr>
          <w:lang w:val="tr-TR"/>
        </w:rPr>
        <w:t>.</w:t>
      </w:r>
      <w:r w:rsidR="005D1D38" w:rsidRPr="001A73E9">
        <w:rPr>
          <w:lang w:val="tr-TR"/>
        </w:rPr>
        <w:t xml:space="preserve"> </w:t>
      </w:r>
    </w:p>
    <w:p w:rsidR="0099338F" w:rsidRPr="001A73E9" w:rsidRDefault="0005165F" w:rsidP="0099338F">
      <w:pPr>
        <w:rPr>
          <w:lang w:val="tr-TR"/>
        </w:rPr>
      </w:pPr>
      <w:r w:rsidRPr="001A73E9">
        <w:rPr>
          <w:lang w:val="tr-TR"/>
        </w:rPr>
        <w:t xml:space="preserve">Eğitim ve sağlık harcamalarını </w:t>
      </w:r>
      <w:r w:rsidR="0019726A" w:rsidRPr="001A73E9">
        <w:rPr>
          <w:lang w:val="tr-TR"/>
        </w:rPr>
        <w:t xml:space="preserve">da </w:t>
      </w:r>
      <w:r w:rsidRPr="001A73E9">
        <w:rPr>
          <w:lang w:val="tr-TR"/>
        </w:rPr>
        <w:t>tasarruf</w:t>
      </w:r>
      <w:r w:rsidR="0019726A" w:rsidRPr="001A73E9">
        <w:rPr>
          <w:lang w:val="tr-TR"/>
        </w:rPr>
        <w:t>lara dahil e</w:t>
      </w:r>
      <w:r w:rsidR="007070F3" w:rsidRPr="001A73E9">
        <w:rPr>
          <w:lang w:val="tr-TR"/>
        </w:rPr>
        <w:t>ttiğimizde süper genişletilmiş tasarruf</w:t>
      </w:r>
      <w:r w:rsidR="0019726A" w:rsidRPr="001A73E9">
        <w:rPr>
          <w:lang w:val="tr-TR"/>
        </w:rPr>
        <w:t xml:space="preserve"> oranı eğrisi</w:t>
      </w:r>
      <w:r w:rsidR="007070F3" w:rsidRPr="001A73E9">
        <w:rPr>
          <w:lang w:val="tr-TR"/>
        </w:rPr>
        <w:t>nin (TO3)</w:t>
      </w:r>
      <w:r w:rsidR="0019726A" w:rsidRPr="001A73E9">
        <w:rPr>
          <w:lang w:val="tr-TR"/>
        </w:rPr>
        <w:t xml:space="preserve"> genişletilmiş tasaruf eğrisine</w:t>
      </w:r>
      <w:r w:rsidR="007070F3" w:rsidRPr="001A73E9">
        <w:rPr>
          <w:lang w:val="tr-TR"/>
        </w:rPr>
        <w:t>(TO2)</w:t>
      </w:r>
      <w:r w:rsidR="0019726A" w:rsidRPr="001A73E9">
        <w:rPr>
          <w:lang w:val="tr-TR"/>
        </w:rPr>
        <w:t xml:space="preserve"> </w:t>
      </w:r>
      <w:r w:rsidRPr="001A73E9">
        <w:rPr>
          <w:lang w:val="tr-TR"/>
        </w:rPr>
        <w:t>neredeyse tam paralel olarak hareket et</w:t>
      </w:r>
      <w:r w:rsidR="007070F3" w:rsidRPr="001A73E9">
        <w:rPr>
          <w:lang w:val="tr-TR"/>
        </w:rPr>
        <w:t>tiği görülmektedir</w:t>
      </w:r>
      <w:r w:rsidRPr="001A73E9">
        <w:rPr>
          <w:lang w:val="tr-TR"/>
        </w:rPr>
        <w:t xml:space="preserve">. Bu durum eğitim ve sağlık harcamalarının kullanılabilir hanehalkı geliri içerisindeki payının </w:t>
      </w:r>
      <w:r w:rsidR="0019726A" w:rsidRPr="001A73E9">
        <w:rPr>
          <w:lang w:val="tr-TR"/>
        </w:rPr>
        <w:t xml:space="preserve">hemen hemen </w:t>
      </w:r>
      <w:r w:rsidRPr="001A73E9">
        <w:rPr>
          <w:lang w:val="tr-TR"/>
        </w:rPr>
        <w:t>hiç değişmeden yüzde 4 civarında seyrettiğine</w:t>
      </w:r>
      <w:r w:rsidR="0019726A" w:rsidRPr="001A73E9">
        <w:rPr>
          <w:lang w:val="tr-TR"/>
        </w:rPr>
        <w:t xml:space="preserve"> (reel olarak gelir artı</w:t>
      </w:r>
      <w:r w:rsidR="007B0457" w:rsidRPr="001A73E9">
        <w:rPr>
          <w:lang w:val="tr-TR"/>
        </w:rPr>
        <w:t>şına</w:t>
      </w:r>
      <w:r w:rsidR="0019726A" w:rsidRPr="001A73E9">
        <w:rPr>
          <w:lang w:val="tr-TR"/>
        </w:rPr>
        <w:t xml:space="preserve"> paralel artış söz konusu)</w:t>
      </w:r>
      <w:r w:rsidRPr="001A73E9">
        <w:rPr>
          <w:lang w:val="tr-TR"/>
        </w:rPr>
        <w:t xml:space="preserve"> işaret etmektedir. </w:t>
      </w:r>
      <w:r w:rsidR="007B0457" w:rsidRPr="001A73E9">
        <w:rPr>
          <w:lang w:val="tr-TR"/>
        </w:rPr>
        <w:t>Süper genişletilmiş tanım</w:t>
      </w:r>
      <w:r w:rsidR="007B0457" w:rsidRPr="000F0382">
        <w:rPr>
          <w:lang w:val="tr-TR"/>
        </w:rPr>
        <w:t xml:space="preserve">a </w:t>
      </w:r>
      <w:r w:rsidRPr="000F0382">
        <w:rPr>
          <w:lang w:val="tr-TR"/>
        </w:rPr>
        <w:t>göre hesaplanan tasarruf oran</w:t>
      </w:r>
      <w:r w:rsidR="007B0457" w:rsidRPr="000F0382">
        <w:rPr>
          <w:lang w:val="tr-TR"/>
        </w:rPr>
        <w:t xml:space="preserve">ı 2003 yılında yüzde 23,3 seviyesindeyken </w:t>
      </w:r>
      <w:r w:rsidRPr="000F0382">
        <w:rPr>
          <w:lang w:val="tr-TR"/>
        </w:rPr>
        <w:t>2008’de</w:t>
      </w:r>
      <w:r w:rsidR="0094287D" w:rsidRPr="000F0382">
        <w:rPr>
          <w:lang w:val="tr-TR"/>
        </w:rPr>
        <w:t xml:space="preserve"> yüzde 2</w:t>
      </w:r>
      <w:r w:rsidRPr="000F0382">
        <w:rPr>
          <w:lang w:val="tr-TR"/>
        </w:rPr>
        <w:t>0,3’e</w:t>
      </w:r>
      <w:r w:rsidR="0094287D" w:rsidRPr="000F0382">
        <w:rPr>
          <w:lang w:val="tr-TR"/>
        </w:rPr>
        <w:t xml:space="preserve"> kadar düşmüş</w:t>
      </w:r>
      <w:r w:rsidRPr="000F0382">
        <w:rPr>
          <w:lang w:val="tr-TR"/>
        </w:rPr>
        <w:t xml:space="preserve">, </w:t>
      </w:r>
      <w:r w:rsidR="007B0457" w:rsidRPr="000F0382">
        <w:rPr>
          <w:lang w:val="tr-TR"/>
        </w:rPr>
        <w:t xml:space="preserve">ardından yükselerek </w:t>
      </w:r>
      <w:r w:rsidR="0094287D" w:rsidRPr="000F0382">
        <w:rPr>
          <w:lang w:val="tr-TR"/>
        </w:rPr>
        <w:t>dayanıklı tüketim mallarına yönelik harcamalardaki artış nedeniyle</w:t>
      </w:r>
      <w:r w:rsidR="007B0457" w:rsidRPr="000F0382">
        <w:rPr>
          <w:lang w:val="tr-TR"/>
        </w:rPr>
        <w:t xml:space="preserve"> 2014 yılında yüzde 25,4’e </w:t>
      </w:r>
      <w:r w:rsidR="007B0457" w:rsidRPr="001A73E9">
        <w:rPr>
          <w:lang w:val="tr-TR"/>
        </w:rPr>
        <w:t>ulaşmıştır.</w:t>
      </w:r>
    </w:p>
    <w:p w:rsidR="004963A8" w:rsidRPr="000F53F9" w:rsidRDefault="007070F3" w:rsidP="005366C3">
      <w:pPr>
        <w:rPr>
          <w:lang w:val="tr-TR"/>
        </w:rPr>
      </w:pPr>
      <w:r w:rsidRPr="001A73E9">
        <w:rPr>
          <w:lang w:val="tr-TR"/>
        </w:rPr>
        <w:t>Bu saptamalar hanehalkı tasarruflarında</w:t>
      </w:r>
      <w:r w:rsidR="004A408A" w:rsidRPr="001A73E9">
        <w:rPr>
          <w:lang w:val="tr-TR"/>
        </w:rPr>
        <w:t xml:space="preserve"> meydana gelen büyük azalmanın esas olarak dayanıklı tüketim mallarına yapılan harc</w:t>
      </w:r>
      <w:r w:rsidR="006B0FA9" w:rsidRPr="001A73E9">
        <w:rPr>
          <w:lang w:val="tr-TR"/>
        </w:rPr>
        <w:t>a</w:t>
      </w:r>
      <w:r w:rsidR="004A408A" w:rsidRPr="001A73E9">
        <w:rPr>
          <w:lang w:val="tr-TR"/>
        </w:rPr>
        <w:t xml:space="preserve">maların gelir artışlarından çok daha hızlı artmasından kaynaklandığına işaret etmektedir. Nitekim, dayanıklı </w:t>
      </w:r>
      <w:r w:rsidRPr="001A73E9">
        <w:rPr>
          <w:lang w:val="tr-TR"/>
        </w:rPr>
        <w:t>tüketim malların</w:t>
      </w:r>
      <w:r w:rsidR="004A408A" w:rsidRPr="001A73E9">
        <w:rPr>
          <w:lang w:val="tr-TR"/>
        </w:rPr>
        <w:t>a yapılan harcamaların</w:t>
      </w:r>
      <w:r w:rsidRPr="001A73E9">
        <w:rPr>
          <w:lang w:val="tr-TR"/>
        </w:rPr>
        <w:t xml:space="preserve"> hane bütçesindeki pay</w:t>
      </w:r>
      <w:r w:rsidR="004A408A" w:rsidRPr="001A73E9">
        <w:rPr>
          <w:lang w:val="tr-TR"/>
        </w:rPr>
        <w:t>larında</w:t>
      </w:r>
      <w:r w:rsidRPr="001A73E9">
        <w:rPr>
          <w:lang w:val="tr-TR"/>
        </w:rPr>
        <w:t xml:space="preserve"> ciddi artışlar görülmektedir. 2003-200</w:t>
      </w:r>
      <w:r w:rsidR="00882F90" w:rsidRPr="001A73E9">
        <w:rPr>
          <w:lang w:val="tr-TR"/>
        </w:rPr>
        <w:t>9</w:t>
      </w:r>
      <w:r w:rsidRPr="001A73E9">
        <w:rPr>
          <w:lang w:val="tr-TR"/>
        </w:rPr>
        <w:t xml:space="preserve"> döneminde, dayanıklı tüketim mallarına yö</w:t>
      </w:r>
      <w:r w:rsidR="004A408A" w:rsidRPr="001A73E9">
        <w:rPr>
          <w:lang w:val="tr-TR"/>
        </w:rPr>
        <w:t>nelik harcamalar gelirin</w:t>
      </w:r>
      <w:r w:rsidR="004A408A">
        <w:rPr>
          <w:lang w:val="tr-TR"/>
        </w:rPr>
        <w:t xml:space="preserve"> yüzde 6,3’ü</w:t>
      </w:r>
      <w:r w:rsidRPr="004A408A">
        <w:rPr>
          <w:lang w:val="tr-TR"/>
        </w:rPr>
        <w:t xml:space="preserve"> il</w:t>
      </w:r>
      <w:r w:rsidR="004A408A">
        <w:rPr>
          <w:lang w:val="tr-TR"/>
        </w:rPr>
        <w:t>e</w:t>
      </w:r>
      <w:r w:rsidRPr="004A408A">
        <w:rPr>
          <w:lang w:val="tr-TR"/>
        </w:rPr>
        <w:t xml:space="preserve"> yüzde 11</w:t>
      </w:r>
      <w:r w:rsidR="004A408A">
        <w:rPr>
          <w:lang w:val="tr-TR"/>
        </w:rPr>
        <w:t xml:space="preserve"> arasında seyrederken</w:t>
      </w:r>
      <w:r w:rsidRPr="004A408A">
        <w:rPr>
          <w:lang w:val="tr-TR"/>
        </w:rPr>
        <w:t>, 20</w:t>
      </w:r>
      <w:r w:rsidR="00882F90">
        <w:rPr>
          <w:lang w:val="tr-TR"/>
        </w:rPr>
        <w:t>10</w:t>
      </w:r>
      <w:r w:rsidRPr="004A408A">
        <w:rPr>
          <w:lang w:val="tr-TR"/>
        </w:rPr>
        <w:t xml:space="preserve">-2014 döneminde bu pay </w:t>
      </w:r>
      <w:r w:rsidR="00882F90">
        <w:rPr>
          <w:lang w:val="tr-TR"/>
        </w:rPr>
        <w:t xml:space="preserve">düzenli bir artışla </w:t>
      </w:r>
      <w:r w:rsidRPr="004A408A">
        <w:rPr>
          <w:lang w:val="tr-TR"/>
        </w:rPr>
        <w:t>yüzde 1</w:t>
      </w:r>
      <w:r w:rsidR="00882F90">
        <w:rPr>
          <w:lang w:val="tr-TR"/>
        </w:rPr>
        <w:t>1,6’dan 14,4’e yükselimiştir.</w:t>
      </w:r>
    </w:p>
    <w:p w:rsidR="00866129" w:rsidRPr="00C35958" w:rsidRDefault="007A560C" w:rsidP="005366C3">
      <w:pPr>
        <w:rPr>
          <w:b/>
          <w:lang w:val="tr-TR"/>
        </w:rPr>
      </w:pPr>
      <w:r>
        <w:rPr>
          <w:b/>
          <w:lang w:val="tr-TR"/>
        </w:rPr>
        <w:t>T</w:t>
      </w:r>
      <w:r w:rsidRPr="00E036BB">
        <w:rPr>
          <w:b/>
          <w:lang w:val="tr-TR"/>
        </w:rPr>
        <w:t>asar</w:t>
      </w:r>
      <w:r>
        <w:rPr>
          <w:b/>
          <w:lang w:val="tr-TR"/>
        </w:rPr>
        <w:t>r</w:t>
      </w:r>
      <w:r w:rsidRPr="00E036BB">
        <w:rPr>
          <w:b/>
          <w:lang w:val="tr-TR"/>
        </w:rPr>
        <w:t>uf</w:t>
      </w:r>
      <w:r>
        <w:rPr>
          <w:b/>
          <w:lang w:val="tr-TR"/>
        </w:rPr>
        <w:t xml:space="preserve"> yetersizliğinin</w:t>
      </w:r>
      <w:r w:rsidRPr="00E036BB">
        <w:rPr>
          <w:b/>
          <w:lang w:val="tr-TR"/>
        </w:rPr>
        <w:t xml:space="preserve"> geleceği</w:t>
      </w:r>
    </w:p>
    <w:p w:rsidR="00866129" w:rsidRPr="006E33EF" w:rsidRDefault="005215D7" w:rsidP="005366C3">
      <w:pPr>
        <w:rPr>
          <w:color w:val="FF0000"/>
          <w:lang w:val="tr-TR"/>
        </w:rPr>
      </w:pPr>
      <w:r>
        <w:rPr>
          <w:lang w:val="tr-TR"/>
        </w:rPr>
        <w:t xml:space="preserve">Türkiye ekonomisinin başlıcı yapısal sorunları arasında kabul edilen ve Hükümet tarafından çeşitli teşvikler ile (en son zorunlu bireysel emeklilik kesintisi) </w:t>
      </w:r>
      <w:r w:rsidR="00BD7603">
        <w:rPr>
          <w:lang w:val="tr-TR"/>
        </w:rPr>
        <w:t xml:space="preserve">aşılmaya çalışılan tasarruf yetersizliğinin </w:t>
      </w:r>
      <w:r>
        <w:rPr>
          <w:lang w:val="tr-TR"/>
        </w:rPr>
        <w:t>e</w:t>
      </w:r>
      <w:r w:rsidR="00BD7603">
        <w:rPr>
          <w:lang w:val="tr-TR"/>
        </w:rPr>
        <w:t>s</w:t>
      </w:r>
      <w:r>
        <w:rPr>
          <w:lang w:val="tr-TR"/>
        </w:rPr>
        <w:t xml:space="preserve">asen dayanıklı tüketim mallarına yönelik güçlü talep artışından ve </w:t>
      </w:r>
      <w:r w:rsidR="00BD7603">
        <w:rPr>
          <w:lang w:val="tr-TR"/>
        </w:rPr>
        <w:t xml:space="preserve">bu </w:t>
      </w:r>
      <w:r>
        <w:rPr>
          <w:lang w:val="tr-TR"/>
        </w:rPr>
        <w:t xml:space="preserve">artışın güçlü ve kapsayıcı gelir </w:t>
      </w:r>
      <w:r>
        <w:rPr>
          <w:lang w:val="tr-TR"/>
        </w:rPr>
        <w:lastRenderedPageBreak/>
        <w:t>artışları</w:t>
      </w:r>
      <w:r w:rsidR="00BD7603">
        <w:rPr>
          <w:lang w:val="tr-TR"/>
        </w:rPr>
        <w:t xml:space="preserve"> ile</w:t>
      </w:r>
      <w:r>
        <w:rPr>
          <w:lang w:val="tr-TR"/>
        </w:rPr>
        <w:t xml:space="preserve"> hanelerin </w:t>
      </w:r>
      <w:r w:rsidR="00BD7603">
        <w:rPr>
          <w:lang w:val="tr-TR"/>
        </w:rPr>
        <w:t>k</w:t>
      </w:r>
      <w:r>
        <w:rPr>
          <w:lang w:val="tr-TR"/>
        </w:rPr>
        <w:t xml:space="preserve">rediye erişimindeki </w:t>
      </w:r>
      <w:r w:rsidR="00BD7603">
        <w:rPr>
          <w:lang w:val="tr-TR"/>
        </w:rPr>
        <w:t xml:space="preserve">kolaylaştırıcı </w:t>
      </w:r>
      <w:r>
        <w:rPr>
          <w:lang w:val="tr-TR"/>
        </w:rPr>
        <w:t xml:space="preserve">gelişmelerden kaynaklandığı açıktır. </w:t>
      </w:r>
      <w:r w:rsidR="00866129" w:rsidRPr="006E33EF">
        <w:rPr>
          <w:lang w:val="tr-TR"/>
        </w:rPr>
        <w:t xml:space="preserve">1998 bazlı reel GSYH’nın 2003’ten 2014’e yüzde </w:t>
      </w:r>
      <w:r w:rsidR="00AD590D" w:rsidRPr="006E33EF">
        <w:rPr>
          <w:lang w:val="tr-TR"/>
        </w:rPr>
        <w:t>65</w:t>
      </w:r>
      <w:r w:rsidR="00866129" w:rsidRPr="006E33EF">
        <w:rPr>
          <w:lang w:val="tr-TR"/>
        </w:rPr>
        <w:t xml:space="preserve"> arttığını </w:t>
      </w:r>
      <w:r w:rsidR="002376DD">
        <w:rPr>
          <w:lang w:val="tr-TR"/>
        </w:rPr>
        <w:t>biliyoruz (</w:t>
      </w:r>
      <w:r w:rsidR="002376DD" w:rsidRPr="006E33EF">
        <w:rPr>
          <w:lang w:val="tr-TR"/>
        </w:rPr>
        <w:t>TÜİK Ulusal Hesaplar</w:t>
      </w:r>
      <w:r w:rsidR="002376DD">
        <w:rPr>
          <w:lang w:val="tr-TR"/>
        </w:rPr>
        <w:t xml:space="preserve">). </w:t>
      </w:r>
      <w:r w:rsidR="00866129" w:rsidRPr="006E33EF">
        <w:rPr>
          <w:lang w:val="tr-TR"/>
        </w:rPr>
        <w:t xml:space="preserve"> Aynı dönemde hane sayısı </w:t>
      </w:r>
      <w:r w:rsidR="007F2F59" w:rsidRPr="006E33EF">
        <w:rPr>
          <w:lang w:val="tr-TR"/>
        </w:rPr>
        <w:t>16 milyon 744 bin</w:t>
      </w:r>
      <w:r w:rsidR="00866129" w:rsidRPr="006E33EF">
        <w:rPr>
          <w:lang w:val="tr-TR"/>
        </w:rPr>
        <w:t xml:space="preserve">den </w:t>
      </w:r>
      <w:r w:rsidR="007F2F59" w:rsidRPr="006E33EF">
        <w:rPr>
          <w:lang w:val="tr-TR"/>
        </w:rPr>
        <w:t>21 milyon 372</w:t>
      </w:r>
      <w:r w:rsidR="001A73E9">
        <w:rPr>
          <w:lang w:val="tr-TR"/>
        </w:rPr>
        <w:t xml:space="preserve"> </w:t>
      </w:r>
      <w:r w:rsidR="007F2F59" w:rsidRPr="006E33EF">
        <w:rPr>
          <w:lang w:val="tr-TR"/>
        </w:rPr>
        <w:t>bin</w:t>
      </w:r>
      <w:r w:rsidR="00866129" w:rsidRPr="006E33EF">
        <w:rPr>
          <w:lang w:val="tr-TR"/>
        </w:rPr>
        <w:t>e yüksel</w:t>
      </w:r>
      <w:r w:rsidR="00684C4A" w:rsidRPr="006E33EF">
        <w:rPr>
          <w:lang w:val="tr-TR"/>
        </w:rPr>
        <w:t xml:space="preserve">diğinden hane başına düşen reel GSYH’nın yüzde </w:t>
      </w:r>
      <w:r w:rsidR="007F2F59" w:rsidRPr="006E33EF">
        <w:rPr>
          <w:lang w:val="tr-TR"/>
        </w:rPr>
        <w:t>30</w:t>
      </w:r>
      <w:r w:rsidR="00684C4A" w:rsidRPr="006E33EF">
        <w:rPr>
          <w:color w:val="FF0000"/>
          <w:lang w:val="tr-TR"/>
        </w:rPr>
        <w:t xml:space="preserve"> </w:t>
      </w:r>
      <w:r w:rsidR="00684C4A" w:rsidRPr="006E33EF">
        <w:rPr>
          <w:lang w:val="tr-TR"/>
        </w:rPr>
        <w:t>arttığı hesaplanabilir. TÜİK HBA verileri</w:t>
      </w:r>
      <w:r w:rsidR="00E654A5" w:rsidRPr="006E33EF">
        <w:rPr>
          <w:lang w:val="tr-TR"/>
        </w:rPr>
        <w:t xml:space="preserve"> dikkate alındığında</w:t>
      </w:r>
      <w:r w:rsidR="00684C4A" w:rsidRPr="006E33EF">
        <w:rPr>
          <w:lang w:val="tr-TR"/>
        </w:rPr>
        <w:t xml:space="preserve"> ise hanehalkı kullanılabilir gelirinde 2003-2014 döneminde reel olarak (</w:t>
      </w:r>
      <w:r w:rsidR="00300F0F" w:rsidRPr="006E33EF">
        <w:rPr>
          <w:lang w:val="tr-TR"/>
        </w:rPr>
        <w:t>Deflatör TÜFE)</w:t>
      </w:r>
      <w:r w:rsidR="00866129" w:rsidRPr="006E33EF">
        <w:rPr>
          <w:lang w:val="tr-TR"/>
        </w:rPr>
        <w:t xml:space="preserve"> </w:t>
      </w:r>
      <w:r w:rsidR="00684C4A" w:rsidRPr="006E33EF">
        <w:rPr>
          <w:lang w:val="tr-TR"/>
        </w:rPr>
        <w:t>yüzde</w:t>
      </w:r>
      <w:r w:rsidR="00684C4A" w:rsidRPr="006E33EF">
        <w:rPr>
          <w:color w:val="FF0000"/>
          <w:lang w:val="tr-TR"/>
        </w:rPr>
        <w:t xml:space="preserve"> </w:t>
      </w:r>
      <w:r w:rsidR="005F196F" w:rsidRPr="006E33EF">
        <w:rPr>
          <w:lang w:val="tr-TR"/>
        </w:rPr>
        <w:t>33</w:t>
      </w:r>
      <w:r w:rsidR="00684C4A" w:rsidRPr="006E33EF">
        <w:rPr>
          <w:color w:val="FF0000"/>
          <w:lang w:val="tr-TR"/>
        </w:rPr>
        <w:t xml:space="preserve"> </w:t>
      </w:r>
      <w:r w:rsidR="00684C4A" w:rsidRPr="006E33EF">
        <w:rPr>
          <w:lang w:val="tr-TR"/>
        </w:rPr>
        <w:t>artış gerçekleştiğini hesaplıyoruz.</w:t>
      </w:r>
      <w:r w:rsidR="00E654A5" w:rsidRPr="006E33EF">
        <w:rPr>
          <w:lang w:val="tr-TR"/>
        </w:rPr>
        <w:t xml:space="preserve"> </w:t>
      </w:r>
      <w:r w:rsidR="00184006">
        <w:rPr>
          <w:lang w:val="tr-TR"/>
        </w:rPr>
        <w:t xml:space="preserve">Bu iki farklı yoldan yapılan gelir artışı tahmini fazlasıyla tutarlıdır. </w:t>
      </w:r>
      <w:r w:rsidR="00E654A5" w:rsidRPr="006E33EF">
        <w:rPr>
          <w:lang w:val="tr-TR"/>
        </w:rPr>
        <w:t xml:space="preserve">Reel gelir artışlarına rağmen hanehalkı tasaruflarının büyük ölçüde azalması ilk yaklaşımda şaşırtıcı gelebilir. Ancak </w:t>
      </w:r>
      <w:r w:rsidR="002376DD">
        <w:rPr>
          <w:lang w:val="tr-TR"/>
        </w:rPr>
        <w:t>yu</w:t>
      </w:r>
      <w:r w:rsidR="00491FEC">
        <w:rPr>
          <w:lang w:val="tr-TR"/>
        </w:rPr>
        <w:t>k</w:t>
      </w:r>
      <w:r w:rsidR="002376DD">
        <w:rPr>
          <w:lang w:val="tr-TR"/>
        </w:rPr>
        <w:t xml:space="preserve">arıda belirttiğimiz gibi </w:t>
      </w:r>
      <w:r w:rsidR="00E654A5" w:rsidRPr="006E33EF">
        <w:rPr>
          <w:lang w:val="tr-TR"/>
        </w:rPr>
        <w:t>tasarrufların uzun vadeli harcamalar dikkate alınarak daha geniş bir tanımı yapıldığında</w:t>
      </w:r>
      <w:r w:rsidR="002376DD">
        <w:rPr>
          <w:lang w:val="tr-TR"/>
        </w:rPr>
        <w:t>,</w:t>
      </w:r>
      <w:r w:rsidR="00E654A5" w:rsidRPr="006E33EF">
        <w:rPr>
          <w:lang w:val="tr-TR"/>
        </w:rPr>
        <w:t xml:space="preserve"> bu azalışın hanehalklarının artan gelirlerinden daha fazlasını başta mobilya, </w:t>
      </w:r>
      <w:r w:rsidR="00300F0F" w:rsidRPr="006E33EF">
        <w:rPr>
          <w:lang w:val="tr-TR"/>
        </w:rPr>
        <w:t xml:space="preserve">otomobil </w:t>
      </w:r>
      <w:r w:rsidR="00491FEC">
        <w:rPr>
          <w:lang w:val="tr-TR"/>
        </w:rPr>
        <w:t>olmak üzere</w:t>
      </w:r>
      <w:r w:rsidR="00300F0F" w:rsidRPr="006E33EF">
        <w:rPr>
          <w:lang w:val="tr-TR"/>
        </w:rPr>
        <w:t xml:space="preserve"> </w:t>
      </w:r>
      <w:r w:rsidR="00E654A5" w:rsidRPr="006E33EF">
        <w:rPr>
          <w:lang w:val="tr-TR"/>
        </w:rPr>
        <w:t>çeşitli türden dayanıklı tüketim mal</w:t>
      </w:r>
      <w:r w:rsidR="002376DD">
        <w:rPr>
          <w:lang w:val="tr-TR"/>
        </w:rPr>
        <w:t>larına yap</w:t>
      </w:r>
      <w:r w:rsidR="008F3888">
        <w:rPr>
          <w:lang w:val="tr-TR"/>
        </w:rPr>
        <w:t>tıkları harcamalardan kaynaklandığı anlaşılmaktadır</w:t>
      </w:r>
      <w:r w:rsidR="00E654A5" w:rsidRPr="006E33EF">
        <w:rPr>
          <w:lang w:val="tr-TR"/>
        </w:rPr>
        <w:t xml:space="preserve">.  </w:t>
      </w:r>
    </w:p>
    <w:p w:rsidR="00EB614B" w:rsidRDefault="00D0512B" w:rsidP="005366C3">
      <w:pPr>
        <w:rPr>
          <w:lang w:val="tr-TR"/>
        </w:rPr>
      </w:pPr>
      <w:r w:rsidRPr="0092596B">
        <w:rPr>
          <w:lang w:val="tr-TR"/>
        </w:rPr>
        <w:t xml:space="preserve">2013-2014 döneminde </w:t>
      </w:r>
      <w:r w:rsidR="00F02E9D">
        <w:rPr>
          <w:lang w:val="tr-TR"/>
        </w:rPr>
        <w:t>hane</w:t>
      </w:r>
      <w:r w:rsidRPr="0092596B">
        <w:rPr>
          <w:lang w:val="tr-TR"/>
        </w:rPr>
        <w:t>halkı tasarruf oranlarında sınırlı bir artış gözlemlenmektedir. Ancak bu artışın kalıcı bir eğilimi yansıtıp yansıtmadığı</w:t>
      </w:r>
      <w:r w:rsidR="00F02E9D">
        <w:rPr>
          <w:lang w:val="tr-TR"/>
        </w:rPr>
        <w:t>nı</w:t>
      </w:r>
      <w:r w:rsidRPr="0092596B">
        <w:rPr>
          <w:lang w:val="tr-TR"/>
        </w:rPr>
        <w:t xml:space="preserve"> kestirmek için erkendir. </w:t>
      </w:r>
      <w:r w:rsidR="007D758D" w:rsidRPr="0092596B">
        <w:rPr>
          <w:lang w:val="tr-TR"/>
        </w:rPr>
        <w:t>Orta uzun vadede dayanıklı tüketim mallarına yönelik iştahın yavaş yavaş durulması beklenebilir. Hanelerin reel gelir artışları da nispeten güçlü bir düzeyde devam ettiği takdirde bu durulma tasa</w:t>
      </w:r>
      <w:r w:rsidR="00EB614B" w:rsidRPr="0092596B">
        <w:rPr>
          <w:lang w:val="tr-TR"/>
        </w:rPr>
        <w:t>r</w:t>
      </w:r>
      <w:r w:rsidR="007D758D" w:rsidRPr="0092596B">
        <w:rPr>
          <w:lang w:val="tr-TR"/>
        </w:rPr>
        <w:t>ruf artışını destekleyebilir. Bununla birlikte gelir artışları düşük gelirli kesimleri kapsadıkça</w:t>
      </w:r>
      <w:r w:rsidR="00EB614B" w:rsidRPr="0092596B">
        <w:rPr>
          <w:lang w:val="tr-TR"/>
        </w:rPr>
        <w:t xml:space="preserve"> dayanık</w:t>
      </w:r>
      <w:r w:rsidR="007D758D" w:rsidRPr="0092596B">
        <w:rPr>
          <w:lang w:val="tr-TR"/>
        </w:rPr>
        <w:t xml:space="preserve">lı tüketim mallarına yönelik talebin daha uzun süre canlı kalması da yüksek ihtimaldir. </w:t>
      </w:r>
    </w:p>
    <w:sectPr w:rsidR="00EB614B" w:rsidSect="00133D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63" w:rsidRDefault="003B5163" w:rsidP="00C332C3">
      <w:pPr>
        <w:spacing w:after="0" w:line="240" w:lineRule="auto"/>
      </w:pPr>
      <w:r>
        <w:separator/>
      </w:r>
    </w:p>
  </w:endnote>
  <w:endnote w:type="continuationSeparator" w:id="0">
    <w:p w:rsidR="003B5163" w:rsidRDefault="003B5163" w:rsidP="00C3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10717"/>
      <w:docPartObj>
        <w:docPartGallery w:val="Page Numbers (Bottom of Page)"/>
        <w:docPartUnique/>
      </w:docPartObj>
    </w:sdtPr>
    <w:sdtEndPr/>
    <w:sdtContent>
      <w:p w:rsidR="00B03E0F" w:rsidRDefault="00B03E0F">
        <w:pPr>
          <w:pStyle w:val="Footer"/>
          <w:jc w:val="right"/>
        </w:pPr>
        <w:r>
          <w:fldChar w:fldCharType="begin"/>
        </w:r>
        <w:r>
          <w:instrText>PAGE   \* MERGEFORMAT</w:instrText>
        </w:r>
        <w:r>
          <w:fldChar w:fldCharType="separate"/>
        </w:r>
        <w:r w:rsidR="001D3B7D" w:rsidRPr="001D3B7D">
          <w:rPr>
            <w:lang w:val="tr-TR"/>
          </w:rPr>
          <w:t>1</w:t>
        </w:r>
        <w:r>
          <w:fldChar w:fldCharType="end"/>
        </w:r>
      </w:p>
    </w:sdtContent>
  </w:sdt>
  <w:p w:rsidR="00B03E0F" w:rsidRDefault="00B0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63" w:rsidRDefault="003B5163" w:rsidP="00C332C3">
      <w:pPr>
        <w:spacing w:after="0" w:line="240" w:lineRule="auto"/>
      </w:pPr>
      <w:r>
        <w:separator/>
      </w:r>
    </w:p>
  </w:footnote>
  <w:footnote w:type="continuationSeparator" w:id="0">
    <w:p w:rsidR="003B5163" w:rsidRDefault="003B5163" w:rsidP="00C332C3">
      <w:pPr>
        <w:spacing w:after="0" w:line="240" w:lineRule="auto"/>
      </w:pPr>
      <w:r>
        <w:continuationSeparator/>
      </w:r>
    </w:p>
  </w:footnote>
  <w:footnote w:id="1">
    <w:p w:rsidR="0051060D" w:rsidRPr="00F477EA" w:rsidRDefault="0051060D" w:rsidP="0051060D">
      <w:pPr>
        <w:pStyle w:val="FootnoteText"/>
      </w:pPr>
      <w:r w:rsidRPr="00F477EA">
        <w:rPr>
          <w:rStyle w:val="FootnoteReference"/>
          <w:sz w:val="16"/>
          <w:szCs w:val="16"/>
        </w:rPr>
        <w:t>*</w:t>
      </w:r>
      <w:r w:rsidRPr="00F477EA">
        <w:rPr>
          <w:rFonts w:cs="Arial"/>
          <w:sz w:val="16"/>
          <w:szCs w:val="16"/>
        </w:rPr>
        <w:t>Prof. Dr. Seyfettin Gürsel, Betam, Direktör,</w:t>
      </w:r>
      <w:r>
        <w:rPr>
          <w:rFonts w:cs="Arial"/>
          <w:sz w:val="16"/>
          <w:szCs w:val="16"/>
        </w:rPr>
        <w:t xml:space="preserve"> </w:t>
      </w:r>
      <w:hyperlink r:id="rId1" w:history="1">
        <w:r w:rsidRPr="0051060D">
          <w:rPr>
            <w:rStyle w:val="Hyperlink"/>
            <w:rFonts w:cs="Arial"/>
            <w:sz w:val="16"/>
            <w:szCs w:val="16"/>
          </w:rPr>
          <w:t>seyfettin.gursel@eas.bau.edu.tr</w:t>
        </w:r>
      </w:hyperlink>
    </w:p>
  </w:footnote>
  <w:footnote w:id="2">
    <w:p w:rsidR="0051060D" w:rsidRPr="00F477EA" w:rsidRDefault="0051060D" w:rsidP="0051060D">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 xml:space="preserve"> Yrd. Doç. Dr. Gökçe Uysal, Betam, Direktör Yardımcısı,</w:t>
      </w:r>
      <w:r>
        <w:rPr>
          <w:rFonts w:cs="Arial"/>
          <w:sz w:val="16"/>
          <w:szCs w:val="16"/>
        </w:rPr>
        <w:t xml:space="preserve"> </w:t>
      </w:r>
      <w:hyperlink r:id="rId2" w:history="1">
        <w:r w:rsidRPr="0051060D">
          <w:rPr>
            <w:rStyle w:val="Hyperlink"/>
            <w:rFonts w:cs="Arial"/>
            <w:sz w:val="16"/>
            <w:szCs w:val="16"/>
          </w:rPr>
          <w:t>gokce.uysal@eas.bau.edu.tr</w:t>
        </w:r>
      </w:hyperlink>
    </w:p>
  </w:footnote>
  <w:footnote w:id="3">
    <w:p w:rsidR="0051060D" w:rsidRPr="00F477EA" w:rsidRDefault="0051060D" w:rsidP="0051060D">
      <w:pPr>
        <w:pStyle w:val="FootnoteText"/>
      </w:pPr>
      <w:r w:rsidRPr="00F477EA">
        <w:rPr>
          <w:rStyle w:val="FootnoteReference"/>
          <w:sz w:val="16"/>
          <w:szCs w:val="16"/>
        </w:rPr>
        <w:sym w:font="Symbol" w:char="F02A"/>
      </w:r>
      <w:r w:rsidRPr="00F477EA">
        <w:rPr>
          <w:rStyle w:val="FootnoteReference"/>
          <w:sz w:val="16"/>
          <w:szCs w:val="16"/>
        </w:rPr>
        <w:sym w:font="Symbol" w:char="F02A"/>
      </w:r>
      <w:r w:rsidRPr="00F477EA">
        <w:rPr>
          <w:rStyle w:val="FootnoteReference"/>
          <w:sz w:val="16"/>
          <w:szCs w:val="16"/>
        </w:rPr>
        <w:sym w:font="Symbol" w:char="F02A"/>
      </w:r>
      <w:r w:rsidRPr="00F477EA">
        <w:rPr>
          <w:rFonts w:cs="Arial"/>
          <w:sz w:val="16"/>
          <w:szCs w:val="16"/>
        </w:rPr>
        <w:t>Melike Kökkızıl, Betam, Araştırma Görevlisi,</w:t>
      </w:r>
      <w:r>
        <w:rPr>
          <w:rFonts w:cs="Arial"/>
          <w:sz w:val="16"/>
          <w:szCs w:val="16"/>
        </w:rPr>
        <w:t xml:space="preserve"> </w:t>
      </w:r>
      <w:hyperlink r:id="rId3" w:history="1">
        <w:r w:rsidRPr="0051060D">
          <w:rPr>
            <w:rStyle w:val="Hyperlink"/>
            <w:rFonts w:cs="Arial"/>
            <w:sz w:val="16"/>
            <w:szCs w:val="16"/>
          </w:rPr>
          <w:t>melike.kokkizil@eas.bau.edu.tr</w:t>
        </w:r>
      </w:hyperlink>
    </w:p>
  </w:footnote>
  <w:footnote w:id="4">
    <w:p w:rsidR="00022414" w:rsidRPr="00755E62" w:rsidRDefault="00022414" w:rsidP="00022414">
      <w:pPr>
        <w:pStyle w:val="FootnoteText"/>
        <w:rPr>
          <w:lang w:val="tr-TR"/>
        </w:rPr>
      </w:pPr>
      <w:r>
        <w:rPr>
          <w:rStyle w:val="FootnoteReference"/>
        </w:rPr>
        <w:footnoteRef/>
      </w:r>
      <w:r w:rsidRPr="00D30ED3">
        <w:rPr>
          <w:lang w:val="tr-TR"/>
        </w:rPr>
        <w:t xml:space="preserve"> </w:t>
      </w:r>
      <w:r>
        <w:rPr>
          <w:lang w:val="tr-TR"/>
        </w:rPr>
        <w:t>Ağırlıklandırma için her bir hanenin Türkiye’deki toplam kullanılabilir hane gelire oranı kullanılmıştır.</w:t>
      </w:r>
    </w:p>
  </w:footnote>
  <w:footnote w:id="5">
    <w:p w:rsidR="00080BCC" w:rsidRPr="00D30ED3" w:rsidRDefault="00080BCC" w:rsidP="00080BCC">
      <w:pPr>
        <w:pStyle w:val="FootnoteText"/>
        <w:rPr>
          <w:lang w:val="tr-TR"/>
        </w:rPr>
      </w:pPr>
      <w:r>
        <w:rPr>
          <w:rStyle w:val="FootnoteReference"/>
        </w:rPr>
        <w:footnoteRef/>
      </w:r>
      <w:r w:rsidRPr="00D30ED3">
        <w:rPr>
          <w:lang w:val="tr-TR"/>
        </w:rPr>
        <w:t xml:space="preserve"> </w:t>
      </w:r>
      <w:r w:rsidRPr="00D30ED3">
        <w:rPr>
          <w:lang w:val="tr-TR"/>
        </w:rPr>
        <w:t>Literatürdeki bu yaklaşıma dair daha detaylı bilgi için:</w:t>
      </w:r>
    </w:p>
    <w:p w:rsidR="00080BCC" w:rsidRPr="00CE0963" w:rsidRDefault="00080BCC" w:rsidP="00080BCC">
      <w:pPr>
        <w:pStyle w:val="FootnoteText"/>
        <w:rPr>
          <w:lang w:val="tr-TR"/>
        </w:rPr>
      </w:pPr>
      <w:r w:rsidRPr="00CE0963">
        <w:rPr>
          <w:lang w:val="tr-TR"/>
        </w:rPr>
        <w:t>Székely, M. and O. P. Attanasio.(2000), Household Saving in Developing Countries - Inequality,</w:t>
      </w:r>
    </w:p>
    <w:p w:rsidR="00080BCC" w:rsidRPr="00CE0963" w:rsidRDefault="00080BCC" w:rsidP="00080BCC">
      <w:pPr>
        <w:pStyle w:val="FootnoteText"/>
        <w:rPr>
          <w:lang w:val="tr-TR"/>
        </w:rPr>
      </w:pPr>
      <w:r w:rsidRPr="00CE0963">
        <w:rPr>
          <w:lang w:val="tr-TR"/>
        </w:rPr>
        <w:t>Demographics and All That: How Different are Latin America and South East Asia?, RES Working Papers 4221, Inter-American Development Bank, Research Department.</w:t>
      </w:r>
    </w:p>
    <w:p w:rsidR="00080BCC" w:rsidRPr="00CE5CF7" w:rsidRDefault="00080BCC" w:rsidP="00080BCC">
      <w:pPr>
        <w:pStyle w:val="FootnoteText"/>
      </w:pPr>
      <w:r w:rsidRPr="00CE0963">
        <w:t>Gourinchas, P.-O. and Parker, J. A. (2002), Consumption Over the Life Cycle. Econometrica</w:t>
      </w:r>
      <w:r>
        <w:t>,</w:t>
      </w:r>
      <w:r w:rsidRPr="00CE5CF7">
        <w:t>70 (1), 47–89.</w:t>
      </w:r>
    </w:p>
  </w:footnote>
  <w:footnote w:id="6">
    <w:p w:rsidR="00BB1835" w:rsidRPr="00167F6A" w:rsidRDefault="00BB1835" w:rsidP="00BB1835">
      <w:pPr>
        <w:spacing w:after="0" w:line="240" w:lineRule="auto"/>
        <w:rPr>
          <w:sz w:val="20"/>
          <w:szCs w:val="20"/>
          <w:lang w:val="tr-TR"/>
        </w:rPr>
      </w:pPr>
      <w:r>
        <w:rPr>
          <w:rStyle w:val="FootnoteReference"/>
        </w:rPr>
        <w:footnoteRef/>
      </w:r>
      <w:r>
        <w:t xml:space="preserve"> </w:t>
      </w:r>
      <w:r w:rsidRPr="00167F6A">
        <w:rPr>
          <w:sz w:val="20"/>
          <w:szCs w:val="20"/>
          <w:lang w:val="tr-TR"/>
        </w:rPr>
        <w:t>Dayanıklı tüketim mallarına Eurostat tarafından kabul edilen şu tüketim grupları dahil edilmiştir: M</w:t>
      </w:r>
      <w:r w:rsidRPr="00167F6A">
        <w:rPr>
          <w:sz w:val="20"/>
          <w:szCs w:val="20"/>
        </w:rPr>
        <w:t xml:space="preserve">obilya, halılar ve diğer yer döşemeleri, buzdolabı ve dondurucular, çamaşır makineleri ile çamaşır kurutma makineleri ve bulaşık makineleri, fırınlar, ısıtıcılar ve klimalar, temizlik ekipmanları, dikiş ve örme makineleri, hanehalklarının kullandığı diğer temel cihazlar,tedavide kullanılan alet ve ekipmanlar, yeni otomobil, </w:t>
      </w:r>
      <w:r w:rsidR="009801C2" w:rsidRPr="009801C2">
        <w:rPr>
          <w:sz w:val="20"/>
          <w:szCs w:val="20"/>
        </w:rPr>
        <w:t>ikinci</w:t>
      </w:r>
      <w:r w:rsidRPr="009801C2">
        <w:rPr>
          <w:sz w:val="20"/>
          <w:szCs w:val="20"/>
        </w:rPr>
        <w:t xml:space="preserve"> el ot</w:t>
      </w:r>
      <w:r w:rsidR="009801C2">
        <w:rPr>
          <w:sz w:val="20"/>
          <w:szCs w:val="20"/>
        </w:rPr>
        <w:t>omobil ile motosiklet, bisiklet</w:t>
      </w:r>
      <w:r w:rsidRPr="009801C2">
        <w:rPr>
          <w:sz w:val="20"/>
          <w:szCs w:val="20"/>
        </w:rPr>
        <w:t>, telefon ve faks ekipmanları, seslerin alınmasına, kaydedilmesine veya çoğaltılmasına ilişkin ekipmanlar, TV setleri ile video-kaset çalar ve teypler, fotografik ve sinematografik ekipmanlar, optik aletler, veri işlem ekipmanları, ev dışındaki eğlenceye yönelik başlıca dayanıklı mallar ve son olarak evde eğlenceye yönelik dayanıklı mallar</w:t>
      </w:r>
    </w:p>
  </w:footnote>
  <w:footnote w:id="7">
    <w:p w:rsidR="008D40BB" w:rsidRPr="00167F6A" w:rsidRDefault="008D40BB" w:rsidP="00167F6A">
      <w:pPr>
        <w:pStyle w:val="FootnoteText"/>
        <w:rPr>
          <w:lang w:val="tr-TR"/>
        </w:rPr>
      </w:pPr>
      <w:r w:rsidRPr="00167F6A">
        <w:rPr>
          <w:rStyle w:val="FootnoteReference"/>
        </w:rPr>
        <w:footnoteRef/>
      </w:r>
      <w:r w:rsidRPr="00EE729E">
        <w:rPr>
          <w:lang w:val="tr-TR"/>
        </w:rPr>
        <w:t xml:space="preserve"> </w:t>
      </w:r>
      <w:r w:rsidRPr="00EE729E">
        <w:rPr>
          <w:lang w:val="tr-TR"/>
        </w:rPr>
        <w:t>Hanenin eğitime yönelik harcamalarını hesaplarken Bütçe anketinde yer alan her türlü eğitim seviyesi ( kreş, anaokulları, okul öncesi, ilköğretim, ortaöğretim, ortaöğretim sonrası ve üniversite öncesi ile yüksek eğitim) için yapılan harcamalar dikkate alınmıştır. Sağlık harcamaları için ise şu kalemler dikkate alınmıştır: eczacılıkla ilgili ürünler, diğer tıbbi ürünler, tedavide kullanılan alet ve ekipmanlar, tıbbi hizmetler, dişçilik hizmetleri, medikal analiz labaratuarlarının ve röntgen merkezlerinin hizmetleri, tıbbi yardımcıları hizmetleri, hastaneyle ilgili olmayan diğer hizmetler ve hastane hizmetleri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6F"/>
    <w:rsid w:val="00003CC9"/>
    <w:rsid w:val="000057B7"/>
    <w:rsid w:val="000113D8"/>
    <w:rsid w:val="0001178B"/>
    <w:rsid w:val="00015B1F"/>
    <w:rsid w:val="00015C80"/>
    <w:rsid w:val="00022414"/>
    <w:rsid w:val="000231F4"/>
    <w:rsid w:val="00024D9A"/>
    <w:rsid w:val="000267CD"/>
    <w:rsid w:val="00030E86"/>
    <w:rsid w:val="000312D3"/>
    <w:rsid w:val="00033A25"/>
    <w:rsid w:val="000367A9"/>
    <w:rsid w:val="00042FCE"/>
    <w:rsid w:val="0005021B"/>
    <w:rsid w:val="0005165F"/>
    <w:rsid w:val="00055B06"/>
    <w:rsid w:val="00060433"/>
    <w:rsid w:val="000655C6"/>
    <w:rsid w:val="00067778"/>
    <w:rsid w:val="00067A1B"/>
    <w:rsid w:val="00070764"/>
    <w:rsid w:val="00073ACB"/>
    <w:rsid w:val="00075100"/>
    <w:rsid w:val="00076343"/>
    <w:rsid w:val="00080BCC"/>
    <w:rsid w:val="00081F3D"/>
    <w:rsid w:val="0008204E"/>
    <w:rsid w:val="00082388"/>
    <w:rsid w:val="00083891"/>
    <w:rsid w:val="00094429"/>
    <w:rsid w:val="0009518F"/>
    <w:rsid w:val="00095CA6"/>
    <w:rsid w:val="00096B19"/>
    <w:rsid w:val="000A7224"/>
    <w:rsid w:val="000B0EDA"/>
    <w:rsid w:val="000B30BA"/>
    <w:rsid w:val="000B3EE8"/>
    <w:rsid w:val="000B45CD"/>
    <w:rsid w:val="000B4729"/>
    <w:rsid w:val="000B52D7"/>
    <w:rsid w:val="000B5A9D"/>
    <w:rsid w:val="000B782B"/>
    <w:rsid w:val="000C52CF"/>
    <w:rsid w:val="000D117F"/>
    <w:rsid w:val="000D30A0"/>
    <w:rsid w:val="000E12DE"/>
    <w:rsid w:val="000E24E4"/>
    <w:rsid w:val="000E30B4"/>
    <w:rsid w:val="000E45B9"/>
    <w:rsid w:val="000F0382"/>
    <w:rsid w:val="000F0FFB"/>
    <w:rsid w:val="000F53F9"/>
    <w:rsid w:val="0010058D"/>
    <w:rsid w:val="001005D5"/>
    <w:rsid w:val="001019A3"/>
    <w:rsid w:val="00102578"/>
    <w:rsid w:val="00103768"/>
    <w:rsid w:val="00103B7E"/>
    <w:rsid w:val="00106A13"/>
    <w:rsid w:val="00111595"/>
    <w:rsid w:val="00112888"/>
    <w:rsid w:val="00113D87"/>
    <w:rsid w:val="00114D5A"/>
    <w:rsid w:val="00122B8C"/>
    <w:rsid w:val="00123024"/>
    <w:rsid w:val="0012329A"/>
    <w:rsid w:val="00131A0C"/>
    <w:rsid w:val="00131AB2"/>
    <w:rsid w:val="00132C59"/>
    <w:rsid w:val="00133D9F"/>
    <w:rsid w:val="00141FF9"/>
    <w:rsid w:val="00144EC2"/>
    <w:rsid w:val="0014500D"/>
    <w:rsid w:val="001651EF"/>
    <w:rsid w:val="0016767C"/>
    <w:rsid w:val="00167F6A"/>
    <w:rsid w:val="00174015"/>
    <w:rsid w:val="00174954"/>
    <w:rsid w:val="00174B25"/>
    <w:rsid w:val="00174DAD"/>
    <w:rsid w:val="00183462"/>
    <w:rsid w:val="00184006"/>
    <w:rsid w:val="00192C37"/>
    <w:rsid w:val="00193E69"/>
    <w:rsid w:val="001945A1"/>
    <w:rsid w:val="0019726A"/>
    <w:rsid w:val="001A73E9"/>
    <w:rsid w:val="001B18AA"/>
    <w:rsid w:val="001B206C"/>
    <w:rsid w:val="001B702B"/>
    <w:rsid w:val="001C5C48"/>
    <w:rsid w:val="001C77DC"/>
    <w:rsid w:val="001D0599"/>
    <w:rsid w:val="001D3B7D"/>
    <w:rsid w:val="001D5D7B"/>
    <w:rsid w:val="001E5772"/>
    <w:rsid w:val="001E5A69"/>
    <w:rsid w:val="001E5CED"/>
    <w:rsid w:val="001F1C56"/>
    <w:rsid w:val="001F7FE5"/>
    <w:rsid w:val="00200D68"/>
    <w:rsid w:val="00203580"/>
    <w:rsid w:val="00206ED2"/>
    <w:rsid w:val="0021197C"/>
    <w:rsid w:val="00214A49"/>
    <w:rsid w:val="0021603D"/>
    <w:rsid w:val="002167D1"/>
    <w:rsid w:val="002234B0"/>
    <w:rsid w:val="00227EF0"/>
    <w:rsid w:val="0023244E"/>
    <w:rsid w:val="00233DDD"/>
    <w:rsid w:val="00235DD5"/>
    <w:rsid w:val="00236A7C"/>
    <w:rsid w:val="002376DD"/>
    <w:rsid w:val="00240DB6"/>
    <w:rsid w:val="00242A8F"/>
    <w:rsid w:val="002553EE"/>
    <w:rsid w:val="002601A5"/>
    <w:rsid w:val="00261E94"/>
    <w:rsid w:val="0026249B"/>
    <w:rsid w:val="002634CD"/>
    <w:rsid w:val="002676DC"/>
    <w:rsid w:val="00267F74"/>
    <w:rsid w:val="00271440"/>
    <w:rsid w:val="002753E4"/>
    <w:rsid w:val="002757B3"/>
    <w:rsid w:val="0028122C"/>
    <w:rsid w:val="00285C8C"/>
    <w:rsid w:val="00290F3D"/>
    <w:rsid w:val="00291DB3"/>
    <w:rsid w:val="002923AA"/>
    <w:rsid w:val="0029243C"/>
    <w:rsid w:val="002A51A1"/>
    <w:rsid w:val="002B0248"/>
    <w:rsid w:val="002B092D"/>
    <w:rsid w:val="002B1103"/>
    <w:rsid w:val="002B31AB"/>
    <w:rsid w:val="002C12B1"/>
    <w:rsid w:val="002C3F54"/>
    <w:rsid w:val="002D0025"/>
    <w:rsid w:val="002D3130"/>
    <w:rsid w:val="002D5DED"/>
    <w:rsid w:val="002D70DF"/>
    <w:rsid w:val="002E197E"/>
    <w:rsid w:val="002E1FDD"/>
    <w:rsid w:val="002E5555"/>
    <w:rsid w:val="002E764C"/>
    <w:rsid w:val="002F0FDC"/>
    <w:rsid w:val="002F5425"/>
    <w:rsid w:val="002F55E7"/>
    <w:rsid w:val="002F6F60"/>
    <w:rsid w:val="00300F0F"/>
    <w:rsid w:val="00301551"/>
    <w:rsid w:val="0030214A"/>
    <w:rsid w:val="00303B6D"/>
    <w:rsid w:val="00307A13"/>
    <w:rsid w:val="00307E57"/>
    <w:rsid w:val="003137CA"/>
    <w:rsid w:val="003262F1"/>
    <w:rsid w:val="00326C8E"/>
    <w:rsid w:val="00331F97"/>
    <w:rsid w:val="00333D84"/>
    <w:rsid w:val="00334A0E"/>
    <w:rsid w:val="0034153D"/>
    <w:rsid w:val="00341A64"/>
    <w:rsid w:val="00345301"/>
    <w:rsid w:val="00356769"/>
    <w:rsid w:val="00360BC8"/>
    <w:rsid w:val="00362E7D"/>
    <w:rsid w:val="003663A4"/>
    <w:rsid w:val="00375760"/>
    <w:rsid w:val="00383AB0"/>
    <w:rsid w:val="003867BB"/>
    <w:rsid w:val="00386F9E"/>
    <w:rsid w:val="003948BD"/>
    <w:rsid w:val="00395125"/>
    <w:rsid w:val="00397758"/>
    <w:rsid w:val="003A154A"/>
    <w:rsid w:val="003A1CA1"/>
    <w:rsid w:val="003A213B"/>
    <w:rsid w:val="003B2801"/>
    <w:rsid w:val="003B3E8C"/>
    <w:rsid w:val="003B5163"/>
    <w:rsid w:val="003B5290"/>
    <w:rsid w:val="003C151C"/>
    <w:rsid w:val="003D457A"/>
    <w:rsid w:val="003D7F1F"/>
    <w:rsid w:val="003F2F26"/>
    <w:rsid w:val="003F3B7C"/>
    <w:rsid w:val="003F7295"/>
    <w:rsid w:val="0040149C"/>
    <w:rsid w:val="00404BC1"/>
    <w:rsid w:val="00416743"/>
    <w:rsid w:val="00417510"/>
    <w:rsid w:val="004178AF"/>
    <w:rsid w:val="00420D0D"/>
    <w:rsid w:val="00420D12"/>
    <w:rsid w:val="004210C4"/>
    <w:rsid w:val="0042169A"/>
    <w:rsid w:val="00422C83"/>
    <w:rsid w:val="00422D0C"/>
    <w:rsid w:val="00422F47"/>
    <w:rsid w:val="00423431"/>
    <w:rsid w:val="0042644B"/>
    <w:rsid w:val="004318B5"/>
    <w:rsid w:val="004335D8"/>
    <w:rsid w:val="00434F37"/>
    <w:rsid w:val="00435AE3"/>
    <w:rsid w:val="00436F4F"/>
    <w:rsid w:val="0044014C"/>
    <w:rsid w:val="00445161"/>
    <w:rsid w:val="00446505"/>
    <w:rsid w:val="00452065"/>
    <w:rsid w:val="00452581"/>
    <w:rsid w:val="00456758"/>
    <w:rsid w:val="00456D74"/>
    <w:rsid w:val="00460567"/>
    <w:rsid w:val="00460692"/>
    <w:rsid w:val="00461572"/>
    <w:rsid w:val="0047073D"/>
    <w:rsid w:val="00470A43"/>
    <w:rsid w:val="004728F1"/>
    <w:rsid w:val="004743A8"/>
    <w:rsid w:val="004748D4"/>
    <w:rsid w:val="00483392"/>
    <w:rsid w:val="00483F75"/>
    <w:rsid w:val="00484427"/>
    <w:rsid w:val="0048621F"/>
    <w:rsid w:val="004872CD"/>
    <w:rsid w:val="00490BED"/>
    <w:rsid w:val="00491FEC"/>
    <w:rsid w:val="004963A8"/>
    <w:rsid w:val="004A0BE9"/>
    <w:rsid w:val="004A19AD"/>
    <w:rsid w:val="004A408A"/>
    <w:rsid w:val="004B0971"/>
    <w:rsid w:val="004B1543"/>
    <w:rsid w:val="004B2C4A"/>
    <w:rsid w:val="004B2EBD"/>
    <w:rsid w:val="004B7908"/>
    <w:rsid w:val="004C51AA"/>
    <w:rsid w:val="004C5EAC"/>
    <w:rsid w:val="004C6E41"/>
    <w:rsid w:val="004D6136"/>
    <w:rsid w:val="004E4FA9"/>
    <w:rsid w:val="004F01BC"/>
    <w:rsid w:val="004F173C"/>
    <w:rsid w:val="004F2666"/>
    <w:rsid w:val="004F45ED"/>
    <w:rsid w:val="004F4E43"/>
    <w:rsid w:val="004F6A10"/>
    <w:rsid w:val="00502D0A"/>
    <w:rsid w:val="00502FC0"/>
    <w:rsid w:val="00503D43"/>
    <w:rsid w:val="00503EE4"/>
    <w:rsid w:val="00503FF5"/>
    <w:rsid w:val="00506D04"/>
    <w:rsid w:val="00507026"/>
    <w:rsid w:val="0051060D"/>
    <w:rsid w:val="00510C1D"/>
    <w:rsid w:val="00514DE6"/>
    <w:rsid w:val="005151E1"/>
    <w:rsid w:val="00516498"/>
    <w:rsid w:val="00520542"/>
    <w:rsid w:val="005215D7"/>
    <w:rsid w:val="0052314A"/>
    <w:rsid w:val="00526C24"/>
    <w:rsid w:val="00527C32"/>
    <w:rsid w:val="00531AC3"/>
    <w:rsid w:val="00531CCA"/>
    <w:rsid w:val="005365F9"/>
    <w:rsid w:val="005366C3"/>
    <w:rsid w:val="00537F10"/>
    <w:rsid w:val="00540F6E"/>
    <w:rsid w:val="00541B9F"/>
    <w:rsid w:val="00544DD4"/>
    <w:rsid w:val="005621E2"/>
    <w:rsid w:val="0056422E"/>
    <w:rsid w:val="00566027"/>
    <w:rsid w:val="00576FF8"/>
    <w:rsid w:val="00586D9D"/>
    <w:rsid w:val="0059211F"/>
    <w:rsid w:val="005931C2"/>
    <w:rsid w:val="005939FA"/>
    <w:rsid w:val="00594A70"/>
    <w:rsid w:val="005A0F9B"/>
    <w:rsid w:val="005B0AD9"/>
    <w:rsid w:val="005B467C"/>
    <w:rsid w:val="005B7B2C"/>
    <w:rsid w:val="005B7DCE"/>
    <w:rsid w:val="005C00B1"/>
    <w:rsid w:val="005C739A"/>
    <w:rsid w:val="005D1D38"/>
    <w:rsid w:val="005D1E99"/>
    <w:rsid w:val="005E3503"/>
    <w:rsid w:val="005E430E"/>
    <w:rsid w:val="005E6ABC"/>
    <w:rsid w:val="005F196F"/>
    <w:rsid w:val="005F22A6"/>
    <w:rsid w:val="005F6C2A"/>
    <w:rsid w:val="0060188B"/>
    <w:rsid w:val="00604691"/>
    <w:rsid w:val="00606056"/>
    <w:rsid w:val="00606A0E"/>
    <w:rsid w:val="006162DA"/>
    <w:rsid w:val="0061689C"/>
    <w:rsid w:val="00616AC3"/>
    <w:rsid w:val="00627354"/>
    <w:rsid w:val="00631DA0"/>
    <w:rsid w:val="0063341F"/>
    <w:rsid w:val="00633AA5"/>
    <w:rsid w:val="00641342"/>
    <w:rsid w:val="00641FA8"/>
    <w:rsid w:val="00642A96"/>
    <w:rsid w:val="00644CF9"/>
    <w:rsid w:val="006512BE"/>
    <w:rsid w:val="00655343"/>
    <w:rsid w:val="006557E7"/>
    <w:rsid w:val="00661678"/>
    <w:rsid w:val="0066200A"/>
    <w:rsid w:val="00662817"/>
    <w:rsid w:val="00667129"/>
    <w:rsid w:val="00675D0F"/>
    <w:rsid w:val="006823BC"/>
    <w:rsid w:val="0068365D"/>
    <w:rsid w:val="00684C4A"/>
    <w:rsid w:val="0068626F"/>
    <w:rsid w:val="00691CAB"/>
    <w:rsid w:val="00695232"/>
    <w:rsid w:val="00695891"/>
    <w:rsid w:val="00697F65"/>
    <w:rsid w:val="006A4588"/>
    <w:rsid w:val="006B0FA9"/>
    <w:rsid w:val="006B116C"/>
    <w:rsid w:val="006B564D"/>
    <w:rsid w:val="006B65FA"/>
    <w:rsid w:val="006C01D6"/>
    <w:rsid w:val="006C2525"/>
    <w:rsid w:val="006C2C88"/>
    <w:rsid w:val="006C533A"/>
    <w:rsid w:val="006C7D76"/>
    <w:rsid w:val="006C7F9C"/>
    <w:rsid w:val="006D51AE"/>
    <w:rsid w:val="006D7E5F"/>
    <w:rsid w:val="006E33EF"/>
    <w:rsid w:val="006E706A"/>
    <w:rsid w:val="006E70D2"/>
    <w:rsid w:val="006F4D5D"/>
    <w:rsid w:val="006F72FC"/>
    <w:rsid w:val="00700019"/>
    <w:rsid w:val="00700399"/>
    <w:rsid w:val="0070302C"/>
    <w:rsid w:val="007032C1"/>
    <w:rsid w:val="007070F3"/>
    <w:rsid w:val="00711BB0"/>
    <w:rsid w:val="00716EB4"/>
    <w:rsid w:val="00731B1F"/>
    <w:rsid w:val="00732F77"/>
    <w:rsid w:val="00741E44"/>
    <w:rsid w:val="0074789F"/>
    <w:rsid w:val="0075424A"/>
    <w:rsid w:val="007546A3"/>
    <w:rsid w:val="00755E62"/>
    <w:rsid w:val="007619E7"/>
    <w:rsid w:val="0077337B"/>
    <w:rsid w:val="00782E1D"/>
    <w:rsid w:val="007845C0"/>
    <w:rsid w:val="00786682"/>
    <w:rsid w:val="00787B68"/>
    <w:rsid w:val="0079088A"/>
    <w:rsid w:val="00791411"/>
    <w:rsid w:val="007922D7"/>
    <w:rsid w:val="0079585E"/>
    <w:rsid w:val="007A008C"/>
    <w:rsid w:val="007A012E"/>
    <w:rsid w:val="007A351B"/>
    <w:rsid w:val="007A560C"/>
    <w:rsid w:val="007A7955"/>
    <w:rsid w:val="007B0457"/>
    <w:rsid w:val="007B0813"/>
    <w:rsid w:val="007B105C"/>
    <w:rsid w:val="007B358A"/>
    <w:rsid w:val="007B5BA8"/>
    <w:rsid w:val="007B76D0"/>
    <w:rsid w:val="007D3251"/>
    <w:rsid w:val="007D758D"/>
    <w:rsid w:val="007D7B40"/>
    <w:rsid w:val="007E317A"/>
    <w:rsid w:val="007E3FC9"/>
    <w:rsid w:val="007F1353"/>
    <w:rsid w:val="007F2F59"/>
    <w:rsid w:val="007F5EA6"/>
    <w:rsid w:val="007F6BF2"/>
    <w:rsid w:val="007F7C3A"/>
    <w:rsid w:val="008002A8"/>
    <w:rsid w:val="0080097F"/>
    <w:rsid w:val="00802391"/>
    <w:rsid w:val="008023D6"/>
    <w:rsid w:val="00806C5C"/>
    <w:rsid w:val="00810A5F"/>
    <w:rsid w:val="00812E38"/>
    <w:rsid w:val="00813F05"/>
    <w:rsid w:val="008155C2"/>
    <w:rsid w:val="00820FF1"/>
    <w:rsid w:val="0082137A"/>
    <w:rsid w:val="00836511"/>
    <w:rsid w:val="00841739"/>
    <w:rsid w:val="0084173E"/>
    <w:rsid w:val="00842DF7"/>
    <w:rsid w:val="0084346D"/>
    <w:rsid w:val="00854582"/>
    <w:rsid w:val="00855948"/>
    <w:rsid w:val="00866129"/>
    <w:rsid w:val="00870E96"/>
    <w:rsid w:val="00871031"/>
    <w:rsid w:val="00872A0E"/>
    <w:rsid w:val="00880FE5"/>
    <w:rsid w:val="00882F90"/>
    <w:rsid w:val="00883204"/>
    <w:rsid w:val="00884F5B"/>
    <w:rsid w:val="0088559A"/>
    <w:rsid w:val="00891895"/>
    <w:rsid w:val="00892039"/>
    <w:rsid w:val="00892761"/>
    <w:rsid w:val="0089318F"/>
    <w:rsid w:val="00893AC6"/>
    <w:rsid w:val="0089441F"/>
    <w:rsid w:val="008962CB"/>
    <w:rsid w:val="008A2C7E"/>
    <w:rsid w:val="008A4DF0"/>
    <w:rsid w:val="008A518B"/>
    <w:rsid w:val="008A5AC1"/>
    <w:rsid w:val="008B5DE9"/>
    <w:rsid w:val="008C15D1"/>
    <w:rsid w:val="008C28E2"/>
    <w:rsid w:val="008C3F32"/>
    <w:rsid w:val="008C5640"/>
    <w:rsid w:val="008C79CD"/>
    <w:rsid w:val="008D40BB"/>
    <w:rsid w:val="008D4522"/>
    <w:rsid w:val="008D5C48"/>
    <w:rsid w:val="008D7E43"/>
    <w:rsid w:val="008E11F4"/>
    <w:rsid w:val="008E4AD2"/>
    <w:rsid w:val="008F3888"/>
    <w:rsid w:val="008F4276"/>
    <w:rsid w:val="0090093B"/>
    <w:rsid w:val="009049FA"/>
    <w:rsid w:val="00906EA3"/>
    <w:rsid w:val="009112B9"/>
    <w:rsid w:val="009203D2"/>
    <w:rsid w:val="00924D07"/>
    <w:rsid w:val="0092596B"/>
    <w:rsid w:val="00925BE4"/>
    <w:rsid w:val="00927067"/>
    <w:rsid w:val="00933717"/>
    <w:rsid w:val="00933864"/>
    <w:rsid w:val="00934A6D"/>
    <w:rsid w:val="0093666F"/>
    <w:rsid w:val="00936FFA"/>
    <w:rsid w:val="00937D69"/>
    <w:rsid w:val="0094287D"/>
    <w:rsid w:val="00946555"/>
    <w:rsid w:val="00947EEC"/>
    <w:rsid w:val="0095313C"/>
    <w:rsid w:val="00953338"/>
    <w:rsid w:val="0095741F"/>
    <w:rsid w:val="009649D6"/>
    <w:rsid w:val="009749FF"/>
    <w:rsid w:val="00974A84"/>
    <w:rsid w:val="00975BF0"/>
    <w:rsid w:val="009801C2"/>
    <w:rsid w:val="0098293A"/>
    <w:rsid w:val="00983373"/>
    <w:rsid w:val="00987050"/>
    <w:rsid w:val="0099013F"/>
    <w:rsid w:val="0099338F"/>
    <w:rsid w:val="009945BA"/>
    <w:rsid w:val="009A1CC6"/>
    <w:rsid w:val="009A7897"/>
    <w:rsid w:val="009C057A"/>
    <w:rsid w:val="009C13B7"/>
    <w:rsid w:val="009C4251"/>
    <w:rsid w:val="009C543E"/>
    <w:rsid w:val="009D3B6E"/>
    <w:rsid w:val="009D4153"/>
    <w:rsid w:val="009D727E"/>
    <w:rsid w:val="009E0136"/>
    <w:rsid w:val="009E24C1"/>
    <w:rsid w:val="009F449C"/>
    <w:rsid w:val="009F61F6"/>
    <w:rsid w:val="009F6E7D"/>
    <w:rsid w:val="009F7EB2"/>
    <w:rsid w:val="00A015EE"/>
    <w:rsid w:val="00A02BBC"/>
    <w:rsid w:val="00A04872"/>
    <w:rsid w:val="00A07234"/>
    <w:rsid w:val="00A14AAC"/>
    <w:rsid w:val="00A25072"/>
    <w:rsid w:val="00A25667"/>
    <w:rsid w:val="00A26739"/>
    <w:rsid w:val="00A26A85"/>
    <w:rsid w:val="00A30B18"/>
    <w:rsid w:val="00A320DA"/>
    <w:rsid w:val="00A329DB"/>
    <w:rsid w:val="00A37CB4"/>
    <w:rsid w:val="00A40170"/>
    <w:rsid w:val="00A43947"/>
    <w:rsid w:val="00A5160F"/>
    <w:rsid w:val="00A529CC"/>
    <w:rsid w:val="00A62A36"/>
    <w:rsid w:val="00A62A68"/>
    <w:rsid w:val="00A62EE9"/>
    <w:rsid w:val="00A65928"/>
    <w:rsid w:val="00A72C2D"/>
    <w:rsid w:val="00A74D4F"/>
    <w:rsid w:val="00A761F4"/>
    <w:rsid w:val="00A92741"/>
    <w:rsid w:val="00A92E26"/>
    <w:rsid w:val="00A93664"/>
    <w:rsid w:val="00A95120"/>
    <w:rsid w:val="00A95C88"/>
    <w:rsid w:val="00A96042"/>
    <w:rsid w:val="00A97FF4"/>
    <w:rsid w:val="00AA2A3C"/>
    <w:rsid w:val="00AA3BD3"/>
    <w:rsid w:val="00AA3CB4"/>
    <w:rsid w:val="00AB21CD"/>
    <w:rsid w:val="00AB5C78"/>
    <w:rsid w:val="00AD0907"/>
    <w:rsid w:val="00AD126E"/>
    <w:rsid w:val="00AD590D"/>
    <w:rsid w:val="00AE0040"/>
    <w:rsid w:val="00AE2F52"/>
    <w:rsid w:val="00AE3049"/>
    <w:rsid w:val="00AE44A8"/>
    <w:rsid w:val="00AE661A"/>
    <w:rsid w:val="00AE6D17"/>
    <w:rsid w:val="00AE7AAF"/>
    <w:rsid w:val="00AF03A5"/>
    <w:rsid w:val="00B03E0F"/>
    <w:rsid w:val="00B04DAF"/>
    <w:rsid w:val="00B154EF"/>
    <w:rsid w:val="00B212F2"/>
    <w:rsid w:val="00B266A2"/>
    <w:rsid w:val="00B276C3"/>
    <w:rsid w:val="00B36406"/>
    <w:rsid w:val="00B37C9E"/>
    <w:rsid w:val="00B460C5"/>
    <w:rsid w:val="00B67FE7"/>
    <w:rsid w:val="00B74463"/>
    <w:rsid w:val="00B76ECE"/>
    <w:rsid w:val="00B77249"/>
    <w:rsid w:val="00B77BF7"/>
    <w:rsid w:val="00B8006F"/>
    <w:rsid w:val="00B8071C"/>
    <w:rsid w:val="00B82B20"/>
    <w:rsid w:val="00B84415"/>
    <w:rsid w:val="00B919A8"/>
    <w:rsid w:val="00B93935"/>
    <w:rsid w:val="00B96CC7"/>
    <w:rsid w:val="00BA2250"/>
    <w:rsid w:val="00BA6E0E"/>
    <w:rsid w:val="00BB1835"/>
    <w:rsid w:val="00BB2FD6"/>
    <w:rsid w:val="00BB346F"/>
    <w:rsid w:val="00BC44FC"/>
    <w:rsid w:val="00BC7C3D"/>
    <w:rsid w:val="00BD0E50"/>
    <w:rsid w:val="00BD7603"/>
    <w:rsid w:val="00BE102E"/>
    <w:rsid w:val="00BE1EB3"/>
    <w:rsid w:val="00BE44D5"/>
    <w:rsid w:val="00BF25F3"/>
    <w:rsid w:val="00BF2756"/>
    <w:rsid w:val="00BF4A4A"/>
    <w:rsid w:val="00BF68F0"/>
    <w:rsid w:val="00BF6C09"/>
    <w:rsid w:val="00C0145B"/>
    <w:rsid w:val="00C01CB4"/>
    <w:rsid w:val="00C04E5F"/>
    <w:rsid w:val="00C07229"/>
    <w:rsid w:val="00C1206A"/>
    <w:rsid w:val="00C14B92"/>
    <w:rsid w:val="00C1618D"/>
    <w:rsid w:val="00C17613"/>
    <w:rsid w:val="00C20310"/>
    <w:rsid w:val="00C210B6"/>
    <w:rsid w:val="00C256AD"/>
    <w:rsid w:val="00C3197E"/>
    <w:rsid w:val="00C322D7"/>
    <w:rsid w:val="00C332C3"/>
    <w:rsid w:val="00C35958"/>
    <w:rsid w:val="00C40095"/>
    <w:rsid w:val="00C40CE9"/>
    <w:rsid w:val="00C4481D"/>
    <w:rsid w:val="00C50FBA"/>
    <w:rsid w:val="00C52FE5"/>
    <w:rsid w:val="00C61A06"/>
    <w:rsid w:val="00C63A7C"/>
    <w:rsid w:val="00C67205"/>
    <w:rsid w:val="00C80292"/>
    <w:rsid w:val="00C81004"/>
    <w:rsid w:val="00C811D1"/>
    <w:rsid w:val="00CA31E9"/>
    <w:rsid w:val="00CB0FCB"/>
    <w:rsid w:val="00CB10DD"/>
    <w:rsid w:val="00CB71B8"/>
    <w:rsid w:val="00CB73BB"/>
    <w:rsid w:val="00CD056D"/>
    <w:rsid w:val="00CD1726"/>
    <w:rsid w:val="00CD6109"/>
    <w:rsid w:val="00CD74E2"/>
    <w:rsid w:val="00CE0963"/>
    <w:rsid w:val="00CE4DF7"/>
    <w:rsid w:val="00CE5CF7"/>
    <w:rsid w:val="00CE6A53"/>
    <w:rsid w:val="00CE7DDD"/>
    <w:rsid w:val="00CF0EE9"/>
    <w:rsid w:val="00CF1A0C"/>
    <w:rsid w:val="00D0202B"/>
    <w:rsid w:val="00D03F14"/>
    <w:rsid w:val="00D0512B"/>
    <w:rsid w:val="00D06A28"/>
    <w:rsid w:val="00D0738C"/>
    <w:rsid w:val="00D12A43"/>
    <w:rsid w:val="00D13377"/>
    <w:rsid w:val="00D1609C"/>
    <w:rsid w:val="00D17424"/>
    <w:rsid w:val="00D245DD"/>
    <w:rsid w:val="00D27441"/>
    <w:rsid w:val="00D30ED3"/>
    <w:rsid w:val="00D312C4"/>
    <w:rsid w:val="00D3747D"/>
    <w:rsid w:val="00D43F2E"/>
    <w:rsid w:val="00D53C36"/>
    <w:rsid w:val="00D60157"/>
    <w:rsid w:val="00D641B0"/>
    <w:rsid w:val="00D71645"/>
    <w:rsid w:val="00D71D0C"/>
    <w:rsid w:val="00D73E12"/>
    <w:rsid w:val="00D760C2"/>
    <w:rsid w:val="00D77499"/>
    <w:rsid w:val="00D805D7"/>
    <w:rsid w:val="00D876BC"/>
    <w:rsid w:val="00D918AF"/>
    <w:rsid w:val="00D95545"/>
    <w:rsid w:val="00DA6AE9"/>
    <w:rsid w:val="00DA6F7E"/>
    <w:rsid w:val="00DA75B8"/>
    <w:rsid w:val="00DB064E"/>
    <w:rsid w:val="00DB7F77"/>
    <w:rsid w:val="00DC6015"/>
    <w:rsid w:val="00DD607F"/>
    <w:rsid w:val="00DD77D9"/>
    <w:rsid w:val="00DD7CEB"/>
    <w:rsid w:val="00DE3072"/>
    <w:rsid w:val="00DE3615"/>
    <w:rsid w:val="00DE7004"/>
    <w:rsid w:val="00DF0D28"/>
    <w:rsid w:val="00DF2881"/>
    <w:rsid w:val="00E00431"/>
    <w:rsid w:val="00E02A46"/>
    <w:rsid w:val="00E036BB"/>
    <w:rsid w:val="00E16582"/>
    <w:rsid w:val="00E2164C"/>
    <w:rsid w:val="00E21F7E"/>
    <w:rsid w:val="00E25178"/>
    <w:rsid w:val="00E361B1"/>
    <w:rsid w:val="00E3724C"/>
    <w:rsid w:val="00E41E27"/>
    <w:rsid w:val="00E4435E"/>
    <w:rsid w:val="00E537A5"/>
    <w:rsid w:val="00E540B2"/>
    <w:rsid w:val="00E54761"/>
    <w:rsid w:val="00E56743"/>
    <w:rsid w:val="00E56FD1"/>
    <w:rsid w:val="00E654A5"/>
    <w:rsid w:val="00E65638"/>
    <w:rsid w:val="00E6631E"/>
    <w:rsid w:val="00E66534"/>
    <w:rsid w:val="00E670B6"/>
    <w:rsid w:val="00E6796E"/>
    <w:rsid w:val="00E71DB2"/>
    <w:rsid w:val="00E730A3"/>
    <w:rsid w:val="00E73AE2"/>
    <w:rsid w:val="00E768CD"/>
    <w:rsid w:val="00E8128B"/>
    <w:rsid w:val="00E94793"/>
    <w:rsid w:val="00E96807"/>
    <w:rsid w:val="00EA00CB"/>
    <w:rsid w:val="00EA01FE"/>
    <w:rsid w:val="00EA0749"/>
    <w:rsid w:val="00EA7754"/>
    <w:rsid w:val="00EA77C7"/>
    <w:rsid w:val="00EB2298"/>
    <w:rsid w:val="00EB45F8"/>
    <w:rsid w:val="00EB592D"/>
    <w:rsid w:val="00EB614B"/>
    <w:rsid w:val="00EB70C4"/>
    <w:rsid w:val="00EB792A"/>
    <w:rsid w:val="00EC09F9"/>
    <w:rsid w:val="00EC128A"/>
    <w:rsid w:val="00EC12C0"/>
    <w:rsid w:val="00EC1DE4"/>
    <w:rsid w:val="00EC2C6F"/>
    <w:rsid w:val="00EC740B"/>
    <w:rsid w:val="00EC74D0"/>
    <w:rsid w:val="00EC7FE6"/>
    <w:rsid w:val="00ED2D87"/>
    <w:rsid w:val="00ED6E7B"/>
    <w:rsid w:val="00EE0C85"/>
    <w:rsid w:val="00EE28F8"/>
    <w:rsid w:val="00EE3976"/>
    <w:rsid w:val="00EE575F"/>
    <w:rsid w:val="00EE577F"/>
    <w:rsid w:val="00EE6E34"/>
    <w:rsid w:val="00EE729E"/>
    <w:rsid w:val="00EF1A95"/>
    <w:rsid w:val="00EF3794"/>
    <w:rsid w:val="00EF6100"/>
    <w:rsid w:val="00EF6627"/>
    <w:rsid w:val="00F02E9D"/>
    <w:rsid w:val="00F03160"/>
    <w:rsid w:val="00F048FF"/>
    <w:rsid w:val="00F05EE6"/>
    <w:rsid w:val="00F067D7"/>
    <w:rsid w:val="00F1522D"/>
    <w:rsid w:val="00F15925"/>
    <w:rsid w:val="00F20612"/>
    <w:rsid w:val="00F30C95"/>
    <w:rsid w:val="00F33444"/>
    <w:rsid w:val="00F34054"/>
    <w:rsid w:val="00F36A26"/>
    <w:rsid w:val="00F3778E"/>
    <w:rsid w:val="00F536A5"/>
    <w:rsid w:val="00F56765"/>
    <w:rsid w:val="00F621AD"/>
    <w:rsid w:val="00F64883"/>
    <w:rsid w:val="00F665C1"/>
    <w:rsid w:val="00F667AF"/>
    <w:rsid w:val="00F70762"/>
    <w:rsid w:val="00F70EEE"/>
    <w:rsid w:val="00F76160"/>
    <w:rsid w:val="00F80666"/>
    <w:rsid w:val="00F83CE1"/>
    <w:rsid w:val="00F93C84"/>
    <w:rsid w:val="00F9731F"/>
    <w:rsid w:val="00FA14DE"/>
    <w:rsid w:val="00FA62B6"/>
    <w:rsid w:val="00FA68E2"/>
    <w:rsid w:val="00FA727F"/>
    <w:rsid w:val="00FB0236"/>
    <w:rsid w:val="00FC1A43"/>
    <w:rsid w:val="00FC3982"/>
    <w:rsid w:val="00FD2C79"/>
    <w:rsid w:val="00FD7767"/>
    <w:rsid w:val="00FE0245"/>
    <w:rsid w:val="00FE485F"/>
    <w:rsid w:val="00FF07F3"/>
    <w:rsid w:val="00FF3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F"/>
    <w:rPr>
      <w:noProof/>
      <w:lang w:val="en-US"/>
    </w:rPr>
  </w:style>
  <w:style w:type="paragraph" w:styleId="Heading1">
    <w:name w:val="heading 1"/>
    <w:basedOn w:val="Normal"/>
    <w:next w:val="Normal"/>
    <w:link w:val="Heading1Char"/>
    <w:uiPriority w:val="99"/>
    <w:qFormat/>
    <w:rsid w:val="003A1CA1"/>
    <w:pPr>
      <w:keepNext/>
      <w:suppressAutoHyphens/>
      <w:spacing w:after="0" w:line="240" w:lineRule="auto"/>
      <w:jc w:val="center"/>
      <w:outlineLvl w:val="0"/>
    </w:pPr>
    <w:rPr>
      <w:rFonts w:ascii="Arial" w:eastAsia="Times New Roman" w:hAnsi="Arial" w:cs="Times New Roman"/>
      <w:b/>
      <w:iCs/>
      <w:noProof w:val="0"/>
      <w:sz w:val="18"/>
      <w:szCs w:val="18"/>
      <w:lang w:val="tr-TR" w:eastAsia="ar-SA"/>
    </w:rPr>
  </w:style>
  <w:style w:type="paragraph" w:styleId="Heading2">
    <w:name w:val="heading 2"/>
    <w:basedOn w:val="Normal"/>
    <w:next w:val="Normal"/>
    <w:link w:val="Heading2Char"/>
    <w:uiPriority w:val="99"/>
    <w:qFormat/>
    <w:rsid w:val="003A1CA1"/>
    <w:pPr>
      <w:keepNext/>
      <w:suppressAutoHyphens/>
      <w:spacing w:before="240" w:after="60" w:line="240" w:lineRule="auto"/>
      <w:outlineLvl w:val="1"/>
    </w:pPr>
    <w:rPr>
      <w:rFonts w:ascii="Arial" w:eastAsia="Times New Roman" w:hAnsi="Arial" w:cs="Arial"/>
      <w:b/>
      <w:bCs/>
      <w:i/>
      <w:iCs/>
      <w:noProof w:val="0"/>
      <w:sz w:val="28"/>
      <w:szCs w:val="28"/>
      <w:lang w:val="en-GB" w:eastAsia="ar-SA"/>
    </w:rPr>
  </w:style>
  <w:style w:type="paragraph" w:styleId="Heading3">
    <w:name w:val="heading 3"/>
    <w:basedOn w:val="Normal"/>
    <w:next w:val="Normal"/>
    <w:link w:val="Heading3Char"/>
    <w:uiPriority w:val="99"/>
    <w:qFormat/>
    <w:rsid w:val="00BE102E"/>
    <w:pPr>
      <w:keepNext/>
      <w:suppressAutoHyphens/>
      <w:spacing w:before="240" w:after="60" w:line="240" w:lineRule="auto"/>
      <w:outlineLvl w:val="2"/>
    </w:pPr>
    <w:rPr>
      <w:rFonts w:ascii="Arial" w:eastAsia="Times New Roman" w:hAnsi="Arial" w:cs="Arial"/>
      <w:b/>
      <w:bCs/>
      <w:noProof w:val="0"/>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6F"/>
    <w:rPr>
      <w:rFonts w:ascii="Tahoma" w:hAnsi="Tahoma" w:cs="Tahoma"/>
      <w:noProof/>
      <w:sz w:val="16"/>
      <w:szCs w:val="16"/>
      <w:lang w:val="en-US"/>
    </w:rPr>
  </w:style>
  <w:style w:type="paragraph" w:styleId="Caption">
    <w:name w:val="caption"/>
    <w:basedOn w:val="Normal"/>
    <w:next w:val="Normal"/>
    <w:uiPriority w:val="35"/>
    <w:unhideWhenUsed/>
    <w:qFormat/>
    <w:rsid w:val="00933864"/>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81004"/>
    <w:rPr>
      <w:sz w:val="16"/>
      <w:szCs w:val="16"/>
    </w:rPr>
  </w:style>
  <w:style w:type="paragraph" w:styleId="CommentText">
    <w:name w:val="annotation text"/>
    <w:basedOn w:val="Normal"/>
    <w:link w:val="CommentTextChar"/>
    <w:uiPriority w:val="99"/>
    <w:semiHidden/>
    <w:unhideWhenUsed/>
    <w:rsid w:val="00C81004"/>
    <w:pPr>
      <w:spacing w:line="240" w:lineRule="auto"/>
    </w:pPr>
    <w:rPr>
      <w:sz w:val="20"/>
      <w:szCs w:val="20"/>
    </w:rPr>
  </w:style>
  <w:style w:type="character" w:customStyle="1" w:styleId="CommentTextChar">
    <w:name w:val="Comment Text Char"/>
    <w:basedOn w:val="DefaultParagraphFont"/>
    <w:link w:val="CommentText"/>
    <w:uiPriority w:val="99"/>
    <w:semiHidden/>
    <w:rsid w:val="00C81004"/>
    <w:rPr>
      <w:noProof/>
      <w:sz w:val="20"/>
      <w:szCs w:val="20"/>
      <w:lang w:val="en-US"/>
    </w:rPr>
  </w:style>
  <w:style w:type="paragraph" w:styleId="CommentSubject">
    <w:name w:val="annotation subject"/>
    <w:basedOn w:val="CommentText"/>
    <w:next w:val="CommentText"/>
    <w:link w:val="CommentSubjectChar"/>
    <w:uiPriority w:val="99"/>
    <w:semiHidden/>
    <w:unhideWhenUsed/>
    <w:rsid w:val="00C81004"/>
    <w:rPr>
      <w:b/>
      <w:bCs/>
    </w:rPr>
  </w:style>
  <w:style w:type="character" w:customStyle="1" w:styleId="CommentSubjectChar">
    <w:name w:val="Comment Subject Char"/>
    <w:basedOn w:val="CommentTextChar"/>
    <w:link w:val="CommentSubject"/>
    <w:uiPriority w:val="99"/>
    <w:semiHidden/>
    <w:rsid w:val="00C81004"/>
    <w:rPr>
      <w:b/>
      <w:bCs/>
      <w:noProof/>
      <w:sz w:val="20"/>
      <w:szCs w:val="20"/>
      <w:lang w:val="en-US"/>
    </w:rPr>
  </w:style>
  <w:style w:type="character" w:customStyle="1" w:styleId="Heading1Char">
    <w:name w:val="Heading 1 Char"/>
    <w:basedOn w:val="DefaultParagraphFont"/>
    <w:link w:val="Heading1"/>
    <w:uiPriority w:val="99"/>
    <w:rsid w:val="003A1CA1"/>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3A1CA1"/>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BE102E"/>
    <w:rPr>
      <w:rFonts w:ascii="Arial" w:eastAsia="Times New Roman" w:hAnsi="Arial" w:cs="Arial"/>
      <w:b/>
      <w:bCs/>
      <w:sz w:val="26"/>
      <w:szCs w:val="26"/>
      <w:lang w:val="en-GB" w:eastAsia="ar-SA"/>
    </w:rPr>
  </w:style>
  <w:style w:type="paragraph" w:styleId="FootnoteText">
    <w:name w:val="footnote text"/>
    <w:basedOn w:val="Normal"/>
    <w:link w:val="FootnoteTextChar"/>
    <w:uiPriority w:val="99"/>
    <w:unhideWhenUsed/>
    <w:rsid w:val="00C332C3"/>
    <w:pPr>
      <w:spacing w:after="0" w:line="240" w:lineRule="auto"/>
    </w:pPr>
    <w:rPr>
      <w:sz w:val="20"/>
      <w:szCs w:val="20"/>
    </w:rPr>
  </w:style>
  <w:style w:type="character" w:customStyle="1" w:styleId="FootnoteTextChar">
    <w:name w:val="Footnote Text Char"/>
    <w:basedOn w:val="DefaultParagraphFont"/>
    <w:link w:val="FootnoteText"/>
    <w:uiPriority w:val="99"/>
    <w:rsid w:val="00C332C3"/>
    <w:rPr>
      <w:noProof/>
      <w:sz w:val="20"/>
      <w:szCs w:val="20"/>
      <w:lang w:val="en-US"/>
    </w:rPr>
  </w:style>
  <w:style w:type="character" w:styleId="FootnoteReference">
    <w:name w:val="footnote reference"/>
    <w:basedOn w:val="DefaultParagraphFont"/>
    <w:uiPriority w:val="99"/>
    <w:unhideWhenUsed/>
    <w:rsid w:val="00C332C3"/>
    <w:rPr>
      <w:vertAlign w:val="superscript"/>
    </w:rPr>
  </w:style>
  <w:style w:type="character" w:customStyle="1" w:styleId="apple-converted-space">
    <w:name w:val="apple-converted-space"/>
    <w:basedOn w:val="DefaultParagraphFont"/>
    <w:rsid w:val="00CE5CF7"/>
  </w:style>
  <w:style w:type="paragraph" w:styleId="Header">
    <w:name w:val="header"/>
    <w:basedOn w:val="Normal"/>
    <w:link w:val="HeaderChar"/>
    <w:uiPriority w:val="99"/>
    <w:unhideWhenUsed/>
    <w:rsid w:val="00B03E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E0F"/>
    <w:rPr>
      <w:noProof/>
      <w:lang w:val="en-US"/>
    </w:rPr>
  </w:style>
  <w:style w:type="paragraph" w:styleId="Footer">
    <w:name w:val="footer"/>
    <w:basedOn w:val="Normal"/>
    <w:link w:val="FooterChar"/>
    <w:uiPriority w:val="99"/>
    <w:unhideWhenUsed/>
    <w:rsid w:val="00B03E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E0F"/>
    <w:rPr>
      <w:noProof/>
      <w:lang w:val="en-US"/>
    </w:rPr>
  </w:style>
  <w:style w:type="character" w:styleId="Hyperlink">
    <w:name w:val="Hyperlink"/>
    <w:basedOn w:val="DefaultParagraphFont"/>
    <w:uiPriority w:val="99"/>
    <w:unhideWhenUsed/>
    <w:rsid w:val="00510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F"/>
    <w:rPr>
      <w:noProof/>
      <w:lang w:val="en-US"/>
    </w:rPr>
  </w:style>
  <w:style w:type="paragraph" w:styleId="Heading1">
    <w:name w:val="heading 1"/>
    <w:basedOn w:val="Normal"/>
    <w:next w:val="Normal"/>
    <w:link w:val="Heading1Char"/>
    <w:uiPriority w:val="99"/>
    <w:qFormat/>
    <w:rsid w:val="003A1CA1"/>
    <w:pPr>
      <w:keepNext/>
      <w:suppressAutoHyphens/>
      <w:spacing w:after="0" w:line="240" w:lineRule="auto"/>
      <w:jc w:val="center"/>
      <w:outlineLvl w:val="0"/>
    </w:pPr>
    <w:rPr>
      <w:rFonts w:ascii="Arial" w:eastAsia="Times New Roman" w:hAnsi="Arial" w:cs="Times New Roman"/>
      <w:b/>
      <w:iCs/>
      <w:noProof w:val="0"/>
      <w:sz w:val="18"/>
      <w:szCs w:val="18"/>
      <w:lang w:val="tr-TR" w:eastAsia="ar-SA"/>
    </w:rPr>
  </w:style>
  <w:style w:type="paragraph" w:styleId="Heading2">
    <w:name w:val="heading 2"/>
    <w:basedOn w:val="Normal"/>
    <w:next w:val="Normal"/>
    <w:link w:val="Heading2Char"/>
    <w:uiPriority w:val="99"/>
    <w:qFormat/>
    <w:rsid w:val="003A1CA1"/>
    <w:pPr>
      <w:keepNext/>
      <w:suppressAutoHyphens/>
      <w:spacing w:before="240" w:after="60" w:line="240" w:lineRule="auto"/>
      <w:outlineLvl w:val="1"/>
    </w:pPr>
    <w:rPr>
      <w:rFonts w:ascii="Arial" w:eastAsia="Times New Roman" w:hAnsi="Arial" w:cs="Arial"/>
      <w:b/>
      <w:bCs/>
      <w:i/>
      <w:iCs/>
      <w:noProof w:val="0"/>
      <w:sz w:val="28"/>
      <w:szCs w:val="28"/>
      <w:lang w:val="en-GB" w:eastAsia="ar-SA"/>
    </w:rPr>
  </w:style>
  <w:style w:type="paragraph" w:styleId="Heading3">
    <w:name w:val="heading 3"/>
    <w:basedOn w:val="Normal"/>
    <w:next w:val="Normal"/>
    <w:link w:val="Heading3Char"/>
    <w:uiPriority w:val="99"/>
    <w:qFormat/>
    <w:rsid w:val="00BE102E"/>
    <w:pPr>
      <w:keepNext/>
      <w:suppressAutoHyphens/>
      <w:spacing w:before="240" w:after="60" w:line="240" w:lineRule="auto"/>
      <w:outlineLvl w:val="2"/>
    </w:pPr>
    <w:rPr>
      <w:rFonts w:ascii="Arial" w:eastAsia="Times New Roman" w:hAnsi="Arial" w:cs="Arial"/>
      <w:b/>
      <w:bCs/>
      <w:noProof w:val="0"/>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6F"/>
    <w:rPr>
      <w:rFonts w:ascii="Tahoma" w:hAnsi="Tahoma" w:cs="Tahoma"/>
      <w:noProof/>
      <w:sz w:val="16"/>
      <w:szCs w:val="16"/>
      <w:lang w:val="en-US"/>
    </w:rPr>
  </w:style>
  <w:style w:type="paragraph" w:styleId="Caption">
    <w:name w:val="caption"/>
    <w:basedOn w:val="Normal"/>
    <w:next w:val="Normal"/>
    <w:uiPriority w:val="35"/>
    <w:unhideWhenUsed/>
    <w:qFormat/>
    <w:rsid w:val="00933864"/>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81004"/>
    <w:rPr>
      <w:sz w:val="16"/>
      <w:szCs w:val="16"/>
    </w:rPr>
  </w:style>
  <w:style w:type="paragraph" w:styleId="CommentText">
    <w:name w:val="annotation text"/>
    <w:basedOn w:val="Normal"/>
    <w:link w:val="CommentTextChar"/>
    <w:uiPriority w:val="99"/>
    <w:semiHidden/>
    <w:unhideWhenUsed/>
    <w:rsid w:val="00C81004"/>
    <w:pPr>
      <w:spacing w:line="240" w:lineRule="auto"/>
    </w:pPr>
    <w:rPr>
      <w:sz w:val="20"/>
      <w:szCs w:val="20"/>
    </w:rPr>
  </w:style>
  <w:style w:type="character" w:customStyle="1" w:styleId="CommentTextChar">
    <w:name w:val="Comment Text Char"/>
    <w:basedOn w:val="DefaultParagraphFont"/>
    <w:link w:val="CommentText"/>
    <w:uiPriority w:val="99"/>
    <w:semiHidden/>
    <w:rsid w:val="00C81004"/>
    <w:rPr>
      <w:noProof/>
      <w:sz w:val="20"/>
      <w:szCs w:val="20"/>
      <w:lang w:val="en-US"/>
    </w:rPr>
  </w:style>
  <w:style w:type="paragraph" w:styleId="CommentSubject">
    <w:name w:val="annotation subject"/>
    <w:basedOn w:val="CommentText"/>
    <w:next w:val="CommentText"/>
    <w:link w:val="CommentSubjectChar"/>
    <w:uiPriority w:val="99"/>
    <w:semiHidden/>
    <w:unhideWhenUsed/>
    <w:rsid w:val="00C81004"/>
    <w:rPr>
      <w:b/>
      <w:bCs/>
    </w:rPr>
  </w:style>
  <w:style w:type="character" w:customStyle="1" w:styleId="CommentSubjectChar">
    <w:name w:val="Comment Subject Char"/>
    <w:basedOn w:val="CommentTextChar"/>
    <w:link w:val="CommentSubject"/>
    <w:uiPriority w:val="99"/>
    <w:semiHidden/>
    <w:rsid w:val="00C81004"/>
    <w:rPr>
      <w:b/>
      <w:bCs/>
      <w:noProof/>
      <w:sz w:val="20"/>
      <w:szCs w:val="20"/>
      <w:lang w:val="en-US"/>
    </w:rPr>
  </w:style>
  <w:style w:type="character" w:customStyle="1" w:styleId="Heading1Char">
    <w:name w:val="Heading 1 Char"/>
    <w:basedOn w:val="DefaultParagraphFont"/>
    <w:link w:val="Heading1"/>
    <w:uiPriority w:val="99"/>
    <w:rsid w:val="003A1CA1"/>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3A1CA1"/>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BE102E"/>
    <w:rPr>
      <w:rFonts w:ascii="Arial" w:eastAsia="Times New Roman" w:hAnsi="Arial" w:cs="Arial"/>
      <w:b/>
      <w:bCs/>
      <w:sz w:val="26"/>
      <w:szCs w:val="26"/>
      <w:lang w:val="en-GB" w:eastAsia="ar-SA"/>
    </w:rPr>
  </w:style>
  <w:style w:type="paragraph" w:styleId="FootnoteText">
    <w:name w:val="footnote text"/>
    <w:basedOn w:val="Normal"/>
    <w:link w:val="FootnoteTextChar"/>
    <w:uiPriority w:val="99"/>
    <w:unhideWhenUsed/>
    <w:rsid w:val="00C332C3"/>
    <w:pPr>
      <w:spacing w:after="0" w:line="240" w:lineRule="auto"/>
    </w:pPr>
    <w:rPr>
      <w:sz w:val="20"/>
      <w:szCs w:val="20"/>
    </w:rPr>
  </w:style>
  <w:style w:type="character" w:customStyle="1" w:styleId="FootnoteTextChar">
    <w:name w:val="Footnote Text Char"/>
    <w:basedOn w:val="DefaultParagraphFont"/>
    <w:link w:val="FootnoteText"/>
    <w:uiPriority w:val="99"/>
    <w:rsid w:val="00C332C3"/>
    <w:rPr>
      <w:noProof/>
      <w:sz w:val="20"/>
      <w:szCs w:val="20"/>
      <w:lang w:val="en-US"/>
    </w:rPr>
  </w:style>
  <w:style w:type="character" w:styleId="FootnoteReference">
    <w:name w:val="footnote reference"/>
    <w:basedOn w:val="DefaultParagraphFont"/>
    <w:uiPriority w:val="99"/>
    <w:unhideWhenUsed/>
    <w:rsid w:val="00C332C3"/>
    <w:rPr>
      <w:vertAlign w:val="superscript"/>
    </w:rPr>
  </w:style>
  <w:style w:type="character" w:customStyle="1" w:styleId="apple-converted-space">
    <w:name w:val="apple-converted-space"/>
    <w:basedOn w:val="DefaultParagraphFont"/>
    <w:rsid w:val="00CE5CF7"/>
  </w:style>
  <w:style w:type="paragraph" w:styleId="Header">
    <w:name w:val="header"/>
    <w:basedOn w:val="Normal"/>
    <w:link w:val="HeaderChar"/>
    <w:uiPriority w:val="99"/>
    <w:unhideWhenUsed/>
    <w:rsid w:val="00B03E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E0F"/>
    <w:rPr>
      <w:noProof/>
      <w:lang w:val="en-US"/>
    </w:rPr>
  </w:style>
  <w:style w:type="paragraph" w:styleId="Footer">
    <w:name w:val="footer"/>
    <w:basedOn w:val="Normal"/>
    <w:link w:val="FooterChar"/>
    <w:uiPriority w:val="99"/>
    <w:unhideWhenUsed/>
    <w:rsid w:val="00B03E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E0F"/>
    <w:rPr>
      <w:noProof/>
      <w:lang w:val="en-US"/>
    </w:rPr>
  </w:style>
  <w:style w:type="character" w:styleId="Hyperlink">
    <w:name w:val="Hyperlink"/>
    <w:basedOn w:val="DefaultParagraphFont"/>
    <w:uiPriority w:val="99"/>
    <w:unhideWhenUsed/>
    <w:rsid w:val="00510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38487">
      <w:bodyDiv w:val="1"/>
      <w:marLeft w:val="0"/>
      <w:marRight w:val="0"/>
      <w:marTop w:val="0"/>
      <w:marBottom w:val="0"/>
      <w:divBdr>
        <w:top w:val="none" w:sz="0" w:space="0" w:color="auto"/>
        <w:left w:val="none" w:sz="0" w:space="0" w:color="auto"/>
        <w:bottom w:val="none" w:sz="0" w:space="0" w:color="auto"/>
        <w:right w:val="none" w:sz="0" w:space="0" w:color="auto"/>
      </w:divBdr>
      <w:divsChild>
        <w:div w:id="1126705929">
          <w:marLeft w:val="0"/>
          <w:marRight w:val="0"/>
          <w:marTop w:val="0"/>
          <w:marBottom w:val="0"/>
          <w:divBdr>
            <w:top w:val="none" w:sz="0" w:space="0" w:color="auto"/>
            <w:left w:val="none" w:sz="0" w:space="0" w:color="auto"/>
            <w:bottom w:val="none" w:sz="0" w:space="0" w:color="auto"/>
            <w:right w:val="none" w:sz="0" w:space="0" w:color="auto"/>
          </w:divBdr>
          <w:divsChild>
            <w:div w:id="893464511">
              <w:marLeft w:val="0"/>
              <w:marRight w:val="0"/>
              <w:marTop w:val="100"/>
              <w:marBottom w:val="300"/>
              <w:divBdr>
                <w:top w:val="none" w:sz="0" w:space="0" w:color="auto"/>
                <w:left w:val="none" w:sz="0" w:space="0" w:color="auto"/>
                <w:bottom w:val="none" w:sz="0" w:space="0" w:color="auto"/>
                <w:right w:val="none" w:sz="0" w:space="0" w:color="auto"/>
              </w:divBdr>
              <w:divsChild>
                <w:div w:id="877084164">
                  <w:marLeft w:val="0"/>
                  <w:marRight w:val="0"/>
                  <w:marTop w:val="0"/>
                  <w:marBottom w:val="0"/>
                  <w:divBdr>
                    <w:top w:val="none" w:sz="0" w:space="0" w:color="auto"/>
                    <w:left w:val="none" w:sz="0" w:space="0" w:color="auto"/>
                    <w:bottom w:val="none" w:sz="0" w:space="0" w:color="auto"/>
                    <w:right w:val="none" w:sz="0" w:space="0" w:color="auto"/>
                  </w:divBdr>
                  <w:divsChild>
                    <w:div w:id="333918990">
                      <w:marLeft w:val="0"/>
                      <w:marRight w:val="0"/>
                      <w:marTop w:val="0"/>
                      <w:marBottom w:val="0"/>
                      <w:divBdr>
                        <w:top w:val="none" w:sz="0" w:space="0" w:color="auto"/>
                        <w:left w:val="none" w:sz="0" w:space="0" w:color="auto"/>
                        <w:bottom w:val="none" w:sz="0" w:space="0" w:color="auto"/>
                        <w:right w:val="none" w:sz="0" w:space="0" w:color="auto"/>
                      </w:divBdr>
                      <w:divsChild>
                        <w:div w:id="1435858459">
                          <w:marLeft w:val="0"/>
                          <w:marRight w:val="0"/>
                          <w:marTop w:val="0"/>
                          <w:marBottom w:val="0"/>
                          <w:divBdr>
                            <w:top w:val="none" w:sz="0" w:space="0" w:color="auto"/>
                            <w:left w:val="none" w:sz="0" w:space="0" w:color="auto"/>
                            <w:bottom w:val="none" w:sz="0" w:space="0" w:color="auto"/>
                            <w:right w:val="none" w:sz="0" w:space="0" w:color="auto"/>
                          </w:divBdr>
                          <w:divsChild>
                            <w:div w:id="633021952">
                              <w:marLeft w:val="0"/>
                              <w:marRight w:val="0"/>
                              <w:marTop w:val="300"/>
                              <w:marBottom w:val="0"/>
                              <w:divBdr>
                                <w:top w:val="none" w:sz="0" w:space="0" w:color="auto"/>
                                <w:left w:val="none" w:sz="0" w:space="0" w:color="auto"/>
                                <w:bottom w:val="none" w:sz="0" w:space="0" w:color="auto"/>
                                <w:right w:val="none" w:sz="0" w:space="0" w:color="auto"/>
                              </w:divBdr>
                              <w:divsChild>
                                <w:div w:id="14433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4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ike.kokkizil\Dropbox\AN_HHSaving\An_tasarruf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like.kokkizil\Dropbox\AN_HHSaving\An_tasarruf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like.kokkizil\Dropbox\AN_HHSaving\An_tasarruf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[An_tasarruflar.xlsx]Sayfa2!$T$10</c:f>
              <c:strCache>
                <c:ptCount val="1"/>
                <c:pt idx="0">
                  <c:v>Hanehalkı tasarruf oranı=(Gelir-Tüketim)/Gelir</c:v>
                </c:pt>
              </c:strCache>
            </c:strRef>
          </c:tx>
          <c:spPr>
            <a:ln w="19050" cap="rnd">
              <a:solidFill>
                <a:schemeClr val="accent1"/>
              </a:solidFill>
              <a:round/>
            </a:ln>
            <a:effectLst/>
          </c:spPr>
          <c:marker>
            <c:symbol val="triangle"/>
            <c:size val="5"/>
            <c:spPr>
              <a:solidFill>
                <a:schemeClr val="accent1"/>
              </a:solidFill>
              <a:ln w="9525">
                <a:solidFill>
                  <a:schemeClr val="accent1"/>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[An_tasarruflar.xlsx]Sayfa2!$S$11:$S$22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xVal>
          <c:yVal>
            <c:numRef>
              <c:f>[An_tasarruflar.xlsx]Sayfa2!$T$11:$T$22</c:f>
              <c:numCache>
                <c:formatCode>0.0%</c:formatCode>
                <c:ptCount val="12"/>
                <c:pt idx="0">
                  <c:v>0.13713149999999999</c:v>
                </c:pt>
                <c:pt idx="1">
                  <c:v>0.1313619</c:v>
                </c:pt>
                <c:pt idx="2">
                  <c:v>6.8813900000000094E-2</c:v>
                </c:pt>
                <c:pt idx="3">
                  <c:v>7.9706900000000122E-2</c:v>
                </c:pt>
                <c:pt idx="4">
                  <c:v>9.9819300000000027E-2</c:v>
                </c:pt>
                <c:pt idx="5">
                  <c:v>5.8805500000000004E-2</c:v>
                </c:pt>
                <c:pt idx="6">
                  <c:v>7.8340099999999996E-2</c:v>
                </c:pt>
                <c:pt idx="7">
                  <c:v>5.1748999999999996E-2</c:v>
                </c:pt>
                <c:pt idx="8">
                  <c:v>5.6108499999999999E-2</c:v>
                </c:pt>
                <c:pt idx="9">
                  <c:v>4.7977400000000003E-2</c:v>
                </c:pt>
                <c:pt idx="10">
                  <c:v>5.586630000000007E-2</c:v>
                </c:pt>
                <c:pt idx="11">
                  <c:v>6.7734700000000092E-2</c:v>
                </c:pt>
              </c:numCache>
            </c:numRef>
          </c:yVal>
          <c:smooth val="0"/>
          <c:extLst xmlns:c16r2="http://schemas.microsoft.com/office/drawing/2015/06/chart">
            <c:ext xmlns:c16="http://schemas.microsoft.com/office/drawing/2014/chart" uri="{C3380CC4-5D6E-409C-BE32-E72D297353CC}">
              <c16:uniqueId val="{00000000-5A6B-4EB1-B5A6-5345795E87C9}"/>
            </c:ext>
          </c:extLst>
        </c:ser>
        <c:ser>
          <c:idx val="2"/>
          <c:order val="1"/>
          <c:tx>
            <c:strRef>
              <c:f>[An_tasarruflar.xlsx]Sayfa2!$Y$10</c:f>
              <c:strCache>
                <c:ptCount val="1"/>
                <c:pt idx="0">
                  <c:v>Özel tasarruflar/GSYH</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[An_tasarruflar.xlsx]Sayfa2!$S$11:$S$22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xVal>
          <c:yVal>
            <c:numRef>
              <c:f>[An_tasarruflar.xlsx]Sayfa2!$Y$11:$Y$22</c:f>
              <c:numCache>
                <c:formatCode>0.0%</c:formatCode>
                <c:ptCount val="12"/>
                <c:pt idx="0">
                  <c:v>0.19614165516268492</c:v>
                </c:pt>
                <c:pt idx="1">
                  <c:v>0.16939294410894221</c:v>
                </c:pt>
                <c:pt idx="2">
                  <c:v>0.13151938340411487</c:v>
                </c:pt>
                <c:pt idx="3">
                  <c:v>0.12399607449669624</c:v>
                </c:pt>
                <c:pt idx="4">
                  <c:v>0.13113703263246607</c:v>
                </c:pt>
                <c:pt idx="5">
                  <c:v>0.15111731639570095</c:v>
                </c:pt>
                <c:pt idx="6">
                  <c:v>0.1407694541973511</c:v>
                </c:pt>
                <c:pt idx="7">
                  <c:v>0.1198498604463753</c:v>
                </c:pt>
                <c:pt idx="8">
                  <c:v>0.10689607993399625</c:v>
                </c:pt>
                <c:pt idx="9">
                  <c:v>0.11617080206689226</c:v>
                </c:pt>
                <c:pt idx="10">
                  <c:v>9.9453971688969758E-2</c:v>
                </c:pt>
                <c:pt idx="11">
                  <c:v>0.11725735620283757</c:v>
                </c:pt>
              </c:numCache>
            </c:numRef>
          </c:yVal>
          <c:smooth val="0"/>
          <c:extLst xmlns:c16r2="http://schemas.microsoft.com/office/drawing/2015/06/chart">
            <c:ext xmlns:c16="http://schemas.microsoft.com/office/drawing/2014/chart" uri="{C3380CC4-5D6E-409C-BE32-E72D297353CC}">
              <c16:uniqueId val="{00000001-5A6B-4EB1-B5A6-5345795E87C9}"/>
            </c:ext>
          </c:extLst>
        </c:ser>
        <c:dLbls>
          <c:showLegendKey val="0"/>
          <c:showVal val="0"/>
          <c:showCatName val="0"/>
          <c:showSerName val="0"/>
          <c:showPercent val="0"/>
          <c:showBubbleSize val="0"/>
        </c:dLbls>
        <c:axId val="154590208"/>
        <c:axId val="154591616"/>
      </c:scatterChart>
      <c:valAx>
        <c:axId val="154590208"/>
        <c:scaling>
          <c:orientation val="minMax"/>
          <c:max val="2014"/>
          <c:min val="200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591616"/>
        <c:crossesAt val="0"/>
        <c:crossBetween val="midCat"/>
        <c:majorUnit val="1"/>
        <c:minorUnit val="0.5"/>
      </c:valAx>
      <c:valAx>
        <c:axId val="154591616"/>
        <c:scaling>
          <c:orientation val="minMax"/>
          <c:max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tr-TR"/>
          </a:p>
        </c:txPr>
        <c:crossAx val="154590208"/>
        <c:crosses val="autoZero"/>
        <c:crossBetween val="midCat"/>
        <c:majorUnit val="5.0000000000000024E-2"/>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's1 s2 s3'!$T$23</c:f>
              <c:strCache>
                <c:ptCount val="1"/>
                <c:pt idx="0">
                  <c:v>Hanehalkı tasarruf oranı, TO1=(Gelir-Tüketim)/Gelir (Tüm örneklem için)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's1 s2 s3'!$S$11:$S$22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's1 s2 s3'!$T$24:$T$35</c:f>
              <c:numCache>
                <c:formatCode>#,#00%</c:formatCode>
                <c:ptCount val="12"/>
                <c:pt idx="0">
                  <c:v>0.13713149999999999</c:v>
                </c:pt>
                <c:pt idx="1">
                  <c:v>0.1313619</c:v>
                </c:pt>
                <c:pt idx="2">
                  <c:v>6.8813899999999997E-2</c:v>
                </c:pt>
                <c:pt idx="3">
                  <c:v>7.9706899999999997E-2</c:v>
                </c:pt>
                <c:pt idx="4">
                  <c:v>9.98193E-2</c:v>
                </c:pt>
                <c:pt idx="5">
                  <c:v>5.8805499999999997E-2</c:v>
                </c:pt>
                <c:pt idx="6">
                  <c:v>7.8340099999999996E-2</c:v>
                </c:pt>
                <c:pt idx="7">
                  <c:v>5.1749000000000003E-2</c:v>
                </c:pt>
                <c:pt idx="8">
                  <c:v>5.6108499999999999E-2</c:v>
                </c:pt>
                <c:pt idx="9">
                  <c:v>4.7977400000000003E-2</c:v>
                </c:pt>
                <c:pt idx="10">
                  <c:v>5.5866300000000001E-2</c:v>
                </c:pt>
                <c:pt idx="11">
                  <c:v>6.7734699999999995E-2</c:v>
                </c:pt>
              </c:numCache>
            </c:numRef>
          </c:val>
          <c:smooth val="0"/>
          <c:extLst xmlns:c16r2="http://schemas.microsoft.com/office/drawing/2015/06/chart">
            <c:ext xmlns:c16="http://schemas.microsoft.com/office/drawing/2014/chart" uri="{C3380CC4-5D6E-409C-BE32-E72D297353CC}">
              <c16:uniqueId val="{00000000-5BCF-4A84-AF39-F385DAB8EA64}"/>
            </c:ext>
          </c:extLst>
        </c:ser>
        <c:ser>
          <c:idx val="2"/>
          <c:order val="1"/>
          <c:tx>
            <c:strRef>
              <c:f>'s1 s2 s3'!$W$10</c:f>
              <c:strCache>
                <c:ptCount val="1"/>
                <c:pt idx="0">
                  <c:v>Hanehalkı tasarruf oranı, TO1=(Gelir-Tüketim)/Gelir (Sadece tasarruf edenler için)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's1 s2 s3'!$S$11:$S$22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's1 s2 s3'!$W$11:$W$22</c:f>
              <c:numCache>
                <c:formatCode>#,#00%</c:formatCode>
                <c:ptCount val="12"/>
                <c:pt idx="0">
                  <c:v>0.24239920000000001</c:v>
                </c:pt>
                <c:pt idx="1">
                  <c:v>0.23690240000000001</c:v>
                </c:pt>
                <c:pt idx="2">
                  <c:v>0.21088889999999999</c:v>
                </c:pt>
                <c:pt idx="3">
                  <c:v>0.20761279999999999</c:v>
                </c:pt>
                <c:pt idx="4">
                  <c:v>0.2043942</c:v>
                </c:pt>
                <c:pt idx="5">
                  <c:v>0.19380539999999999</c:v>
                </c:pt>
                <c:pt idx="6">
                  <c:v>0.2102752</c:v>
                </c:pt>
                <c:pt idx="7">
                  <c:v>0.1892481</c:v>
                </c:pt>
                <c:pt idx="8">
                  <c:v>0.19845270000000001</c:v>
                </c:pt>
                <c:pt idx="9">
                  <c:v>0.19021250000000001</c:v>
                </c:pt>
                <c:pt idx="10">
                  <c:v>0.1906939</c:v>
                </c:pt>
                <c:pt idx="11">
                  <c:v>0.20482980000000001</c:v>
                </c:pt>
              </c:numCache>
            </c:numRef>
          </c:val>
          <c:smooth val="0"/>
          <c:extLst xmlns:c16r2="http://schemas.microsoft.com/office/drawing/2015/06/chart">
            <c:ext xmlns:c16="http://schemas.microsoft.com/office/drawing/2014/chart" uri="{C3380CC4-5D6E-409C-BE32-E72D297353CC}">
              <c16:uniqueId val="{00000001-5BCF-4A84-AF39-F385DAB8EA64}"/>
            </c:ext>
          </c:extLst>
        </c:ser>
        <c:dLbls>
          <c:showLegendKey val="0"/>
          <c:showVal val="0"/>
          <c:showCatName val="0"/>
          <c:showSerName val="0"/>
          <c:showPercent val="0"/>
          <c:showBubbleSize val="0"/>
        </c:dLbls>
        <c:marker val="1"/>
        <c:smooth val="0"/>
        <c:axId val="154614016"/>
        <c:axId val="154619904"/>
      </c:lineChart>
      <c:catAx>
        <c:axId val="15461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619904"/>
        <c:crosses val="autoZero"/>
        <c:auto val="1"/>
        <c:lblAlgn val="ctr"/>
        <c:lblOffset val="100"/>
        <c:noMultiLvlLbl val="0"/>
      </c:catAx>
      <c:valAx>
        <c:axId val="1546199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61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'[An_tasarruflar.xlsx]s1 s2 s3'!$T$10</c:f>
              <c:strCache>
                <c:ptCount val="1"/>
                <c:pt idx="0">
                  <c:v>Hanehalkı tasarruf oranı, TO1=(Gelir-Tüketim)/Gelir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'[An_tasarruflar.xlsx]s1 s2 s3'!$S$11:$S$22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'[An_tasarruflar.xlsx]s1 s2 s3'!$T$11:$T$22</c:f>
              <c:numCache>
                <c:formatCode>0.0%</c:formatCode>
                <c:ptCount val="12"/>
                <c:pt idx="0">
                  <c:v>0.13713149999999999</c:v>
                </c:pt>
                <c:pt idx="1">
                  <c:v>0.1313619</c:v>
                </c:pt>
                <c:pt idx="2">
                  <c:v>6.8813900000000039E-2</c:v>
                </c:pt>
                <c:pt idx="3">
                  <c:v>7.9706900000000053E-2</c:v>
                </c:pt>
                <c:pt idx="4">
                  <c:v>9.9819300000000027E-2</c:v>
                </c:pt>
                <c:pt idx="5">
                  <c:v>5.8805500000000004E-2</c:v>
                </c:pt>
                <c:pt idx="6">
                  <c:v>7.8340099999999996E-2</c:v>
                </c:pt>
                <c:pt idx="7">
                  <c:v>5.1748999999999996E-2</c:v>
                </c:pt>
                <c:pt idx="8">
                  <c:v>5.6108499999999999E-2</c:v>
                </c:pt>
                <c:pt idx="9">
                  <c:v>4.7977400000000003E-2</c:v>
                </c:pt>
                <c:pt idx="10">
                  <c:v>5.5866300000000028E-2</c:v>
                </c:pt>
                <c:pt idx="11">
                  <c:v>6.7734700000000037E-2</c:v>
                </c:pt>
              </c:numCache>
            </c:numRef>
          </c:val>
          <c:smooth val="0"/>
          <c:extLst xmlns:c16r2="http://schemas.microsoft.com/office/drawing/2015/06/chart">
            <c:ext xmlns:c16="http://schemas.microsoft.com/office/drawing/2014/chart" uri="{C3380CC4-5D6E-409C-BE32-E72D297353CC}">
              <c16:uniqueId val="{00000000-2FD3-491B-8BBC-E3A4F2206330}"/>
            </c:ext>
          </c:extLst>
        </c:ser>
        <c:ser>
          <c:idx val="1"/>
          <c:order val="1"/>
          <c:tx>
            <c:strRef>
              <c:f>'[An_tasarruflar.xlsx]s1 s2 s3'!$U$10</c:f>
              <c:strCache>
                <c:ptCount val="1"/>
                <c:pt idx="0">
                  <c:v>Genişletilmiş hanehalkı tasarruf oranı, TO2=(Gelir-(Tüketim-Dayanıklı))/Gelir</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'[An_tasarruflar.xlsx]s1 s2 s3'!$S$11:$S$22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'[An_tasarruflar.xlsx]s1 s2 s3'!$U$11:$U$22</c:f>
              <c:numCache>
                <c:formatCode>0.0%</c:formatCode>
                <c:ptCount val="12"/>
                <c:pt idx="0">
                  <c:v>0.20047329999999999</c:v>
                </c:pt>
                <c:pt idx="1">
                  <c:v>0.20893790000000012</c:v>
                </c:pt>
                <c:pt idx="2">
                  <c:v>0.17896400000000012</c:v>
                </c:pt>
                <c:pt idx="3">
                  <c:v>0.18625069999999999</c:v>
                </c:pt>
                <c:pt idx="4">
                  <c:v>0.18219510000000008</c:v>
                </c:pt>
                <c:pt idx="5">
                  <c:v>0.16728979999999999</c:v>
                </c:pt>
                <c:pt idx="6">
                  <c:v>0.17906650000000007</c:v>
                </c:pt>
                <c:pt idx="7">
                  <c:v>0.16784189999999999</c:v>
                </c:pt>
                <c:pt idx="8">
                  <c:v>0.19204379999999999</c:v>
                </c:pt>
                <c:pt idx="9">
                  <c:v>0.19128110000000001</c:v>
                </c:pt>
                <c:pt idx="10">
                  <c:v>0.19563030000000001</c:v>
                </c:pt>
                <c:pt idx="11">
                  <c:v>0.21173710000000012</c:v>
                </c:pt>
              </c:numCache>
            </c:numRef>
          </c:val>
          <c:smooth val="0"/>
          <c:extLst xmlns:c16r2="http://schemas.microsoft.com/office/drawing/2015/06/chart">
            <c:ext xmlns:c16="http://schemas.microsoft.com/office/drawing/2014/chart" uri="{C3380CC4-5D6E-409C-BE32-E72D297353CC}">
              <c16:uniqueId val="{00000001-2FD3-491B-8BBC-E3A4F2206330}"/>
            </c:ext>
          </c:extLst>
        </c:ser>
        <c:ser>
          <c:idx val="2"/>
          <c:order val="2"/>
          <c:tx>
            <c:strRef>
              <c:f>'[An_tasarruflar.xlsx]s1 s2 s3'!$V$10</c:f>
              <c:strCache>
                <c:ptCount val="1"/>
                <c:pt idx="0">
                  <c:v>Süper genişletilmiş hanehalkı tasarruf oranı, TO3=(Gelir-(Tüketim-Dayanıklı-Sağlık-Eğitim))/Gelir</c:v>
                </c:pt>
              </c:strCache>
            </c:strRef>
          </c:tx>
          <c:spPr>
            <a:ln w="28575" cap="rnd">
              <a:solidFill>
                <a:schemeClr val="accent3"/>
              </a:solidFill>
              <a:round/>
            </a:ln>
            <a:effectLst/>
          </c:spPr>
          <c:marker>
            <c:symbol val="x"/>
            <c:size val="5"/>
            <c:spPr>
              <a:noFill/>
              <a:ln w="9525">
                <a:solidFill>
                  <a:schemeClr val="accent3"/>
                </a:solidFill>
              </a:ln>
              <a:effectLst/>
            </c:spPr>
          </c:marker>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'[An_tasarruflar.xlsx]s1 s2 s3'!$S$11:$S$22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'[An_tasarruflar.xlsx]s1 s2 s3'!$V$11:$V$22</c:f>
              <c:numCache>
                <c:formatCode>0.0%</c:formatCode>
                <c:ptCount val="12"/>
                <c:pt idx="0">
                  <c:v>0.23331950000000001</c:v>
                </c:pt>
                <c:pt idx="1">
                  <c:v>0.24655060000000001</c:v>
                </c:pt>
                <c:pt idx="2">
                  <c:v>0.22101180000000001</c:v>
                </c:pt>
                <c:pt idx="3">
                  <c:v>0.2286465</c:v>
                </c:pt>
                <c:pt idx="4">
                  <c:v>0.22362019999999991</c:v>
                </c:pt>
                <c:pt idx="5">
                  <c:v>0.20348289999999999</c:v>
                </c:pt>
                <c:pt idx="6">
                  <c:v>0.21570140000000013</c:v>
                </c:pt>
                <c:pt idx="7">
                  <c:v>0.20867559999999991</c:v>
                </c:pt>
                <c:pt idx="8">
                  <c:v>0.2316841</c:v>
                </c:pt>
                <c:pt idx="9">
                  <c:v>0.23341710000000013</c:v>
                </c:pt>
                <c:pt idx="10">
                  <c:v>0.23991370000000009</c:v>
                </c:pt>
                <c:pt idx="11">
                  <c:v>0.2541349</c:v>
                </c:pt>
              </c:numCache>
            </c:numRef>
          </c:val>
          <c:smooth val="0"/>
          <c:extLst xmlns:c16r2="http://schemas.microsoft.com/office/drawing/2015/06/chart">
            <c:ext xmlns:c16="http://schemas.microsoft.com/office/drawing/2014/chart" uri="{C3380CC4-5D6E-409C-BE32-E72D297353CC}">
              <c16:uniqueId val="{00000002-2FD3-491B-8BBC-E3A4F2206330}"/>
            </c:ext>
          </c:extLst>
        </c:ser>
        <c:dLbls>
          <c:showLegendKey val="0"/>
          <c:showVal val="0"/>
          <c:showCatName val="0"/>
          <c:showSerName val="0"/>
          <c:showPercent val="0"/>
          <c:showBubbleSize val="0"/>
        </c:dLbls>
        <c:marker val="1"/>
        <c:smooth val="0"/>
        <c:axId val="154648576"/>
        <c:axId val="154650112"/>
      </c:lineChart>
      <c:catAx>
        <c:axId val="15464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650112"/>
        <c:crosses val="autoZero"/>
        <c:auto val="1"/>
        <c:lblAlgn val="ctr"/>
        <c:lblOffset val="100"/>
        <c:noMultiLvlLbl val="0"/>
      </c:catAx>
      <c:valAx>
        <c:axId val="15465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648576"/>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ln>
      <a:noFill/>
    </a:ln>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95F-7262-4CF9-828E-B1921DDB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1773</Words>
  <Characters>10110</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6</cp:revision>
  <cp:lastPrinted>2016-08-24T08:29:00Z</cp:lastPrinted>
  <dcterms:created xsi:type="dcterms:W3CDTF">2016-09-08T08:40:00Z</dcterms:created>
  <dcterms:modified xsi:type="dcterms:W3CDTF">2016-09-08T08:45:00Z</dcterms:modified>
</cp:coreProperties>
</file>