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BD3" w:rsidRPr="00DE52CE" w:rsidRDefault="00A14DC7" w:rsidP="001E4BF5">
      <w:pPr>
        <w:spacing w:line="360" w:lineRule="auto"/>
        <w:ind w:right="-319"/>
        <w:jc w:val="center"/>
        <w:outlineLvl w:val="0"/>
        <w:rPr>
          <w:rFonts w:ascii="Arial" w:hAnsi="Arial" w:cs="Arial"/>
          <w:b/>
          <w:bCs/>
          <w:sz w:val="32"/>
          <w:szCs w:val="32"/>
        </w:rPr>
      </w:pPr>
      <w:bookmarkStart w:id="0" w:name="_GoBack"/>
      <w:bookmarkEnd w:id="0"/>
      <w:r>
        <w:rPr>
          <w:rFonts w:ascii="Arial" w:hAnsi="Arial" w:cs="Arial"/>
          <w:b/>
          <w:bCs/>
          <w:noProof/>
          <w:sz w:val="21"/>
          <w:szCs w:val="21"/>
        </w:rPr>
        <mc:AlternateContent>
          <mc:Choice Requires="wps">
            <w:drawing>
              <wp:anchor distT="0" distB="0" distL="114935" distR="114935" simplePos="0" relativeHeight="251667456" behindDoc="0" locked="0" layoutInCell="1" allowOverlap="1">
                <wp:simplePos x="0" y="0"/>
                <wp:positionH relativeFrom="column">
                  <wp:posOffset>5159375</wp:posOffset>
                </wp:positionH>
                <wp:positionV relativeFrom="paragraph">
                  <wp:posOffset>198755</wp:posOffset>
                </wp:positionV>
                <wp:extent cx="1256030" cy="34861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3486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ECE" w:rsidRPr="00CD384A" w:rsidRDefault="00083FD1" w:rsidP="009F7A41">
                            <w:pPr>
                              <w:pStyle w:val="Heading3"/>
                              <w:jc w:val="right"/>
                              <w:rPr>
                                <w:lang w:val="en-US"/>
                              </w:rPr>
                            </w:pPr>
                            <w:r w:rsidRPr="00CD384A">
                              <w:rPr>
                                <w:color w:val="FFFFFF"/>
                                <w:sz w:val="22"/>
                                <w:szCs w:val="22"/>
                                <w:lang w:val="en-US"/>
                              </w:rPr>
                              <w:t xml:space="preserve">  </w:t>
                            </w:r>
                            <w:r w:rsidR="00864AB5" w:rsidRPr="00CD384A">
                              <w:rPr>
                                <w:color w:val="FFFFFF"/>
                                <w:sz w:val="22"/>
                                <w:szCs w:val="22"/>
                                <w:lang w:val="en-US"/>
                              </w:rPr>
                              <w:t>1</w:t>
                            </w:r>
                            <w:r w:rsidRPr="00CD384A">
                              <w:rPr>
                                <w:color w:val="FFFFFF"/>
                                <w:sz w:val="22"/>
                                <w:szCs w:val="22"/>
                                <w:lang w:val="en-US"/>
                              </w:rPr>
                              <w:t xml:space="preserve"> </w:t>
                            </w:r>
                            <w:r w:rsidR="00FE38E0" w:rsidRPr="00CD384A">
                              <w:rPr>
                                <w:color w:val="FFFFFF"/>
                                <w:sz w:val="22"/>
                                <w:szCs w:val="22"/>
                                <w:lang w:val="en-US"/>
                              </w:rPr>
                              <w:t>June</w:t>
                            </w:r>
                            <w:r w:rsidR="005E3ECE" w:rsidRPr="00CD384A">
                              <w:rPr>
                                <w:color w:val="FFFFFF"/>
                                <w:sz w:val="22"/>
                                <w:szCs w:val="22"/>
                                <w:lang w:val="en-US"/>
                              </w:rPr>
                              <w:t xml:space="preserve"> 201</w:t>
                            </w:r>
                            <w:r w:rsidRPr="00CD384A">
                              <w:rPr>
                                <w:color w:val="FFFFFF"/>
                                <w:sz w:val="22"/>
                                <w:szCs w:val="22"/>
                                <w:lang w:val="en-US"/>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6.25pt;margin-top:15.65pt;width:98.9pt;height:27.4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4nHiwIAABwFAAAOAAAAZHJzL2Uyb0RvYy54bWysVNuO2yAQfa/Uf0C8Z21nnTS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" stroked="f">
                <v:fill opacity="0"/>
                <v:textbox inset="0,0,0,0">
                  <w:txbxContent>
                    <w:p w:rsidR="005E3ECE" w:rsidRPr="00CD384A" w:rsidRDefault="00083FD1" w:rsidP="009F7A41">
                      <w:pPr>
                        <w:pStyle w:val="Heading3"/>
                        <w:jc w:val="right"/>
                        <w:rPr>
                          <w:lang w:val="en-US"/>
                        </w:rPr>
                      </w:pPr>
                      <w:r w:rsidRPr="00CD384A">
                        <w:rPr>
                          <w:color w:val="FFFFFF"/>
                          <w:sz w:val="22"/>
                          <w:szCs w:val="22"/>
                          <w:lang w:val="en-US"/>
                        </w:rPr>
                        <w:t xml:space="preserve">  </w:t>
                      </w:r>
                      <w:r w:rsidR="00864AB5" w:rsidRPr="00CD384A">
                        <w:rPr>
                          <w:color w:val="FFFFFF"/>
                          <w:sz w:val="22"/>
                          <w:szCs w:val="22"/>
                          <w:lang w:val="en-US"/>
                        </w:rPr>
                        <w:t>1</w:t>
                      </w:r>
                      <w:r w:rsidRPr="00CD384A">
                        <w:rPr>
                          <w:color w:val="FFFFFF"/>
                          <w:sz w:val="22"/>
                          <w:szCs w:val="22"/>
                          <w:lang w:val="en-US"/>
                        </w:rPr>
                        <w:t xml:space="preserve"> </w:t>
                      </w:r>
                      <w:r w:rsidR="00FE38E0" w:rsidRPr="00CD384A">
                        <w:rPr>
                          <w:color w:val="FFFFFF"/>
                          <w:sz w:val="22"/>
                          <w:szCs w:val="22"/>
                          <w:lang w:val="en-US"/>
                        </w:rPr>
                        <w:t>June</w:t>
                      </w:r>
                      <w:r w:rsidR="005E3ECE" w:rsidRPr="00CD384A">
                        <w:rPr>
                          <w:color w:val="FFFFFF"/>
                          <w:sz w:val="22"/>
                          <w:szCs w:val="22"/>
                          <w:lang w:val="en-US"/>
                        </w:rPr>
                        <w:t xml:space="preserve"> 201</w:t>
                      </w:r>
                      <w:r w:rsidRPr="00CD384A">
                        <w:rPr>
                          <w:color w:val="FFFFFF"/>
                          <w:sz w:val="22"/>
                          <w:szCs w:val="22"/>
                          <w:lang w:val="en-US"/>
                        </w:rPr>
                        <w:t>6</w:t>
                      </w:r>
                    </w:p>
                  </w:txbxContent>
                </v:textbox>
              </v:shape>
            </w:pict>
          </mc:Fallback>
        </mc:AlternateContent>
      </w:r>
      <w:r w:rsidR="005E3ECE" w:rsidRPr="00DE52CE">
        <w:rPr>
          <w:noProof/>
        </w:rPr>
        <w:drawing>
          <wp:anchor distT="0" distB="0" distL="114300" distR="114300" simplePos="0" relativeHeight="251658752" behindDoc="1" locked="0" layoutInCell="1" allowOverlap="1">
            <wp:simplePos x="0" y="0"/>
            <wp:positionH relativeFrom="column">
              <wp:posOffset>-785495</wp:posOffset>
            </wp:positionH>
            <wp:positionV relativeFrom="paragraph">
              <wp:posOffset>-809625</wp:posOffset>
            </wp:positionV>
            <wp:extent cx="7258050" cy="1390650"/>
            <wp:effectExtent l="19050" t="0" r="0" b="0"/>
            <wp:wrapNone/>
            <wp:docPr id="8" name="Picture 1" descr="Description: :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nner(TUR).jpg"/>
                    <pic:cNvPicPr>
                      <a:picLocks noChangeAspect="1" noChangeArrowheads="1"/>
                    </pic:cNvPicPr>
                  </pic:nvPicPr>
                  <pic:blipFill>
                    <a:blip r:embed="rId9"/>
                    <a:srcRect/>
                    <a:stretch>
                      <a:fillRect/>
                    </a:stretch>
                  </pic:blipFill>
                  <pic:spPr bwMode="auto">
                    <a:xfrm>
                      <a:off x="0" y="0"/>
                      <a:ext cx="7258050" cy="1390650"/>
                    </a:xfrm>
                    <a:prstGeom prst="rect">
                      <a:avLst/>
                    </a:prstGeom>
                    <a:noFill/>
                    <a:ln w="9525">
                      <a:noFill/>
                      <a:miter lim="800000"/>
                      <a:headEnd/>
                      <a:tailEnd/>
                    </a:ln>
                  </pic:spPr>
                </pic:pic>
              </a:graphicData>
            </a:graphic>
          </wp:anchor>
        </w:drawing>
      </w:r>
      <w:r>
        <w:rPr>
          <w:noProof/>
        </w:rPr>
        <mc:AlternateContent>
          <mc:Choice Requires="wps">
            <w:drawing>
              <wp:anchor distT="0" distB="0" distL="114935" distR="114935" simplePos="0" relativeHeight="251663360" behindDoc="0" locked="0" layoutInCell="1" allowOverlap="1">
                <wp:simplePos x="0" y="0"/>
                <wp:positionH relativeFrom="column">
                  <wp:posOffset>1613535</wp:posOffset>
                </wp:positionH>
                <wp:positionV relativeFrom="paragraph">
                  <wp:posOffset>-653415</wp:posOffset>
                </wp:positionV>
                <wp:extent cx="4396740" cy="5689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568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6E90" w:rsidRPr="00FE38E0" w:rsidRDefault="00C76E90" w:rsidP="00347B6F">
                            <w:pPr>
                              <w:pStyle w:val="Heading1"/>
                              <w:jc w:val="left"/>
                              <w:rPr>
                                <w:rFonts w:ascii="Times New Roman" w:hAnsi="Times New Roman"/>
                                <w:sz w:val="40"/>
                                <w:szCs w:val="40"/>
                                <w:lang w:val="en-US"/>
                              </w:rPr>
                            </w:pPr>
                            <w:r w:rsidRPr="00FE38E0">
                              <w:rPr>
                                <w:rFonts w:ascii="Times New Roman" w:hAnsi="Times New Roman"/>
                                <w:sz w:val="40"/>
                                <w:szCs w:val="40"/>
                                <w:lang w:val="en-US"/>
                              </w:rPr>
                              <w:t>E</w:t>
                            </w:r>
                            <w:r w:rsidR="00FE38E0" w:rsidRPr="00FE38E0">
                              <w:rPr>
                                <w:rFonts w:ascii="Times New Roman" w:hAnsi="Times New Roman"/>
                                <w:sz w:val="40"/>
                                <w:szCs w:val="40"/>
                                <w:lang w:val="en-US"/>
                              </w:rPr>
                              <w:t>conomic Outlook and Forecasts</w:t>
                            </w:r>
                            <w:r w:rsidRPr="00FE38E0">
                              <w:rPr>
                                <w:rFonts w:ascii="Times New Roman" w:hAnsi="Times New Roman"/>
                                <w:sz w:val="40"/>
                                <w:szCs w:val="40"/>
                                <w:lang w:val="en-US"/>
                              </w:rPr>
                              <w:t xml:space="preserve">: </w:t>
                            </w:r>
                            <w:r w:rsidRPr="00FE38E0">
                              <w:rPr>
                                <w:rFonts w:ascii="Times New Roman" w:hAnsi="Times New Roman"/>
                                <w:sz w:val="40"/>
                                <w:szCs w:val="40"/>
                                <w:lang w:val="en-US"/>
                              </w:rPr>
                              <w:tab/>
                            </w:r>
                            <w:r w:rsidRPr="00FE38E0">
                              <w:rPr>
                                <w:rFonts w:ascii="Times New Roman" w:hAnsi="Times New Roman"/>
                                <w:sz w:val="40"/>
                                <w:szCs w:val="40"/>
                                <w:lang w:val="en-US"/>
                              </w:rPr>
                              <w:tab/>
                            </w:r>
                            <w:r w:rsidRPr="00FE38E0">
                              <w:rPr>
                                <w:rFonts w:ascii="Times New Roman" w:hAnsi="Times New Roman"/>
                                <w:sz w:val="40"/>
                                <w:szCs w:val="40"/>
                                <w:lang w:val="en-US"/>
                              </w:rPr>
                              <w:tab/>
                            </w:r>
                            <w:r w:rsidRPr="00FE38E0">
                              <w:rPr>
                                <w:rFonts w:ascii="Times New Roman" w:hAnsi="Times New Roman"/>
                                <w:sz w:val="40"/>
                                <w:szCs w:val="40"/>
                                <w:lang w:val="en-US"/>
                              </w:rPr>
                              <w:tab/>
                            </w:r>
                            <w:r w:rsidR="00FE38E0" w:rsidRPr="00FE38E0">
                              <w:rPr>
                                <w:rFonts w:ascii="Times New Roman" w:hAnsi="Times New Roman"/>
                                <w:sz w:val="40"/>
                                <w:szCs w:val="40"/>
                                <w:lang w:val="en-US"/>
                              </w:rPr>
                              <w:t>May</w:t>
                            </w:r>
                            <w:r w:rsidR="00A13EC9" w:rsidRPr="00FE38E0">
                              <w:rPr>
                                <w:rFonts w:ascii="Times New Roman" w:hAnsi="Times New Roman"/>
                                <w:sz w:val="40"/>
                                <w:szCs w:val="40"/>
                                <w:lang w:val="en-US"/>
                              </w:rPr>
                              <w:t xml:space="preserve"> 2016</w:t>
                            </w:r>
                          </w:p>
                          <w:p w:rsidR="00C76E90" w:rsidRPr="00FE38E0" w:rsidRDefault="00C76E90" w:rsidP="00E57928">
                            <w:pPr>
                              <w:pStyle w:val="Heading2"/>
                              <w:rPr>
                                <w:b w:val="0"/>
                                <w:bCs w:val="0"/>
                                <w:i w:val="0"/>
                                <w:iCs w:val="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27.05pt;margin-top:-51.45pt;width:346.2pt;height:44.8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" stroked="f">
                <v:fill opacity="0"/>
                <v:textbox inset="0,0,0,0">
                  <w:txbxContent>
                    <w:p w:rsidR="00C76E90" w:rsidRPr="00FE38E0" w:rsidRDefault="00C76E90" w:rsidP="00347B6F">
                      <w:pPr>
                        <w:pStyle w:val="Heading1"/>
                        <w:jc w:val="left"/>
                        <w:rPr>
                          <w:rFonts w:ascii="Times New Roman" w:hAnsi="Times New Roman"/>
                          <w:sz w:val="40"/>
                          <w:szCs w:val="40"/>
                          <w:lang w:val="en-US"/>
                        </w:rPr>
                      </w:pPr>
                      <w:r w:rsidRPr="00FE38E0">
                        <w:rPr>
                          <w:rFonts w:ascii="Times New Roman" w:hAnsi="Times New Roman"/>
                          <w:sz w:val="40"/>
                          <w:szCs w:val="40"/>
                          <w:lang w:val="en-US"/>
                        </w:rPr>
                        <w:t>E</w:t>
                      </w:r>
                      <w:r w:rsidR="00FE38E0" w:rsidRPr="00FE38E0">
                        <w:rPr>
                          <w:rFonts w:ascii="Times New Roman" w:hAnsi="Times New Roman"/>
                          <w:sz w:val="40"/>
                          <w:szCs w:val="40"/>
                          <w:lang w:val="en-US"/>
                        </w:rPr>
                        <w:t>conomic Outlook and Forecasts</w:t>
                      </w:r>
                      <w:r w:rsidRPr="00FE38E0">
                        <w:rPr>
                          <w:rFonts w:ascii="Times New Roman" w:hAnsi="Times New Roman"/>
                          <w:sz w:val="40"/>
                          <w:szCs w:val="40"/>
                          <w:lang w:val="en-US"/>
                        </w:rPr>
                        <w:t xml:space="preserve">: </w:t>
                      </w:r>
                      <w:r w:rsidRPr="00FE38E0">
                        <w:rPr>
                          <w:rFonts w:ascii="Times New Roman" w:hAnsi="Times New Roman"/>
                          <w:sz w:val="40"/>
                          <w:szCs w:val="40"/>
                          <w:lang w:val="en-US"/>
                        </w:rPr>
                        <w:tab/>
                      </w:r>
                      <w:r w:rsidRPr="00FE38E0">
                        <w:rPr>
                          <w:rFonts w:ascii="Times New Roman" w:hAnsi="Times New Roman"/>
                          <w:sz w:val="40"/>
                          <w:szCs w:val="40"/>
                          <w:lang w:val="en-US"/>
                        </w:rPr>
                        <w:tab/>
                      </w:r>
                      <w:r w:rsidRPr="00FE38E0">
                        <w:rPr>
                          <w:rFonts w:ascii="Times New Roman" w:hAnsi="Times New Roman"/>
                          <w:sz w:val="40"/>
                          <w:szCs w:val="40"/>
                          <w:lang w:val="en-US"/>
                        </w:rPr>
                        <w:tab/>
                      </w:r>
                      <w:r w:rsidRPr="00FE38E0">
                        <w:rPr>
                          <w:rFonts w:ascii="Times New Roman" w:hAnsi="Times New Roman"/>
                          <w:sz w:val="40"/>
                          <w:szCs w:val="40"/>
                          <w:lang w:val="en-US"/>
                        </w:rPr>
                        <w:tab/>
                      </w:r>
                      <w:r w:rsidR="00FE38E0" w:rsidRPr="00FE38E0">
                        <w:rPr>
                          <w:rFonts w:ascii="Times New Roman" w:hAnsi="Times New Roman"/>
                          <w:sz w:val="40"/>
                          <w:szCs w:val="40"/>
                          <w:lang w:val="en-US"/>
                        </w:rPr>
                        <w:t>May</w:t>
                      </w:r>
                      <w:r w:rsidR="00A13EC9" w:rsidRPr="00FE38E0">
                        <w:rPr>
                          <w:rFonts w:ascii="Times New Roman" w:hAnsi="Times New Roman"/>
                          <w:sz w:val="40"/>
                          <w:szCs w:val="40"/>
                          <w:lang w:val="en-US"/>
                        </w:rPr>
                        <w:t xml:space="preserve"> 2016</w:t>
                      </w:r>
                    </w:p>
                    <w:p w:rsidR="00C76E90" w:rsidRPr="00FE38E0" w:rsidRDefault="00C76E90" w:rsidP="00E57928">
                      <w:pPr>
                        <w:pStyle w:val="Heading2"/>
                        <w:rPr>
                          <w:b w:val="0"/>
                          <w:bCs w:val="0"/>
                          <w:i w:val="0"/>
                          <w:iCs w:val="0"/>
                          <w:lang w:val="en-US"/>
                        </w:rPr>
                      </w:pPr>
                    </w:p>
                  </w:txbxContent>
                </v:textbox>
              </v:shape>
            </w:pict>
          </mc:Fallback>
        </mc:AlternateContent>
      </w:r>
    </w:p>
    <w:p w:rsidR="00054BD3" w:rsidRPr="00DE52CE" w:rsidRDefault="00054BD3" w:rsidP="001E4BF5">
      <w:pPr>
        <w:spacing w:line="360" w:lineRule="auto"/>
        <w:ind w:right="-319"/>
        <w:jc w:val="center"/>
        <w:outlineLvl w:val="0"/>
        <w:rPr>
          <w:rFonts w:ascii="Arial" w:hAnsi="Arial" w:cs="Arial"/>
          <w:b/>
          <w:bCs/>
          <w:sz w:val="32"/>
          <w:szCs w:val="32"/>
        </w:rPr>
      </w:pPr>
    </w:p>
    <w:p w:rsidR="000F0372" w:rsidRPr="00DE52CE" w:rsidRDefault="00CD384A" w:rsidP="000F0372">
      <w:pPr>
        <w:ind w:right="-317"/>
        <w:jc w:val="center"/>
        <w:outlineLvl w:val="0"/>
        <w:rPr>
          <w:rFonts w:ascii="Arial" w:hAnsi="Arial" w:cs="Arial"/>
          <w:b/>
          <w:bCs/>
          <w:caps/>
          <w:sz w:val="28"/>
          <w:szCs w:val="28"/>
        </w:rPr>
      </w:pPr>
      <w:r>
        <w:rPr>
          <w:rFonts w:ascii="Arial" w:hAnsi="Arial" w:cs="Arial"/>
          <w:b/>
          <w:bCs/>
          <w:caps/>
          <w:sz w:val="28"/>
          <w:szCs w:val="28"/>
        </w:rPr>
        <w:t>Moderate GROWTH</w:t>
      </w:r>
    </w:p>
    <w:p w:rsidR="00EB408D" w:rsidRPr="00DE52CE" w:rsidRDefault="00EB408D" w:rsidP="00EB408D">
      <w:pPr>
        <w:ind w:right="-317"/>
        <w:jc w:val="center"/>
        <w:outlineLvl w:val="0"/>
        <w:rPr>
          <w:rFonts w:ascii="Arial" w:hAnsi="Arial" w:cs="Arial"/>
          <w:b/>
          <w:bCs/>
          <w:caps/>
          <w:sz w:val="28"/>
          <w:szCs w:val="28"/>
        </w:rPr>
      </w:pPr>
    </w:p>
    <w:p w:rsidR="00EB408D" w:rsidRPr="00DE52CE" w:rsidRDefault="00410AFC" w:rsidP="00EB408D">
      <w:pPr>
        <w:ind w:right="-317"/>
        <w:jc w:val="center"/>
        <w:outlineLvl w:val="0"/>
        <w:rPr>
          <w:rFonts w:ascii="Arial" w:hAnsi="Arial" w:cs="Arial"/>
          <w:b/>
          <w:bCs/>
          <w:sz w:val="21"/>
          <w:szCs w:val="21"/>
          <w:vertAlign w:val="superscript"/>
        </w:rPr>
      </w:pPr>
      <w:r w:rsidRPr="00DE52CE">
        <w:rPr>
          <w:rFonts w:ascii="Arial" w:hAnsi="Arial" w:cs="Arial"/>
          <w:b/>
          <w:bCs/>
          <w:sz w:val="21"/>
          <w:szCs w:val="21"/>
        </w:rPr>
        <w:t>Ozan Bakış</w:t>
      </w:r>
      <w:r w:rsidR="000F0372" w:rsidRPr="00DE52CE">
        <w:rPr>
          <w:rFonts w:ascii="Arial" w:hAnsi="Arial" w:cs="Arial"/>
          <w:b/>
          <w:bCs/>
          <w:sz w:val="21"/>
          <w:szCs w:val="21"/>
        </w:rPr>
        <w:t>*,</w:t>
      </w:r>
      <w:r w:rsidR="00EB408D" w:rsidRPr="00DE52CE">
        <w:rPr>
          <w:rFonts w:ascii="Arial" w:hAnsi="Arial" w:cs="Arial"/>
          <w:b/>
          <w:bCs/>
          <w:sz w:val="21"/>
          <w:szCs w:val="21"/>
        </w:rPr>
        <w:t xml:space="preserve"> </w:t>
      </w:r>
      <w:r w:rsidR="000F0372" w:rsidRPr="00DE52CE">
        <w:rPr>
          <w:rFonts w:ascii="Arial" w:hAnsi="Arial" w:cs="Arial"/>
          <w:b/>
          <w:bCs/>
          <w:sz w:val="21"/>
          <w:szCs w:val="21"/>
        </w:rPr>
        <w:t>Mine Durmaz</w:t>
      </w:r>
      <w:r w:rsidR="000F0372" w:rsidRPr="00DE52CE">
        <w:rPr>
          <w:rFonts w:ascii="Arial" w:hAnsi="Arial" w:cs="Arial"/>
          <w:b/>
          <w:bCs/>
          <w:sz w:val="21"/>
          <w:szCs w:val="21"/>
          <w:vertAlign w:val="superscript"/>
        </w:rPr>
        <w:t>**</w:t>
      </w:r>
      <w:r w:rsidR="000F0372" w:rsidRPr="00DE52CE">
        <w:rPr>
          <w:rFonts w:ascii="Arial" w:hAnsi="Arial" w:cs="Arial"/>
          <w:b/>
          <w:bCs/>
          <w:sz w:val="21"/>
          <w:szCs w:val="21"/>
        </w:rPr>
        <w:t>, Melike Kökkızıl***</w:t>
      </w:r>
    </w:p>
    <w:p w:rsidR="00EB408D" w:rsidRPr="00DE52CE" w:rsidRDefault="00EB408D" w:rsidP="00EB408D">
      <w:pPr>
        <w:ind w:right="-317"/>
        <w:jc w:val="center"/>
        <w:outlineLvl w:val="0"/>
        <w:rPr>
          <w:rFonts w:ascii="Arial" w:hAnsi="Arial" w:cs="Arial"/>
          <w:b/>
          <w:bCs/>
          <w:sz w:val="21"/>
          <w:szCs w:val="21"/>
          <w:vertAlign w:val="superscript"/>
        </w:rPr>
      </w:pPr>
    </w:p>
    <w:p w:rsidR="00EB408D" w:rsidRPr="00DE52CE" w:rsidRDefault="00EB408D" w:rsidP="00EB408D">
      <w:pPr>
        <w:spacing w:line="360" w:lineRule="auto"/>
        <w:ind w:right="-319"/>
        <w:jc w:val="center"/>
        <w:outlineLvl w:val="0"/>
        <w:rPr>
          <w:rFonts w:ascii="Arial" w:hAnsi="Arial" w:cs="Arial"/>
          <w:sz w:val="22"/>
          <w:szCs w:val="22"/>
          <w:vertAlign w:val="superscript"/>
        </w:rPr>
      </w:pPr>
    </w:p>
    <w:p w:rsidR="00EB408D" w:rsidRPr="00DE52CE" w:rsidRDefault="00EB408D" w:rsidP="00EB408D">
      <w:pPr>
        <w:spacing w:line="360" w:lineRule="auto"/>
        <w:ind w:right="-319"/>
        <w:jc w:val="center"/>
        <w:outlineLvl w:val="0"/>
        <w:rPr>
          <w:rFonts w:ascii="Arial" w:hAnsi="Arial" w:cs="Arial"/>
          <w:sz w:val="22"/>
          <w:szCs w:val="22"/>
          <w:vertAlign w:val="superscript"/>
        </w:rPr>
        <w:sectPr w:rsidR="00EB408D" w:rsidRPr="00DE52CE" w:rsidSect="008651A8">
          <w:footerReference w:type="default" r:id="rId10"/>
          <w:type w:val="continuous"/>
          <w:pgSz w:w="11906" w:h="16838"/>
          <w:pgMar w:top="1417" w:right="1417" w:bottom="1417" w:left="1417" w:header="708" w:footer="708" w:gutter="0"/>
          <w:cols w:space="708"/>
          <w:docGrid w:linePitch="360"/>
        </w:sectPr>
      </w:pPr>
    </w:p>
    <w:p w:rsidR="00EB408D" w:rsidRPr="00CD384A" w:rsidRDefault="00CD384A" w:rsidP="00EB408D">
      <w:pPr>
        <w:spacing w:line="360" w:lineRule="auto"/>
        <w:ind w:left="-360" w:right="42" w:firstLine="360"/>
        <w:jc w:val="center"/>
        <w:rPr>
          <w:b/>
          <w:bCs/>
          <w:sz w:val="22"/>
          <w:szCs w:val="22"/>
          <w:lang w:val="en-US"/>
        </w:rPr>
      </w:pPr>
      <w:r w:rsidRPr="00CD384A">
        <w:rPr>
          <w:b/>
          <w:bCs/>
          <w:sz w:val="22"/>
          <w:szCs w:val="22"/>
          <w:lang w:val="en-US"/>
        </w:rPr>
        <w:lastRenderedPageBreak/>
        <w:t>Executive Summary</w:t>
      </w:r>
    </w:p>
    <w:p w:rsidR="00EB408D" w:rsidRPr="00D4658D" w:rsidRDefault="00EB408D" w:rsidP="00EB408D">
      <w:pPr>
        <w:spacing w:line="360" w:lineRule="auto"/>
        <w:ind w:left="-360" w:right="42" w:firstLine="360"/>
        <w:jc w:val="center"/>
        <w:rPr>
          <w:b/>
          <w:bCs/>
          <w:sz w:val="16"/>
          <w:szCs w:val="16"/>
          <w:highlight w:val="yellow"/>
          <w:lang w:val="en-US"/>
        </w:rPr>
      </w:pPr>
    </w:p>
    <w:p w:rsidR="00844E74" w:rsidRPr="00D4658D" w:rsidRDefault="00183684" w:rsidP="00E95987">
      <w:pPr>
        <w:spacing w:line="360" w:lineRule="auto"/>
        <w:ind w:left="-360" w:right="40"/>
        <w:jc w:val="both"/>
        <w:rPr>
          <w:sz w:val="22"/>
          <w:szCs w:val="22"/>
          <w:lang w:val="en-US"/>
        </w:rPr>
      </w:pPr>
      <w:r>
        <w:rPr>
          <w:sz w:val="22"/>
          <w:szCs w:val="22"/>
          <w:lang w:val="en-US"/>
        </w:rPr>
        <w:t>L</w:t>
      </w:r>
      <w:r w:rsidR="00D4658D" w:rsidRPr="00D4658D">
        <w:rPr>
          <w:sz w:val="22"/>
          <w:szCs w:val="22"/>
          <w:lang w:val="en-US"/>
        </w:rPr>
        <w:t xml:space="preserve">eading indicators </w:t>
      </w:r>
      <w:r>
        <w:rPr>
          <w:sz w:val="22"/>
          <w:szCs w:val="22"/>
          <w:lang w:val="en-US"/>
        </w:rPr>
        <w:t>continue to move in o</w:t>
      </w:r>
      <w:r w:rsidRPr="00D4658D">
        <w:rPr>
          <w:sz w:val="22"/>
          <w:szCs w:val="22"/>
          <w:lang w:val="en-US"/>
        </w:rPr>
        <w:t xml:space="preserve">pposite directions </w:t>
      </w:r>
      <w:r w:rsidR="00D4658D">
        <w:rPr>
          <w:sz w:val="22"/>
          <w:szCs w:val="22"/>
          <w:lang w:val="en-US"/>
        </w:rPr>
        <w:t xml:space="preserve">as </w:t>
      </w:r>
      <w:r w:rsidR="00D4658D" w:rsidRPr="00D4658D">
        <w:rPr>
          <w:sz w:val="22"/>
          <w:szCs w:val="22"/>
          <w:lang w:val="en-US"/>
        </w:rPr>
        <w:t>mentioned in</w:t>
      </w:r>
      <w:r>
        <w:rPr>
          <w:sz w:val="22"/>
          <w:szCs w:val="22"/>
          <w:lang w:val="en-US"/>
        </w:rPr>
        <w:t xml:space="preserve"> our</w:t>
      </w:r>
      <w:r w:rsidR="00D4658D" w:rsidRPr="00D4658D">
        <w:rPr>
          <w:sz w:val="22"/>
          <w:szCs w:val="22"/>
          <w:lang w:val="en-US"/>
        </w:rPr>
        <w:t xml:space="preserve"> previous research briefs.</w:t>
      </w:r>
      <w:r w:rsidR="00355C0A">
        <w:rPr>
          <w:sz w:val="22"/>
          <w:szCs w:val="22"/>
          <w:lang w:val="en-US"/>
        </w:rPr>
        <w:t xml:space="preserve"> The first quarterly data of 2016 reveals that </w:t>
      </w:r>
      <w:r w:rsidR="00844E74">
        <w:rPr>
          <w:sz w:val="22"/>
          <w:szCs w:val="22"/>
          <w:lang w:val="en-US"/>
        </w:rPr>
        <w:t xml:space="preserve">recovery in investment stands out and a moderate progress in consumption persists. Nonetheless, government spending exhibits a sharp </w:t>
      </w:r>
      <w:r w:rsidR="001D187A">
        <w:rPr>
          <w:sz w:val="22"/>
          <w:szCs w:val="22"/>
          <w:lang w:val="en-US"/>
        </w:rPr>
        <w:t>decline</w:t>
      </w:r>
      <w:r w:rsidR="00844E74">
        <w:rPr>
          <w:sz w:val="22"/>
          <w:szCs w:val="22"/>
          <w:lang w:val="en-US"/>
        </w:rPr>
        <w:t xml:space="preserve">. </w:t>
      </w:r>
      <w:r>
        <w:rPr>
          <w:sz w:val="22"/>
          <w:szCs w:val="22"/>
          <w:lang w:val="en-US"/>
        </w:rPr>
        <w:t>As for investment</w:t>
      </w:r>
      <w:r w:rsidR="00007FD2">
        <w:rPr>
          <w:sz w:val="22"/>
          <w:szCs w:val="22"/>
          <w:lang w:val="en-US"/>
        </w:rPr>
        <w:t xml:space="preserve">, significant increases are seen in </w:t>
      </w:r>
      <w:r w:rsidR="001D187A">
        <w:rPr>
          <w:sz w:val="22"/>
          <w:szCs w:val="22"/>
          <w:lang w:val="en-US"/>
        </w:rPr>
        <w:t xml:space="preserve">import of </w:t>
      </w:r>
      <w:r w:rsidR="002618E3">
        <w:rPr>
          <w:sz w:val="22"/>
          <w:szCs w:val="22"/>
          <w:lang w:val="en-US"/>
        </w:rPr>
        <w:t xml:space="preserve">investment goods and its </w:t>
      </w:r>
      <w:r w:rsidR="00007FD2">
        <w:rPr>
          <w:sz w:val="22"/>
          <w:szCs w:val="22"/>
          <w:lang w:val="en-US"/>
        </w:rPr>
        <w:t>production; however, production of commercial cars will remain limited compared to our previous calculations.</w:t>
      </w:r>
    </w:p>
    <w:p w:rsidR="00355C0A" w:rsidRDefault="00355C0A" w:rsidP="00E95987">
      <w:pPr>
        <w:spacing w:line="360" w:lineRule="auto"/>
        <w:ind w:left="-360" w:right="40"/>
        <w:jc w:val="both"/>
        <w:rPr>
          <w:sz w:val="22"/>
          <w:szCs w:val="22"/>
        </w:rPr>
      </w:pPr>
    </w:p>
    <w:p w:rsidR="00517673" w:rsidRPr="0081314D" w:rsidRDefault="005A7CE4" w:rsidP="0081314D">
      <w:pPr>
        <w:spacing w:line="360" w:lineRule="auto"/>
        <w:ind w:left="-360" w:right="40"/>
        <w:jc w:val="both"/>
        <w:rPr>
          <w:sz w:val="22"/>
          <w:szCs w:val="22"/>
          <w:lang w:val="en-US"/>
        </w:rPr>
      </w:pPr>
      <w:r w:rsidRPr="00FA53D0">
        <w:rPr>
          <w:sz w:val="22"/>
          <w:szCs w:val="22"/>
          <w:lang w:val="en-US"/>
        </w:rPr>
        <w:t xml:space="preserve">Updated data indicate that </w:t>
      </w:r>
      <w:r w:rsidR="00C532BE" w:rsidRPr="00FA53D0">
        <w:rPr>
          <w:sz w:val="22"/>
          <w:szCs w:val="22"/>
          <w:lang w:val="en-US"/>
        </w:rPr>
        <w:t xml:space="preserve">negative contribution of net export to the growth will </w:t>
      </w:r>
      <w:r w:rsidR="00DC490F" w:rsidRPr="00FA53D0">
        <w:rPr>
          <w:sz w:val="22"/>
          <w:szCs w:val="22"/>
          <w:lang w:val="en-US"/>
        </w:rPr>
        <w:t>become</w:t>
      </w:r>
      <w:r w:rsidR="00C532BE" w:rsidRPr="00FA53D0">
        <w:rPr>
          <w:sz w:val="22"/>
          <w:szCs w:val="22"/>
          <w:lang w:val="en-US"/>
        </w:rPr>
        <w:t xml:space="preserve"> </w:t>
      </w:r>
      <w:r w:rsidR="00DC490F" w:rsidRPr="00FA53D0">
        <w:rPr>
          <w:sz w:val="22"/>
          <w:szCs w:val="22"/>
          <w:lang w:val="en-US"/>
        </w:rPr>
        <w:t xml:space="preserve">clearer. </w:t>
      </w:r>
      <w:r w:rsidR="00FA53D0" w:rsidRPr="00FA53D0">
        <w:rPr>
          <w:sz w:val="22"/>
          <w:szCs w:val="22"/>
          <w:lang w:val="en-US"/>
        </w:rPr>
        <w:t>Our estimates for quarter-on-quarter and year-on-year growth rates are revised to 0.6 percent and 3.5 percent, respectively. In addition, we predict the current account deficit to GDP ratio to be 4.2 percent and the gold-excluded ratio to be 4.8 percent.</w:t>
      </w:r>
    </w:p>
    <w:p w:rsidR="00705D8C" w:rsidRDefault="00705D8C" w:rsidP="00F43211">
      <w:pPr>
        <w:spacing w:line="360" w:lineRule="auto"/>
        <w:ind w:left="-360" w:right="42"/>
        <w:jc w:val="both"/>
        <w:rPr>
          <w:b/>
          <w:sz w:val="22"/>
          <w:szCs w:val="22"/>
        </w:rPr>
      </w:pPr>
    </w:p>
    <w:p w:rsidR="001947D8" w:rsidRPr="00DE52CE" w:rsidRDefault="001947D8" w:rsidP="00F43211">
      <w:pPr>
        <w:spacing w:line="360" w:lineRule="auto"/>
        <w:ind w:left="-360" w:right="42"/>
        <w:jc w:val="both"/>
        <w:rPr>
          <w:b/>
          <w:sz w:val="22"/>
          <w:szCs w:val="22"/>
        </w:rPr>
      </w:pPr>
    </w:p>
    <w:p w:rsidR="00FB0FBD" w:rsidRPr="00DE52CE" w:rsidRDefault="00FB0FBD" w:rsidP="00F43211">
      <w:pPr>
        <w:spacing w:line="360" w:lineRule="auto"/>
        <w:ind w:left="-360" w:right="42"/>
        <w:jc w:val="both"/>
        <w:rPr>
          <w:b/>
          <w:sz w:val="22"/>
          <w:szCs w:val="22"/>
        </w:rPr>
      </w:pPr>
    </w:p>
    <w:p w:rsidR="00FB0FBD" w:rsidRPr="00DE52CE" w:rsidRDefault="00FB0FBD" w:rsidP="00F43211">
      <w:pPr>
        <w:spacing w:line="360" w:lineRule="auto"/>
        <w:ind w:left="-360" w:right="42"/>
        <w:jc w:val="both"/>
        <w:rPr>
          <w:b/>
          <w:sz w:val="22"/>
          <w:szCs w:val="22"/>
        </w:rPr>
      </w:pPr>
    </w:p>
    <w:p w:rsidR="00EB408D" w:rsidRPr="0081314D" w:rsidRDefault="00A14DC7" w:rsidP="001947D8">
      <w:pPr>
        <w:ind w:right="-318"/>
        <w:jc w:val="both"/>
        <w:rPr>
          <w:rFonts w:ascii="Arial" w:hAnsi="Arial" w:cs="Arial"/>
          <w:sz w:val="16"/>
          <w:szCs w:val="16"/>
          <w:lang w:val="en-US"/>
        </w:rPr>
      </w:pPr>
      <w:r>
        <w:rPr>
          <w:noProof/>
        </w:rPr>
        <mc:AlternateContent>
          <mc:Choice Requires="wps">
            <w:drawing>
              <wp:anchor distT="0" distB="0" distL="114300" distR="114300" simplePos="0" relativeHeight="251666432" behindDoc="0" locked="0" layoutInCell="1" allowOverlap="1">
                <wp:simplePos x="0" y="0"/>
                <wp:positionH relativeFrom="column">
                  <wp:posOffset>-219075</wp:posOffset>
                </wp:positionH>
                <wp:positionV relativeFrom="paragraph">
                  <wp:posOffset>67945</wp:posOffset>
                </wp:positionV>
                <wp:extent cx="2514600" cy="635"/>
                <wp:effectExtent l="0" t="0" r="19050" b="3746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5.35pt" to="180.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"/>
            </w:pict>
          </mc:Fallback>
        </mc:AlternateContent>
      </w:r>
      <w:r>
        <w:rPr>
          <w:rFonts w:ascii="Arial" w:hAnsi="Arial" w:cs="Arial"/>
          <w:noProof/>
          <w:sz w:val="16"/>
          <w:szCs w:val="16"/>
        </w:rPr>
        <mc:AlternateContent>
          <mc:Choice Requires="wpc">
            <w:drawing>
              <wp:inline distT="0" distB="0" distL="0" distR="0">
                <wp:extent cx="2514600" cy="45720"/>
                <wp:effectExtent l="0" t="0" r="0" b="1905"/>
                <wp:docPr id="4" name="Canvas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9" o:spid="_x0000_s1026" editas="canvas" style="width:198pt;height:3.6pt;mso-position-horizontal-relative:char;mso-position-vertical-relative:line" coordsize="2514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146;height:457;visibility:visible;mso-wrap-style:square">
                  <v:fill o:detectmouseclick="t"/>
                  <v:path o:connecttype="none"/>
                </v:shape>
                <w10:anchorlock/>
              </v:group>
            </w:pict>
          </mc:Fallback>
        </mc:AlternateContent>
      </w:r>
    </w:p>
    <w:p w:rsidR="00263E6D" w:rsidRPr="0081314D" w:rsidRDefault="00EB408D" w:rsidP="001947D8">
      <w:pPr>
        <w:ind w:left="-360" w:right="-318"/>
        <w:jc w:val="both"/>
        <w:rPr>
          <w:sz w:val="16"/>
          <w:szCs w:val="16"/>
          <w:lang w:val="en-US"/>
        </w:rPr>
      </w:pPr>
      <w:r w:rsidRPr="0081314D">
        <w:rPr>
          <w:sz w:val="16"/>
          <w:szCs w:val="16"/>
          <w:lang w:val="en-US"/>
        </w:rPr>
        <w:t xml:space="preserve">* </w:t>
      </w:r>
      <w:r w:rsidR="001947D8" w:rsidRPr="0081314D">
        <w:rPr>
          <w:sz w:val="16"/>
          <w:szCs w:val="16"/>
          <w:lang w:val="en-US"/>
        </w:rPr>
        <w:t>Assoc.</w:t>
      </w:r>
      <w:r w:rsidR="0081314D" w:rsidRPr="0081314D">
        <w:rPr>
          <w:sz w:val="16"/>
          <w:szCs w:val="16"/>
          <w:lang w:val="en-US"/>
        </w:rPr>
        <w:t xml:space="preserve"> </w:t>
      </w:r>
      <w:r w:rsidR="001947D8" w:rsidRPr="0081314D">
        <w:rPr>
          <w:sz w:val="16"/>
          <w:szCs w:val="16"/>
          <w:lang w:val="en-US"/>
        </w:rPr>
        <w:t>Prof.</w:t>
      </w:r>
      <w:r w:rsidR="0081314D" w:rsidRPr="0081314D">
        <w:rPr>
          <w:sz w:val="16"/>
          <w:szCs w:val="16"/>
          <w:lang w:val="en-US"/>
        </w:rPr>
        <w:t xml:space="preserve"> </w:t>
      </w:r>
      <w:r w:rsidR="001947D8" w:rsidRPr="0081314D">
        <w:rPr>
          <w:sz w:val="16"/>
          <w:szCs w:val="16"/>
          <w:lang w:val="en-US"/>
        </w:rPr>
        <w:t>Dr</w:t>
      </w:r>
      <w:r w:rsidR="00410AFC" w:rsidRPr="0081314D">
        <w:rPr>
          <w:sz w:val="16"/>
          <w:szCs w:val="16"/>
          <w:lang w:val="en-US"/>
        </w:rPr>
        <w:t>.</w:t>
      </w:r>
      <w:r w:rsidR="000F0372" w:rsidRPr="0081314D">
        <w:rPr>
          <w:sz w:val="16"/>
          <w:szCs w:val="16"/>
          <w:lang w:val="en-US"/>
        </w:rPr>
        <w:t xml:space="preserve"> </w:t>
      </w:r>
      <w:r w:rsidR="00410AFC" w:rsidRPr="0081314D">
        <w:rPr>
          <w:sz w:val="16"/>
          <w:szCs w:val="16"/>
          <w:lang w:val="en-US"/>
        </w:rPr>
        <w:t>Ozan Bakış</w:t>
      </w:r>
      <w:r w:rsidR="000F0372" w:rsidRPr="0081314D">
        <w:rPr>
          <w:sz w:val="16"/>
          <w:szCs w:val="16"/>
          <w:lang w:val="en-US"/>
        </w:rPr>
        <w:t xml:space="preserve">, </w:t>
      </w:r>
      <w:r w:rsidR="007704C1" w:rsidRPr="0081314D">
        <w:rPr>
          <w:sz w:val="16"/>
          <w:szCs w:val="16"/>
          <w:lang w:val="en-US"/>
        </w:rPr>
        <w:t>Senior Researcher</w:t>
      </w:r>
      <w:r w:rsidR="000F0372" w:rsidRPr="0081314D">
        <w:rPr>
          <w:sz w:val="16"/>
          <w:szCs w:val="16"/>
          <w:lang w:val="en-US"/>
        </w:rPr>
        <w:t xml:space="preserve">, </w:t>
      </w:r>
    </w:p>
    <w:p w:rsidR="00EB408D" w:rsidRPr="0081314D" w:rsidRDefault="00691197" w:rsidP="001947D8">
      <w:pPr>
        <w:ind w:left="-360" w:right="-318"/>
        <w:jc w:val="both"/>
        <w:rPr>
          <w:rStyle w:val="Hyperlink"/>
          <w:color w:val="auto"/>
          <w:lang w:val="en-US"/>
        </w:rPr>
      </w:pPr>
      <w:hyperlink r:id="rId11" w:history="1">
        <w:r w:rsidR="00410AFC" w:rsidRPr="0081314D">
          <w:rPr>
            <w:rStyle w:val="Hyperlink"/>
            <w:color w:val="auto"/>
            <w:sz w:val="16"/>
            <w:szCs w:val="16"/>
            <w:lang w:val="en-US"/>
          </w:rPr>
          <w:t>ozan.bakis@eas.bau.edu.tr</w:t>
        </w:r>
      </w:hyperlink>
    </w:p>
    <w:p w:rsidR="00EB408D" w:rsidRPr="0081314D" w:rsidRDefault="00EB408D" w:rsidP="001947D8">
      <w:pPr>
        <w:ind w:left="-360" w:right="-318"/>
        <w:jc w:val="both"/>
        <w:rPr>
          <w:sz w:val="16"/>
          <w:szCs w:val="16"/>
          <w:lang w:val="en-US"/>
        </w:rPr>
      </w:pPr>
      <w:r w:rsidRPr="0081314D">
        <w:rPr>
          <w:sz w:val="16"/>
          <w:szCs w:val="16"/>
          <w:lang w:val="en-US"/>
        </w:rPr>
        <w:t xml:space="preserve">** </w:t>
      </w:r>
      <w:r w:rsidR="000F0372" w:rsidRPr="0081314D">
        <w:rPr>
          <w:sz w:val="16"/>
          <w:szCs w:val="16"/>
          <w:lang w:val="en-US"/>
        </w:rPr>
        <w:t>Mine Durmaz</w:t>
      </w:r>
      <w:r w:rsidRPr="0081314D">
        <w:rPr>
          <w:sz w:val="16"/>
          <w:szCs w:val="16"/>
          <w:lang w:val="en-US"/>
        </w:rPr>
        <w:t xml:space="preserve">, Betam, </w:t>
      </w:r>
      <w:r w:rsidR="001947D8" w:rsidRPr="0081314D">
        <w:rPr>
          <w:sz w:val="16"/>
          <w:szCs w:val="16"/>
          <w:lang w:val="en-US"/>
        </w:rPr>
        <w:t>Research Assistant</w:t>
      </w:r>
    </w:p>
    <w:p w:rsidR="00EB408D" w:rsidRPr="0081314D" w:rsidRDefault="00691197" w:rsidP="001947D8">
      <w:pPr>
        <w:ind w:left="-360"/>
        <w:rPr>
          <w:lang w:val="en-US"/>
        </w:rPr>
      </w:pPr>
      <w:hyperlink r:id="rId12" w:history="1">
        <w:r w:rsidR="000F0372" w:rsidRPr="0081314D">
          <w:rPr>
            <w:rStyle w:val="Hyperlink"/>
            <w:color w:val="auto"/>
            <w:sz w:val="16"/>
            <w:szCs w:val="16"/>
            <w:lang w:val="en-US"/>
          </w:rPr>
          <w:t>mine.durmaz</w:t>
        </w:r>
        <w:r w:rsidR="00EB408D" w:rsidRPr="0081314D">
          <w:rPr>
            <w:rStyle w:val="Hyperlink"/>
            <w:color w:val="auto"/>
            <w:sz w:val="16"/>
            <w:szCs w:val="16"/>
            <w:lang w:val="en-US"/>
          </w:rPr>
          <w:t>@eas.ba</w:t>
        </w:r>
        <w:r w:rsidR="00410AFC" w:rsidRPr="0081314D">
          <w:rPr>
            <w:rStyle w:val="Hyperlink"/>
            <w:color w:val="auto"/>
            <w:sz w:val="16"/>
            <w:szCs w:val="16"/>
            <w:lang w:val="en-US"/>
          </w:rPr>
          <w:t>u</w:t>
        </w:r>
        <w:r w:rsidR="00EB408D" w:rsidRPr="0081314D">
          <w:rPr>
            <w:rStyle w:val="Hyperlink"/>
            <w:color w:val="auto"/>
            <w:sz w:val="16"/>
            <w:szCs w:val="16"/>
            <w:lang w:val="en-US"/>
          </w:rPr>
          <w:t>.edu.tr</w:t>
        </w:r>
      </w:hyperlink>
    </w:p>
    <w:p w:rsidR="00F43211" w:rsidRPr="0081314D" w:rsidRDefault="00F43211" w:rsidP="001947D8">
      <w:pPr>
        <w:ind w:left="-360" w:right="-318"/>
        <w:jc w:val="both"/>
        <w:rPr>
          <w:sz w:val="16"/>
          <w:szCs w:val="16"/>
          <w:lang w:val="en-US"/>
        </w:rPr>
      </w:pPr>
      <w:r w:rsidRPr="0081314D">
        <w:rPr>
          <w:sz w:val="16"/>
          <w:szCs w:val="16"/>
          <w:lang w:val="en-US"/>
        </w:rPr>
        <w:t xml:space="preserve">***Melike Kökkızıl, Betam, </w:t>
      </w:r>
      <w:r w:rsidR="001947D8" w:rsidRPr="0081314D">
        <w:rPr>
          <w:sz w:val="16"/>
          <w:szCs w:val="16"/>
          <w:lang w:val="en-US"/>
        </w:rPr>
        <w:t>Research Assistant</w:t>
      </w:r>
    </w:p>
    <w:p w:rsidR="00EB408D" w:rsidRPr="0081314D" w:rsidRDefault="00691197" w:rsidP="001947D8">
      <w:pPr>
        <w:ind w:left="-360"/>
        <w:rPr>
          <w:sz w:val="16"/>
          <w:szCs w:val="16"/>
          <w:lang w:val="en-US"/>
        </w:rPr>
      </w:pPr>
      <w:hyperlink r:id="rId13" w:history="1">
        <w:r w:rsidR="00410AFC" w:rsidRPr="0081314D">
          <w:rPr>
            <w:rStyle w:val="Hyperlink"/>
            <w:color w:val="auto"/>
            <w:sz w:val="16"/>
            <w:szCs w:val="16"/>
            <w:lang w:val="en-US"/>
          </w:rPr>
          <w:t>melike.kokkizil@eas.bau.edu.tr</w:t>
        </w:r>
      </w:hyperlink>
    </w:p>
    <w:p w:rsidR="00B161B7" w:rsidRPr="00DE52CE" w:rsidRDefault="00B161B7" w:rsidP="00B161B7">
      <w:pPr>
        <w:ind w:left="-360"/>
        <w:rPr>
          <w:sz w:val="16"/>
          <w:szCs w:val="16"/>
        </w:rPr>
      </w:pPr>
    </w:p>
    <w:p w:rsidR="00B161B7" w:rsidRPr="00DE52CE" w:rsidRDefault="00B161B7" w:rsidP="00B161B7">
      <w:pPr>
        <w:ind w:left="-360"/>
        <w:rPr>
          <w:sz w:val="16"/>
          <w:szCs w:val="16"/>
        </w:rPr>
      </w:pPr>
    </w:p>
    <w:p w:rsidR="00FB0FBD" w:rsidRPr="007704C1" w:rsidRDefault="00EB408D" w:rsidP="00EB408D">
      <w:pPr>
        <w:outlineLvl w:val="0"/>
        <w:rPr>
          <w:b/>
          <w:bCs/>
          <w:sz w:val="22"/>
          <w:szCs w:val="22"/>
          <w:lang w:val="en-US"/>
        </w:rPr>
      </w:pPr>
      <w:r w:rsidRPr="007704C1">
        <w:rPr>
          <w:b/>
          <w:bCs/>
          <w:sz w:val="22"/>
          <w:szCs w:val="22"/>
          <w:lang w:val="en-US"/>
        </w:rPr>
        <w:t>Tabl</w:t>
      </w:r>
      <w:r w:rsidR="00CD384A" w:rsidRPr="007704C1">
        <w:rPr>
          <w:b/>
          <w:bCs/>
          <w:sz w:val="22"/>
          <w:szCs w:val="22"/>
          <w:lang w:val="en-US"/>
        </w:rPr>
        <w:t>e</w:t>
      </w:r>
      <w:r w:rsidRPr="007704C1">
        <w:rPr>
          <w:b/>
          <w:bCs/>
          <w:sz w:val="22"/>
          <w:szCs w:val="22"/>
          <w:lang w:val="en-US"/>
        </w:rPr>
        <w:t xml:space="preserve"> 1. </w:t>
      </w:r>
      <w:r w:rsidR="00CD384A" w:rsidRPr="007704C1">
        <w:rPr>
          <w:b/>
          <w:bCs/>
          <w:sz w:val="22"/>
          <w:szCs w:val="22"/>
          <w:lang w:val="en-US"/>
        </w:rPr>
        <w:t>Betam’s GDP quarterly growth rate forecast</w:t>
      </w:r>
    </w:p>
    <w:p w:rsidR="00FB0FBD" w:rsidRPr="007704C1" w:rsidRDefault="00FB0FBD" w:rsidP="00EB408D">
      <w:pPr>
        <w:outlineLvl w:val="0"/>
        <w:rPr>
          <w:b/>
          <w:bCs/>
          <w:sz w:val="22"/>
          <w:szCs w:val="22"/>
          <w:lang w:val="en-US"/>
        </w:rPr>
      </w:pPr>
    </w:p>
    <w:tbl>
      <w:tblPr>
        <w:tblpPr w:leftFromText="141" w:rightFromText="141" w:vertAnchor="text" w:horzAnchor="margin" w:tblpXSpec="right" w:tblpY="129"/>
        <w:tblW w:w="4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5"/>
        <w:gridCol w:w="1421"/>
      </w:tblGrid>
      <w:tr w:rsidR="000C40CE" w:rsidRPr="007704C1" w:rsidTr="00044A0F">
        <w:trPr>
          <w:trHeight w:val="842"/>
        </w:trPr>
        <w:tc>
          <w:tcPr>
            <w:tcW w:w="3215" w:type="dxa"/>
            <w:tcMar>
              <w:left w:w="28" w:type="dxa"/>
              <w:right w:w="28" w:type="dxa"/>
            </w:tcMar>
            <w:vAlign w:val="center"/>
          </w:tcPr>
          <w:p w:rsidR="003B33D9" w:rsidRPr="007704C1" w:rsidRDefault="003B33D9" w:rsidP="001763E1">
            <w:pPr>
              <w:ind w:right="42"/>
              <w:jc w:val="center"/>
              <w:rPr>
                <w:sz w:val="20"/>
                <w:szCs w:val="20"/>
                <w:lang w:val="en-US"/>
              </w:rPr>
            </w:pPr>
          </w:p>
        </w:tc>
        <w:tc>
          <w:tcPr>
            <w:tcW w:w="1421" w:type="dxa"/>
            <w:vAlign w:val="center"/>
          </w:tcPr>
          <w:p w:rsidR="003B33D9" w:rsidRPr="007704C1" w:rsidRDefault="00602C59" w:rsidP="001763E1">
            <w:pPr>
              <w:ind w:right="40"/>
              <w:jc w:val="center"/>
              <w:rPr>
                <w:b/>
                <w:bCs/>
                <w:sz w:val="20"/>
                <w:szCs w:val="20"/>
                <w:lang w:val="en-US"/>
              </w:rPr>
            </w:pPr>
            <w:r w:rsidRPr="007704C1">
              <w:rPr>
                <w:b/>
                <w:bCs/>
                <w:sz w:val="20"/>
                <w:szCs w:val="20"/>
                <w:lang w:val="en-US"/>
              </w:rPr>
              <w:t>2016</w:t>
            </w:r>
          </w:p>
          <w:p w:rsidR="003B33D9" w:rsidRPr="007704C1" w:rsidRDefault="00602C59" w:rsidP="001763E1">
            <w:pPr>
              <w:ind w:right="40"/>
              <w:jc w:val="center"/>
              <w:rPr>
                <w:b/>
                <w:bCs/>
                <w:sz w:val="20"/>
                <w:szCs w:val="20"/>
                <w:lang w:val="en-US"/>
              </w:rPr>
            </w:pPr>
            <w:r w:rsidRPr="007704C1">
              <w:rPr>
                <w:b/>
                <w:bCs/>
                <w:sz w:val="20"/>
                <w:szCs w:val="20"/>
                <w:lang w:val="en-US"/>
              </w:rPr>
              <w:t>1</w:t>
            </w:r>
            <w:r w:rsidR="003B33D9" w:rsidRPr="007704C1">
              <w:rPr>
                <w:b/>
                <w:bCs/>
                <w:sz w:val="20"/>
                <w:szCs w:val="20"/>
                <w:lang w:val="en-US"/>
              </w:rPr>
              <w:t>. Çeyrek</w:t>
            </w:r>
          </w:p>
          <w:p w:rsidR="003B33D9" w:rsidRPr="007704C1" w:rsidRDefault="003B33D9" w:rsidP="001763E1">
            <w:pPr>
              <w:ind w:right="40"/>
              <w:jc w:val="center"/>
              <w:rPr>
                <w:b/>
                <w:bCs/>
                <w:sz w:val="20"/>
                <w:szCs w:val="20"/>
                <w:lang w:val="en-US"/>
              </w:rPr>
            </w:pPr>
            <w:r w:rsidRPr="007704C1">
              <w:rPr>
                <w:b/>
                <w:bCs/>
                <w:sz w:val="20"/>
                <w:szCs w:val="20"/>
                <w:lang w:val="en-US"/>
              </w:rPr>
              <w:t>Tahmin</w:t>
            </w:r>
          </w:p>
          <w:p w:rsidR="003B33D9" w:rsidRPr="007704C1" w:rsidRDefault="003B33D9" w:rsidP="001763E1">
            <w:pPr>
              <w:ind w:right="40"/>
              <w:jc w:val="center"/>
              <w:rPr>
                <w:b/>
                <w:bCs/>
                <w:sz w:val="20"/>
                <w:szCs w:val="20"/>
                <w:lang w:val="en-US"/>
              </w:rPr>
            </w:pPr>
            <w:r w:rsidRPr="007704C1">
              <w:rPr>
                <w:b/>
                <w:bCs/>
                <w:sz w:val="20"/>
                <w:szCs w:val="20"/>
                <w:lang w:val="en-US"/>
              </w:rPr>
              <w:t>(%)</w:t>
            </w:r>
          </w:p>
        </w:tc>
      </w:tr>
      <w:tr w:rsidR="002B436B" w:rsidRPr="007704C1" w:rsidTr="00D81BDB">
        <w:trPr>
          <w:trHeight w:val="659"/>
        </w:trPr>
        <w:tc>
          <w:tcPr>
            <w:tcW w:w="3215" w:type="dxa"/>
            <w:tcMar>
              <w:left w:w="28" w:type="dxa"/>
              <w:right w:w="28" w:type="dxa"/>
            </w:tcMar>
            <w:vAlign w:val="center"/>
          </w:tcPr>
          <w:p w:rsidR="002B436B" w:rsidRPr="007704C1" w:rsidRDefault="002B436B" w:rsidP="002B436B">
            <w:pPr>
              <w:ind w:right="42"/>
              <w:rPr>
                <w:b/>
                <w:sz w:val="20"/>
                <w:szCs w:val="20"/>
                <w:lang w:val="en-US"/>
              </w:rPr>
            </w:pPr>
            <w:r w:rsidRPr="007704C1">
              <w:rPr>
                <w:b/>
                <w:sz w:val="20"/>
                <w:szCs w:val="20"/>
                <w:lang w:val="en-US"/>
              </w:rPr>
              <w:t>Real GDP growth, %</w:t>
            </w:r>
          </w:p>
          <w:p w:rsidR="002B436B" w:rsidRPr="007704C1" w:rsidRDefault="002B436B" w:rsidP="002B436B">
            <w:pPr>
              <w:ind w:right="42"/>
              <w:rPr>
                <w:sz w:val="20"/>
                <w:szCs w:val="20"/>
                <w:lang w:val="en-US"/>
              </w:rPr>
            </w:pPr>
            <w:r w:rsidRPr="007704C1">
              <w:rPr>
                <w:sz w:val="20"/>
                <w:szCs w:val="20"/>
                <w:lang w:val="en-US"/>
              </w:rPr>
              <w:t>(quarter on quarter, sa*)</w:t>
            </w:r>
          </w:p>
        </w:tc>
        <w:tc>
          <w:tcPr>
            <w:tcW w:w="1421" w:type="dxa"/>
            <w:shd w:val="clear" w:color="auto" w:fill="auto"/>
            <w:vAlign w:val="center"/>
          </w:tcPr>
          <w:p w:rsidR="002B436B" w:rsidRPr="007704C1" w:rsidRDefault="002B436B" w:rsidP="002B436B">
            <w:pPr>
              <w:ind w:right="42"/>
              <w:jc w:val="center"/>
              <w:rPr>
                <w:sz w:val="20"/>
                <w:szCs w:val="20"/>
                <w:lang w:val="en-US"/>
              </w:rPr>
            </w:pPr>
            <w:r w:rsidRPr="007704C1">
              <w:rPr>
                <w:sz w:val="20"/>
                <w:szCs w:val="20"/>
                <w:lang w:val="en-US"/>
              </w:rPr>
              <w:t>0.6</w:t>
            </w:r>
          </w:p>
        </w:tc>
      </w:tr>
      <w:tr w:rsidR="002B436B" w:rsidRPr="007704C1" w:rsidTr="00D81BDB">
        <w:trPr>
          <w:trHeight w:val="498"/>
        </w:trPr>
        <w:tc>
          <w:tcPr>
            <w:tcW w:w="3215" w:type="dxa"/>
            <w:tcMar>
              <w:left w:w="28" w:type="dxa"/>
              <w:right w:w="28" w:type="dxa"/>
            </w:tcMar>
            <w:vAlign w:val="center"/>
          </w:tcPr>
          <w:p w:rsidR="002B436B" w:rsidRPr="007704C1" w:rsidRDefault="002B436B" w:rsidP="002B436B">
            <w:pPr>
              <w:ind w:right="42"/>
              <w:rPr>
                <w:b/>
                <w:sz w:val="20"/>
                <w:szCs w:val="20"/>
                <w:lang w:val="en-US"/>
              </w:rPr>
            </w:pPr>
            <w:r w:rsidRPr="007704C1">
              <w:rPr>
                <w:b/>
                <w:sz w:val="20"/>
                <w:szCs w:val="20"/>
                <w:lang w:val="en-US"/>
              </w:rPr>
              <w:t>Real GDP growth, %</w:t>
            </w:r>
          </w:p>
          <w:p w:rsidR="002B436B" w:rsidRPr="007704C1" w:rsidRDefault="002B436B" w:rsidP="002B436B">
            <w:pPr>
              <w:ind w:right="42"/>
              <w:rPr>
                <w:sz w:val="20"/>
                <w:szCs w:val="20"/>
                <w:lang w:val="en-US"/>
              </w:rPr>
            </w:pPr>
            <w:r w:rsidRPr="007704C1">
              <w:rPr>
                <w:sz w:val="20"/>
                <w:szCs w:val="20"/>
                <w:lang w:val="en-US"/>
              </w:rPr>
              <w:t>(year on year)</w:t>
            </w:r>
          </w:p>
        </w:tc>
        <w:tc>
          <w:tcPr>
            <w:tcW w:w="1421" w:type="dxa"/>
            <w:shd w:val="clear" w:color="auto" w:fill="auto"/>
            <w:vAlign w:val="center"/>
          </w:tcPr>
          <w:p w:rsidR="002B436B" w:rsidRPr="007704C1" w:rsidRDefault="002B436B" w:rsidP="002B436B">
            <w:pPr>
              <w:ind w:right="42"/>
              <w:jc w:val="center"/>
              <w:rPr>
                <w:sz w:val="20"/>
                <w:szCs w:val="20"/>
                <w:lang w:val="en-US"/>
              </w:rPr>
            </w:pPr>
            <w:r w:rsidRPr="007704C1">
              <w:rPr>
                <w:sz w:val="20"/>
                <w:szCs w:val="20"/>
                <w:lang w:val="en-US"/>
              </w:rPr>
              <w:t>3.5</w:t>
            </w:r>
          </w:p>
        </w:tc>
      </w:tr>
      <w:tr w:rsidR="002B436B" w:rsidRPr="007704C1" w:rsidTr="00D81BDB">
        <w:trPr>
          <w:trHeight w:val="498"/>
        </w:trPr>
        <w:tc>
          <w:tcPr>
            <w:tcW w:w="3215" w:type="dxa"/>
            <w:tcMar>
              <w:left w:w="28" w:type="dxa"/>
              <w:right w:w="28" w:type="dxa"/>
            </w:tcMar>
            <w:vAlign w:val="center"/>
          </w:tcPr>
          <w:p w:rsidR="002B436B" w:rsidRPr="007704C1" w:rsidRDefault="002B436B" w:rsidP="002B436B">
            <w:pPr>
              <w:ind w:right="40"/>
              <w:rPr>
                <w:b/>
                <w:sz w:val="20"/>
                <w:szCs w:val="20"/>
                <w:lang w:val="en-US"/>
              </w:rPr>
            </w:pPr>
            <w:r w:rsidRPr="007704C1">
              <w:rPr>
                <w:b/>
                <w:sz w:val="20"/>
                <w:szCs w:val="20"/>
                <w:lang w:val="en-US"/>
              </w:rPr>
              <w:t>Current account deficit</w:t>
            </w:r>
          </w:p>
          <w:p w:rsidR="002B436B" w:rsidRPr="007704C1" w:rsidRDefault="002B436B" w:rsidP="002B436B">
            <w:pPr>
              <w:ind w:right="40"/>
              <w:rPr>
                <w:sz w:val="20"/>
                <w:szCs w:val="20"/>
                <w:lang w:val="en-US"/>
              </w:rPr>
            </w:pPr>
            <w:r w:rsidRPr="007704C1">
              <w:rPr>
                <w:sz w:val="20"/>
                <w:szCs w:val="20"/>
                <w:lang w:val="en-US"/>
              </w:rPr>
              <w:t xml:space="preserve">(% of GDP, annual) </w:t>
            </w:r>
          </w:p>
        </w:tc>
        <w:tc>
          <w:tcPr>
            <w:tcW w:w="1421" w:type="dxa"/>
            <w:shd w:val="clear" w:color="auto" w:fill="auto"/>
            <w:vAlign w:val="center"/>
          </w:tcPr>
          <w:p w:rsidR="002B436B" w:rsidRPr="007704C1" w:rsidRDefault="002B436B" w:rsidP="002B436B">
            <w:pPr>
              <w:ind w:right="40"/>
              <w:jc w:val="center"/>
              <w:rPr>
                <w:sz w:val="20"/>
                <w:szCs w:val="20"/>
                <w:lang w:val="en-US"/>
              </w:rPr>
            </w:pPr>
            <w:r w:rsidRPr="007704C1">
              <w:rPr>
                <w:sz w:val="20"/>
                <w:szCs w:val="20"/>
                <w:lang w:val="en-US"/>
              </w:rPr>
              <w:t>4.2</w:t>
            </w:r>
          </w:p>
        </w:tc>
      </w:tr>
      <w:tr w:rsidR="002B436B" w:rsidRPr="007704C1" w:rsidTr="00D81BDB">
        <w:trPr>
          <w:trHeight w:val="498"/>
        </w:trPr>
        <w:tc>
          <w:tcPr>
            <w:tcW w:w="3215" w:type="dxa"/>
            <w:tcMar>
              <w:left w:w="28" w:type="dxa"/>
              <w:right w:w="28" w:type="dxa"/>
            </w:tcMar>
            <w:vAlign w:val="center"/>
          </w:tcPr>
          <w:p w:rsidR="002B436B" w:rsidRPr="007704C1" w:rsidRDefault="002B436B" w:rsidP="002B436B">
            <w:pPr>
              <w:ind w:right="40"/>
              <w:rPr>
                <w:sz w:val="20"/>
                <w:szCs w:val="20"/>
                <w:lang w:val="en-US"/>
              </w:rPr>
            </w:pPr>
            <w:r w:rsidRPr="007704C1">
              <w:rPr>
                <w:b/>
                <w:sz w:val="20"/>
                <w:szCs w:val="20"/>
                <w:lang w:val="en-US"/>
              </w:rPr>
              <w:t>Gold excluded current account</w:t>
            </w:r>
            <w:r w:rsidRPr="007704C1">
              <w:rPr>
                <w:sz w:val="20"/>
                <w:szCs w:val="20"/>
                <w:lang w:val="en-US"/>
              </w:rPr>
              <w:t xml:space="preserve"> deficit (% of GDP, annual) </w:t>
            </w:r>
          </w:p>
        </w:tc>
        <w:tc>
          <w:tcPr>
            <w:tcW w:w="1421" w:type="dxa"/>
            <w:shd w:val="clear" w:color="auto" w:fill="auto"/>
            <w:vAlign w:val="center"/>
          </w:tcPr>
          <w:p w:rsidR="002B436B" w:rsidRPr="007704C1" w:rsidRDefault="002B436B" w:rsidP="002B436B">
            <w:pPr>
              <w:ind w:right="40"/>
              <w:jc w:val="center"/>
              <w:rPr>
                <w:sz w:val="20"/>
                <w:szCs w:val="20"/>
                <w:lang w:val="en-US"/>
              </w:rPr>
            </w:pPr>
            <w:r w:rsidRPr="007704C1">
              <w:rPr>
                <w:sz w:val="20"/>
                <w:szCs w:val="20"/>
                <w:lang w:val="en-US"/>
              </w:rPr>
              <w:t>4.8</w:t>
            </w:r>
          </w:p>
        </w:tc>
      </w:tr>
    </w:tbl>
    <w:p w:rsidR="00EB408D" w:rsidRPr="007704C1" w:rsidRDefault="00EB408D" w:rsidP="00EB408D">
      <w:pPr>
        <w:ind w:left="-360" w:right="40"/>
        <w:rPr>
          <w:sz w:val="4"/>
          <w:szCs w:val="4"/>
          <w:lang w:val="en-US"/>
        </w:rPr>
      </w:pPr>
    </w:p>
    <w:p w:rsidR="00EF1220" w:rsidRPr="007704C1" w:rsidRDefault="00EF1220" w:rsidP="00EF1220">
      <w:pPr>
        <w:ind w:left="-360" w:right="40"/>
        <w:rPr>
          <w:sz w:val="18"/>
          <w:szCs w:val="18"/>
          <w:lang w:val="en-US"/>
        </w:rPr>
      </w:pPr>
      <w:r w:rsidRPr="007704C1">
        <w:rPr>
          <w:sz w:val="18"/>
          <w:szCs w:val="18"/>
          <w:lang w:val="en-US"/>
        </w:rPr>
        <w:t>Source</w:t>
      </w:r>
      <w:r w:rsidR="00F0623E">
        <w:rPr>
          <w:sz w:val="18"/>
          <w:szCs w:val="18"/>
          <w:lang w:val="en-US"/>
        </w:rPr>
        <w:t>:</w:t>
      </w:r>
      <w:r w:rsidR="007704C1">
        <w:rPr>
          <w:sz w:val="18"/>
          <w:szCs w:val="18"/>
          <w:lang w:val="en-US"/>
        </w:rPr>
        <w:t xml:space="preserve"> </w:t>
      </w:r>
      <w:r w:rsidRPr="007704C1">
        <w:rPr>
          <w:sz w:val="18"/>
          <w:szCs w:val="18"/>
          <w:lang w:val="en-US"/>
        </w:rPr>
        <w:t xml:space="preserve">Betam. *mea: seasonally and calendar day adjusted. </w:t>
      </w:r>
    </w:p>
    <w:p w:rsidR="003A759F" w:rsidRPr="00DE52CE" w:rsidRDefault="003A759F" w:rsidP="003A759F">
      <w:pPr>
        <w:spacing w:line="360" w:lineRule="auto"/>
        <w:ind w:left="-360" w:right="42"/>
        <w:jc w:val="both"/>
        <w:rPr>
          <w:sz w:val="22"/>
          <w:szCs w:val="22"/>
        </w:rPr>
      </w:pPr>
    </w:p>
    <w:p w:rsidR="00BA3A88" w:rsidRPr="00CD384A" w:rsidRDefault="00CD384A" w:rsidP="00BA3A88">
      <w:pPr>
        <w:spacing w:line="360" w:lineRule="auto"/>
        <w:ind w:left="-360" w:right="42"/>
        <w:jc w:val="center"/>
        <w:rPr>
          <w:b/>
          <w:bCs/>
          <w:sz w:val="22"/>
          <w:szCs w:val="22"/>
          <w:lang w:val="en-US"/>
        </w:rPr>
      </w:pPr>
      <w:r w:rsidRPr="00CD384A">
        <w:rPr>
          <w:b/>
          <w:bCs/>
          <w:sz w:val="22"/>
          <w:szCs w:val="22"/>
          <w:lang w:val="en-US"/>
        </w:rPr>
        <w:t>Increase in private consumption</w:t>
      </w:r>
      <w:r w:rsidR="006A1A87" w:rsidRPr="00CD384A">
        <w:rPr>
          <w:b/>
          <w:bCs/>
          <w:sz w:val="22"/>
          <w:szCs w:val="22"/>
          <w:lang w:val="en-US"/>
        </w:rPr>
        <w:t xml:space="preserve"> </w:t>
      </w:r>
    </w:p>
    <w:p w:rsidR="003229EF" w:rsidRDefault="003C1A99" w:rsidP="000337CE">
      <w:pPr>
        <w:spacing w:line="360" w:lineRule="auto"/>
        <w:ind w:left="-360" w:right="42"/>
        <w:jc w:val="both"/>
        <w:rPr>
          <w:sz w:val="22"/>
          <w:szCs w:val="22"/>
        </w:rPr>
      </w:pPr>
      <w:r w:rsidRPr="003C1A99">
        <w:rPr>
          <w:bCs/>
          <w:sz w:val="22"/>
          <w:szCs w:val="22"/>
          <w:lang w:val="en-US"/>
        </w:rPr>
        <w:t xml:space="preserve">Consumption Confidence Index decreased by 4.7 percent from the last quarter of the last year to the first quarter of this year. </w:t>
      </w:r>
      <w:r w:rsidR="003229EF">
        <w:rPr>
          <w:bCs/>
          <w:sz w:val="22"/>
          <w:szCs w:val="22"/>
          <w:lang w:val="en-US"/>
        </w:rPr>
        <w:t xml:space="preserve">In addition, </w:t>
      </w:r>
      <w:r w:rsidR="003229EF" w:rsidRPr="003229EF">
        <w:rPr>
          <w:sz w:val="22"/>
          <w:szCs w:val="22"/>
          <w:lang w:val="en-US"/>
        </w:rPr>
        <w:t>import of consumer goods</w:t>
      </w:r>
      <w:r w:rsidR="009D7FDA">
        <w:rPr>
          <w:sz w:val="22"/>
          <w:szCs w:val="22"/>
          <w:lang w:val="en-US"/>
        </w:rPr>
        <w:t xml:space="preserve"> and non-durable consumer goods productions increased by 3 percent and 5.1 percent, respectively. </w:t>
      </w:r>
      <w:r w:rsidR="00BB2FF0">
        <w:rPr>
          <w:sz w:val="22"/>
          <w:szCs w:val="22"/>
          <w:lang w:val="en-US"/>
        </w:rPr>
        <w:t xml:space="preserve">In the same period, </w:t>
      </w:r>
      <w:r w:rsidR="00B02B5F">
        <w:rPr>
          <w:sz w:val="22"/>
          <w:szCs w:val="22"/>
          <w:lang w:val="en-US"/>
        </w:rPr>
        <w:t>durable consumer goods production decreased by 0.9 percent</w:t>
      </w:r>
      <w:r w:rsidR="00B02B5F" w:rsidRPr="00DD2676">
        <w:rPr>
          <w:sz w:val="22"/>
          <w:szCs w:val="22"/>
          <w:lang w:val="en-US"/>
        </w:rPr>
        <w:t xml:space="preserve">. In addition to these </w:t>
      </w:r>
      <w:r w:rsidR="00B94326" w:rsidRPr="00DD2676">
        <w:rPr>
          <w:sz w:val="22"/>
          <w:szCs w:val="22"/>
          <w:lang w:val="en-US"/>
        </w:rPr>
        <w:t>developments</w:t>
      </w:r>
      <w:r w:rsidR="00B02B5F" w:rsidRPr="00DD2676">
        <w:rPr>
          <w:sz w:val="22"/>
          <w:szCs w:val="22"/>
          <w:lang w:val="en-US"/>
        </w:rPr>
        <w:t xml:space="preserve">, after a 10-percent sharp decline of special consumption tax in February and </w:t>
      </w:r>
      <w:r w:rsidR="00B94326" w:rsidRPr="00DD2676">
        <w:rPr>
          <w:sz w:val="22"/>
          <w:szCs w:val="22"/>
          <w:lang w:val="en-US"/>
        </w:rPr>
        <w:t xml:space="preserve">a </w:t>
      </w:r>
      <w:r w:rsidR="00B02B5F" w:rsidRPr="00DD2676">
        <w:rPr>
          <w:sz w:val="22"/>
          <w:szCs w:val="22"/>
          <w:lang w:val="en-US"/>
        </w:rPr>
        <w:t xml:space="preserve">5.5 percent </w:t>
      </w:r>
      <w:r w:rsidR="00B94326" w:rsidRPr="00DD2676">
        <w:rPr>
          <w:sz w:val="22"/>
          <w:szCs w:val="22"/>
          <w:lang w:val="en-US"/>
        </w:rPr>
        <w:t>rise</w:t>
      </w:r>
      <w:r w:rsidR="00B02B5F" w:rsidRPr="00DD2676">
        <w:rPr>
          <w:sz w:val="22"/>
          <w:szCs w:val="22"/>
          <w:lang w:val="en-US"/>
        </w:rPr>
        <w:t xml:space="preserve"> in March, we calculate that it increased by 3.9 percent on </w:t>
      </w:r>
      <w:r w:rsidR="00DD2676" w:rsidRPr="00DD2676">
        <w:rPr>
          <w:sz w:val="22"/>
          <w:szCs w:val="22"/>
          <w:lang w:val="en-US"/>
        </w:rPr>
        <w:t xml:space="preserve">a </w:t>
      </w:r>
      <w:r w:rsidR="00B02B5F" w:rsidRPr="00DD2676">
        <w:rPr>
          <w:sz w:val="22"/>
          <w:szCs w:val="22"/>
          <w:lang w:val="en-US"/>
        </w:rPr>
        <w:t>quarter-on quarter base (Table 2).</w:t>
      </w:r>
      <w:r w:rsidR="00B02B5F">
        <w:rPr>
          <w:sz w:val="22"/>
          <w:szCs w:val="22"/>
          <w:lang w:val="en-US"/>
        </w:rPr>
        <w:t xml:space="preserve"> </w:t>
      </w:r>
    </w:p>
    <w:p w:rsidR="00AA2A13" w:rsidRPr="00DE52CE" w:rsidRDefault="00AA2A13" w:rsidP="00B02B5F">
      <w:pPr>
        <w:spacing w:line="360" w:lineRule="auto"/>
        <w:ind w:left="-360" w:right="42"/>
        <w:jc w:val="both"/>
        <w:rPr>
          <w:sz w:val="22"/>
          <w:szCs w:val="22"/>
        </w:rPr>
      </w:pPr>
    </w:p>
    <w:p w:rsidR="00D127D2" w:rsidRDefault="00D127D2" w:rsidP="000337CE">
      <w:pPr>
        <w:spacing w:line="360" w:lineRule="auto"/>
        <w:ind w:left="-360" w:right="42"/>
        <w:jc w:val="both"/>
        <w:rPr>
          <w:sz w:val="22"/>
          <w:szCs w:val="22"/>
        </w:rPr>
      </w:pPr>
    </w:p>
    <w:p w:rsidR="005A47B6" w:rsidRPr="00DE52CE" w:rsidRDefault="005A47B6" w:rsidP="000337CE">
      <w:pPr>
        <w:spacing w:line="360" w:lineRule="auto"/>
        <w:ind w:left="-360" w:right="42"/>
        <w:jc w:val="both"/>
        <w:rPr>
          <w:sz w:val="22"/>
          <w:szCs w:val="22"/>
        </w:rPr>
      </w:pPr>
    </w:p>
    <w:p w:rsidR="005E1231" w:rsidRDefault="005E1231" w:rsidP="00260B6B">
      <w:pPr>
        <w:spacing w:line="360" w:lineRule="auto"/>
        <w:ind w:left="-360" w:right="42"/>
        <w:jc w:val="both"/>
        <w:rPr>
          <w:sz w:val="22"/>
          <w:szCs w:val="22"/>
          <w:lang w:val="en-US"/>
        </w:rPr>
      </w:pPr>
      <w:r w:rsidRPr="00814A31">
        <w:rPr>
          <w:sz w:val="22"/>
          <w:szCs w:val="22"/>
          <w:lang w:val="en-US"/>
        </w:rPr>
        <w:lastRenderedPageBreak/>
        <w:t>In the light of the u</w:t>
      </w:r>
      <w:r w:rsidR="00F66AC4" w:rsidRPr="00814A31">
        <w:rPr>
          <w:sz w:val="22"/>
          <w:szCs w:val="22"/>
          <w:lang w:val="en-US"/>
        </w:rPr>
        <w:t>pdated</w:t>
      </w:r>
      <w:r w:rsidRPr="00814A31">
        <w:rPr>
          <w:sz w:val="22"/>
          <w:szCs w:val="22"/>
          <w:lang w:val="en-US"/>
        </w:rPr>
        <w:t xml:space="preserve"> data, we state that </w:t>
      </w:r>
      <w:r w:rsidR="00814A31">
        <w:rPr>
          <w:sz w:val="22"/>
          <w:szCs w:val="22"/>
          <w:lang w:val="en-US"/>
        </w:rPr>
        <w:t xml:space="preserve">after </w:t>
      </w:r>
      <w:r w:rsidR="00814A31" w:rsidRPr="00814A31">
        <w:rPr>
          <w:sz w:val="22"/>
          <w:szCs w:val="22"/>
          <w:lang w:val="en-US"/>
        </w:rPr>
        <w:t xml:space="preserve">a fluctuating course of passenger car productions in the period of January to March, </w:t>
      </w:r>
      <w:r w:rsidR="00814A31">
        <w:rPr>
          <w:sz w:val="22"/>
          <w:szCs w:val="22"/>
          <w:lang w:val="en-US"/>
        </w:rPr>
        <w:t xml:space="preserve">it recorded a decrease by 1.6 percent on </w:t>
      </w:r>
      <w:r w:rsidR="001D187A">
        <w:rPr>
          <w:sz w:val="22"/>
          <w:szCs w:val="22"/>
          <w:lang w:val="en-US"/>
        </w:rPr>
        <w:t xml:space="preserve">a </w:t>
      </w:r>
      <w:r w:rsidR="00814A31">
        <w:rPr>
          <w:sz w:val="22"/>
          <w:szCs w:val="22"/>
          <w:lang w:val="en-US"/>
        </w:rPr>
        <w:t xml:space="preserve">quarterly basis.  </w:t>
      </w:r>
    </w:p>
    <w:p w:rsidR="000911E6" w:rsidRDefault="000911E6" w:rsidP="00260B6B">
      <w:pPr>
        <w:spacing w:line="360" w:lineRule="auto"/>
        <w:ind w:left="-360" w:right="42"/>
        <w:jc w:val="both"/>
        <w:rPr>
          <w:sz w:val="22"/>
          <w:szCs w:val="22"/>
          <w:lang w:val="en-US"/>
        </w:rPr>
      </w:pPr>
    </w:p>
    <w:p w:rsidR="00260B6B" w:rsidRPr="00DE52CE" w:rsidRDefault="001D187A" w:rsidP="000911E6">
      <w:pPr>
        <w:spacing w:line="360" w:lineRule="auto"/>
        <w:ind w:left="-360" w:right="42"/>
        <w:jc w:val="both"/>
        <w:rPr>
          <w:sz w:val="22"/>
          <w:szCs w:val="22"/>
        </w:rPr>
      </w:pPr>
      <w:r>
        <w:rPr>
          <w:sz w:val="22"/>
          <w:szCs w:val="22"/>
          <w:lang w:val="en-US"/>
        </w:rPr>
        <w:t>Since</w:t>
      </w:r>
      <w:r w:rsidR="000911E6">
        <w:rPr>
          <w:sz w:val="22"/>
          <w:szCs w:val="22"/>
          <w:lang w:val="en-US"/>
        </w:rPr>
        <w:t xml:space="preserve"> most of the variables used for </w:t>
      </w:r>
      <w:r>
        <w:rPr>
          <w:sz w:val="22"/>
          <w:szCs w:val="22"/>
          <w:lang w:val="en-US"/>
        </w:rPr>
        <w:t xml:space="preserve">forecast on </w:t>
      </w:r>
      <w:r w:rsidR="000911E6">
        <w:rPr>
          <w:sz w:val="22"/>
          <w:szCs w:val="22"/>
          <w:lang w:val="en-US"/>
        </w:rPr>
        <w:t xml:space="preserve">private </w:t>
      </w:r>
      <w:r>
        <w:rPr>
          <w:sz w:val="22"/>
          <w:szCs w:val="22"/>
          <w:lang w:val="en-US"/>
        </w:rPr>
        <w:t>consumption</w:t>
      </w:r>
      <w:r w:rsidR="000911E6">
        <w:rPr>
          <w:sz w:val="22"/>
          <w:szCs w:val="22"/>
          <w:lang w:val="en-US"/>
        </w:rPr>
        <w:t xml:space="preserve"> signal a recovery, we expect a moderate up</w:t>
      </w:r>
      <w:r>
        <w:rPr>
          <w:sz w:val="22"/>
          <w:szCs w:val="22"/>
          <w:lang w:val="en-US"/>
        </w:rPr>
        <w:t>-</w:t>
      </w:r>
      <w:r w:rsidR="000911E6">
        <w:rPr>
          <w:sz w:val="22"/>
          <w:szCs w:val="22"/>
          <w:lang w:val="en-US"/>
        </w:rPr>
        <w:t xml:space="preserve">turn in private consumption in the first quarter of 2016 compared to the fourth quarter of 2015. </w:t>
      </w:r>
    </w:p>
    <w:p w:rsidR="00307494" w:rsidRPr="00DE52CE" w:rsidRDefault="00307494" w:rsidP="004403F0">
      <w:pPr>
        <w:spacing w:line="360" w:lineRule="auto"/>
        <w:ind w:left="-360" w:right="42"/>
        <w:rPr>
          <w:b/>
          <w:bCs/>
          <w:sz w:val="22"/>
          <w:szCs w:val="22"/>
        </w:rPr>
      </w:pPr>
    </w:p>
    <w:p w:rsidR="00BA3A88" w:rsidRPr="00AF7023" w:rsidRDefault="00AF7023" w:rsidP="00BA3A88">
      <w:pPr>
        <w:spacing w:line="360" w:lineRule="auto"/>
        <w:ind w:left="-360" w:right="42"/>
        <w:jc w:val="center"/>
        <w:rPr>
          <w:b/>
          <w:sz w:val="22"/>
          <w:szCs w:val="22"/>
          <w:lang w:val="en-US"/>
        </w:rPr>
      </w:pPr>
      <w:r w:rsidRPr="00AF7023">
        <w:rPr>
          <w:b/>
          <w:sz w:val="22"/>
          <w:szCs w:val="22"/>
          <w:lang w:val="en-US"/>
        </w:rPr>
        <w:t xml:space="preserve">Negative contribution of net export to growth </w:t>
      </w:r>
    </w:p>
    <w:p w:rsidR="00BA3A88" w:rsidRPr="00DE52CE" w:rsidRDefault="00BA3A88" w:rsidP="00BA3A88">
      <w:pPr>
        <w:spacing w:line="360" w:lineRule="auto"/>
        <w:ind w:left="-360" w:right="42"/>
        <w:jc w:val="center"/>
        <w:rPr>
          <w:sz w:val="22"/>
          <w:szCs w:val="22"/>
        </w:rPr>
      </w:pPr>
    </w:p>
    <w:p w:rsidR="00995F17" w:rsidRDefault="00995F17" w:rsidP="00380591">
      <w:pPr>
        <w:spacing w:line="360" w:lineRule="auto"/>
        <w:ind w:left="-360" w:right="42"/>
        <w:jc w:val="both"/>
        <w:rPr>
          <w:sz w:val="22"/>
          <w:szCs w:val="22"/>
          <w:lang w:val="en-US"/>
        </w:rPr>
      </w:pPr>
      <w:r w:rsidRPr="00AA3C15">
        <w:rPr>
          <w:sz w:val="22"/>
          <w:szCs w:val="22"/>
          <w:lang w:val="en-US"/>
        </w:rPr>
        <w:t xml:space="preserve">In the February, gold-excluded real export and import had increased by 5.7 percent and 8.3 percent, respectively. </w:t>
      </w:r>
      <w:r w:rsidR="00AA3C15">
        <w:rPr>
          <w:sz w:val="22"/>
          <w:szCs w:val="22"/>
          <w:lang w:val="en-US"/>
        </w:rPr>
        <w:t xml:space="preserve">However, </w:t>
      </w:r>
      <w:r w:rsidR="00144338">
        <w:rPr>
          <w:sz w:val="22"/>
          <w:szCs w:val="22"/>
          <w:lang w:val="en-US"/>
        </w:rPr>
        <w:t xml:space="preserve">in March, we observe a 0.2 percent </w:t>
      </w:r>
      <w:r w:rsidR="00AA3C15">
        <w:rPr>
          <w:sz w:val="22"/>
          <w:szCs w:val="22"/>
          <w:lang w:val="en-US"/>
        </w:rPr>
        <w:t xml:space="preserve">decrease </w:t>
      </w:r>
      <w:r w:rsidR="00144338">
        <w:rPr>
          <w:sz w:val="22"/>
          <w:szCs w:val="22"/>
          <w:lang w:val="en-US"/>
        </w:rPr>
        <w:t xml:space="preserve">in gold-excluded real export and a 4.5 percent </w:t>
      </w:r>
      <w:r w:rsidR="00AA3C15">
        <w:rPr>
          <w:sz w:val="22"/>
          <w:szCs w:val="22"/>
          <w:lang w:val="en-US"/>
        </w:rPr>
        <w:t xml:space="preserve">increase in </w:t>
      </w:r>
      <w:r w:rsidR="00144338">
        <w:rPr>
          <w:sz w:val="22"/>
          <w:szCs w:val="22"/>
          <w:lang w:val="en-US"/>
        </w:rPr>
        <w:t>real imports</w:t>
      </w:r>
      <w:r w:rsidR="00AA3C15">
        <w:rPr>
          <w:sz w:val="22"/>
          <w:szCs w:val="22"/>
          <w:lang w:val="en-US"/>
        </w:rPr>
        <w:t xml:space="preserve"> (Table 2).</w:t>
      </w:r>
      <w:r w:rsidR="00342CED">
        <w:rPr>
          <w:sz w:val="22"/>
          <w:szCs w:val="22"/>
          <w:lang w:val="en-US"/>
        </w:rPr>
        <w:t xml:space="preserve"> Hence, we calculate that gold-excluded real export and import will respectively increase by 1.1 percent and 6.1 percent in the first quarter compared to the fourth quarter of 2015. </w:t>
      </w:r>
    </w:p>
    <w:p w:rsidR="004F4813" w:rsidRDefault="004F4813" w:rsidP="00380591">
      <w:pPr>
        <w:spacing w:line="360" w:lineRule="auto"/>
        <w:ind w:left="-360" w:right="42"/>
        <w:jc w:val="both"/>
        <w:rPr>
          <w:sz w:val="22"/>
          <w:szCs w:val="22"/>
          <w:lang w:val="en-US"/>
        </w:rPr>
      </w:pPr>
    </w:p>
    <w:p w:rsidR="00864AB5" w:rsidRDefault="004F4813" w:rsidP="0001590C">
      <w:pPr>
        <w:spacing w:line="360" w:lineRule="auto"/>
        <w:ind w:left="-360" w:right="42"/>
        <w:jc w:val="both"/>
        <w:rPr>
          <w:sz w:val="22"/>
          <w:szCs w:val="22"/>
          <w:lang w:val="en-US"/>
        </w:rPr>
      </w:pPr>
      <w:r>
        <w:rPr>
          <w:sz w:val="22"/>
          <w:szCs w:val="22"/>
          <w:lang w:val="en-US"/>
        </w:rPr>
        <w:t>Due to the large increase in real import, we expect that net export will have negative contribution to the quarter</w:t>
      </w:r>
      <w:r w:rsidR="001D187A">
        <w:rPr>
          <w:sz w:val="22"/>
          <w:szCs w:val="22"/>
          <w:lang w:val="en-US"/>
        </w:rPr>
        <w:t>-on-</w:t>
      </w:r>
      <w:r>
        <w:rPr>
          <w:sz w:val="22"/>
          <w:szCs w:val="22"/>
          <w:lang w:val="en-US"/>
        </w:rPr>
        <w:t xml:space="preserve">quarter growth. </w:t>
      </w:r>
    </w:p>
    <w:p w:rsidR="0001590C" w:rsidRPr="0001590C" w:rsidRDefault="0001590C" w:rsidP="0001590C">
      <w:pPr>
        <w:spacing w:line="360" w:lineRule="auto"/>
        <w:ind w:left="-360" w:right="42"/>
        <w:jc w:val="both"/>
        <w:rPr>
          <w:sz w:val="22"/>
          <w:szCs w:val="22"/>
          <w:lang w:val="en-US"/>
        </w:rPr>
      </w:pPr>
    </w:p>
    <w:p w:rsidR="00864AB5" w:rsidRPr="00AF7023" w:rsidRDefault="00AF7023" w:rsidP="00864AB5">
      <w:pPr>
        <w:spacing w:line="360" w:lineRule="auto"/>
        <w:ind w:left="-360" w:right="42"/>
        <w:jc w:val="center"/>
        <w:rPr>
          <w:b/>
          <w:bCs/>
          <w:sz w:val="22"/>
          <w:szCs w:val="22"/>
          <w:lang w:val="en-US"/>
        </w:rPr>
      </w:pPr>
      <w:r w:rsidRPr="00AF7023">
        <w:rPr>
          <w:b/>
          <w:bCs/>
          <w:sz w:val="22"/>
          <w:szCs w:val="22"/>
          <w:lang w:val="en-US"/>
        </w:rPr>
        <w:t xml:space="preserve">Opposite directions in private investment </w:t>
      </w:r>
    </w:p>
    <w:p w:rsidR="00AF7023" w:rsidRPr="00DE52CE" w:rsidRDefault="00AF7023" w:rsidP="00864AB5">
      <w:pPr>
        <w:spacing w:line="360" w:lineRule="auto"/>
        <w:ind w:left="-360" w:right="42"/>
        <w:jc w:val="center"/>
        <w:rPr>
          <w:b/>
          <w:bCs/>
          <w:sz w:val="22"/>
          <w:szCs w:val="22"/>
        </w:rPr>
      </w:pPr>
    </w:p>
    <w:p w:rsidR="0001590C" w:rsidRDefault="0001590C" w:rsidP="00347595">
      <w:pPr>
        <w:spacing w:line="360" w:lineRule="auto"/>
        <w:ind w:left="-360" w:right="42"/>
        <w:jc w:val="both"/>
        <w:rPr>
          <w:sz w:val="22"/>
          <w:szCs w:val="22"/>
          <w:lang w:val="en-US"/>
        </w:rPr>
      </w:pPr>
      <w:r>
        <w:rPr>
          <w:sz w:val="22"/>
          <w:szCs w:val="22"/>
          <w:lang w:val="en-US"/>
        </w:rPr>
        <w:t>Investment goods import</w:t>
      </w:r>
      <w:r w:rsidR="004F209C">
        <w:rPr>
          <w:sz w:val="22"/>
          <w:szCs w:val="22"/>
          <w:lang w:val="en-US"/>
        </w:rPr>
        <w:t xml:space="preserve"> </w:t>
      </w:r>
      <w:r>
        <w:rPr>
          <w:sz w:val="22"/>
          <w:szCs w:val="22"/>
          <w:lang w:val="en-US"/>
        </w:rPr>
        <w:t>did not change in March</w:t>
      </w:r>
      <w:r w:rsidR="004F209C">
        <w:rPr>
          <w:sz w:val="22"/>
          <w:szCs w:val="22"/>
          <w:lang w:val="en-US"/>
        </w:rPr>
        <w:t>, after a 15-percent large increase in February of 2016</w:t>
      </w:r>
      <w:r>
        <w:rPr>
          <w:sz w:val="22"/>
          <w:szCs w:val="22"/>
          <w:lang w:val="en-US"/>
        </w:rPr>
        <w:t xml:space="preserve">. Ultimately, </w:t>
      </w:r>
      <w:r w:rsidR="00E039C8">
        <w:rPr>
          <w:sz w:val="22"/>
          <w:szCs w:val="22"/>
          <w:lang w:val="en-US"/>
        </w:rPr>
        <w:t xml:space="preserve">the quarter-on-quarter growth rate for investment goods import is 14.4 percent in </w:t>
      </w:r>
      <w:r w:rsidR="00E039C8">
        <w:rPr>
          <w:sz w:val="22"/>
          <w:szCs w:val="22"/>
          <w:lang w:val="en-US"/>
        </w:rPr>
        <w:lastRenderedPageBreak/>
        <w:t xml:space="preserve">the first quarter of 2016. </w:t>
      </w:r>
      <w:r w:rsidR="00F24571">
        <w:rPr>
          <w:sz w:val="22"/>
          <w:szCs w:val="22"/>
          <w:lang w:val="en-US"/>
        </w:rPr>
        <w:t>On the other hand,</w:t>
      </w:r>
      <w:r w:rsidR="009A02F1">
        <w:rPr>
          <w:sz w:val="22"/>
          <w:szCs w:val="22"/>
          <w:lang w:val="en-US"/>
        </w:rPr>
        <w:t xml:space="preserve"> </w:t>
      </w:r>
      <w:r w:rsidR="00126DC9">
        <w:rPr>
          <w:sz w:val="22"/>
          <w:szCs w:val="22"/>
          <w:lang w:val="en-US"/>
        </w:rPr>
        <w:t xml:space="preserve">production of commercial cars </w:t>
      </w:r>
      <w:r w:rsidR="009A02F1">
        <w:rPr>
          <w:sz w:val="22"/>
          <w:szCs w:val="22"/>
          <w:lang w:val="en-US"/>
        </w:rPr>
        <w:t>has d</w:t>
      </w:r>
      <w:r w:rsidR="00126DC9">
        <w:rPr>
          <w:sz w:val="22"/>
          <w:szCs w:val="22"/>
          <w:lang w:val="en-US"/>
        </w:rPr>
        <w:t xml:space="preserve">ecreased by 2.7 percent in the same period (Table 2). </w:t>
      </w:r>
      <w:r w:rsidR="002E527C">
        <w:rPr>
          <w:sz w:val="22"/>
          <w:szCs w:val="22"/>
          <w:lang w:val="en-US"/>
        </w:rPr>
        <w:t xml:space="preserve">In addition, real sector confidence index, exhibiting a declining trend as of December, reached </w:t>
      </w:r>
      <w:r w:rsidR="00F24571">
        <w:rPr>
          <w:sz w:val="22"/>
          <w:szCs w:val="22"/>
          <w:lang w:val="en-US"/>
        </w:rPr>
        <w:t>a</w:t>
      </w:r>
      <w:r w:rsidR="002E527C">
        <w:rPr>
          <w:sz w:val="22"/>
          <w:szCs w:val="22"/>
          <w:lang w:val="en-US"/>
        </w:rPr>
        <w:t xml:space="preserve"> 2.3 percent decrease in terms of quarter-</w:t>
      </w:r>
      <w:r w:rsidR="00AC4F80">
        <w:rPr>
          <w:sz w:val="22"/>
          <w:szCs w:val="22"/>
          <w:lang w:val="en-US"/>
        </w:rPr>
        <w:t>on</w:t>
      </w:r>
      <w:r w:rsidR="002E527C">
        <w:rPr>
          <w:sz w:val="22"/>
          <w:szCs w:val="22"/>
          <w:lang w:val="en-US"/>
        </w:rPr>
        <w:t>-quarter change</w:t>
      </w:r>
      <w:r w:rsidR="0084611F">
        <w:rPr>
          <w:sz w:val="22"/>
          <w:szCs w:val="22"/>
          <w:lang w:val="en-US"/>
        </w:rPr>
        <w:t xml:space="preserve">. </w:t>
      </w:r>
      <w:r w:rsidR="00F24571">
        <w:rPr>
          <w:sz w:val="22"/>
          <w:szCs w:val="22"/>
          <w:lang w:val="en-US"/>
        </w:rPr>
        <w:t xml:space="preserve">Another </w:t>
      </w:r>
      <w:r w:rsidR="0084611F">
        <w:rPr>
          <w:sz w:val="22"/>
          <w:szCs w:val="22"/>
          <w:lang w:val="en-US"/>
        </w:rPr>
        <w:t>determinant</w:t>
      </w:r>
      <w:r w:rsidR="00F24571">
        <w:rPr>
          <w:sz w:val="22"/>
          <w:szCs w:val="22"/>
          <w:lang w:val="en-US"/>
        </w:rPr>
        <w:t xml:space="preserve"> </w:t>
      </w:r>
      <w:r w:rsidR="0084611F">
        <w:rPr>
          <w:sz w:val="22"/>
          <w:szCs w:val="22"/>
          <w:lang w:val="en-US"/>
        </w:rPr>
        <w:t xml:space="preserve">of private investment, production of investment goods, </w:t>
      </w:r>
      <w:r w:rsidR="00374569">
        <w:rPr>
          <w:sz w:val="22"/>
          <w:szCs w:val="22"/>
          <w:lang w:val="en-US"/>
        </w:rPr>
        <w:t>followed a fluctuating course; however, it almost remained unchanged quarterly (Table 2).</w:t>
      </w:r>
    </w:p>
    <w:p w:rsidR="00197602" w:rsidRDefault="000906B6" w:rsidP="001508C3">
      <w:pPr>
        <w:spacing w:line="360" w:lineRule="auto"/>
        <w:ind w:left="-360" w:right="42"/>
        <w:jc w:val="both"/>
        <w:rPr>
          <w:sz w:val="22"/>
          <w:szCs w:val="22"/>
          <w:lang w:val="en-US"/>
        </w:rPr>
      </w:pPr>
      <w:r>
        <w:rPr>
          <w:sz w:val="22"/>
          <w:szCs w:val="22"/>
          <w:lang w:val="en-US"/>
        </w:rPr>
        <w:t xml:space="preserve">Even if it is very hard to reach a final judgement </w:t>
      </w:r>
      <w:r w:rsidR="00374569" w:rsidRPr="00374569">
        <w:rPr>
          <w:sz w:val="22"/>
          <w:szCs w:val="22"/>
          <w:lang w:val="en-US"/>
        </w:rPr>
        <w:t>about</w:t>
      </w:r>
      <w:r w:rsidR="00406F7B">
        <w:rPr>
          <w:sz w:val="22"/>
          <w:szCs w:val="22"/>
          <w:lang w:val="en-US"/>
        </w:rPr>
        <w:t xml:space="preserve"> </w:t>
      </w:r>
      <w:r>
        <w:rPr>
          <w:sz w:val="22"/>
          <w:szCs w:val="22"/>
          <w:lang w:val="en-US"/>
        </w:rPr>
        <w:t>the future course of</w:t>
      </w:r>
      <w:r w:rsidR="00406F7B">
        <w:rPr>
          <w:sz w:val="22"/>
          <w:szCs w:val="22"/>
          <w:lang w:val="en-US"/>
        </w:rPr>
        <w:t xml:space="preserve"> private investment </w:t>
      </w:r>
      <w:r>
        <w:rPr>
          <w:sz w:val="22"/>
          <w:szCs w:val="22"/>
          <w:lang w:val="en-US"/>
        </w:rPr>
        <w:t>because of t</w:t>
      </w:r>
      <w:r w:rsidRPr="00374569">
        <w:rPr>
          <w:sz w:val="22"/>
          <w:szCs w:val="22"/>
          <w:lang w:val="en-US"/>
        </w:rPr>
        <w:t>hese opposite progresses</w:t>
      </w:r>
      <w:r>
        <w:rPr>
          <w:sz w:val="22"/>
          <w:szCs w:val="22"/>
          <w:lang w:val="en-US"/>
        </w:rPr>
        <w:t>, we p</w:t>
      </w:r>
      <w:r w:rsidR="00406F7B">
        <w:rPr>
          <w:sz w:val="22"/>
          <w:szCs w:val="22"/>
          <w:lang w:val="en-US"/>
        </w:rPr>
        <w:t xml:space="preserve">redict that contribution of private investment to the growth will </w:t>
      </w:r>
      <w:r w:rsidR="001508C3">
        <w:rPr>
          <w:sz w:val="22"/>
          <w:szCs w:val="22"/>
          <w:lang w:val="en-US"/>
        </w:rPr>
        <w:t>remain</w:t>
      </w:r>
      <w:r>
        <w:rPr>
          <w:sz w:val="22"/>
          <w:szCs w:val="22"/>
          <w:lang w:val="en-US"/>
        </w:rPr>
        <w:t xml:space="preserve"> rather</w:t>
      </w:r>
      <w:r w:rsidR="001508C3">
        <w:rPr>
          <w:sz w:val="22"/>
          <w:szCs w:val="22"/>
          <w:lang w:val="en-US"/>
        </w:rPr>
        <w:t xml:space="preserve"> limited.</w:t>
      </w:r>
    </w:p>
    <w:p w:rsidR="001508C3" w:rsidRPr="001508C3" w:rsidRDefault="001508C3" w:rsidP="001508C3">
      <w:pPr>
        <w:spacing w:line="360" w:lineRule="auto"/>
        <w:ind w:left="-360" w:right="42"/>
        <w:jc w:val="both"/>
        <w:rPr>
          <w:sz w:val="22"/>
          <w:szCs w:val="22"/>
          <w:lang w:val="en-US"/>
        </w:rPr>
      </w:pPr>
    </w:p>
    <w:p w:rsidR="00A70678" w:rsidRPr="00AF7023" w:rsidRDefault="00AF7023" w:rsidP="008558C2">
      <w:pPr>
        <w:spacing w:line="360" w:lineRule="auto"/>
        <w:ind w:left="-360" w:right="42"/>
        <w:jc w:val="center"/>
        <w:rPr>
          <w:b/>
          <w:sz w:val="22"/>
          <w:szCs w:val="22"/>
          <w:lang w:val="en-US"/>
        </w:rPr>
      </w:pPr>
      <w:r w:rsidRPr="00AF7023">
        <w:rPr>
          <w:b/>
          <w:sz w:val="22"/>
          <w:szCs w:val="22"/>
          <w:lang w:val="en-US"/>
        </w:rPr>
        <w:t>Negative contribution from gover</w:t>
      </w:r>
      <w:r w:rsidR="004A2CFB">
        <w:rPr>
          <w:b/>
          <w:sz w:val="22"/>
          <w:szCs w:val="22"/>
          <w:lang w:val="en-US"/>
        </w:rPr>
        <w:t>n</w:t>
      </w:r>
      <w:r w:rsidRPr="00AF7023">
        <w:rPr>
          <w:b/>
          <w:sz w:val="22"/>
          <w:szCs w:val="22"/>
          <w:lang w:val="en-US"/>
        </w:rPr>
        <w:t xml:space="preserve">ment to growth </w:t>
      </w:r>
    </w:p>
    <w:p w:rsidR="00D81E8D" w:rsidRDefault="00D81E8D" w:rsidP="00F43211">
      <w:pPr>
        <w:spacing w:line="360" w:lineRule="auto"/>
        <w:ind w:left="-360" w:right="42"/>
        <w:jc w:val="both"/>
        <w:rPr>
          <w:sz w:val="22"/>
          <w:szCs w:val="22"/>
          <w:lang w:val="en-US"/>
        </w:rPr>
      </w:pPr>
      <w:r>
        <w:rPr>
          <w:sz w:val="22"/>
          <w:szCs w:val="22"/>
          <w:lang w:val="en-US"/>
        </w:rPr>
        <w:t>We expect that the contribution of government spending to GDP growth will be negative due to the fiscal policy maintaining a tight stance during the first three months of this year; however, remind that its effect on growth will be slight because of its low share in GDP (Table 2).</w:t>
      </w:r>
    </w:p>
    <w:p w:rsidR="00A27CA3" w:rsidRPr="00DE52CE" w:rsidRDefault="00A27CA3" w:rsidP="00357DEF">
      <w:pPr>
        <w:spacing w:line="360" w:lineRule="auto"/>
        <w:ind w:right="42"/>
        <w:jc w:val="both"/>
        <w:rPr>
          <w:sz w:val="22"/>
          <w:szCs w:val="22"/>
        </w:rPr>
      </w:pPr>
    </w:p>
    <w:p w:rsidR="00864AB5" w:rsidRPr="004A2CFB" w:rsidRDefault="00AF7023" w:rsidP="00A87DBD">
      <w:pPr>
        <w:spacing w:line="360" w:lineRule="auto"/>
        <w:ind w:left="-360" w:right="42"/>
        <w:jc w:val="center"/>
        <w:rPr>
          <w:b/>
          <w:sz w:val="22"/>
          <w:szCs w:val="22"/>
          <w:highlight w:val="yellow"/>
          <w:lang w:val="en-US"/>
        </w:rPr>
      </w:pPr>
      <w:r w:rsidRPr="004A2CFB">
        <w:rPr>
          <w:b/>
          <w:sz w:val="22"/>
          <w:szCs w:val="22"/>
          <w:lang w:val="en-US"/>
        </w:rPr>
        <w:t>Moderate growth</w:t>
      </w:r>
    </w:p>
    <w:p w:rsidR="00322346" w:rsidRPr="00322346" w:rsidRDefault="00322346" w:rsidP="00A87DBD">
      <w:pPr>
        <w:spacing w:line="360" w:lineRule="auto"/>
        <w:ind w:left="-360" w:right="42"/>
        <w:jc w:val="both"/>
        <w:rPr>
          <w:sz w:val="22"/>
          <w:szCs w:val="22"/>
          <w:lang w:val="en-US"/>
        </w:rPr>
      </w:pPr>
      <w:r>
        <w:rPr>
          <w:sz w:val="22"/>
          <w:szCs w:val="22"/>
          <w:lang w:val="en-US"/>
        </w:rPr>
        <w:t xml:space="preserve">Considering the data on the first quarter and leading indicators of April, we forecast that quarter on quarter growth in seasonally adjusted GDP will be 0.6 percent. Hence, we expect that annual growth comparing with the first quarter of 2015 will be around 3.5 percent. </w:t>
      </w:r>
    </w:p>
    <w:p w:rsidR="00693093" w:rsidRPr="00DE52CE" w:rsidRDefault="001C3FD3" w:rsidP="00A87DBD">
      <w:pPr>
        <w:spacing w:line="360" w:lineRule="auto"/>
        <w:ind w:left="-360" w:right="42"/>
        <w:jc w:val="both"/>
        <w:rPr>
          <w:sz w:val="22"/>
          <w:szCs w:val="22"/>
        </w:rPr>
        <w:sectPr w:rsidR="00693093" w:rsidRPr="00DE52CE" w:rsidSect="00D850C9">
          <w:footerReference w:type="default" r:id="rId14"/>
          <w:type w:val="continuous"/>
          <w:pgSz w:w="11906" w:h="16838"/>
          <w:pgMar w:top="1417" w:right="1417" w:bottom="1417" w:left="1417" w:header="708" w:footer="708" w:gutter="0"/>
          <w:cols w:num="2" w:space="708"/>
          <w:docGrid w:linePitch="360"/>
        </w:sectPr>
      </w:pPr>
      <w:r w:rsidRPr="00DE52CE">
        <w:rPr>
          <w:sz w:val="22"/>
          <w:szCs w:val="22"/>
        </w:rPr>
        <w:t xml:space="preserve"> </w:t>
      </w:r>
    </w:p>
    <w:p w:rsidR="00492518" w:rsidRDefault="00492518" w:rsidP="00D81BDB">
      <w:pPr>
        <w:spacing w:line="360" w:lineRule="auto"/>
        <w:ind w:right="42"/>
        <w:jc w:val="both"/>
        <w:rPr>
          <w:b/>
          <w:bCs/>
          <w:sz w:val="22"/>
          <w:szCs w:val="22"/>
        </w:rPr>
      </w:pPr>
    </w:p>
    <w:p w:rsidR="000D1A3A" w:rsidRDefault="000D1A3A" w:rsidP="00D81BDB">
      <w:pPr>
        <w:spacing w:line="360" w:lineRule="auto"/>
        <w:ind w:right="42"/>
        <w:jc w:val="both"/>
        <w:rPr>
          <w:b/>
          <w:bCs/>
          <w:sz w:val="22"/>
          <w:szCs w:val="22"/>
        </w:rPr>
      </w:pPr>
    </w:p>
    <w:p w:rsidR="00C008B9" w:rsidRDefault="00C008B9" w:rsidP="00D81BDB">
      <w:pPr>
        <w:spacing w:line="360" w:lineRule="auto"/>
        <w:ind w:right="42"/>
        <w:jc w:val="both"/>
        <w:rPr>
          <w:b/>
          <w:bCs/>
          <w:sz w:val="22"/>
          <w:szCs w:val="22"/>
        </w:rPr>
      </w:pPr>
    </w:p>
    <w:p w:rsidR="000D1A3A" w:rsidRPr="00DE52CE" w:rsidRDefault="000D1A3A" w:rsidP="00D81BDB">
      <w:pPr>
        <w:spacing w:line="360" w:lineRule="auto"/>
        <w:ind w:right="42"/>
        <w:jc w:val="both"/>
        <w:rPr>
          <w:b/>
          <w:bCs/>
          <w:sz w:val="22"/>
          <w:szCs w:val="22"/>
        </w:rPr>
      </w:pPr>
    </w:p>
    <w:p w:rsidR="00197085" w:rsidRPr="007A2801" w:rsidRDefault="00197085" w:rsidP="00D81BDB">
      <w:pPr>
        <w:spacing w:line="360" w:lineRule="auto"/>
        <w:ind w:right="42"/>
        <w:jc w:val="both"/>
        <w:rPr>
          <w:sz w:val="22"/>
          <w:szCs w:val="22"/>
          <w:lang w:val="en-US"/>
        </w:rPr>
      </w:pPr>
      <w:r w:rsidRPr="007A2801">
        <w:rPr>
          <w:b/>
          <w:bCs/>
          <w:sz w:val="22"/>
          <w:szCs w:val="22"/>
          <w:lang w:val="en-US"/>
        </w:rPr>
        <w:lastRenderedPageBreak/>
        <w:t>Tabl</w:t>
      </w:r>
      <w:r w:rsidR="007A2801" w:rsidRPr="007A2801">
        <w:rPr>
          <w:b/>
          <w:bCs/>
          <w:sz w:val="22"/>
          <w:szCs w:val="22"/>
          <w:lang w:val="en-US"/>
        </w:rPr>
        <w:t>e</w:t>
      </w:r>
      <w:r w:rsidRPr="007A2801">
        <w:rPr>
          <w:b/>
          <w:bCs/>
          <w:sz w:val="22"/>
          <w:szCs w:val="22"/>
          <w:lang w:val="en-US"/>
        </w:rPr>
        <w:t xml:space="preserve"> 2. </w:t>
      </w:r>
      <w:r w:rsidR="007A2801" w:rsidRPr="007A2801">
        <w:rPr>
          <w:b/>
          <w:bCs/>
          <w:sz w:val="22"/>
          <w:szCs w:val="22"/>
          <w:lang w:val="en-US"/>
        </w:rPr>
        <w:t>Monthly and quarterly changes of Betam's selected indicators (SA)</w:t>
      </w:r>
    </w:p>
    <w:tbl>
      <w:tblPr>
        <w:tblW w:w="952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6"/>
        <w:gridCol w:w="1163"/>
        <w:gridCol w:w="1123"/>
        <w:gridCol w:w="1140"/>
        <w:gridCol w:w="1072"/>
        <w:gridCol w:w="959"/>
        <w:gridCol w:w="959"/>
      </w:tblGrid>
      <w:tr w:rsidR="00D9690C" w:rsidRPr="00D9690C" w:rsidTr="00D9690C">
        <w:trPr>
          <w:trHeight w:val="607"/>
        </w:trPr>
        <w:tc>
          <w:tcPr>
            <w:tcW w:w="3106" w:type="dxa"/>
            <w:vAlign w:val="center"/>
          </w:tcPr>
          <w:p w:rsidR="00D9690C" w:rsidRPr="00D9690C" w:rsidRDefault="00D9690C" w:rsidP="000F010A">
            <w:pPr>
              <w:ind w:right="42"/>
              <w:jc w:val="center"/>
              <w:rPr>
                <w:b/>
                <w:bCs/>
                <w:sz w:val="20"/>
                <w:szCs w:val="20"/>
                <w:lang w:val="en-US"/>
              </w:rPr>
            </w:pPr>
            <w:r w:rsidRPr="00D9690C">
              <w:rPr>
                <w:b/>
                <w:bCs/>
                <w:sz w:val="20"/>
                <w:szCs w:val="20"/>
                <w:lang w:val="en-US"/>
              </w:rPr>
              <w:t xml:space="preserve">Economic Indicators </w:t>
            </w:r>
          </w:p>
        </w:tc>
        <w:tc>
          <w:tcPr>
            <w:tcW w:w="1163" w:type="dxa"/>
            <w:shd w:val="clear" w:color="auto" w:fill="auto"/>
            <w:vAlign w:val="center"/>
          </w:tcPr>
          <w:p w:rsidR="00D9690C" w:rsidRPr="00D9690C" w:rsidRDefault="00D9690C" w:rsidP="000F010A">
            <w:pPr>
              <w:jc w:val="center"/>
              <w:rPr>
                <w:b/>
                <w:bCs/>
                <w:sz w:val="20"/>
                <w:szCs w:val="20"/>
                <w:lang w:val="en-US"/>
              </w:rPr>
            </w:pPr>
            <w:r w:rsidRPr="00D9690C">
              <w:rPr>
                <w:b/>
                <w:bCs/>
                <w:sz w:val="20"/>
                <w:szCs w:val="20"/>
                <w:lang w:val="en-US"/>
              </w:rPr>
              <w:t>January</w:t>
            </w:r>
          </w:p>
        </w:tc>
        <w:tc>
          <w:tcPr>
            <w:tcW w:w="1123" w:type="dxa"/>
            <w:shd w:val="clear" w:color="auto" w:fill="auto"/>
            <w:vAlign w:val="center"/>
          </w:tcPr>
          <w:p w:rsidR="00D9690C" w:rsidRPr="00D9690C" w:rsidRDefault="00D9690C" w:rsidP="000F010A">
            <w:pPr>
              <w:jc w:val="center"/>
              <w:rPr>
                <w:b/>
                <w:bCs/>
                <w:sz w:val="20"/>
                <w:szCs w:val="20"/>
                <w:lang w:val="en-US"/>
              </w:rPr>
            </w:pPr>
            <w:r w:rsidRPr="00D9690C">
              <w:rPr>
                <w:b/>
                <w:bCs/>
                <w:sz w:val="20"/>
                <w:szCs w:val="20"/>
                <w:lang w:val="en-US"/>
              </w:rPr>
              <w:t>February</w:t>
            </w:r>
          </w:p>
        </w:tc>
        <w:tc>
          <w:tcPr>
            <w:tcW w:w="1140" w:type="dxa"/>
            <w:shd w:val="clear" w:color="auto" w:fill="auto"/>
            <w:vAlign w:val="center"/>
          </w:tcPr>
          <w:p w:rsidR="00D9690C" w:rsidRPr="00D9690C" w:rsidRDefault="00D9690C" w:rsidP="000F010A">
            <w:pPr>
              <w:jc w:val="center"/>
              <w:rPr>
                <w:b/>
                <w:bCs/>
                <w:sz w:val="20"/>
                <w:szCs w:val="20"/>
                <w:lang w:val="en-US"/>
              </w:rPr>
            </w:pPr>
            <w:r w:rsidRPr="00D9690C">
              <w:rPr>
                <w:b/>
                <w:bCs/>
                <w:sz w:val="20"/>
                <w:szCs w:val="20"/>
                <w:lang w:val="en-US"/>
              </w:rPr>
              <w:t>March</w:t>
            </w:r>
          </w:p>
        </w:tc>
        <w:tc>
          <w:tcPr>
            <w:tcW w:w="1072" w:type="dxa"/>
            <w:tcBorders>
              <w:right w:val="double" w:sz="4" w:space="0" w:color="auto"/>
            </w:tcBorders>
            <w:shd w:val="clear" w:color="auto" w:fill="auto"/>
            <w:vAlign w:val="center"/>
          </w:tcPr>
          <w:p w:rsidR="00D9690C" w:rsidRPr="00D9690C" w:rsidRDefault="00D9690C" w:rsidP="0061653C">
            <w:pPr>
              <w:jc w:val="center"/>
              <w:rPr>
                <w:b/>
                <w:bCs/>
                <w:sz w:val="20"/>
                <w:szCs w:val="20"/>
                <w:lang w:val="en-US"/>
              </w:rPr>
            </w:pPr>
            <w:r w:rsidRPr="00D9690C">
              <w:rPr>
                <w:b/>
                <w:bCs/>
                <w:sz w:val="20"/>
                <w:szCs w:val="20"/>
                <w:lang w:val="en-US"/>
              </w:rPr>
              <w:t>April</w:t>
            </w:r>
          </w:p>
        </w:tc>
        <w:tc>
          <w:tcPr>
            <w:tcW w:w="959" w:type="dxa"/>
            <w:tcBorders>
              <w:left w:val="double" w:sz="4" w:space="0" w:color="auto"/>
            </w:tcBorders>
            <w:shd w:val="clear" w:color="auto" w:fill="auto"/>
            <w:vAlign w:val="center"/>
          </w:tcPr>
          <w:p w:rsidR="00D9690C" w:rsidRPr="00D9690C" w:rsidRDefault="00D9690C" w:rsidP="000F010A">
            <w:pPr>
              <w:ind w:right="42"/>
              <w:jc w:val="center"/>
              <w:rPr>
                <w:b/>
                <w:bCs/>
                <w:sz w:val="20"/>
                <w:szCs w:val="20"/>
                <w:lang w:val="en-US"/>
              </w:rPr>
            </w:pPr>
            <w:r w:rsidRPr="00D9690C">
              <w:rPr>
                <w:b/>
                <w:bCs/>
                <w:sz w:val="20"/>
                <w:szCs w:val="20"/>
                <w:lang w:val="en-US"/>
              </w:rPr>
              <w:t>2015 4. Quarter</w:t>
            </w:r>
          </w:p>
        </w:tc>
        <w:tc>
          <w:tcPr>
            <w:tcW w:w="959" w:type="dxa"/>
            <w:shd w:val="clear" w:color="auto" w:fill="auto"/>
            <w:vAlign w:val="center"/>
          </w:tcPr>
          <w:p w:rsidR="00D9690C" w:rsidRPr="00D9690C" w:rsidRDefault="00D9690C" w:rsidP="000F010A">
            <w:pPr>
              <w:ind w:right="42"/>
              <w:jc w:val="center"/>
              <w:rPr>
                <w:b/>
                <w:bCs/>
                <w:sz w:val="20"/>
                <w:szCs w:val="20"/>
                <w:lang w:val="en-US"/>
              </w:rPr>
            </w:pPr>
            <w:r w:rsidRPr="00D9690C">
              <w:rPr>
                <w:b/>
                <w:bCs/>
                <w:sz w:val="20"/>
                <w:szCs w:val="20"/>
                <w:lang w:val="en-US"/>
              </w:rPr>
              <w:t>2016 1. Quarter</w:t>
            </w:r>
          </w:p>
        </w:tc>
      </w:tr>
      <w:tr w:rsidR="00D9690C" w:rsidRPr="00D9690C" w:rsidTr="00D9690C">
        <w:trPr>
          <w:trHeight w:val="370"/>
        </w:trPr>
        <w:tc>
          <w:tcPr>
            <w:tcW w:w="3106" w:type="dxa"/>
            <w:vAlign w:val="center"/>
          </w:tcPr>
          <w:p w:rsidR="00D9690C" w:rsidRPr="00D9690C" w:rsidRDefault="00D9690C" w:rsidP="000F010A">
            <w:pPr>
              <w:ind w:right="42"/>
              <w:jc w:val="center"/>
              <w:rPr>
                <w:b/>
                <w:bCs/>
                <w:sz w:val="20"/>
                <w:szCs w:val="20"/>
                <w:lang w:val="en-US"/>
              </w:rPr>
            </w:pPr>
            <w:r w:rsidRPr="00D9690C">
              <w:rPr>
                <w:b/>
                <w:bCs/>
                <w:sz w:val="20"/>
                <w:szCs w:val="20"/>
                <w:lang w:val="en-US"/>
              </w:rPr>
              <w:t>Export*</w:t>
            </w:r>
          </w:p>
        </w:tc>
        <w:tc>
          <w:tcPr>
            <w:tcW w:w="1163" w:type="dxa"/>
            <w:shd w:val="clear" w:color="auto" w:fill="auto"/>
            <w:vAlign w:val="center"/>
          </w:tcPr>
          <w:p w:rsidR="00D9690C" w:rsidRPr="00D9690C" w:rsidRDefault="00D9690C" w:rsidP="00194572">
            <w:pPr>
              <w:jc w:val="center"/>
              <w:rPr>
                <w:sz w:val="20"/>
                <w:szCs w:val="20"/>
                <w:lang w:val="en-US"/>
              </w:rPr>
            </w:pPr>
            <w:r w:rsidRPr="00D9690C">
              <w:rPr>
                <w:sz w:val="20"/>
                <w:szCs w:val="20"/>
                <w:lang w:val="en-US"/>
              </w:rPr>
              <w:t>-3.3</w:t>
            </w:r>
          </w:p>
        </w:tc>
        <w:tc>
          <w:tcPr>
            <w:tcW w:w="1123" w:type="dxa"/>
            <w:shd w:val="clear" w:color="auto" w:fill="auto"/>
            <w:vAlign w:val="center"/>
          </w:tcPr>
          <w:p w:rsidR="00D9690C" w:rsidRPr="00D9690C" w:rsidRDefault="00D9690C" w:rsidP="00EE73EE">
            <w:pPr>
              <w:jc w:val="center"/>
              <w:rPr>
                <w:sz w:val="20"/>
                <w:szCs w:val="20"/>
                <w:lang w:val="en-US"/>
              </w:rPr>
            </w:pPr>
            <w:r w:rsidRPr="00D9690C">
              <w:rPr>
                <w:sz w:val="20"/>
                <w:szCs w:val="20"/>
                <w:lang w:val="en-US"/>
              </w:rPr>
              <w:t>12.9</w:t>
            </w:r>
          </w:p>
        </w:tc>
        <w:tc>
          <w:tcPr>
            <w:tcW w:w="1140" w:type="dxa"/>
            <w:shd w:val="clear" w:color="auto" w:fill="auto"/>
            <w:vAlign w:val="center"/>
          </w:tcPr>
          <w:p w:rsidR="00D9690C" w:rsidRPr="00D9690C" w:rsidRDefault="00D9690C" w:rsidP="00194572">
            <w:pPr>
              <w:jc w:val="center"/>
              <w:rPr>
                <w:sz w:val="20"/>
                <w:szCs w:val="20"/>
                <w:lang w:val="en-US"/>
              </w:rPr>
            </w:pPr>
            <w:r w:rsidRPr="00D9690C">
              <w:rPr>
                <w:sz w:val="20"/>
                <w:szCs w:val="20"/>
                <w:lang w:val="en-US"/>
              </w:rPr>
              <w:t>-4.6</w:t>
            </w:r>
          </w:p>
        </w:tc>
        <w:tc>
          <w:tcPr>
            <w:tcW w:w="1072" w:type="dxa"/>
            <w:tcBorders>
              <w:right w:val="double" w:sz="4" w:space="0" w:color="auto"/>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w:t>
            </w:r>
          </w:p>
        </w:tc>
        <w:tc>
          <w:tcPr>
            <w:tcW w:w="959" w:type="dxa"/>
            <w:tcBorders>
              <w:left w:val="double" w:sz="4" w:space="0" w:color="auto"/>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-0.1</w:t>
            </w:r>
          </w:p>
        </w:tc>
        <w:tc>
          <w:tcPr>
            <w:tcW w:w="959" w:type="dxa"/>
            <w:shd w:val="clear" w:color="auto" w:fill="auto"/>
            <w:vAlign w:val="center"/>
          </w:tcPr>
          <w:p w:rsidR="00D9690C" w:rsidRPr="00D9690C" w:rsidRDefault="00D9690C" w:rsidP="00EE73EE">
            <w:pPr>
              <w:jc w:val="center"/>
              <w:rPr>
                <w:sz w:val="20"/>
                <w:szCs w:val="20"/>
                <w:lang w:val="en-US"/>
              </w:rPr>
            </w:pPr>
            <w:r w:rsidRPr="00D9690C">
              <w:rPr>
                <w:sz w:val="20"/>
                <w:szCs w:val="20"/>
                <w:lang w:val="en-US"/>
              </w:rPr>
              <w:t>1.9</w:t>
            </w:r>
          </w:p>
        </w:tc>
      </w:tr>
      <w:tr w:rsidR="00D9690C" w:rsidRPr="00D9690C" w:rsidTr="00D9690C">
        <w:trPr>
          <w:trHeight w:val="370"/>
        </w:trPr>
        <w:tc>
          <w:tcPr>
            <w:tcW w:w="3106" w:type="dxa"/>
            <w:tcBorders>
              <w:bottom w:val="nil"/>
            </w:tcBorders>
            <w:vAlign w:val="center"/>
          </w:tcPr>
          <w:p w:rsidR="00D9690C" w:rsidRPr="00D9690C" w:rsidRDefault="00D9690C" w:rsidP="000F010A">
            <w:pPr>
              <w:ind w:right="42"/>
              <w:jc w:val="center"/>
              <w:rPr>
                <w:b/>
                <w:bCs/>
                <w:sz w:val="20"/>
                <w:szCs w:val="20"/>
                <w:lang w:val="en-US"/>
              </w:rPr>
            </w:pPr>
            <w:r w:rsidRPr="00D9690C">
              <w:rPr>
                <w:b/>
                <w:bCs/>
                <w:sz w:val="20"/>
                <w:szCs w:val="20"/>
                <w:lang w:val="en-US"/>
              </w:rPr>
              <w:t>Import *</w:t>
            </w:r>
          </w:p>
        </w:tc>
        <w:tc>
          <w:tcPr>
            <w:tcW w:w="1163" w:type="dxa"/>
            <w:tcBorders>
              <w:bottom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-2.8</w:t>
            </w:r>
          </w:p>
        </w:tc>
        <w:tc>
          <w:tcPr>
            <w:tcW w:w="1123" w:type="dxa"/>
            <w:tcBorders>
              <w:bottom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7.5</w:t>
            </w:r>
          </w:p>
        </w:tc>
        <w:tc>
          <w:tcPr>
            <w:tcW w:w="1140" w:type="dxa"/>
            <w:tcBorders>
              <w:bottom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2.1</w:t>
            </w:r>
          </w:p>
        </w:tc>
        <w:tc>
          <w:tcPr>
            <w:tcW w:w="1072" w:type="dxa"/>
            <w:tcBorders>
              <w:bottom w:val="nil"/>
              <w:right w:val="double" w:sz="4" w:space="0" w:color="auto"/>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w:t>
            </w:r>
          </w:p>
        </w:tc>
        <w:tc>
          <w:tcPr>
            <w:tcW w:w="959" w:type="dxa"/>
            <w:tcBorders>
              <w:left w:val="double" w:sz="4" w:space="0" w:color="auto"/>
              <w:bottom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1.8</w:t>
            </w:r>
          </w:p>
        </w:tc>
        <w:tc>
          <w:tcPr>
            <w:tcW w:w="959" w:type="dxa"/>
            <w:tcBorders>
              <w:bottom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5.3</w:t>
            </w:r>
          </w:p>
        </w:tc>
      </w:tr>
      <w:tr w:rsidR="00D9690C" w:rsidRPr="00D9690C" w:rsidTr="00D9690C">
        <w:trPr>
          <w:trHeight w:val="370"/>
        </w:trPr>
        <w:tc>
          <w:tcPr>
            <w:tcW w:w="3106" w:type="dxa"/>
            <w:tcBorders>
              <w:top w:val="nil"/>
              <w:bottom w:val="nil"/>
            </w:tcBorders>
            <w:vAlign w:val="center"/>
          </w:tcPr>
          <w:p w:rsidR="00D9690C" w:rsidRPr="00D9690C" w:rsidRDefault="00D9690C" w:rsidP="000F010A">
            <w:pPr>
              <w:ind w:right="42"/>
              <w:jc w:val="center"/>
              <w:rPr>
                <w:sz w:val="20"/>
                <w:szCs w:val="20"/>
                <w:lang w:val="en-US"/>
              </w:rPr>
            </w:pPr>
            <w:r w:rsidRPr="00D9690C">
              <w:rPr>
                <w:sz w:val="20"/>
                <w:szCs w:val="20"/>
                <w:lang w:val="en-US"/>
              </w:rPr>
              <w:t>Intermediate goods import*</w:t>
            </w:r>
          </w:p>
        </w:tc>
        <w:tc>
          <w:tcPr>
            <w:tcW w:w="1163" w:type="dxa"/>
            <w:tcBorders>
              <w:top w:val="nil"/>
              <w:bottom w:val="nil"/>
            </w:tcBorders>
            <w:shd w:val="clear" w:color="auto" w:fill="auto"/>
            <w:vAlign w:val="center"/>
          </w:tcPr>
          <w:p w:rsidR="00D9690C" w:rsidRPr="00D9690C" w:rsidRDefault="00D9690C" w:rsidP="003009F0">
            <w:pPr>
              <w:jc w:val="center"/>
              <w:rPr>
                <w:sz w:val="20"/>
                <w:szCs w:val="20"/>
                <w:lang w:val="en-US"/>
              </w:rPr>
            </w:pPr>
            <w:r w:rsidRPr="00D9690C">
              <w:rPr>
                <w:sz w:val="20"/>
                <w:szCs w:val="20"/>
                <w:lang w:val="en-US"/>
              </w:rPr>
              <w:t>-3.9</w:t>
            </w:r>
          </w:p>
        </w:tc>
        <w:tc>
          <w:tcPr>
            <w:tcW w:w="1123" w:type="dxa"/>
            <w:tcBorders>
              <w:top w:val="nil"/>
              <w:bottom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5.3</w:t>
            </w:r>
          </w:p>
        </w:tc>
        <w:tc>
          <w:tcPr>
            <w:tcW w:w="1140" w:type="dxa"/>
            <w:tcBorders>
              <w:top w:val="nil"/>
              <w:bottom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2.1</w:t>
            </w:r>
          </w:p>
        </w:tc>
        <w:tc>
          <w:tcPr>
            <w:tcW w:w="1072" w:type="dxa"/>
            <w:tcBorders>
              <w:top w:val="nil"/>
              <w:bottom w:val="nil"/>
              <w:right w:val="double" w:sz="4" w:space="0" w:color="auto"/>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w:t>
            </w:r>
          </w:p>
        </w:tc>
        <w:tc>
          <w:tcPr>
            <w:tcW w:w="959" w:type="dxa"/>
            <w:tcBorders>
              <w:top w:val="nil"/>
              <w:left w:val="double" w:sz="4" w:space="0" w:color="auto"/>
              <w:bottom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5.8</w:t>
            </w:r>
          </w:p>
        </w:tc>
        <w:tc>
          <w:tcPr>
            <w:tcW w:w="959" w:type="dxa"/>
            <w:tcBorders>
              <w:top w:val="nil"/>
              <w:bottom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3.8</w:t>
            </w:r>
          </w:p>
        </w:tc>
      </w:tr>
      <w:tr w:rsidR="00D9690C" w:rsidRPr="00D9690C" w:rsidTr="00D9690C">
        <w:trPr>
          <w:trHeight w:val="370"/>
        </w:trPr>
        <w:tc>
          <w:tcPr>
            <w:tcW w:w="3106" w:type="dxa"/>
            <w:tcBorders>
              <w:top w:val="nil"/>
              <w:bottom w:val="nil"/>
            </w:tcBorders>
            <w:vAlign w:val="center"/>
          </w:tcPr>
          <w:p w:rsidR="00D9690C" w:rsidRPr="00D9690C" w:rsidRDefault="00D9690C" w:rsidP="000F010A">
            <w:pPr>
              <w:ind w:right="42"/>
              <w:jc w:val="center"/>
              <w:rPr>
                <w:sz w:val="20"/>
                <w:szCs w:val="20"/>
                <w:lang w:val="en-US"/>
              </w:rPr>
            </w:pPr>
            <w:r w:rsidRPr="00D9690C">
              <w:rPr>
                <w:sz w:val="20"/>
                <w:szCs w:val="20"/>
                <w:lang w:val="en-US"/>
              </w:rPr>
              <w:t>Consumer goods import *</w:t>
            </w:r>
          </w:p>
        </w:tc>
        <w:tc>
          <w:tcPr>
            <w:tcW w:w="1163" w:type="dxa"/>
            <w:tcBorders>
              <w:top w:val="nil"/>
              <w:bottom w:val="nil"/>
            </w:tcBorders>
            <w:shd w:val="clear" w:color="auto" w:fill="auto"/>
            <w:vAlign w:val="center"/>
          </w:tcPr>
          <w:p w:rsidR="00D9690C" w:rsidRPr="00D9690C" w:rsidRDefault="00D9690C" w:rsidP="00316EF9">
            <w:pPr>
              <w:jc w:val="center"/>
              <w:rPr>
                <w:sz w:val="20"/>
                <w:szCs w:val="20"/>
                <w:lang w:val="en-US"/>
              </w:rPr>
            </w:pPr>
            <w:r w:rsidRPr="00D9690C">
              <w:rPr>
                <w:sz w:val="20"/>
                <w:szCs w:val="20"/>
                <w:lang w:val="en-US"/>
              </w:rPr>
              <w:t>-1.6</w:t>
            </w:r>
          </w:p>
        </w:tc>
        <w:tc>
          <w:tcPr>
            <w:tcW w:w="1123" w:type="dxa"/>
            <w:tcBorders>
              <w:top w:val="nil"/>
              <w:bottom w:val="nil"/>
            </w:tcBorders>
            <w:shd w:val="clear" w:color="auto" w:fill="auto"/>
            <w:vAlign w:val="center"/>
          </w:tcPr>
          <w:p w:rsidR="00D9690C" w:rsidRPr="00D9690C" w:rsidRDefault="00D9690C" w:rsidP="00316EF9">
            <w:pPr>
              <w:jc w:val="center"/>
              <w:rPr>
                <w:sz w:val="20"/>
                <w:szCs w:val="20"/>
                <w:lang w:val="en-US"/>
              </w:rPr>
            </w:pPr>
            <w:r w:rsidRPr="00D9690C">
              <w:rPr>
                <w:sz w:val="20"/>
                <w:szCs w:val="20"/>
                <w:lang w:val="en-US"/>
              </w:rPr>
              <w:t>9.9</w:t>
            </w:r>
          </w:p>
        </w:tc>
        <w:tc>
          <w:tcPr>
            <w:tcW w:w="1140" w:type="dxa"/>
            <w:tcBorders>
              <w:top w:val="nil"/>
              <w:bottom w:val="nil"/>
            </w:tcBorders>
            <w:shd w:val="clear" w:color="auto" w:fill="auto"/>
            <w:vAlign w:val="center"/>
          </w:tcPr>
          <w:p w:rsidR="00D9690C" w:rsidRPr="00D9690C" w:rsidRDefault="00D9690C" w:rsidP="00316EF9">
            <w:pPr>
              <w:jc w:val="center"/>
              <w:rPr>
                <w:sz w:val="20"/>
                <w:szCs w:val="20"/>
                <w:lang w:val="en-US"/>
              </w:rPr>
            </w:pPr>
            <w:r w:rsidRPr="00D9690C">
              <w:rPr>
                <w:sz w:val="20"/>
                <w:szCs w:val="20"/>
                <w:lang w:val="en-US"/>
              </w:rPr>
              <w:t>-0.6</w:t>
            </w:r>
          </w:p>
        </w:tc>
        <w:tc>
          <w:tcPr>
            <w:tcW w:w="1072" w:type="dxa"/>
            <w:tcBorders>
              <w:top w:val="nil"/>
              <w:bottom w:val="nil"/>
              <w:right w:val="double" w:sz="4" w:space="0" w:color="auto"/>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w:t>
            </w:r>
          </w:p>
        </w:tc>
        <w:tc>
          <w:tcPr>
            <w:tcW w:w="959" w:type="dxa"/>
            <w:tcBorders>
              <w:top w:val="nil"/>
              <w:left w:val="double" w:sz="4" w:space="0" w:color="auto"/>
              <w:bottom w:val="nil"/>
            </w:tcBorders>
            <w:shd w:val="clear" w:color="auto" w:fill="auto"/>
            <w:vAlign w:val="center"/>
          </w:tcPr>
          <w:p w:rsidR="00D9690C" w:rsidRPr="00D9690C" w:rsidRDefault="00D9690C" w:rsidP="00986E4F">
            <w:pPr>
              <w:jc w:val="center"/>
              <w:rPr>
                <w:sz w:val="20"/>
                <w:szCs w:val="20"/>
                <w:lang w:val="en-US"/>
              </w:rPr>
            </w:pPr>
            <w:r w:rsidRPr="00D9690C">
              <w:rPr>
                <w:sz w:val="20"/>
                <w:szCs w:val="20"/>
                <w:lang w:val="en-US"/>
              </w:rPr>
              <w:t>-3.7</w:t>
            </w:r>
          </w:p>
        </w:tc>
        <w:tc>
          <w:tcPr>
            <w:tcW w:w="959" w:type="dxa"/>
            <w:tcBorders>
              <w:top w:val="nil"/>
              <w:bottom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3.0</w:t>
            </w:r>
          </w:p>
        </w:tc>
      </w:tr>
      <w:tr w:rsidR="00D9690C" w:rsidRPr="00D9690C" w:rsidTr="00D9690C">
        <w:trPr>
          <w:trHeight w:val="370"/>
        </w:trPr>
        <w:tc>
          <w:tcPr>
            <w:tcW w:w="3106" w:type="dxa"/>
            <w:tcBorders>
              <w:top w:val="nil"/>
            </w:tcBorders>
            <w:vAlign w:val="center"/>
          </w:tcPr>
          <w:p w:rsidR="00D9690C" w:rsidRPr="00D9690C" w:rsidRDefault="00D9690C" w:rsidP="000F010A">
            <w:pPr>
              <w:ind w:right="42"/>
              <w:jc w:val="center"/>
              <w:rPr>
                <w:sz w:val="20"/>
                <w:szCs w:val="20"/>
                <w:lang w:val="en-US"/>
              </w:rPr>
            </w:pPr>
            <w:r w:rsidRPr="00D9690C">
              <w:rPr>
                <w:sz w:val="20"/>
                <w:szCs w:val="20"/>
                <w:lang w:val="en-US"/>
              </w:rPr>
              <w:t>Investment goods import *</w:t>
            </w:r>
          </w:p>
        </w:tc>
        <w:tc>
          <w:tcPr>
            <w:tcW w:w="1163" w:type="dxa"/>
            <w:tcBorders>
              <w:top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7.3</w:t>
            </w:r>
          </w:p>
        </w:tc>
        <w:tc>
          <w:tcPr>
            <w:tcW w:w="1123" w:type="dxa"/>
            <w:tcBorders>
              <w:top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15.0</w:t>
            </w:r>
          </w:p>
        </w:tc>
        <w:tc>
          <w:tcPr>
            <w:tcW w:w="1140" w:type="dxa"/>
            <w:tcBorders>
              <w:top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0.0</w:t>
            </w:r>
          </w:p>
        </w:tc>
        <w:tc>
          <w:tcPr>
            <w:tcW w:w="1072" w:type="dxa"/>
            <w:tcBorders>
              <w:top w:val="nil"/>
              <w:right w:val="double" w:sz="4" w:space="0" w:color="auto"/>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w:t>
            </w:r>
          </w:p>
        </w:tc>
        <w:tc>
          <w:tcPr>
            <w:tcW w:w="959" w:type="dxa"/>
            <w:tcBorders>
              <w:top w:val="nil"/>
              <w:left w:val="double" w:sz="4" w:space="0" w:color="auto"/>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-7.1</w:t>
            </w:r>
          </w:p>
        </w:tc>
        <w:tc>
          <w:tcPr>
            <w:tcW w:w="959" w:type="dxa"/>
            <w:tcBorders>
              <w:top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14.4</w:t>
            </w:r>
          </w:p>
        </w:tc>
      </w:tr>
      <w:tr w:rsidR="00D9690C" w:rsidRPr="00D9690C" w:rsidTr="00D9690C">
        <w:trPr>
          <w:trHeight w:val="370"/>
        </w:trPr>
        <w:tc>
          <w:tcPr>
            <w:tcW w:w="3106" w:type="dxa"/>
            <w:vAlign w:val="center"/>
          </w:tcPr>
          <w:p w:rsidR="00D9690C" w:rsidRPr="00D9690C" w:rsidRDefault="00D9690C" w:rsidP="000F010A">
            <w:pPr>
              <w:ind w:right="42"/>
              <w:jc w:val="center"/>
              <w:rPr>
                <w:b/>
                <w:bCs/>
                <w:sz w:val="20"/>
                <w:szCs w:val="20"/>
                <w:lang w:val="en-US"/>
              </w:rPr>
            </w:pPr>
            <w:r w:rsidRPr="00D9690C">
              <w:rPr>
                <w:b/>
                <w:bCs/>
                <w:sz w:val="20"/>
                <w:szCs w:val="20"/>
                <w:lang w:val="en-US"/>
              </w:rPr>
              <w:t>Exports excluding gold ***</w:t>
            </w:r>
          </w:p>
        </w:tc>
        <w:tc>
          <w:tcPr>
            <w:tcW w:w="1163" w:type="dxa"/>
            <w:shd w:val="clear" w:color="auto" w:fill="auto"/>
            <w:vAlign w:val="center"/>
          </w:tcPr>
          <w:p w:rsidR="00D9690C" w:rsidRPr="00D9690C" w:rsidRDefault="00D9690C" w:rsidP="00194572">
            <w:pPr>
              <w:jc w:val="center"/>
              <w:rPr>
                <w:sz w:val="20"/>
                <w:szCs w:val="20"/>
                <w:lang w:val="en-US"/>
              </w:rPr>
            </w:pPr>
            <w:r w:rsidRPr="00D9690C">
              <w:rPr>
                <w:sz w:val="20"/>
                <w:szCs w:val="20"/>
                <w:lang w:val="en-US"/>
              </w:rPr>
              <w:t>-1.2</w:t>
            </w:r>
          </w:p>
        </w:tc>
        <w:tc>
          <w:tcPr>
            <w:tcW w:w="1123" w:type="dxa"/>
            <w:shd w:val="clear" w:color="auto" w:fill="auto"/>
            <w:vAlign w:val="center"/>
          </w:tcPr>
          <w:p w:rsidR="00D9690C" w:rsidRPr="00D9690C" w:rsidRDefault="00D9690C" w:rsidP="00194572">
            <w:pPr>
              <w:jc w:val="center"/>
              <w:rPr>
                <w:sz w:val="20"/>
                <w:szCs w:val="20"/>
                <w:lang w:val="en-US"/>
              </w:rPr>
            </w:pPr>
            <w:r w:rsidRPr="00D9690C">
              <w:rPr>
                <w:sz w:val="20"/>
                <w:szCs w:val="20"/>
                <w:lang w:val="en-US"/>
              </w:rPr>
              <w:t>5.7</w:t>
            </w:r>
          </w:p>
        </w:tc>
        <w:tc>
          <w:tcPr>
            <w:tcW w:w="1140" w:type="dxa"/>
            <w:shd w:val="clear" w:color="auto" w:fill="auto"/>
            <w:vAlign w:val="center"/>
          </w:tcPr>
          <w:p w:rsidR="00D9690C" w:rsidRPr="00D9690C" w:rsidRDefault="00D9690C" w:rsidP="00194572">
            <w:pPr>
              <w:jc w:val="center"/>
              <w:rPr>
                <w:sz w:val="20"/>
                <w:szCs w:val="20"/>
                <w:lang w:val="en-US"/>
              </w:rPr>
            </w:pPr>
            <w:r w:rsidRPr="00D9690C">
              <w:rPr>
                <w:sz w:val="20"/>
                <w:szCs w:val="20"/>
                <w:lang w:val="en-US"/>
              </w:rPr>
              <w:t>-0.2</w:t>
            </w:r>
          </w:p>
        </w:tc>
        <w:tc>
          <w:tcPr>
            <w:tcW w:w="1072" w:type="dxa"/>
            <w:tcBorders>
              <w:right w:val="double" w:sz="4" w:space="0" w:color="auto"/>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w:t>
            </w:r>
          </w:p>
        </w:tc>
        <w:tc>
          <w:tcPr>
            <w:tcW w:w="959" w:type="dxa"/>
            <w:tcBorders>
              <w:left w:val="double" w:sz="4" w:space="0" w:color="auto"/>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0.1</w:t>
            </w:r>
          </w:p>
        </w:tc>
        <w:tc>
          <w:tcPr>
            <w:tcW w:w="959" w:type="dxa"/>
            <w:shd w:val="clear" w:color="auto" w:fill="auto"/>
            <w:vAlign w:val="center"/>
          </w:tcPr>
          <w:p w:rsidR="00D9690C" w:rsidRPr="00D9690C" w:rsidRDefault="00D9690C" w:rsidP="00852050">
            <w:pPr>
              <w:jc w:val="center"/>
              <w:rPr>
                <w:sz w:val="20"/>
                <w:szCs w:val="20"/>
                <w:lang w:val="en-US"/>
              </w:rPr>
            </w:pPr>
            <w:r w:rsidRPr="00D9690C">
              <w:rPr>
                <w:sz w:val="20"/>
                <w:szCs w:val="20"/>
                <w:lang w:val="en-US"/>
              </w:rPr>
              <w:t>1.1</w:t>
            </w:r>
          </w:p>
        </w:tc>
      </w:tr>
      <w:tr w:rsidR="00D9690C" w:rsidRPr="00D9690C" w:rsidTr="00D9690C">
        <w:trPr>
          <w:trHeight w:val="370"/>
        </w:trPr>
        <w:tc>
          <w:tcPr>
            <w:tcW w:w="3106" w:type="dxa"/>
            <w:vAlign w:val="center"/>
          </w:tcPr>
          <w:p w:rsidR="00D9690C" w:rsidRPr="00D9690C" w:rsidRDefault="00D9690C" w:rsidP="000F010A">
            <w:pPr>
              <w:ind w:right="42"/>
              <w:jc w:val="center"/>
              <w:rPr>
                <w:b/>
                <w:bCs/>
                <w:sz w:val="20"/>
                <w:szCs w:val="20"/>
                <w:lang w:val="en-US"/>
              </w:rPr>
            </w:pPr>
            <w:r w:rsidRPr="00D9690C">
              <w:rPr>
                <w:b/>
                <w:bCs/>
                <w:sz w:val="20"/>
                <w:szCs w:val="20"/>
                <w:lang w:val="en-US"/>
              </w:rPr>
              <w:t>Imports excluding gold ***</w:t>
            </w:r>
          </w:p>
        </w:tc>
        <w:tc>
          <w:tcPr>
            <w:tcW w:w="1163" w:type="dxa"/>
            <w:shd w:val="clear" w:color="auto" w:fill="auto"/>
            <w:vAlign w:val="center"/>
          </w:tcPr>
          <w:p w:rsidR="00D9690C" w:rsidRPr="00D9690C" w:rsidRDefault="00D9690C" w:rsidP="00194572">
            <w:pPr>
              <w:jc w:val="center"/>
              <w:rPr>
                <w:sz w:val="20"/>
                <w:szCs w:val="20"/>
                <w:lang w:val="en-US"/>
              </w:rPr>
            </w:pPr>
            <w:r w:rsidRPr="00D9690C">
              <w:rPr>
                <w:sz w:val="20"/>
                <w:szCs w:val="20"/>
                <w:lang w:val="en-US"/>
              </w:rPr>
              <w:t>-1.6</w:t>
            </w:r>
          </w:p>
        </w:tc>
        <w:tc>
          <w:tcPr>
            <w:tcW w:w="1123" w:type="dxa"/>
            <w:shd w:val="clear" w:color="auto" w:fill="auto"/>
            <w:vAlign w:val="center"/>
          </w:tcPr>
          <w:p w:rsidR="00D9690C" w:rsidRPr="00D9690C" w:rsidRDefault="00D9690C" w:rsidP="00194572">
            <w:pPr>
              <w:jc w:val="center"/>
              <w:rPr>
                <w:sz w:val="20"/>
                <w:szCs w:val="20"/>
                <w:lang w:val="en-US"/>
              </w:rPr>
            </w:pPr>
            <w:r w:rsidRPr="00D9690C">
              <w:rPr>
                <w:sz w:val="20"/>
                <w:szCs w:val="20"/>
                <w:lang w:val="en-US"/>
              </w:rPr>
              <w:t>8.3</w:t>
            </w:r>
          </w:p>
        </w:tc>
        <w:tc>
          <w:tcPr>
            <w:tcW w:w="1140" w:type="dxa"/>
            <w:shd w:val="clear" w:color="auto" w:fill="auto"/>
            <w:vAlign w:val="center"/>
          </w:tcPr>
          <w:p w:rsidR="00D9690C" w:rsidRPr="00D9690C" w:rsidRDefault="00D9690C" w:rsidP="00194572">
            <w:pPr>
              <w:jc w:val="center"/>
              <w:rPr>
                <w:sz w:val="20"/>
                <w:szCs w:val="20"/>
                <w:lang w:val="en-US"/>
              </w:rPr>
            </w:pPr>
            <w:r w:rsidRPr="00D9690C">
              <w:rPr>
                <w:sz w:val="20"/>
                <w:szCs w:val="20"/>
                <w:lang w:val="en-US"/>
              </w:rPr>
              <w:t>4.5</w:t>
            </w:r>
          </w:p>
        </w:tc>
        <w:tc>
          <w:tcPr>
            <w:tcW w:w="1072" w:type="dxa"/>
            <w:tcBorders>
              <w:right w:val="double" w:sz="4" w:space="0" w:color="auto"/>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w:t>
            </w:r>
          </w:p>
        </w:tc>
        <w:tc>
          <w:tcPr>
            <w:tcW w:w="959" w:type="dxa"/>
            <w:tcBorders>
              <w:left w:val="double" w:sz="4" w:space="0" w:color="auto"/>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2.7</w:t>
            </w:r>
          </w:p>
        </w:tc>
        <w:tc>
          <w:tcPr>
            <w:tcW w:w="959" w:type="dxa"/>
            <w:shd w:val="clear" w:color="auto" w:fill="auto"/>
            <w:vAlign w:val="center"/>
          </w:tcPr>
          <w:p w:rsidR="00D9690C" w:rsidRPr="00D9690C" w:rsidRDefault="00D9690C" w:rsidP="00194572">
            <w:pPr>
              <w:jc w:val="center"/>
              <w:rPr>
                <w:sz w:val="20"/>
                <w:szCs w:val="20"/>
                <w:lang w:val="en-US"/>
              </w:rPr>
            </w:pPr>
            <w:r w:rsidRPr="00D9690C">
              <w:rPr>
                <w:sz w:val="20"/>
                <w:szCs w:val="20"/>
                <w:lang w:val="en-US"/>
              </w:rPr>
              <w:t>6.1</w:t>
            </w:r>
          </w:p>
        </w:tc>
      </w:tr>
      <w:tr w:rsidR="00D9690C" w:rsidRPr="00D9690C" w:rsidTr="00D9690C">
        <w:trPr>
          <w:trHeight w:val="370"/>
        </w:trPr>
        <w:tc>
          <w:tcPr>
            <w:tcW w:w="3106" w:type="dxa"/>
            <w:tcBorders>
              <w:bottom w:val="nil"/>
            </w:tcBorders>
            <w:vAlign w:val="center"/>
          </w:tcPr>
          <w:p w:rsidR="00D9690C" w:rsidRPr="00D9690C" w:rsidRDefault="00D9690C" w:rsidP="000F010A">
            <w:pPr>
              <w:ind w:right="42"/>
              <w:jc w:val="center"/>
              <w:rPr>
                <w:b/>
                <w:bCs/>
                <w:sz w:val="20"/>
                <w:szCs w:val="20"/>
                <w:lang w:val="en-US"/>
              </w:rPr>
            </w:pPr>
            <w:r w:rsidRPr="00D9690C">
              <w:rPr>
                <w:b/>
                <w:bCs/>
                <w:sz w:val="20"/>
                <w:szCs w:val="20"/>
                <w:lang w:val="en-US"/>
              </w:rPr>
              <w:t>Industrial Production Index (IPI) *</w:t>
            </w:r>
          </w:p>
        </w:tc>
        <w:tc>
          <w:tcPr>
            <w:tcW w:w="1163" w:type="dxa"/>
            <w:tcBorders>
              <w:bottom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1.0</w:t>
            </w:r>
          </w:p>
        </w:tc>
        <w:tc>
          <w:tcPr>
            <w:tcW w:w="1123" w:type="dxa"/>
            <w:tcBorders>
              <w:bottom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0.5</w:t>
            </w:r>
          </w:p>
        </w:tc>
        <w:tc>
          <w:tcPr>
            <w:tcW w:w="1140" w:type="dxa"/>
            <w:tcBorders>
              <w:bottom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-0.5</w:t>
            </w:r>
          </w:p>
        </w:tc>
        <w:tc>
          <w:tcPr>
            <w:tcW w:w="1072" w:type="dxa"/>
            <w:tcBorders>
              <w:bottom w:val="nil"/>
              <w:right w:val="double" w:sz="4" w:space="0" w:color="auto"/>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w:t>
            </w:r>
          </w:p>
        </w:tc>
        <w:tc>
          <w:tcPr>
            <w:tcW w:w="959" w:type="dxa"/>
            <w:tcBorders>
              <w:left w:val="double" w:sz="4" w:space="0" w:color="auto"/>
              <w:bottom w:val="nil"/>
            </w:tcBorders>
            <w:shd w:val="clear" w:color="auto" w:fill="auto"/>
            <w:vAlign w:val="center"/>
          </w:tcPr>
          <w:p w:rsidR="00D9690C" w:rsidRPr="00D9690C" w:rsidRDefault="00D9690C" w:rsidP="00A13EC9">
            <w:pPr>
              <w:jc w:val="center"/>
              <w:rPr>
                <w:sz w:val="20"/>
                <w:szCs w:val="20"/>
                <w:lang w:val="en-US"/>
              </w:rPr>
            </w:pPr>
            <w:r w:rsidRPr="00D9690C">
              <w:rPr>
                <w:sz w:val="20"/>
                <w:szCs w:val="20"/>
                <w:lang w:val="en-US"/>
              </w:rPr>
              <w:t>0.9</w:t>
            </w:r>
          </w:p>
        </w:tc>
        <w:tc>
          <w:tcPr>
            <w:tcW w:w="959" w:type="dxa"/>
            <w:tcBorders>
              <w:bottom w:val="nil"/>
            </w:tcBorders>
            <w:shd w:val="clear" w:color="auto" w:fill="auto"/>
            <w:vAlign w:val="center"/>
          </w:tcPr>
          <w:p w:rsidR="00D9690C" w:rsidRPr="00D9690C" w:rsidRDefault="00D9690C" w:rsidP="00020744">
            <w:pPr>
              <w:jc w:val="center"/>
              <w:rPr>
                <w:sz w:val="20"/>
                <w:szCs w:val="20"/>
                <w:lang w:val="en-US"/>
              </w:rPr>
            </w:pPr>
            <w:r w:rsidRPr="00D9690C">
              <w:rPr>
                <w:sz w:val="20"/>
                <w:szCs w:val="20"/>
                <w:lang w:val="en-US"/>
              </w:rPr>
              <w:t>1.5</w:t>
            </w:r>
          </w:p>
        </w:tc>
      </w:tr>
      <w:tr w:rsidR="00D9690C" w:rsidRPr="00D9690C" w:rsidTr="00D9690C">
        <w:trPr>
          <w:trHeight w:val="370"/>
        </w:trPr>
        <w:tc>
          <w:tcPr>
            <w:tcW w:w="3106" w:type="dxa"/>
            <w:tcBorders>
              <w:top w:val="nil"/>
              <w:bottom w:val="nil"/>
            </w:tcBorders>
            <w:vAlign w:val="center"/>
          </w:tcPr>
          <w:p w:rsidR="00D9690C" w:rsidRPr="00D9690C" w:rsidRDefault="00D9690C" w:rsidP="000F010A">
            <w:pPr>
              <w:ind w:right="42"/>
              <w:jc w:val="center"/>
              <w:rPr>
                <w:sz w:val="20"/>
                <w:szCs w:val="20"/>
                <w:lang w:val="en-US"/>
              </w:rPr>
            </w:pPr>
            <w:r w:rsidRPr="00D9690C">
              <w:rPr>
                <w:sz w:val="20"/>
                <w:szCs w:val="20"/>
                <w:lang w:val="en-US"/>
              </w:rPr>
              <w:t>Nondurable consumer goods*</w:t>
            </w:r>
          </w:p>
        </w:tc>
        <w:tc>
          <w:tcPr>
            <w:tcW w:w="1163" w:type="dxa"/>
            <w:tcBorders>
              <w:top w:val="nil"/>
              <w:bottom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4.7</w:t>
            </w:r>
          </w:p>
        </w:tc>
        <w:tc>
          <w:tcPr>
            <w:tcW w:w="1123" w:type="dxa"/>
            <w:tcBorders>
              <w:top w:val="nil"/>
              <w:bottom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1.2</w:t>
            </w:r>
          </w:p>
        </w:tc>
        <w:tc>
          <w:tcPr>
            <w:tcW w:w="1140" w:type="dxa"/>
            <w:tcBorders>
              <w:top w:val="nil"/>
              <w:bottom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-2.0</w:t>
            </w:r>
          </w:p>
        </w:tc>
        <w:tc>
          <w:tcPr>
            <w:tcW w:w="1072" w:type="dxa"/>
            <w:tcBorders>
              <w:top w:val="nil"/>
              <w:bottom w:val="nil"/>
              <w:right w:val="double" w:sz="4" w:space="0" w:color="auto"/>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w:t>
            </w:r>
          </w:p>
        </w:tc>
        <w:tc>
          <w:tcPr>
            <w:tcW w:w="959" w:type="dxa"/>
            <w:tcBorders>
              <w:top w:val="nil"/>
              <w:left w:val="double" w:sz="4" w:space="0" w:color="auto"/>
              <w:bottom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-0.4</w:t>
            </w:r>
          </w:p>
        </w:tc>
        <w:tc>
          <w:tcPr>
            <w:tcW w:w="959" w:type="dxa"/>
            <w:tcBorders>
              <w:top w:val="nil"/>
              <w:bottom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5.1</w:t>
            </w:r>
          </w:p>
        </w:tc>
      </w:tr>
      <w:tr w:rsidR="00D9690C" w:rsidRPr="00D9690C" w:rsidTr="00D9690C">
        <w:trPr>
          <w:trHeight w:val="370"/>
        </w:trPr>
        <w:tc>
          <w:tcPr>
            <w:tcW w:w="3106" w:type="dxa"/>
            <w:tcBorders>
              <w:top w:val="nil"/>
              <w:bottom w:val="nil"/>
            </w:tcBorders>
            <w:vAlign w:val="center"/>
          </w:tcPr>
          <w:p w:rsidR="00D9690C" w:rsidRPr="00D9690C" w:rsidRDefault="00D9690C" w:rsidP="000F010A">
            <w:pPr>
              <w:ind w:right="42"/>
              <w:jc w:val="center"/>
              <w:rPr>
                <w:b/>
                <w:bCs/>
                <w:sz w:val="20"/>
                <w:szCs w:val="20"/>
                <w:lang w:val="en-US"/>
              </w:rPr>
            </w:pPr>
            <w:r w:rsidRPr="00D9690C">
              <w:rPr>
                <w:sz w:val="20"/>
                <w:szCs w:val="20"/>
                <w:lang w:val="en-US"/>
              </w:rPr>
              <w:t>Durable consumer goods *</w:t>
            </w:r>
          </w:p>
        </w:tc>
        <w:tc>
          <w:tcPr>
            <w:tcW w:w="1163" w:type="dxa"/>
            <w:tcBorders>
              <w:top w:val="nil"/>
              <w:bottom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-3.3</w:t>
            </w:r>
          </w:p>
        </w:tc>
        <w:tc>
          <w:tcPr>
            <w:tcW w:w="1123" w:type="dxa"/>
            <w:tcBorders>
              <w:top w:val="nil"/>
              <w:bottom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2.0</w:t>
            </w:r>
          </w:p>
        </w:tc>
        <w:tc>
          <w:tcPr>
            <w:tcW w:w="1140" w:type="dxa"/>
            <w:tcBorders>
              <w:top w:val="nil"/>
              <w:bottom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0.0</w:t>
            </w:r>
          </w:p>
        </w:tc>
        <w:tc>
          <w:tcPr>
            <w:tcW w:w="1072" w:type="dxa"/>
            <w:tcBorders>
              <w:top w:val="nil"/>
              <w:bottom w:val="nil"/>
              <w:right w:val="double" w:sz="4" w:space="0" w:color="auto"/>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w:t>
            </w:r>
          </w:p>
        </w:tc>
        <w:tc>
          <w:tcPr>
            <w:tcW w:w="959" w:type="dxa"/>
            <w:tcBorders>
              <w:top w:val="nil"/>
              <w:left w:val="double" w:sz="4" w:space="0" w:color="auto"/>
              <w:bottom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0.6</w:t>
            </w:r>
          </w:p>
        </w:tc>
        <w:tc>
          <w:tcPr>
            <w:tcW w:w="959" w:type="dxa"/>
            <w:tcBorders>
              <w:top w:val="nil"/>
              <w:bottom w:val="nil"/>
            </w:tcBorders>
            <w:shd w:val="clear" w:color="auto" w:fill="auto"/>
            <w:vAlign w:val="center"/>
          </w:tcPr>
          <w:p w:rsidR="00D9690C" w:rsidRPr="00D9690C" w:rsidRDefault="00D9690C" w:rsidP="00020744">
            <w:pPr>
              <w:jc w:val="center"/>
              <w:rPr>
                <w:sz w:val="20"/>
                <w:szCs w:val="20"/>
                <w:lang w:val="en-US"/>
              </w:rPr>
            </w:pPr>
            <w:r w:rsidRPr="00D9690C">
              <w:rPr>
                <w:sz w:val="20"/>
                <w:szCs w:val="20"/>
                <w:lang w:val="en-US"/>
              </w:rPr>
              <w:t>-0.9</w:t>
            </w:r>
          </w:p>
        </w:tc>
      </w:tr>
      <w:tr w:rsidR="00D9690C" w:rsidRPr="00D9690C" w:rsidTr="00D9690C">
        <w:trPr>
          <w:trHeight w:val="370"/>
        </w:trPr>
        <w:tc>
          <w:tcPr>
            <w:tcW w:w="3106" w:type="dxa"/>
            <w:tcBorders>
              <w:top w:val="nil"/>
              <w:bottom w:val="nil"/>
            </w:tcBorders>
            <w:vAlign w:val="center"/>
          </w:tcPr>
          <w:p w:rsidR="00D9690C" w:rsidRPr="00D9690C" w:rsidRDefault="00D9690C" w:rsidP="000F010A">
            <w:pPr>
              <w:ind w:right="42"/>
              <w:jc w:val="center"/>
              <w:rPr>
                <w:sz w:val="20"/>
                <w:szCs w:val="20"/>
                <w:lang w:val="en-US"/>
              </w:rPr>
            </w:pPr>
            <w:r w:rsidRPr="00D9690C">
              <w:rPr>
                <w:sz w:val="20"/>
                <w:szCs w:val="20"/>
                <w:lang w:val="en-US"/>
              </w:rPr>
              <w:t>Intermediate goods *</w:t>
            </w:r>
          </w:p>
        </w:tc>
        <w:tc>
          <w:tcPr>
            <w:tcW w:w="1163" w:type="dxa"/>
            <w:tcBorders>
              <w:top w:val="nil"/>
              <w:bottom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1.1</w:t>
            </w:r>
          </w:p>
        </w:tc>
        <w:tc>
          <w:tcPr>
            <w:tcW w:w="1123" w:type="dxa"/>
            <w:tcBorders>
              <w:top w:val="nil"/>
              <w:bottom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0.6</w:t>
            </w:r>
          </w:p>
        </w:tc>
        <w:tc>
          <w:tcPr>
            <w:tcW w:w="1140" w:type="dxa"/>
            <w:tcBorders>
              <w:top w:val="nil"/>
              <w:bottom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-0.5</w:t>
            </w:r>
          </w:p>
        </w:tc>
        <w:tc>
          <w:tcPr>
            <w:tcW w:w="1072" w:type="dxa"/>
            <w:tcBorders>
              <w:top w:val="nil"/>
              <w:bottom w:val="nil"/>
              <w:right w:val="double" w:sz="4" w:space="0" w:color="auto"/>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w:t>
            </w:r>
          </w:p>
        </w:tc>
        <w:tc>
          <w:tcPr>
            <w:tcW w:w="959" w:type="dxa"/>
            <w:tcBorders>
              <w:top w:val="nil"/>
              <w:left w:val="double" w:sz="4" w:space="0" w:color="auto"/>
              <w:bottom w:val="nil"/>
            </w:tcBorders>
            <w:shd w:val="clear" w:color="auto" w:fill="auto"/>
            <w:vAlign w:val="center"/>
          </w:tcPr>
          <w:p w:rsidR="00D9690C" w:rsidRPr="00D9690C" w:rsidRDefault="00D9690C" w:rsidP="00DE5B40">
            <w:pPr>
              <w:jc w:val="center"/>
              <w:rPr>
                <w:sz w:val="20"/>
                <w:szCs w:val="20"/>
                <w:lang w:val="en-US"/>
              </w:rPr>
            </w:pPr>
            <w:r w:rsidRPr="00D9690C">
              <w:rPr>
                <w:sz w:val="20"/>
                <w:szCs w:val="20"/>
                <w:lang w:val="en-US"/>
              </w:rPr>
              <w:t>1.5</w:t>
            </w:r>
          </w:p>
        </w:tc>
        <w:tc>
          <w:tcPr>
            <w:tcW w:w="959" w:type="dxa"/>
            <w:tcBorders>
              <w:top w:val="nil"/>
              <w:bottom w:val="nil"/>
            </w:tcBorders>
            <w:shd w:val="clear" w:color="auto" w:fill="auto"/>
            <w:vAlign w:val="center"/>
          </w:tcPr>
          <w:p w:rsidR="00D9690C" w:rsidRPr="00D9690C" w:rsidRDefault="00D9690C" w:rsidP="00DE5B40">
            <w:pPr>
              <w:jc w:val="center"/>
              <w:rPr>
                <w:sz w:val="20"/>
                <w:szCs w:val="20"/>
                <w:lang w:val="en-US"/>
              </w:rPr>
            </w:pPr>
            <w:r w:rsidRPr="00D9690C">
              <w:rPr>
                <w:sz w:val="20"/>
                <w:szCs w:val="20"/>
                <w:lang w:val="en-US"/>
              </w:rPr>
              <w:t>0.9</w:t>
            </w:r>
          </w:p>
        </w:tc>
      </w:tr>
      <w:tr w:rsidR="00D9690C" w:rsidRPr="00D9690C" w:rsidTr="00D9690C">
        <w:trPr>
          <w:trHeight w:val="370"/>
        </w:trPr>
        <w:tc>
          <w:tcPr>
            <w:tcW w:w="3106" w:type="dxa"/>
            <w:tcBorders>
              <w:top w:val="nil"/>
            </w:tcBorders>
            <w:vAlign w:val="center"/>
          </w:tcPr>
          <w:p w:rsidR="00D9690C" w:rsidRPr="00D9690C" w:rsidRDefault="00D9690C" w:rsidP="000F010A">
            <w:pPr>
              <w:ind w:right="42"/>
              <w:jc w:val="center"/>
              <w:rPr>
                <w:sz w:val="20"/>
                <w:szCs w:val="20"/>
                <w:lang w:val="en-US"/>
              </w:rPr>
            </w:pPr>
            <w:r w:rsidRPr="00D9690C">
              <w:rPr>
                <w:sz w:val="20"/>
                <w:szCs w:val="20"/>
                <w:lang w:val="en-US"/>
              </w:rPr>
              <w:t>Investment goods *</w:t>
            </w:r>
          </w:p>
        </w:tc>
        <w:tc>
          <w:tcPr>
            <w:tcW w:w="1163" w:type="dxa"/>
            <w:tcBorders>
              <w:top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-1.3</w:t>
            </w:r>
          </w:p>
        </w:tc>
        <w:tc>
          <w:tcPr>
            <w:tcW w:w="1123" w:type="dxa"/>
            <w:tcBorders>
              <w:top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0.3</w:t>
            </w:r>
          </w:p>
        </w:tc>
        <w:tc>
          <w:tcPr>
            <w:tcW w:w="1140" w:type="dxa"/>
            <w:tcBorders>
              <w:top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2.8</w:t>
            </w:r>
          </w:p>
        </w:tc>
        <w:tc>
          <w:tcPr>
            <w:tcW w:w="1072" w:type="dxa"/>
            <w:tcBorders>
              <w:top w:val="nil"/>
              <w:right w:val="double" w:sz="4" w:space="0" w:color="auto"/>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w:t>
            </w:r>
          </w:p>
        </w:tc>
        <w:tc>
          <w:tcPr>
            <w:tcW w:w="959" w:type="dxa"/>
            <w:tcBorders>
              <w:top w:val="nil"/>
              <w:left w:val="double" w:sz="4" w:space="0" w:color="auto"/>
            </w:tcBorders>
            <w:shd w:val="clear" w:color="auto" w:fill="auto"/>
            <w:vAlign w:val="center"/>
          </w:tcPr>
          <w:p w:rsidR="00D9690C" w:rsidRPr="00D9690C" w:rsidRDefault="00D9690C" w:rsidP="004E45AF">
            <w:pPr>
              <w:jc w:val="center"/>
              <w:rPr>
                <w:sz w:val="20"/>
                <w:szCs w:val="20"/>
                <w:lang w:val="en-US"/>
              </w:rPr>
            </w:pPr>
            <w:r w:rsidRPr="00D9690C">
              <w:rPr>
                <w:sz w:val="20"/>
                <w:szCs w:val="20"/>
                <w:lang w:val="en-US"/>
              </w:rPr>
              <w:t>1.2</w:t>
            </w:r>
          </w:p>
        </w:tc>
        <w:tc>
          <w:tcPr>
            <w:tcW w:w="959" w:type="dxa"/>
            <w:tcBorders>
              <w:top w:val="nil"/>
            </w:tcBorders>
            <w:shd w:val="clear" w:color="auto" w:fill="auto"/>
            <w:vAlign w:val="center"/>
          </w:tcPr>
          <w:p w:rsidR="00D9690C" w:rsidRPr="00D9690C" w:rsidRDefault="00D9690C" w:rsidP="00020744">
            <w:pPr>
              <w:jc w:val="center"/>
              <w:rPr>
                <w:sz w:val="20"/>
                <w:szCs w:val="20"/>
                <w:lang w:val="en-US"/>
              </w:rPr>
            </w:pPr>
            <w:r w:rsidRPr="00D9690C">
              <w:rPr>
                <w:sz w:val="20"/>
                <w:szCs w:val="20"/>
                <w:lang w:val="en-US"/>
              </w:rPr>
              <w:t>-0.3</w:t>
            </w:r>
          </w:p>
        </w:tc>
      </w:tr>
      <w:tr w:rsidR="00D9690C" w:rsidRPr="00D9690C" w:rsidTr="00D9690C">
        <w:trPr>
          <w:trHeight w:val="370"/>
        </w:trPr>
        <w:tc>
          <w:tcPr>
            <w:tcW w:w="3106" w:type="dxa"/>
            <w:tcBorders>
              <w:bottom w:val="nil"/>
            </w:tcBorders>
            <w:vAlign w:val="center"/>
          </w:tcPr>
          <w:p w:rsidR="00D9690C" w:rsidRPr="00D9690C" w:rsidRDefault="00D9690C" w:rsidP="000F010A">
            <w:pPr>
              <w:ind w:right="42"/>
              <w:jc w:val="center"/>
              <w:rPr>
                <w:b/>
                <w:bCs/>
                <w:sz w:val="20"/>
                <w:szCs w:val="20"/>
                <w:lang w:val="en-US"/>
              </w:rPr>
            </w:pPr>
            <w:r w:rsidRPr="00D9690C">
              <w:rPr>
                <w:b/>
                <w:bCs/>
                <w:sz w:val="20"/>
                <w:szCs w:val="20"/>
                <w:lang w:val="en-US"/>
              </w:rPr>
              <w:t>Capacity Utilization Rate (CUR)*</w:t>
            </w:r>
            <w:r w:rsidRPr="00D9690C">
              <w:rPr>
                <w:b/>
                <w:bCs/>
                <w:sz w:val="20"/>
                <w:szCs w:val="20"/>
                <w:vertAlign w:val="superscript"/>
                <w:lang w:val="en-US"/>
              </w:rPr>
              <w:t>, ‡</w:t>
            </w:r>
          </w:p>
        </w:tc>
        <w:tc>
          <w:tcPr>
            <w:tcW w:w="1163" w:type="dxa"/>
            <w:tcBorders>
              <w:bottom w:val="nil"/>
            </w:tcBorders>
            <w:shd w:val="clear" w:color="auto" w:fill="auto"/>
            <w:vAlign w:val="center"/>
          </w:tcPr>
          <w:p w:rsidR="00D9690C" w:rsidRPr="00D9690C" w:rsidRDefault="00D9690C" w:rsidP="00FF3A33">
            <w:pPr>
              <w:jc w:val="center"/>
              <w:rPr>
                <w:sz w:val="20"/>
                <w:szCs w:val="20"/>
                <w:lang w:val="en-US"/>
              </w:rPr>
            </w:pPr>
            <w:r w:rsidRPr="00D9690C">
              <w:rPr>
                <w:sz w:val="20"/>
                <w:szCs w:val="20"/>
                <w:lang w:val="en-US"/>
              </w:rPr>
              <w:t>-0.2</w:t>
            </w:r>
          </w:p>
        </w:tc>
        <w:tc>
          <w:tcPr>
            <w:tcW w:w="1123" w:type="dxa"/>
            <w:tcBorders>
              <w:bottom w:val="nil"/>
            </w:tcBorders>
            <w:shd w:val="clear" w:color="auto" w:fill="auto"/>
            <w:vAlign w:val="center"/>
          </w:tcPr>
          <w:p w:rsidR="00D9690C" w:rsidRPr="00D9690C" w:rsidRDefault="00D9690C" w:rsidP="00FF3A33">
            <w:pPr>
              <w:jc w:val="center"/>
              <w:rPr>
                <w:sz w:val="20"/>
                <w:szCs w:val="20"/>
                <w:lang w:val="en-US"/>
              </w:rPr>
            </w:pPr>
            <w:r w:rsidRPr="00D9690C">
              <w:rPr>
                <w:sz w:val="20"/>
                <w:szCs w:val="20"/>
                <w:lang w:val="en-US"/>
              </w:rPr>
              <w:t>-1.1</w:t>
            </w:r>
          </w:p>
        </w:tc>
        <w:tc>
          <w:tcPr>
            <w:tcW w:w="1140" w:type="dxa"/>
            <w:tcBorders>
              <w:bottom w:val="nil"/>
            </w:tcBorders>
            <w:shd w:val="clear" w:color="auto" w:fill="auto"/>
            <w:vAlign w:val="center"/>
          </w:tcPr>
          <w:p w:rsidR="00D9690C" w:rsidRPr="00D9690C" w:rsidRDefault="00D9690C" w:rsidP="00FF3A33">
            <w:pPr>
              <w:jc w:val="center"/>
              <w:rPr>
                <w:sz w:val="20"/>
                <w:szCs w:val="20"/>
                <w:lang w:val="en-US"/>
              </w:rPr>
            </w:pPr>
            <w:r w:rsidRPr="00D9690C">
              <w:rPr>
                <w:sz w:val="20"/>
                <w:szCs w:val="20"/>
                <w:lang w:val="en-US"/>
              </w:rPr>
              <w:t>1.1</w:t>
            </w:r>
          </w:p>
        </w:tc>
        <w:tc>
          <w:tcPr>
            <w:tcW w:w="1072" w:type="dxa"/>
            <w:tcBorders>
              <w:bottom w:val="nil"/>
              <w:right w:val="double" w:sz="4" w:space="0" w:color="auto"/>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0.2</w:t>
            </w:r>
          </w:p>
        </w:tc>
        <w:tc>
          <w:tcPr>
            <w:tcW w:w="959" w:type="dxa"/>
            <w:tcBorders>
              <w:left w:val="double" w:sz="4" w:space="0" w:color="auto"/>
              <w:bottom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0.0</w:t>
            </w:r>
          </w:p>
        </w:tc>
        <w:tc>
          <w:tcPr>
            <w:tcW w:w="959" w:type="dxa"/>
            <w:tcBorders>
              <w:bottom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-0.2</w:t>
            </w:r>
          </w:p>
        </w:tc>
      </w:tr>
      <w:tr w:rsidR="00D9690C" w:rsidRPr="00D9690C" w:rsidTr="00D9690C">
        <w:trPr>
          <w:trHeight w:val="370"/>
        </w:trPr>
        <w:tc>
          <w:tcPr>
            <w:tcW w:w="3106" w:type="dxa"/>
            <w:tcBorders>
              <w:top w:val="nil"/>
              <w:bottom w:val="nil"/>
            </w:tcBorders>
            <w:vAlign w:val="center"/>
          </w:tcPr>
          <w:p w:rsidR="00D9690C" w:rsidRPr="00D9690C" w:rsidRDefault="00D9690C" w:rsidP="000F010A">
            <w:pPr>
              <w:ind w:right="42"/>
              <w:jc w:val="center"/>
              <w:rPr>
                <w:sz w:val="20"/>
                <w:szCs w:val="20"/>
                <w:lang w:val="en-US"/>
              </w:rPr>
            </w:pPr>
            <w:r w:rsidRPr="00D9690C">
              <w:rPr>
                <w:sz w:val="20"/>
                <w:szCs w:val="20"/>
                <w:lang w:val="en-US"/>
              </w:rPr>
              <w:t>Nondurable consumer goods</w:t>
            </w:r>
            <w:r w:rsidRPr="00D9690C">
              <w:rPr>
                <w:sz w:val="20"/>
                <w:szCs w:val="20"/>
                <w:vertAlign w:val="superscript"/>
                <w:lang w:val="en-US"/>
              </w:rPr>
              <w:t xml:space="preserve"> §,</w:t>
            </w:r>
            <w:r w:rsidRPr="00D9690C">
              <w:rPr>
                <w:b/>
                <w:bCs/>
                <w:sz w:val="20"/>
                <w:szCs w:val="20"/>
                <w:vertAlign w:val="superscript"/>
                <w:lang w:val="en-US"/>
              </w:rPr>
              <w:t>‡</w:t>
            </w:r>
          </w:p>
        </w:tc>
        <w:tc>
          <w:tcPr>
            <w:tcW w:w="1163" w:type="dxa"/>
            <w:tcBorders>
              <w:top w:val="nil"/>
              <w:bottom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0.7</w:t>
            </w:r>
          </w:p>
        </w:tc>
        <w:tc>
          <w:tcPr>
            <w:tcW w:w="1123" w:type="dxa"/>
            <w:tcBorders>
              <w:top w:val="nil"/>
              <w:bottom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-0.5</w:t>
            </w:r>
          </w:p>
        </w:tc>
        <w:tc>
          <w:tcPr>
            <w:tcW w:w="1140" w:type="dxa"/>
            <w:tcBorders>
              <w:top w:val="nil"/>
              <w:bottom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1.2</w:t>
            </w:r>
          </w:p>
        </w:tc>
        <w:tc>
          <w:tcPr>
            <w:tcW w:w="1072" w:type="dxa"/>
            <w:tcBorders>
              <w:top w:val="nil"/>
              <w:bottom w:val="nil"/>
              <w:right w:val="double" w:sz="4" w:space="0" w:color="auto"/>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-0.7</w:t>
            </w:r>
          </w:p>
        </w:tc>
        <w:tc>
          <w:tcPr>
            <w:tcW w:w="959" w:type="dxa"/>
            <w:tcBorders>
              <w:top w:val="nil"/>
              <w:left w:val="double" w:sz="4" w:space="0" w:color="auto"/>
              <w:bottom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-0.5</w:t>
            </w:r>
          </w:p>
        </w:tc>
        <w:tc>
          <w:tcPr>
            <w:tcW w:w="959" w:type="dxa"/>
            <w:tcBorders>
              <w:top w:val="nil"/>
              <w:bottom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0.9</w:t>
            </w:r>
          </w:p>
        </w:tc>
      </w:tr>
      <w:tr w:rsidR="00D9690C" w:rsidRPr="00D9690C" w:rsidTr="00D9690C">
        <w:trPr>
          <w:trHeight w:val="370"/>
        </w:trPr>
        <w:tc>
          <w:tcPr>
            <w:tcW w:w="3106" w:type="dxa"/>
            <w:tcBorders>
              <w:top w:val="nil"/>
              <w:bottom w:val="nil"/>
            </w:tcBorders>
            <w:vAlign w:val="center"/>
          </w:tcPr>
          <w:p w:rsidR="00D9690C" w:rsidRPr="00D9690C" w:rsidRDefault="00D9690C" w:rsidP="000F010A">
            <w:pPr>
              <w:ind w:right="42"/>
              <w:jc w:val="center"/>
              <w:rPr>
                <w:b/>
                <w:bCs/>
                <w:sz w:val="20"/>
                <w:szCs w:val="20"/>
                <w:lang w:val="en-US"/>
              </w:rPr>
            </w:pPr>
            <w:r w:rsidRPr="00D9690C">
              <w:rPr>
                <w:sz w:val="20"/>
                <w:szCs w:val="20"/>
                <w:lang w:val="en-US"/>
              </w:rPr>
              <w:t>Durable consumer goods</w:t>
            </w:r>
            <w:r w:rsidRPr="00D9690C">
              <w:rPr>
                <w:sz w:val="20"/>
                <w:szCs w:val="20"/>
                <w:vertAlign w:val="superscript"/>
                <w:lang w:val="en-US"/>
              </w:rPr>
              <w:t xml:space="preserve"> §,</w:t>
            </w:r>
            <w:r w:rsidRPr="00D9690C">
              <w:rPr>
                <w:b/>
                <w:bCs/>
                <w:sz w:val="20"/>
                <w:szCs w:val="20"/>
                <w:vertAlign w:val="superscript"/>
                <w:lang w:val="en-US"/>
              </w:rPr>
              <w:t>‡</w:t>
            </w:r>
          </w:p>
        </w:tc>
        <w:tc>
          <w:tcPr>
            <w:tcW w:w="1163" w:type="dxa"/>
            <w:tcBorders>
              <w:top w:val="nil"/>
              <w:bottom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-1.3</w:t>
            </w:r>
          </w:p>
        </w:tc>
        <w:tc>
          <w:tcPr>
            <w:tcW w:w="1123" w:type="dxa"/>
            <w:tcBorders>
              <w:top w:val="nil"/>
              <w:bottom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-1.5</w:t>
            </w:r>
          </w:p>
        </w:tc>
        <w:tc>
          <w:tcPr>
            <w:tcW w:w="1140" w:type="dxa"/>
            <w:tcBorders>
              <w:top w:val="nil"/>
              <w:bottom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0.2</w:t>
            </w:r>
          </w:p>
        </w:tc>
        <w:tc>
          <w:tcPr>
            <w:tcW w:w="1072" w:type="dxa"/>
            <w:tcBorders>
              <w:top w:val="nil"/>
              <w:bottom w:val="nil"/>
              <w:right w:val="double" w:sz="4" w:space="0" w:color="auto"/>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-1.0</w:t>
            </w:r>
          </w:p>
        </w:tc>
        <w:tc>
          <w:tcPr>
            <w:tcW w:w="959" w:type="dxa"/>
            <w:tcBorders>
              <w:top w:val="nil"/>
              <w:left w:val="double" w:sz="4" w:space="0" w:color="auto"/>
              <w:bottom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1.1</w:t>
            </w:r>
          </w:p>
        </w:tc>
        <w:tc>
          <w:tcPr>
            <w:tcW w:w="959" w:type="dxa"/>
            <w:tcBorders>
              <w:top w:val="nil"/>
              <w:bottom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-1.9</w:t>
            </w:r>
          </w:p>
        </w:tc>
      </w:tr>
      <w:tr w:rsidR="00D9690C" w:rsidRPr="00D9690C" w:rsidTr="00D9690C">
        <w:trPr>
          <w:trHeight w:val="370"/>
        </w:trPr>
        <w:tc>
          <w:tcPr>
            <w:tcW w:w="3106" w:type="dxa"/>
            <w:tcBorders>
              <w:top w:val="nil"/>
              <w:bottom w:val="nil"/>
            </w:tcBorders>
            <w:vAlign w:val="center"/>
          </w:tcPr>
          <w:p w:rsidR="00D9690C" w:rsidRPr="00D9690C" w:rsidRDefault="00D9690C" w:rsidP="000F010A">
            <w:pPr>
              <w:ind w:right="42"/>
              <w:jc w:val="center"/>
              <w:rPr>
                <w:sz w:val="20"/>
                <w:szCs w:val="20"/>
                <w:lang w:val="en-US"/>
              </w:rPr>
            </w:pPr>
            <w:r w:rsidRPr="00D9690C">
              <w:rPr>
                <w:sz w:val="20"/>
                <w:szCs w:val="20"/>
                <w:lang w:val="en-US"/>
              </w:rPr>
              <w:t>Intermediate goods</w:t>
            </w:r>
            <w:r w:rsidRPr="00D9690C">
              <w:rPr>
                <w:sz w:val="20"/>
                <w:szCs w:val="20"/>
                <w:vertAlign w:val="superscript"/>
                <w:lang w:val="en-US"/>
              </w:rPr>
              <w:t xml:space="preserve"> §,</w:t>
            </w:r>
            <w:r w:rsidRPr="00D9690C">
              <w:rPr>
                <w:b/>
                <w:bCs/>
                <w:sz w:val="20"/>
                <w:szCs w:val="20"/>
                <w:vertAlign w:val="superscript"/>
                <w:lang w:val="en-US"/>
              </w:rPr>
              <w:t>‡</w:t>
            </w:r>
          </w:p>
        </w:tc>
        <w:tc>
          <w:tcPr>
            <w:tcW w:w="1163" w:type="dxa"/>
            <w:tcBorders>
              <w:top w:val="nil"/>
              <w:bottom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-0.1</w:t>
            </w:r>
          </w:p>
        </w:tc>
        <w:tc>
          <w:tcPr>
            <w:tcW w:w="1123" w:type="dxa"/>
            <w:tcBorders>
              <w:top w:val="nil"/>
              <w:bottom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-0.3</w:t>
            </w:r>
          </w:p>
        </w:tc>
        <w:tc>
          <w:tcPr>
            <w:tcW w:w="1140" w:type="dxa"/>
            <w:tcBorders>
              <w:top w:val="nil"/>
              <w:bottom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0.4</w:t>
            </w:r>
          </w:p>
        </w:tc>
        <w:tc>
          <w:tcPr>
            <w:tcW w:w="1072" w:type="dxa"/>
            <w:tcBorders>
              <w:top w:val="nil"/>
              <w:bottom w:val="nil"/>
              <w:right w:val="double" w:sz="4" w:space="0" w:color="auto"/>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-0.1</w:t>
            </w:r>
          </w:p>
        </w:tc>
        <w:tc>
          <w:tcPr>
            <w:tcW w:w="959" w:type="dxa"/>
            <w:tcBorders>
              <w:top w:val="nil"/>
              <w:left w:val="double" w:sz="4" w:space="0" w:color="auto"/>
              <w:bottom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0.5</w:t>
            </w:r>
          </w:p>
        </w:tc>
        <w:tc>
          <w:tcPr>
            <w:tcW w:w="959" w:type="dxa"/>
            <w:tcBorders>
              <w:top w:val="nil"/>
              <w:bottom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0.3</w:t>
            </w:r>
          </w:p>
        </w:tc>
      </w:tr>
      <w:tr w:rsidR="00D9690C" w:rsidRPr="00D9690C" w:rsidTr="00D9690C">
        <w:trPr>
          <w:trHeight w:val="370"/>
        </w:trPr>
        <w:tc>
          <w:tcPr>
            <w:tcW w:w="3106" w:type="dxa"/>
            <w:tcBorders>
              <w:top w:val="nil"/>
            </w:tcBorders>
            <w:vAlign w:val="center"/>
          </w:tcPr>
          <w:p w:rsidR="00D9690C" w:rsidRPr="00D9690C" w:rsidRDefault="00D9690C" w:rsidP="000F010A">
            <w:pPr>
              <w:ind w:right="42"/>
              <w:jc w:val="center"/>
              <w:rPr>
                <w:sz w:val="20"/>
                <w:szCs w:val="20"/>
                <w:lang w:val="en-US"/>
              </w:rPr>
            </w:pPr>
            <w:r w:rsidRPr="00D9690C">
              <w:rPr>
                <w:sz w:val="20"/>
                <w:szCs w:val="20"/>
                <w:lang w:val="en-US"/>
              </w:rPr>
              <w:t>Investment goods</w:t>
            </w:r>
            <w:r w:rsidRPr="00D9690C">
              <w:rPr>
                <w:sz w:val="20"/>
                <w:szCs w:val="20"/>
                <w:vertAlign w:val="superscript"/>
                <w:lang w:val="en-US"/>
              </w:rPr>
              <w:t xml:space="preserve"> §,</w:t>
            </w:r>
            <w:r w:rsidRPr="00D9690C">
              <w:rPr>
                <w:b/>
                <w:bCs/>
                <w:sz w:val="20"/>
                <w:szCs w:val="20"/>
                <w:vertAlign w:val="superscript"/>
                <w:lang w:val="en-US"/>
              </w:rPr>
              <w:t>‡</w:t>
            </w:r>
          </w:p>
        </w:tc>
        <w:tc>
          <w:tcPr>
            <w:tcW w:w="1163" w:type="dxa"/>
            <w:tcBorders>
              <w:top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0.2</w:t>
            </w:r>
          </w:p>
        </w:tc>
        <w:tc>
          <w:tcPr>
            <w:tcW w:w="1123" w:type="dxa"/>
            <w:tcBorders>
              <w:top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-0.1</w:t>
            </w:r>
          </w:p>
        </w:tc>
        <w:tc>
          <w:tcPr>
            <w:tcW w:w="1140" w:type="dxa"/>
            <w:tcBorders>
              <w:top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-0.1</w:t>
            </w:r>
          </w:p>
        </w:tc>
        <w:tc>
          <w:tcPr>
            <w:tcW w:w="1072" w:type="dxa"/>
            <w:tcBorders>
              <w:top w:val="nil"/>
              <w:right w:val="double" w:sz="4" w:space="0" w:color="auto"/>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0.2</w:t>
            </w:r>
          </w:p>
        </w:tc>
        <w:tc>
          <w:tcPr>
            <w:tcW w:w="959" w:type="dxa"/>
            <w:tcBorders>
              <w:top w:val="nil"/>
              <w:left w:val="double" w:sz="4" w:space="0" w:color="auto"/>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0.8</w:t>
            </w:r>
          </w:p>
        </w:tc>
        <w:tc>
          <w:tcPr>
            <w:tcW w:w="959" w:type="dxa"/>
            <w:tcBorders>
              <w:top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0.5</w:t>
            </w:r>
          </w:p>
        </w:tc>
      </w:tr>
      <w:tr w:rsidR="00D9690C" w:rsidRPr="00D9690C" w:rsidTr="00D9690C">
        <w:trPr>
          <w:trHeight w:val="370"/>
        </w:trPr>
        <w:tc>
          <w:tcPr>
            <w:tcW w:w="3106" w:type="dxa"/>
            <w:tcBorders>
              <w:bottom w:val="nil"/>
            </w:tcBorders>
            <w:vAlign w:val="center"/>
          </w:tcPr>
          <w:p w:rsidR="00D9690C" w:rsidRPr="00D9690C" w:rsidRDefault="00D9690C" w:rsidP="000F010A">
            <w:pPr>
              <w:ind w:right="42"/>
              <w:jc w:val="center"/>
              <w:rPr>
                <w:b/>
                <w:bCs/>
                <w:sz w:val="20"/>
                <w:szCs w:val="20"/>
                <w:lang w:val="en-US"/>
              </w:rPr>
            </w:pPr>
            <w:r w:rsidRPr="00D9690C">
              <w:rPr>
                <w:b/>
                <w:sz w:val="22"/>
                <w:szCs w:val="22"/>
                <w:lang w:val="en-US"/>
              </w:rPr>
              <w:t>Soft Data</w:t>
            </w:r>
          </w:p>
        </w:tc>
        <w:tc>
          <w:tcPr>
            <w:tcW w:w="1163" w:type="dxa"/>
            <w:tcBorders>
              <w:bottom w:val="nil"/>
            </w:tcBorders>
            <w:shd w:val="clear" w:color="auto" w:fill="auto"/>
            <w:vAlign w:val="center"/>
          </w:tcPr>
          <w:p w:rsidR="00D9690C" w:rsidRPr="00D9690C" w:rsidRDefault="00D9690C" w:rsidP="00194572">
            <w:pPr>
              <w:jc w:val="center"/>
              <w:rPr>
                <w:sz w:val="20"/>
                <w:szCs w:val="20"/>
                <w:lang w:val="en-US"/>
              </w:rPr>
            </w:pPr>
          </w:p>
        </w:tc>
        <w:tc>
          <w:tcPr>
            <w:tcW w:w="1123" w:type="dxa"/>
            <w:tcBorders>
              <w:bottom w:val="nil"/>
            </w:tcBorders>
            <w:shd w:val="clear" w:color="auto" w:fill="auto"/>
            <w:vAlign w:val="center"/>
          </w:tcPr>
          <w:p w:rsidR="00D9690C" w:rsidRPr="00D9690C" w:rsidRDefault="00D9690C" w:rsidP="00194572">
            <w:pPr>
              <w:jc w:val="center"/>
              <w:rPr>
                <w:sz w:val="20"/>
                <w:szCs w:val="20"/>
                <w:lang w:val="en-US"/>
              </w:rPr>
            </w:pPr>
          </w:p>
        </w:tc>
        <w:tc>
          <w:tcPr>
            <w:tcW w:w="1140" w:type="dxa"/>
            <w:tcBorders>
              <w:bottom w:val="nil"/>
            </w:tcBorders>
            <w:shd w:val="clear" w:color="auto" w:fill="auto"/>
            <w:vAlign w:val="center"/>
          </w:tcPr>
          <w:p w:rsidR="00D9690C" w:rsidRPr="00D9690C" w:rsidRDefault="00D9690C" w:rsidP="00194572">
            <w:pPr>
              <w:jc w:val="center"/>
              <w:rPr>
                <w:sz w:val="20"/>
                <w:szCs w:val="20"/>
                <w:lang w:val="en-US"/>
              </w:rPr>
            </w:pPr>
          </w:p>
        </w:tc>
        <w:tc>
          <w:tcPr>
            <w:tcW w:w="1072" w:type="dxa"/>
            <w:tcBorders>
              <w:bottom w:val="nil"/>
              <w:right w:val="double" w:sz="4" w:space="0" w:color="auto"/>
            </w:tcBorders>
            <w:shd w:val="clear" w:color="auto" w:fill="auto"/>
            <w:vAlign w:val="center"/>
          </w:tcPr>
          <w:p w:rsidR="00D9690C" w:rsidRPr="00D9690C" w:rsidRDefault="00D9690C" w:rsidP="00194572">
            <w:pPr>
              <w:jc w:val="center"/>
              <w:rPr>
                <w:sz w:val="20"/>
                <w:szCs w:val="20"/>
                <w:lang w:val="en-US"/>
              </w:rPr>
            </w:pPr>
          </w:p>
        </w:tc>
        <w:tc>
          <w:tcPr>
            <w:tcW w:w="959" w:type="dxa"/>
            <w:tcBorders>
              <w:left w:val="double" w:sz="4" w:space="0" w:color="auto"/>
              <w:bottom w:val="nil"/>
            </w:tcBorders>
            <w:shd w:val="clear" w:color="auto" w:fill="auto"/>
            <w:vAlign w:val="center"/>
          </w:tcPr>
          <w:p w:rsidR="00D9690C" w:rsidRPr="00D9690C" w:rsidRDefault="00D9690C" w:rsidP="00194572">
            <w:pPr>
              <w:jc w:val="center"/>
              <w:rPr>
                <w:sz w:val="20"/>
                <w:szCs w:val="20"/>
                <w:lang w:val="en-US"/>
              </w:rPr>
            </w:pPr>
          </w:p>
        </w:tc>
        <w:tc>
          <w:tcPr>
            <w:tcW w:w="959" w:type="dxa"/>
            <w:tcBorders>
              <w:bottom w:val="nil"/>
            </w:tcBorders>
            <w:shd w:val="clear" w:color="auto" w:fill="auto"/>
            <w:vAlign w:val="center"/>
          </w:tcPr>
          <w:p w:rsidR="00D9690C" w:rsidRPr="00D9690C" w:rsidRDefault="00D9690C" w:rsidP="00194572">
            <w:pPr>
              <w:jc w:val="center"/>
              <w:rPr>
                <w:sz w:val="20"/>
                <w:szCs w:val="20"/>
                <w:lang w:val="en-US"/>
              </w:rPr>
            </w:pPr>
          </w:p>
        </w:tc>
      </w:tr>
      <w:tr w:rsidR="00D9690C" w:rsidRPr="00D9690C" w:rsidTr="00D9690C">
        <w:trPr>
          <w:trHeight w:val="370"/>
        </w:trPr>
        <w:tc>
          <w:tcPr>
            <w:tcW w:w="3106" w:type="dxa"/>
            <w:tcBorders>
              <w:top w:val="nil"/>
              <w:bottom w:val="nil"/>
            </w:tcBorders>
            <w:vAlign w:val="center"/>
          </w:tcPr>
          <w:p w:rsidR="00D9690C" w:rsidRPr="00D9690C" w:rsidRDefault="00D9690C" w:rsidP="000F010A">
            <w:pPr>
              <w:ind w:right="42"/>
              <w:jc w:val="center"/>
              <w:rPr>
                <w:sz w:val="20"/>
                <w:szCs w:val="20"/>
                <w:lang w:val="en-US"/>
              </w:rPr>
            </w:pPr>
            <w:r w:rsidRPr="00D9690C">
              <w:rPr>
                <w:sz w:val="20"/>
                <w:szCs w:val="20"/>
                <w:lang w:val="en-US"/>
              </w:rPr>
              <w:t>Consumer confidence index (TurkStat)</w:t>
            </w:r>
            <w:r w:rsidRPr="00D9690C">
              <w:rPr>
                <w:sz w:val="20"/>
                <w:szCs w:val="20"/>
                <w:vertAlign w:val="superscript"/>
                <w:lang w:val="en-US"/>
              </w:rPr>
              <w:t>§</w:t>
            </w:r>
          </w:p>
        </w:tc>
        <w:tc>
          <w:tcPr>
            <w:tcW w:w="1163" w:type="dxa"/>
            <w:tcBorders>
              <w:top w:val="nil"/>
              <w:bottom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-3.3</w:t>
            </w:r>
          </w:p>
        </w:tc>
        <w:tc>
          <w:tcPr>
            <w:tcW w:w="1123" w:type="dxa"/>
            <w:tcBorders>
              <w:top w:val="nil"/>
              <w:bottom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-6.4</w:t>
            </w:r>
          </w:p>
        </w:tc>
        <w:tc>
          <w:tcPr>
            <w:tcW w:w="1140" w:type="dxa"/>
            <w:tcBorders>
              <w:top w:val="nil"/>
              <w:bottom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0.1</w:t>
            </w:r>
          </w:p>
        </w:tc>
        <w:tc>
          <w:tcPr>
            <w:tcW w:w="1072" w:type="dxa"/>
            <w:tcBorders>
              <w:top w:val="nil"/>
              <w:bottom w:val="nil"/>
              <w:right w:val="double" w:sz="4" w:space="0" w:color="auto"/>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1.0</w:t>
            </w:r>
          </w:p>
        </w:tc>
        <w:tc>
          <w:tcPr>
            <w:tcW w:w="959" w:type="dxa"/>
            <w:tcBorders>
              <w:top w:val="nil"/>
              <w:left w:val="double" w:sz="4" w:space="0" w:color="auto"/>
              <w:bottom w:val="nil"/>
            </w:tcBorders>
            <w:shd w:val="clear" w:color="auto" w:fill="auto"/>
            <w:vAlign w:val="center"/>
          </w:tcPr>
          <w:p w:rsidR="00D9690C" w:rsidRPr="00D9690C" w:rsidRDefault="00D9690C" w:rsidP="00C93623">
            <w:pPr>
              <w:jc w:val="center"/>
              <w:rPr>
                <w:sz w:val="20"/>
                <w:szCs w:val="20"/>
                <w:lang w:val="en-US"/>
              </w:rPr>
            </w:pPr>
            <w:r w:rsidRPr="00D9690C">
              <w:rPr>
                <w:sz w:val="20"/>
                <w:szCs w:val="20"/>
                <w:lang w:val="en-US"/>
              </w:rPr>
              <w:t>16.3</w:t>
            </w:r>
          </w:p>
        </w:tc>
        <w:tc>
          <w:tcPr>
            <w:tcW w:w="959" w:type="dxa"/>
            <w:tcBorders>
              <w:top w:val="nil"/>
              <w:bottom w:val="nil"/>
            </w:tcBorders>
            <w:shd w:val="clear" w:color="auto" w:fill="auto"/>
            <w:vAlign w:val="center"/>
          </w:tcPr>
          <w:p w:rsidR="00D9690C" w:rsidRPr="00D9690C" w:rsidRDefault="00D9690C" w:rsidP="00C93623">
            <w:pPr>
              <w:jc w:val="center"/>
              <w:rPr>
                <w:sz w:val="20"/>
                <w:szCs w:val="20"/>
                <w:lang w:val="en-US"/>
              </w:rPr>
            </w:pPr>
            <w:r w:rsidRPr="00D9690C">
              <w:rPr>
                <w:sz w:val="20"/>
                <w:szCs w:val="20"/>
                <w:lang w:val="en-US"/>
              </w:rPr>
              <w:t>-4.7</w:t>
            </w:r>
          </w:p>
        </w:tc>
      </w:tr>
      <w:tr w:rsidR="00D9690C" w:rsidRPr="00D9690C" w:rsidTr="00D9690C">
        <w:trPr>
          <w:trHeight w:val="370"/>
        </w:trPr>
        <w:tc>
          <w:tcPr>
            <w:tcW w:w="3106" w:type="dxa"/>
            <w:tcBorders>
              <w:top w:val="nil"/>
            </w:tcBorders>
            <w:vAlign w:val="center"/>
          </w:tcPr>
          <w:p w:rsidR="00D9690C" w:rsidRPr="00D9690C" w:rsidRDefault="00D9690C" w:rsidP="000F010A">
            <w:pPr>
              <w:ind w:right="42"/>
              <w:jc w:val="center"/>
              <w:rPr>
                <w:sz w:val="20"/>
                <w:szCs w:val="20"/>
                <w:lang w:val="en-US"/>
              </w:rPr>
            </w:pPr>
            <w:r w:rsidRPr="00D9690C">
              <w:rPr>
                <w:sz w:val="20"/>
                <w:szCs w:val="20"/>
                <w:lang w:val="en-US"/>
              </w:rPr>
              <w:t>Real sector confidence index</w:t>
            </w:r>
            <w:r w:rsidRPr="00D9690C">
              <w:rPr>
                <w:sz w:val="20"/>
                <w:szCs w:val="20"/>
                <w:vertAlign w:val="superscript"/>
                <w:lang w:val="en-US"/>
              </w:rPr>
              <w:t>†</w:t>
            </w:r>
          </w:p>
        </w:tc>
        <w:tc>
          <w:tcPr>
            <w:tcW w:w="1163" w:type="dxa"/>
            <w:tcBorders>
              <w:top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-2.7</w:t>
            </w:r>
          </w:p>
        </w:tc>
        <w:tc>
          <w:tcPr>
            <w:tcW w:w="1123" w:type="dxa"/>
            <w:tcBorders>
              <w:top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-0.7</w:t>
            </w:r>
          </w:p>
        </w:tc>
        <w:tc>
          <w:tcPr>
            <w:tcW w:w="1140" w:type="dxa"/>
            <w:tcBorders>
              <w:top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-1.0</w:t>
            </w:r>
          </w:p>
        </w:tc>
        <w:tc>
          <w:tcPr>
            <w:tcW w:w="1072" w:type="dxa"/>
            <w:tcBorders>
              <w:top w:val="nil"/>
              <w:right w:val="double" w:sz="4" w:space="0" w:color="auto"/>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1.5</w:t>
            </w:r>
          </w:p>
        </w:tc>
        <w:tc>
          <w:tcPr>
            <w:tcW w:w="959" w:type="dxa"/>
            <w:tcBorders>
              <w:top w:val="nil"/>
              <w:left w:val="double" w:sz="4" w:space="0" w:color="auto"/>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5.5</w:t>
            </w:r>
          </w:p>
        </w:tc>
        <w:tc>
          <w:tcPr>
            <w:tcW w:w="959" w:type="dxa"/>
            <w:tcBorders>
              <w:top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-2.3</w:t>
            </w:r>
          </w:p>
        </w:tc>
      </w:tr>
      <w:tr w:rsidR="00D9690C" w:rsidRPr="00D9690C" w:rsidTr="00D9690C">
        <w:trPr>
          <w:trHeight w:val="370"/>
        </w:trPr>
        <w:tc>
          <w:tcPr>
            <w:tcW w:w="3106" w:type="dxa"/>
            <w:tcBorders>
              <w:bottom w:val="nil"/>
            </w:tcBorders>
            <w:vAlign w:val="center"/>
          </w:tcPr>
          <w:p w:rsidR="00D9690C" w:rsidRPr="00D9690C" w:rsidRDefault="00D9690C" w:rsidP="000F010A">
            <w:pPr>
              <w:ind w:right="42"/>
              <w:jc w:val="center"/>
              <w:rPr>
                <w:b/>
                <w:bCs/>
                <w:sz w:val="20"/>
                <w:szCs w:val="20"/>
                <w:lang w:val="en-US"/>
              </w:rPr>
            </w:pPr>
            <w:r w:rsidRPr="00D9690C">
              <w:rPr>
                <w:b/>
                <w:bCs/>
                <w:sz w:val="20"/>
                <w:szCs w:val="20"/>
                <w:lang w:val="en-US"/>
              </w:rPr>
              <w:t>Financial Data</w:t>
            </w:r>
          </w:p>
        </w:tc>
        <w:tc>
          <w:tcPr>
            <w:tcW w:w="1163" w:type="dxa"/>
            <w:tcBorders>
              <w:bottom w:val="nil"/>
            </w:tcBorders>
            <w:shd w:val="clear" w:color="auto" w:fill="auto"/>
            <w:vAlign w:val="center"/>
          </w:tcPr>
          <w:p w:rsidR="00D9690C" w:rsidRPr="00D9690C" w:rsidRDefault="00D9690C" w:rsidP="00194572">
            <w:pPr>
              <w:jc w:val="center"/>
              <w:rPr>
                <w:sz w:val="20"/>
                <w:szCs w:val="20"/>
                <w:lang w:val="en-US"/>
              </w:rPr>
            </w:pPr>
          </w:p>
        </w:tc>
        <w:tc>
          <w:tcPr>
            <w:tcW w:w="1123" w:type="dxa"/>
            <w:tcBorders>
              <w:bottom w:val="nil"/>
            </w:tcBorders>
            <w:shd w:val="clear" w:color="auto" w:fill="auto"/>
            <w:vAlign w:val="center"/>
          </w:tcPr>
          <w:p w:rsidR="00D9690C" w:rsidRPr="00D9690C" w:rsidRDefault="00D9690C" w:rsidP="00194572">
            <w:pPr>
              <w:jc w:val="center"/>
              <w:rPr>
                <w:sz w:val="20"/>
                <w:szCs w:val="20"/>
                <w:lang w:val="en-US"/>
              </w:rPr>
            </w:pPr>
          </w:p>
        </w:tc>
        <w:tc>
          <w:tcPr>
            <w:tcW w:w="1140" w:type="dxa"/>
            <w:tcBorders>
              <w:bottom w:val="nil"/>
            </w:tcBorders>
            <w:shd w:val="clear" w:color="auto" w:fill="auto"/>
            <w:vAlign w:val="center"/>
          </w:tcPr>
          <w:p w:rsidR="00D9690C" w:rsidRPr="00D9690C" w:rsidRDefault="00D9690C" w:rsidP="00194572">
            <w:pPr>
              <w:jc w:val="center"/>
              <w:rPr>
                <w:sz w:val="20"/>
                <w:szCs w:val="20"/>
                <w:lang w:val="en-US"/>
              </w:rPr>
            </w:pPr>
          </w:p>
        </w:tc>
        <w:tc>
          <w:tcPr>
            <w:tcW w:w="1072" w:type="dxa"/>
            <w:tcBorders>
              <w:bottom w:val="nil"/>
              <w:right w:val="double" w:sz="4" w:space="0" w:color="auto"/>
            </w:tcBorders>
            <w:shd w:val="clear" w:color="auto" w:fill="auto"/>
            <w:vAlign w:val="center"/>
          </w:tcPr>
          <w:p w:rsidR="00D9690C" w:rsidRPr="00D9690C" w:rsidRDefault="00D9690C" w:rsidP="00194572">
            <w:pPr>
              <w:jc w:val="center"/>
              <w:rPr>
                <w:sz w:val="20"/>
                <w:szCs w:val="20"/>
                <w:lang w:val="en-US"/>
              </w:rPr>
            </w:pPr>
          </w:p>
        </w:tc>
        <w:tc>
          <w:tcPr>
            <w:tcW w:w="959" w:type="dxa"/>
            <w:tcBorders>
              <w:left w:val="double" w:sz="4" w:space="0" w:color="auto"/>
              <w:bottom w:val="nil"/>
            </w:tcBorders>
            <w:shd w:val="clear" w:color="auto" w:fill="auto"/>
            <w:vAlign w:val="center"/>
          </w:tcPr>
          <w:p w:rsidR="00D9690C" w:rsidRPr="00D9690C" w:rsidRDefault="00D9690C" w:rsidP="00194572">
            <w:pPr>
              <w:jc w:val="center"/>
              <w:rPr>
                <w:sz w:val="20"/>
                <w:szCs w:val="20"/>
                <w:lang w:val="en-US"/>
              </w:rPr>
            </w:pPr>
          </w:p>
        </w:tc>
        <w:tc>
          <w:tcPr>
            <w:tcW w:w="959" w:type="dxa"/>
            <w:tcBorders>
              <w:bottom w:val="nil"/>
            </w:tcBorders>
            <w:shd w:val="clear" w:color="auto" w:fill="auto"/>
            <w:vAlign w:val="center"/>
          </w:tcPr>
          <w:p w:rsidR="00D9690C" w:rsidRPr="00D9690C" w:rsidRDefault="00D9690C" w:rsidP="00194572">
            <w:pPr>
              <w:jc w:val="center"/>
              <w:rPr>
                <w:sz w:val="20"/>
                <w:szCs w:val="20"/>
                <w:lang w:val="en-US"/>
              </w:rPr>
            </w:pPr>
          </w:p>
        </w:tc>
      </w:tr>
      <w:tr w:rsidR="00D9690C" w:rsidRPr="00D9690C" w:rsidTr="00D9690C">
        <w:trPr>
          <w:trHeight w:val="370"/>
        </w:trPr>
        <w:tc>
          <w:tcPr>
            <w:tcW w:w="3106" w:type="dxa"/>
            <w:tcBorders>
              <w:top w:val="nil"/>
            </w:tcBorders>
            <w:vAlign w:val="center"/>
          </w:tcPr>
          <w:p w:rsidR="00D9690C" w:rsidRPr="00D9690C" w:rsidRDefault="00D9690C" w:rsidP="000F010A">
            <w:pPr>
              <w:ind w:right="42"/>
              <w:jc w:val="center"/>
              <w:rPr>
                <w:sz w:val="20"/>
                <w:szCs w:val="20"/>
                <w:lang w:val="en-US"/>
              </w:rPr>
            </w:pPr>
            <w:r w:rsidRPr="00D9690C">
              <w:rPr>
                <w:sz w:val="20"/>
                <w:szCs w:val="20"/>
                <w:lang w:val="en-US"/>
              </w:rPr>
              <w:t xml:space="preserve">BIST 100 (Stock Exchange) </w:t>
            </w:r>
            <w:r w:rsidRPr="00D9690C">
              <w:rPr>
                <w:sz w:val="20"/>
                <w:szCs w:val="20"/>
                <w:vertAlign w:val="superscript"/>
                <w:lang w:val="en-US"/>
              </w:rPr>
              <w:t>§</w:t>
            </w:r>
          </w:p>
        </w:tc>
        <w:tc>
          <w:tcPr>
            <w:tcW w:w="1163" w:type="dxa"/>
            <w:tcBorders>
              <w:top w:val="nil"/>
            </w:tcBorders>
            <w:shd w:val="clear" w:color="auto" w:fill="auto"/>
            <w:vAlign w:val="center"/>
          </w:tcPr>
          <w:p w:rsidR="00D9690C" w:rsidRPr="00D9690C" w:rsidRDefault="00D9690C" w:rsidP="0061653C">
            <w:pPr>
              <w:jc w:val="center"/>
              <w:rPr>
                <w:sz w:val="20"/>
                <w:szCs w:val="20"/>
                <w:lang w:val="en-US"/>
              </w:rPr>
            </w:pPr>
            <w:r w:rsidRPr="00D9690C">
              <w:rPr>
                <w:sz w:val="20"/>
                <w:szCs w:val="20"/>
                <w:lang w:val="en-US"/>
              </w:rPr>
              <w:t>-6.2</w:t>
            </w:r>
          </w:p>
        </w:tc>
        <w:tc>
          <w:tcPr>
            <w:tcW w:w="1123" w:type="dxa"/>
            <w:tcBorders>
              <w:top w:val="nil"/>
            </w:tcBorders>
            <w:shd w:val="clear" w:color="auto" w:fill="auto"/>
            <w:vAlign w:val="center"/>
          </w:tcPr>
          <w:p w:rsidR="00D9690C" w:rsidRPr="00D9690C" w:rsidRDefault="00D9690C" w:rsidP="0061653C">
            <w:pPr>
              <w:jc w:val="center"/>
              <w:rPr>
                <w:sz w:val="20"/>
                <w:szCs w:val="20"/>
                <w:lang w:val="en-US"/>
              </w:rPr>
            </w:pPr>
            <w:r w:rsidRPr="00D9690C">
              <w:rPr>
                <w:sz w:val="20"/>
                <w:szCs w:val="20"/>
                <w:lang w:val="en-US"/>
              </w:rPr>
              <w:t>9.2</w:t>
            </w:r>
          </w:p>
        </w:tc>
        <w:tc>
          <w:tcPr>
            <w:tcW w:w="1140" w:type="dxa"/>
            <w:tcBorders>
              <w:top w:val="nil"/>
            </w:tcBorders>
            <w:shd w:val="clear" w:color="auto" w:fill="auto"/>
            <w:vAlign w:val="center"/>
          </w:tcPr>
          <w:p w:rsidR="00D9690C" w:rsidRPr="00D9690C" w:rsidRDefault="00D9690C" w:rsidP="0061653C">
            <w:pPr>
              <w:jc w:val="center"/>
              <w:rPr>
                <w:sz w:val="20"/>
                <w:szCs w:val="20"/>
                <w:lang w:val="en-US"/>
              </w:rPr>
            </w:pPr>
            <w:r w:rsidRPr="00D9690C">
              <w:rPr>
                <w:sz w:val="20"/>
                <w:szCs w:val="20"/>
                <w:lang w:val="en-US"/>
              </w:rPr>
              <w:t>5.4</w:t>
            </w:r>
          </w:p>
        </w:tc>
        <w:tc>
          <w:tcPr>
            <w:tcW w:w="1072" w:type="dxa"/>
            <w:tcBorders>
              <w:top w:val="nil"/>
              <w:right w:val="double" w:sz="4" w:space="0" w:color="auto"/>
            </w:tcBorders>
            <w:shd w:val="clear" w:color="auto" w:fill="auto"/>
            <w:vAlign w:val="center"/>
          </w:tcPr>
          <w:p w:rsidR="00D9690C" w:rsidRPr="00D9690C" w:rsidRDefault="00D9690C" w:rsidP="0061653C">
            <w:pPr>
              <w:jc w:val="center"/>
              <w:rPr>
                <w:sz w:val="20"/>
                <w:szCs w:val="20"/>
                <w:lang w:val="en-US"/>
              </w:rPr>
            </w:pPr>
            <w:r w:rsidRPr="00D9690C">
              <w:rPr>
                <w:sz w:val="20"/>
                <w:szCs w:val="20"/>
                <w:lang w:val="en-US"/>
              </w:rPr>
              <w:t>1.2</w:t>
            </w:r>
          </w:p>
        </w:tc>
        <w:tc>
          <w:tcPr>
            <w:tcW w:w="959" w:type="dxa"/>
            <w:tcBorders>
              <w:top w:val="nil"/>
              <w:left w:val="double" w:sz="4" w:space="0" w:color="auto"/>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-1.9</w:t>
            </w:r>
          </w:p>
        </w:tc>
        <w:tc>
          <w:tcPr>
            <w:tcW w:w="959" w:type="dxa"/>
            <w:tcBorders>
              <w:top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-4.9</w:t>
            </w:r>
          </w:p>
        </w:tc>
      </w:tr>
      <w:tr w:rsidR="00D9690C" w:rsidRPr="00D9690C" w:rsidTr="00D9690C">
        <w:trPr>
          <w:trHeight w:val="370"/>
        </w:trPr>
        <w:tc>
          <w:tcPr>
            <w:tcW w:w="3106" w:type="dxa"/>
            <w:tcBorders>
              <w:bottom w:val="nil"/>
            </w:tcBorders>
            <w:vAlign w:val="center"/>
          </w:tcPr>
          <w:p w:rsidR="00D9690C" w:rsidRPr="00D9690C" w:rsidRDefault="00D9690C" w:rsidP="000F010A">
            <w:pPr>
              <w:ind w:right="42"/>
              <w:jc w:val="center"/>
              <w:rPr>
                <w:b/>
                <w:bCs/>
                <w:sz w:val="20"/>
                <w:szCs w:val="20"/>
                <w:lang w:val="en-US"/>
              </w:rPr>
            </w:pPr>
            <w:r w:rsidRPr="00D9690C">
              <w:rPr>
                <w:b/>
                <w:bCs/>
                <w:sz w:val="20"/>
                <w:szCs w:val="20"/>
                <w:lang w:val="en-US"/>
              </w:rPr>
              <w:t>Other</w:t>
            </w:r>
          </w:p>
        </w:tc>
        <w:tc>
          <w:tcPr>
            <w:tcW w:w="1163" w:type="dxa"/>
            <w:tcBorders>
              <w:bottom w:val="nil"/>
            </w:tcBorders>
            <w:shd w:val="clear" w:color="auto" w:fill="auto"/>
            <w:vAlign w:val="center"/>
          </w:tcPr>
          <w:p w:rsidR="00D9690C" w:rsidRPr="00D9690C" w:rsidRDefault="00D9690C" w:rsidP="00194572">
            <w:pPr>
              <w:jc w:val="center"/>
              <w:rPr>
                <w:sz w:val="20"/>
                <w:szCs w:val="20"/>
                <w:lang w:val="en-US"/>
              </w:rPr>
            </w:pPr>
          </w:p>
        </w:tc>
        <w:tc>
          <w:tcPr>
            <w:tcW w:w="1123" w:type="dxa"/>
            <w:tcBorders>
              <w:bottom w:val="nil"/>
            </w:tcBorders>
            <w:shd w:val="clear" w:color="auto" w:fill="auto"/>
            <w:vAlign w:val="center"/>
          </w:tcPr>
          <w:p w:rsidR="00D9690C" w:rsidRPr="00D9690C" w:rsidRDefault="00D9690C" w:rsidP="00194572">
            <w:pPr>
              <w:jc w:val="center"/>
              <w:rPr>
                <w:sz w:val="20"/>
                <w:szCs w:val="20"/>
                <w:lang w:val="en-US"/>
              </w:rPr>
            </w:pPr>
          </w:p>
        </w:tc>
        <w:tc>
          <w:tcPr>
            <w:tcW w:w="1140" w:type="dxa"/>
            <w:tcBorders>
              <w:bottom w:val="nil"/>
            </w:tcBorders>
            <w:shd w:val="clear" w:color="auto" w:fill="auto"/>
            <w:vAlign w:val="center"/>
          </w:tcPr>
          <w:p w:rsidR="00D9690C" w:rsidRPr="00D9690C" w:rsidRDefault="00D9690C" w:rsidP="00194572">
            <w:pPr>
              <w:jc w:val="center"/>
              <w:rPr>
                <w:sz w:val="20"/>
                <w:szCs w:val="20"/>
                <w:lang w:val="en-US"/>
              </w:rPr>
            </w:pPr>
          </w:p>
        </w:tc>
        <w:tc>
          <w:tcPr>
            <w:tcW w:w="1072" w:type="dxa"/>
            <w:tcBorders>
              <w:bottom w:val="nil"/>
              <w:right w:val="double" w:sz="4" w:space="0" w:color="auto"/>
            </w:tcBorders>
            <w:shd w:val="clear" w:color="auto" w:fill="auto"/>
            <w:vAlign w:val="center"/>
          </w:tcPr>
          <w:p w:rsidR="00D9690C" w:rsidRPr="00D9690C" w:rsidRDefault="00D9690C" w:rsidP="00194572">
            <w:pPr>
              <w:jc w:val="center"/>
              <w:rPr>
                <w:sz w:val="20"/>
                <w:szCs w:val="20"/>
                <w:lang w:val="en-US"/>
              </w:rPr>
            </w:pPr>
          </w:p>
        </w:tc>
        <w:tc>
          <w:tcPr>
            <w:tcW w:w="959" w:type="dxa"/>
            <w:tcBorders>
              <w:left w:val="double" w:sz="4" w:space="0" w:color="auto"/>
              <w:bottom w:val="nil"/>
            </w:tcBorders>
            <w:shd w:val="clear" w:color="auto" w:fill="auto"/>
            <w:vAlign w:val="center"/>
          </w:tcPr>
          <w:p w:rsidR="00D9690C" w:rsidRPr="00D9690C" w:rsidRDefault="00D9690C" w:rsidP="00194572">
            <w:pPr>
              <w:jc w:val="center"/>
              <w:rPr>
                <w:sz w:val="20"/>
                <w:szCs w:val="20"/>
                <w:lang w:val="en-US"/>
              </w:rPr>
            </w:pPr>
          </w:p>
        </w:tc>
        <w:tc>
          <w:tcPr>
            <w:tcW w:w="959" w:type="dxa"/>
            <w:tcBorders>
              <w:bottom w:val="nil"/>
            </w:tcBorders>
            <w:shd w:val="clear" w:color="auto" w:fill="auto"/>
            <w:vAlign w:val="center"/>
          </w:tcPr>
          <w:p w:rsidR="00D9690C" w:rsidRPr="00D9690C" w:rsidRDefault="00D9690C" w:rsidP="00194572">
            <w:pPr>
              <w:jc w:val="center"/>
              <w:rPr>
                <w:sz w:val="20"/>
                <w:szCs w:val="20"/>
                <w:lang w:val="en-US"/>
              </w:rPr>
            </w:pPr>
          </w:p>
        </w:tc>
      </w:tr>
      <w:tr w:rsidR="00D9690C" w:rsidRPr="00D9690C" w:rsidTr="00D9690C">
        <w:trPr>
          <w:trHeight w:val="370"/>
        </w:trPr>
        <w:tc>
          <w:tcPr>
            <w:tcW w:w="3106" w:type="dxa"/>
            <w:tcBorders>
              <w:bottom w:val="nil"/>
            </w:tcBorders>
            <w:vAlign w:val="center"/>
          </w:tcPr>
          <w:p w:rsidR="00D9690C" w:rsidRPr="00D9690C" w:rsidRDefault="00D9690C" w:rsidP="000F010A">
            <w:pPr>
              <w:ind w:right="42"/>
              <w:jc w:val="center"/>
              <w:rPr>
                <w:sz w:val="20"/>
                <w:szCs w:val="20"/>
                <w:lang w:val="en-US"/>
              </w:rPr>
            </w:pPr>
            <w:r w:rsidRPr="00D9690C">
              <w:rPr>
                <w:sz w:val="20"/>
                <w:szCs w:val="20"/>
                <w:lang w:val="en-US"/>
              </w:rPr>
              <w:t>Government spending</w:t>
            </w:r>
            <w:r w:rsidRPr="00D9690C">
              <w:rPr>
                <w:sz w:val="20"/>
                <w:szCs w:val="20"/>
                <w:vertAlign w:val="superscript"/>
                <w:lang w:val="en-US"/>
              </w:rPr>
              <w:t xml:space="preserve"> §,</w:t>
            </w:r>
            <w:r w:rsidRPr="00D9690C">
              <w:rPr>
                <w:rFonts w:ascii="Calibri" w:hAnsi="Calibri"/>
                <w:sz w:val="20"/>
                <w:szCs w:val="20"/>
                <w:lang w:val="en-US"/>
              </w:rPr>
              <w:t>⁰</w:t>
            </w:r>
          </w:p>
        </w:tc>
        <w:tc>
          <w:tcPr>
            <w:tcW w:w="1163" w:type="dxa"/>
            <w:tcBorders>
              <w:bottom w:val="nil"/>
            </w:tcBorders>
            <w:shd w:val="clear" w:color="auto" w:fill="auto"/>
            <w:vAlign w:val="center"/>
          </w:tcPr>
          <w:p w:rsidR="00D9690C" w:rsidRPr="00D9690C" w:rsidRDefault="00D9690C" w:rsidP="0083120A">
            <w:pPr>
              <w:jc w:val="center"/>
              <w:rPr>
                <w:sz w:val="20"/>
                <w:szCs w:val="20"/>
                <w:lang w:val="en-US"/>
              </w:rPr>
            </w:pPr>
            <w:r w:rsidRPr="00D9690C">
              <w:rPr>
                <w:sz w:val="20"/>
                <w:szCs w:val="20"/>
                <w:lang w:val="en-US"/>
              </w:rPr>
              <w:t>-19.8</w:t>
            </w:r>
          </w:p>
        </w:tc>
        <w:tc>
          <w:tcPr>
            <w:tcW w:w="1123" w:type="dxa"/>
            <w:tcBorders>
              <w:bottom w:val="nil"/>
            </w:tcBorders>
            <w:shd w:val="clear" w:color="auto" w:fill="auto"/>
            <w:vAlign w:val="center"/>
          </w:tcPr>
          <w:p w:rsidR="00D9690C" w:rsidRPr="00D9690C" w:rsidRDefault="00D9690C" w:rsidP="0083120A">
            <w:pPr>
              <w:jc w:val="center"/>
              <w:rPr>
                <w:sz w:val="20"/>
                <w:szCs w:val="20"/>
                <w:lang w:val="en-US"/>
              </w:rPr>
            </w:pPr>
            <w:r w:rsidRPr="00D9690C">
              <w:rPr>
                <w:sz w:val="20"/>
                <w:szCs w:val="20"/>
                <w:lang w:val="en-US"/>
              </w:rPr>
              <w:t>2.6</w:t>
            </w:r>
          </w:p>
        </w:tc>
        <w:tc>
          <w:tcPr>
            <w:tcW w:w="1140" w:type="dxa"/>
            <w:tcBorders>
              <w:bottom w:val="nil"/>
            </w:tcBorders>
            <w:shd w:val="clear" w:color="auto" w:fill="auto"/>
            <w:vAlign w:val="center"/>
          </w:tcPr>
          <w:p w:rsidR="00D9690C" w:rsidRPr="00D9690C" w:rsidRDefault="00D9690C" w:rsidP="008E356E">
            <w:pPr>
              <w:jc w:val="center"/>
              <w:rPr>
                <w:sz w:val="20"/>
                <w:szCs w:val="20"/>
                <w:lang w:val="en-US"/>
              </w:rPr>
            </w:pPr>
            <w:r w:rsidRPr="00D9690C">
              <w:rPr>
                <w:sz w:val="20"/>
                <w:szCs w:val="20"/>
                <w:lang w:val="en-US"/>
              </w:rPr>
              <w:t>-2.1</w:t>
            </w:r>
          </w:p>
        </w:tc>
        <w:tc>
          <w:tcPr>
            <w:tcW w:w="1072" w:type="dxa"/>
            <w:tcBorders>
              <w:bottom w:val="nil"/>
              <w:right w:val="double" w:sz="4" w:space="0" w:color="auto"/>
            </w:tcBorders>
            <w:shd w:val="clear" w:color="auto" w:fill="auto"/>
            <w:vAlign w:val="center"/>
          </w:tcPr>
          <w:p w:rsidR="00D9690C" w:rsidRPr="00D9690C" w:rsidRDefault="00D9690C" w:rsidP="0083120A">
            <w:pPr>
              <w:jc w:val="center"/>
              <w:rPr>
                <w:sz w:val="20"/>
                <w:szCs w:val="20"/>
                <w:lang w:val="en-US"/>
              </w:rPr>
            </w:pPr>
            <w:r w:rsidRPr="00D9690C">
              <w:rPr>
                <w:sz w:val="20"/>
                <w:szCs w:val="20"/>
                <w:lang w:val="en-US"/>
              </w:rPr>
              <w:t>2.1</w:t>
            </w:r>
          </w:p>
        </w:tc>
        <w:tc>
          <w:tcPr>
            <w:tcW w:w="959" w:type="dxa"/>
            <w:tcBorders>
              <w:left w:val="double" w:sz="4" w:space="0" w:color="auto"/>
              <w:bottom w:val="nil"/>
            </w:tcBorders>
            <w:shd w:val="clear" w:color="auto" w:fill="auto"/>
            <w:vAlign w:val="center"/>
          </w:tcPr>
          <w:p w:rsidR="00D9690C" w:rsidRPr="00D9690C" w:rsidRDefault="00D9690C" w:rsidP="008E356E">
            <w:pPr>
              <w:jc w:val="center"/>
              <w:rPr>
                <w:sz w:val="20"/>
                <w:szCs w:val="20"/>
                <w:lang w:val="en-US"/>
              </w:rPr>
            </w:pPr>
            <w:r w:rsidRPr="00D9690C">
              <w:rPr>
                <w:sz w:val="20"/>
                <w:szCs w:val="20"/>
                <w:lang w:val="en-US"/>
              </w:rPr>
              <w:t>3.4</w:t>
            </w:r>
          </w:p>
        </w:tc>
        <w:tc>
          <w:tcPr>
            <w:tcW w:w="959" w:type="dxa"/>
            <w:tcBorders>
              <w:bottom w:val="nil"/>
            </w:tcBorders>
            <w:shd w:val="clear" w:color="auto" w:fill="auto"/>
            <w:vAlign w:val="center"/>
          </w:tcPr>
          <w:p w:rsidR="00D9690C" w:rsidRPr="00D9690C" w:rsidRDefault="00D9690C" w:rsidP="0083120A">
            <w:pPr>
              <w:jc w:val="center"/>
              <w:rPr>
                <w:sz w:val="20"/>
                <w:szCs w:val="20"/>
                <w:lang w:val="en-US"/>
              </w:rPr>
            </w:pPr>
            <w:r w:rsidRPr="00D9690C">
              <w:rPr>
                <w:sz w:val="20"/>
                <w:szCs w:val="20"/>
                <w:lang w:val="en-US"/>
              </w:rPr>
              <w:t>-16.1</w:t>
            </w:r>
          </w:p>
        </w:tc>
      </w:tr>
      <w:tr w:rsidR="00D9690C" w:rsidRPr="00D9690C" w:rsidTr="00D9690C">
        <w:trPr>
          <w:trHeight w:val="370"/>
        </w:trPr>
        <w:tc>
          <w:tcPr>
            <w:tcW w:w="3106" w:type="dxa"/>
            <w:tcBorders>
              <w:top w:val="nil"/>
              <w:bottom w:val="nil"/>
            </w:tcBorders>
            <w:vAlign w:val="center"/>
          </w:tcPr>
          <w:p w:rsidR="00D9690C" w:rsidRPr="00D9690C" w:rsidRDefault="00D9690C" w:rsidP="000F010A">
            <w:pPr>
              <w:ind w:right="42"/>
              <w:jc w:val="center"/>
              <w:rPr>
                <w:sz w:val="20"/>
                <w:szCs w:val="20"/>
                <w:lang w:val="en-US"/>
              </w:rPr>
            </w:pPr>
            <w:r w:rsidRPr="00D9690C">
              <w:rPr>
                <w:sz w:val="20"/>
                <w:szCs w:val="20"/>
                <w:lang w:val="en-US"/>
              </w:rPr>
              <w:t>Special consumption tax (SCT)</w:t>
            </w:r>
            <w:r w:rsidRPr="00D9690C">
              <w:rPr>
                <w:sz w:val="20"/>
                <w:szCs w:val="20"/>
                <w:vertAlign w:val="superscript"/>
                <w:lang w:val="en-US"/>
              </w:rPr>
              <w:t xml:space="preserve"> §</w:t>
            </w:r>
          </w:p>
        </w:tc>
        <w:tc>
          <w:tcPr>
            <w:tcW w:w="1163" w:type="dxa"/>
            <w:tcBorders>
              <w:top w:val="nil"/>
              <w:bottom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5.7</w:t>
            </w:r>
          </w:p>
        </w:tc>
        <w:tc>
          <w:tcPr>
            <w:tcW w:w="1123" w:type="dxa"/>
            <w:tcBorders>
              <w:top w:val="nil"/>
              <w:bottom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-10.0</w:t>
            </w:r>
          </w:p>
        </w:tc>
        <w:tc>
          <w:tcPr>
            <w:tcW w:w="1140" w:type="dxa"/>
            <w:tcBorders>
              <w:top w:val="nil"/>
              <w:bottom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5.5</w:t>
            </w:r>
          </w:p>
        </w:tc>
        <w:tc>
          <w:tcPr>
            <w:tcW w:w="1072" w:type="dxa"/>
            <w:tcBorders>
              <w:top w:val="nil"/>
              <w:bottom w:val="nil"/>
              <w:right w:val="double" w:sz="4" w:space="0" w:color="auto"/>
            </w:tcBorders>
            <w:shd w:val="clear" w:color="auto" w:fill="auto"/>
            <w:vAlign w:val="center"/>
          </w:tcPr>
          <w:p w:rsidR="00D9690C" w:rsidRPr="00D9690C" w:rsidRDefault="00D9690C" w:rsidP="00C93623">
            <w:pPr>
              <w:jc w:val="center"/>
              <w:rPr>
                <w:sz w:val="20"/>
                <w:szCs w:val="20"/>
                <w:lang w:val="en-US"/>
              </w:rPr>
            </w:pPr>
            <w:r w:rsidRPr="00D9690C">
              <w:rPr>
                <w:sz w:val="20"/>
                <w:szCs w:val="20"/>
                <w:lang w:val="en-US"/>
              </w:rPr>
              <w:t>-3.1</w:t>
            </w:r>
          </w:p>
        </w:tc>
        <w:tc>
          <w:tcPr>
            <w:tcW w:w="959" w:type="dxa"/>
            <w:tcBorders>
              <w:top w:val="nil"/>
              <w:left w:val="double" w:sz="4" w:space="0" w:color="auto"/>
              <w:bottom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-2.5</w:t>
            </w:r>
          </w:p>
        </w:tc>
        <w:tc>
          <w:tcPr>
            <w:tcW w:w="959" w:type="dxa"/>
            <w:tcBorders>
              <w:top w:val="nil"/>
              <w:bottom w:val="nil"/>
            </w:tcBorders>
            <w:shd w:val="clear" w:color="auto" w:fill="auto"/>
            <w:vAlign w:val="center"/>
          </w:tcPr>
          <w:p w:rsidR="00D9690C" w:rsidRPr="00D9690C" w:rsidRDefault="00D9690C" w:rsidP="00C93623">
            <w:pPr>
              <w:jc w:val="center"/>
              <w:rPr>
                <w:sz w:val="20"/>
                <w:szCs w:val="20"/>
                <w:lang w:val="en-US"/>
              </w:rPr>
            </w:pPr>
            <w:r w:rsidRPr="00D9690C">
              <w:rPr>
                <w:sz w:val="20"/>
                <w:szCs w:val="20"/>
                <w:lang w:val="en-US"/>
              </w:rPr>
              <w:t>3.9</w:t>
            </w:r>
          </w:p>
        </w:tc>
      </w:tr>
      <w:tr w:rsidR="00D9690C" w:rsidRPr="00D9690C" w:rsidTr="00D9690C">
        <w:trPr>
          <w:trHeight w:val="370"/>
        </w:trPr>
        <w:tc>
          <w:tcPr>
            <w:tcW w:w="3106" w:type="dxa"/>
            <w:tcBorders>
              <w:top w:val="nil"/>
              <w:bottom w:val="nil"/>
            </w:tcBorders>
            <w:vAlign w:val="center"/>
          </w:tcPr>
          <w:p w:rsidR="00D9690C" w:rsidRPr="00D9690C" w:rsidRDefault="00D9690C" w:rsidP="000F010A">
            <w:pPr>
              <w:ind w:right="42"/>
              <w:jc w:val="center"/>
              <w:rPr>
                <w:sz w:val="20"/>
                <w:szCs w:val="20"/>
                <w:lang w:val="en-US"/>
              </w:rPr>
            </w:pPr>
            <w:r w:rsidRPr="00D9690C">
              <w:rPr>
                <w:sz w:val="20"/>
                <w:szCs w:val="20"/>
                <w:lang w:val="en-US"/>
              </w:rPr>
              <w:t>Passenger Cars</w:t>
            </w:r>
            <w:r w:rsidRPr="00D9690C">
              <w:rPr>
                <w:sz w:val="20"/>
                <w:szCs w:val="20"/>
                <w:vertAlign w:val="superscript"/>
                <w:lang w:val="en-US"/>
              </w:rPr>
              <w:t xml:space="preserve"> §</w:t>
            </w:r>
          </w:p>
        </w:tc>
        <w:tc>
          <w:tcPr>
            <w:tcW w:w="1163" w:type="dxa"/>
            <w:tcBorders>
              <w:top w:val="nil"/>
              <w:bottom w:val="nil"/>
            </w:tcBorders>
            <w:shd w:val="clear" w:color="auto" w:fill="auto"/>
            <w:vAlign w:val="center"/>
          </w:tcPr>
          <w:p w:rsidR="00D9690C" w:rsidRPr="00D9690C" w:rsidRDefault="00D9690C" w:rsidP="007D694B">
            <w:pPr>
              <w:jc w:val="center"/>
              <w:rPr>
                <w:sz w:val="20"/>
                <w:szCs w:val="20"/>
                <w:lang w:val="en-US"/>
              </w:rPr>
            </w:pPr>
            <w:r w:rsidRPr="00D9690C">
              <w:rPr>
                <w:sz w:val="20"/>
                <w:szCs w:val="20"/>
                <w:lang w:val="en-US"/>
              </w:rPr>
              <w:t>-11.4</w:t>
            </w:r>
          </w:p>
        </w:tc>
        <w:tc>
          <w:tcPr>
            <w:tcW w:w="1123" w:type="dxa"/>
            <w:tcBorders>
              <w:top w:val="nil"/>
              <w:bottom w:val="nil"/>
            </w:tcBorders>
            <w:shd w:val="clear" w:color="auto" w:fill="auto"/>
            <w:vAlign w:val="center"/>
          </w:tcPr>
          <w:p w:rsidR="00D9690C" w:rsidRPr="00D9690C" w:rsidRDefault="00D9690C" w:rsidP="007D694B">
            <w:pPr>
              <w:jc w:val="center"/>
              <w:rPr>
                <w:sz w:val="20"/>
                <w:szCs w:val="20"/>
                <w:lang w:val="en-US"/>
              </w:rPr>
            </w:pPr>
            <w:r w:rsidRPr="00D9690C">
              <w:rPr>
                <w:sz w:val="20"/>
                <w:szCs w:val="20"/>
                <w:lang w:val="en-US"/>
              </w:rPr>
              <w:t>12.0</w:t>
            </w:r>
          </w:p>
        </w:tc>
        <w:tc>
          <w:tcPr>
            <w:tcW w:w="1140" w:type="dxa"/>
            <w:tcBorders>
              <w:top w:val="nil"/>
              <w:bottom w:val="nil"/>
            </w:tcBorders>
            <w:shd w:val="clear" w:color="auto" w:fill="auto"/>
            <w:vAlign w:val="center"/>
          </w:tcPr>
          <w:p w:rsidR="00D9690C" w:rsidRPr="00D9690C" w:rsidRDefault="00D9690C" w:rsidP="007D694B">
            <w:pPr>
              <w:jc w:val="center"/>
              <w:rPr>
                <w:sz w:val="20"/>
                <w:szCs w:val="20"/>
                <w:lang w:val="en-US"/>
              </w:rPr>
            </w:pPr>
            <w:r w:rsidRPr="00D9690C">
              <w:rPr>
                <w:sz w:val="20"/>
                <w:szCs w:val="20"/>
                <w:lang w:val="en-US"/>
              </w:rPr>
              <w:t>-1.0</w:t>
            </w:r>
          </w:p>
        </w:tc>
        <w:tc>
          <w:tcPr>
            <w:tcW w:w="1072" w:type="dxa"/>
            <w:tcBorders>
              <w:top w:val="nil"/>
              <w:bottom w:val="nil"/>
              <w:right w:val="double" w:sz="4" w:space="0" w:color="auto"/>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-1.0</w:t>
            </w:r>
          </w:p>
        </w:tc>
        <w:tc>
          <w:tcPr>
            <w:tcW w:w="959" w:type="dxa"/>
            <w:tcBorders>
              <w:top w:val="nil"/>
              <w:left w:val="double" w:sz="4" w:space="0" w:color="auto"/>
              <w:bottom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10.0</w:t>
            </w:r>
          </w:p>
        </w:tc>
        <w:tc>
          <w:tcPr>
            <w:tcW w:w="959" w:type="dxa"/>
            <w:tcBorders>
              <w:top w:val="nil"/>
              <w:bottom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-1.6</w:t>
            </w:r>
          </w:p>
        </w:tc>
      </w:tr>
      <w:tr w:rsidR="00D9690C" w:rsidRPr="00D9690C" w:rsidTr="00D9690C">
        <w:trPr>
          <w:trHeight w:val="370"/>
        </w:trPr>
        <w:tc>
          <w:tcPr>
            <w:tcW w:w="3106" w:type="dxa"/>
            <w:tcBorders>
              <w:top w:val="nil"/>
            </w:tcBorders>
            <w:vAlign w:val="center"/>
          </w:tcPr>
          <w:p w:rsidR="00D9690C" w:rsidRPr="00D9690C" w:rsidRDefault="00D9690C" w:rsidP="000F010A">
            <w:pPr>
              <w:ind w:right="42"/>
              <w:jc w:val="center"/>
              <w:rPr>
                <w:sz w:val="20"/>
                <w:szCs w:val="20"/>
                <w:lang w:val="en-US"/>
              </w:rPr>
            </w:pPr>
            <w:r w:rsidRPr="00D9690C">
              <w:rPr>
                <w:sz w:val="20"/>
                <w:szCs w:val="20"/>
                <w:lang w:val="en-US"/>
              </w:rPr>
              <w:t>Commercial Vehicles</w:t>
            </w:r>
            <w:r w:rsidRPr="00D9690C">
              <w:rPr>
                <w:sz w:val="20"/>
                <w:szCs w:val="20"/>
                <w:vertAlign w:val="superscript"/>
                <w:lang w:val="en-US"/>
              </w:rPr>
              <w:t xml:space="preserve"> §</w:t>
            </w:r>
          </w:p>
        </w:tc>
        <w:tc>
          <w:tcPr>
            <w:tcW w:w="1163" w:type="dxa"/>
            <w:tcBorders>
              <w:top w:val="nil"/>
            </w:tcBorders>
            <w:shd w:val="clear" w:color="auto" w:fill="auto"/>
            <w:vAlign w:val="center"/>
          </w:tcPr>
          <w:p w:rsidR="00D9690C" w:rsidRPr="00D9690C" w:rsidRDefault="00D9690C" w:rsidP="007D694B">
            <w:pPr>
              <w:jc w:val="center"/>
              <w:rPr>
                <w:sz w:val="20"/>
                <w:szCs w:val="20"/>
                <w:lang w:val="en-US"/>
              </w:rPr>
            </w:pPr>
            <w:r w:rsidRPr="00D9690C">
              <w:rPr>
                <w:sz w:val="20"/>
                <w:szCs w:val="20"/>
                <w:lang w:val="en-US"/>
              </w:rPr>
              <w:t>-5.3</w:t>
            </w:r>
          </w:p>
        </w:tc>
        <w:tc>
          <w:tcPr>
            <w:tcW w:w="1123" w:type="dxa"/>
            <w:tcBorders>
              <w:top w:val="nil"/>
            </w:tcBorders>
            <w:shd w:val="clear" w:color="auto" w:fill="auto"/>
            <w:vAlign w:val="center"/>
          </w:tcPr>
          <w:p w:rsidR="00D9690C" w:rsidRPr="00D9690C" w:rsidRDefault="00D9690C" w:rsidP="007D694B">
            <w:pPr>
              <w:jc w:val="center"/>
              <w:rPr>
                <w:sz w:val="20"/>
                <w:szCs w:val="20"/>
                <w:lang w:val="en-US"/>
              </w:rPr>
            </w:pPr>
            <w:r w:rsidRPr="00D9690C">
              <w:rPr>
                <w:sz w:val="20"/>
                <w:szCs w:val="20"/>
                <w:lang w:val="en-US"/>
              </w:rPr>
              <w:t>10.8</w:t>
            </w:r>
          </w:p>
        </w:tc>
        <w:tc>
          <w:tcPr>
            <w:tcW w:w="1140" w:type="dxa"/>
            <w:tcBorders>
              <w:top w:val="nil"/>
            </w:tcBorders>
            <w:shd w:val="clear" w:color="auto" w:fill="auto"/>
            <w:vAlign w:val="center"/>
          </w:tcPr>
          <w:p w:rsidR="00D9690C" w:rsidRPr="00D9690C" w:rsidRDefault="00D9690C" w:rsidP="007D694B">
            <w:pPr>
              <w:jc w:val="center"/>
              <w:rPr>
                <w:sz w:val="20"/>
                <w:szCs w:val="20"/>
                <w:lang w:val="en-US"/>
              </w:rPr>
            </w:pPr>
            <w:r w:rsidRPr="00D9690C">
              <w:rPr>
                <w:sz w:val="20"/>
                <w:szCs w:val="20"/>
                <w:lang w:val="en-US"/>
              </w:rPr>
              <w:t>-3.9</w:t>
            </w:r>
          </w:p>
        </w:tc>
        <w:tc>
          <w:tcPr>
            <w:tcW w:w="1072" w:type="dxa"/>
            <w:tcBorders>
              <w:top w:val="nil"/>
              <w:right w:val="double" w:sz="4" w:space="0" w:color="auto"/>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-3.7</w:t>
            </w:r>
          </w:p>
        </w:tc>
        <w:tc>
          <w:tcPr>
            <w:tcW w:w="959" w:type="dxa"/>
            <w:tcBorders>
              <w:top w:val="nil"/>
              <w:left w:val="double" w:sz="4" w:space="0" w:color="auto"/>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0.6</w:t>
            </w:r>
          </w:p>
        </w:tc>
        <w:tc>
          <w:tcPr>
            <w:tcW w:w="959" w:type="dxa"/>
            <w:tcBorders>
              <w:top w:val="nil"/>
            </w:tcBorders>
            <w:shd w:val="clear" w:color="auto" w:fill="auto"/>
            <w:vAlign w:val="center"/>
          </w:tcPr>
          <w:p w:rsidR="00D9690C" w:rsidRPr="00D9690C" w:rsidRDefault="00D9690C" w:rsidP="00194572">
            <w:pPr>
              <w:jc w:val="center"/>
              <w:rPr>
                <w:sz w:val="20"/>
                <w:szCs w:val="20"/>
                <w:lang w:val="en-US"/>
              </w:rPr>
            </w:pPr>
            <w:r w:rsidRPr="00D9690C">
              <w:rPr>
                <w:sz w:val="20"/>
                <w:szCs w:val="20"/>
                <w:lang w:val="en-US"/>
              </w:rPr>
              <w:t>-2.7</w:t>
            </w:r>
          </w:p>
        </w:tc>
      </w:tr>
    </w:tbl>
    <w:p w:rsidR="000B7E7D" w:rsidRPr="00F0623E" w:rsidRDefault="000B7E7D" w:rsidP="000B7E7D">
      <w:pPr>
        <w:ind w:left="-720" w:right="43" w:firstLine="360"/>
        <w:jc w:val="both"/>
        <w:rPr>
          <w:sz w:val="16"/>
          <w:szCs w:val="16"/>
          <w:lang w:val="en-US"/>
        </w:rPr>
      </w:pPr>
      <w:r w:rsidRPr="00F0623E">
        <w:rPr>
          <w:sz w:val="16"/>
          <w:szCs w:val="16"/>
          <w:lang w:val="en-US"/>
        </w:rPr>
        <w:t>Source: TurkStat, Central Bank of the Republic of Turkey (TCMB), Treasury, Borsa Istanbul(BIST), Betam.</w:t>
      </w:r>
    </w:p>
    <w:p w:rsidR="000B7E7D" w:rsidRPr="00F0623E" w:rsidRDefault="000B7E7D" w:rsidP="000B7E7D">
      <w:pPr>
        <w:ind w:left="-720" w:right="43" w:firstLine="360"/>
        <w:jc w:val="both"/>
        <w:rPr>
          <w:sz w:val="16"/>
          <w:szCs w:val="16"/>
          <w:vertAlign w:val="superscript"/>
          <w:lang w:val="en-US"/>
        </w:rPr>
      </w:pPr>
      <w:r w:rsidRPr="00F0623E">
        <w:rPr>
          <w:sz w:val="16"/>
          <w:szCs w:val="16"/>
          <w:vertAlign w:val="superscript"/>
          <w:lang w:val="en-US"/>
        </w:rPr>
        <w:t xml:space="preserve">† </w:t>
      </w:r>
      <w:r w:rsidRPr="00F0623E">
        <w:rPr>
          <w:sz w:val="16"/>
          <w:szCs w:val="16"/>
          <w:lang w:val="en-US"/>
        </w:rPr>
        <w:t>This is seasonally adjusted by TCMB</w:t>
      </w:r>
      <w:r w:rsidRPr="00F0623E">
        <w:rPr>
          <w:sz w:val="16"/>
          <w:szCs w:val="16"/>
          <w:vertAlign w:val="superscript"/>
          <w:lang w:val="en-US"/>
        </w:rPr>
        <w:t xml:space="preserve"> </w:t>
      </w:r>
    </w:p>
    <w:p w:rsidR="000B7E7D" w:rsidRPr="00F0623E" w:rsidRDefault="000B7E7D" w:rsidP="000B7E7D">
      <w:pPr>
        <w:ind w:left="-720" w:right="43" w:firstLine="360"/>
        <w:jc w:val="both"/>
        <w:rPr>
          <w:sz w:val="16"/>
          <w:szCs w:val="16"/>
          <w:lang w:val="en-US"/>
        </w:rPr>
      </w:pPr>
      <w:r w:rsidRPr="00F0623E">
        <w:rPr>
          <w:sz w:val="16"/>
          <w:szCs w:val="16"/>
          <w:vertAlign w:val="superscript"/>
          <w:lang w:val="en-US"/>
        </w:rPr>
        <w:t>‡</w:t>
      </w:r>
      <w:r w:rsidRPr="00F0623E">
        <w:rPr>
          <w:sz w:val="16"/>
          <w:szCs w:val="16"/>
          <w:lang w:val="en-US"/>
        </w:rPr>
        <w:t xml:space="preserve"> CUR and its components are given as percentage point change, unlike the other indicators. </w:t>
      </w:r>
    </w:p>
    <w:p w:rsidR="000B7E7D" w:rsidRPr="00F0623E" w:rsidRDefault="000B7E7D" w:rsidP="000B7E7D">
      <w:pPr>
        <w:ind w:left="-720" w:right="43" w:firstLine="360"/>
        <w:jc w:val="both"/>
        <w:rPr>
          <w:sz w:val="16"/>
          <w:szCs w:val="16"/>
          <w:lang w:val="en-US"/>
        </w:rPr>
      </w:pPr>
      <w:r w:rsidRPr="00F0623E">
        <w:rPr>
          <w:sz w:val="16"/>
          <w:szCs w:val="16"/>
          <w:lang w:val="en-US"/>
        </w:rPr>
        <w:t xml:space="preserve">§ This is seasonally adjusted by Betam. </w:t>
      </w:r>
    </w:p>
    <w:p w:rsidR="000B7E7D" w:rsidRPr="00F0623E" w:rsidRDefault="000B7E7D" w:rsidP="000B7E7D">
      <w:pPr>
        <w:ind w:left="-720" w:right="43" w:firstLine="360"/>
        <w:jc w:val="both"/>
        <w:rPr>
          <w:sz w:val="16"/>
          <w:szCs w:val="16"/>
          <w:lang w:val="en-US"/>
        </w:rPr>
      </w:pPr>
      <w:r w:rsidRPr="00F0623E">
        <w:rPr>
          <w:sz w:val="16"/>
          <w:szCs w:val="16"/>
          <w:lang w:val="en-US"/>
        </w:rPr>
        <w:t xml:space="preserve">* This is seasonally adjusted by TURKSTAT. </w:t>
      </w:r>
    </w:p>
    <w:p w:rsidR="000B7E7D" w:rsidRPr="00F0623E" w:rsidRDefault="000B7E7D" w:rsidP="000B7E7D">
      <w:pPr>
        <w:ind w:left="-720" w:right="43" w:firstLine="360"/>
        <w:jc w:val="both"/>
        <w:rPr>
          <w:sz w:val="16"/>
          <w:szCs w:val="16"/>
          <w:lang w:val="en-US"/>
        </w:rPr>
      </w:pPr>
      <w:r w:rsidRPr="00F0623E">
        <w:rPr>
          <w:sz w:val="16"/>
          <w:szCs w:val="16"/>
          <w:lang w:val="en-US"/>
        </w:rPr>
        <w:t xml:space="preserve">** Data not yet released </w:t>
      </w:r>
    </w:p>
    <w:p w:rsidR="000B7E7D" w:rsidRPr="00F0623E" w:rsidRDefault="000B7E7D" w:rsidP="000B7E7D">
      <w:pPr>
        <w:spacing w:line="276" w:lineRule="auto"/>
        <w:ind w:left="-426" w:right="42" w:hanging="114"/>
        <w:jc w:val="both"/>
        <w:rPr>
          <w:sz w:val="16"/>
          <w:szCs w:val="16"/>
          <w:lang w:val="en-US"/>
        </w:rPr>
      </w:pPr>
      <w:r w:rsidRPr="00F0623E">
        <w:rPr>
          <w:sz w:val="16"/>
          <w:szCs w:val="16"/>
          <w:lang w:val="en-US"/>
        </w:rPr>
        <w:t xml:space="preserve">   *** Betam’s calculations: Nominal exports (imports) minus non-monetary gold, deflated using the export (import) unit value index. It is    seasonally adjusted by Betam. </w:t>
      </w:r>
    </w:p>
    <w:p w:rsidR="000B7E7D" w:rsidRPr="00F0623E" w:rsidRDefault="000B7E7D" w:rsidP="000B7E7D">
      <w:pPr>
        <w:ind w:left="-360" w:right="43"/>
        <w:rPr>
          <w:sz w:val="16"/>
          <w:szCs w:val="16"/>
          <w:lang w:val="en-US"/>
        </w:rPr>
      </w:pPr>
      <w:r w:rsidRPr="00F0623E">
        <w:rPr>
          <w:rFonts w:ascii="Calibri" w:hAnsi="Calibri"/>
          <w:sz w:val="16"/>
          <w:szCs w:val="16"/>
          <w:lang w:val="en-US"/>
        </w:rPr>
        <w:t>⁰</w:t>
      </w:r>
      <w:r w:rsidRPr="00F0623E">
        <w:rPr>
          <w:sz w:val="16"/>
          <w:szCs w:val="16"/>
          <w:lang w:val="en-US"/>
        </w:rPr>
        <w:t xml:space="preserve"> Total government spending excluding transfers, deflated.</w:t>
      </w:r>
    </w:p>
    <w:p w:rsidR="002A5EBF" w:rsidRPr="00DE52CE" w:rsidRDefault="002A5EBF" w:rsidP="00197085">
      <w:pPr>
        <w:ind w:left="-360" w:right="43"/>
        <w:rPr>
          <w:sz w:val="16"/>
          <w:szCs w:val="16"/>
        </w:rPr>
      </w:pPr>
    </w:p>
    <w:p w:rsidR="008E1960" w:rsidRPr="00DE52CE" w:rsidRDefault="008E1960" w:rsidP="00197085">
      <w:pPr>
        <w:ind w:left="-360" w:right="43"/>
        <w:rPr>
          <w:sz w:val="16"/>
          <w:szCs w:val="16"/>
        </w:rPr>
      </w:pPr>
    </w:p>
    <w:p w:rsidR="008E1960" w:rsidRPr="00DE52CE" w:rsidRDefault="008E1960" w:rsidP="00197085">
      <w:pPr>
        <w:ind w:left="-360" w:right="43"/>
        <w:rPr>
          <w:sz w:val="16"/>
          <w:szCs w:val="16"/>
        </w:rPr>
      </w:pPr>
    </w:p>
    <w:p w:rsidR="00576098" w:rsidRPr="00DE52CE" w:rsidRDefault="00576098" w:rsidP="00197085">
      <w:pPr>
        <w:spacing w:line="360" w:lineRule="auto"/>
        <w:ind w:right="42"/>
        <w:jc w:val="both"/>
        <w:rPr>
          <w:sz w:val="22"/>
          <w:szCs w:val="22"/>
        </w:rPr>
        <w:sectPr w:rsidR="00576098" w:rsidRPr="00DE52CE" w:rsidSect="008651A8">
          <w:type w:val="continuous"/>
          <w:pgSz w:w="11906" w:h="16838"/>
          <w:pgMar w:top="1417" w:right="1417" w:bottom="1417" w:left="1417" w:header="708" w:footer="708" w:gutter="0"/>
          <w:cols w:space="708"/>
          <w:docGrid w:linePitch="360"/>
        </w:sectPr>
      </w:pPr>
    </w:p>
    <w:p w:rsidR="002569D5" w:rsidRPr="00835592" w:rsidRDefault="002569D5" w:rsidP="002569D5">
      <w:pPr>
        <w:ind w:left="-360" w:right="42"/>
        <w:jc w:val="both"/>
        <w:rPr>
          <w:b/>
          <w:bCs/>
          <w:sz w:val="8"/>
          <w:szCs w:val="8"/>
          <w:lang w:val="en-US"/>
        </w:rPr>
      </w:pPr>
      <w:r w:rsidRPr="00835592">
        <w:rPr>
          <w:b/>
          <w:bCs/>
          <w:sz w:val="22"/>
          <w:szCs w:val="22"/>
          <w:lang w:val="en-US"/>
        </w:rPr>
        <w:lastRenderedPageBreak/>
        <w:t>Figure 1: Capacity utilization rate and industrial production index (sa)</w:t>
      </w:r>
    </w:p>
    <w:p w:rsidR="00EA40DA" w:rsidRPr="00835592" w:rsidRDefault="00120ACA" w:rsidP="00D81BDB">
      <w:pPr>
        <w:ind w:left="-360" w:right="42"/>
        <w:jc w:val="both"/>
        <w:rPr>
          <w:b/>
          <w:bCs/>
          <w:sz w:val="22"/>
          <w:szCs w:val="22"/>
          <w:lang w:val="en-US"/>
        </w:rPr>
      </w:pPr>
      <w:r w:rsidRPr="00120ACA">
        <w:rPr>
          <w:noProof/>
          <w:szCs w:val="22"/>
        </w:rPr>
        <w:drawing>
          <wp:inline distT="0" distB="0" distL="0" distR="0">
            <wp:extent cx="2962689" cy="2309758"/>
            <wp:effectExtent l="19050" t="0" r="9111"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2967834" cy="2313769"/>
                    </a:xfrm>
                    <a:prstGeom prst="rect">
                      <a:avLst/>
                    </a:prstGeom>
                    <a:noFill/>
                    <a:ln w="9525">
                      <a:noFill/>
                      <a:miter lim="800000"/>
                      <a:headEnd/>
                      <a:tailEnd/>
                    </a:ln>
                  </pic:spPr>
                </pic:pic>
              </a:graphicData>
            </a:graphic>
          </wp:inline>
        </w:drawing>
      </w:r>
    </w:p>
    <w:p w:rsidR="00197085" w:rsidRPr="00835592" w:rsidRDefault="00197085" w:rsidP="00D81BDB">
      <w:pPr>
        <w:ind w:left="-360" w:right="42"/>
        <w:jc w:val="both"/>
        <w:rPr>
          <w:b/>
          <w:bCs/>
          <w:sz w:val="8"/>
          <w:szCs w:val="8"/>
          <w:lang w:val="en-US"/>
        </w:rPr>
      </w:pPr>
    </w:p>
    <w:p w:rsidR="002569D5" w:rsidRPr="00835592" w:rsidRDefault="002569D5" w:rsidP="002569D5">
      <w:pPr>
        <w:ind w:left="-360" w:right="42"/>
        <w:jc w:val="both"/>
        <w:rPr>
          <w:sz w:val="18"/>
          <w:szCs w:val="18"/>
          <w:lang w:val="en-US"/>
        </w:rPr>
      </w:pPr>
      <w:r w:rsidRPr="00835592">
        <w:rPr>
          <w:sz w:val="18"/>
          <w:szCs w:val="18"/>
          <w:lang w:val="en-US"/>
        </w:rPr>
        <w:t>Source: Turkstat (Left axis is CUR, right axis is IPI)</w:t>
      </w:r>
    </w:p>
    <w:p w:rsidR="00AA62E2" w:rsidRPr="00835592" w:rsidRDefault="00AA62E2" w:rsidP="00D81BDB">
      <w:pPr>
        <w:ind w:left="-360" w:right="42"/>
        <w:jc w:val="both"/>
        <w:rPr>
          <w:b/>
          <w:bCs/>
          <w:sz w:val="22"/>
          <w:szCs w:val="22"/>
          <w:lang w:val="en-US"/>
        </w:rPr>
      </w:pPr>
    </w:p>
    <w:p w:rsidR="002569D5" w:rsidRPr="00835592" w:rsidRDefault="002569D5" w:rsidP="002569D5">
      <w:pPr>
        <w:ind w:left="-360" w:right="42"/>
        <w:jc w:val="both"/>
        <w:rPr>
          <w:b/>
          <w:bCs/>
          <w:sz w:val="8"/>
          <w:szCs w:val="8"/>
          <w:lang w:val="en-US"/>
        </w:rPr>
      </w:pPr>
      <w:r w:rsidRPr="00835592">
        <w:rPr>
          <w:b/>
          <w:bCs/>
          <w:sz w:val="22"/>
          <w:szCs w:val="22"/>
          <w:lang w:val="en-US"/>
        </w:rPr>
        <w:t>Figure 3: Gold included current account deficit to GDP ratio, 12 months</w:t>
      </w:r>
    </w:p>
    <w:p w:rsidR="001771BD" w:rsidRPr="00835592" w:rsidRDefault="009207B2" w:rsidP="00BF50E6">
      <w:pPr>
        <w:ind w:left="-360" w:right="42"/>
        <w:jc w:val="both"/>
        <w:rPr>
          <w:noProof/>
          <w:lang w:val="en-US"/>
        </w:rPr>
      </w:pPr>
      <w:r w:rsidRPr="009207B2">
        <w:rPr>
          <w:noProof/>
        </w:rPr>
        <w:drawing>
          <wp:inline distT="0" distB="0" distL="0" distR="0">
            <wp:extent cx="2904365" cy="2011680"/>
            <wp:effectExtent l="1905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2904846" cy="2012013"/>
                    </a:xfrm>
                    <a:prstGeom prst="rect">
                      <a:avLst/>
                    </a:prstGeom>
                    <a:noFill/>
                    <a:ln w="9525">
                      <a:noFill/>
                      <a:miter lim="800000"/>
                      <a:headEnd/>
                      <a:tailEnd/>
                    </a:ln>
                  </pic:spPr>
                </pic:pic>
              </a:graphicData>
            </a:graphic>
          </wp:inline>
        </w:drawing>
      </w:r>
    </w:p>
    <w:p w:rsidR="009207B2" w:rsidRDefault="002569D5" w:rsidP="002569D5">
      <w:pPr>
        <w:ind w:left="-360" w:right="42"/>
        <w:rPr>
          <w:b/>
          <w:bCs/>
          <w:sz w:val="22"/>
          <w:szCs w:val="22"/>
          <w:lang w:val="en-US"/>
        </w:rPr>
      </w:pPr>
      <w:r w:rsidRPr="00835592">
        <w:rPr>
          <w:sz w:val="18"/>
          <w:szCs w:val="18"/>
          <w:lang w:val="en-US"/>
        </w:rPr>
        <w:t>Source: Turkstat, TCMB, Betam</w:t>
      </w:r>
    </w:p>
    <w:p w:rsidR="009207B2" w:rsidRDefault="00197085" w:rsidP="002569D5">
      <w:pPr>
        <w:ind w:left="-360" w:right="42"/>
        <w:rPr>
          <w:b/>
          <w:bCs/>
          <w:sz w:val="22"/>
          <w:szCs w:val="22"/>
          <w:lang w:val="en-US"/>
        </w:rPr>
      </w:pPr>
      <w:r w:rsidRPr="00835592">
        <w:rPr>
          <w:b/>
          <w:bCs/>
          <w:sz w:val="22"/>
          <w:szCs w:val="22"/>
          <w:lang w:val="en-US"/>
        </w:rPr>
        <w:br/>
      </w:r>
    </w:p>
    <w:p w:rsidR="009207B2" w:rsidRDefault="009207B2" w:rsidP="002569D5">
      <w:pPr>
        <w:ind w:left="-360" w:right="42"/>
        <w:rPr>
          <w:b/>
          <w:bCs/>
          <w:sz w:val="22"/>
          <w:szCs w:val="22"/>
          <w:lang w:val="en-US"/>
        </w:rPr>
      </w:pPr>
    </w:p>
    <w:p w:rsidR="002569D5" w:rsidRPr="00835592" w:rsidRDefault="002569D5" w:rsidP="002569D5">
      <w:pPr>
        <w:ind w:left="-360" w:right="42"/>
        <w:rPr>
          <w:b/>
          <w:bCs/>
          <w:sz w:val="22"/>
          <w:szCs w:val="22"/>
          <w:lang w:val="en-US"/>
        </w:rPr>
      </w:pPr>
      <w:r w:rsidRPr="00835592">
        <w:rPr>
          <w:b/>
          <w:bCs/>
          <w:sz w:val="22"/>
          <w:szCs w:val="22"/>
          <w:lang w:val="en-US"/>
        </w:rPr>
        <w:lastRenderedPageBreak/>
        <w:t>Figure 2: Volume indices of exports and imports (sa)</w:t>
      </w:r>
    </w:p>
    <w:p w:rsidR="00EA40DA" w:rsidRPr="00835592" w:rsidRDefault="00AA62E2" w:rsidP="00BF50E6">
      <w:pPr>
        <w:ind w:left="-360" w:right="42"/>
        <w:jc w:val="both"/>
        <w:rPr>
          <w:b/>
          <w:bCs/>
          <w:sz w:val="22"/>
          <w:szCs w:val="22"/>
          <w:lang w:val="en-US"/>
        </w:rPr>
      </w:pPr>
      <w:r w:rsidRPr="00AA62E2">
        <w:rPr>
          <w:noProof/>
          <w:szCs w:val="22"/>
        </w:rPr>
        <w:drawing>
          <wp:inline distT="0" distB="0" distL="0" distR="0">
            <wp:extent cx="2946786" cy="2304061"/>
            <wp:effectExtent l="19050" t="0" r="5964"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2950099" cy="2306651"/>
                    </a:xfrm>
                    <a:prstGeom prst="rect">
                      <a:avLst/>
                    </a:prstGeom>
                    <a:noFill/>
                    <a:ln w="9525">
                      <a:noFill/>
                      <a:miter lim="800000"/>
                      <a:headEnd/>
                      <a:tailEnd/>
                    </a:ln>
                  </pic:spPr>
                </pic:pic>
              </a:graphicData>
            </a:graphic>
          </wp:inline>
        </w:drawing>
      </w:r>
    </w:p>
    <w:p w:rsidR="00197085" w:rsidRPr="00835592" w:rsidRDefault="00197085" w:rsidP="00BF50E6">
      <w:pPr>
        <w:spacing w:line="360" w:lineRule="auto"/>
        <w:ind w:left="-360" w:right="42"/>
        <w:jc w:val="both"/>
        <w:rPr>
          <w:sz w:val="4"/>
          <w:szCs w:val="4"/>
          <w:lang w:val="en-US"/>
        </w:rPr>
      </w:pPr>
    </w:p>
    <w:p w:rsidR="002569D5" w:rsidRPr="00835592" w:rsidRDefault="002569D5" w:rsidP="002569D5">
      <w:pPr>
        <w:ind w:left="-360" w:right="42"/>
        <w:jc w:val="both"/>
        <w:rPr>
          <w:b/>
          <w:bCs/>
          <w:sz w:val="18"/>
          <w:szCs w:val="18"/>
          <w:lang w:val="en-US"/>
        </w:rPr>
      </w:pPr>
      <w:r w:rsidRPr="00835592">
        <w:rPr>
          <w:sz w:val="18"/>
          <w:szCs w:val="18"/>
          <w:lang w:val="en-US"/>
        </w:rPr>
        <w:t>Source: Turkstat, Betam</w:t>
      </w:r>
    </w:p>
    <w:p w:rsidR="009207B2" w:rsidRPr="00835592" w:rsidRDefault="00197085" w:rsidP="002569D5">
      <w:pPr>
        <w:ind w:left="-360" w:right="42"/>
        <w:jc w:val="both"/>
        <w:rPr>
          <w:b/>
          <w:bCs/>
          <w:sz w:val="22"/>
          <w:szCs w:val="22"/>
          <w:lang w:val="en-US"/>
        </w:rPr>
      </w:pPr>
      <w:r w:rsidRPr="00835592">
        <w:rPr>
          <w:b/>
          <w:bCs/>
          <w:sz w:val="22"/>
          <w:szCs w:val="22"/>
          <w:lang w:val="en-US"/>
        </w:rPr>
        <w:br/>
      </w:r>
      <w:r w:rsidR="002569D5" w:rsidRPr="00835592">
        <w:rPr>
          <w:b/>
          <w:bCs/>
          <w:sz w:val="22"/>
          <w:szCs w:val="22"/>
          <w:lang w:val="en-US"/>
        </w:rPr>
        <w:t>Figure 4: Gold excluded current account deficit to GDP ratio, 12 months</w:t>
      </w:r>
    </w:p>
    <w:p w:rsidR="00197085" w:rsidRPr="00835592" w:rsidRDefault="00197085" w:rsidP="002569D5">
      <w:pPr>
        <w:ind w:left="-360" w:right="42"/>
        <w:jc w:val="both"/>
        <w:rPr>
          <w:sz w:val="4"/>
          <w:szCs w:val="4"/>
          <w:lang w:val="en-US"/>
        </w:rPr>
      </w:pPr>
    </w:p>
    <w:p w:rsidR="00197085" w:rsidRPr="00835592" w:rsidRDefault="009207B2" w:rsidP="00197085">
      <w:pPr>
        <w:ind w:left="-360" w:right="42"/>
        <w:jc w:val="both"/>
        <w:rPr>
          <w:lang w:val="en-US"/>
        </w:rPr>
      </w:pPr>
      <w:r w:rsidRPr="009207B2">
        <w:rPr>
          <w:noProof/>
        </w:rPr>
        <w:drawing>
          <wp:inline distT="0" distB="0" distL="0" distR="0">
            <wp:extent cx="2876550" cy="2000250"/>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2879338" cy="2002189"/>
                    </a:xfrm>
                    <a:prstGeom prst="rect">
                      <a:avLst/>
                    </a:prstGeom>
                    <a:noFill/>
                    <a:ln w="9525">
                      <a:noFill/>
                      <a:miter lim="800000"/>
                      <a:headEnd/>
                      <a:tailEnd/>
                    </a:ln>
                  </pic:spPr>
                </pic:pic>
              </a:graphicData>
            </a:graphic>
          </wp:inline>
        </w:drawing>
      </w:r>
    </w:p>
    <w:p w:rsidR="00197085" w:rsidRPr="00835592" w:rsidRDefault="002569D5" w:rsidP="00197085">
      <w:pPr>
        <w:spacing w:line="360" w:lineRule="auto"/>
        <w:ind w:right="42"/>
        <w:jc w:val="both"/>
        <w:rPr>
          <w:sz w:val="18"/>
          <w:szCs w:val="18"/>
          <w:lang w:val="en-US"/>
        </w:rPr>
      </w:pPr>
      <w:r w:rsidRPr="00835592">
        <w:rPr>
          <w:sz w:val="18"/>
          <w:szCs w:val="18"/>
          <w:lang w:val="en-US"/>
        </w:rPr>
        <w:t>Source: Turkstat, TCMB, Betam</w:t>
      </w:r>
    </w:p>
    <w:p w:rsidR="002569D5" w:rsidRPr="00835592" w:rsidRDefault="002569D5" w:rsidP="00197085">
      <w:pPr>
        <w:spacing w:line="360" w:lineRule="auto"/>
        <w:ind w:right="42"/>
        <w:jc w:val="both"/>
        <w:rPr>
          <w:sz w:val="22"/>
          <w:szCs w:val="22"/>
          <w:lang w:val="en-US"/>
        </w:rPr>
        <w:sectPr w:rsidR="002569D5" w:rsidRPr="00835592" w:rsidSect="007067F4">
          <w:type w:val="continuous"/>
          <w:pgSz w:w="11906" w:h="16838"/>
          <w:pgMar w:top="1417" w:right="1417" w:bottom="1417" w:left="1417" w:header="708" w:footer="708" w:gutter="0"/>
          <w:cols w:num="2" w:space="708" w:equalWidth="0">
            <w:col w:w="4182" w:space="708"/>
            <w:col w:w="4182"/>
          </w:cols>
          <w:docGrid w:linePitch="360"/>
        </w:sectPr>
      </w:pPr>
    </w:p>
    <w:p w:rsidR="00197085" w:rsidRPr="00835592" w:rsidRDefault="00197085" w:rsidP="00197085">
      <w:pPr>
        <w:spacing w:line="360" w:lineRule="auto"/>
        <w:ind w:left="-360" w:right="42"/>
        <w:jc w:val="both"/>
        <w:rPr>
          <w:b/>
          <w:bCs/>
          <w:sz w:val="22"/>
          <w:szCs w:val="22"/>
          <w:lang w:val="en-US"/>
        </w:rPr>
      </w:pPr>
    </w:p>
    <w:p w:rsidR="00197085" w:rsidRPr="00835592" w:rsidRDefault="00197085" w:rsidP="0011609A">
      <w:pPr>
        <w:ind w:left="-360" w:right="42"/>
        <w:rPr>
          <w:b/>
          <w:bCs/>
          <w:sz w:val="22"/>
          <w:szCs w:val="22"/>
          <w:lang w:val="en-US"/>
        </w:rPr>
      </w:pPr>
      <w:r w:rsidRPr="00835592">
        <w:rPr>
          <w:sz w:val="18"/>
          <w:szCs w:val="18"/>
          <w:lang w:val="en-US"/>
        </w:rPr>
        <w:tab/>
      </w:r>
    </w:p>
    <w:p w:rsidR="00197085" w:rsidRPr="00DE52CE" w:rsidRDefault="00197085" w:rsidP="00197085">
      <w:pPr>
        <w:ind w:left="-360" w:right="42"/>
        <w:jc w:val="both"/>
        <w:rPr>
          <w:b/>
          <w:bCs/>
          <w:sz w:val="22"/>
          <w:szCs w:val="22"/>
        </w:rPr>
      </w:pPr>
    </w:p>
    <w:p w:rsidR="00197085" w:rsidRPr="00DE52CE" w:rsidRDefault="00197085" w:rsidP="00197085">
      <w:pPr>
        <w:ind w:left="-360" w:right="42"/>
        <w:jc w:val="both"/>
        <w:rPr>
          <w:b/>
          <w:bCs/>
          <w:sz w:val="22"/>
          <w:szCs w:val="22"/>
        </w:rPr>
      </w:pPr>
    </w:p>
    <w:p w:rsidR="00197085" w:rsidRPr="00DE52CE" w:rsidRDefault="00197085" w:rsidP="00197085">
      <w:pPr>
        <w:ind w:left="-360" w:right="42"/>
        <w:jc w:val="both"/>
        <w:rPr>
          <w:b/>
          <w:bCs/>
          <w:sz w:val="22"/>
          <w:szCs w:val="22"/>
        </w:rPr>
      </w:pPr>
    </w:p>
    <w:p w:rsidR="008C6E09" w:rsidRPr="00DE52CE" w:rsidRDefault="008C6E09" w:rsidP="00197085">
      <w:pPr>
        <w:spacing w:line="360" w:lineRule="auto"/>
        <w:ind w:right="42"/>
        <w:jc w:val="both"/>
        <w:rPr>
          <w:b/>
          <w:bCs/>
          <w:sz w:val="22"/>
          <w:szCs w:val="22"/>
        </w:rPr>
      </w:pPr>
    </w:p>
    <w:sectPr w:rsidR="008C6E09" w:rsidRPr="00DE52CE" w:rsidSect="00E9738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197" w:rsidRDefault="00691197">
      <w:r>
        <w:separator/>
      </w:r>
    </w:p>
  </w:endnote>
  <w:endnote w:type="continuationSeparator" w:id="0">
    <w:p w:rsidR="00691197" w:rsidRDefault="0069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8D" w:rsidRDefault="00413C51" w:rsidP="00D830C4">
    <w:pPr>
      <w:pStyle w:val="Footer"/>
      <w:framePr w:wrap="auto" w:vAnchor="text" w:hAnchor="margin" w:xAlign="right" w:y="1"/>
      <w:rPr>
        <w:rStyle w:val="PageNumber"/>
      </w:rPr>
    </w:pPr>
    <w:r>
      <w:rPr>
        <w:rStyle w:val="PageNumber"/>
      </w:rPr>
      <w:fldChar w:fldCharType="begin"/>
    </w:r>
    <w:r w:rsidR="00EB408D">
      <w:rPr>
        <w:rStyle w:val="PageNumber"/>
      </w:rPr>
      <w:instrText xml:space="preserve">PAGE  </w:instrText>
    </w:r>
    <w:r>
      <w:rPr>
        <w:rStyle w:val="PageNumber"/>
      </w:rPr>
      <w:fldChar w:fldCharType="separate"/>
    </w:r>
    <w:r w:rsidR="00A14DC7">
      <w:rPr>
        <w:rStyle w:val="PageNumber"/>
        <w:noProof/>
      </w:rPr>
      <w:t>1</w:t>
    </w:r>
    <w:r>
      <w:rPr>
        <w:rStyle w:val="PageNumber"/>
      </w:rPr>
      <w:fldChar w:fldCharType="end"/>
    </w:r>
  </w:p>
  <w:p w:rsidR="00EB408D" w:rsidRPr="007B51E3" w:rsidRDefault="00EB408D" w:rsidP="007B51E3">
    <w:pPr>
      <w:pStyle w:val="Footer"/>
      <w:ind w:right="360"/>
      <w:jc w:val="center"/>
      <w:rPr>
        <w:b/>
        <w:bCs/>
        <w:i/>
        <w:iCs/>
      </w:rPr>
    </w:pPr>
    <w:r w:rsidRPr="007B51E3">
      <w:rPr>
        <w:b/>
        <w:bCs/>
        <w:i/>
        <w:iCs/>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90" w:rsidRDefault="00413C51" w:rsidP="00D830C4">
    <w:pPr>
      <w:pStyle w:val="Footer"/>
      <w:framePr w:wrap="auto" w:vAnchor="text" w:hAnchor="margin" w:xAlign="right" w:y="1"/>
      <w:rPr>
        <w:rStyle w:val="PageNumber"/>
      </w:rPr>
    </w:pPr>
    <w:r>
      <w:rPr>
        <w:rStyle w:val="PageNumber"/>
      </w:rPr>
      <w:fldChar w:fldCharType="begin"/>
    </w:r>
    <w:r w:rsidR="00C76E90">
      <w:rPr>
        <w:rStyle w:val="PageNumber"/>
      </w:rPr>
      <w:instrText xml:space="preserve">PAGE  </w:instrText>
    </w:r>
    <w:r>
      <w:rPr>
        <w:rStyle w:val="PageNumber"/>
      </w:rPr>
      <w:fldChar w:fldCharType="separate"/>
    </w:r>
    <w:r w:rsidR="00A14DC7">
      <w:rPr>
        <w:rStyle w:val="PageNumber"/>
        <w:noProof/>
      </w:rPr>
      <w:t>2</w:t>
    </w:r>
    <w:r>
      <w:rPr>
        <w:rStyle w:val="PageNumber"/>
      </w:rPr>
      <w:fldChar w:fldCharType="end"/>
    </w:r>
  </w:p>
  <w:p w:rsidR="00C76E90" w:rsidRPr="007B51E3" w:rsidRDefault="00C76E90" w:rsidP="007B51E3">
    <w:pPr>
      <w:pStyle w:val="Footer"/>
      <w:ind w:right="360"/>
      <w:jc w:val="center"/>
      <w:rPr>
        <w:b/>
        <w:bCs/>
        <w:i/>
        <w:iCs/>
      </w:rPr>
    </w:pPr>
    <w:r w:rsidRPr="007B51E3">
      <w:rPr>
        <w:b/>
        <w:bCs/>
        <w:i/>
        <w:iCs/>
      </w:rPr>
      <w:t>www.betam.bahcesehir.edu.tr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197" w:rsidRDefault="00691197">
      <w:r>
        <w:separator/>
      </w:r>
    </w:p>
  </w:footnote>
  <w:footnote w:type="continuationSeparator" w:id="0">
    <w:p w:rsidR="00691197" w:rsidRDefault="00691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DA43944"/>
    <w:multiLevelType w:val="hybridMultilevel"/>
    <w:tmpl w:val="3DD222B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CC"/>
    <w:rsid w:val="0000014A"/>
    <w:rsid w:val="000015B4"/>
    <w:rsid w:val="00001CF9"/>
    <w:rsid w:val="0000230B"/>
    <w:rsid w:val="0000306F"/>
    <w:rsid w:val="000039F2"/>
    <w:rsid w:val="00004860"/>
    <w:rsid w:val="00004B78"/>
    <w:rsid w:val="0000507C"/>
    <w:rsid w:val="000056C3"/>
    <w:rsid w:val="0000704D"/>
    <w:rsid w:val="00007FD2"/>
    <w:rsid w:val="00011090"/>
    <w:rsid w:val="0001121A"/>
    <w:rsid w:val="000117B7"/>
    <w:rsid w:val="0001277D"/>
    <w:rsid w:val="0001288B"/>
    <w:rsid w:val="000144EB"/>
    <w:rsid w:val="000148D5"/>
    <w:rsid w:val="000150D2"/>
    <w:rsid w:val="00015321"/>
    <w:rsid w:val="0001590C"/>
    <w:rsid w:val="00016BDF"/>
    <w:rsid w:val="00017809"/>
    <w:rsid w:val="0002037B"/>
    <w:rsid w:val="000205A1"/>
    <w:rsid w:val="00020744"/>
    <w:rsid w:val="000208EA"/>
    <w:rsid w:val="00020AC4"/>
    <w:rsid w:val="000212AC"/>
    <w:rsid w:val="000217AE"/>
    <w:rsid w:val="000224B9"/>
    <w:rsid w:val="000232EC"/>
    <w:rsid w:val="000233A7"/>
    <w:rsid w:val="00024559"/>
    <w:rsid w:val="000262EC"/>
    <w:rsid w:val="00026F21"/>
    <w:rsid w:val="00027316"/>
    <w:rsid w:val="00027FC3"/>
    <w:rsid w:val="000311C6"/>
    <w:rsid w:val="00031D72"/>
    <w:rsid w:val="0003248D"/>
    <w:rsid w:val="00033700"/>
    <w:rsid w:val="000337CE"/>
    <w:rsid w:val="00033AF8"/>
    <w:rsid w:val="00034090"/>
    <w:rsid w:val="0003546D"/>
    <w:rsid w:val="00043092"/>
    <w:rsid w:val="00043365"/>
    <w:rsid w:val="000449FC"/>
    <w:rsid w:val="00044A0F"/>
    <w:rsid w:val="00045C5A"/>
    <w:rsid w:val="00047550"/>
    <w:rsid w:val="00047B99"/>
    <w:rsid w:val="00047E9F"/>
    <w:rsid w:val="0005037D"/>
    <w:rsid w:val="00050453"/>
    <w:rsid w:val="000507D6"/>
    <w:rsid w:val="000509A3"/>
    <w:rsid w:val="00052AD4"/>
    <w:rsid w:val="00052D7A"/>
    <w:rsid w:val="00052EFB"/>
    <w:rsid w:val="00054BD3"/>
    <w:rsid w:val="00056118"/>
    <w:rsid w:val="00056B3E"/>
    <w:rsid w:val="0005760C"/>
    <w:rsid w:val="00060119"/>
    <w:rsid w:val="00060540"/>
    <w:rsid w:val="00061256"/>
    <w:rsid w:val="000616F0"/>
    <w:rsid w:val="00061732"/>
    <w:rsid w:val="00063005"/>
    <w:rsid w:val="00064013"/>
    <w:rsid w:val="00064636"/>
    <w:rsid w:val="0006518B"/>
    <w:rsid w:val="00065B3C"/>
    <w:rsid w:val="0006725C"/>
    <w:rsid w:val="000678F9"/>
    <w:rsid w:val="00070FF1"/>
    <w:rsid w:val="000716BA"/>
    <w:rsid w:val="000716CA"/>
    <w:rsid w:val="0007202B"/>
    <w:rsid w:val="00072321"/>
    <w:rsid w:val="00072407"/>
    <w:rsid w:val="00074648"/>
    <w:rsid w:val="000750E3"/>
    <w:rsid w:val="00076BAC"/>
    <w:rsid w:val="0007701E"/>
    <w:rsid w:val="00077A9D"/>
    <w:rsid w:val="00077FF4"/>
    <w:rsid w:val="00080D7E"/>
    <w:rsid w:val="00081E3F"/>
    <w:rsid w:val="000829B5"/>
    <w:rsid w:val="00082FE4"/>
    <w:rsid w:val="000833C7"/>
    <w:rsid w:val="00083FD1"/>
    <w:rsid w:val="00084AE9"/>
    <w:rsid w:val="0008631D"/>
    <w:rsid w:val="0008735C"/>
    <w:rsid w:val="000875E6"/>
    <w:rsid w:val="00087E0A"/>
    <w:rsid w:val="00090498"/>
    <w:rsid w:val="0009059A"/>
    <w:rsid w:val="000906B6"/>
    <w:rsid w:val="000911E6"/>
    <w:rsid w:val="000925B3"/>
    <w:rsid w:val="00092972"/>
    <w:rsid w:val="00095A7D"/>
    <w:rsid w:val="000960F1"/>
    <w:rsid w:val="00096B4E"/>
    <w:rsid w:val="00097E2B"/>
    <w:rsid w:val="000A0D4D"/>
    <w:rsid w:val="000A2514"/>
    <w:rsid w:val="000A27A5"/>
    <w:rsid w:val="000A292B"/>
    <w:rsid w:val="000A399E"/>
    <w:rsid w:val="000A5675"/>
    <w:rsid w:val="000A583D"/>
    <w:rsid w:val="000A687F"/>
    <w:rsid w:val="000A6907"/>
    <w:rsid w:val="000A701D"/>
    <w:rsid w:val="000A79A0"/>
    <w:rsid w:val="000B0589"/>
    <w:rsid w:val="000B100E"/>
    <w:rsid w:val="000B16FB"/>
    <w:rsid w:val="000B2409"/>
    <w:rsid w:val="000B2AF0"/>
    <w:rsid w:val="000B2B47"/>
    <w:rsid w:val="000B2BF9"/>
    <w:rsid w:val="000B2E92"/>
    <w:rsid w:val="000B325E"/>
    <w:rsid w:val="000B3424"/>
    <w:rsid w:val="000B3995"/>
    <w:rsid w:val="000B3C1E"/>
    <w:rsid w:val="000B41F3"/>
    <w:rsid w:val="000B42EA"/>
    <w:rsid w:val="000B469F"/>
    <w:rsid w:val="000B498E"/>
    <w:rsid w:val="000B50AD"/>
    <w:rsid w:val="000B50DE"/>
    <w:rsid w:val="000B6120"/>
    <w:rsid w:val="000B6127"/>
    <w:rsid w:val="000B7B77"/>
    <w:rsid w:val="000B7E7D"/>
    <w:rsid w:val="000B7E94"/>
    <w:rsid w:val="000C2102"/>
    <w:rsid w:val="000C2F1B"/>
    <w:rsid w:val="000C40CE"/>
    <w:rsid w:val="000C52BF"/>
    <w:rsid w:val="000C5B7E"/>
    <w:rsid w:val="000C667B"/>
    <w:rsid w:val="000C7A83"/>
    <w:rsid w:val="000C7B42"/>
    <w:rsid w:val="000D0C5A"/>
    <w:rsid w:val="000D1198"/>
    <w:rsid w:val="000D17A2"/>
    <w:rsid w:val="000D1A3A"/>
    <w:rsid w:val="000D1F14"/>
    <w:rsid w:val="000D49FD"/>
    <w:rsid w:val="000D56EB"/>
    <w:rsid w:val="000D5927"/>
    <w:rsid w:val="000E01ED"/>
    <w:rsid w:val="000E0654"/>
    <w:rsid w:val="000E10A3"/>
    <w:rsid w:val="000E1F75"/>
    <w:rsid w:val="000E2708"/>
    <w:rsid w:val="000E4E83"/>
    <w:rsid w:val="000E5365"/>
    <w:rsid w:val="000E631E"/>
    <w:rsid w:val="000E6807"/>
    <w:rsid w:val="000E74B5"/>
    <w:rsid w:val="000E7AB3"/>
    <w:rsid w:val="000E7CBB"/>
    <w:rsid w:val="000F00C0"/>
    <w:rsid w:val="000F0372"/>
    <w:rsid w:val="000F0719"/>
    <w:rsid w:val="000F0C2B"/>
    <w:rsid w:val="000F2DB4"/>
    <w:rsid w:val="000F360E"/>
    <w:rsid w:val="000F396D"/>
    <w:rsid w:val="000F4941"/>
    <w:rsid w:val="000F5457"/>
    <w:rsid w:val="000F71D2"/>
    <w:rsid w:val="001007B5"/>
    <w:rsid w:val="001009B7"/>
    <w:rsid w:val="001044D1"/>
    <w:rsid w:val="00106470"/>
    <w:rsid w:val="001075D1"/>
    <w:rsid w:val="00107FF7"/>
    <w:rsid w:val="001105B2"/>
    <w:rsid w:val="00110831"/>
    <w:rsid w:val="001117C6"/>
    <w:rsid w:val="0011236C"/>
    <w:rsid w:val="0011279B"/>
    <w:rsid w:val="00112E08"/>
    <w:rsid w:val="00113C74"/>
    <w:rsid w:val="001144FB"/>
    <w:rsid w:val="00114BC7"/>
    <w:rsid w:val="0011609A"/>
    <w:rsid w:val="00117A11"/>
    <w:rsid w:val="00117AE9"/>
    <w:rsid w:val="00120ACA"/>
    <w:rsid w:val="00121017"/>
    <w:rsid w:val="00121ABE"/>
    <w:rsid w:val="00121B5E"/>
    <w:rsid w:val="0012262F"/>
    <w:rsid w:val="001236FF"/>
    <w:rsid w:val="00123E71"/>
    <w:rsid w:val="0012410A"/>
    <w:rsid w:val="001251CC"/>
    <w:rsid w:val="00125FC6"/>
    <w:rsid w:val="001260D7"/>
    <w:rsid w:val="001261A8"/>
    <w:rsid w:val="001267DF"/>
    <w:rsid w:val="00126DC9"/>
    <w:rsid w:val="00130959"/>
    <w:rsid w:val="0013240F"/>
    <w:rsid w:val="00132E7B"/>
    <w:rsid w:val="001331CB"/>
    <w:rsid w:val="0013381D"/>
    <w:rsid w:val="001344A4"/>
    <w:rsid w:val="00135B82"/>
    <w:rsid w:val="00135B92"/>
    <w:rsid w:val="001360D1"/>
    <w:rsid w:val="00136362"/>
    <w:rsid w:val="00136A69"/>
    <w:rsid w:val="00140831"/>
    <w:rsid w:val="001408D6"/>
    <w:rsid w:val="00140E1E"/>
    <w:rsid w:val="00141143"/>
    <w:rsid w:val="0014123B"/>
    <w:rsid w:val="00141B1A"/>
    <w:rsid w:val="00141B83"/>
    <w:rsid w:val="00141B88"/>
    <w:rsid w:val="00141B93"/>
    <w:rsid w:val="00143024"/>
    <w:rsid w:val="00143828"/>
    <w:rsid w:val="00143A92"/>
    <w:rsid w:val="00143DE9"/>
    <w:rsid w:val="00144285"/>
    <w:rsid w:val="00144338"/>
    <w:rsid w:val="00144BF5"/>
    <w:rsid w:val="001466BE"/>
    <w:rsid w:val="001508C3"/>
    <w:rsid w:val="00150CCB"/>
    <w:rsid w:val="00150FB9"/>
    <w:rsid w:val="001510B5"/>
    <w:rsid w:val="00151BCF"/>
    <w:rsid w:val="0015370A"/>
    <w:rsid w:val="00154503"/>
    <w:rsid w:val="00154510"/>
    <w:rsid w:val="001553F2"/>
    <w:rsid w:val="0015586B"/>
    <w:rsid w:val="00155EE3"/>
    <w:rsid w:val="0015676E"/>
    <w:rsid w:val="00156914"/>
    <w:rsid w:val="00157DC2"/>
    <w:rsid w:val="00157E8F"/>
    <w:rsid w:val="001609FA"/>
    <w:rsid w:val="00160EF6"/>
    <w:rsid w:val="00161689"/>
    <w:rsid w:val="00162629"/>
    <w:rsid w:val="001632B0"/>
    <w:rsid w:val="0016401E"/>
    <w:rsid w:val="001653F9"/>
    <w:rsid w:val="00165552"/>
    <w:rsid w:val="00165AAB"/>
    <w:rsid w:val="00165C4C"/>
    <w:rsid w:val="00165C59"/>
    <w:rsid w:val="00165CB0"/>
    <w:rsid w:val="001664DC"/>
    <w:rsid w:val="00166FE5"/>
    <w:rsid w:val="00167D69"/>
    <w:rsid w:val="00167F5B"/>
    <w:rsid w:val="00170502"/>
    <w:rsid w:val="00170CA9"/>
    <w:rsid w:val="0017121A"/>
    <w:rsid w:val="00171424"/>
    <w:rsid w:val="00172263"/>
    <w:rsid w:val="0017326D"/>
    <w:rsid w:val="00173824"/>
    <w:rsid w:val="00175574"/>
    <w:rsid w:val="00175F89"/>
    <w:rsid w:val="00176E56"/>
    <w:rsid w:val="001771BD"/>
    <w:rsid w:val="00177FE3"/>
    <w:rsid w:val="0018034E"/>
    <w:rsid w:val="00180C8C"/>
    <w:rsid w:val="00181B5A"/>
    <w:rsid w:val="00182F2B"/>
    <w:rsid w:val="001834EF"/>
    <w:rsid w:val="00183507"/>
    <w:rsid w:val="00183684"/>
    <w:rsid w:val="001837A6"/>
    <w:rsid w:val="00183896"/>
    <w:rsid w:val="0018601B"/>
    <w:rsid w:val="00186DB6"/>
    <w:rsid w:val="00190F20"/>
    <w:rsid w:val="0019159E"/>
    <w:rsid w:val="001927BD"/>
    <w:rsid w:val="00193682"/>
    <w:rsid w:val="001938A7"/>
    <w:rsid w:val="00193F73"/>
    <w:rsid w:val="001947D8"/>
    <w:rsid w:val="0019538C"/>
    <w:rsid w:val="00197085"/>
    <w:rsid w:val="00197602"/>
    <w:rsid w:val="00197ACB"/>
    <w:rsid w:val="00197D95"/>
    <w:rsid w:val="001A054B"/>
    <w:rsid w:val="001A2051"/>
    <w:rsid w:val="001A2B3D"/>
    <w:rsid w:val="001A3025"/>
    <w:rsid w:val="001A319A"/>
    <w:rsid w:val="001A4381"/>
    <w:rsid w:val="001A45BC"/>
    <w:rsid w:val="001A528A"/>
    <w:rsid w:val="001A5534"/>
    <w:rsid w:val="001A6188"/>
    <w:rsid w:val="001A6206"/>
    <w:rsid w:val="001A772F"/>
    <w:rsid w:val="001B0683"/>
    <w:rsid w:val="001B0EF9"/>
    <w:rsid w:val="001B1651"/>
    <w:rsid w:val="001B1CE5"/>
    <w:rsid w:val="001B2F96"/>
    <w:rsid w:val="001B30CF"/>
    <w:rsid w:val="001B30E0"/>
    <w:rsid w:val="001B34B5"/>
    <w:rsid w:val="001B3B49"/>
    <w:rsid w:val="001B3C7B"/>
    <w:rsid w:val="001B6AFA"/>
    <w:rsid w:val="001C0377"/>
    <w:rsid w:val="001C184E"/>
    <w:rsid w:val="001C295D"/>
    <w:rsid w:val="001C3FD3"/>
    <w:rsid w:val="001C4996"/>
    <w:rsid w:val="001C62D3"/>
    <w:rsid w:val="001C6BAB"/>
    <w:rsid w:val="001C7334"/>
    <w:rsid w:val="001C7C05"/>
    <w:rsid w:val="001D09B1"/>
    <w:rsid w:val="001D129A"/>
    <w:rsid w:val="001D187A"/>
    <w:rsid w:val="001D1F1B"/>
    <w:rsid w:val="001D2615"/>
    <w:rsid w:val="001D39B6"/>
    <w:rsid w:val="001D3F5A"/>
    <w:rsid w:val="001D436C"/>
    <w:rsid w:val="001D6B75"/>
    <w:rsid w:val="001D76BF"/>
    <w:rsid w:val="001E0274"/>
    <w:rsid w:val="001E115E"/>
    <w:rsid w:val="001E27F8"/>
    <w:rsid w:val="001E2EE8"/>
    <w:rsid w:val="001E30C3"/>
    <w:rsid w:val="001E3C27"/>
    <w:rsid w:val="001E4BF5"/>
    <w:rsid w:val="001E4DC5"/>
    <w:rsid w:val="001E4E32"/>
    <w:rsid w:val="001E5387"/>
    <w:rsid w:val="001E739D"/>
    <w:rsid w:val="001E75C8"/>
    <w:rsid w:val="001E7720"/>
    <w:rsid w:val="001E7744"/>
    <w:rsid w:val="001F2761"/>
    <w:rsid w:val="001F2A11"/>
    <w:rsid w:val="001F4CFB"/>
    <w:rsid w:val="001F583D"/>
    <w:rsid w:val="001F6F00"/>
    <w:rsid w:val="001F7144"/>
    <w:rsid w:val="001F71A5"/>
    <w:rsid w:val="001F7216"/>
    <w:rsid w:val="001F775A"/>
    <w:rsid w:val="00200C11"/>
    <w:rsid w:val="00200D5C"/>
    <w:rsid w:val="0020167B"/>
    <w:rsid w:val="00204364"/>
    <w:rsid w:val="0020464B"/>
    <w:rsid w:val="00206291"/>
    <w:rsid w:val="00206862"/>
    <w:rsid w:val="00207185"/>
    <w:rsid w:val="00207313"/>
    <w:rsid w:val="0020739E"/>
    <w:rsid w:val="00207C8A"/>
    <w:rsid w:val="00207CC3"/>
    <w:rsid w:val="0021024B"/>
    <w:rsid w:val="00212675"/>
    <w:rsid w:val="00213153"/>
    <w:rsid w:val="0021387C"/>
    <w:rsid w:val="0021657F"/>
    <w:rsid w:val="0021684B"/>
    <w:rsid w:val="002168E5"/>
    <w:rsid w:val="002173B9"/>
    <w:rsid w:val="0021766E"/>
    <w:rsid w:val="002176C5"/>
    <w:rsid w:val="00217D35"/>
    <w:rsid w:val="00220B5E"/>
    <w:rsid w:val="00221184"/>
    <w:rsid w:val="00221E8C"/>
    <w:rsid w:val="00223A5B"/>
    <w:rsid w:val="002242A1"/>
    <w:rsid w:val="00224908"/>
    <w:rsid w:val="00224F8E"/>
    <w:rsid w:val="00225204"/>
    <w:rsid w:val="002267C7"/>
    <w:rsid w:val="00226D50"/>
    <w:rsid w:val="002272CB"/>
    <w:rsid w:val="00227E25"/>
    <w:rsid w:val="00231E92"/>
    <w:rsid w:val="00232243"/>
    <w:rsid w:val="0023312F"/>
    <w:rsid w:val="00233D56"/>
    <w:rsid w:val="00233FED"/>
    <w:rsid w:val="002345CA"/>
    <w:rsid w:val="00234DDB"/>
    <w:rsid w:val="00237255"/>
    <w:rsid w:val="00237353"/>
    <w:rsid w:val="0024030B"/>
    <w:rsid w:val="002414D3"/>
    <w:rsid w:val="002417D5"/>
    <w:rsid w:val="00241A67"/>
    <w:rsid w:val="00243212"/>
    <w:rsid w:val="00243355"/>
    <w:rsid w:val="00243BC2"/>
    <w:rsid w:val="00245B1F"/>
    <w:rsid w:val="00251885"/>
    <w:rsid w:val="00251DE2"/>
    <w:rsid w:val="00251E82"/>
    <w:rsid w:val="002524E8"/>
    <w:rsid w:val="00252FAF"/>
    <w:rsid w:val="00253D39"/>
    <w:rsid w:val="0025486C"/>
    <w:rsid w:val="00254A99"/>
    <w:rsid w:val="00255059"/>
    <w:rsid w:val="002563B1"/>
    <w:rsid w:val="002569D5"/>
    <w:rsid w:val="002569EA"/>
    <w:rsid w:val="002576F7"/>
    <w:rsid w:val="00260B6B"/>
    <w:rsid w:val="0026114C"/>
    <w:rsid w:val="002614C1"/>
    <w:rsid w:val="002618E3"/>
    <w:rsid w:val="00261A05"/>
    <w:rsid w:val="00261B02"/>
    <w:rsid w:val="00262020"/>
    <w:rsid w:val="00263E6D"/>
    <w:rsid w:val="00264335"/>
    <w:rsid w:val="002654A6"/>
    <w:rsid w:val="00265BC9"/>
    <w:rsid w:val="002670FE"/>
    <w:rsid w:val="00267EB4"/>
    <w:rsid w:val="0027244B"/>
    <w:rsid w:val="00273CB4"/>
    <w:rsid w:val="00273E62"/>
    <w:rsid w:val="002747A6"/>
    <w:rsid w:val="00277E58"/>
    <w:rsid w:val="002802F2"/>
    <w:rsid w:val="00280552"/>
    <w:rsid w:val="002816C6"/>
    <w:rsid w:val="00281D8F"/>
    <w:rsid w:val="002820F1"/>
    <w:rsid w:val="00283666"/>
    <w:rsid w:val="002837D1"/>
    <w:rsid w:val="00284A28"/>
    <w:rsid w:val="002854D6"/>
    <w:rsid w:val="00285656"/>
    <w:rsid w:val="002871E8"/>
    <w:rsid w:val="0029079C"/>
    <w:rsid w:val="00291C79"/>
    <w:rsid w:val="0029246E"/>
    <w:rsid w:val="002926A2"/>
    <w:rsid w:val="002926BF"/>
    <w:rsid w:val="00293DC6"/>
    <w:rsid w:val="0029480C"/>
    <w:rsid w:val="002955CC"/>
    <w:rsid w:val="00295AFF"/>
    <w:rsid w:val="00297710"/>
    <w:rsid w:val="00297712"/>
    <w:rsid w:val="002A05DB"/>
    <w:rsid w:val="002A17E5"/>
    <w:rsid w:val="002A1FA0"/>
    <w:rsid w:val="002A3C68"/>
    <w:rsid w:val="002A3EDD"/>
    <w:rsid w:val="002A49A3"/>
    <w:rsid w:val="002A4AF7"/>
    <w:rsid w:val="002A5D22"/>
    <w:rsid w:val="002A5EBF"/>
    <w:rsid w:val="002A66ED"/>
    <w:rsid w:val="002B0426"/>
    <w:rsid w:val="002B2638"/>
    <w:rsid w:val="002B3129"/>
    <w:rsid w:val="002B3644"/>
    <w:rsid w:val="002B436B"/>
    <w:rsid w:val="002B58B1"/>
    <w:rsid w:val="002B626B"/>
    <w:rsid w:val="002B73C6"/>
    <w:rsid w:val="002C0FB2"/>
    <w:rsid w:val="002C11F9"/>
    <w:rsid w:val="002C236E"/>
    <w:rsid w:val="002C25CE"/>
    <w:rsid w:val="002C2DA3"/>
    <w:rsid w:val="002C4200"/>
    <w:rsid w:val="002C49EC"/>
    <w:rsid w:val="002C5F2D"/>
    <w:rsid w:val="002C7D04"/>
    <w:rsid w:val="002D1908"/>
    <w:rsid w:val="002D2F1A"/>
    <w:rsid w:val="002D3C8B"/>
    <w:rsid w:val="002D4158"/>
    <w:rsid w:val="002D44DC"/>
    <w:rsid w:val="002D5363"/>
    <w:rsid w:val="002D584B"/>
    <w:rsid w:val="002D7342"/>
    <w:rsid w:val="002E02BA"/>
    <w:rsid w:val="002E0352"/>
    <w:rsid w:val="002E0E16"/>
    <w:rsid w:val="002E1EA4"/>
    <w:rsid w:val="002E205D"/>
    <w:rsid w:val="002E2084"/>
    <w:rsid w:val="002E26DA"/>
    <w:rsid w:val="002E31DD"/>
    <w:rsid w:val="002E41FC"/>
    <w:rsid w:val="002E527C"/>
    <w:rsid w:val="002E5D5E"/>
    <w:rsid w:val="002E6E82"/>
    <w:rsid w:val="002E6F28"/>
    <w:rsid w:val="002E6F87"/>
    <w:rsid w:val="002E7357"/>
    <w:rsid w:val="002E7860"/>
    <w:rsid w:val="002F01DF"/>
    <w:rsid w:val="002F10BD"/>
    <w:rsid w:val="002F129C"/>
    <w:rsid w:val="002F150B"/>
    <w:rsid w:val="002F1BCB"/>
    <w:rsid w:val="002F21C6"/>
    <w:rsid w:val="002F3718"/>
    <w:rsid w:val="002F3940"/>
    <w:rsid w:val="002F4648"/>
    <w:rsid w:val="002F467E"/>
    <w:rsid w:val="002F4864"/>
    <w:rsid w:val="002F5134"/>
    <w:rsid w:val="002F5863"/>
    <w:rsid w:val="002F5C24"/>
    <w:rsid w:val="002F5E1E"/>
    <w:rsid w:val="002F61A9"/>
    <w:rsid w:val="002F64AE"/>
    <w:rsid w:val="002F6BD8"/>
    <w:rsid w:val="003001AF"/>
    <w:rsid w:val="003009F0"/>
    <w:rsid w:val="0030120F"/>
    <w:rsid w:val="003012EA"/>
    <w:rsid w:val="0030237B"/>
    <w:rsid w:val="00303A3C"/>
    <w:rsid w:val="003044A5"/>
    <w:rsid w:val="0030512F"/>
    <w:rsid w:val="003051E6"/>
    <w:rsid w:val="00306265"/>
    <w:rsid w:val="00306F51"/>
    <w:rsid w:val="00307494"/>
    <w:rsid w:val="00307B72"/>
    <w:rsid w:val="0031043B"/>
    <w:rsid w:val="003118F7"/>
    <w:rsid w:val="00312428"/>
    <w:rsid w:val="0031249B"/>
    <w:rsid w:val="00312D6E"/>
    <w:rsid w:val="00312DB8"/>
    <w:rsid w:val="00312EB0"/>
    <w:rsid w:val="003134C3"/>
    <w:rsid w:val="003136F7"/>
    <w:rsid w:val="003142BA"/>
    <w:rsid w:val="003143D4"/>
    <w:rsid w:val="003146E6"/>
    <w:rsid w:val="003161A5"/>
    <w:rsid w:val="0031673E"/>
    <w:rsid w:val="0031682C"/>
    <w:rsid w:val="00316CE9"/>
    <w:rsid w:val="00316DB4"/>
    <w:rsid w:val="00320218"/>
    <w:rsid w:val="003202F8"/>
    <w:rsid w:val="003208B4"/>
    <w:rsid w:val="00320F7D"/>
    <w:rsid w:val="00321533"/>
    <w:rsid w:val="00322346"/>
    <w:rsid w:val="003223B0"/>
    <w:rsid w:val="003224E4"/>
    <w:rsid w:val="003229EF"/>
    <w:rsid w:val="003230DA"/>
    <w:rsid w:val="00323169"/>
    <w:rsid w:val="003234F0"/>
    <w:rsid w:val="00323CA6"/>
    <w:rsid w:val="00324A91"/>
    <w:rsid w:val="00324C15"/>
    <w:rsid w:val="003269F7"/>
    <w:rsid w:val="003270D6"/>
    <w:rsid w:val="00327138"/>
    <w:rsid w:val="0033129D"/>
    <w:rsid w:val="00332DBD"/>
    <w:rsid w:val="003333BF"/>
    <w:rsid w:val="00333B98"/>
    <w:rsid w:val="00333C8E"/>
    <w:rsid w:val="003341A9"/>
    <w:rsid w:val="0033675F"/>
    <w:rsid w:val="00337AE5"/>
    <w:rsid w:val="0034012E"/>
    <w:rsid w:val="0034025B"/>
    <w:rsid w:val="00341195"/>
    <w:rsid w:val="0034138A"/>
    <w:rsid w:val="0034251A"/>
    <w:rsid w:val="00342CED"/>
    <w:rsid w:val="00342E6B"/>
    <w:rsid w:val="00344555"/>
    <w:rsid w:val="00344F97"/>
    <w:rsid w:val="0034543C"/>
    <w:rsid w:val="00346201"/>
    <w:rsid w:val="003466B0"/>
    <w:rsid w:val="003467E7"/>
    <w:rsid w:val="00347595"/>
    <w:rsid w:val="00347B6F"/>
    <w:rsid w:val="00347FA0"/>
    <w:rsid w:val="003500D5"/>
    <w:rsid w:val="00353167"/>
    <w:rsid w:val="0035343B"/>
    <w:rsid w:val="003541B6"/>
    <w:rsid w:val="003545A8"/>
    <w:rsid w:val="003552A4"/>
    <w:rsid w:val="00355C0A"/>
    <w:rsid w:val="00356020"/>
    <w:rsid w:val="003561D2"/>
    <w:rsid w:val="003561F1"/>
    <w:rsid w:val="00356266"/>
    <w:rsid w:val="003578FF"/>
    <w:rsid w:val="00357987"/>
    <w:rsid w:val="00357C3B"/>
    <w:rsid w:val="00357DEF"/>
    <w:rsid w:val="00357ECC"/>
    <w:rsid w:val="00361830"/>
    <w:rsid w:val="003622FF"/>
    <w:rsid w:val="00362436"/>
    <w:rsid w:val="00362D77"/>
    <w:rsid w:val="003634C2"/>
    <w:rsid w:val="00363ECE"/>
    <w:rsid w:val="003640DE"/>
    <w:rsid w:val="00365B7D"/>
    <w:rsid w:val="00365CB2"/>
    <w:rsid w:val="00366A30"/>
    <w:rsid w:val="00366D41"/>
    <w:rsid w:val="00374569"/>
    <w:rsid w:val="00375126"/>
    <w:rsid w:val="00375CC6"/>
    <w:rsid w:val="00375D36"/>
    <w:rsid w:val="00376AC1"/>
    <w:rsid w:val="00376F93"/>
    <w:rsid w:val="00377FEF"/>
    <w:rsid w:val="00380591"/>
    <w:rsid w:val="0038134D"/>
    <w:rsid w:val="00381CA9"/>
    <w:rsid w:val="00382C02"/>
    <w:rsid w:val="00382F97"/>
    <w:rsid w:val="0038488E"/>
    <w:rsid w:val="00385F45"/>
    <w:rsid w:val="00390136"/>
    <w:rsid w:val="00390F9C"/>
    <w:rsid w:val="00392A7C"/>
    <w:rsid w:val="00394F60"/>
    <w:rsid w:val="0039541E"/>
    <w:rsid w:val="00395F95"/>
    <w:rsid w:val="00396CE9"/>
    <w:rsid w:val="00397518"/>
    <w:rsid w:val="0039785D"/>
    <w:rsid w:val="003A2B60"/>
    <w:rsid w:val="003A2C52"/>
    <w:rsid w:val="003A31B2"/>
    <w:rsid w:val="003A3575"/>
    <w:rsid w:val="003A3A25"/>
    <w:rsid w:val="003A3A61"/>
    <w:rsid w:val="003A4593"/>
    <w:rsid w:val="003A5C17"/>
    <w:rsid w:val="003A6089"/>
    <w:rsid w:val="003A6471"/>
    <w:rsid w:val="003A759F"/>
    <w:rsid w:val="003A78A3"/>
    <w:rsid w:val="003B00C3"/>
    <w:rsid w:val="003B0180"/>
    <w:rsid w:val="003B0F7E"/>
    <w:rsid w:val="003B148B"/>
    <w:rsid w:val="003B199A"/>
    <w:rsid w:val="003B1BE8"/>
    <w:rsid w:val="003B241B"/>
    <w:rsid w:val="003B2FC4"/>
    <w:rsid w:val="003B33D9"/>
    <w:rsid w:val="003B35C5"/>
    <w:rsid w:val="003B4343"/>
    <w:rsid w:val="003B472B"/>
    <w:rsid w:val="003B4A44"/>
    <w:rsid w:val="003B5209"/>
    <w:rsid w:val="003B65FB"/>
    <w:rsid w:val="003B757A"/>
    <w:rsid w:val="003C1A99"/>
    <w:rsid w:val="003C280B"/>
    <w:rsid w:val="003C2B2A"/>
    <w:rsid w:val="003C2BAF"/>
    <w:rsid w:val="003C3188"/>
    <w:rsid w:val="003C362E"/>
    <w:rsid w:val="003C640D"/>
    <w:rsid w:val="003C6B73"/>
    <w:rsid w:val="003C6C41"/>
    <w:rsid w:val="003C7051"/>
    <w:rsid w:val="003C791D"/>
    <w:rsid w:val="003C7C35"/>
    <w:rsid w:val="003D0AB6"/>
    <w:rsid w:val="003D0E64"/>
    <w:rsid w:val="003D1BAD"/>
    <w:rsid w:val="003D2405"/>
    <w:rsid w:val="003D472B"/>
    <w:rsid w:val="003D60AA"/>
    <w:rsid w:val="003D7373"/>
    <w:rsid w:val="003D7D0B"/>
    <w:rsid w:val="003D7E7F"/>
    <w:rsid w:val="003E1C92"/>
    <w:rsid w:val="003E3D21"/>
    <w:rsid w:val="003E40B5"/>
    <w:rsid w:val="003E4DF6"/>
    <w:rsid w:val="003E512C"/>
    <w:rsid w:val="003E5EC3"/>
    <w:rsid w:val="003E6614"/>
    <w:rsid w:val="003E6807"/>
    <w:rsid w:val="003E6BDC"/>
    <w:rsid w:val="003F1E42"/>
    <w:rsid w:val="003F26DD"/>
    <w:rsid w:val="003F36D7"/>
    <w:rsid w:val="003F39D2"/>
    <w:rsid w:val="003F47E3"/>
    <w:rsid w:val="003F503B"/>
    <w:rsid w:val="003F60C0"/>
    <w:rsid w:val="003F6C96"/>
    <w:rsid w:val="003F7185"/>
    <w:rsid w:val="003F7D4B"/>
    <w:rsid w:val="0040061A"/>
    <w:rsid w:val="00402158"/>
    <w:rsid w:val="00402270"/>
    <w:rsid w:val="00405E96"/>
    <w:rsid w:val="0040602A"/>
    <w:rsid w:val="00406F7B"/>
    <w:rsid w:val="00407480"/>
    <w:rsid w:val="004074ED"/>
    <w:rsid w:val="0041003A"/>
    <w:rsid w:val="00410AFC"/>
    <w:rsid w:val="00412181"/>
    <w:rsid w:val="00412C49"/>
    <w:rsid w:val="004133E5"/>
    <w:rsid w:val="00413AFE"/>
    <w:rsid w:val="00413C51"/>
    <w:rsid w:val="004143B2"/>
    <w:rsid w:val="00414443"/>
    <w:rsid w:val="00415FC4"/>
    <w:rsid w:val="00416189"/>
    <w:rsid w:val="00416F61"/>
    <w:rsid w:val="00417092"/>
    <w:rsid w:val="00417568"/>
    <w:rsid w:val="00421D0B"/>
    <w:rsid w:val="004224C5"/>
    <w:rsid w:val="00422927"/>
    <w:rsid w:val="004229DE"/>
    <w:rsid w:val="00423602"/>
    <w:rsid w:val="004239AE"/>
    <w:rsid w:val="00423E8F"/>
    <w:rsid w:val="004251B6"/>
    <w:rsid w:val="004259B8"/>
    <w:rsid w:val="00425C5D"/>
    <w:rsid w:val="004269DA"/>
    <w:rsid w:val="0042798D"/>
    <w:rsid w:val="00430744"/>
    <w:rsid w:val="00432F82"/>
    <w:rsid w:val="00434618"/>
    <w:rsid w:val="00434AAB"/>
    <w:rsid w:val="00434B76"/>
    <w:rsid w:val="00435527"/>
    <w:rsid w:val="00435FF5"/>
    <w:rsid w:val="0043681C"/>
    <w:rsid w:val="00437273"/>
    <w:rsid w:val="004403F0"/>
    <w:rsid w:val="00440820"/>
    <w:rsid w:val="004416EF"/>
    <w:rsid w:val="00444109"/>
    <w:rsid w:val="004441AD"/>
    <w:rsid w:val="00444DA6"/>
    <w:rsid w:val="00445C19"/>
    <w:rsid w:val="004466EA"/>
    <w:rsid w:val="00446A31"/>
    <w:rsid w:val="00446D37"/>
    <w:rsid w:val="004475A9"/>
    <w:rsid w:val="0044794F"/>
    <w:rsid w:val="00447CD2"/>
    <w:rsid w:val="00450447"/>
    <w:rsid w:val="00450723"/>
    <w:rsid w:val="00453D77"/>
    <w:rsid w:val="00454254"/>
    <w:rsid w:val="00454313"/>
    <w:rsid w:val="00454965"/>
    <w:rsid w:val="00455679"/>
    <w:rsid w:val="00456EA9"/>
    <w:rsid w:val="00461612"/>
    <w:rsid w:val="0046178B"/>
    <w:rsid w:val="00462314"/>
    <w:rsid w:val="00462E07"/>
    <w:rsid w:val="0046331C"/>
    <w:rsid w:val="00463512"/>
    <w:rsid w:val="0046362C"/>
    <w:rsid w:val="00463BBF"/>
    <w:rsid w:val="00463C05"/>
    <w:rsid w:val="00465836"/>
    <w:rsid w:val="0046673D"/>
    <w:rsid w:val="00466C2F"/>
    <w:rsid w:val="004701D0"/>
    <w:rsid w:val="00470E4D"/>
    <w:rsid w:val="00472098"/>
    <w:rsid w:val="00474C08"/>
    <w:rsid w:val="00474D75"/>
    <w:rsid w:val="004764CC"/>
    <w:rsid w:val="004764EE"/>
    <w:rsid w:val="0047675A"/>
    <w:rsid w:val="0047693B"/>
    <w:rsid w:val="00476D76"/>
    <w:rsid w:val="004771EB"/>
    <w:rsid w:val="0048011C"/>
    <w:rsid w:val="004814D5"/>
    <w:rsid w:val="004814F0"/>
    <w:rsid w:val="00482771"/>
    <w:rsid w:val="00483180"/>
    <w:rsid w:val="00483C58"/>
    <w:rsid w:val="00484222"/>
    <w:rsid w:val="00484FE5"/>
    <w:rsid w:val="00485F46"/>
    <w:rsid w:val="0048785A"/>
    <w:rsid w:val="00491855"/>
    <w:rsid w:val="00491CDD"/>
    <w:rsid w:val="00492518"/>
    <w:rsid w:val="00493044"/>
    <w:rsid w:val="0049412C"/>
    <w:rsid w:val="00494345"/>
    <w:rsid w:val="00495192"/>
    <w:rsid w:val="004956C0"/>
    <w:rsid w:val="00496B0D"/>
    <w:rsid w:val="004A0D43"/>
    <w:rsid w:val="004A1818"/>
    <w:rsid w:val="004A1C7F"/>
    <w:rsid w:val="004A2CFB"/>
    <w:rsid w:val="004A3EE9"/>
    <w:rsid w:val="004A4431"/>
    <w:rsid w:val="004A47F9"/>
    <w:rsid w:val="004A4E4F"/>
    <w:rsid w:val="004A56E7"/>
    <w:rsid w:val="004A7738"/>
    <w:rsid w:val="004A7750"/>
    <w:rsid w:val="004A7FE6"/>
    <w:rsid w:val="004B02B9"/>
    <w:rsid w:val="004B0AD6"/>
    <w:rsid w:val="004B0B90"/>
    <w:rsid w:val="004B2F0D"/>
    <w:rsid w:val="004B30FB"/>
    <w:rsid w:val="004B3F80"/>
    <w:rsid w:val="004B40EE"/>
    <w:rsid w:val="004B45F4"/>
    <w:rsid w:val="004B4A27"/>
    <w:rsid w:val="004C06BD"/>
    <w:rsid w:val="004C0A8D"/>
    <w:rsid w:val="004C2024"/>
    <w:rsid w:val="004C25F6"/>
    <w:rsid w:val="004C2D19"/>
    <w:rsid w:val="004C357C"/>
    <w:rsid w:val="004C40BD"/>
    <w:rsid w:val="004C62C6"/>
    <w:rsid w:val="004C62F9"/>
    <w:rsid w:val="004D067F"/>
    <w:rsid w:val="004D0D92"/>
    <w:rsid w:val="004D100D"/>
    <w:rsid w:val="004D1B32"/>
    <w:rsid w:val="004D2626"/>
    <w:rsid w:val="004D2C34"/>
    <w:rsid w:val="004D2E28"/>
    <w:rsid w:val="004D3901"/>
    <w:rsid w:val="004D3F5D"/>
    <w:rsid w:val="004D41D8"/>
    <w:rsid w:val="004D5E10"/>
    <w:rsid w:val="004D609D"/>
    <w:rsid w:val="004D67C5"/>
    <w:rsid w:val="004D6E34"/>
    <w:rsid w:val="004D7E65"/>
    <w:rsid w:val="004E00D0"/>
    <w:rsid w:val="004E07DC"/>
    <w:rsid w:val="004E0851"/>
    <w:rsid w:val="004E0939"/>
    <w:rsid w:val="004E1AB5"/>
    <w:rsid w:val="004E1AE2"/>
    <w:rsid w:val="004E4165"/>
    <w:rsid w:val="004E5446"/>
    <w:rsid w:val="004E6678"/>
    <w:rsid w:val="004E7F1E"/>
    <w:rsid w:val="004E7F4E"/>
    <w:rsid w:val="004F059F"/>
    <w:rsid w:val="004F1352"/>
    <w:rsid w:val="004F209C"/>
    <w:rsid w:val="004F2868"/>
    <w:rsid w:val="004F4813"/>
    <w:rsid w:val="004F55F8"/>
    <w:rsid w:val="004F6ACE"/>
    <w:rsid w:val="004F7447"/>
    <w:rsid w:val="004F76D9"/>
    <w:rsid w:val="004F7E37"/>
    <w:rsid w:val="00501F2F"/>
    <w:rsid w:val="00505141"/>
    <w:rsid w:val="005066A2"/>
    <w:rsid w:val="00506CD9"/>
    <w:rsid w:val="005104E4"/>
    <w:rsid w:val="00511753"/>
    <w:rsid w:val="00511EF3"/>
    <w:rsid w:val="00512AE9"/>
    <w:rsid w:val="00512E41"/>
    <w:rsid w:val="00513472"/>
    <w:rsid w:val="00513FBF"/>
    <w:rsid w:val="00516576"/>
    <w:rsid w:val="005170FF"/>
    <w:rsid w:val="0051750C"/>
    <w:rsid w:val="00517673"/>
    <w:rsid w:val="005218A3"/>
    <w:rsid w:val="00521D8D"/>
    <w:rsid w:val="00522063"/>
    <w:rsid w:val="00522ED0"/>
    <w:rsid w:val="00523826"/>
    <w:rsid w:val="00523C58"/>
    <w:rsid w:val="005248D3"/>
    <w:rsid w:val="00524CFC"/>
    <w:rsid w:val="005253A2"/>
    <w:rsid w:val="0052557E"/>
    <w:rsid w:val="00525782"/>
    <w:rsid w:val="00526CC9"/>
    <w:rsid w:val="0052733A"/>
    <w:rsid w:val="0052770E"/>
    <w:rsid w:val="00530C05"/>
    <w:rsid w:val="005310F8"/>
    <w:rsid w:val="0053163F"/>
    <w:rsid w:val="00532F12"/>
    <w:rsid w:val="00534512"/>
    <w:rsid w:val="005347F8"/>
    <w:rsid w:val="00534CA7"/>
    <w:rsid w:val="00535BAD"/>
    <w:rsid w:val="00535C26"/>
    <w:rsid w:val="00536008"/>
    <w:rsid w:val="00536B3B"/>
    <w:rsid w:val="00537DBB"/>
    <w:rsid w:val="00541D0D"/>
    <w:rsid w:val="005429D2"/>
    <w:rsid w:val="005435C8"/>
    <w:rsid w:val="00543E56"/>
    <w:rsid w:val="00544A5C"/>
    <w:rsid w:val="0054542E"/>
    <w:rsid w:val="00546B72"/>
    <w:rsid w:val="005470EC"/>
    <w:rsid w:val="00550399"/>
    <w:rsid w:val="00551433"/>
    <w:rsid w:val="005514CA"/>
    <w:rsid w:val="00552380"/>
    <w:rsid w:val="005525BE"/>
    <w:rsid w:val="00556328"/>
    <w:rsid w:val="00556D13"/>
    <w:rsid w:val="00557545"/>
    <w:rsid w:val="00560806"/>
    <w:rsid w:val="005618BD"/>
    <w:rsid w:val="00563399"/>
    <w:rsid w:val="0056591F"/>
    <w:rsid w:val="00566E5E"/>
    <w:rsid w:val="00570EFE"/>
    <w:rsid w:val="00570FA5"/>
    <w:rsid w:val="00571282"/>
    <w:rsid w:val="00571E9F"/>
    <w:rsid w:val="00573C3B"/>
    <w:rsid w:val="00574E1B"/>
    <w:rsid w:val="00576098"/>
    <w:rsid w:val="0058041E"/>
    <w:rsid w:val="00580A97"/>
    <w:rsid w:val="00583974"/>
    <w:rsid w:val="005860AC"/>
    <w:rsid w:val="005870AA"/>
    <w:rsid w:val="0058722C"/>
    <w:rsid w:val="0058799A"/>
    <w:rsid w:val="00587F62"/>
    <w:rsid w:val="00590149"/>
    <w:rsid w:val="00592358"/>
    <w:rsid w:val="00592FD2"/>
    <w:rsid w:val="0059373B"/>
    <w:rsid w:val="00593B80"/>
    <w:rsid w:val="00596A1C"/>
    <w:rsid w:val="00596FDB"/>
    <w:rsid w:val="005A06D3"/>
    <w:rsid w:val="005A0AC2"/>
    <w:rsid w:val="005A0AF8"/>
    <w:rsid w:val="005A0E6F"/>
    <w:rsid w:val="005A1E77"/>
    <w:rsid w:val="005A2B2E"/>
    <w:rsid w:val="005A3E49"/>
    <w:rsid w:val="005A4714"/>
    <w:rsid w:val="005A47B6"/>
    <w:rsid w:val="005A47EC"/>
    <w:rsid w:val="005A73A1"/>
    <w:rsid w:val="005A7CE4"/>
    <w:rsid w:val="005B1B07"/>
    <w:rsid w:val="005B551F"/>
    <w:rsid w:val="005B5D93"/>
    <w:rsid w:val="005B66C8"/>
    <w:rsid w:val="005C0A9A"/>
    <w:rsid w:val="005C11DE"/>
    <w:rsid w:val="005C1DE1"/>
    <w:rsid w:val="005C28BC"/>
    <w:rsid w:val="005C4EA4"/>
    <w:rsid w:val="005D0287"/>
    <w:rsid w:val="005D06A8"/>
    <w:rsid w:val="005D07B2"/>
    <w:rsid w:val="005D092B"/>
    <w:rsid w:val="005D0AD6"/>
    <w:rsid w:val="005D10E5"/>
    <w:rsid w:val="005D39F3"/>
    <w:rsid w:val="005D46EE"/>
    <w:rsid w:val="005D7E62"/>
    <w:rsid w:val="005E0596"/>
    <w:rsid w:val="005E0731"/>
    <w:rsid w:val="005E1231"/>
    <w:rsid w:val="005E13DF"/>
    <w:rsid w:val="005E1D9A"/>
    <w:rsid w:val="005E2073"/>
    <w:rsid w:val="005E2983"/>
    <w:rsid w:val="005E3ECE"/>
    <w:rsid w:val="005E3EE4"/>
    <w:rsid w:val="005E4877"/>
    <w:rsid w:val="005E5FD0"/>
    <w:rsid w:val="005E6479"/>
    <w:rsid w:val="005E6778"/>
    <w:rsid w:val="005F03CC"/>
    <w:rsid w:val="005F10D3"/>
    <w:rsid w:val="005F2063"/>
    <w:rsid w:val="005F2279"/>
    <w:rsid w:val="005F2729"/>
    <w:rsid w:val="005F2A5B"/>
    <w:rsid w:val="005F31BE"/>
    <w:rsid w:val="005F36AB"/>
    <w:rsid w:val="005F442A"/>
    <w:rsid w:val="005F700B"/>
    <w:rsid w:val="006007C7"/>
    <w:rsid w:val="00600B5F"/>
    <w:rsid w:val="00600FFC"/>
    <w:rsid w:val="0060133B"/>
    <w:rsid w:val="0060156F"/>
    <w:rsid w:val="006015A3"/>
    <w:rsid w:val="00601A1D"/>
    <w:rsid w:val="00601C31"/>
    <w:rsid w:val="00602BC6"/>
    <w:rsid w:val="00602C59"/>
    <w:rsid w:val="00602EB0"/>
    <w:rsid w:val="00603311"/>
    <w:rsid w:val="00603888"/>
    <w:rsid w:val="00603C6D"/>
    <w:rsid w:val="006040ED"/>
    <w:rsid w:val="00604415"/>
    <w:rsid w:val="00604F92"/>
    <w:rsid w:val="0060655F"/>
    <w:rsid w:val="00606EB8"/>
    <w:rsid w:val="006079B9"/>
    <w:rsid w:val="00613A11"/>
    <w:rsid w:val="00613B72"/>
    <w:rsid w:val="00613C2F"/>
    <w:rsid w:val="0061706E"/>
    <w:rsid w:val="006224B6"/>
    <w:rsid w:val="006227B4"/>
    <w:rsid w:val="00622914"/>
    <w:rsid w:val="0062291A"/>
    <w:rsid w:val="00622AA8"/>
    <w:rsid w:val="00622D91"/>
    <w:rsid w:val="006237CF"/>
    <w:rsid w:val="00623B31"/>
    <w:rsid w:val="00623C7E"/>
    <w:rsid w:val="00624BC1"/>
    <w:rsid w:val="0062575D"/>
    <w:rsid w:val="00626CC1"/>
    <w:rsid w:val="00627B6D"/>
    <w:rsid w:val="0063164E"/>
    <w:rsid w:val="0063286C"/>
    <w:rsid w:val="006335A2"/>
    <w:rsid w:val="00635FF5"/>
    <w:rsid w:val="00636375"/>
    <w:rsid w:val="00636DD3"/>
    <w:rsid w:val="00637FF0"/>
    <w:rsid w:val="0064166F"/>
    <w:rsid w:val="00643373"/>
    <w:rsid w:val="0064342E"/>
    <w:rsid w:val="00643C4C"/>
    <w:rsid w:val="00644764"/>
    <w:rsid w:val="0064549C"/>
    <w:rsid w:val="0064601A"/>
    <w:rsid w:val="00646C6B"/>
    <w:rsid w:val="00647314"/>
    <w:rsid w:val="00647676"/>
    <w:rsid w:val="00647DB2"/>
    <w:rsid w:val="00647DB4"/>
    <w:rsid w:val="006502E3"/>
    <w:rsid w:val="006511AA"/>
    <w:rsid w:val="006522C9"/>
    <w:rsid w:val="00653325"/>
    <w:rsid w:val="00653E7B"/>
    <w:rsid w:val="00655823"/>
    <w:rsid w:val="00660F48"/>
    <w:rsid w:val="00665483"/>
    <w:rsid w:val="00665640"/>
    <w:rsid w:val="0066619C"/>
    <w:rsid w:val="00670083"/>
    <w:rsid w:val="006702D1"/>
    <w:rsid w:val="006704F7"/>
    <w:rsid w:val="006707E3"/>
    <w:rsid w:val="00670A74"/>
    <w:rsid w:val="006713C0"/>
    <w:rsid w:val="006717CE"/>
    <w:rsid w:val="00673A3D"/>
    <w:rsid w:val="00673DB8"/>
    <w:rsid w:val="00674304"/>
    <w:rsid w:val="00674779"/>
    <w:rsid w:val="00674A7F"/>
    <w:rsid w:val="00675232"/>
    <w:rsid w:val="006761CA"/>
    <w:rsid w:val="00676D51"/>
    <w:rsid w:val="00676EAB"/>
    <w:rsid w:val="0067747F"/>
    <w:rsid w:val="00680C1A"/>
    <w:rsid w:val="006811DC"/>
    <w:rsid w:val="006836A7"/>
    <w:rsid w:val="00683A24"/>
    <w:rsid w:val="006868AD"/>
    <w:rsid w:val="006872DB"/>
    <w:rsid w:val="006902D8"/>
    <w:rsid w:val="0069091E"/>
    <w:rsid w:val="00691197"/>
    <w:rsid w:val="00691D96"/>
    <w:rsid w:val="00692936"/>
    <w:rsid w:val="00692CE3"/>
    <w:rsid w:val="00692D34"/>
    <w:rsid w:val="0069300A"/>
    <w:rsid w:val="00693093"/>
    <w:rsid w:val="00693B96"/>
    <w:rsid w:val="00693FF6"/>
    <w:rsid w:val="00695F24"/>
    <w:rsid w:val="00696507"/>
    <w:rsid w:val="0069688D"/>
    <w:rsid w:val="00696B3D"/>
    <w:rsid w:val="006975FE"/>
    <w:rsid w:val="0069776E"/>
    <w:rsid w:val="0069793F"/>
    <w:rsid w:val="006A00E3"/>
    <w:rsid w:val="006A0BF0"/>
    <w:rsid w:val="006A1A87"/>
    <w:rsid w:val="006A262B"/>
    <w:rsid w:val="006A2CBF"/>
    <w:rsid w:val="006A507F"/>
    <w:rsid w:val="006A53AA"/>
    <w:rsid w:val="006A57F3"/>
    <w:rsid w:val="006A7193"/>
    <w:rsid w:val="006B08B4"/>
    <w:rsid w:val="006B12C5"/>
    <w:rsid w:val="006B1F6D"/>
    <w:rsid w:val="006B2978"/>
    <w:rsid w:val="006B30D5"/>
    <w:rsid w:val="006B3DC5"/>
    <w:rsid w:val="006B3EAE"/>
    <w:rsid w:val="006B4323"/>
    <w:rsid w:val="006B6367"/>
    <w:rsid w:val="006B7A8F"/>
    <w:rsid w:val="006C034B"/>
    <w:rsid w:val="006C0406"/>
    <w:rsid w:val="006C2AB7"/>
    <w:rsid w:val="006C372B"/>
    <w:rsid w:val="006C38D6"/>
    <w:rsid w:val="006C4184"/>
    <w:rsid w:val="006C5AEF"/>
    <w:rsid w:val="006C6C6F"/>
    <w:rsid w:val="006C6E2C"/>
    <w:rsid w:val="006C70AC"/>
    <w:rsid w:val="006C74FB"/>
    <w:rsid w:val="006D416F"/>
    <w:rsid w:val="006D453A"/>
    <w:rsid w:val="006D5EC9"/>
    <w:rsid w:val="006D62BB"/>
    <w:rsid w:val="006E0358"/>
    <w:rsid w:val="006E0C79"/>
    <w:rsid w:val="006E0D45"/>
    <w:rsid w:val="006E3384"/>
    <w:rsid w:val="006E3B24"/>
    <w:rsid w:val="006E4051"/>
    <w:rsid w:val="006E480B"/>
    <w:rsid w:val="006E5945"/>
    <w:rsid w:val="006E5E68"/>
    <w:rsid w:val="006E668E"/>
    <w:rsid w:val="006E68A1"/>
    <w:rsid w:val="006F0B18"/>
    <w:rsid w:val="006F0E68"/>
    <w:rsid w:val="006F1A82"/>
    <w:rsid w:val="006F2049"/>
    <w:rsid w:val="006F278A"/>
    <w:rsid w:val="006F2975"/>
    <w:rsid w:val="006F33D4"/>
    <w:rsid w:val="006F3608"/>
    <w:rsid w:val="006F39D1"/>
    <w:rsid w:val="006F3ECA"/>
    <w:rsid w:val="006F49FC"/>
    <w:rsid w:val="006F64B0"/>
    <w:rsid w:val="006F7FE6"/>
    <w:rsid w:val="007008CF"/>
    <w:rsid w:val="00701A0C"/>
    <w:rsid w:val="00702823"/>
    <w:rsid w:val="00702DFC"/>
    <w:rsid w:val="0070339C"/>
    <w:rsid w:val="00703664"/>
    <w:rsid w:val="007037E4"/>
    <w:rsid w:val="0070556E"/>
    <w:rsid w:val="00705CE7"/>
    <w:rsid w:val="00705D8C"/>
    <w:rsid w:val="007067CB"/>
    <w:rsid w:val="007067F4"/>
    <w:rsid w:val="0070704B"/>
    <w:rsid w:val="007103A2"/>
    <w:rsid w:val="00710B36"/>
    <w:rsid w:val="00712041"/>
    <w:rsid w:val="00713CBF"/>
    <w:rsid w:val="0071529E"/>
    <w:rsid w:val="007168F4"/>
    <w:rsid w:val="007169B6"/>
    <w:rsid w:val="00717C4C"/>
    <w:rsid w:val="00721276"/>
    <w:rsid w:val="007220A0"/>
    <w:rsid w:val="00723BCD"/>
    <w:rsid w:val="00724574"/>
    <w:rsid w:val="00725236"/>
    <w:rsid w:val="0072768C"/>
    <w:rsid w:val="0073024B"/>
    <w:rsid w:val="00730286"/>
    <w:rsid w:val="00731730"/>
    <w:rsid w:val="00732049"/>
    <w:rsid w:val="007323C8"/>
    <w:rsid w:val="007324C7"/>
    <w:rsid w:val="00732BA5"/>
    <w:rsid w:val="007341BA"/>
    <w:rsid w:val="007343EE"/>
    <w:rsid w:val="007347FF"/>
    <w:rsid w:val="0073536D"/>
    <w:rsid w:val="007357A6"/>
    <w:rsid w:val="00742130"/>
    <w:rsid w:val="0074346F"/>
    <w:rsid w:val="007440DB"/>
    <w:rsid w:val="00745577"/>
    <w:rsid w:val="00745E22"/>
    <w:rsid w:val="0074648A"/>
    <w:rsid w:val="00747A9B"/>
    <w:rsid w:val="007501A9"/>
    <w:rsid w:val="0075074A"/>
    <w:rsid w:val="007522D9"/>
    <w:rsid w:val="00752330"/>
    <w:rsid w:val="00753469"/>
    <w:rsid w:val="0075405B"/>
    <w:rsid w:val="007543EE"/>
    <w:rsid w:val="00755623"/>
    <w:rsid w:val="00755D28"/>
    <w:rsid w:val="0075617D"/>
    <w:rsid w:val="0075696F"/>
    <w:rsid w:val="00760A4B"/>
    <w:rsid w:val="00760C78"/>
    <w:rsid w:val="0076118C"/>
    <w:rsid w:val="00761767"/>
    <w:rsid w:val="007633AA"/>
    <w:rsid w:val="00764219"/>
    <w:rsid w:val="007652AE"/>
    <w:rsid w:val="00767D6E"/>
    <w:rsid w:val="007704C1"/>
    <w:rsid w:val="00770580"/>
    <w:rsid w:val="00770D1C"/>
    <w:rsid w:val="00771BFD"/>
    <w:rsid w:val="00772325"/>
    <w:rsid w:val="00773C8D"/>
    <w:rsid w:val="007750EF"/>
    <w:rsid w:val="00775D69"/>
    <w:rsid w:val="00776484"/>
    <w:rsid w:val="00777955"/>
    <w:rsid w:val="007806C4"/>
    <w:rsid w:val="00781E83"/>
    <w:rsid w:val="00781ECE"/>
    <w:rsid w:val="00783619"/>
    <w:rsid w:val="00783C9A"/>
    <w:rsid w:val="00783CDF"/>
    <w:rsid w:val="00783D51"/>
    <w:rsid w:val="00783DD8"/>
    <w:rsid w:val="00784067"/>
    <w:rsid w:val="00785375"/>
    <w:rsid w:val="00785EE8"/>
    <w:rsid w:val="00786067"/>
    <w:rsid w:val="007906E2"/>
    <w:rsid w:val="00790FFD"/>
    <w:rsid w:val="007913E8"/>
    <w:rsid w:val="0079170E"/>
    <w:rsid w:val="007956C2"/>
    <w:rsid w:val="00795E00"/>
    <w:rsid w:val="007966CB"/>
    <w:rsid w:val="007975D4"/>
    <w:rsid w:val="00797B31"/>
    <w:rsid w:val="007A1E73"/>
    <w:rsid w:val="007A2801"/>
    <w:rsid w:val="007A311A"/>
    <w:rsid w:val="007A35F3"/>
    <w:rsid w:val="007A36DD"/>
    <w:rsid w:val="007A6307"/>
    <w:rsid w:val="007A69DC"/>
    <w:rsid w:val="007A7069"/>
    <w:rsid w:val="007B14EF"/>
    <w:rsid w:val="007B19BC"/>
    <w:rsid w:val="007B1EEE"/>
    <w:rsid w:val="007B4C7C"/>
    <w:rsid w:val="007B51E3"/>
    <w:rsid w:val="007B56E7"/>
    <w:rsid w:val="007B579E"/>
    <w:rsid w:val="007B5A54"/>
    <w:rsid w:val="007B6D85"/>
    <w:rsid w:val="007B6EC2"/>
    <w:rsid w:val="007B7101"/>
    <w:rsid w:val="007B7BF7"/>
    <w:rsid w:val="007C0C59"/>
    <w:rsid w:val="007C19A4"/>
    <w:rsid w:val="007C31F8"/>
    <w:rsid w:val="007C3C2B"/>
    <w:rsid w:val="007C3C78"/>
    <w:rsid w:val="007C3F82"/>
    <w:rsid w:val="007C4507"/>
    <w:rsid w:val="007C4CF4"/>
    <w:rsid w:val="007C5E78"/>
    <w:rsid w:val="007D02A6"/>
    <w:rsid w:val="007D04F8"/>
    <w:rsid w:val="007D0625"/>
    <w:rsid w:val="007D14BA"/>
    <w:rsid w:val="007D185F"/>
    <w:rsid w:val="007D3176"/>
    <w:rsid w:val="007D35F5"/>
    <w:rsid w:val="007D3E0C"/>
    <w:rsid w:val="007D45EF"/>
    <w:rsid w:val="007D5551"/>
    <w:rsid w:val="007D5CAE"/>
    <w:rsid w:val="007D604E"/>
    <w:rsid w:val="007D745B"/>
    <w:rsid w:val="007E10C4"/>
    <w:rsid w:val="007E13CA"/>
    <w:rsid w:val="007E182F"/>
    <w:rsid w:val="007E1D25"/>
    <w:rsid w:val="007E276E"/>
    <w:rsid w:val="007E395D"/>
    <w:rsid w:val="007E46F8"/>
    <w:rsid w:val="007E474E"/>
    <w:rsid w:val="007E5E9A"/>
    <w:rsid w:val="007E6A0D"/>
    <w:rsid w:val="007F017D"/>
    <w:rsid w:val="007F160B"/>
    <w:rsid w:val="007F1E8F"/>
    <w:rsid w:val="007F4136"/>
    <w:rsid w:val="007F4F91"/>
    <w:rsid w:val="007F50E5"/>
    <w:rsid w:val="007F525C"/>
    <w:rsid w:val="007F6677"/>
    <w:rsid w:val="007F681A"/>
    <w:rsid w:val="008014BC"/>
    <w:rsid w:val="00801F91"/>
    <w:rsid w:val="00802497"/>
    <w:rsid w:val="00804220"/>
    <w:rsid w:val="00804CB9"/>
    <w:rsid w:val="00805A82"/>
    <w:rsid w:val="00807D3E"/>
    <w:rsid w:val="0081186E"/>
    <w:rsid w:val="0081314D"/>
    <w:rsid w:val="00814196"/>
    <w:rsid w:val="00814A31"/>
    <w:rsid w:val="00814DA3"/>
    <w:rsid w:val="00814F28"/>
    <w:rsid w:val="00815549"/>
    <w:rsid w:val="00815AF7"/>
    <w:rsid w:val="00815D28"/>
    <w:rsid w:val="008161FE"/>
    <w:rsid w:val="00816C3F"/>
    <w:rsid w:val="008171ED"/>
    <w:rsid w:val="00817438"/>
    <w:rsid w:val="00820025"/>
    <w:rsid w:val="00820ECA"/>
    <w:rsid w:val="00820F9B"/>
    <w:rsid w:val="00821B78"/>
    <w:rsid w:val="00822C11"/>
    <w:rsid w:val="00823931"/>
    <w:rsid w:val="00825495"/>
    <w:rsid w:val="00825A58"/>
    <w:rsid w:val="00825F84"/>
    <w:rsid w:val="008260D9"/>
    <w:rsid w:val="0082670B"/>
    <w:rsid w:val="00826C7D"/>
    <w:rsid w:val="00826E1D"/>
    <w:rsid w:val="00827412"/>
    <w:rsid w:val="008275B7"/>
    <w:rsid w:val="00830339"/>
    <w:rsid w:val="008322F7"/>
    <w:rsid w:val="008332DD"/>
    <w:rsid w:val="0083392D"/>
    <w:rsid w:val="00833B68"/>
    <w:rsid w:val="00833EB5"/>
    <w:rsid w:val="00835592"/>
    <w:rsid w:val="00835E44"/>
    <w:rsid w:val="008372B3"/>
    <w:rsid w:val="00837A59"/>
    <w:rsid w:val="008400B9"/>
    <w:rsid w:val="0084085E"/>
    <w:rsid w:val="00842957"/>
    <w:rsid w:val="0084320B"/>
    <w:rsid w:val="008432FC"/>
    <w:rsid w:val="00843330"/>
    <w:rsid w:val="00843D2F"/>
    <w:rsid w:val="00844517"/>
    <w:rsid w:val="008446FE"/>
    <w:rsid w:val="00844777"/>
    <w:rsid w:val="00844C0C"/>
    <w:rsid w:val="00844E74"/>
    <w:rsid w:val="0084611F"/>
    <w:rsid w:val="00850769"/>
    <w:rsid w:val="00852050"/>
    <w:rsid w:val="0085533A"/>
    <w:rsid w:val="008558C2"/>
    <w:rsid w:val="00856509"/>
    <w:rsid w:val="008572D1"/>
    <w:rsid w:val="00857347"/>
    <w:rsid w:val="00860D72"/>
    <w:rsid w:val="00860E25"/>
    <w:rsid w:val="00860E50"/>
    <w:rsid w:val="00862B92"/>
    <w:rsid w:val="00864323"/>
    <w:rsid w:val="008646F5"/>
    <w:rsid w:val="00864AB5"/>
    <w:rsid w:val="008651A8"/>
    <w:rsid w:val="00865AA1"/>
    <w:rsid w:val="008672D1"/>
    <w:rsid w:val="00870A39"/>
    <w:rsid w:val="00871E79"/>
    <w:rsid w:val="00872D6D"/>
    <w:rsid w:val="00875856"/>
    <w:rsid w:val="00876021"/>
    <w:rsid w:val="00882702"/>
    <w:rsid w:val="0088522E"/>
    <w:rsid w:val="00885634"/>
    <w:rsid w:val="00885D0C"/>
    <w:rsid w:val="00885D19"/>
    <w:rsid w:val="008868EE"/>
    <w:rsid w:val="0089029A"/>
    <w:rsid w:val="00890713"/>
    <w:rsid w:val="00890FE6"/>
    <w:rsid w:val="00892423"/>
    <w:rsid w:val="00892ADF"/>
    <w:rsid w:val="00892DC6"/>
    <w:rsid w:val="00893282"/>
    <w:rsid w:val="008937F7"/>
    <w:rsid w:val="00893939"/>
    <w:rsid w:val="00893AD2"/>
    <w:rsid w:val="00893BD5"/>
    <w:rsid w:val="00893EE3"/>
    <w:rsid w:val="00894137"/>
    <w:rsid w:val="00894C55"/>
    <w:rsid w:val="00895278"/>
    <w:rsid w:val="00895DD8"/>
    <w:rsid w:val="00896E1A"/>
    <w:rsid w:val="00897398"/>
    <w:rsid w:val="008977F0"/>
    <w:rsid w:val="0089789E"/>
    <w:rsid w:val="008A0E29"/>
    <w:rsid w:val="008A0F64"/>
    <w:rsid w:val="008A25ED"/>
    <w:rsid w:val="008A31AC"/>
    <w:rsid w:val="008A34AA"/>
    <w:rsid w:val="008A38AB"/>
    <w:rsid w:val="008A5CDA"/>
    <w:rsid w:val="008A74B0"/>
    <w:rsid w:val="008B0C8D"/>
    <w:rsid w:val="008B1D17"/>
    <w:rsid w:val="008B20AA"/>
    <w:rsid w:val="008B372B"/>
    <w:rsid w:val="008B39CE"/>
    <w:rsid w:val="008B5154"/>
    <w:rsid w:val="008B6100"/>
    <w:rsid w:val="008B6824"/>
    <w:rsid w:val="008B7181"/>
    <w:rsid w:val="008B7A03"/>
    <w:rsid w:val="008C0DBE"/>
    <w:rsid w:val="008C17A3"/>
    <w:rsid w:val="008C17F4"/>
    <w:rsid w:val="008C1D9F"/>
    <w:rsid w:val="008C256B"/>
    <w:rsid w:val="008C2C95"/>
    <w:rsid w:val="008C2D0B"/>
    <w:rsid w:val="008C2D77"/>
    <w:rsid w:val="008C508A"/>
    <w:rsid w:val="008C52E7"/>
    <w:rsid w:val="008C6252"/>
    <w:rsid w:val="008C654F"/>
    <w:rsid w:val="008C6E09"/>
    <w:rsid w:val="008C6E50"/>
    <w:rsid w:val="008D113B"/>
    <w:rsid w:val="008D1AF7"/>
    <w:rsid w:val="008D2012"/>
    <w:rsid w:val="008D245F"/>
    <w:rsid w:val="008D28DD"/>
    <w:rsid w:val="008D3976"/>
    <w:rsid w:val="008D3B37"/>
    <w:rsid w:val="008D4161"/>
    <w:rsid w:val="008E1960"/>
    <w:rsid w:val="008E2216"/>
    <w:rsid w:val="008E252E"/>
    <w:rsid w:val="008E26AF"/>
    <w:rsid w:val="008E31C8"/>
    <w:rsid w:val="008E31DD"/>
    <w:rsid w:val="008E339A"/>
    <w:rsid w:val="008E356E"/>
    <w:rsid w:val="008E36B6"/>
    <w:rsid w:val="008E3B53"/>
    <w:rsid w:val="008E4779"/>
    <w:rsid w:val="008E4B91"/>
    <w:rsid w:val="008E4DDE"/>
    <w:rsid w:val="008E63CB"/>
    <w:rsid w:val="008E7B64"/>
    <w:rsid w:val="008E7C39"/>
    <w:rsid w:val="008F0633"/>
    <w:rsid w:val="008F1089"/>
    <w:rsid w:val="008F208D"/>
    <w:rsid w:val="008F4166"/>
    <w:rsid w:val="008F485A"/>
    <w:rsid w:val="008F6889"/>
    <w:rsid w:val="008F79EF"/>
    <w:rsid w:val="008F7A68"/>
    <w:rsid w:val="008F7C6E"/>
    <w:rsid w:val="00900BD4"/>
    <w:rsid w:val="009010CB"/>
    <w:rsid w:val="00901189"/>
    <w:rsid w:val="009014BB"/>
    <w:rsid w:val="00901532"/>
    <w:rsid w:val="00902C59"/>
    <w:rsid w:val="00903097"/>
    <w:rsid w:val="00905111"/>
    <w:rsid w:val="00906149"/>
    <w:rsid w:val="00906F88"/>
    <w:rsid w:val="00910940"/>
    <w:rsid w:val="00912546"/>
    <w:rsid w:val="009125B5"/>
    <w:rsid w:val="0091446C"/>
    <w:rsid w:val="00914DE2"/>
    <w:rsid w:val="009158BC"/>
    <w:rsid w:val="009165ED"/>
    <w:rsid w:val="00916619"/>
    <w:rsid w:val="00917893"/>
    <w:rsid w:val="00917FE8"/>
    <w:rsid w:val="009207B2"/>
    <w:rsid w:val="009224F5"/>
    <w:rsid w:val="00922C21"/>
    <w:rsid w:val="00923AE7"/>
    <w:rsid w:val="00923BA4"/>
    <w:rsid w:val="00924234"/>
    <w:rsid w:val="00924D1B"/>
    <w:rsid w:val="0092546B"/>
    <w:rsid w:val="009268D3"/>
    <w:rsid w:val="00926903"/>
    <w:rsid w:val="00932513"/>
    <w:rsid w:val="00932EF7"/>
    <w:rsid w:val="00934BE6"/>
    <w:rsid w:val="00934EC4"/>
    <w:rsid w:val="00935355"/>
    <w:rsid w:val="0093542B"/>
    <w:rsid w:val="0093560C"/>
    <w:rsid w:val="00936426"/>
    <w:rsid w:val="00936733"/>
    <w:rsid w:val="00937243"/>
    <w:rsid w:val="0093730D"/>
    <w:rsid w:val="009373BE"/>
    <w:rsid w:val="00941649"/>
    <w:rsid w:val="00941B1A"/>
    <w:rsid w:val="00942B11"/>
    <w:rsid w:val="009434F6"/>
    <w:rsid w:val="009438A8"/>
    <w:rsid w:val="00943B62"/>
    <w:rsid w:val="0094482D"/>
    <w:rsid w:val="00944BB8"/>
    <w:rsid w:val="009455CC"/>
    <w:rsid w:val="00946534"/>
    <w:rsid w:val="00947379"/>
    <w:rsid w:val="00947D91"/>
    <w:rsid w:val="00947DB1"/>
    <w:rsid w:val="00950DE0"/>
    <w:rsid w:val="00952B02"/>
    <w:rsid w:val="00953B15"/>
    <w:rsid w:val="00953CFA"/>
    <w:rsid w:val="00953ED7"/>
    <w:rsid w:val="009543EE"/>
    <w:rsid w:val="00954E8C"/>
    <w:rsid w:val="00961459"/>
    <w:rsid w:val="00961502"/>
    <w:rsid w:val="00961946"/>
    <w:rsid w:val="009621BF"/>
    <w:rsid w:val="00963350"/>
    <w:rsid w:val="00963AB5"/>
    <w:rsid w:val="00963DD2"/>
    <w:rsid w:val="00964774"/>
    <w:rsid w:val="00964F65"/>
    <w:rsid w:val="00965891"/>
    <w:rsid w:val="00965C0E"/>
    <w:rsid w:val="00966E7C"/>
    <w:rsid w:val="00970392"/>
    <w:rsid w:val="00970E4E"/>
    <w:rsid w:val="00971D26"/>
    <w:rsid w:val="009725C8"/>
    <w:rsid w:val="00973503"/>
    <w:rsid w:val="00973967"/>
    <w:rsid w:val="00973B85"/>
    <w:rsid w:val="0097445D"/>
    <w:rsid w:val="00974C42"/>
    <w:rsid w:val="0097517E"/>
    <w:rsid w:val="00976CAD"/>
    <w:rsid w:val="00977548"/>
    <w:rsid w:val="0097770C"/>
    <w:rsid w:val="009805A1"/>
    <w:rsid w:val="009827E9"/>
    <w:rsid w:val="00982C96"/>
    <w:rsid w:val="00982D1E"/>
    <w:rsid w:val="00983748"/>
    <w:rsid w:val="00984330"/>
    <w:rsid w:val="00984BB2"/>
    <w:rsid w:val="00985758"/>
    <w:rsid w:val="00985C16"/>
    <w:rsid w:val="00985C5E"/>
    <w:rsid w:val="00986E4F"/>
    <w:rsid w:val="00987648"/>
    <w:rsid w:val="00990455"/>
    <w:rsid w:val="00990947"/>
    <w:rsid w:val="00990B30"/>
    <w:rsid w:val="00991315"/>
    <w:rsid w:val="00991D31"/>
    <w:rsid w:val="00993C0B"/>
    <w:rsid w:val="00993CD6"/>
    <w:rsid w:val="009946C1"/>
    <w:rsid w:val="00995F17"/>
    <w:rsid w:val="00995F40"/>
    <w:rsid w:val="00995FA5"/>
    <w:rsid w:val="00996D4F"/>
    <w:rsid w:val="00997A4D"/>
    <w:rsid w:val="009A02F1"/>
    <w:rsid w:val="009A0E6E"/>
    <w:rsid w:val="009A1DF2"/>
    <w:rsid w:val="009A2915"/>
    <w:rsid w:val="009A2C7E"/>
    <w:rsid w:val="009A6149"/>
    <w:rsid w:val="009A67E1"/>
    <w:rsid w:val="009A6E22"/>
    <w:rsid w:val="009B0086"/>
    <w:rsid w:val="009B0309"/>
    <w:rsid w:val="009B1351"/>
    <w:rsid w:val="009B1614"/>
    <w:rsid w:val="009B23C3"/>
    <w:rsid w:val="009B2429"/>
    <w:rsid w:val="009B2569"/>
    <w:rsid w:val="009B30D7"/>
    <w:rsid w:val="009B3130"/>
    <w:rsid w:val="009B33E7"/>
    <w:rsid w:val="009B3EF3"/>
    <w:rsid w:val="009B3FDD"/>
    <w:rsid w:val="009B43D6"/>
    <w:rsid w:val="009B51E4"/>
    <w:rsid w:val="009B5AF5"/>
    <w:rsid w:val="009B6436"/>
    <w:rsid w:val="009B68A0"/>
    <w:rsid w:val="009B6C3A"/>
    <w:rsid w:val="009B726B"/>
    <w:rsid w:val="009C022D"/>
    <w:rsid w:val="009C131B"/>
    <w:rsid w:val="009C1700"/>
    <w:rsid w:val="009C1E63"/>
    <w:rsid w:val="009C1FC3"/>
    <w:rsid w:val="009C2076"/>
    <w:rsid w:val="009C24AD"/>
    <w:rsid w:val="009C3D1C"/>
    <w:rsid w:val="009C421C"/>
    <w:rsid w:val="009C5A53"/>
    <w:rsid w:val="009C5B58"/>
    <w:rsid w:val="009C6018"/>
    <w:rsid w:val="009C6638"/>
    <w:rsid w:val="009D1044"/>
    <w:rsid w:val="009D1323"/>
    <w:rsid w:val="009D1D95"/>
    <w:rsid w:val="009D24A5"/>
    <w:rsid w:val="009D2B42"/>
    <w:rsid w:val="009D30C5"/>
    <w:rsid w:val="009D3B55"/>
    <w:rsid w:val="009D42E8"/>
    <w:rsid w:val="009D5434"/>
    <w:rsid w:val="009D54DD"/>
    <w:rsid w:val="009D5C29"/>
    <w:rsid w:val="009D70FE"/>
    <w:rsid w:val="009D7D1D"/>
    <w:rsid w:val="009D7FDA"/>
    <w:rsid w:val="009E001E"/>
    <w:rsid w:val="009E04AB"/>
    <w:rsid w:val="009E112B"/>
    <w:rsid w:val="009E20E6"/>
    <w:rsid w:val="009E2999"/>
    <w:rsid w:val="009E2A57"/>
    <w:rsid w:val="009E4B4A"/>
    <w:rsid w:val="009E5BB8"/>
    <w:rsid w:val="009F0111"/>
    <w:rsid w:val="009F10CC"/>
    <w:rsid w:val="009F1D45"/>
    <w:rsid w:val="009F3AF4"/>
    <w:rsid w:val="009F44C0"/>
    <w:rsid w:val="009F452E"/>
    <w:rsid w:val="009F4848"/>
    <w:rsid w:val="009F48FB"/>
    <w:rsid w:val="009F6003"/>
    <w:rsid w:val="009F67E4"/>
    <w:rsid w:val="009F7166"/>
    <w:rsid w:val="009F7A41"/>
    <w:rsid w:val="00A005E9"/>
    <w:rsid w:val="00A007F2"/>
    <w:rsid w:val="00A0089E"/>
    <w:rsid w:val="00A0243A"/>
    <w:rsid w:val="00A04956"/>
    <w:rsid w:val="00A05AB1"/>
    <w:rsid w:val="00A05DEF"/>
    <w:rsid w:val="00A06C55"/>
    <w:rsid w:val="00A06DDA"/>
    <w:rsid w:val="00A0745D"/>
    <w:rsid w:val="00A0768E"/>
    <w:rsid w:val="00A104AB"/>
    <w:rsid w:val="00A11474"/>
    <w:rsid w:val="00A127F7"/>
    <w:rsid w:val="00A12F09"/>
    <w:rsid w:val="00A13371"/>
    <w:rsid w:val="00A13EC9"/>
    <w:rsid w:val="00A141C9"/>
    <w:rsid w:val="00A1421E"/>
    <w:rsid w:val="00A14DC7"/>
    <w:rsid w:val="00A15634"/>
    <w:rsid w:val="00A158E0"/>
    <w:rsid w:val="00A15C76"/>
    <w:rsid w:val="00A17231"/>
    <w:rsid w:val="00A17B41"/>
    <w:rsid w:val="00A208D0"/>
    <w:rsid w:val="00A21872"/>
    <w:rsid w:val="00A22568"/>
    <w:rsid w:val="00A23750"/>
    <w:rsid w:val="00A23BDD"/>
    <w:rsid w:val="00A24179"/>
    <w:rsid w:val="00A2418D"/>
    <w:rsid w:val="00A24957"/>
    <w:rsid w:val="00A25F93"/>
    <w:rsid w:val="00A26C29"/>
    <w:rsid w:val="00A27CA3"/>
    <w:rsid w:val="00A302B8"/>
    <w:rsid w:val="00A30CBA"/>
    <w:rsid w:val="00A31CEE"/>
    <w:rsid w:val="00A332BF"/>
    <w:rsid w:val="00A3472C"/>
    <w:rsid w:val="00A3511E"/>
    <w:rsid w:val="00A35ECA"/>
    <w:rsid w:val="00A35FDD"/>
    <w:rsid w:val="00A36846"/>
    <w:rsid w:val="00A3702E"/>
    <w:rsid w:val="00A4176C"/>
    <w:rsid w:val="00A4182E"/>
    <w:rsid w:val="00A42300"/>
    <w:rsid w:val="00A42E31"/>
    <w:rsid w:val="00A43507"/>
    <w:rsid w:val="00A436F7"/>
    <w:rsid w:val="00A440D7"/>
    <w:rsid w:val="00A44366"/>
    <w:rsid w:val="00A4482C"/>
    <w:rsid w:val="00A4540A"/>
    <w:rsid w:val="00A45F55"/>
    <w:rsid w:val="00A47817"/>
    <w:rsid w:val="00A47F65"/>
    <w:rsid w:val="00A508A9"/>
    <w:rsid w:val="00A50B48"/>
    <w:rsid w:val="00A50F18"/>
    <w:rsid w:val="00A51CCD"/>
    <w:rsid w:val="00A52949"/>
    <w:rsid w:val="00A52995"/>
    <w:rsid w:val="00A5424F"/>
    <w:rsid w:val="00A54A86"/>
    <w:rsid w:val="00A551E2"/>
    <w:rsid w:val="00A56610"/>
    <w:rsid w:val="00A56A82"/>
    <w:rsid w:val="00A56BE6"/>
    <w:rsid w:val="00A56C6E"/>
    <w:rsid w:val="00A60D5C"/>
    <w:rsid w:val="00A61240"/>
    <w:rsid w:val="00A61A84"/>
    <w:rsid w:val="00A646B7"/>
    <w:rsid w:val="00A646C6"/>
    <w:rsid w:val="00A647F7"/>
    <w:rsid w:val="00A648F9"/>
    <w:rsid w:val="00A65332"/>
    <w:rsid w:val="00A656AC"/>
    <w:rsid w:val="00A65FA5"/>
    <w:rsid w:val="00A66174"/>
    <w:rsid w:val="00A662DE"/>
    <w:rsid w:val="00A67A86"/>
    <w:rsid w:val="00A67D34"/>
    <w:rsid w:val="00A70678"/>
    <w:rsid w:val="00A71B18"/>
    <w:rsid w:val="00A722FD"/>
    <w:rsid w:val="00A7254E"/>
    <w:rsid w:val="00A72660"/>
    <w:rsid w:val="00A72F32"/>
    <w:rsid w:val="00A737F4"/>
    <w:rsid w:val="00A73A04"/>
    <w:rsid w:val="00A73F6B"/>
    <w:rsid w:val="00A759A9"/>
    <w:rsid w:val="00A75A46"/>
    <w:rsid w:val="00A76C85"/>
    <w:rsid w:val="00A7741D"/>
    <w:rsid w:val="00A81D43"/>
    <w:rsid w:val="00A82A89"/>
    <w:rsid w:val="00A83919"/>
    <w:rsid w:val="00A845E8"/>
    <w:rsid w:val="00A84CEC"/>
    <w:rsid w:val="00A84F85"/>
    <w:rsid w:val="00A85028"/>
    <w:rsid w:val="00A8559D"/>
    <w:rsid w:val="00A86049"/>
    <w:rsid w:val="00A868E2"/>
    <w:rsid w:val="00A86A49"/>
    <w:rsid w:val="00A8700C"/>
    <w:rsid w:val="00A87DBD"/>
    <w:rsid w:val="00A9082F"/>
    <w:rsid w:val="00A916A4"/>
    <w:rsid w:val="00A92ABA"/>
    <w:rsid w:val="00A934B5"/>
    <w:rsid w:val="00A94370"/>
    <w:rsid w:val="00A946B4"/>
    <w:rsid w:val="00A94A4A"/>
    <w:rsid w:val="00A94E7C"/>
    <w:rsid w:val="00A95141"/>
    <w:rsid w:val="00A9533A"/>
    <w:rsid w:val="00A95966"/>
    <w:rsid w:val="00A9596F"/>
    <w:rsid w:val="00A95AFE"/>
    <w:rsid w:val="00A9700A"/>
    <w:rsid w:val="00A978BD"/>
    <w:rsid w:val="00AA07CE"/>
    <w:rsid w:val="00AA1D15"/>
    <w:rsid w:val="00AA20C8"/>
    <w:rsid w:val="00AA2A13"/>
    <w:rsid w:val="00AA2CBB"/>
    <w:rsid w:val="00AA3C15"/>
    <w:rsid w:val="00AA4C29"/>
    <w:rsid w:val="00AA62E2"/>
    <w:rsid w:val="00AA6805"/>
    <w:rsid w:val="00AA6C92"/>
    <w:rsid w:val="00AA6FC4"/>
    <w:rsid w:val="00AA733B"/>
    <w:rsid w:val="00AA7B19"/>
    <w:rsid w:val="00AB039C"/>
    <w:rsid w:val="00AB1830"/>
    <w:rsid w:val="00AB202E"/>
    <w:rsid w:val="00AB257C"/>
    <w:rsid w:val="00AB3495"/>
    <w:rsid w:val="00AB427A"/>
    <w:rsid w:val="00AB5986"/>
    <w:rsid w:val="00AB5C72"/>
    <w:rsid w:val="00AB621E"/>
    <w:rsid w:val="00AB62F2"/>
    <w:rsid w:val="00AC042A"/>
    <w:rsid w:val="00AC1241"/>
    <w:rsid w:val="00AC1F06"/>
    <w:rsid w:val="00AC2A7D"/>
    <w:rsid w:val="00AC2E9C"/>
    <w:rsid w:val="00AC35DA"/>
    <w:rsid w:val="00AC3E0F"/>
    <w:rsid w:val="00AC3E17"/>
    <w:rsid w:val="00AC4F80"/>
    <w:rsid w:val="00AC5A27"/>
    <w:rsid w:val="00AC5B9F"/>
    <w:rsid w:val="00AC6111"/>
    <w:rsid w:val="00AC6123"/>
    <w:rsid w:val="00AC6BE7"/>
    <w:rsid w:val="00AC7AD3"/>
    <w:rsid w:val="00AD16EF"/>
    <w:rsid w:val="00AD17F9"/>
    <w:rsid w:val="00AD1A46"/>
    <w:rsid w:val="00AD261F"/>
    <w:rsid w:val="00AD2A79"/>
    <w:rsid w:val="00AD2E4F"/>
    <w:rsid w:val="00AD31C3"/>
    <w:rsid w:val="00AD323C"/>
    <w:rsid w:val="00AD3B9A"/>
    <w:rsid w:val="00AD488E"/>
    <w:rsid w:val="00AD5C5B"/>
    <w:rsid w:val="00AD6937"/>
    <w:rsid w:val="00AD6CCB"/>
    <w:rsid w:val="00AE0655"/>
    <w:rsid w:val="00AE07AD"/>
    <w:rsid w:val="00AE1B12"/>
    <w:rsid w:val="00AE3819"/>
    <w:rsid w:val="00AE3964"/>
    <w:rsid w:val="00AE4BF0"/>
    <w:rsid w:val="00AF0A2F"/>
    <w:rsid w:val="00AF2D7A"/>
    <w:rsid w:val="00AF34E9"/>
    <w:rsid w:val="00AF418F"/>
    <w:rsid w:val="00AF501D"/>
    <w:rsid w:val="00AF518A"/>
    <w:rsid w:val="00AF5731"/>
    <w:rsid w:val="00AF60F6"/>
    <w:rsid w:val="00AF7023"/>
    <w:rsid w:val="00B00710"/>
    <w:rsid w:val="00B00FA6"/>
    <w:rsid w:val="00B0162E"/>
    <w:rsid w:val="00B01D63"/>
    <w:rsid w:val="00B0213C"/>
    <w:rsid w:val="00B02B5F"/>
    <w:rsid w:val="00B03004"/>
    <w:rsid w:val="00B035ED"/>
    <w:rsid w:val="00B062D4"/>
    <w:rsid w:val="00B06F01"/>
    <w:rsid w:val="00B075E0"/>
    <w:rsid w:val="00B10E4B"/>
    <w:rsid w:val="00B112C4"/>
    <w:rsid w:val="00B11CD9"/>
    <w:rsid w:val="00B127FB"/>
    <w:rsid w:val="00B129AD"/>
    <w:rsid w:val="00B14A7B"/>
    <w:rsid w:val="00B14F53"/>
    <w:rsid w:val="00B15E16"/>
    <w:rsid w:val="00B161B7"/>
    <w:rsid w:val="00B169C6"/>
    <w:rsid w:val="00B16F1E"/>
    <w:rsid w:val="00B1799D"/>
    <w:rsid w:val="00B17F4D"/>
    <w:rsid w:val="00B20A56"/>
    <w:rsid w:val="00B20E32"/>
    <w:rsid w:val="00B22372"/>
    <w:rsid w:val="00B22E31"/>
    <w:rsid w:val="00B24BAA"/>
    <w:rsid w:val="00B25C94"/>
    <w:rsid w:val="00B260EF"/>
    <w:rsid w:val="00B26538"/>
    <w:rsid w:val="00B27614"/>
    <w:rsid w:val="00B30D06"/>
    <w:rsid w:val="00B32405"/>
    <w:rsid w:val="00B33409"/>
    <w:rsid w:val="00B34DC2"/>
    <w:rsid w:val="00B35D10"/>
    <w:rsid w:val="00B3606E"/>
    <w:rsid w:val="00B36F4C"/>
    <w:rsid w:val="00B377EE"/>
    <w:rsid w:val="00B37C34"/>
    <w:rsid w:val="00B37DCE"/>
    <w:rsid w:val="00B405FC"/>
    <w:rsid w:val="00B40BC0"/>
    <w:rsid w:val="00B41676"/>
    <w:rsid w:val="00B41700"/>
    <w:rsid w:val="00B4620A"/>
    <w:rsid w:val="00B503A1"/>
    <w:rsid w:val="00B54539"/>
    <w:rsid w:val="00B546A7"/>
    <w:rsid w:val="00B62DE8"/>
    <w:rsid w:val="00B62F2D"/>
    <w:rsid w:val="00B63DCD"/>
    <w:rsid w:val="00B64754"/>
    <w:rsid w:val="00B64FED"/>
    <w:rsid w:val="00B658E1"/>
    <w:rsid w:val="00B65CB1"/>
    <w:rsid w:val="00B65E49"/>
    <w:rsid w:val="00B66C47"/>
    <w:rsid w:val="00B678AE"/>
    <w:rsid w:val="00B72428"/>
    <w:rsid w:val="00B734A4"/>
    <w:rsid w:val="00B7373D"/>
    <w:rsid w:val="00B73B5E"/>
    <w:rsid w:val="00B7481B"/>
    <w:rsid w:val="00B7575B"/>
    <w:rsid w:val="00B75E88"/>
    <w:rsid w:val="00B76583"/>
    <w:rsid w:val="00B76B6D"/>
    <w:rsid w:val="00B77AD2"/>
    <w:rsid w:val="00B81723"/>
    <w:rsid w:val="00B818D8"/>
    <w:rsid w:val="00B82283"/>
    <w:rsid w:val="00B8309A"/>
    <w:rsid w:val="00B83A12"/>
    <w:rsid w:val="00B8531E"/>
    <w:rsid w:val="00B85CE5"/>
    <w:rsid w:val="00B86123"/>
    <w:rsid w:val="00B877AE"/>
    <w:rsid w:val="00B90BA8"/>
    <w:rsid w:val="00B91688"/>
    <w:rsid w:val="00B9260B"/>
    <w:rsid w:val="00B92E98"/>
    <w:rsid w:val="00B93AE7"/>
    <w:rsid w:val="00B94326"/>
    <w:rsid w:val="00B94D20"/>
    <w:rsid w:val="00B95352"/>
    <w:rsid w:val="00B95B43"/>
    <w:rsid w:val="00B95B92"/>
    <w:rsid w:val="00B96EF2"/>
    <w:rsid w:val="00B97008"/>
    <w:rsid w:val="00BA025C"/>
    <w:rsid w:val="00BA05C3"/>
    <w:rsid w:val="00BA1AB3"/>
    <w:rsid w:val="00BA2BCB"/>
    <w:rsid w:val="00BA2D15"/>
    <w:rsid w:val="00BA3190"/>
    <w:rsid w:val="00BA3A88"/>
    <w:rsid w:val="00BA5A88"/>
    <w:rsid w:val="00BA5D5F"/>
    <w:rsid w:val="00BA5D76"/>
    <w:rsid w:val="00BA6EE8"/>
    <w:rsid w:val="00BA78AE"/>
    <w:rsid w:val="00BA7AE8"/>
    <w:rsid w:val="00BB0A31"/>
    <w:rsid w:val="00BB0F72"/>
    <w:rsid w:val="00BB1611"/>
    <w:rsid w:val="00BB1893"/>
    <w:rsid w:val="00BB2FF0"/>
    <w:rsid w:val="00BB694B"/>
    <w:rsid w:val="00BB6BD3"/>
    <w:rsid w:val="00BB6E0A"/>
    <w:rsid w:val="00BB7471"/>
    <w:rsid w:val="00BB7F10"/>
    <w:rsid w:val="00BC103B"/>
    <w:rsid w:val="00BC264E"/>
    <w:rsid w:val="00BC30A4"/>
    <w:rsid w:val="00BC6253"/>
    <w:rsid w:val="00BC6E42"/>
    <w:rsid w:val="00BC7D90"/>
    <w:rsid w:val="00BD003A"/>
    <w:rsid w:val="00BD0A78"/>
    <w:rsid w:val="00BD2A1E"/>
    <w:rsid w:val="00BD2DA9"/>
    <w:rsid w:val="00BD2F15"/>
    <w:rsid w:val="00BD317C"/>
    <w:rsid w:val="00BD4012"/>
    <w:rsid w:val="00BD4C7C"/>
    <w:rsid w:val="00BD56EA"/>
    <w:rsid w:val="00BD571A"/>
    <w:rsid w:val="00BD5CBD"/>
    <w:rsid w:val="00BD63F8"/>
    <w:rsid w:val="00BD6CAF"/>
    <w:rsid w:val="00BD7E31"/>
    <w:rsid w:val="00BE0E18"/>
    <w:rsid w:val="00BE153E"/>
    <w:rsid w:val="00BE15F2"/>
    <w:rsid w:val="00BE261A"/>
    <w:rsid w:val="00BE284B"/>
    <w:rsid w:val="00BE505A"/>
    <w:rsid w:val="00BE561E"/>
    <w:rsid w:val="00BE7807"/>
    <w:rsid w:val="00BF1AF8"/>
    <w:rsid w:val="00BF1B17"/>
    <w:rsid w:val="00BF236B"/>
    <w:rsid w:val="00BF25F9"/>
    <w:rsid w:val="00BF2EC3"/>
    <w:rsid w:val="00BF34E0"/>
    <w:rsid w:val="00BF3950"/>
    <w:rsid w:val="00BF446B"/>
    <w:rsid w:val="00BF4FCC"/>
    <w:rsid w:val="00BF50E6"/>
    <w:rsid w:val="00BF79CD"/>
    <w:rsid w:val="00C00466"/>
    <w:rsid w:val="00C005AC"/>
    <w:rsid w:val="00C008B9"/>
    <w:rsid w:val="00C01643"/>
    <w:rsid w:val="00C0345E"/>
    <w:rsid w:val="00C038A5"/>
    <w:rsid w:val="00C04207"/>
    <w:rsid w:val="00C04333"/>
    <w:rsid w:val="00C04505"/>
    <w:rsid w:val="00C05496"/>
    <w:rsid w:val="00C059B6"/>
    <w:rsid w:val="00C05A89"/>
    <w:rsid w:val="00C06E92"/>
    <w:rsid w:val="00C077B1"/>
    <w:rsid w:val="00C13311"/>
    <w:rsid w:val="00C136E6"/>
    <w:rsid w:val="00C13D8D"/>
    <w:rsid w:val="00C144C8"/>
    <w:rsid w:val="00C15A9A"/>
    <w:rsid w:val="00C15AAA"/>
    <w:rsid w:val="00C1625A"/>
    <w:rsid w:val="00C168DB"/>
    <w:rsid w:val="00C16CFB"/>
    <w:rsid w:val="00C2042C"/>
    <w:rsid w:val="00C22309"/>
    <w:rsid w:val="00C2241D"/>
    <w:rsid w:val="00C229E0"/>
    <w:rsid w:val="00C23BB2"/>
    <w:rsid w:val="00C2696C"/>
    <w:rsid w:val="00C27D3C"/>
    <w:rsid w:val="00C335D1"/>
    <w:rsid w:val="00C33A1C"/>
    <w:rsid w:val="00C34369"/>
    <w:rsid w:val="00C37220"/>
    <w:rsid w:val="00C378F1"/>
    <w:rsid w:val="00C37AB3"/>
    <w:rsid w:val="00C41CA4"/>
    <w:rsid w:val="00C43A7F"/>
    <w:rsid w:val="00C43F2E"/>
    <w:rsid w:val="00C45538"/>
    <w:rsid w:val="00C45AC0"/>
    <w:rsid w:val="00C45FC0"/>
    <w:rsid w:val="00C462AC"/>
    <w:rsid w:val="00C466DC"/>
    <w:rsid w:val="00C51827"/>
    <w:rsid w:val="00C51B5D"/>
    <w:rsid w:val="00C51DE5"/>
    <w:rsid w:val="00C523A6"/>
    <w:rsid w:val="00C53119"/>
    <w:rsid w:val="00C532BE"/>
    <w:rsid w:val="00C53DC6"/>
    <w:rsid w:val="00C54143"/>
    <w:rsid w:val="00C54FB9"/>
    <w:rsid w:val="00C55542"/>
    <w:rsid w:val="00C57133"/>
    <w:rsid w:val="00C57553"/>
    <w:rsid w:val="00C602D7"/>
    <w:rsid w:val="00C61305"/>
    <w:rsid w:val="00C614D4"/>
    <w:rsid w:val="00C62404"/>
    <w:rsid w:val="00C64881"/>
    <w:rsid w:val="00C656AE"/>
    <w:rsid w:val="00C66780"/>
    <w:rsid w:val="00C6711A"/>
    <w:rsid w:val="00C674EC"/>
    <w:rsid w:val="00C711EC"/>
    <w:rsid w:val="00C7136A"/>
    <w:rsid w:val="00C714FA"/>
    <w:rsid w:val="00C71602"/>
    <w:rsid w:val="00C71A7C"/>
    <w:rsid w:val="00C72130"/>
    <w:rsid w:val="00C7226D"/>
    <w:rsid w:val="00C73E6D"/>
    <w:rsid w:val="00C74078"/>
    <w:rsid w:val="00C75478"/>
    <w:rsid w:val="00C758B5"/>
    <w:rsid w:val="00C75E2D"/>
    <w:rsid w:val="00C7614F"/>
    <w:rsid w:val="00C76273"/>
    <w:rsid w:val="00C76560"/>
    <w:rsid w:val="00C7673C"/>
    <w:rsid w:val="00C7686A"/>
    <w:rsid w:val="00C76DE9"/>
    <w:rsid w:val="00C76E90"/>
    <w:rsid w:val="00C7749D"/>
    <w:rsid w:val="00C777D3"/>
    <w:rsid w:val="00C81973"/>
    <w:rsid w:val="00C82CE3"/>
    <w:rsid w:val="00C830EA"/>
    <w:rsid w:val="00C855E6"/>
    <w:rsid w:val="00C86DB6"/>
    <w:rsid w:val="00C86E29"/>
    <w:rsid w:val="00C87594"/>
    <w:rsid w:val="00C87E34"/>
    <w:rsid w:val="00C9025C"/>
    <w:rsid w:val="00C912C1"/>
    <w:rsid w:val="00C91E59"/>
    <w:rsid w:val="00C92E01"/>
    <w:rsid w:val="00C93623"/>
    <w:rsid w:val="00C94641"/>
    <w:rsid w:val="00C94AB2"/>
    <w:rsid w:val="00C94C99"/>
    <w:rsid w:val="00C9606B"/>
    <w:rsid w:val="00C97E2D"/>
    <w:rsid w:val="00CA1407"/>
    <w:rsid w:val="00CA18D6"/>
    <w:rsid w:val="00CA325A"/>
    <w:rsid w:val="00CA34CA"/>
    <w:rsid w:val="00CA5759"/>
    <w:rsid w:val="00CA5BB7"/>
    <w:rsid w:val="00CA67D4"/>
    <w:rsid w:val="00CA6A16"/>
    <w:rsid w:val="00CA6DDE"/>
    <w:rsid w:val="00CA77DF"/>
    <w:rsid w:val="00CA7888"/>
    <w:rsid w:val="00CB0283"/>
    <w:rsid w:val="00CB0B83"/>
    <w:rsid w:val="00CB1C91"/>
    <w:rsid w:val="00CB3A7D"/>
    <w:rsid w:val="00CB3B5A"/>
    <w:rsid w:val="00CB4CD5"/>
    <w:rsid w:val="00CB5BA5"/>
    <w:rsid w:val="00CB6117"/>
    <w:rsid w:val="00CB630B"/>
    <w:rsid w:val="00CB6878"/>
    <w:rsid w:val="00CB7985"/>
    <w:rsid w:val="00CC07BE"/>
    <w:rsid w:val="00CC0AA9"/>
    <w:rsid w:val="00CC26C6"/>
    <w:rsid w:val="00CC28F3"/>
    <w:rsid w:val="00CC2D1A"/>
    <w:rsid w:val="00CC41EB"/>
    <w:rsid w:val="00CC6F25"/>
    <w:rsid w:val="00CC706E"/>
    <w:rsid w:val="00CD11E2"/>
    <w:rsid w:val="00CD2AE6"/>
    <w:rsid w:val="00CD3011"/>
    <w:rsid w:val="00CD3014"/>
    <w:rsid w:val="00CD3056"/>
    <w:rsid w:val="00CD384A"/>
    <w:rsid w:val="00CD4B69"/>
    <w:rsid w:val="00CD5C49"/>
    <w:rsid w:val="00CD7FBD"/>
    <w:rsid w:val="00CE0AB0"/>
    <w:rsid w:val="00CE14FE"/>
    <w:rsid w:val="00CE2137"/>
    <w:rsid w:val="00CE24B5"/>
    <w:rsid w:val="00CE36AA"/>
    <w:rsid w:val="00CE382D"/>
    <w:rsid w:val="00CE3AF5"/>
    <w:rsid w:val="00CE4C78"/>
    <w:rsid w:val="00CE4EFC"/>
    <w:rsid w:val="00CE5105"/>
    <w:rsid w:val="00CE7A3C"/>
    <w:rsid w:val="00CF058B"/>
    <w:rsid w:val="00CF06C4"/>
    <w:rsid w:val="00CF0733"/>
    <w:rsid w:val="00CF13E1"/>
    <w:rsid w:val="00CF282B"/>
    <w:rsid w:val="00CF5055"/>
    <w:rsid w:val="00CF715C"/>
    <w:rsid w:val="00CF7322"/>
    <w:rsid w:val="00D0010E"/>
    <w:rsid w:val="00D00687"/>
    <w:rsid w:val="00D00F45"/>
    <w:rsid w:val="00D00FC4"/>
    <w:rsid w:val="00D01AC5"/>
    <w:rsid w:val="00D01CA0"/>
    <w:rsid w:val="00D02673"/>
    <w:rsid w:val="00D02DFE"/>
    <w:rsid w:val="00D03C8E"/>
    <w:rsid w:val="00D04A8E"/>
    <w:rsid w:val="00D063F6"/>
    <w:rsid w:val="00D064A2"/>
    <w:rsid w:val="00D06B79"/>
    <w:rsid w:val="00D06D5A"/>
    <w:rsid w:val="00D0799D"/>
    <w:rsid w:val="00D1089B"/>
    <w:rsid w:val="00D10B1E"/>
    <w:rsid w:val="00D126AA"/>
    <w:rsid w:val="00D127D2"/>
    <w:rsid w:val="00D13D16"/>
    <w:rsid w:val="00D14056"/>
    <w:rsid w:val="00D155BA"/>
    <w:rsid w:val="00D15819"/>
    <w:rsid w:val="00D15B3C"/>
    <w:rsid w:val="00D15F64"/>
    <w:rsid w:val="00D16600"/>
    <w:rsid w:val="00D177CB"/>
    <w:rsid w:val="00D245EB"/>
    <w:rsid w:val="00D26305"/>
    <w:rsid w:val="00D26E74"/>
    <w:rsid w:val="00D312D4"/>
    <w:rsid w:val="00D329A9"/>
    <w:rsid w:val="00D32E5E"/>
    <w:rsid w:val="00D33A36"/>
    <w:rsid w:val="00D34DC0"/>
    <w:rsid w:val="00D379B8"/>
    <w:rsid w:val="00D400AA"/>
    <w:rsid w:val="00D402FC"/>
    <w:rsid w:val="00D406B0"/>
    <w:rsid w:val="00D4227C"/>
    <w:rsid w:val="00D42BF0"/>
    <w:rsid w:val="00D42C68"/>
    <w:rsid w:val="00D43455"/>
    <w:rsid w:val="00D434D2"/>
    <w:rsid w:val="00D43E2F"/>
    <w:rsid w:val="00D45A12"/>
    <w:rsid w:val="00D4658D"/>
    <w:rsid w:val="00D470A3"/>
    <w:rsid w:val="00D50A3D"/>
    <w:rsid w:val="00D50D1D"/>
    <w:rsid w:val="00D50ECB"/>
    <w:rsid w:val="00D513DF"/>
    <w:rsid w:val="00D5298B"/>
    <w:rsid w:val="00D535DB"/>
    <w:rsid w:val="00D5377E"/>
    <w:rsid w:val="00D544E8"/>
    <w:rsid w:val="00D55853"/>
    <w:rsid w:val="00D559B4"/>
    <w:rsid w:val="00D55D50"/>
    <w:rsid w:val="00D56E97"/>
    <w:rsid w:val="00D570F9"/>
    <w:rsid w:val="00D5795D"/>
    <w:rsid w:val="00D60523"/>
    <w:rsid w:val="00D60A77"/>
    <w:rsid w:val="00D613C8"/>
    <w:rsid w:val="00D61686"/>
    <w:rsid w:val="00D63119"/>
    <w:rsid w:val="00D63675"/>
    <w:rsid w:val="00D63D92"/>
    <w:rsid w:val="00D641EA"/>
    <w:rsid w:val="00D64C93"/>
    <w:rsid w:val="00D65B9A"/>
    <w:rsid w:val="00D6634F"/>
    <w:rsid w:val="00D66E64"/>
    <w:rsid w:val="00D6701C"/>
    <w:rsid w:val="00D672A2"/>
    <w:rsid w:val="00D67447"/>
    <w:rsid w:val="00D674E0"/>
    <w:rsid w:val="00D67D51"/>
    <w:rsid w:val="00D70B42"/>
    <w:rsid w:val="00D721C0"/>
    <w:rsid w:val="00D7243C"/>
    <w:rsid w:val="00D72C3F"/>
    <w:rsid w:val="00D73E94"/>
    <w:rsid w:val="00D7483C"/>
    <w:rsid w:val="00D766AB"/>
    <w:rsid w:val="00D7792C"/>
    <w:rsid w:val="00D80341"/>
    <w:rsid w:val="00D8088A"/>
    <w:rsid w:val="00D81BDB"/>
    <w:rsid w:val="00D81E8D"/>
    <w:rsid w:val="00D82FAF"/>
    <w:rsid w:val="00D830C4"/>
    <w:rsid w:val="00D837A8"/>
    <w:rsid w:val="00D84C4A"/>
    <w:rsid w:val="00D850C9"/>
    <w:rsid w:val="00D86AB0"/>
    <w:rsid w:val="00D87019"/>
    <w:rsid w:val="00D872D9"/>
    <w:rsid w:val="00D9000A"/>
    <w:rsid w:val="00D91A6A"/>
    <w:rsid w:val="00D93383"/>
    <w:rsid w:val="00D9393A"/>
    <w:rsid w:val="00D947C4"/>
    <w:rsid w:val="00D968CA"/>
    <w:rsid w:val="00D9690C"/>
    <w:rsid w:val="00D96D85"/>
    <w:rsid w:val="00D9715E"/>
    <w:rsid w:val="00D979B7"/>
    <w:rsid w:val="00D97A66"/>
    <w:rsid w:val="00DA0A02"/>
    <w:rsid w:val="00DA1DAD"/>
    <w:rsid w:val="00DA21FB"/>
    <w:rsid w:val="00DA282E"/>
    <w:rsid w:val="00DA32F2"/>
    <w:rsid w:val="00DA4490"/>
    <w:rsid w:val="00DA46BF"/>
    <w:rsid w:val="00DA4775"/>
    <w:rsid w:val="00DA6C75"/>
    <w:rsid w:val="00DA705B"/>
    <w:rsid w:val="00DA726A"/>
    <w:rsid w:val="00DA764E"/>
    <w:rsid w:val="00DB00CB"/>
    <w:rsid w:val="00DB0471"/>
    <w:rsid w:val="00DB0807"/>
    <w:rsid w:val="00DB0A5B"/>
    <w:rsid w:val="00DB0CC7"/>
    <w:rsid w:val="00DB1E70"/>
    <w:rsid w:val="00DB3357"/>
    <w:rsid w:val="00DB4284"/>
    <w:rsid w:val="00DB625F"/>
    <w:rsid w:val="00DB7229"/>
    <w:rsid w:val="00DC014C"/>
    <w:rsid w:val="00DC0405"/>
    <w:rsid w:val="00DC091F"/>
    <w:rsid w:val="00DC1D93"/>
    <w:rsid w:val="00DC2094"/>
    <w:rsid w:val="00DC2AC9"/>
    <w:rsid w:val="00DC3325"/>
    <w:rsid w:val="00DC3508"/>
    <w:rsid w:val="00DC3ED6"/>
    <w:rsid w:val="00DC490F"/>
    <w:rsid w:val="00DC549D"/>
    <w:rsid w:val="00DC56E7"/>
    <w:rsid w:val="00DC6D98"/>
    <w:rsid w:val="00DC717C"/>
    <w:rsid w:val="00DC77CA"/>
    <w:rsid w:val="00DC7D8A"/>
    <w:rsid w:val="00DC7DB4"/>
    <w:rsid w:val="00DD0735"/>
    <w:rsid w:val="00DD2676"/>
    <w:rsid w:val="00DD2B14"/>
    <w:rsid w:val="00DD2EEC"/>
    <w:rsid w:val="00DD473D"/>
    <w:rsid w:val="00DD531F"/>
    <w:rsid w:val="00DD653A"/>
    <w:rsid w:val="00DD6811"/>
    <w:rsid w:val="00DD6839"/>
    <w:rsid w:val="00DD7BD2"/>
    <w:rsid w:val="00DD7BEF"/>
    <w:rsid w:val="00DE107D"/>
    <w:rsid w:val="00DE16C4"/>
    <w:rsid w:val="00DE24A1"/>
    <w:rsid w:val="00DE3816"/>
    <w:rsid w:val="00DE4389"/>
    <w:rsid w:val="00DE4FB6"/>
    <w:rsid w:val="00DE52CE"/>
    <w:rsid w:val="00DE53B6"/>
    <w:rsid w:val="00DE7E48"/>
    <w:rsid w:val="00DF296A"/>
    <w:rsid w:val="00DF2ADB"/>
    <w:rsid w:val="00DF327C"/>
    <w:rsid w:val="00DF3B71"/>
    <w:rsid w:val="00DF4144"/>
    <w:rsid w:val="00DF47BE"/>
    <w:rsid w:val="00DF47D7"/>
    <w:rsid w:val="00DF4805"/>
    <w:rsid w:val="00DF4B59"/>
    <w:rsid w:val="00DF5714"/>
    <w:rsid w:val="00DF5EB2"/>
    <w:rsid w:val="00DF681E"/>
    <w:rsid w:val="00DF6836"/>
    <w:rsid w:val="00E00A15"/>
    <w:rsid w:val="00E00A2B"/>
    <w:rsid w:val="00E00D87"/>
    <w:rsid w:val="00E013F1"/>
    <w:rsid w:val="00E027F3"/>
    <w:rsid w:val="00E0294F"/>
    <w:rsid w:val="00E032DD"/>
    <w:rsid w:val="00E03533"/>
    <w:rsid w:val="00E0362D"/>
    <w:rsid w:val="00E036AA"/>
    <w:rsid w:val="00E039C8"/>
    <w:rsid w:val="00E03A33"/>
    <w:rsid w:val="00E05674"/>
    <w:rsid w:val="00E075E7"/>
    <w:rsid w:val="00E07CB8"/>
    <w:rsid w:val="00E07F02"/>
    <w:rsid w:val="00E10712"/>
    <w:rsid w:val="00E13763"/>
    <w:rsid w:val="00E17EC8"/>
    <w:rsid w:val="00E21102"/>
    <w:rsid w:val="00E211D9"/>
    <w:rsid w:val="00E214B8"/>
    <w:rsid w:val="00E236D4"/>
    <w:rsid w:val="00E23E58"/>
    <w:rsid w:val="00E24026"/>
    <w:rsid w:val="00E24C8A"/>
    <w:rsid w:val="00E264F9"/>
    <w:rsid w:val="00E26F04"/>
    <w:rsid w:val="00E27548"/>
    <w:rsid w:val="00E27C39"/>
    <w:rsid w:val="00E31935"/>
    <w:rsid w:val="00E33043"/>
    <w:rsid w:val="00E33211"/>
    <w:rsid w:val="00E36B04"/>
    <w:rsid w:val="00E37886"/>
    <w:rsid w:val="00E37BD2"/>
    <w:rsid w:val="00E40F74"/>
    <w:rsid w:val="00E47905"/>
    <w:rsid w:val="00E4792B"/>
    <w:rsid w:val="00E51C41"/>
    <w:rsid w:val="00E52E9E"/>
    <w:rsid w:val="00E5304A"/>
    <w:rsid w:val="00E53644"/>
    <w:rsid w:val="00E53AA7"/>
    <w:rsid w:val="00E544A1"/>
    <w:rsid w:val="00E5462B"/>
    <w:rsid w:val="00E55275"/>
    <w:rsid w:val="00E5542F"/>
    <w:rsid w:val="00E567CB"/>
    <w:rsid w:val="00E5680C"/>
    <w:rsid w:val="00E57110"/>
    <w:rsid w:val="00E577D3"/>
    <w:rsid w:val="00E57928"/>
    <w:rsid w:val="00E60FC8"/>
    <w:rsid w:val="00E616D4"/>
    <w:rsid w:val="00E63BBC"/>
    <w:rsid w:val="00E6437E"/>
    <w:rsid w:val="00E65102"/>
    <w:rsid w:val="00E651A3"/>
    <w:rsid w:val="00E651DE"/>
    <w:rsid w:val="00E666C1"/>
    <w:rsid w:val="00E66C6F"/>
    <w:rsid w:val="00E702BA"/>
    <w:rsid w:val="00E70A5E"/>
    <w:rsid w:val="00E72307"/>
    <w:rsid w:val="00E72EB0"/>
    <w:rsid w:val="00E73D9F"/>
    <w:rsid w:val="00E74B0A"/>
    <w:rsid w:val="00E75BCB"/>
    <w:rsid w:val="00E75CCF"/>
    <w:rsid w:val="00E76174"/>
    <w:rsid w:val="00E7627C"/>
    <w:rsid w:val="00E764C2"/>
    <w:rsid w:val="00E80144"/>
    <w:rsid w:val="00E80584"/>
    <w:rsid w:val="00E810FC"/>
    <w:rsid w:val="00E817A2"/>
    <w:rsid w:val="00E81B99"/>
    <w:rsid w:val="00E821D8"/>
    <w:rsid w:val="00E82487"/>
    <w:rsid w:val="00E82B03"/>
    <w:rsid w:val="00E83CC8"/>
    <w:rsid w:val="00E84728"/>
    <w:rsid w:val="00E84CB8"/>
    <w:rsid w:val="00E84EE0"/>
    <w:rsid w:val="00E8549C"/>
    <w:rsid w:val="00E8610D"/>
    <w:rsid w:val="00E8680C"/>
    <w:rsid w:val="00E8692E"/>
    <w:rsid w:val="00E87EDB"/>
    <w:rsid w:val="00E90C78"/>
    <w:rsid w:val="00E9147A"/>
    <w:rsid w:val="00E918C2"/>
    <w:rsid w:val="00E91C99"/>
    <w:rsid w:val="00E91E27"/>
    <w:rsid w:val="00E92020"/>
    <w:rsid w:val="00E9281F"/>
    <w:rsid w:val="00E9440E"/>
    <w:rsid w:val="00E94945"/>
    <w:rsid w:val="00E94A60"/>
    <w:rsid w:val="00E95868"/>
    <w:rsid w:val="00E95987"/>
    <w:rsid w:val="00E96583"/>
    <w:rsid w:val="00E97382"/>
    <w:rsid w:val="00E974A7"/>
    <w:rsid w:val="00E97567"/>
    <w:rsid w:val="00EA22D5"/>
    <w:rsid w:val="00EA33CB"/>
    <w:rsid w:val="00EA40DA"/>
    <w:rsid w:val="00EA5D05"/>
    <w:rsid w:val="00EA5EA9"/>
    <w:rsid w:val="00EA6751"/>
    <w:rsid w:val="00EB083A"/>
    <w:rsid w:val="00EB084D"/>
    <w:rsid w:val="00EB0E2D"/>
    <w:rsid w:val="00EB408D"/>
    <w:rsid w:val="00EB4482"/>
    <w:rsid w:val="00EB49A5"/>
    <w:rsid w:val="00EB5496"/>
    <w:rsid w:val="00EB5C55"/>
    <w:rsid w:val="00EB5D16"/>
    <w:rsid w:val="00EB5E9B"/>
    <w:rsid w:val="00EB6181"/>
    <w:rsid w:val="00EB7160"/>
    <w:rsid w:val="00EB7CE3"/>
    <w:rsid w:val="00EC248D"/>
    <w:rsid w:val="00EC309A"/>
    <w:rsid w:val="00EC4125"/>
    <w:rsid w:val="00EC4648"/>
    <w:rsid w:val="00EC4B3B"/>
    <w:rsid w:val="00EC7A05"/>
    <w:rsid w:val="00ED0FC0"/>
    <w:rsid w:val="00ED17DF"/>
    <w:rsid w:val="00ED2B78"/>
    <w:rsid w:val="00ED335E"/>
    <w:rsid w:val="00ED5E0D"/>
    <w:rsid w:val="00ED61D8"/>
    <w:rsid w:val="00ED645C"/>
    <w:rsid w:val="00ED64F0"/>
    <w:rsid w:val="00ED678E"/>
    <w:rsid w:val="00ED6916"/>
    <w:rsid w:val="00ED72CE"/>
    <w:rsid w:val="00ED7A5F"/>
    <w:rsid w:val="00ED7E34"/>
    <w:rsid w:val="00ED7F42"/>
    <w:rsid w:val="00EE0228"/>
    <w:rsid w:val="00EE1CD9"/>
    <w:rsid w:val="00EE22FB"/>
    <w:rsid w:val="00EE3B62"/>
    <w:rsid w:val="00EE435F"/>
    <w:rsid w:val="00EE5683"/>
    <w:rsid w:val="00EE66E0"/>
    <w:rsid w:val="00EE73EE"/>
    <w:rsid w:val="00EE74DF"/>
    <w:rsid w:val="00EE777A"/>
    <w:rsid w:val="00EE7B54"/>
    <w:rsid w:val="00EF1220"/>
    <w:rsid w:val="00EF1239"/>
    <w:rsid w:val="00EF12B8"/>
    <w:rsid w:val="00EF1FB2"/>
    <w:rsid w:val="00EF3558"/>
    <w:rsid w:val="00EF5035"/>
    <w:rsid w:val="00F00700"/>
    <w:rsid w:val="00F0204D"/>
    <w:rsid w:val="00F02983"/>
    <w:rsid w:val="00F03E8D"/>
    <w:rsid w:val="00F049A0"/>
    <w:rsid w:val="00F0528A"/>
    <w:rsid w:val="00F0623E"/>
    <w:rsid w:val="00F062AF"/>
    <w:rsid w:val="00F06960"/>
    <w:rsid w:val="00F06D09"/>
    <w:rsid w:val="00F0713D"/>
    <w:rsid w:val="00F077E2"/>
    <w:rsid w:val="00F101F2"/>
    <w:rsid w:val="00F104FE"/>
    <w:rsid w:val="00F10B30"/>
    <w:rsid w:val="00F11144"/>
    <w:rsid w:val="00F11EEB"/>
    <w:rsid w:val="00F11F41"/>
    <w:rsid w:val="00F12B2C"/>
    <w:rsid w:val="00F12CB3"/>
    <w:rsid w:val="00F12FF6"/>
    <w:rsid w:val="00F13B16"/>
    <w:rsid w:val="00F14C9B"/>
    <w:rsid w:val="00F2299B"/>
    <w:rsid w:val="00F24571"/>
    <w:rsid w:val="00F247C3"/>
    <w:rsid w:val="00F25C9C"/>
    <w:rsid w:val="00F27B94"/>
    <w:rsid w:val="00F30031"/>
    <w:rsid w:val="00F312EE"/>
    <w:rsid w:val="00F31615"/>
    <w:rsid w:val="00F34312"/>
    <w:rsid w:val="00F34491"/>
    <w:rsid w:val="00F3464A"/>
    <w:rsid w:val="00F35ECF"/>
    <w:rsid w:val="00F37B3A"/>
    <w:rsid w:val="00F37E37"/>
    <w:rsid w:val="00F43211"/>
    <w:rsid w:val="00F4336F"/>
    <w:rsid w:val="00F4343D"/>
    <w:rsid w:val="00F437F0"/>
    <w:rsid w:val="00F44297"/>
    <w:rsid w:val="00F44D42"/>
    <w:rsid w:val="00F472CC"/>
    <w:rsid w:val="00F5015C"/>
    <w:rsid w:val="00F5252A"/>
    <w:rsid w:val="00F52B06"/>
    <w:rsid w:val="00F545F3"/>
    <w:rsid w:val="00F54728"/>
    <w:rsid w:val="00F55025"/>
    <w:rsid w:val="00F55229"/>
    <w:rsid w:val="00F556B7"/>
    <w:rsid w:val="00F5651F"/>
    <w:rsid w:val="00F56F34"/>
    <w:rsid w:val="00F57028"/>
    <w:rsid w:val="00F5769D"/>
    <w:rsid w:val="00F608A2"/>
    <w:rsid w:val="00F61806"/>
    <w:rsid w:val="00F632BB"/>
    <w:rsid w:val="00F6503B"/>
    <w:rsid w:val="00F65107"/>
    <w:rsid w:val="00F651A0"/>
    <w:rsid w:val="00F6557A"/>
    <w:rsid w:val="00F6592D"/>
    <w:rsid w:val="00F665D4"/>
    <w:rsid w:val="00F66AC4"/>
    <w:rsid w:val="00F70B87"/>
    <w:rsid w:val="00F72547"/>
    <w:rsid w:val="00F72F91"/>
    <w:rsid w:val="00F742C9"/>
    <w:rsid w:val="00F75BFF"/>
    <w:rsid w:val="00F75EFD"/>
    <w:rsid w:val="00F766B5"/>
    <w:rsid w:val="00F8193B"/>
    <w:rsid w:val="00F83188"/>
    <w:rsid w:val="00F837BB"/>
    <w:rsid w:val="00F83E3C"/>
    <w:rsid w:val="00F853BF"/>
    <w:rsid w:val="00F8597D"/>
    <w:rsid w:val="00F85C3F"/>
    <w:rsid w:val="00F86020"/>
    <w:rsid w:val="00F871A3"/>
    <w:rsid w:val="00F906C0"/>
    <w:rsid w:val="00F92104"/>
    <w:rsid w:val="00F93DEC"/>
    <w:rsid w:val="00F940F4"/>
    <w:rsid w:val="00F943C4"/>
    <w:rsid w:val="00F97DA6"/>
    <w:rsid w:val="00FA01C6"/>
    <w:rsid w:val="00FA0666"/>
    <w:rsid w:val="00FA1735"/>
    <w:rsid w:val="00FA23E0"/>
    <w:rsid w:val="00FA4290"/>
    <w:rsid w:val="00FA449A"/>
    <w:rsid w:val="00FA53D0"/>
    <w:rsid w:val="00FA6BA4"/>
    <w:rsid w:val="00FA7063"/>
    <w:rsid w:val="00FA7135"/>
    <w:rsid w:val="00FA79B3"/>
    <w:rsid w:val="00FB072D"/>
    <w:rsid w:val="00FB0FBD"/>
    <w:rsid w:val="00FB4B87"/>
    <w:rsid w:val="00FB544A"/>
    <w:rsid w:val="00FB7DAD"/>
    <w:rsid w:val="00FC0700"/>
    <w:rsid w:val="00FC0B9A"/>
    <w:rsid w:val="00FC0BB1"/>
    <w:rsid w:val="00FC2784"/>
    <w:rsid w:val="00FC27DF"/>
    <w:rsid w:val="00FC2F6E"/>
    <w:rsid w:val="00FC2FA5"/>
    <w:rsid w:val="00FC36DC"/>
    <w:rsid w:val="00FC3C8B"/>
    <w:rsid w:val="00FC3CDA"/>
    <w:rsid w:val="00FC4DB4"/>
    <w:rsid w:val="00FC611D"/>
    <w:rsid w:val="00FC7134"/>
    <w:rsid w:val="00FC7728"/>
    <w:rsid w:val="00FC7C77"/>
    <w:rsid w:val="00FC7EAB"/>
    <w:rsid w:val="00FD02FB"/>
    <w:rsid w:val="00FD213A"/>
    <w:rsid w:val="00FD30C8"/>
    <w:rsid w:val="00FD37B4"/>
    <w:rsid w:val="00FD3AB3"/>
    <w:rsid w:val="00FD3BC9"/>
    <w:rsid w:val="00FD47F7"/>
    <w:rsid w:val="00FD5861"/>
    <w:rsid w:val="00FD5A33"/>
    <w:rsid w:val="00FD5F80"/>
    <w:rsid w:val="00FD6745"/>
    <w:rsid w:val="00FD6CC6"/>
    <w:rsid w:val="00FE0BEA"/>
    <w:rsid w:val="00FE0DA3"/>
    <w:rsid w:val="00FE1C93"/>
    <w:rsid w:val="00FE1D1E"/>
    <w:rsid w:val="00FE38E0"/>
    <w:rsid w:val="00FE6992"/>
    <w:rsid w:val="00FE7315"/>
    <w:rsid w:val="00FF03AD"/>
    <w:rsid w:val="00FF2D7D"/>
    <w:rsid w:val="00FF3905"/>
    <w:rsid w:val="00FF4C60"/>
    <w:rsid w:val="00FF5608"/>
    <w:rsid w:val="00FF5CBB"/>
    <w:rsid w:val="00FF5F32"/>
    <w:rsid w:val="00FF6082"/>
    <w:rsid w:val="00FF76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CC"/>
    <w:rPr>
      <w:sz w:val="24"/>
      <w:szCs w:val="24"/>
    </w:rPr>
  </w:style>
  <w:style w:type="paragraph" w:styleId="Heading1">
    <w:name w:val="heading 1"/>
    <w:basedOn w:val="Normal"/>
    <w:next w:val="Normal"/>
    <w:link w:val="Heading1Char"/>
    <w:uiPriority w:val="99"/>
    <w:qFormat/>
    <w:rsid w:val="00024559"/>
    <w:pPr>
      <w:keepNext/>
      <w:tabs>
        <w:tab w:val="num" w:pos="432"/>
      </w:tabs>
      <w:suppressAutoHyphens/>
      <w:ind w:left="432" w:hanging="432"/>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24559"/>
    <w:pPr>
      <w:keepNext/>
      <w:tabs>
        <w:tab w:val="num" w:pos="576"/>
      </w:tabs>
      <w:suppressAutoHyphens/>
      <w:spacing w:before="240" w:after="60"/>
      <w:ind w:left="576" w:hanging="576"/>
      <w:outlineLvl w:val="1"/>
    </w:pPr>
    <w:rPr>
      <w:rFonts w:ascii="Cambria" w:hAnsi="Cambria"/>
      <w:b/>
      <w:bCs/>
      <w:i/>
      <w:iCs/>
      <w:sz w:val="28"/>
      <w:szCs w:val="28"/>
    </w:rPr>
  </w:style>
  <w:style w:type="paragraph" w:styleId="Heading3">
    <w:name w:val="heading 3"/>
    <w:basedOn w:val="Normal"/>
    <w:next w:val="Normal"/>
    <w:link w:val="Heading3Char"/>
    <w:uiPriority w:val="99"/>
    <w:qFormat/>
    <w:rsid w:val="00024559"/>
    <w:pPr>
      <w:keepNext/>
      <w:tabs>
        <w:tab w:val="num" w:pos="720"/>
      </w:tabs>
      <w:suppressAutoHyphens/>
      <w:spacing w:before="240" w:after="60"/>
      <w:ind w:left="720" w:hanging="72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3D1C"/>
    <w:rPr>
      <w:rFonts w:ascii="Cambria" w:hAnsi="Cambria" w:cs="Cambria"/>
      <w:b/>
      <w:bCs/>
      <w:kern w:val="32"/>
      <w:sz w:val="32"/>
      <w:szCs w:val="32"/>
    </w:rPr>
  </w:style>
  <w:style w:type="character" w:customStyle="1" w:styleId="Heading2Char">
    <w:name w:val="Heading 2 Char"/>
    <w:link w:val="Heading2"/>
    <w:uiPriority w:val="99"/>
    <w:semiHidden/>
    <w:locked/>
    <w:rsid w:val="009C3D1C"/>
    <w:rPr>
      <w:rFonts w:ascii="Cambria" w:hAnsi="Cambria" w:cs="Cambria"/>
      <w:b/>
      <w:bCs/>
      <w:i/>
      <w:iCs/>
      <w:sz w:val="28"/>
      <w:szCs w:val="28"/>
    </w:rPr>
  </w:style>
  <w:style w:type="character" w:customStyle="1" w:styleId="Heading3Char">
    <w:name w:val="Heading 3 Char"/>
    <w:link w:val="Heading3"/>
    <w:uiPriority w:val="99"/>
    <w:locked/>
    <w:rsid w:val="009C3D1C"/>
    <w:rPr>
      <w:rFonts w:ascii="Cambria" w:hAnsi="Cambria" w:cs="Cambria"/>
      <w:b/>
      <w:bCs/>
      <w:sz w:val="26"/>
      <w:szCs w:val="26"/>
    </w:rPr>
  </w:style>
  <w:style w:type="table" w:styleId="TableGrid">
    <w:name w:val="Table Grid"/>
    <w:basedOn w:val="TableNormal"/>
    <w:uiPriority w:val="99"/>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0799D"/>
    <w:rPr>
      <w:sz w:val="20"/>
      <w:szCs w:val="20"/>
    </w:rPr>
  </w:style>
  <w:style w:type="character" w:customStyle="1" w:styleId="FootnoteTextChar">
    <w:name w:val="Footnote Text Char"/>
    <w:link w:val="FootnoteText"/>
    <w:uiPriority w:val="99"/>
    <w:semiHidden/>
    <w:locked/>
    <w:rsid w:val="00522063"/>
    <w:rPr>
      <w:lang w:val="tr-TR" w:eastAsia="tr-TR"/>
    </w:rPr>
  </w:style>
  <w:style w:type="character" w:styleId="FootnoteReference">
    <w:name w:val="footnote reference"/>
    <w:uiPriority w:val="99"/>
    <w:semiHidden/>
    <w:rsid w:val="00D0799D"/>
    <w:rPr>
      <w:vertAlign w:val="superscript"/>
    </w:rPr>
  </w:style>
  <w:style w:type="character" w:styleId="Hyperlink">
    <w:name w:val="Hyperlink"/>
    <w:uiPriority w:val="99"/>
    <w:rsid w:val="007522D9"/>
    <w:rPr>
      <w:color w:val="0000FF"/>
      <w:u w:val="single"/>
    </w:rPr>
  </w:style>
  <w:style w:type="paragraph" w:styleId="Footer">
    <w:name w:val="footer"/>
    <w:basedOn w:val="Normal"/>
    <w:link w:val="FooterChar"/>
    <w:uiPriority w:val="99"/>
    <w:rsid w:val="007B51E3"/>
    <w:pPr>
      <w:tabs>
        <w:tab w:val="center" w:pos="4536"/>
        <w:tab w:val="right" w:pos="9072"/>
      </w:tabs>
    </w:pPr>
  </w:style>
  <w:style w:type="character" w:customStyle="1" w:styleId="FooterChar">
    <w:name w:val="Footer Char"/>
    <w:link w:val="Footer"/>
    <w:uiPriority w:val="99"/>
    <w:semiHidden/>
    <w:locked/>
    <w:rsid w:val="009C3D1C"/>
    <w:rPr>
      <w:sz w:val="24"/>
      <w:szCs w:val="24"/>
    </w:rPr>
  </w:style>
  <w:style w:type="character" w:styleId="PageNumber">
    <w:name w:val="page number"/>
    <w:basedOn w:val="DefaultParagraphFont"/>
    <w:uiPriority w:val="99"/>
    <w:rsid w:val="007B51E3"/>
  </w:style>
  <w:style w:type="paragraph" w:styleId="Header">
    <w:name w:val="header"/>
    <w:basedOn w:val="Normal"/>
    <w:link w:val="HeaderChar"/>
    <w:uiPriority w:val="99"/>
    <w:rsid w:val="007B51E3"/>
    <w:pPr>
      <w:tabs>
        <w:tab w:val="center" w:pos="4536"/>
        <w:tab w:val="right" w:pos="9072"/>
      </w:tabs>
    </w:pPr>
  </w:style>
  <w:style w:type="character" w:customStyle="1" w:styleId="HeaderChar">
    <w:name w:val="Header Char"/>
    <w:link w:val="Header"/>
    <w:uiPriority w:val="99"/>
    <w:semiHidden/>
    <w:locked/>
    <w:rsid w:val="009C3D1C"/>
    <w:rPr>
      <w:sz w:val="24"/>
      <w:szCs w:val="24"/>
    </w:rPr>
  </w:style>
  <w:style w:type="paragraph" w:styleId="BalloonText">
    <w:name w:val="Balloon Text"/>
    <w:basedOn w:val="Normal"/>
    <w:link w:val="BalloonTextChar"/>
    <w:uiPriority w:val="99"/>
    <w:semiHidden/>
    <w:rsid w:val="00526CC9"/>
    <w:rPr>
      <w:sz w:val="2"/>
      <w:szCs w:val="2"/>
    </w:rPr>
  </w:style>
  <w:style w:type="character" w:customStyle="1" w:styleId="BalloonTextChar">
    <w:name w:val="Balloon Text Char"/>
    <w:link w:val="BalloonText"/>
    <w:uiPriority w:val="99"/>
    <w:semiHidden/>
    <w:locked/>
    <w:rsid w:val="009C3D1C"/>
    <w:rPr>
      <w:sz w:val="2"/>
      <w:szCs w:val="2"/>
    </w:rPr>
  </w:style>
  <w:style w:type="character" w:styleId="LineNumber">
    <w:name w:val="line number"/>
    <w:basedOn w:val="DefaultParagraphFont"/>
    <w:uiPriority w:val="99"/>
    <w:semiHidden/>
    <w:rsid w:val="000F0C2B"/>
  </w:style>
  <w:style w:type="paragraph" w:styleId="ListParagraph">
    <w:name w:val="List Paragraph"/>
    <w:basedOn w:val="Normal"/>
    <w:uiPriority w:val="99"/>
    <w:qFormat/>
    <w:rsid w:val="000B612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CC"/>
    <w:rPr>
      <w:sz w:val="24"/>
      <w:szCs w:val="24"/>
    </w:rPr>
  </w:style>
  <w:style w:type="paragraph" w:styleId="Heading1">
    <w:name w:val="heading 1"/>
    <w:basedOn w:val="Normal"/>
    <w:next w:val="Normal"/>
    <w:link w:val="Heading1Char"/>
    <w:uiPriority w:val="99"/>
    <w:qFormat/>
    <w:rsid w:val="00024559"/>
    <w:pPr>
      <w:keepNext/>
      <w:tabs>
        <w:tab w:val="num" w:pos="432"/>
      </w:tabs>
      <w:suppressAutoHyphens/>
      <w:ind w:left="432" w:hanging="432"/>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24559"/>
    <w:pPr>
      <w:keepNext/>
      <w:tabs>
        <w:tab w:val="num" w:pos="576"/>
      </w:tabs>
      <w:suppressAutoHyphens/>
      <w:spacing w:before="240" w:after="60"/>
      <w:ind w:left="576" w:hanging="576"/>
      <w:outlineLvl w:val="1"/>
    </w:pPr>
    <w:rPr>
      <w:rFonts w:ascii="Cambria" w:hAnsi="Cambria"/>
      <w:b/>
      <w:bCs/>
      <w:i/>
      <w:iCs/>
      <w:sz w:val="28"/>
      <w:szCs w:val="28"/>
    </w:rPr>
  </w:style>
  <w:style w:type="paragraph" w:styleId="Heading3">
    <w:name w:val="heading 3"/>
    <w:basedOn w:val="Normal"/>
    <w:next w:val="Normal"/>
    <w:link w:val="Heading3Char"/>
    <w:uiPriority w:val="99"/>
    <w:qFormat/>
    <w:rsid w:val="00024559"/>
    <w:pPr>
      <w:keepNext/>
      <w:tabs>
        <w:tab w:val="num" w:pos="720"/>
      </w:tabs>
      <w:suppressAutoHyphens/>
      <w:spacing w:before="240" w:after="60"/>
      <w:ind w:left="720" w:hanging="72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3D1C"/>
    <w:rPr>
      <w:rFonts w:ascii="Cambria" w:hAnsi="Cambria" w:cs="Cambria"/>
      <w:b/>
      <w:bCs/>
      <w:kern w:val="32"/>
      <w:sz w:val="32"/>
      <w:szCs w:val="32"/>
    </w:rPr>
  </w:style>
  <w:style w:type="character" w:customStyle="1" w:styleId="Heading2Char">
    <w:name w:val="Heading 2 Char"/>
    <w:link w:val="Heading2"/>
    <w:uiPriority w:val="99"/>
    <w:semiHidden/>
    <w:locked/>
    <w:rsid w:val="009C3D1C"/>
    <w:rPr>
      <w:rFonts w:ascii="Cambria" w:hAnsi="Cambria" w:cs="Cambria"/>
      <w:b/>
      <w:bCs/>
      <w:i/>
      <w:iCs/>
      <w:sz w:val="28"/>
      <w:szCs w:val="28"/>
    </w:rPr>
  </w:style>
  <w:style w:type="character" w:customStyle="1" w:styleId="Heading3Char">
    <w:name w:val="Heading 3 Char"/>
    <w:link w:val="Heading3"/>
    <w:uiPriority w:val="99"/>
    <w:locked/>
    <w:rsid w:val="009C3D1C"/>
    <w:rPr>
      <w:rFonts w:ascii="Cambria" w:hAnsi="Cambria" w:cs="Cambria"/>
      <w:b/>
      <w:bCs/>
      <w:sz w:val="26"/>
      <w:szCs w:val="26"/>
    </w:rPr>
  </w:style>
  <w:style w:type="table" w:styleId="TableGrid">
    <w:name w:val="Table Grid"/>
    <w:basedOn w:val="TableNormal"/>
    <w:uiPriority w:val="99"/>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0799D"/>
    <w:rPr>
      <w:sz w:val="20"/>
      <w:szCs w:val="20"/>
    </w:rPr>
  </w:style>
  <w:style w:type="character" w:customStyle="1" w:styleId="FootnoteTextChar">
    <w:name w:val="Footnote Text Char"/>
    <w:link w:val="FootnoteText"/>
    <w:uiPriority w:val="99"/>
    <w:semiHidden/>
    <w:locked/>
    <w:rsid w:val="00522063"/>
    <w:rPr>
      <w:lang w:val="tr-TR" w:eastAsia="tr-TR"/>
    </w:rPr>
  </w:style>
  <w:style w:type="character" w:styleId="FootnoteReference">
    <w:name w:val="footnote reference"/>
    <w:uiPriority w:val="99"/>
    <w:semiHidden/>
    <w:rsid w:val="00D0799D"/>
    <w:rPr>
      <w:vertAlign w:val="superscript"/>
    </w:rPr>
  </w:style>
  <w:style w:type="character" w:styleId="Hyperlink">
    <w:name w:val="Hyperlink"/>
    <w:uiPriority w:val="99"/>
    <w:rsid w:val="007522D9"/>
    <w:rPr>
      <w:color w:val="0000FF"/>
      <w:u w:val="single"/>
    </w:rPr>
  </w:style>
  <w:style w:type="paragraph" w:styleId="Footer">
    <w:name w:val="footer"/>
    <w:basedOn w:val="Normal"/>
    <w:link w:val="FooterChar"/>
    <w:uiPriority w:val="99"/>
    <w:rsid w:val="007B51E3"/>
    <w:pPr>
      <w:tabs>
        <w:tab w:val="center" w:pos="4536"/>
        <w:tab w:val="right" w:pos="9072"/>
      </w:tabs>
    </w:pPr>
  </w:style>
  <w:style w:type="character" w:customStyle="1" w:styleId="FooterChar">
    <w:name w:val="Footer Char"/>
    <w:link w:val="Footer"/>
    <w:uiPriority w:val="99"/>
    <w:semiHidden/>
    <w:locked/>
    <w:rsid w:val="009C3D1C"/>
    <w:rPr>
      <w:sz w:val="24"/>
      <w:szCs w:val="24"/>
    </w:rPr>
  </w:style>
  <w:style w:type="character" w:styleId="PageNumber">
    <w:name w:val="page number"/>
    <w:basedOn w:val="DefaultParagraphFont"/>
    <w:uiPriority w:val="99"/>
    <w:rsid w:val="007B51E3"/>
  </w:style>
  <w:style w:type="paragraph" w:styleId="Header">
    <w:name w:val="header"/>
    <w:basedOn w:val="Normal"/>
    <w:link w:val="HeaderChar"/>
    <w:uiPriority w:val="99"/>
    <w:rsid w:val="007B51E3"/>
    <w:pPr>
      <w:tabs>
        <w:tab w:val="center" w:pos="4536"/>
        <w:tab w:val="right" w:pos="9072"/>
      </w:tabs>
    </w:pPr>
  </w:style>
  <w:style w:type="character" w:customStyle="1" w:styleId="HeaderChar">
    <w:name w:val="Header Char"/>
    <w:link w:val="Header"/>
    <w:uiPriority w:val="99"/>
    <w:semiHidden/>
    <w:locked/>
    <w:rsid w:val="009C3D1C"/>
    <w:rPr>
      <w:sz w:val="24"/>
      <w:szCs w:val="24"/>
    </w:rPr>
  </w:style>
  <w:style w:type="paragraph" w:styleId="BalloonText">
    <w:name w:val="Balloon Text"/>
    <w:basedOn w:val="Normal"/>
    <w:link w:val="BalloonTextChar"/>
    <w:uiPriority w:val="99"/>
    <w:semiHidden/>
    <w:rsid w:val="00526CC9"/>
    <w:rPr>
      <w:sz w:val="2"/>
      <w:szCs w:val="2"/>
    </w:rPr>
  </w:style>
  <w:style w:type="character" w:customStyle="1" w:styleId="BalloonTextChar">
    <w:name w:val="Balloon Text Char"/>
    <w:link w:val="BalloonText"/>
    <w:uiPriority w:val="99"/>
    <w:semiHidden/>
    <w:locked/>
    <w:rsid w:val="009C3D1C"/>
    <w:rPr>
      <w:sz w:val="2"/>
      <w:szCs w:val="2"/>
    </w:rPr>
  </w:style>
  <w:style w:type="character" w:styleId="LineNumber">
    <w:name w:val="line number"/>
    <w:basedOn w:val="DefaultParagraphFont"/>
    <w:uiPriority w:val="99"/>
    <w:semiHidden/>
    <w:rsid w:val="000F0C2B"/>
  </w:style>
  <w:style w:type="paragraph" w:styleId="ListParagraph">
    <w:name w:val="List Paragraph"/>
    <w:basedOn w:val="Normal"/>
    <w:uiPriority w:val="99"/>
    <w:qFormat/>
    <w:rsid w:val="000B612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06033">
      <w:marLeft w:val="0"/>
      <w:marRight w:val="0"/>
      <w:marTop w:val="0"/>
      <w:marBottom w:val="0"/>
      <w:divBdr>
        <w:top w:val="none" w:sz="0" w:space="0" w:color="auto"/>
        <w:left w:val="none" w:sz="0" w:space="0" w:color="auto"/>
        <w:bottom w:val="none" w:sz="0" w:space="0" w:color="auto"/>
        <w:right w:val="none" w:sz="0" w:space="0" w:color="auto"/>
      </w:divBdr>
    </w:div>
    <w:div w:id="281806034">
      <w:marLeft w:val="0"/>
      <w:marRight w:val="0"/>
      <w:marTop w:val="0"/>
      <w:marBottom w:val="0"/>
      <w:divBdr>
        <w:top w:val="none" w:sz="0" w:space="0" w:color="auto"/>
        <w:left w:val="none" w:sz="0" w:space="0" w:color="auto"/>
        <w:bottom w:val="none" w:sz="0" w:space="0" w:color="auto"/>
        <w:right w:val="none" w:sz="0" w:space="0" w:color="auto"/>
      </w:divBdr>
    </w:div>
    <w:div w:id="281806035">
      <w:marLeft w:val="0"/>
      <w:marRight w:val="0"/>
      <w:marTop w:val="0"/>
      <w:marBottom w:val="0"/>
      <w:divBdr>
        <w:top w:val="none" w:sz="0" w:space="0" w:color="auto"/>
        <w:left w:val="none" w:sz="0" w:space="0" w:color="auto"/>
        <w:bottom w:val="none" w:sz="0" w:space="0" w:color="auto"/>
        <w:right w:val="none" w:sz="0" w:space="0" w:color="auto"/>
      </w:divBdr>
    </w:div>
    <w:div w:id="66663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like.kokkizil@eas.bau.edu.tr" TargetMode="External"/><Relationship Id="rId18"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ne.durmaz@eas.bau.edu.tr"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zan.bakis@eas.bau.edu.tr"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6D1F53-74D4-4F09-BD6A-084C0BD23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oş</vt:lpstr>
    </vt:vector>
  </TitlesOfParts>
  <Company/>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oş</dc:title>
  <dc:creator>baris.soybilgen</dc:creator>
  <cp:lastModifiedBy>merve.akgul</cp:lastModifiedBy>
  <cp:revision>2</cp:revision>
  <cp:lastPrinted>2016-05-26T11:37:00Z</cp:lastPrinted>
  <dcterms:created xsi:type="dcterms:W3CDTF">2016-06-17T10:41:00Z</dcterms:created>
  <dcterms:modified xsi:type="dcterms:W3CDTF">2016-06-17T10:41:00Z</dcterms:modified>
</cp:coreProperties>
</file>