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Default="003F1C26" w:rsidP="00AE0BBB">
      <w:pPr>
        <w:spacing w:line="288" w:lineRule="auto"/>
        <w:ind w:right="-319"/>
        <w:jc w:val="center"/>
        <w:rPr>
          <w:rFonts w:ascii="Arial" w:hAnsi="Arial" w:cs="Arial"/>
          <w:b/>
          <w:bCs/>
          <w:sz w:val="20"/>
          <w:szCs w:val="20"/>
        </w:rPr>
      </w:pPr>
      <w:bookmarkStart w:id="0" w:name="_GoBack"/>
      <w:bookmarkEnd w:id="0"/>
      <w:r>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-77470</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AC" w:rsidRDefault="00CB6FAC"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CB6FAC" w:rsidRPr="00803E3E" w:rsidRDefault="00CB6FAC" w:rsidP="00803E3E">
                            <w:pPr>
                              <w:pStyle w:val="Heading1"/>
                              <w:rPr>
                                <w:rFonts w:ascii="Times New Roman" w:hAnsi="Times New Roman" w:cs="Times New Roman"/>
                                <w:sz w:val="40"/>
                                <w:szCs w:val="40"/>
                              </w:rPr>
                            </w:pPr>
                            <w:r>
                              <w:rPr>
                                <w:rFonts w:ascii="Times New Roman" w:hAnsi="Times New Roman" w:cs="Times New Roman"/>
                                <w:sz w:val="40"/>
                                <w:szCs w:val="40"/>
                              </w:rPr>
                              <w:t>2016 1</w:t>
                            </w:r>
                            <w:r w:rsidRPr="00803E3E">
                              <w:rPr>
                                <w:rFonts w:ascii="Times New Roman" w:hAnsi="Times New Roman" w:cs="Times New Roman"/>
                                <w:sz w:val="40"/>
                                <w:szCs w:val="40"/>
                              </w:rPr>
                              <w:t>. Çeyrek</w:t>
                            </w:r>
                          </w:p>
                          <w:p w:rsidR="00CB6FAC" w:rsidRPr="00526178" w:rsidRDefault="00CB6FAC"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6.1pt;width:342pt;height:51.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" stroked="f">
                <v:fill opacity="0"/>
                <v:textbox inset="0,0,0,0">
                  <w:txbxContent>
                    <w:p w:rsidR="00CB6FAC" w:rsidRDefault="00CB6FAC" w:rsidP="00803E3E">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Pr>
                          <w:rFonts w:ascii="Times New Roman" w:hAnsi="Times New Roman" w:cs="Times New Roman"/>
                          <w:sz w:val="40"/>
                          <w:szCs w:val="40"/>
                        </w:rPr>
                        <w:t>Değerlendirmesi</w:t>
                      </w:r>
                      <w:r w:rsidRPr="00803E3E">
                        <w:rPr>
                          <w:rFonts w:ascii="Times New Roman" w:hAnsi="Times New Roman" w:cs="Times New Roman"/>
                          <w:sz w:val="40"/>
                          <w:szCs w:val="40"/>
                        </w:rPr>
                        <w:t xml:space="preserve"> : </w:t>
                      </w:r>
                    </w:p>
                    <w:p w:rsidR="00CB6FAC" w:rsidRPr="00803E3E" w:rsidRDefault="00CB6FAC" w:rsidP="00803E3E">
                      <w:pPr>
                        <w:pStyle w:val="Heading1"/>
                        <w:rPr>
                          <w:rFonts w:ascii="Times New Roman" w:hAnsi="Times New Roman" w:cs="Times New Roman"/>
                          <w:sz w:val="40"/>
                          <w:szCs w:val="40"/>
                        </w:rPr>
                      </w:pPr>
                      <w:r>
                        <w:rPr>
                          <w:rFonts w:ascii="Times New Roman" w:hAnsi="Times New Roman" w:cs="Times New Roman"/>
                          <w:sz w:val="40"/>
                          <w:szCs w:val="40"/>
                        </w:rPr>
                        <w:t>2016 1</w:t>
                      </w:r>
                      <w:r w:rsidRPr="00803E3E">
                        <w:rPr>
                          <w:rFonts w:ascii="Times New Roman" w:hAnsi="Times New Roman" w:cs="Times New Roman"/>
                          <w:sz w:val="40"/>
                          <w:szCs w:val="40"/>
                        </w:rPr>
                        <w:t>. Çeyrek</w:t>
                      </w:r>
                    </w:p>
                    <w:p w:rsidR="00CB6FAC" w:rsidRPr="00526178" w:rsidRDefault="00CB6FAC" w:rsidP="007750EF">
                      <w:pPr>
                        <w:pStyle w:val="Heading2"/>
                        <w:rPr>
                          <w:b w:val="0"/>
                          <w:bCs w:val="0"/>
                          <w:i w:val="0"/>
                          <w:iCs w:val="0"/>
                        </w:rPr>
                      </w:pPr>
                    </w:p>
                  </w:txbxContent>
                </v:textbox>
              </v:shape>
            </w:pict>
          </mc:Fallback>
        </mc:AlternateContent>
      </w:r>
      <w:r w:rsidR="005A7A25">
        <w:rPr>
          <w:noProof/>
        </w:rPr>
        <w:drawing>
          <wp:anchor distT="0" distB="0" distL="114300" distR="114300" simplePos="0" relativeHeight="251656192"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Default="00B834FD" w:rsidP="00AE0BBB">
      <w:pPr>
        <w:spacing w:line="288" w:lineRule="auto"/>
        <w:ind w:right="-319"/>
        <w:jc w:val="center"/>
        <w:rPr>
          <w:rFonts w:ascii="Arial" w:hAnsi="Arial" w:cs="Arial"/>
          <w:b/>
          <w:bCs/>
          <w:sz w:val="20"/>
          <w:szCs w:val="20"/>
        </w:rPr>
      </w:pPr>
    </w:p>
    <w:p w:rsidR="00B834FD" w:rsidRDefault="00B834FD" w:rsidP="00AE0BBB">
      <w:pPr>
        <w:spacing w:line="288" w:lineRule="auto"/>
        <w:ind w:right="-319"/>
        <w:jc w:val="center"/>
        <w:rPr>
          <w:rFonts w:ascii="Arial" w:hAnsi="Arial" w:cs="Arial"/>
          <w:b/>
          <w:bCs/>
          <w:sz w:val="20"/>
          <w:szCs w:val="20"/>
        </w:rPr>
      </w:pPr>
    </w:p>
    <w:p w:rsidR="00B834FD" w:rsidRDefault="003F1C26" w:rsidP="00AE0BBB">
      <w:pPr>
        <w:spacing w:line="288" w:lineRule="auto"/>
        <w:ind w:right="-319"/>
        <w:jc w:val="center"/>
        <w:rPr>
          <w:rFonts w:ascii="Arial" w:hAnsi="Arial" w:cs="Arial"/>
          <w:b/>
          <w:bCs/>
          <w:sz w:val="20"/>
          <w:szCs w:val="20"/>
        </w:rPr>
      </w:pPr>
      <w:r>
        <w:rPr>
          <w:noProof/>
        </w:rPr>
        <mc:AlternateContent>
          <mc:Choice Requires="wps">
            <w:drawing>
              <wp:anchor distT="0" distB="0" distL="114935" distR="114935" simplePos="0" relativeHeight="251658240" behindDoc="0" locked="0" layoutInCell="1" allowOverlap="1">
                <wp:simplePos x="0" y="0"/>
                <wp:positionH relativeFrom="column">
                  <wp:posOffset>4740910</wp:posOffset>
                </wp:positionH>
                <wp:positionV relativeFrom="paragraph">
                  <wp:posOffset>127635</wp:posOffset>
                </wp:positionV>
                <wp:extent cx="1711960" cy="4546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FAC" w:rsidRPr="00187FA0" w:rsidRDefault="00CB6FAC" w:rsidP="007750EF">
                            <w:pPr>
                              <w:pStyle w:val="Heading3"/>
                              <w:rPr>
                                <w:color w:val="FFFFFF"/>
                                <w:sz w:val="22"/>
                                <w:szCs w:val="22"/>
                                <w:lang w:val="tr-TR"/>
                              </w:rPr>
                            </w:pPr>
                            <w:r w:rsidRPr="00187FA0">
                              <w:rPr>
                                <w:color w:val="FFFFFF"/>
                                <w:sz w:val="22"/>
                                <w:szCs w:val="22"/>
                                <w:lang w:val="tr-TR"/>
                              </w:rPr>
                              <w:t xml:space="preserve">               </w:t>
                            </w:r>
                            <w:r>
                              <w:rPr>
                                <w:color w:val="FFFFFF"/>
                                <w:sz w:val="22"/>
                                <w:szCs w:val="22"/>
                                <w:lang w:val="tr-TR"/>
                              </w:rPr>
                              <w:t>10 Haziran 2016</w:t>
                            </w:r>
                          </w:p>
                          <w:p w:rsidR="00CB6FAC" w:rsidRPr="00187FA0" w:rsidRDefault="00CB6FAC"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3.3pt;margin-top:10.05pt;width:134.8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" stroked="f">
                <v:fill opacity="0"/>
                <v:textbox inset="0,0,0,0">
                  <w:txbxContent>
                    <w:p w:rsidR="00CB6FAC" w:rsidRPr="00187FA0" w:rsidRDefault="00CB6FAC" w:rsidP="007750EF">
                      <w:pPr>
                        <w:pStyle w:val="Heading3"/>
                        <w:rPr>
                          <w:color w:val="FFFFFF"/>
                          <w:sz w:val="22"/>
                          <w:szCs w:val="22"/>
                          <w:lang w:val="tr-TR"/>
                        </w:rPr>
                      </w:pPr>
                      <w:r w:rsidRPr="00187FA0">
                        <w:rPr>
                          <w:color w:val="FFFFFF"/>
                          <w:sz w:val="22"/>
                          <w:szCs w:val="22"/>
                          <w:lang w:val="tr-TR"/>
                        </w:rPr>
                        <w:t xml:space="preserve">               </w:t>
                      </w:r>
                      <w:r>
                        <w:rPr>
                          <w:color w:val="FFFFFF"/>
                          <w:sz w:val="22"/>
                          <w:szCs w:val="22"/>
                          <w:lang w:val="tr-TR"/>
                        </w:rPr>
                        <w:t>10 Haziran 2016</w:t>
                      </w:r>
                    </w:p>
                    <w:p w:rsidR="00CB6FAC" w:rsidRPr="00187FA0" w:rsidRDefault="00CB6FAC" w:rsidP="007750EF"/>
                  </w:txbxContent>
                </v:textbox>
              </v:shape>
            </w:pict>
          </mc:Fallback>
        </mc:AlternateContent>
      </w:r>
    </w:p>
    <w:p w:rsidR="00B834FD" w:rsidRPr="0015266B" w:rsidRDefault="00B834FD" w:rsidP="00AE0BBB">
      <w:pPr>
        <w:spacing w:line="288" w:lineRule="auto"/>
        <w:ind w:right="-319"/>
        <w:jc w:val="center"/>
        <w:rPr>
          <w:rFonts w:ascii="Arial" w:hAnsi="Arial" w:cs="Arial"/>
          <w:b/>
          <w:bCs/>
          <w:sz w:val="20"/>
          <w:szCs w:val="20"/>
        </w:rPr>
      </w:pPr>
    </w:p>
    <w:p w:rsidR="00B834FD" w:rsidRPr="00DD51D1" w:rsidRDefault="00B834FD" w:rsidP="00C805B9">
      <w:pPr>
        <w:spacing w:line="288" w:lineRule="auto"/>
        <w:ind w:right="-319"/>
        <w:jc w:val="center"/>
        <w:outlineLvl w:val="0"/>
        <w:rPr>
          <w:rFonts w:ascii="Arial" w:hAnsi="Arial" w:cs="Arial"/>
          <w:b/>
          <w:bCs/>
          <w:sz w:val="28"/>
          <w:szCs w:val="28"/>
        </w:rPr>
      </w:pPr>
    </w:p>
    <w:p w:rsidR="00B834FD" w:rsidRPr="00AB0D3B" w:rsidRDefault="00B834FD" w:rsidP="007750EF">
      <w:pPr>
        <w:spacing w:line="288" w:lineRule="auto"/>
        <w:ind w:right="-319"/>
        <w:outlineLvl w:val="0"/>
        <w:rPr>
          <w:rFonts w:ascii="Arial" w:hAnsi="Arial" w:cs="Arial"/>
          <w:b/>
          <w:bCs/>
          <w:sz w:val="28"/>
          <w:szCs w:val="28"/>
        </w:rPr>
      </w:pPr>
    </w:p>
    <w:p w:rsidR="00FE3990" w:rsidRPr="00AB0D3B" w:rsidRDefault="00584956" w:rsidP="00C805B9">
      <w:pPr>
        <w:spacing w:line="288" w:lineRule="auto"/>
        <w:ind w:right="-319"/>
        <w:jc w:val="center"/>
        <w:outlineLvl w:val="0"/>
        <w:rPr>
          <w:rFonts w:ascii="Arial" w:hAnsi="Arial" w:cs="Arial"/>
          <w:b/>
          <w:bCs/>
          <w:sz w:val="28"/>
          <w:szCs w:val="28"/>
        </w:rPr>
      </w:pPr>
      <w:r w:rsidRPr="00AB0D3B">
        <w:rPr>
          <w:rFonts w:ascii="Arial" w:hAnsi="Arial" w:cs="Arial"/>
          <w:b/>
          <w:bCs/>
          <w:sz w:val="28"/>
          <w:szCs w:val="28"/>
        </w:rPr>
        <w:t>İLK</w:t>
      </w:r>
      <w:r w:rsidR="007E3AB3" w:rsidRPr="00AB0D3B">
        <w:rPr>
          <w:rFonts w:ascii="Arial" w:hAnsi="Arial" w:cs="Arial"/>
          <w:b/>
          <w:bCs/>
          <w:sz w:val="28"/>
          <w:szCs w:val="28"/>
        </w:rPr>
        <w:t xml:space="preserve"> ÇEYREKTE </w:t>
      </w:r>
      <w:r w:rsidR="00B60160" w:rsidRPr="00AB0D3B">
        <w:rPr>
          <w:rFonts w:ascii="Arial" w:hAnsi="Arial" w:cs="Arial"/>
          <w:b/>
          <w:bCs/>
          <w:sz w:val="28"/>
          <w:szCs w:val="28"/>
        </w:rPr>
        <w:t>BÜYÜME</w:t>
      </w:r>
      <w:r w:rsidRPr="00AB0D3B">
        <w:rPr>
          <w:rFonts w:ascii="Arial" w:hAnsi="Arial" w:cs="Arial"/>
          <w:b/>
          <w:bCs/>
          <w:sz w:val="28"/>
          <w:szCs w:val="28"/>
        </w:rPr>
        <w:t>Yİ ÖZEL TÜKETİM SÜRÜKLEDİ</w:t>
      </w:r>
    </w:p>
    <w:p w:rsidR="00B834FD" w:rsidRPr="00AB0D3B" w:rsidRDefault="00B834FD" w:rsidP="00C805B9">
      <w:pPr>
        <w:spacing w:line="288" w:lineRule="auto"/>
        <w:ind w:right="-319"/>
        <w:jc w:val="center"/>
        <w:outlineLvl w:val="0"/>
        <w:rPr>
          <w:rFonts w:ascii="Arial" w:hAnsi="Arial" w:cs="Arial"/>
          <w:b/>
          <w:bCs/>
          <w:sz w:val="22"/>
          <w:szCs w:val="22"/>
        </w:rPr>
      </w:pPr>
    </w:p>
    <w:p w:rsidR="00B834FD" w:rsidRPr="00AB0D3B" w:rsidRDefault="00B834FD" w:rsidP="00C805B9">
      <w:pPr>
        <w:spacing w:line="288" w:lineRule="auto"/>
        <w:ind w:right="-319"/>
        <w:jc w:val="center"/>
        <w:outlineLvl w:val="0"/>
        <w:rPr>
          <w:rFonts w:ascii="Arial" w:hAnsi="Arial" w:cs="Arial"/>
          <w:b/>
          <w:bCs/>
          <w:sz w:val="22"/>
          <w:szCs w:val="22"/>
        </w:rPr>
      </w:pPr>
      <w:r w:rsidRPr="00AB0D3B">
        <w:rPr>
          <w:rFonts w:ascii="Arial" w:hAnsi="Arial" w:cs="Arial"/>
          <w:b/>
          <w:bCs/>
          <w:sz w:val="22"/>
          <w:szCs w:val="22"/>
        </w:rPr>
        <w:t>Seyfettin Gürsel</w:t>
      </w:r>
      <w:r w:rsidRPr="00AB0D3B">
        <w:rPr>
          <w:rFonts w:ascii="Arial" w:hAnsi="Arial" w:cs="Arial"/>
          <w:b/>
          <w:bCs/>
          <w:sz w:val="22"/>
          <w:szCs w:val="22"/>
          <w:vertAlign w:val="superscript"/>
        </w:rPr>
        <w:t>•</w:t>
      </w:r>
      <w:r w:rsidR="00633032" w:rsidRPr="00AB0D3B">
        <w:rPr>
          <w:rFonts w:ascii="Arial" w:hAnsi="Arial" w:cs="Arial"/>
          <w:b/>
          <w:bCs/>
          <w:sz w:val="22"/>
          <w:szCs w:val="22"/>
          <w:vertAlign w:val="superscript"/>
        </w:rPr>
        <w:t xml:space="preserve"> </w:t>
      </w:r>
      <w:r w:rsidRPr="00AB0D3B">
        <w:rPr>
          <w:rFonts w:ascii="Arial" w:hAnsi="Arial" w:cs="Arial"/>
          <w:b/>
          <w:bCs/>
          <w:sz w:val="22"/>
          <w:szCs w:val="22"/>
        </w:rPr>
        <w:t xml:space="preserve">, </w:t>
      </w:r>
      <w:r w:rsidR="005C0934" w:rsidRPr="00AB0D3B">
        <w:rPr>
          <w:rFonts w:ascii="Arial" w:hAnsi="Arial" w:cs="Arial"/>
          <w:b/>
          <w:bCs/>
          <w:sz w:val="22"/>
          <w:szCs w:val="22"/>
        </w:rPr>
        <w:t>Ozan Bakış</w:t>
      </w:r>
      <w:r w:rsidRPr="00AB0D3B">
        <w:rPr>
          <w:rFonts w:ascii="Arial" w:hAnsi="Arial" w:cs="Arial"/>
          <w:b/>
          <w:bCs/>
          <w:sz w:val="22"/>
          <w:szCs w:val="22"/>
          <w:vertAlign w:val="superscript"/>
        </w:rPr>
        <w:t xml:space="preserve">‡ </w:t>
      </w:r>
      <w:r w:rsidRPr="00AB0D3B">
        <w:rPr>
          <w:rFonts w:ascii="Arial" w:hAnsi="Arial" w:cs="Arial"/>
          <w:b/>
          <w:bCs/>
          <w:sz w:val="22"/>
          <w:szCs w:val="22"/>
        </w:rPr>
        <w:t xml:space="preserve">ve </w:t>
      </w:r>
      <w:r w:rsidR="005C0934" w:rsidRPr="00AB0D3B">
        <w:rPr>
          <w:rFonts w:ascii="Arial" w:hAnsi="Arial" w:cs="Arial"/>
          <w:b/>
          <w:bCs/>
          <w:sz w:val="22"/>
          <w:szCs w:val="22"/>
        </w:rPr>
        <w:t>Mine Durmaz</w:t>
      </w:r>
      <w:r w:rsidRPr="00AB0D3B">
        <w:rPr>
          <w:rFonts w:ascii="Arial" w:hAnsi="Arial" w:cs="Arial"/>
          <w:b/>
          <w:bCs/>
          <w:sz w:val="22"/>
          <w:szCs w:val="22"/>
          <w:vertAlign w:val="superscript"/>
        </w:rPr>
        <w:t>†</w:t>
      </w:r>
    </w:p>
    <w:p w:rsidR="00B834FD" w:rsidRPr="00AB0D3B" w:rsidRDefault="00B834FD" w:rsidP="00AE0BBB">
      <w:pPr>
        <w:spacing w:line="288" w:lineRule="auto"/>
        <w:ind w:right="-318"/>
        <w:jc w:val="both"/>
        <w:rPr>
          <w:rFonts w:ascii="Arial" w:hAnsi="Arial" w:cs="Arial"/>
          <w:b/>
          <w:bCs/>
          <w:sz w:val="20"/>
          <w:szCs w:val="20"/>
        </w:rPr>
      </w:pPr>
    </w:p>
    <w:p w:rsidR="00B834FD" w:rsidRPr="00DD51D1" w:rsidRDefault="00B834FD" w:rsidP="00AE0BBB">
      <w:pPr>
        <w:spacing w:line="288" w:lineRule="auto"/>
        <w:ind w:right="-318"/>
        <w:jc w:val="both"/>
        <w:rPr>
          <w:rFonts w:ascii="Arial" w:hAnsi="Arial" w:cs="Arial"/>
          <w:b/>
          <w:bCs/>
          <w:sz w:val="20"/>
          <w:szCs w:val="20"/>
        </w:rPr>
        <w:sectPr w:rsidR="00B834FD" w:rsidRPr="00DD51D1"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D51D1" w:rsidRDefault="00B834FD" w:rsidP="00110EBA">
      <w:pPr>
        <w:pStyle w:val="NormalWeb"/>
        <w:spacing w:before="0" w:beforeAutospacing="0" w:after="0" w:afterAutospacing="0"/>
        <w:jc w:val="both"/>
        <w:rPr>
          <w:rFonts w:ascii="Arial" w:hAnsi="Arial" w:cs="Arial"/>
          <w:sz w:val="22"/>
          <w:szCs w:val="22"/>
        </w:rPr>
      </w:pPr>
    </w:p>
    <w:p w:rsidR="00B834FD" w:rsidRPr="00CB6FAC" w:rsidRDefault="00B834FD" w:rsidP="001C629C">
      <w:pPr>
        <w:pStyle w:val="NormalWeb"/>
        <w:spacing w:before="0" w:beforeAutospacing="0" w:after="0" w:afterAutospacing="0"/>
        <w:jc w:val="center"/>
        <w:rPr>
          <w:rFonts w:ascii="Arial" w:hAnsi="Arial" w:cs="Arial"/>
          <w:b/>
          <w:bCs/>
          <w:sz w:val="22"/>
          <w:szCs w:val="22"/>
        </w:rPr>
      </w:pPr>
      <w:r w:rsidRPr="00CB6FAC">
        <w:rPr>
          <w:rFonts w:ascii="Arial" w:hAnsi="Arial" w:cs="Arial"/>
          <w:b/>
          <w:bCs/>
          <w:sz w:val="22"/>
          <w:szCs w:val="22"/>
        </w:rPr>
        <w:t>Yönetici özeti</w:t>
      </w:r>
    </w:p>
    <w:p w:rsidR="00B834FD" w:rsidRPr="003D6D66" w:rsidRDefault="00B834FD" w:rsidP="0058797D">
      <w:pPr>
        <w:pStyle w:val="NormalWeb"/>
        <w:spacing w:before="0" w:beforeAutospacing="0" w:after="0" w:afterAutospacing="0"/>
        <w:rPr>
          <w:rFonts w:ascii="Arial" w:hAnsi="Arial" w:cs="Arial"/>
          <w:b/>
          <w:bCs/>
          <w:sz w:val="22"/>
          <w:szCs w:val="22"/>
          <w:highlight w:val="yellow"/>
        </w:rPr>
      </w:pPr>
    </w:p>
    <w:p w:rsidR="00621B82" w:rsidRDefault="00DB1A7F" w:rsidP="004E3889">
      <w:pPr>
        <w:pStyle w:val="NormalWeb"/>
        <w:spacing w:before="0" w:beforeAutospacing="0" w:after="0" w:afterAutospacing="0" w:line="300" w:lineRule="atLeast"/>
        <w:jc w:val="both"/>
        <w:rPr>
          <w:rFonts w:ascii="Arial" w:hAnsi="Arial" w:cs="Arial"/>
          <w:sz w:val="20"/>
          <w:szCs w:val="20"/>
        </w:rPr>
      </w:pPr>
      <w:r>
        <w:rPr>
          <w:rFonts w:ascii="Arial" w:hAnsi="Arial" w:cs="Arial"/>
          <w:sz w:val="20"/>
          <w:szCs w:val="20"/>
        </w:rPr>
        <w:t>Geçen yılın son çeyreğinden bu yılın ilk çeyreğine</w:t>
      </w:r>
      <w:r w:rsidRPr="00DB1A7F">
        <w:rPr>
          <w:rFonts w:ascii="Arial" w:hAnsi="Arial" w:cs="Arial"/>
          <w:sz w:val="20"/>
          <w:szCs w:val="20"/>
        </w:rPr>
        <w:t xml:space="preserve"> </w:t>
      </w:r>
      <w:r w:rsidRPr="00CB6FAC">
        <w:rPr>
          <w:rFonts w:ascii="Arial" w:hAnsi="Arial" w:cs="Arial"/>
          <w:sz w:val="20"/>
          <w:szCs w:val="20"/>
        </w:rPr>
        <w:t xml:space="preserve">Gayri Safi Yurtiçi Hasıla (GSYH) </w:t>
      </w:r>
      <w:r>
        <w:rPr>
          <w:rFonts w:ascii="Arial" w:hAnsi="Arial" w:cs="Arial"/>
          <w:sz w:val="20"/>
          <w:szCs w:val="20"/>
        </w:rPr>
        <w:t>m</w:t>
      </w:r>
      <w:r w:rsidRPr="00CB6FAC">
        <w:rPr>
          <w:rFonts w:ascii="Arial" w:hAnsi="Arial" w:cs="Arial"/>
          <w:sz w:val="20"/>
          <w:szCs w:val="20"/>
        </w:rPr>
        <w:t>evsim ve takvim etkilerinden arındırılmış rakamlar</w:t>
      </w:r>
      <w:r>
        <w:rPr>
          <w:rFonts w:ascii="Arial" w:hAnsi="Arial" w:cs="Arial"/>
          <w:sz w:val="20"/>
          <w:szCs w:val="20"/>
        </w:rPr>
        <w:t>l</w:t>
      </w:r>
      <w:r w:rsidRPr="00CB6FAC">
        <w:rPr>
          <w:rFonts w:ascii="Arial" w:hAnsi="Arial" w:cs="Arial"/>
          <w:sz w:val="20"/>
          <w:szCs w:val="20"/>
        </w:rPr>
        <w:t xml:space="preserve">a </w:t>
      </w:r>
      <w:r w:rsidR="00AB0D3B">
        <w:rPr>
          <w:rFonts w:ascii="Arial" w:hAnsi="Arial" w:cs="Arial"/>
          <w:sz w:val="20"/>
          <w:szCs w:val="20"/>
        </w:rPr>
        <w:t xml:space="preserve">yüzde 0,8 oranında arttı. </w:t>
      </w:r>
      <w:r w:rsidRPr="00CB6FAC">
        <w:rPr>
          <w:rFonts w:ascii="Arial" w:hAnsi="Arial" w:cs="Arial"/>
          <w:sz w:val="20"/>
          <w:szCs w:val="20"/>
        </w:rPr>
        <w:t xml:space="preserve">Betam olarak çeyreklik büyümeyi yüzde 0,6 olarak tahmin etmiştik. </w:t>
      </w:r>
      <w:r>
        <w:rPr>
          <w:rFonts w:ascii="Arial" w:hAnsi="Arial" w:cs="Arial"/>
          <w:sz w:val="20"/>
          <w:szCs w:val="20"/>
        </w:rPr>
        <w:t xml:space="preserve">Yıllık olarak da </w:t>
      </w:r>
      <w:r w:rsidR="003F3737" w:rsidRPr="00CB6FAC">
        <w:rPr>
          <w:rFonts w:ascii="Arial" w:hAnsi="Arial" w:cs="Arial"/>
          <w:sz w:val="20"/>
          <w:szCs w:val="20"/>
        </w:rPr>
        <w:t>201</w:t>
      </w:r>
      <w:r w:rsidR="00CB6FAC" w:rsidRPr="00CB6FAC">
        <w:rPr>
          <w:rFonts w:ascii="Arial" w:hAnsi="Arial" w:cs="Arial"/>
          <w:sz w:val="20"/>
          <w:szCs w:val="20"/>
        </w:rPr>
        <w:t>6</w:t>
      </w:r>
      <w:r w:rsidR="00B834FD" w:rsidRPr="00CB6FAC">
        <w:rPr>
          <w:rFonts w:ascii="Arial" w:hAnsi="Arial" w:cs="Arial"/>
          <w:sz w:val="20"/>
          <w:szCs w:val="20"/>
        </w:rPr>
        <w:t xml:space="preserve"> </w:t>
      </w:r>
      <w:r w:rsidR="00CB6FAC" w:rsidRPr="00CB6FAC">
        <w:rPr>
          <w:rFonts w:ascii="Arial" w:hAnsi="Arial" w:cs="Arial"/>
          <w:sz w:val="20"/>
          <w:szCs w:val="20"/>
        </w:rPr>
        <w:t>birinci</w:t>
      </w:r>
      <w:r w:rsidR="00621B82" w:rsidRPr="00CB6FAC">
        <w:rPr>
          <w:rFonts w:ascii="Arial" w:hAnsi="Arial" w:cs="Arial"/>
          <w:sz w:val="20"/>
          <w:szCs w:val="20"/>
        </w:rPr>
        <w:t xml:space="preserve"> </w:t>
      </w:r>
      <w:r w:rsidR="00B834FD" w:rsidRPr="00CB6FAC">
        <w:rPr>
          <w:rFonts w:ascii="Arial" w:hAnsi="Arial" w:cs="Arial"/>
          <w:sz w:val="20"/>
          <w:szCs w:val="20"/>
        </w:rPr>
        <w:t>çeyreğinde</w:t>
      </w:r>
      <w:r>
        <w:rPr>
          <w:rFonts w:ascii="Arial" w:hAnsi="Arial" w:cs="Arial"/>
          <w:sz w:val="20"/>
          <w:szCs w:val="20"/>
        </w:rPr>
        <w:t xml:space="preserve"> Türkiye ekonomisi </w:t>
      </w:r>
      <w:r w:rsidR="00B834FD" w:rsidRPr="00CB6FAC">
        <w:rPr>
          <w:rFonts w:ascii="Arial" w:hAnsi="Arial" w:cs="Arial"/>
          <w:sz w:val="20"/>
          <w:szCs w:val="20"/>
        </w:rPr>
        <w:t xml:space="preserve">yüzde </w:t>
      </w:r>
      <w:r w:rsidR="00174319" w:rsidRPr="00CB6FAC">
        <w:rPr>
          <w:rFonts w:ascii="Arial" w:hAnsi="Arial" w:cs="Arial"/>
          <w:sz w:val="20"/>
          <w:szCs w:val="20"/>
        </w:rPr>
        <w:t>4,</w:t>
      </w:r>
      <w:r w:rsidR="00CB6FAC" w:rsidRPr="00CB6FAC">
        <w:rPr>
          <w:rFonts w:ascii="Arial" w:hAnsi="Arial" w:cs="Arial"/>
          <w:sz w:val="20"/>
          <w:szCs w:val="20"/>
        </w:rPr>
        <w:t>8</w:t>
      </w:r>
      <w:r w:rsidR="00B834FD" w:rsidRPr="00CB6FAC">
        <w:rPr>
          <w:rFonts w:ascii="Arial" w:hAnsi="Arial" w:cs="Arial"/>
          <w:sz w:val="20"/>
          <w:szCs w:val="20"/>
        </w:rPr>
        <w:t xml:space="preserve"> </w:t>
      </w:r>
      <w:r>
        <w:rPr>
          <w:rFonts w:ascii="Arial" w:hAnsi="Arial" w:cs="Arial"/>
          <w:sz w:val="20"/>
          <w:szCs w:val="20"/>
        </w:rPr>
        <w:t xml:space="preserve">oranında </w:t>
      </w:r>
      <w:r w:rsidR="00B834FD" w:rsidRPr="00CB6FAC">
        <w:rPr>
          <w:rFonts w:ascii="Arial" w:hAnsi="Arial" w:cs="Arial"/>
          <w:sz w:val="20"/>
          <w:szCs w:val="20"/>
        </w:rPr>
        <w:t xml:space="preserve">büyüdü. </w:t>
      </w:r>
    </w:p>
    <w:p w:rsidR="00AB0D3B" w:rsidRPr="00CB6FAC" w:rsidRDefault="00AB0D3B" w:rsidP="004E3889">
      <w:pPr>
        <w:pStyle w:val="NormalWeb"/>
        <w:spacing w:before="0" w:beforeAutospacing="0" w:after="0" w:afterAutospacing="0" w:line="300" w:lineRule="atLeast"/>
        <w:jc w:val="both"/>
        <w:rPr>
          <w:rFonts w:ascii="Arial" w:hAnsi="Arial" w:cs="Arial"/>
          <w:sz w:val="20"/>
          <w:szCs w:val="20"/>
        </w:rPr>
      </w:pPr>
    </w:p>
    <w:p w:rsidR="008B4630" w:rsidRPr="00463F06" w:rsidRDefault="00621B82" w:rsidP="00470351">
      <w:pPr>
        <w:pStyle w:val="NormalWeb"/>
        <w:spacing w:before="0" w:beforeAutospacing="0" w:after="0" w:afterAutospacing="0" w:line="300" w:lineRule="atLeast"/>
        <w:jc w:val="both"/>
        <w:rPr>
          <w:rFonts w:ascii="Arial" w:hAnsi="Arial" w:cs="Arial"/>
          <w:sz w:val="20"/>
          <w:szCs w:val="20"/>
        </w:rPr>
      </w:pPr>
      <w:r w:rsidRPr="00463F06">
        <w:rPr>
          <w:rFonts w:ascii="Arial" w:hAnsi="Arial" w:cs="Arial"/>
          <w:sz w:val="20"/>
          <w:szCs w:val="20"/>
        </w:rPr>
        <w:t xml:space="preserve">Çeyrekten çeyreğe yüzde </w:t>
      </w:r>
      <w:r w:rsidR="00CB6FAC" w:rsidRPr="00463F06">
        <w:rPr>
          <w:rFonts w:ascii="Arial" w:hAnsi="Arial" w:cs="Arial"/>
          <w:sz w:val="20"/>
          <w:szCs w:val="20"/>
        </w:rPr>
        <w:t>0,8</w:t>
      </w:r>
      <w:r w:rsidRPr="00463F06">
        <w:rPr>
          <w:rFonts w:ascii="Arial" w:hAnsi="Arial" w:cs="Arial"/>
          <w:sz w:val="20"/>
          <w:szCs w:val="20"/>
        </w:rPr>
        <w:t>’l</w:t>
      </w:r>
      <w:r w:rsidR="00DB1A7F">
        <w:rPr>
          <w:rFonts w:ascii="Arial" w:hAnsi="Arial" w:cs="Arial"/>
          <w:sz w:val="20"/>
          <w:szCs w:val="20"/>
        </w:rPr>
        <w:t>ik</w:t>
      </w:r>
      <w:r w:rsidRPr="00463F06">
        <w:rPr>
          <w:rFonts w:ascii="Arial" w:hAnsi="Arial" w:cs="Arial"/>
          <w:sz w:val="20"/>
          <w:szCs w:val="20"/>
        </w:rPr>
        <w:t xml:space="preserve"> büyüme</w:t>
      </w:r>
      <w:r w:rsidR="00DB1A7F">
        <w:rPr>
          <w:rFonts w:ascii="Arial" w:hAnsi="Arial" w:cs="Arial"/>
          <w:sz w:val="20"/>
          <w:szCs w:val="20"/>
        </w:rPr>
        <w:t xml:space="preserve">ye en yüksek katkıyı beklendiği gibi özel </w:t>
      </w:r>
      <w:r w:rsidR="00F65CAA" w:rsidRPr="00463F06">
        <w:rPr>
          <w:rFonts w:ascii="Arial" w:hAnsi="Arial" w:cs="Arial"/>
          <w:sz w:val="20"/>
          <w:szCs w:val="20"/>
        </w:rPr>
        <w:t>tüketim</w:t>
      </w:r>
      <w:r w:rsidRPr="00463F06">
        <w:rPr>
          <w:rFonts w:ascii="Arial" w:hAnsi="Arial" w:cs="Arial"/>
          <w:sz w:val="20"/>
          <w:szCs w:val="20"/>
        </w:rPr>
        <w:t xml:space="preserve"> </w:t>
      </w:r>
      <w:r w:rsidR="00DB1A7F">
        <w:rPr>
          <w:rFonts w:ascii="Arial" w:hAnsi="Arial" w:cs="Arial"/>
          <w:sz w:val="20"/>
          <w:szCs w:val="20"/>
        </w:rPr>
        <w:t xml:space="preserve">yaptı. Yine beklendiği gibi </w:t>
      </w:r>
      <w:r w:rsidR="00F65CAA" w:rsidRPr="00463F06">
        <w:rPr>
          <w:rFonts w:ascii="Arial" w:hAnsi="Arial" w:cs="Arial"/>
          <w:sz w:val="20"/>
          <w:szCs w:val="20"/>
        </w:rPr>
        <w:t xml:space="preserve">net ihracatın büyümeye katkısı </w:t>
      </w:r>
      <w:r w:rsidR="00DB1A7F">
        <w:rPr>
          <w:rFonts w:ascii="Arial" w:hAnsi="Arial" w:cs="Arial"/>
          <w:sz w:val="20"/>
          <w:szCs w:val="20"/>
        </w:rPr>
        <w:t xml:space="preserve">ihracattan çok daha fazla artan ithalat sonucu </w:t>
      </w:r>
      <w:r w:rsidR="00F65CAA" w:rsidRPr="00463F06">
        <w:rPr>
          <w:rFonts w:ascii="Arial" w:hAnsi="Arial" w:cs="Arial"/>
          <w:sz w:val="20"/>
          <w:szCs w:val="20"/>
        </w:rPr>
        <w:t>negatif</w:t>
      </w:r>
      <w:r w:rsidR="00C52A68" w:rsidRPr="00463F06">
        <w:rPr>
          <w:rFonts w:ascii="Arial" w:hAnsi="Arial" w:cs="Arial"/>
          <w:sz w:val="20"/>
          <w:szCs w:val="20"/>
        </w:rPr>
        <w:t xml:space="preserve"> oldu</w:t>
      </w:r>
      <w:r w:rsidR="00F65CAA" w:rsidRPr="00463F06">
        <w:rPr>
          <w:rFonts w:ascii="Arial" w:hAnsi="Arial" w:cs="Arial"/>
          <w:sz w:val="20"/>
          <w:szCs w:val="20"/>
        </w:rPr>
        <w:t xml:space="preserve">. </w:t>
      </w:r>
      <w:r w:rsidR="00DB1A7F">
        <w:rPr>
          <w:rFonts w:ascii="Arial" w:hAnsi="Arial" w:cs="Arial"/>
          <w:sz w:val="20"/>
          <w:szCs w:val="20"/>
        </w:rPr>
        <w:t xml:space="preserve">Artışını sürdüren kamu harcamaları da büyümeye pozitif katkı yaptı. </w:t>
      </w:r>
      <w:r w:rsidR="00AE1863">
        <w:rPr>
          <w:rFonts w:ascii="Arial" w:hAnsi="Arial" w:cs="Arial"/>
          <w:sz w:val="20"/>
          <w:szCs w:val="20"/>
        </w:rPr>
        <w:t xml:space="preserve">Birinci çeyrekte ekonomik büyüme bağlamında en çarpıcı gelişme özel yatırımların hissedilir ölçüde gerilemesi oldu. Artan stokların da büyüme </w:t>
      </w:r>
      <w:r w:rsidR="00B05F7E" w:rsidRPr="00463F06">
        <w:rPr>
          <w:rFonts w:ascii="Arial" w:hAnsi="Arial" w:cs="Arial"/>
          <w:sz w:val="20"/>
          <w:szCs w:val="20"/>
        </w:rPr>
        <w:t xml:space="preserve">büyümeye </w:t>
      </w:r>
      <w:r w:rsidR="00F6722D" w:rsidRPr="00463F06">
        <w:rPr>
          <w:rFonts w:ascii="Arial" w:hAnsi="Arial" w:cs="Arial"/>
          <w:sz w:val="20"/>
          <w:szCs w:val="20"/>
        </w:rPr>
        <w:t>0,6</w:t>
      </w:r>
      <w:r w:rsidR="008B4630" w:rsidRPr="00463F06">
        <w:rPr>
          <w:rFonts w:ascii="Arial" w:hAnsi="Arial" w:cs="Arial"/>
          <w:sz w:val="20"/>
          <w:szCs w:val="20"/>
        </w:rPr>
        <w:t xml:space="preserve"> puan kadar</w:t>
      </w:r>
      <w:r w:rsidR="00624BED" w:rsidRPr="00463F06">
        <w:rPr>
          <w:rFonts w:ascii="Arial" w:hAnsi="Arial" w:cs="Arial"/>
          <w:sz w:val="20"/>
          <w:szCs w:val="20"/>
        </w:rPr>
        <w:t xml:space="preserve"> </w:t>
      </w:r>
      <w:r w:rsidR="00F6722D" w:rsidRPr="00463F06">
        <w:rPr>
          <w:rFonts w:ascii="Arial" w:hAnsi="Arial" w:cs="Arial"/>
          <w:sz w:val="20"/>
          <w:szCs w:val="20"/>
        </w:rPr>
        <w:t xml:space="preserve">pozitif </w:t>
      </w:r>
      <w:r w:rsidR="00624BED" w:rsidRPr="00463F06">
        <w:rPr>
          <w:rFonts w:ascii="Arial" w:hAnsi="Arial" w:cs="Arial"/>
          <w:sz w:val="20"/>
          <w:szCs w:val="20"/>
        </w:rPr>
        <w:t>katkı yaptıklarını not edelim.</w:t>
      </w: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F6722D" w:rsidRDefault="00F6722D" w:rsidP="00470351">
      <w:pPr>
        <w:pStyle w:val="NormalWeb"/>
        <w:spacing w:before="0" w:beforeAutospacing="0" w:after="0" w:afterAutospacing="0" w:line="300" w:lineRule="atLeast"/>
        <w:jc w:val="both"/>
        <w:rPr>
          <w:rFonts w:ascii="Arial" w:hAnsi="Arial" w:cs="Arial"/>
          <w:sz w:val="20"/>
          <w:szCs w:val="20"/>
        </w:rPr>
      </w:pPr>
    </w:p>
    <w:p w:rsidR="00FC232E" w:rsidRDefault="00FC232E" w:rsidP="00470351">
      <w:pPr>
        <w:pStyle w:val="NormalWeb"/>
        <w:spacing w:before="0" w:beforeAutospacing="0" w:after="0" w:afterAutospacing="0" w:line="300" w:lineRule="atLeast"/>
        <w:jc w:val="both"/>
        <w:rPr>
          <w:rFonts w:ascii="Arial" w:hAnsi="Arial" w:cs="Arial"/>
          <w:sz w:val="20"/>
          <w:szCs w:val="20"/>
        </w:rPr>
      </w:pPr>
    </w:p>
    <w:p w:rsidR="00FC232E" w:rsidRDefault="00FC232E" w:rsidP="00470351">
      <w:pPr>
        <w:pStyle w:val="NormalWeb"/>
        <w:spacing w:before="0" w:beforeAutospacing="0" w:after="0" w:afterAutospacing="0" w:line="300" w:lineRule="atLeast"/>
        <w:jc w:val="both"/>
        <w:rPr>
          <w:rFonts w:ascii="Arial" w:hAnsi="Arial" w:cs="Arial"/>
          <w:sz w:val="20"/>
          <w:szCs w:val="20"/>
        </w:rPr>
      </w:pPr>
    </w:p>
    <w:p w:rsidR="00FC232E" w:rsidRDefault="00FC232E" w:rsidP="00470351">
      <w:pPr>
        <w:pStyle w:val="NormalWeb"/>
        <w:spacing w:before="0" w:beforeAutospacing="0" w:after="0" w:afterAutospacing="0" w:line="300" w:lineRule="atLeast"/>
        <w:jc w:val="both"/>
        <w:rPr>
          <w:rFonts w:ascii="Arial" w:hAnsi="Arial" w:cs="Arial"/>
          <w:sz w:val="20"/>
          <w:szCs w:val="20"/>
        </w:rPr>
      </w:pPr>
    </w:p>
    <w:p w:rsidR="00FC232E" w:rsidRDefault="00FC232E" w:rsidP="00470351">
      <w:pPr>
        <w:pStyle w:val="NormalWeb"/>
        <w:spacing w:before="0" w:beforeAutospacing="0" w:after="0" w:afterAutospacing="0" w:line="300" w:lineRule="atLeast"/>
        <w:jc w:val="both"/>
        <w:rPr>
          <w:rFonts w:ascii="Arial" w:hAnsi="Arial" w:cs="Arial"/>
          <w:sz w:val="20"/>
          <w:szCs w:val="20"/>
        </w:rPr>
      </w:pPr>
    </w:p>
    <w:p w:rsidR="00FC232E" w:rsidRDefault="00FC232E" w:rsidP="00470351">
      <w:pPr>
        <w:pStyle w:val="NormalWeb"/>
        <w:spacing w:before="0" w:beforeAutospacing="0" w:after="0" w:afterAutospacing="0" w:line="300" w:lineRule="atLeast"/>
        <w:jc w:val="both"/>
        <w:rPr>
          <w:rFonts w:ascii="Arial" w:hAnsi="Arial" w:cs="Arial"/>
          <w:sz w:val="20"/>
          <w:szCs w:val="20"/>
        </w:rPr>
      </w:pPr>
    </w:p>
    <w:p w:rsidR="00F6722D" w:rsidRDefault="00F6722D" w:rsidP="00470351">
      <w:pPr>
        <w:pStyle w:val="NormalWeb"/>
        <w:spacing w:before="0" w:beforeAutospacing="0" w:after="0" w:afterAutospacing="0" w:line="300" w:lineRule="atLeast"/>
        <w:jc w:val="both"/>
        <w:rPr>
          <w:rFonts w:ascii="Arial" w:hAnsi="Arial" w:cs="Arial"/>
          <w:sz w:val="20"/>
          <w:szCs w:val="20"/>
        </w:rPr>
      </w:pPr>
    </w:p>
    <w:p w:rsidR="00F6722D" w:rsidRDefault="00F6722D" w:rsidP="00470351">
      <w:pPr>
        <w:pStyle w:val="NormalWeb"/>
        <w:spacing w:before="0" w:beforeAutospacing="0" w:after="0" w:afterAutospacing="0" w:line="300" w:lineRule="atLeast"/>
        <w:jc w:val="both"/>
        <w:rPr>
          <w:rFonts w:ascii="Arial" w:hAnsi="Arial" w:cs="Arial"/>
          <w:sz w:val="20"/>
          <w:szCs w:val="20"/>
        </w:rPr>
      </w:pPr>
    </w:p>
    <w:p w:rsidR="000C4944" w:rsidRDefault="000C4944" w:rsidP="00470351">
      <w:pPr>
        <w:pStyle w:val="NormalWeb"/>
        <w:spacing w:before="0" w:beforeAutospacing="0" w:after="0" w:afterAutospacing="0" w:line="300" w:lineRule="atLeast"/>
        <w:jc w:val="both"/>
        <w:rPr>
          <w:rFonts w:ascii="Arial" w:hAnsi="Arial" w:cs="Arial"/>
          <w:sz w:val="20"/>
          <w:szCs w:val="20"/>
        </w:rPr>
      </w:pPr>
    </w:p>
    <w:p w:rsidR="00B834FD" w:rsidRPr="00F30DA8" w:rsidRDefault="003F1C26" w:rsidP="00A7746C">
      <w:pPr>
        <w:pStyle w:val="NormalWeb"/>
        <w:spacing w:before="0" w:beforeAutospacing="0" w:after="0" w:afterAutospacing="0"/>
        <w:jc w:val="both"/>
        <w:rPr>
          <w:sz w:val="20"/>
          <w:szCs w:val="20"/>
        </w:rPr>
      </w:pPr>
      <w:r>
        <w:rPr>
          <w:noProof/>
        </w:rPr>
        <mc:AlternateContent>
          <mc:Choice Requires="wps">
            <w:drawing>
              <wp:anchor distT="4294967291" distB="4294967291" distL="114300" distR="114300" simplePos="0" relativeHeight="251659264" behindDoc="0" locked="0" layoutInCell="1" allowOverlap="1">
                <wp:simplePos x="0" y="0"/>
                <wp:positionH relativeFrom="column">
                  <wp:posOffset>-48895</wp:posOffset>
                </wp:positionH>
                <wp:positionV relativeFrom="paragraph">
                  <wp:posOffset>46354</wp:posOffset>
                </wp:positionV>
                <wp:extent cx="29718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nUQQxIC&#10;AAApBAAADgAAAAAAAAAAAAAAAAAuAgAAZHJzL2Uyb0RvYy54bWxQSwECLQAUAAYACAAAACEAGBAm&#10;19oAAAAGAQAADwAAAAAAAAAAAAAAAABsBAAAZHJzL2Rvd25yZXYueG1sUEsFBgAAAAAEAAQA8wAA&#10;AHMFAAAAAA==&#10;"/>
            </w:pict>
          </mc:Fallback>
        </mc:AlternateContent>
      </w:r>
      <w:r w:rsidR="00B834FD" w:rsidRPr="00F30DA8">
        <w:rPr>
          <w:sz w:val="20"/>
          <w:szCs w:val="20"/>
        </w:rPr>
        <w:t xml:space="preserve"> </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Prof. Dr. Seyfettin Gürsel, Betam, Direktör</w:t>
      </w:r>
    </w:p>
    <w:p w:rsidR="00B834FD" w:rsidRPr="009D708E" w:rsidRDefault="00B834FD" w:rsidP="00A7746C">
      <w:pPr>
        <w:pStyle w:val="NormalWeb"/>
        <w:spacing w:before="0" w:beforeAutospacing="0" w:after="0" w:afterAutospacing="0"/>
        <w:jc w:val="both"/>
        <w:rPr>
          <w:rFonts w:ascii="Arial" w:hAnsi="Arial" w:cs="Arial"/>
          <w:sz w:val="16"/>
          <w:szCs w:val="16"/>
        </w:rPr>
      </w:pPr>
      <w:r w:rsidRPr="009D708E">
        <w:rPr>
          <w:rFonts w:ascii="Arial" w:hAnsi="Arial" w:cs="Arial"/>
          <w:sz w:val="16"/>
          <w:szCs w:val="16"/>
        </w:rPr>
        <w:t xml:space="preserve">  </w:t>
      </w:r>
      <w:hyperlink r:id="rId11" w:history="1">
        <w:r w:rsidRPr="003356CA">
          <w:rPr>
            <w:rStyle w:val="Hyperlink"/>
            <w:rFonts w:ascii="Arial" w:hAnsi="Arial" w:cs="Arial"/>
            <w:sz w:val="16"/>
            <w:szCs w:val="16"/>
          </w:rPr>
          <w:t>seyfettin.gursel@</w:t>
        </w:r>
        <w:r w:rsidR="00492063" w:rsidRPr="003356CA">
          <w:rPr>
            <w:rStyle w:val="Hyperlink"/>
            <w:rFonts w:ascii="Arial" w:hAnsi="Arial" w:cs="Arial"/>
            <w:sz w:val="16"/>
            <w:szCs w:val="16"/>
          </w:rPr>
          <w:t>eas.</w:t>
        </w:r>
        <w:r w:rsidRPr="003356CA">
          <w:rPr>
            <w:rStyle w:val="Hyperlink"/>
            <w:rFonts w:ascii="Arial" w:hAnsi="Arial" w:cs="Arial"/>
            <w:sz w:val="16"/>
            <w:szCs w:val="16"/>
          </w:rPr>
          <w:t>ba</w:t>
        </w:r>
        <w:r w:rsidR="005C0934">
          <w:rPr>
            <w:rStyle w:val="Hyperlink"/>
            <w:rFonts w:ascii="Arial" w:hAnsi="Arial" w:cs="Arial"/>
            <w:sz w:val="16"/>
            <w:szCs w:val="16"/>
          </w:rPr>
          <w:t>u</w:t>
        </w:r>
        <w:r w:rsidRPr="003356CA">
          <w:rPr>
            <w:rStyle w:val="Hyperlink"/>
            <w:rFonts w:ascii="Arial" w:hAnsi="Arial" w:cs="Arial"/>
            <w:sz w:val="16"/>
            <w:szCs w:val="16"/>
          </w:rPr>
          <w:t>.edu.tr</w:t>
        </w:r>
      </w:hyperlink>
    </w:p>
    <w:p w:rsidR="00B834FD" w:rsidRDefault="00B834FD" w:rsidP="005C0934">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5C0934">
        <w:rPr>
          <w:rFonts w:ascii="Arial" w:hAnsi="Arial" w:cs="Arial"/>
          <w:sz w:val="16"/>
          <w:szCs w:val="16"/>
        </w:rPr>
        <w:t>Doç.</w:t>
      </w:r>
      <w:r w:rsidR="005608F6">
        <w:rPr>
          <w:rFonts w:ascii="Arial" w:hAnsi="Arial" w:cs="Arial"/>
          <w:sz w:val="16"/>
          <w:szCs w:val="16"/>
        </w:rPr>
        <w:t xml:space="preserve"> </w:t>
      </w:r>
      <w:r w:rsidR="005C0934">
        <w:rPr>
          <w:rFonts w:ascii="Arial" w:hAnsi="Arial" w:cs="Arial"/>
          <w:sz w:val="16"/>
          <w:szCs w:val="16"/>
        </w:rPr>
        <w:t>Dr. Ozan Bakış, Betam, Kıdemli Araştırmacı</w:t>
      </w:r>
    </w:p>
    <w:p w:rsidR="005C0934" w:rsidRPr="004D4E11" w:rsidRDefault="00500002" w:rsidP="005C0934">
      <w:pPr>
        <w:pStyle w:val="NormalWeb"/>
        <w:spacing w:before="0" w:beforeAutospacing="0" w:after="0" w:afterAutospacing="0"/>
        <w:jc w:val="both"/>
        <w:rPr>
          <w:rFonts w:ascii="Arial" w:hAnsi="Arial" w:cs="Arial"/>
          <w:sz w:val="16"/>
          <w:szCs w:val="16"/>
        </w:rPr>
      </w:pPr>
      <w:hyperlink r:id="rId12" w:history="1">
        <w:r w:rsidR="005C0934" w:rsidRPr="005C0934">
          <w:rPr>
            <w:rStyle w:val="Hyperlink"/>
            <w:rFonts w:ascii="Arial" w:hAnsi="Arial" w:cs="Arial"/>
            <w:sz w:val="16"/>
            <w:szCs w:val="16"/>
          </w:rPr>
          <w:t>ozan.bakıs@eas.bau.edu.tr</w:t>
        </w:r>
      </w:hyperlink>
    </w:p>
    <w:p w:rsidR="005C0934" w:rsidRPr="004D4E11" w:rsidRDefault="00B834FD" w:rsidP="005C0934">
      <w:pPr>
        <w:pStyle w:val="NormalWeb"/>
        <w:spacing w:before="0" w:beforeAutospacing="0" w:after="0" w:afterAutospacing="0"/>
        <w:jc w:val="both"/>
        <w:rPr>
          <w:rFonts w:ascii="Arial" w:hAnsi="Arial" w:cs="Arial"/>
          <w:sz w:val="16"/>
          <w:szCs w:val="16"/>
        </w:rPr>
      </w:pPr>
      <w:r w:rsidRPr="004D4E11">
        <w:rPr>
          <w:rFonts w:ascii="Arial" w:hAnsi="Arial" w:cs="Arial"/>
          <w:sz w:val="16"/>
          <w:szCs w:val="16"/>
        </w:rPr>
        <w:t xml:space="preserve">† </w:t>
      </w:r>
      <w:r w:rsidR="005C0934" w:rsidRPr="004D4E11">
        <w:rPr>
          <w:rFonts w:ascii="Arial" w:hAnsi="Arial" w:cs="Arial"/>
          <w:sz w:val="16"/>
          <w:szCs w:val="16"/>
        </w:rPr>
        <w:t>Mine Durmaz, Betam, Araştırma Görevlisi</w:t>
      </w:r>
    </w:p>
    <w:p w:rsidR="005C0934" w:rsidRPr="004D4E11" w:rsidRDefault="00500002" w:rsidP="005C0934">
      <w:pPr>
        <w:pStyle w:val="NormalWeb"/>
        <w:spacing w:before="0" w:beforeAutospacing="0" w:after="0" w:afterAutospacing="0"/>
        <w:jc w:val="both"/>
        <w:rPr>
          <w:rFonts w:ascii="Arial" w:hAnsi="Arial" w:cs="Arial"/>
          <w:sz w:val="16"/>
          <w:szCs w:val="16"/>
        </w:rPr>
      </w:pPr>
      <w:hyperlink r:id="rId13" w:history="1">
        <w:r w:rsidR="005C0934" w:rsidRPr="003356CA">
          <w:rPr>
            <w:rStyle w:val="Hyperlink"/>
            <w:rFonts w:ascii="Arial" w:hAnsi="Arial" w:cs="Arial"/>
            <w:sz w:val="16"/>
            <w:szCs w:val="16"/>
          </w:rPr>
          <w:t xml:space="preserve">  mine.durmaz@eas.ba</w:t>
        </w:r>
        <w:r w:rsidR="00BA5935">
          <w:rPr>
            <w:rStyle w:val="Hyperlink"/>
            <w:rFonts w:ascii="Arial" w:hAnsi="Arial" w:cs="Arial"/>
            <w:sz w:val="16"/>
            <w:szCs w:val="16"/>
          </w:rPr>
          <w:t>u</w:t>
        </w:r>
        <w:r w:rsidR="005C0934" w:rsidRPr="003356CA">
          <w:rPr>
            <w:rStyle w:val="Hyperlink"/>
            <w:rFonts w:ascii="Arial" w:hAnsi="Arial" w:cs="Arial"/>
            <w:sz w:val="16"/>
            <w:szCs w:val="16"/>
          </w:rPr>
          <w:t>.edu.tr</w:t>
        </w:r>
      </w:hyperlink>
    </w:p>
    <w:p w:rsidR="00B834FD" w:rsidRDefault="00B834FD" w:rsidP="005C0934">
      <w:pPr>
        <w:pStyle w:val="NormalWeb"/>
        <w:spacing w:before="0" w:beforeAutospacing="0" w:after="0" w:afterAutospacing="0"/>
        <w:jc w:val="both"/>
        <w:rPr>
          <w:rFonts w:ascii="Arial" w:hAnsi="Arial" w:cs="Arial"/>
          <w:sz w:val="16"/>
          <w:szCs w:val="16"/>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B834FD" w:rsidRDefault="00B834FD" w:rsidP="002548F5">
      <w:pPr>
        <w:ind w:right="77"/>
        <w:jc w:val="both"/>
        <w:rPr>
          <w:rFonts w:ascii="Arial" w:hAnsi="Arial" w:cs="Arial"/>
          <w:b/>
          <w:bCs/>
          <w:sz w:val="20"/>
          <w:szCs w:val="20"/>
        </w:rPr>
      </w:pPr>
    </w:p>
    <w:p w:rsidR="00174319" w:rsidRDefault="00174319" w:rsidP="002548F5">
      <w:pPr>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 xml:space="preserve">Şekil 1: GSYH alt kalemlerinin </w:t>
      </w:r>
      <w:r w:rsidR="00EB1620">
        <w:rPr>
          <w:rFonts w:ascii="Arial" w:hAnsi="Arial" w:cs="Arial"/>
          <w:b/>
          <w:bCs/>
          <w:sz w:val="20"/>
          <w:szCs w:val="20"/>
        </w:rPr>
        <w:t>2015</w:t>
      </w:r>
      <w:r w:rsidR="006F6EBA">
        <w:rPr>
          <w:rFonts w:ascii="Arial" w:hAnsi="Arial" w:cs="Arial"/>
          <w:b/>
          <w:bCs/>
          <w:sz w:val="20"/>
          <w:szCs w:val="20"/>
        </w:rPr>
        <w:t xml:space="preserve"> </w:t>
      </w:r>
      <w:r w:rsidR="003D6D66">
        <w:rPr>
          <w:rFonts w:ascii="Arial" w:hAnsi="Arial" w:cs="Arial"/>
          <w:b/>
          <w:bCs/>
          <w:sz w:val="20"/>
          <w:szCs w:val="20"/>
        </w:rPr>
        <w:t>4. çeyrekten 2016</w:t>
      </w:r>
      <w:r w:rsidR="006F6EBA">
        <w:rPr>
          <w:rFonts w:ascii="Arial" w:hAnsi="Arial" w:cs="Arial"/>
          <w:b/>
          <w:bCs/>
          <w:sz w:val="20"/>
          <w:szCs w:val="20"/>
        </w:rPr>
        <w:t xml:space="preserve"> </w:t>
      </w:r>
      <w:r w:rsidR="003D6D66">
        <w:rPr>
          <w:rFonts w:ascii="Arial" w:hAnsi="Arial" w:cs="Arial"/>
          <w:b/>
          <w:bCs/>
          <w:sz w:val="20"/>
          <w:szCs w:val="20"/>
        </w:rPr>
        <w:t>1</w:t>
      </w:r>
      <w:r>
        <w:rPr>
          <w:rFonts w:ascii="Arial" w:hAnsi="Arial" w:cs="Arial"/>
          <w:b/>
          <w:bCs/>
          <w:sz w:val="20"/>
          <w:szCs w:val="20"/>
        </w:rPr>
        <w:t xml:space="preserve">. çeyreğe </w:t>
      </w:r>
      <w:r w:rsidRPr="00DD51D1">
        <w:rPr>
          <w:rFonts w:ascii="Arial" w:hAnsi="Arial" w:cs="Arial"/>
          <w:b/>
          <w:bCs/>
          <w:sz w:val="20"/>
          <w:szCs w:val="20"/>
        </w:rPr>
        <w:t xml:space="preserve">değişimleri </w:t>
      </w:r>
    </w:p>
    <w:p w:rsidR="00B834FD" w:rsidRPr="00DB5757" w:rsidRDefault="001A4D86" w:rsidP="00660DE2">
      <w:pPr>
        <w:ind w:right="77"/>
        <w:jc w:val="both"/>
      </w:pPr>
      <w:r w:rsidRPr="001A4D86">
        <w:rPr>
          <w:noProof/>
        </w:rPr>
        <w:drawing>
          <wp:inline distT="0" distB="0" distL="0" distR="0">
            <wp:extent cx="3020695" cy="1936554"/>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020695" cy="1936554"/>
                    </a:xfrm>
                    <a:prstGeom prst="rect">
                      <a:avLst/>
                    </a:prstGeom>
                    <a:noFill/>
                    <a:ln w="9525">
                      <a:noFill/>
                      <a:miter lim="800000"/>
                      <a:headEnd/>
                      <a:tailEnd/>
                    </a:ln>
                  </pic:spPr>
                </pic:pic>
              </a:graphicData>
            </a:graphic>
          </wp:inline>
        </w:drawing>
      </w:r>
    </w:p>
    <w:p w:rsidR="00B834FD" w:rsidRPr="00660DE2" w:rsidRDefault="00EB1620" w:rsidP="00660DE2">
      <w:pPr>
        <w:ind w:right="77"/>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 Çeyreklik göstergeler mevsim ve takvim etkisinden arındırılmıştır.</w:t>
      </w:r>
    </w:p>
    <w:p w:rsidR="00B834FD" w:rsidRPr="00DD51D1" w:rsidRDefault="00B834FD" w:rsidP="00DD51D1">
      <w:pPr>
        <w:spacing w:line="360" w:lineRule="auto"/>
        <w:ind w:right="77"/>
        <w:jc w:val="both"/>
        <w:rPr>
          <w:rFonts w:ascii="Arial" w:hAnsi="Arial" w:cs="Arial"/>
          <w:b/>
          <w:bCs/>
          <w:sz w:val="20"/>
          <w:szCs w:val="20"/>
        </w:rPr>
      </w:pPr>
    </w:p>
    <w:p w:rsidR="00B834FD" w:rsidRPr="00DD51D1" w:rsidRDefault="00B834FD" w:rsidP="002548F5">
      <w:pPr>
        <w:ind w:right="77"/>
        <w:jc w:val="both"/>
        <w:rPr>
          <w:rFonts w:ascii="Arial" w:hAnsi="Arial" w:cs="Arial"/>
          <w:b/>
          <w:bCs/>
          <w:sz w:val="20"/>
          <w:szCs w:val="20"/>
        </w:rPr>
      </w:pPr>
      <w:r w:rsidRPr="00DD51D1">
        <w:rPr>
          <w:rFonts w:ascii="Arial" w:hAnsi="Arial" w:cs="Arial"/>
          <w:b/>
          <w:bCs/>
          <w:sz w:val="20"/>
          <w:szCs w:val="20"/>
        </w:rPr>
        <w:t>Şekil 2: GSYH alt kalemlerinin</w:t>
      </w:r>
      <w:r w:rsidR="00EB1620">
        <w:rPr>
          <w:rFonts w:ascii="Arial" w:hAnsi="Arial" w:cs="Arial"/>
          <w:b/>
          <w:bCs/>
          <w:sz w:val="20"/>
          <w:szCs w:val="20"/>
        </w:rPr>
        <w:t xml:space="preserve"> 2015</w:t>
      </w:r>
      <w:r w:rsidR="006F6EBA">
        <w:rPr>
          <w:rFonts w:ascii="Arial" w:hAnsi="Arial" w:cs="Arial"/>
          <w:b/>
          <w:bCs/>
          <w:sz w:val="20"/>
          <w:szCs w:val="20"/>
        </w:rPr>
        <w:t xml:space="preserve"> </w:t>
      </w:r>
      <w:r w:rsidR="003D6D66">
        <w:rPr>
          <w:rFonts w:ascii="Arial" w:hAnsi="Arial" w:cs="Arial"/>
          <w:b/>
          <w:bCs/>
          <w:sz w:val="20"/>
          <w:szCs w:val="20"/>
        </w:rPr>
        <w:t>4</w:t>
      </w:r>
      <w:r w:rsidR="00F11CBF">
        <w:rPr>
          <w:rFonts w:ascii="Arial" w:hAnsi="Arial" w:cs="Arial"/>
          <w:b/>
          <w:bCs/>
          <w:sz w:val="20"/>
          <w:szCs w:val="20"/>
        </w:rPr>
        <w:t>. çeyrekten 201</w:t>
      </w:r>
      <w:r w:rsidR="003D6D66">
        <w:rPr>
          <w:rFonts w:ascii="Arial" w:hAnsi="Arial" w:cs="Arial"/>
          <w:b/>
          <w:bCs/>
          <w:sz w:val="20"/>
          <w:szCs w:val="20"/>
        </w:rPr>
        <w:t>6</w:t>
      </w:r>
      <w:r w:rsidR="006F6EBA">
        <w:rPr>
          <w:rFonts w:ascii="Arial" w:hAnsi="Arial" w:cs="Arial"/>
          <w:b/>
          <w:bCs/>
          <w:sz w:val="20"/>
          <w:szCs w:val="20"/>
        </w:rPr>
        <w:t xml:space="preserve"> </w:t>
      </w:r>
      <w:r w:rsidR="003D6D66">
        <w:rPr>
          <w:rFonts w:ascii="Arial" w:hAnsi="Arial" w:cs="Arial"/>
          <w:b/>
          <w:bCs/>
          <w:sz w:val="20"/>
          <w:szCs w:val="20"/>
        </w:rPr>
        <w:t>1</w:t>
      </w:r>
      <w:r>
        <w:rPr>
          <w:rFonts w:ascii="Arial" w:hAnsi="Arial" w:cs="Arial"/>
          <w:b/>
          <w:bCs/>
          <w:sz w:val="20"/>
          <w:szCs w:val="20"/>
        </w:rPr>
        <w:t>. çeyreğe</w:t>
      </w:r>
      <w:r w:rsidRPr="00DD51D1">
        <w:rPr>
          <w:rFonts w:ascii="Arial" w:hAnsi="Arial" w:cs="Arial"/>
          <w:b/>
          <w:bCs/>
          <w:sz w:val="20"/>
          <w:szCs w:val="20"/>
        </w:rPr>
        <w:t xml:space="preserve"> GSYH büyümesine katkıları</w:t>
      </w:r>
    </w:p>
    <w:p w:rsidR="00B834FD" w:rsidRDefault="001A4D86" w:rsidP="001C5776">
      <w:pPr>
        <w:ind w:right="77"/>
        <w:jc w:val="both"/>
      </w:pPr>
      <w:r w:rsidRPr="001A4D86">
        <w:rPr>
          <w:noProof/>
        </w:rPr>
        <w:drawing>
          <wp:inline distT="0" distB="0" distL="0" distR="0">
            <wp:extent cx="3020695" cy="2074518"/>
            <wp:effectExtent l="19050" t="0" r="825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020695" cy="2074518"/>
                    </a:xfrm>
                    <a:prstGeom prst="rect">
                      <a:avLst/>
                    </a:prstGeom>
                    <a:noFill/>
                    <a:ln w="9525">
                      <a:noFill/>
                      <a:miter lim="800000"/>
                      <a:headEnd/>
                      <a:tailEnd/>
                    </a:ln>
                  </pic:spPr>
                </pic:pic>
              </a:graphicData>
            </a:graphic>
          </wp:inline>
        </w:drawing>
      </w:r>
    </w:p>
    <w:p w:rsidR="00B834FD" w:rsidRPr="00660DE2" w:rsidRDefault="00EB1620" w:rsidP="00660DE2">
      <w:pPr>
        <w:ind w:right="77"/>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 Çeyreklik göstergeler mevsim ve takvim etkisinden arındırılmıştır.</w:t>
      </w:r>
    </w:p>
    <w:p w:rsidR="001B5BDA" w:rsidRDefault="001B5BDA" w:rsidP="00FA1EEF">
      <w:pPr>
        <w:pStyle w:val="NormalWeb"/>
        <w:spacing w:before="0" w:beforeAutospacing="0" w:after="0" w:afterAutospacing="0" w:line="360" w:lineRule="auto"/>
        <w:ind w:right="77"/>
        <w:jc w:val="both"/>
        <w:rPr>
          <w:rFonts w:ascii="Arial" w:hAnsi="Arial" w:cs="Arial"/>
          <w:sz w:val="20"/>
          <w:szCs w:val="20"/>
        </w:rPr>
      </w:pPr>
    </w:p>
    <w:p w:rsidR="00F6722D" w:rsidRDefault="00F6722D" w:rsidP="00FA1EEF">
      <w:pPr>
        <w:pStyle w:val="NormalWeb"/>
        <w:spacing w:before="0" w:beforeAutospacing="0" w:after="0" w:afterAutospacing="0" w:line="360" w:lineRule="auto"/>
        <w:ind w:right="77"/>
        <w:jc w:val="both"/>
        <w:rPr>
          <w:rFonts w:ascii="Arial" w:hAnsi="Arial" w:cs="Arial"/>
          <w:sz w:val="20"/>
          <w:szCs w:val="20"/>
        </w:rPr>
      </w:pPr>
    </w:p>
    <w:p w:rsidR="0035245B" w:rsidRPr="009A31DE" w:rsidRDefault="0035245B" w:rsidP="0035245B">
      <w:pPr>
        <w:pStyle w:val="NormalWeb"/>
        <w:spacing w:before="0" w:beforeAutospacing="0" w:after="0" w:afterAutospacing="0" w:line="360" w:lineRule="auto"/>
        <w:ind w:right="77"/>
        <w:jc w:val="center"/>
        <w:rPr>
          <w:rFonts w:ascii="Arial" w:hAnsi="Arial" w:cs="Arial"/>
          <w:b/>
          <w:bCs/>
          <w:sz w:val="20"/>
          <w:szCs w:val="20"/>
        </w:rPr>
      </w:pPr>
      <w:r w:rsidRPr="009A31DE">
        <w:rPr>
          <w:rFonts w:ascii="Arial" w:hAnsi="Arial" w:cs="Arial"/>
          <w:b/>
          <w:bCs/>
          <w:sz w:val="20"/>
          <w:szCs w:val="20"/>
        </w:rPr>
        <w:t>Tüketim</w:t>
      </w:r>
      <w:r w:rsidR="00E826E3" w:rsidRPr="009A31DE">
        <w:rPr>
          <w:rFonts w:ascii="Arial" w:hAnsi="Arial" w:cs="Arial"/>
          <w:b/>
          <w:bCs/>
          <w:sz w:val="20"/>
          <w:szCs w:val="20"/>
        </w:rPr>
        <w:t xml:space="preserve">de </w:t>
      </w:r>
      <w:r w:rsidR="000961D9" w:rsidRPr="009A31DE">
        <w:rPr>
          <w:rFonts w:ascii="Arial" w:hAnsi="Arial" w:cs="Arial"/>
          <w:b/>
          <w:bCs/>
          <w:sz w:val="20"/>
          <w:szCs w:val="20"/>
        </w:rPr>
        <w:t>belirgin canlanma</w:t>
      </w:r>
    </w:p>
    <w:p w:rsidR="0035245B" w:rsidRPr="003D6D66" w:rsidRDefault="0035245B" w:rsidP="00FA1EEF">
      <w:pPr>
        <w:pStyle w:val="NormalWeb"/>
        <w:spacing w:before="0" w:beforeAutospacing="0" w:after="0" w:afterAutospacing="0" w:line="360" w:lineRule="auto"/>
        <w:ind w:right="77"/>
        <w:jc w:val="both"/>
        <w:rPr>
          <w:rFonts w:ascii="Arial" w:hAnsi="Arial" w:cs="Arial"/>
          <w:sz w:val="20"/>
          <w:szCs w:val="20"/>
          <w:highlight w:val="yellow"/>
        </w:rPr>
      </w:pPr>
    </w:p>
    <w:p w:rsidR="00B626DF" w:rsidRPr="003D6D66" w:rsidRDefault="0035245B" w:rsidP="00FA1EEF">
      <w:pPr>
        <w:pStyle w:val="NormalWeb"/>
        <w:spacing w:before="0" w:beforeAutospacing="0" w:after="0" w:afterAutospacing="0" w:line="360" w:lineRule="auto"/>
        <w:ind w:right="77"/>
        <w:jc w:val="both"/>
        <w:rPr>
          <w:rFonts w:ascii="Arial" w:hAnsi="Arial" w:cs="Arial"/>
          <w:sz w:val="20"/>
          <w:szCs w:val="20"/>
          <w:highlight w:val="yellow"/>
        </w:rPr>
      </w:pPr>
      <w:r w:rsidRPr="00F6722D">
        <w:rPr>
          <w:rFonts w:ascii="Arial" w:hAnsi="Arial" w:cs="Arial"/>
          <w:sz w:val="20"/>
          <w:szCs w:val="20"/>
        </w:rPr>
        <w:t xml:space="preserve">Mevsim ve takvim etkilerinden arındırılmış rakamlara göre </w:t>
      </w:r>
      <w:r w:rsidR="00F6722D" w:rsidRPr="00F6722D">
        <w:rPr>
          <w:rFonts w:ascii="Arial" w:hAnsi="Arial" w:cs="Arial"/>
          <w:sz w:val="20"/>
          <w:szCs w:val="20"/>
        </w:rPr>
        <w:t>birinci</w:t>
      </w:r>
      <w:r w:rsidR="004F085C" w:rsidRPr="00F6722D">
        <w:rPr>
          <w:rFonts w:ascii="Arial" w:hAnsi="Arial" w:cs="Arial"/>
          <w:sz w:val="20"/>
          <w:szCs w:val="20"/>
        </w:rPr>
        <w:t xml:space="preserve"> </w:t>
      </w:r>
      <w:r w:rsidR="001F24EF" w:rsidRPr="00F6722D">
        <w:rPr>
          <w:rFonts w:ascii="Arial" w:hAnsi="Arial" w:cs="Arial"/>
          <w:sz w:val="20"/>
          <w:szCs w:val="20"/>
        </w:rPr>
        <w:t>çeyre</w:t>
      </w:r>
      <w:r w:rsidR="00FB622B" w:rsidRPr="00F6722D">
        <w:rPr>
          <w:rFonts w:ascii="Arial" w:hAnsi="Arial" w:cs="Arial"/>
          <w:sz w:val="20"/>
          <w:szCs w:val="20"/>
        </w:rPr>
        <w:t>kte</w:t>
      </w:r>
      <w:r w:rsidR="00732FC5" w:rsidRPr="00F6722D">
        <w:rPr>
          <w:rFonts w:ascii="Arial" w:hAnsi="Arial" w:cs="Arial"/>
          <w:sz w:val="20"/>
          <w:szCs w:val="20"/>
        </w:rPr>
        <w:t xml:space="preserve"> özel</w:t>
      </w:r>
      <w:r w:rsidR="00FB622B" w:rsidRPr="00F6722D">
        <w:rPr>
          <w:rFonts w:ascii="Arial" w:hAnsi="Arial" w:cs="Arial"/>
          <w:sz w:val="20"/>
          <w:szCs w:val="20"/>
        </w:rPr>
        <w:t xml:space="preserve"> tüketim harcamaları </w:t>
      </w:r>
      <w:r w:rsidR="001009DB" w:rsidRPr="00F6722D">
        <w:rPr>
          <w:rFonts w:ascii="Arial" w:hAnsi="Arial" w:cs="Arial"/>
          <w:sz w:val="20"/>
          <w:szCs w:val="20"/>
        </w:rPr>
        <w:t>önceki</w:t>
      </w:r>
      <w:r w:rsidRPr="00F6722D">
        <w:rPr>
          <w:rFonts w:ascii="Arial" w:hAnsi="Arial" w:cs="Arial"/>
          <w:sz w:val="20"/>
          <w:szCs w:val="20"/>
        </w:rPr>
        <w:t xml:space="preserve"> çeyreğe kıyasla yüzde </w:t>
      </w:r>
      <w:r w:rsidR="00F6722D" w:rsidRPr="00F6722D">
        <w:rPr>
          <w:rFonts w:ascii="Arial" w:hAnsi="Arial" w:cs="Arial"/>
          <w:sz w:val="20"/>
          <w:szCs w:val="20"/>
        </w:rPr>
        <w:t>1,6</w:t>
      </w:r>
      <w:r w:rsidR="00B626DF" w:rsidRPr="00F6722D">
        <w:rPr>
          <w:rFonts w:ascii="Arial" w:hAnsi="Arial" w:cs="Arial"/>
          <w:sz w:val="20"/>
          <w:szCs w:val="20"/>
        </w:rPr>
        <w:t xml:space="preserve"> oranında arttı ve </w:t>
      </w:r>
      <w:r w:rsidR="00B626DF" w:rsidRPr="00F6722D">
        <w:rPr>
          <w:rFonts w:ascii="Arial" w:hAnsi="Arial" w:cs="Arial"/>
          <w:sz w:val="20"/>
          <w:szCs w:val="20"/>
        </w:rPr>
        <w:lastRenderedPageBreak/>
        <w:t>büyümeye 1</w:t>
      </w:r>
      <w:r w:rsidR="00F6722D" w:rsidRPr="00F6722D">
        <w:rPr>
          <w:rFonts w:ascii="Arial" w:hAnsi="Arial" w:cs="Arial"/>
          <w:sz w:val="20"/>
          <w:szCs w:val="20"/>
        </w:rPr>
        <w:t>,1</w:t>
      </w:r>
      <w:r w:rsidR="00B626DF" w:rsidRPr="00F6722D">
        <w:rPr>
          <w:rFonts w:ascii="Arial" w:hAnsi="Arial" w:cs="Arial"/>
          <w:sz w:val="20"/>
          <w:szCs w:val="20"/>
        </w:rPr>
        <w:t xml:space="preserve"> puan kadar katkı yap</w:t>
      </w:r>
      <w:r w:rsidR="003356CA" w:rsidRPr="00F6722D">
        <w:rPr>
          <w:rFonts w:ascii="Arial" w:hAnsi="Arial" w:cs="Arial"/>
          <w:sz w:val="20"/>
          <w:szCs w:val="20"/>
        </w:rPr>
        <w:t>tı</w:t>
      </w:r>
      <w:r w:rsidR="004F085C" w:rsidRPr="00F6722D">
        <w:rPr>
          <w:rFonts w:ascii="Arial" w:hAnsi="Arial" w:cs="Arial"/>
          <w:sz w:val="20"/>
          <w:szCs w:val="20"/>
        </w:rPr>
        <w:t xml:space="preserve"> (Tablo 1). </w:t>
      </w:r>
      <w:r w:rsidR="00B626DF" w:rsidRPr="00F6722D">
        <w:rPr>
          <w:rFonts w:ascii="Arial" w:hAnsi="Arial" w:cs="Arial"/>
          <w:sz w:val="20"/>
          <w:szCs w:val="20"/>
        </w:rPr>
        <w:t xml:space="preserve"> </w:t>
      </w:r>
      <w:r w:rsidR="000961D9">
        <w:rPr>
          <w:rFonts w:ascii="Arial" w:hAnsi="Arial" w:cs="Arial"/>
          <w:sz w:val="20"/>
          <w:szCs w:val="20"/>
        </w:rPr>
        <w:t>2015 son çeyrekte yüzde 0,5 ile sınırlı kalan tüketim artışının yılın ilk çeyreğinde güçlü bir canlanma sergilediği görülüyor. Yılın başında gerçekleşen yüksek asgari ücret zammının özelikle düşük ücretlerde artışlara neden ol</w:t>
      </w:r>
      <w:r w:rsidR="00FC232E">
        <w:rPr>
          <w:rFonts w:ascii="Arial" w:hAnsi="Arial" w:cs="Arial"/>
          <w:sz w:val="20"/>
          <w:szCs w:val="20"/>
        </w:rPr>
        <w:t>ması</w:t>
      </w:r>
      <w:r w:rsidR="000961D9">
        <w:rPr>
          <w:rFonts w:ascii="Arial" w:hAnsi="Arial" w:cs="Arial"/>
          <w:sz w:val="20"/>
          <w:szCs w:val="20"/>
        </w:rPr>
        <w:t xml:space="preserve"> ve bu artışların tüketimi canlandırması tahmin edilen bir gelişmeydi. </w:t>
      </w:r>
      <w:r w:rsidR="00B6365A">
        <w:rPr>
          <w:rFonts w:ascii="Arial" w:hAnsi="Arial" w:cs="Arial"/>
          <w:sz w:val="20"/>
          <w:szCs w:val="20"/>
        </w:rPr>
        <w:t xml:space="preserve">Bu tahminlerin doğrulandığı görülüyor. </w:t>
      </w:r>
    </w:p>
    <w:p w:rsidR="00B6365A" w:rsidRDefault="00B6365A" w:rsidP="00696C53">
      <w:pPr>
        <w:pStyle w:val="NormalWeb"/>
        <w:spacing w:before="0" w:beforeAutospacing="0" w:after="0" w:afterAutospacing="0" w:line="360" w:lineRule="auto"/>
        <w:ind w:right="77"/>
        <w:jc w:val="center"/>
        <w:rPr>
          <w:rFonts w:ascii="Arial" w:hAnsi="Arial" w:cs="Arial"/>
          <w:b/>
          <w:sz w:val="20"/>
          <w:szCs w:val="20"/>
          <w:highlight w:val="yellow"/>
        </w:rPr>
      </w:pPr>
    </w:p>
    <w:p w:rsidR="00696C53" w:rsidRPr="0010192C" w:rsidRDefault="00696C53" w:rsidP="00696C53">
      <w:pPr>
        <w:pStyle w:val="NormalWeb"/>
        <w:spacing w:before="0" w:beforeAutospacing="0" w:after="0" w:afterAutospacing="0" w:line="360" w:lineRule="auto"/>
        <w:ind w:right="77"/>
        <w:jc w:val="center"/>
        <w:rPr>
          <w:rFonts w:ascii="Arial" w:hAnsi="Arial" w:cs="Arial"/>
          <w:b/>
          <w:sz w:val="20"/>
          <w:szCs w:val="20"/>
        </w:rPr>
      </w:pPr>
      <w:r w:rsidRPr="0010192C">
        <w:rPr>
          <w:rFonts w:ascii="Arial" w:hAnsi="Arial" w:cs="Arial"/>
          <w:b/>
          <w:sz w:val="20"/>
          <w:szCs w:val="20"/>
        </w:rPr>
        <w:t>Yatırımlar</w:t>
      </w:r>
      <w:r w:rsidR="00732FC5" w:rsidRPr="0010192C">
        <w:rPr>
          <w:rFonts w:ascii="Arial" w:hAnsi="Arial" w:cs="Arial"/>
          <w:b/>
          <w:sz w:val="20"/>
          <w:szCs w:val="20"/>
        </w:rPr>
        <w:t xml:space="preserve">da </w:t>
      </w:r>
      <w:r w:rsidR="0010192C" w:rsidRPr="0010192C">
        <w:rPr>
          <w:rFonts w:ascii="Arial" w:hAnsi="Arial" w:cs="Arial"/>
          <w:b/>
          <w:sz w:val="20"/>
          <w:szCs w:val="20"/>
        </w:rPr>
        <w:t xml:space="preserve">beklenmedik </w:t>
      </w:r>
      <w:r w:rsidR="009232E3" w:rsidRPr="0010192C">
        <w:rPr>
          <w:rFonts w:ascii="Arial" w:hAnsi="Arial" w:cs="Arial"/>
          <w:b/>
          <w:sz w:val="20"/>
          <w:szCs w:val="20"/>
        </w:rPr>
        <w:t>düşüş</w:t>
      </w:r>
    </w:p>
    <w:p w:rsidR="007C06E9" w:rsidRPr="003D6D66" w:rsidRDefault="007C06E9" w:rsidP="00696C53">
      <w:pPr>
        <w:pStyle w:val="NormalWeb"/>
        <w:spacing w:before="0" w:beforeAutospacing="0" w:after="0" w:afterAutospacing="0" w:line="360" w:lineRule="auto"/>
        <w:ind w:right="77"/>
        <w:jc w:val="center"/>
        <w:rPr>
          <w:rFonts w:ascii="Arial" w:hAnsi="Arial" w:cs="Arial"/>
          <w:b/>
          <w:sz w:val="20"/>
          <w:szCs w:val="20"/>
          <w:highlight w:val="yellow"/>
        </w:rPr>
      </w:pPr>
    </w:p>
    <w:p w:rsidR="006C0E86" w:rsidRPr="003D6D66" w:rsidRDefault="009D2D8C" w:rsidP="00D157C3">
      <w:pPr>
        <w:pStyle w:val="NormalWeb"/>
        <w:spacing w:before="0" w:beforeAutospacing="0" w:after="0" w:afterAutospacing="0" w:line="360" w:lineRule="auto"/>
        <w:ind w:right="77"/>
        <w:jc w:val="both"/>
        <w:rPr>
          <w:rFonts w:ascii="Arial" w:hAnsi="Arial" w:cs="Arial"/>
          <w:sz w:val="20"/>
          <w:szCs w:val="20"/>
          <w:highlight w:val="yellow"/>
        </w:rPr>
      </w:pPr>
      <w:r w:rsidRPr="009D2D8C">
        <w:rPr>
          <w:rFonts w:ascii="Arial" w:hAnsi="Arial" w:cs="Arial"/>
          <w:sz w:val="20"/>
          <w:szCs w:val="20"/>
        </w:rPr>
        <w:t xml:space="preserve">2015 sonbaharında canlanma işaretleri veren özel yatırımların 2016 ilk çeyrekte belirgin ölçüde küçülmesi son yıllarda özel yatırımlarda gözlemlenen zaafiyetin devam ettiğini gösteriyor. </w:t>
      </w:r>
      <w:r>
        <w:rPr>
          <w:rFonts w:ascii="Arial" w:hAnsi="Arial" w:cs="Arial"/>
          <w:sz w:val="20"/>
          <w:szCs w:val="20"/>
        </w:rPr>
        <w:t xml:space="preserve">2015 yılında son çeyrekte önceki çeyreğe göre yüzde 1,5 artış sergileyen özel yatırımlar 2016 ilk çeyrekte yüzde 1,9 </w:t>
      </w:r>
      <w:r w:rsidR="00BE04C6">
        <w:rPr>
          <w:rFonts w:ascii="Arial" w:hAnsi="Arial" w:cs="Arial"/>
          <w:sz w:val="20"/>
          <w:szCs w:val="20"/>
        </w:rPr>
        <w:t>oranında düşüş sergiledi (Tablo</w:t>
      </w:r>
      <w:r w:rsidR="00876AF8">
        <w:rPr>
          <w:rFonts w:ascii="Arial" w:hAnsi="Arial" w:cs="Arial"/>
          <w:sz w:val="20"/>
          <w:szCs w:val="20"/>
        </w:rPr>
        <w:t xml:space="preserve"> </w:t>
      </w:r>
      <w:r>
        <w:rPr>
          <w:rFonts w:ascii="Arial" w:hAnsi="Arial" w:cs="Arial"/>
          <w:sz w:val="20"/>
          <w:szCs w:val="20"/>
        </w:rPr>
        <w:t xml:space="preserve">1). </w:t>
      </w:r>
      <w:r w:rsidR="0073660E">
        <w:rPr>
          <w:rFonts w:ascii="Arial" w:hAnsi="Arial" w:cs="Arial"/>
          <w:sz w:val="20"/>
          <w:szCs w:val="20"/>
        </w:rPr>
        <w:t>Yatırımlara ilişkin öncü göstergeler zıt yönlü gelişmelere işaret etseler de son tahlilde yatırımlarda sınırlı da olsa artış bekliyorduk. Yatırımlarda ortaya çıkan bu beklenmedik daralmanın üzerinde durulması gerekiyor.</w:t>
      </w:r>
    </w:p>
    <w:p w:rsidR="00940E4D" w:rsidRPr="003D6D66" w:rsidRDefault="00940E4D" w:rsidP="00DD74D6">
      <w:pPr>
        <w:pStyle w:val="NormalWeb"/>
        <w:spacing w:before="0" w:beforeAutospacing="0" w:after="0" w:afterAutospacing="0" w:line="360" w:lineRule="auto"/>
        <w:ind w:right="77"/>
        <w:jc w:val="both"/>
        <w:rPr>
          <w:rFonts w:ascii="Arial" w:hAnsi="Arial" w:cs="Arial"/>
          <w:sz w:val="20"/>
          <w:szCs w:val="20"/>
          <w:highlight w:val="yellow"/>
        </w:rPr>
      </w:pPr>
    </w:p>
    <w:p w:rsidR="002D1EEA" w:rsidRPr="00E51786" w:rsidRDefault="002D1EEA" w:rsidP="002D1EEA">
      <w:pPr>
        <w:pStyle w:val="NormalWeb"/>
        <w:spacing w:before="0" w:beforeAutospacing="0" w:after="0" w:afterAutospacing="0" w:line="360" w:lineRule="auto"/>
        <w:ind w:right="77"/>
        <w:jc w:val="center"/>
        <w:rPr>
          <w:rFonts w:ascii="Arial" w:hAnsi="Arial" w:cs="Arial"/>
          <w:b/>
          <w:bCs/>
          <w:sz w:val="20"/>
          <w:szCs w:val="20"/>
        </w:rPr>
      </w:pPr>
      <w:r w:rsidRPr="00E51786">
        <w:rPr>
          <w:rFonts w:ascii="Arial" w:hAnsi="Arial" w:cs="Arial"/>
          <w:b/>
          <w:bCs/>
          <w:sz w:val="20"/>
          <w:szCs w:val="20"/>
        </w:rPr>
        <w:t>Kamu harcamaları</w:t>
      </w:r>
      <w:r w:rsidR="005125B3" w:rsidRPr="00E51786">
        <w:rPr>
          <w:rFonts w:ascii="Arial" w:hAnsi="Arial" w:cs="Arial"/>
          <w:b/>
          <w:bCs/>
          <w:sz w:val="20"/>
          <w:szCs w:val="20"/>
        </w:rPr>
        <w:t xml:space="preserve"> </w:t>
      </w:r>
      <w:r w:rsidR="00DD74D6" w:rsidRPr="00E51786">
        <w:rPr>
          <w:rFonts w:ascii="Arial" w:hAnsi="Arial" w:cs="Arial"/>
          <w:b/>
          <w:bCs/>
          <w:sz w:val="20"/>
          <w:szCs w:val="20"/>
        </w:rPr>
        <w:t>art</w:t>
      </w:r>
      <w:r w:rsidR="00E51786" w:rsidRPr="00E51786">
        <w:rPr>
          <w:rFonts w:ascii="Arial" w:hAnsi="Arial" w:cs="Arial"/>
          <w:b/>
          <w:bCs/>
          <w:sz w:val="20"/>
          <w:szCs w:val="20"/>
        </w:rPr>
        <w:t>m</w:t>
      </w:r>
      <w:r w:rsidR="00CD2D22">
        <w:rPr>
          <w:rFonts w:ascii="Arial" w:hAnsi="Arial" w:cs="Arial"/>
          <w:b/>
          <w:bCs/>
          <w:sz w:val="20"/>
          <w:szCs w:val="20"/>
        </w:rPr>
        <w:t>a</w:t>
      </w:r>
      <w:r w:rsidR="00E51786" w:rsidRPr="00E51786">
        <w:rPr>
          <w:rFonts w:ascii="Arial" w:hAnsi="Arial" w:cs="Arial"/>
          <w:b/>
          <w:bCs/>
          <w:sz w:val="20"/>
          <w:szCs w:val="20"/>
        </w:rPr>
        <w:t>y</w:t>
      </w:r>
      <w:r w:rsidR="00CD2D22">
        <w:rPr>
          <w:rFonts w:ascii="Arial" w:hAnsi="Arial" w:cs="Arial"/>
          <w:b/>
          <w:bCs/>
          <w:sz w:val="20"/>
          <w:szCs w:val="20"/>
        </w:rPr>
        <w:t>a</w:t>
      </w:r>
      <w:r w:rsidR="00E51786" w:rsidRPr="00E51786">
        <w:rPr>
          <w:rFonts w:ascii="Arial" w:hAnsi="Arial" w:cs="Arial"/>
          <w:b/>
          <w:bCs/>
          <w:sz w:val="20"/>
          <w:szCs w:val="20"/>
        </w:rPr>
        <w:t xml:space="preserve"> devam ediyor</w:t>
      </w:r>
    </w:p>
    <w:p w:rsidR="002D1EEA" w:rsidRPr="003D6D66" w:rsidRDefault="002D1EEA" w:rsidP="002D1EEA">
      <w:pPr>
        <w:pStyle w:val="NormalWeb"/>
        <w:spacing w:before="0" w:beforeAutospacing="0" w:after="0" w:afterAutospacing="0" w:line="360" w:lineRule="auto"/>
        <w:ind w:right="77"/>
        <w:jc w:val="both"/>
        <w:rPr>
          <w:rFonts w:ascii="Arial" w:hAnsi="Arial" w:cs="Arial"/>
          <w:b/>
          <w:bCs/>
          <w:sz w:val="20"/>
          <w:szCs w:val="20"/>
          <w:highlight w:val="yellow"/>
        </w:rPr>
      </w:pPr>
    </w:p>
    <w:p w:rsidR="000252CE" w:rsidRPr="003D6D66" w:rsidRDefault="00E51786" w:rsidP="00C23712">
      <w:pPr>
        <w:pStyle w:val="NormalWeb"/>
        <w:spacing w:before="0" w:beforeAutospacing="0" w:after="0" w:afterAutospacing="0" w:line="360" w:lineRule="auto"/>
        <w:ind w:right="77"/>
        <w:jc w:val="both"/>
        <w:rPr>
          <w:rFonts w:ascii="Arial" w:hAnsi="Arial" w:cs="Arial"/>
          <w:sz w:val="20"/>
          <w:szCs w:val="20"/>
          <w:highlight w:val="yellow"/>
        </w:rPr>
      </w:pPr>
      <w:r w:rsidRPr="006F0F53">
        <w:rPr>
          <w:rFonts w:ascii="Arial" w:hAnsi="Arial" w:cs="Arial"/>
          <w:sz w:val="20"/>
          <w:szCs w:val="20"/>
        </w:rPr>
        <w:t xml:space="preserve">Kamu harcamaları (nihai tüketim + yatırımlar) artışı yakın çeyreklerle aynı ölçüde (yüzde 1,8) devam ediyor (Tablo 1). </w:t>
      </w:r>
      <w:r w:rsidR="006F0F53" w:rsidRPr="006F0F53">
        <w:rPr>
          <w:rFonts w:ascii="Arial" w:hAnsi="Arial" w:cs="Arial"/>
          <w:sz w:val="20"/>
          <w:szCs w:val="20"/>
        </w:rPr>
        <w:t>Uzun seçim döneminin ardından k</w:t>
      </w:r>
      <w:r w:rsidRPr="006F0F53">
        <w:rPr>
          <w:rFonts w:ascii="Arial" w:hAnsi="Arial" w:cs="Arial"/>
          <w:sz w:val="20"/>
          <w:szCs w:val="20"/>
        </w:rPr>
        <w:t>amu harcamalarının GSYH içindeki düşük payına rağmen çeyreklik büyümeye 0,3 oranında katkı yapmaya devam etmesi</w:t>
      </w:r>
      <w:r w:rsidR="006F0F53" w:rsidRPr="006F0F53">
        <w:rPr>
          <w:rFonts w:ascii="Arial" w:hAnsi="Arial" w:cs="Arial"/>
          <w:sz w:val="20"/>
          <w:szCs w:val="20"/>
        </w:rPr>
        <w:t>nin</w:t>
      </w:r>
      <w:r w:rsidRPr="006F0F53">
        <w:rPr>
          <w:rFonts w:ascii="Arial" w:hAnsi="Arial" w:cs="Arial"/>
          <w:sz w:val="20"/>
          <w:szCs w:val="20"/>
        </w:rPr>
        <w:t xml:space="preserve"> (Tablo 3) dikkate değer bir </w:t>
      </w:r>
      <w:r w:rsidR="006F0F53" w:rsidRPr="006F0F53">
        <w:rPr>
          <w:rFonts w:ascii="Arial" w:hAnsi="Arial" w:cs="Arial"/>
          <w:sz w:val="20"/>
          <w:szCs w:val="20"/>
        </w:rPr>
        <w:t>olgu</w:t>
      </w:r>
      <w:r w:rsidRPr="006F0F53">
        <w:rPr>
          <w:rFonts w:ascii="Arial" w:hAnsi="Arial" w:cs="Arial"/>
          <w:sz w:val="20"/>
          <w:szCs w:val="20"/>
        </w:rPr>
        <w:t xml:space="preserve"> olduğunu belirtelim.</w:t>
      </w:r>
      <w:r>
        <w:rPr>
          <w:rFonts w:ascii="Arial" w:hAnsi="Arial" w:cs="Arial"/>
          <w:sz w:val="20"/>
          <w:szCs w:val="20"/>
          <w:highlight w:val="yellow"/>
        </w:rPr>
        <w:t xml:space="preserve"> </w:t>
      </w:r>
    </w:p>
    <w:p w:rsidR="000C4944" w:rsidRPr="003D6D66" w:rsidRDefault="000C4944" w:rsidP="003047E8">
      <w:pPr>
        <w:pStyle w:val="NormalWeb"/>
        <w:spacing w:before="0" w:beforeAutospacing="0" w:after="0" w:afterAutospacing="0" w:line="360" w:lineRule="auto"/>
        <w:ind w:right="77"/>
        <w:rPr>
          <w:rFonts w:ascii="Arial" w:hAnsi="Arial" w:cs="Arial"/>
          <w:b/>
          <w:bCs/>
          <w:sz w:val="20"/>
          <w:szCs w:val="20"/>
          <w:highlight w:val="yellow"/>
        </w:rPr>
      </w:pPr>
    </w:p>
    <w:p w:rsidR="00B834FD" w:rsidRPr="003D6D66" w:rsidRDefault="00F22BF1" w:rsidP="006F6EBA">
      <w:pPr>
        <w:pStyle w:val="NormalWeb"/>
        <w:spacing w:before="0" w:beforeAutospacing="0" w:after="0" w:afterAutospacing="0" w:line="360" w:lineRule="auto"/>
        <w:ind w:right="77"/>
        <w:jc w:val="center"/>
        <w:rPr>
          <w:rFonts w:ascii="Arial" w:hAnsi="Arial" w:cs="Arial"/>
          <w:b/>
          <w:bCs/>
          <w:sz w:val="20"/>
          <w:szCs w:val="20"/>
          <w:highlight w:val="yellow"/>
        </w:rPr>
      </w:pPr>
      <w:r w:rsidRPr="00930C26">
        <w:rPr>
          <w:rFonts w:ascii="Arial" w:hAnsi="Arial" w:cs="Arial"/>
          <w:b/>
          <w:bCs/>
          <w:sz w:val="20"/>
          <w:szCs w:val="20"/>
        </w:rPr>
        <w:t>Net ihracatta</w:t>
      </w:r>
      <w:r w:rsidR="00930C26" w:rsidRPr="00930C26">
        <w:rPr>
          <w:rFonts w:ascii="Arial" w:hAnsi="Arial" w:cs="Arial"/>
          <w:b/>
          <w:bCs/>
          <w:sz w:val="20"/>
          <w:szCs w:val="20"/>
        </w:rPr>
        <w:t>n büyümeye negatif</w:t>
      </w:r>
      <w:r w:rsidR="000C57E2" w:rsidRPr="00930C26">
        <w:rPr>
          <w:rFonts w:ascii="Arial" w:hAnsi="Arial" w:cs="Arial"/>
          <w:b/>
          <w:bCs/>
          <w:sz w:val="20"/>
          <w:szCs w:val="20"/>
        </w:rPr>
        <w:t xml:space="preserve"> katkı</w:t>
      </w:r>
    </w:p>
    <w:p w:rsidR="007C6AE5" w:rsidRPr="003D6D66" w:rsidRDefault="007C6AE5" w:rsidP="00FA1EEF">
      <w:pPr>
        <w:pStyle w:val="NormalWeb"/>
        <w:spacing w:before="0" w:beforeAutospacing="0" w:after="0" w:afterAutospacing="0" w:line="360" w:lineRule="auto"/>
        <w:ind w:right="77"/>
        <w:jc w:val="both"/>
        <w:rPr>
          <w:rFonts w:ascii="Arial" w:hAnsi="Arial" w:cs="Arial"/>
          <w:b/>
          <w:bCs/>
          <w:sz w:val="20"/>
          <w:szCs w:val="20"/>
          <w:highlight w:val="yellow"/>
        </w:rPr>
      </w:pPr>
    </w:p>
    <w:p w:rsidR="0086402F" w:rsidRPr="00032B1D" w:rsidRDefault="003435D7" w:rsidP="00592952">
      <w:pPr>
        <w:pStyle w:val="NormalWeb"/>
        <w:spacing w:before="0" w:beforeAutospacing="0" w:after="0" w:afterAutospacing="0" w:line="360" w:lineRule="auto"/>
        <w:ind w:right="77"/>
        <w:jc w:val="both"/>
        <w:rPr>
          <w:rFonts w:ascii="Arial" w:hAnsi="Arial" w:cs="Arial"/>
          <w:bCs/>
          <w:sz w:val="20"/>
          <w:szCs w:val="20"/>
          <w:highlight w:val="yellow"/>
        </w:rPr>
      </w:pPr>
      <w:r>
        <w:rPr>
          <w:rFonts w:ascii="Arial" w:hAnsi="Arial" w:cs="Arial"/>
          <w:bCs/>
          <w:sz w:val="20"/>
          <w:szCs w:val="20"/>
        </w:rPr>
        <w:t xml:space="preserve">2015’in son çeyreğinde azalan ihracat ile artan ithalat </w:t>
      </w:r>
      <w:r w:rsidR="000C57E2" w:rsidRPr="00032B1D">
        <w:rPr>
          <w:rFonts w:ascii="Arial" w:hAnsi="Arial" w:cs="Arial"/>
          <w:bCs/>
          <w:sz w:val="20"/>
          <w:szCs w:val="20"/>
        </w:rPr>
        <w:t>net ihracat</w:t>
      </w:r>
      <w:r>
        <w:rPr>
          <w:rFonts w:ascii="Arial" w:hAnsi="Arial" w:cs="Arial"/>
          <w:bCs/>
          <w:sz w:val="20"/>
          <w:szCs w:val="20"/>
        </w:rPr>
        <w:t>ın</w:t>
      </w:r>
      <w:r w:rsidR="000C57E2" w:rsidRPr="00032B1D">
        <w:rPr>
          <w:rFonts w:ascii="Arial" w:hAnsi="Arial" w:cs="Arial"/>
          <w:bCs/>
          <w:sz w:val="20"/>
          <w:szCs w:val="20"/>
        </w:rPr>
        <w:t xml:space="preserve"> </w:t>
      </w:r>
      <w:r>
        <w:rPr>
          <w:rFonts w:ascii="Arial" w:hAnsi="Arial" w:cs="Arial"/>
          <w:bCs/>
          <w:sz w:val="20"/>
          <w:szCs w:val="20"/>
        </w:rPr>
        <w:t>GSYH değişimine büyük çapta</w:t>
      </w:r>
      <w:r w:rsidR="000C57E2" w:rsidRPr="00032B1D">
        <w:rPr>
          <w:rFonts w:ascii="Arial" w:hAnsi="Arial" w:cs="Arial"/>
          <w:bCs/>
          <w:sz w:val="20"/>
          <w:szCs w:val="20"/>
        </w:rPr>
        <w:t xml:space="preserve"> negatif katkı </w:t>
      </w:r>
      <w:r>
        <w:rPr>
          <w:rFonts w:ascii="Arial" w:hAnsi="Arial" w:cs="Arial"/>
          <w:bCs/>
          <w:sz w:val="20"/>
          <w:szCs w:val="20"/>
        </w:rPr>
        <w:t xml:space="preserve">(-2 puan) (Tablo 1) </w:t>
      </w:r>
      <w:r w:rsidR="000C57E2" w:rsidRPr="00032B1D">
        <w:rPr>
          <w:rFonts w:ascii="Arial" w:hAnsi="Arial" w:cs="Arial"/>
          <w:bCs/>
          <w:sz w:val="20"/>
          <w:szCs w:val="20"/>
        </w:rPr>
        <w:t>yapm</w:t>
      </w:r>
      <w:r>
        <w:rPr>
          <w:rFonts w:ascii="Arial" w:hAnsi="Arial" w:cs="Arial"/>
          <w:bCs/>
          <w:sz w:val="20"/>
          <w:szCs w:val="20"/>
        </w:rPr>
        <w:t>asına neden olmuştu</w:t>
      </w:r>
      <w:r w:rsidR="000C57E2" w:rsidRPr="00032B1D">
        <w:rPr>
          <w:rFonts w:ascii="Arial" w:hAnsi="Arial" w:cs="Arial"/>
          <w:bCs/>
          <w:sz w:val="20"/>
          <w:szCs w:val="20"/>
        </w:rPr>
        <w:t xml:space="preserve">. </w:t>
      </w:r>
      <w:r w:rsidR="0093777C">
        <w:rPr>
          <w:rFonts w:ascii="Arial" w:hAnsi="Arial" w:cs="Arial"/>
          <w:bCs/>
          <w:sz w:val="20"/>
          <w:szCs w:val="20"/>
        </w:rPr>
        <w:t xml:space="preserve">Bu yılın ilk çeyreğinde beklendiği gibi net </w:t>
      </w:r>
      <w:r w:rsidR="0093777C">
        <w:rPr>
          <w:rFonts w:ascii="Arial" w:hAnsi="Arial" w:cs="Arial"/>
          <w:bCs/>
          <w:sz w:val="20"/>
          <w:szCs w:val="20"/>
        </w:rPr>
        <w:lastRenderedPageBreak/>
        <w:t xml:space="preserve">ihracatın negatif katkısı devam etse de (-0.9 puan), ihracatın artışa geçmesi ithalat artışının da bir miktar azalması sonucu bu kalemde önemli ölçüde iyileşme gözlemleniyor.   </w:t>
      </w:r>
    </w:p>
    <w:p w:rsidR="00984090" w:rsidRPr="003D6D66" w:rsidRDefault="00984090" w:rsidP="00984090">
      <w:pPr>
        <w:pStyle w:val="NormalWeb"/>
        <w:spacing w:before="0" w:beforeAutospacing="0" w:after="0" w:afterAutospacing="0" w:line="360" w:lineRule="auto"/>
        <w:ind w:right="77"/>
        <w:jc w:val="center"/>
        <w:rPr>
          <w:rFonts w:ascii="Arial" w:hAnsi="Arial" w:cs="Arial"/>
          <w:b/>
          <w:bCs/>
          <w:sz w:val="20"/>
          <w:szCs w:val="20"/>
          <w:highlight w:val="yellow"/>
        </w:rPr>
      </w:pPr>
    </w:p>
    <w:p w:rsidR="00984090" w:rsidRDefault="00984090" w:rsidP="00984090">
      <w:pPr>
        <w:pStyle w:val="NormalWeb"/>
        <w:spacing w:before="0" w:beforeAutospacing="0" w:after="0" w:afterAutospacing="0" w:line="360" w:lineRule="auto"/>
        <w:ind w:right="77"/>
        <w:jc w:val="center"/>
        <w:rPr>
          <w:rFonts w:ascii="Arial" w:hAnsi="Arial" w:cs="Arial"/>
          <w:b/>
          <w:bCs/>
          <w:sz w:val="20"/>
          <w:szCs w:val="20"/>
        </w:rPr>
      </w:pPr>
      <w:r w:rsidRPr="00C805F7">
        <w:rPr>
          <w:rFonts w:ascii="Arial" w:hAnsi="Arial" w:cs="Arial"/>
          <w:b/>
          <w:bCs/>
          <w:sz w:val="20"/>
          <w:szCs w:val="20"/>
        </w:rPr>
        <w:t>Büyümenin geleceği</w:t>
      </w:r>
    </w:p>
    <w:p w:rsidR="001A4BCB" w:rsidRPr="00C805F7" w:rsidRDefault="001A4BCB" w:rsidP="00984090">
      <w:pPr>
        <w:pStyle w:val="NormalWeb"/>
        <w:spacing w:before="0" w:beforeAutospacing="0" w:after="0" w:afterAutospacing="0" w:line="360" w:lineRule="auto"/>
        <w:ind w:right="77"/>
        <w:jc w:val="center"/>
        <w:rPr>
          <w:rFonts w:ascii="Arial" w:hAnsi="Arial" w:cs="Arial"/>
          <w:b/>
          <w:bCs/>
          <w:sz w:val="20"/>
          <w:szCs w:val="20"/>
        </w:rPr>
      </w:pPr>
    </w:p>
    <w:p w:rsidR="00A12F3A" w:rsidRDefault="00A12F3A" w:rsidP="00AF3A00">
      <w:pPr>
        <w:pStyle w:val="NormalWeb"/>
        <w:spacing w:before="0" w:beforeAutospacing="0" w:after="0" w:afterAutospacing="0" w:line="360" w:lineRule="auto"/>
        <w:ind w:right="77"/>
        <w:jc w:val="both"/>
        <w:rPr>
          <w:rFonts w:ascii="Arial" w:hAnsi="Arial" w:cs="Arial"/>
          <w:sz w:val="20"/>
          <w:szCs w:val="20"/>
        </w:rPr>
      </w:pPr>
      <w:r w:rsidRPr="00C805F7">
        <w:rPr>
          <w:rFonts w:ascii="Arial" w:hAnsi="Arial" w:cs="Arial"/>
          <w:sz w:val="20"/>
          <w:szCs w:val="20"/>
        </w:rPr>
        <w:t>Çeyrekten çeyreğe yıllık GSYH artışının yüzde 4,8 olarak gerçekle</w:t>
      </w:r>
      <w:r w:rsidR="00876AF8">
        <w:rPr>
          <w:rFonts w:ascii="Arial" w:hAnsi="Arial" w:cs="Arial"/>
          <w:sz w:val="20"/>
          <w:szCs w:val="20"/>
        </w:rPr>
        <w:t>ş</w:t>
      </w:r>
      <w:r w:rsidRPr="00C805F7">
        <w:rPr>
          <w:rFonts w:ascii="Arial" w:hAnsi="Arial" w:cs="Arial"/>
          <w:sz w:val="20"/>
          <w:szCs w:val="20"/>
        </w:rPr>
        <w:t xml:space="preserve">mesi 2016 büyüme oranı hakkında yanıltıcı olabilir. Bu nispeten yüksek büyüme oranının son üç çeyrekte nispeten yüksek çeyreklik büyüme oranlarıdan kaynaklandığını hatırlatalım.  Nitekim çeyrekten çeyreğe büyüme oranları itibariyle yüzde 0,8’lik büyümenin 2014 3. Çeyreğinden bu yana en düşük büyüme oranı olduğunu belirtmek isteriz (Tablo 3). </w:t>
      </w:r>
    </w:p>
    <w:p w:rsidR="001A4BCB" w:rsidRPr="00C805F7" w:rsidRDefault="001A4BCB" w:rsidP="00AF3A00">
      <w:pPr>
        <w:pStyle w:val="NormalWeb"/>
        <w:spacing w:before="0" w:beforeAutospacing="0" w:after="0" w:afterAutospacing="0" w:line="360" w:lineRule="auto"/>
        <w:ind w:right="77"/>
        <w:jc w:val="both"/>
        <w:rPr>
          <w:rFonts w:ascii="Arial" w:hAnsi="Arial" w:cs="Arial"/>
          <w:sz w:val="20"/>
          <w:szCs w:val="20"/>
        </w:rPr>
      </w:pPr>
    </w:p>
    <w:p w:rsidR="00A12F3A" w:rsidRDefault="00A12F3A" w:rsidP="00AF3A00">
      <w:pPr>
        <w:pStyle w:val="NormalWeb"/>
        <w:spacing w:before="0" w:beforeAutospacing="0" w:after="0" w:afterAutospacing="0" w:line="360" w:lineRule="auto"/>
        <w:ind w:right="77"/>
        <w:jc w:val="both"/>
        <w:rPr>
          <w:rFonts w:ascii="Arial" w:hAnsi="Arial" w:cs="Arial"/>
          <w:sz w:val="20"/>
          <w:szCs w:val="20"/>
          <w:highlight w:val="yellow"/>
        </w:rPr>
      </w:pPr>
      <w:r w:rsidRPr="00C805F7">
        <w:rPr>
          <w:rFonts w:ascii="Arial" w:hAnsi="Arial" w:cs="Arial"/>
          <w:sz w:val="20"/>
          <w:szCs w:val="20"/>
        </w:rPr>
        <w:t>Yılın ikinci yarısında reel ücret artışlarının etk</w:t>
      </w:r>
      <w:r w:rsidR="001A4BCB">
        <w:rPr>
          <w:rFonts w:ascii="Arial" w:hAnsi="Arial" w:cs="Arial"/>
          <w:sz w:val="20"/>
          <w:szCs w:val="20"/>
        </w:rPr>
        <w:t>i</w:t>
      </w:r>
      <w:r w:rsidRPr="00C805F7">
        <w:rPr>
          <w:rFonts w:ascii="Arial" w:hAnsi="Arial" w:cs="Arial"/>
          <w:sz w:val="20"/>
          <w:szCs w:val="20"/>
        </w:rPr>
        <w:t xml:space="preserve">sinin durulmasıyla tüketimde canlanmanın yavaşlaması, </w:t>
      </w:r>
      <w:r w:rsidR="00C805F7" w:rsidRPr="00C805F7">
        <w:rPr>
          <w:rFonts w:ascii="Arial" w:hAnsi="Arial" w:cs="Arial"/>
          <w:sz w:val="20"/>
          <w:szCs w:val="20"/>
        </w:rPr>
        <w:t xml:space="preserve">özel </w:t>
      </w:r>
      <w:r w:rsidRPr="00C805F7">
        <w:rPr>
          <w:rFonts w:ascii="Arial" w:hAnsi="Arial" w:cs="Arial"/>
          <w:sz w:val="20"/>
          <w:szCs w:val="20"/>
        </w:rPr>
        <w:t>yatırımlar</w:t>
      </w:r>
      <w:r w:rsidR="00C805F7" w:rsidRPr="00C805F7">
        <w:rPr>
          <w:rFonts w:ascii="Arial" w:hAnsi="Arial" w:cs="Arial"/>
          <w:sz w:val="20"/>
          <w:szCs w:val="20"/>
        </w:rPr>
        <w:t xml:space="preserve">ın </w:t>
      </w:r>
      <w:r w:rsidRPr="00C805F7">
        <w:rPr>
          <w:rFonts w:ascii="Arial" w:hAnsi="Arial" w:cs="Arial"/>
          <w:sz w:val="20"/>
          <w:szCs w:val="20"/>
        </w:rPr>
        <w:t>da</w:t>
      </w:r>
      <w:r w:rsidR="00C805F7" w:rsidRPr="00C805F7">
        <w:rPr>
          <w:rFonts w:ascii="Arial" w:hAnsi="Arial" w:cs="Arial"/>
          <w:sz w:val="20"/>
          <w:szCs w:val="20"/>
        </w:rPr>
        <w:t xml:space="preserve"> </w:t>
      </w:r>
      <w:r w:rsidRPr="00C805F7">
        <w:rPr>
          <w:rFonts w:ascii="Arial" w:hAnsi="Arial" w:cs="Arial"/>
          <w:sz w:val="20"/>
          <w:szCs w:val="20"/>
        </w:rPr>
        <w:t>durgunluğun</w:t>
      </w:r>
      <w:r w:rsidR="00C805F7" w:rsidRPr="00C805F7">
        <w:rPr>
          <w:rFonts w:ascii="Arial" w:hAnsi="Arial" w:cs="Arial"/>
          <w:sz w:val="20"/>
          <w:szCs w:val="20"/>
        </w:rPr>
        <w:t xml:space="preserve"> devam etmesi durumunda 2016’da GSYH artışının yüzde 4 civarına gerilemesi muhtemeldir. Dünya Bankası, Uluslararası Para Fonu ve OECD’nin son büyüm</w:t>
      </w:r>
      <w:r w:rsidR="00876AF8">
        <w:rPr>
          <w:rFonts w:ascii="Arial" w:hAnsi="Arial" w:cs="Arial"/>
          <w:sz w:val="20"/>
          <w:szCs w:val="20"/>
        </w:rPr>
        <w:t>e</w:t>
      </w:r>
      <w:r w:rsidR="00C805F7" w:rsidRPr="00C805F7">
        <w:rPr>
          <w:rFonts w:ascii="Arial" w:hAnsi="Arial" w:cs="Arial"/>
          <w:sz w:val="20"/>
          <w:szCs w:val="20"/>
        </w:rPr>
        <w:t xml:space="preserve"> tahminlerinin yüzde 3,5 ile 3,9 arasında yer aldığını hatırlatalım.</w:t>
      </w:r>
      <w:r w:rsidR="00C805F7">
        <w:rPr>
          <w:rFonts w:ascii="Arial" w:hAnsi="Arial" w:cs="Arial"/>
          <w:sz w:val="20"/>
          <w:szCs w:val="20"/>
          <w:highlight w:val="yellow"/>
        </w:rPr>
        <w:t xml:space="preserve">   </w:t>
      </w:r>
    </w:p>
    <w:p w:rsidR="00A12F3A" w:rsidRDefault="00A12F3A" w:rsidP="00AF3A00">
      <w:pPr>
        <w:pStyle w:val="NormalWeb"/>
        <w:spacing w:before="0" w:beforeAutospacing="0" w:after="0" w:afterAutospacing="0" w:line="360" w:lineRule="auto"/>
        <w:ind w:right="77"/>
        <w:jc w:val="both"/>
        <w:rPr>
          <w:rFonts w:ascii="Arial" w:hAnsi="Arial" w:cs="Arial"/>
          <w:sz w:val="20"/>
          <w:szCs w:val="20"/>
          <w:highlight w:val="yellow"/>
        </w:rPr>
      </w:pPr>
    </w:p>
    <w:p w:rsidR="00B834FD" w:rsidRDefault="00B834FD" w:rsidP="00572866">
      <w:pPr>
        <w:spacing w:line="288" w:lineRule="auto"/>
        <w:ind w:right="77"/>
        <w:jc w:val="both"/>
        <w:rPr>
          <w:rFonts w:ascii="Arial" w:hAnsi="Arial" w:cs="Arial"/>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3047E8" w:rsidRDefault="003047E8"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FC232E" w:rsidRDefault="00FC232E" w:rsidP="00572866">
      <w:pPr>
        <w:spacing w:line="288" w:lineRule="auto"/>
        <w:ind w:right="77"/>
        <w:jc w:val="both"/>
        <w:rPr>
          <w:rFonts w:ascii="Arial" w:hAnsi="Arial" w:cs="Arial"/>
          <w:b/>
          <w:bCs/>
          <w:sz w:val="20"/>
          <w:szCs w:val="20"/>
        </w:rPr>
      </w:pPr>
    </w:p>
    <w:p w:rsidR="00FC232E" w:rsidRDefault="00FC232E" w:rsidP="00572866">
      <w:pPr>
        <w:spacing w:line="288" w:lineRule="auto"/>
        <w:ind w:right="77"/>
        <w:jc w:val="both"/>
        <w:rPr>
          <w:rFonts w:ascii="Arial" w:hAnsi="Arial" w:cs="Arial"/>
          <w:b/>
          <w:bCs/>
          <w:sz w:val="20"/>
          <w:szCs w:val="20"/>
        </w:rPr>
      </w:pPr>
    </w:p>
    <w:p w:rsidR="00FC232E" w:rsidRDefault="00FC232E" w:rsidP="00572866">
      <w:pPr>
        <w:spacing w:line="288" w:lineRule="auto"/>
        <w:ind w:right="77"/>
        <w:jc w:val="both"/>
        <w:rPr>
          <w:rFonts w:ascii="Arial" w:hAnsi="Arial" w:cs="Arial"/>
          <w:b/>
          <w:bCs/>
          <w:sz w:val="20"/>
          <w:szCs w:val="20"/>
        </w:rPr>
      </w:pPr>
    </w:p>
    <w:p w:rsidR="00FC232E" w:rsidRDefault="00FC232E" w:rsidP="00572866">
      <w:pPr>
        <w:spacing w:line="288" w:lineRule="auto"/>
        <w:ind w:right="77"/>
        <w:jc w:val="both"/>
        <w:rPr>
          <w:rFonts w:ascii="Arial" w:hAnsi="Arial" w:cs="Arial"/>
          <w:b/>
          <w:bCs/>
          <w:sz w:val="20"/>
          <w:szCs w:val="20"/>
        </w:rPr>
      </w:pPr>
    </w:p>
    <w:p w:rsidR="003D7ECF" w:rsidRDefault="003D7EC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057C0F" w:rsidRDefault="00057C0F" w:rsidP="00572866">
      <w:pPr>
        <w:spacing w:line="288" w:lineRule="auto"/>
        <w:ind w:right="77"/>
        <w:jc w:val="both"/>
        <w:rPr>
          <w:rFonts w:ascii="Arial" w:hAnsi="Arial" w:cs="Arial"/>
          <w:b/>
          <w:bCs/>
          <w:sz w:val="20"/>
          <w:szCs w:val="20"/>
        </w:rPr>
      </w:pPr>
    </w:p>
    <w:p w:rsidR="00B834FD" w:rsidRPr="00712EDE" w:rsidRDefault="00B834FD" w:rsidP="00572866">
      <w:pPr>
        <w:spacing w:line="288" w:lineRule="auto"/>
        <w:ind w:right="77"/>
        <w:jc w:val="both"/>
        <w:rPr>
          <w:rFonts w:ascii="Arial" w:hAnsi="Arial" w:cs="Arial"/>
          <w:b/>
          <w:bCs/>
          <w:sz w:val="20"/>
          <w:szCs w:val="20"/>
        </w:rPr>
      </w:pPr>
      <w:r w:rsidRPr="00712EDE">
        <w:rPr>
          <w:rFonts w:ascii="Arial" w:hAnsi="Arial" w:cs="Arial"/>
          <w:b/>
          <w:bCs/>
          <w:sz w:val="20"/>
          <w:szCs w:val="20"/>
        </w:rPr>
        <w:t>Ş</w:t>
      </w:r>
      <w:r>
        <w:rPr>
          <w:rFonts w:ascii="Arial" w:hAnsi="Arial" w:cs="Arial"/>
          <w:b/>
          <w:bCs/>
          <w:sz w:val="20"/>
          <w:szCs w:val="20"/>
        </w:rPr>
        <w:t>ekil 3</w:t>
      </w:r>
      <w:r w:rsidRPr="00712EDE">
        <w:rPr>
          <w:rFonts w:ascii="Arial" w:hAnsi="Arial" w:cs="Arial"/>
          <w:b/>
          <w:bCs/>
          <w:sz w:val="20"/>
          <w:szCs w:val="20"/>
        </w:rPr>
        <w:t>:</w:t>
      </w:r>
      <w:r>
        <w:rPr>
          <w:rFonts w:ascii="Arial" w:hAnsi="Arial" w:cs="Arial"/>
          <w:b/>
          <w:bCs/>
          <w:sz w:val="20"/>
          <w:szCs w:val="20"/>
        </w:rPr>
        <w:t xml:space="preserve"> </w:t>
      </w:r>
      <w:r w:rsidRPr="00712EDE">
        <w:rPr>
          <w:rFonts w:ascii="Arial" w:hAnsi="Arial" w:cs="Arial"/>
          <w:b/>
          <w:bCs/>
          <w:sz w:val="20"/>
          <w:szCs w:val="20"/>
        </w:rPr>
        <w:t>GSYH</w:t>
      </w:r>
      <w:r>
        <w:rPr>
          <w:rFonts w:ascii="Arial" w:hAnsi="Arial" w:cs="Arial"/>
          <w:b/>
          <w:bCs/>
          <w:sz w:val="20"/>
          <w:szCs w:val="20"/>
        </w:rPr>
        <w:t xml:space="preserve">, </w:t>
      </w:r>
      <w:r w:rsidRPr="00712EDE">
        <w:rPr>
          <w:rFonts w:ascii="Arial" w:hAnsi="Arial" w:cs="Arial"/>
          <w:b/>
          <w:bCs/>
          <w:sz w:val="20"/>
          <w:szCs w:val="20"/>
        </w:rPr>
        <w:t>Önceki çeyreğe göre büyüme</w:t>
      </w:r>
    </w:p>
    <w:p w:rsidR="00C23712" w:rsidRPr="009757A8" w:rsidRDefault="001A4D86" w:rsidP="000252CE">
      <w:pPr>
        <w:pStyle w:val="NormalWeb"/>
        <w:spacing w:before="0" w:beforeAutospacing="0" w:after="0" w:afterAutospacing="0"/>
        <w:jc w:val="both"/>
      </w:pPr>
      <w:r w:rsidRPr="001A4D86">
        <w:rPr>
          <w:noProof/>
        </w:rPr>
        <w:drawing>
          <wp:inline distT="0" distB="0" distL="0" distR="0">
            <wp:extent cx="3020695" cy="2833620"/>
            <wp:effectExtent l="19050" t="0" r="82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20695" cy="2833620"/>
                    </a:xfrm>
                    <a:prstGeom prst="rect">
                      <a:avLst/>
                    </a:prstGeom>
                    <a:noFill/>
                    <a:ln w="9525">
                      <a:noFill/>
                      <a:miter lim="800000"/>
                      <a:headEnd/>
                      <a:tailEnd/>
                    </a:ln>
                  </pic:spPr>
                </pic:pic>
              </a:graphicData>
            </a:graphic>
          </wp:inline>
        </w:drawing>
      </w:r>
    </w:p>
    <w:p w:rsidR="00C23712" w:rsidRDefault="00CB6FAC" w:rsidP="000252CE">
      <w:pPr>
        <w:pStyle w:val="NormalWeb"/>
        <w:spacing w:before="0" w:beforeAutospacing="0" w:after="0" w:afterAutospacing="0"/>
        <w:jc w:val="both"/>
        <w:rPr>
          <w:rFonts w:ascii="Arial" w:hAnsi="Arial" w:cs="Arial"/>
          <w:sz w:val="16"/>
          <w:szCs w:val="16"/>
        </w:rPr>
      </w:pPr>
      <w:r>
        <w:rPr>
          <w:rFonts w:ascii="Arial" w:hAnsi="Arial" w:cs="Arial"/>
          <w:sz w:val="16"/>
          <w:szCs w:val="16"/>
        </w:rPr>
        <w:t>Kaynak</w:t>
      </w:r>
      <w:r w:rsidR="00B834FD" w:rsidRPr="00660DE2">
        <w:rPr>
          <w:rFonts w:ascii="Arial" w:hAnsi="Arial" w:cs="Arial"/>
          <w:sz w:val="16"/>
          <w:szCs w:val="16"/>
        </w:rPr>
        <w:t>: TÜİK.</w:t>
      </w:r>
    </w:p>
    <w:p w:rsidR="00DA2051" w:rsidRDefault="00DA2051" w:rsidP="00535631">
      <w:pPr>
        <w:pStyle w:val="NormalWeb"/>
        <w:spacing w:before="0" w:beforeAutospacing="0" w:after="0" w:afterAutospacing="0"/>
        <w:ind w:right="77"/>
        <w:jc w:val="both"/>
        <w:rPr>
          <w:b/>
          <w:bCs/>
          <w:sz w:val="22"/>
          <w:szCs w:val="22"/>
        </w:rPr>
      </w:pPr>
    </w:p>
    <w:p w:rsidR="00DA2051" w:rsidRDefault="00DA2051" w:rsidP="00535631">
      <w:pPr>
        <w:pStyle w:val="NormalWeb"/>
        <w:spacing w:before="0" w:beforeAutospacing="0" w:after="0" w:afterAutospacing="0"/>
        <w:ind w:right="77"/>
        <w:jc w:val="both"/>
        <w:rPr>
          <w:b/>
          <w:bCs/>
          <w:sz w:val="22"/>
          <w:szCs w:val="22"/>
        </w:rPr>
      </w:pPr>
    </w:p>
    <w:p w:rsidR="00DA2051" w:rsidRDefault="00DA2051" w:rsidP="00535631">
      <w:pPr>
        <w:pStyle w:val="NormalWeb"/>
        <w:spacing w:before="0" w:beforeAutospacing="0" w:after="0" w:afterAutospacing="0"/>
        <w:ind w:right="77"/>
        <w:jc w:val="both"/>
        <w:rPr>
          <w:b/>
          <w:bCs/>
          <w:sz w:val="22"/>
          <w:szCs w:val="22"/>
        </w:rPr>
      </w:pPr>
    </w:p>
    <w:p w:rsidR="00535631" w:rsidRDefault="00535631" w:rsidP="00535631">
      <w:pPr>
        <w:pStyle w:val="NormalWeb"/>
        <w:spacing w:before="0" w:beforeAutospacing="0" w:after="0" w:afterAutospacing="0"/>
        <w:ind w:right="77"/>
        <w:jc w:val="both"/>
        <w:rPr>
          <w:b/>
          <w:bCs/>
          <w:sz w:val="22"/>
          <w:szCs w:val="22"/>
        </w:rPr>
      </w:pPr>
      <w:r>
        <w:rPr>
          <w:b/>
          <w:bCs/>
          <w:sz w:val="22"/>
          <w:szCs w:val="22"/>
        </w:rPr>
        <w:t xml:space="preserve">Tablo 1. 2015 </w:t>
      </w:r>
      <w:r w:rsidR="003D6D66">
        <w:rPr>
          <w:b/>
          <w:bCs/>
          <w:sz w:val="22"/>
          <w:szCs w:val="22"/>
        </w:rPr>
        <w:t>4. çeyrekte ve 2016</w:t>
      </w:r>
      <w:r>
        <w:rPr>
          <w:b/>
          <w:bCs/>
          <w:sz w:val="22"/>
          <w:szCs w:val="22"/>
        </w:rPr>
        <w:t xml:space="preserve"> </w:t>
      </w:r>
      <w:r w:rsidR="003D6D66">
        <w:rPr>
          <w:b/>
          <w:bCs/>
          <w:sz w:val="22"/>
          <w:szCs w:val="22"/>
        </w:rPr>
        <w:t>1</w:t>
      </w:r>
      <w:r>
        <w:rPr>
          <w:b/>
          <w:bCs/>
          <w:sz w:val="22"/>
          <w:szCs w:val="22"/>
        </w:rPr>
        <w:t>. çeyrekte GSYH alt</w:t>
      </w:r>
      <w:r w:rsidR="004E0453">
        <w:rPr>
          <w:b/>
          <w:bCs/>
          <w:sz w:val="22"/>
          <w:szCs w:val="22"/>
        </w:rPr>
        <w:t xml:space="preserve"> </w:t>
      </w:r>
      <w:r>
        <w:rPr>
          <w:b/>
          <w:bCs/>
          <w:sz w:val="22"/>
          <w:szCs w:val="22"/>
        </w:rPr>
        <w:t xml:space="preserve">kalemlerinin, </w:t>
      </w:r>
      <w:r w:rsidRPr="00002CEE">
        <w:rPr>
          <w:b/>
          <w:bCs/>
          <w:sz w:val="22"/>
          <w:szCs w:val="22"/>
          <w:u w:val="single"/>
        </w:rPr>
        <w:t>bir önceki çeyreğe</w:t>
      </w:r>
      <w:r>
        <w:rPr>
          <w:b/>
          <w:bCs/>
          <w:sz w:val="22"/>
          <w:szCs w:val="22"/>
        </w:rPr>
        <w:t xml:space="preserve"> göre değişimleri ve büyümeye katkıları</w:t>
      </w:r>
    </w:p>
    <w:p w:rsidR="00DA2051" w:rsidRDefault="00DA2051" w:rsidP="00535631">
      <w:pPr>
        <w:pStyle w:val="NormalWeb"/>
        <w:spacing w:before="0" w:beforeAutospacing="0" w:after="0" w:afterAutospacing="0"/>
        <w:ind w:right="77"/>
        <w:jc w:val="both"/>
        <w:rPr>
          <w:b/>
          <w:bCs/>
          <w:sz w:val="22"/>
          <w:szCs w:val="22"/>
        </w:rPr>
      </w:pPr>
    </w:p>
    <w:tbl>
      <w:tblPr>
        <w:tblW w:w="4680" w:type="dxa"/>
        <w:tblInd w:w="70" w:type="dxa"/>
        <w:tblLayout w:type="fixed"/>
        <w:tblCellMar>
          <w:left w:w="70" w:type="dxa"/>
          <w:right w:w="70" w:type="dxa"/>
        </w:tblCellMar>
        <w:tblLook w:val="0000" w:firstRow="0" w:lastRow="0" w:firstColumn="0" w:lastColumn="0" w:noHBand="0" w:noVBand="0"/>
      </w:tblPr>
      <w:tblGrid>
        <w:gridCol w:w="1980"/>
        <w:gridCol w:w="1350"/>
        <w:gridCol w:w="1350"/>
      </w:tblGrid>
      <w:tr w:rsidR="00535631" w:rsidRPr="001A4D86" w:rsidTr="00ED0B13">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535631" w:rsidRPr="001A4D86" w:rsidRDefault="00535631" w:rsidP="003D6D66">
            <w:pPr>
              <w:rPr>
                <w:rFonts w:ascii="Arial TUR" w:hAnsi="Arial TUR" w:cs="Arial TUR"/>
                <w:b/>
                <w:bCs/>
                <w:sz w:val="20"/>
                <w:szCs w:val="20"/>
              </w:rPr>
            </w:pPr>
            <w:r w:rsidRPr="001A4D86">
              <w:rPr>
                <w:rFonts w:ascii="Arial TUR" w:hAnsi="Arial TUR" w:cs="Arial TUR"/>
                <w:b/>
                <w:bCs/>
                <w:sz w:val="20"/>
                <w:szCs w:val="20"/>
              </w:rPr>
              <w:t>201</w:t>
            </w:r>
            <w:r w:rsidR="003D6D66" w:rsidRPr="001A4D86">
              <w:rPr>
                <w:rFonts w:ascii="Arial TUR" w:hAnsi="Arial TUR" w:cs="Arial TUR"/>
                <w:b/>
                <w:bCs/>
                <w:sz w:val="20"/>
                <w:szCs w:val="20"/>
              </w:rPr>
              <w:t>6</w:t>
            </w:r>
            <w:r w:rsidRPr="001A4D86">
              <w:rPr>
                <w:rFonts w:ascii="Arial TUR" w:hAnsi="Arial TUR" w:cs="Arial TUR"/>
                <w:b/>
                <w:bCs/>
                <w:sz w:val="20"/>
                <w:szCs w:val="20"/>
              </w:rPr>
              <w:t xml:space="preserve"> – </w:t>
            </w:r>
            <w:r w:rsidR="003D6D66" w:rsidRPr="001A4D86">
              <w:rPr>
                <w:rFonts w:ascii="Arial TUR" w:hAnsi="Arial TUR" w:cs="Arial TUR"/>
                <w:b/>
                <w:bCs/>
                <w:sz w:val="20"/>
                <w:szCs w:val="20"/>
              </w:rPr>
              <w:t>1</w:t>
            </w:r>
            <w:r w:rsidRPr="001A4D86">
              <w:rPr>
                <w:rFonts w:ascii="Arial TUR" w:hAnsi="Arial TUR" w:cs="Arial TUR"/>
                <w:b/>
                <w:bCs/>
                <w:sz w:val="20"/>
                <w:szCs w:val="20"/>
              </w:rPr>
              <w:t>. Ç</w:t>
            </w:r>
          </w:p>
        </w:tc>
        <w:tc>
          <w:tcPr>
            <w:tcW w:w="1350" w:type="dxa"/>
            <w:tcBorders>
              <w:top w:val="single" w:sz="4" w:space="0" w:color="auto"/>
              <w:left w:val="nil"/>
              <w:bottom w:val="single" w:sz="4" w:space="0" w:color="auto"/>
              <w:right w:val="single" w:sz="4" w:space="0" w:color="auto"/>
            </w:tcBorders>
            <w:noWrap/>
            <w:vAlign w:val="bottom"/>
          </w:tcPr>
          <w:p w:rsidR="00535631" w:rsidRPr="001A4D86" w:rsidRDefault="00B523D2" w:rsidP="00ED0B13">
            <w:pPr>
              <w:jc w:val="center"/>
              <w:rPr>
                <w:rFonts w:ascii="Arial TUR" w:hAnsi="Arial TUR" w:cs="Arial TUR"/>
                <w:b/>
                <w:bCs/>
                <w:sz w:val="20"/>
                <w:szCs w:val="20"/>
              </w:rPr>
            </w:pPr>
            <w:r w:rsidRPr="001A4D86">
              <w:rPr>
                <w:rFonts w:ascii="Arial TUR" w:hAnsi="Arial TUR" w:cs="Arial TUR"/>
                <w:b/>
                <w:bCs/>
                <w:sz w:val="20"/>
                <w:szCs w:val="20"/>
              </w:rPr>
              <w:t>Değişim</w:t>
            </w:r>
            <w:r w:rsidR="00633032" w:rsidRPr="001A4D86">
              <w:rPr>
                <w:rFonts w:ascii="Arial TUR" w:hAnsi="Arial TUR" w:cs="Arial TUR"/>
                <w:b/>
                <w:bCs/>
                <w:sz w:val="20"/>
                <w:szCs w:val="20"/>
              </w:rPr>
              <w:t xml:space="preserve"> (%)</w:t>
            </w:r>
          </w:p>
        </w:tc>
        <w:tc>
          <w:tcPr>
            <w:tcW w:w="1350" w:type="dxa"/>
            <w:tcBorders>
              <w:top w:val="single" w:sz="4" w:space="0" w:color="auto"/>
              <w:left w:val="nil"/>
              <w:bottom w:val="single" w:sz="4" w:space="0" w:color="auto"/>
              <w:right w:val="single" w:sz="4" w:space="0" w:color="auto"/>
            </w:tcBorders>
            <w:noWrap/>
            <w:vAlign w:val="bottom"/>
          </w:tcPr>
          <w:p w:rsidR="00535631" w:rsidRPr="001A4D86" w:rsidRDefault="00535631" w:rsidP="00ED0B13">
            <w:pPr>
              <w:jc w:val="center"/>
              <w:rPr>
                <w:rFonts w:ascii="Arial TUR" w:hAnsi="Arial TUR" w:cs="Arial TUR"/>
                <w:b/>
                <w:bCs/>
                <w:sz w:val="20"/>
                <w:szCs w:val="20"/>
              </w:rPr>
            </w:pPr>
            <w:r w:rsidRPr="001A4D86">
              <w:rPr>
                <w:rFonts w:ascii="Arial TUR" w:hAnsi="Arial TUR" w:cs="Arial TUR"/>
                <w:b/>
                <w:bCs/>
                <w:sz w:val="20"/>
                <w:szCs w:val="20"/>
              </w:rPr>
              <w:t>Katkılar</w:t>
            </w:r>
            <w:r w:rsidR="00633032" w:rsidRPr="001A4D86">
              <w:rPr>
                <w:rFonts w:ascii="Arial TUR" w:hAnsi="Arial TUR" w:cs="Arial TUR"/>
                <w:b/>
                <w:bCs/>
                <w:sz w:val="20"/>
                <w:szCs w:val="20"/>
              </w:rPr>
              <w:t xml:space="preserve"> (%)</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1A4D86" w:rsidRPr="001A4D86" w:rsidRDefault="001A4D86" w:rsidP="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6</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1</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9</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4</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3</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1A4D86" w:rsidRPr="001A4D86" w:rsidRDefault="001A4D86">
            <w:pPr>
              <w:rPr>
                <w:rFonts w:ascii="Arial" w:hAnsi="Arial" w:cs="Arial"/>
                <w:sz w:val="20"/>
                <w:szCs w:val="20"/>
              </w:rPr>
            </w:pPr>
            <w:r w:rsidRPr="001A4D86">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6</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2</w:t>
            </w:r>
            <w:r>
              <w:rPr>
                <w:rFonts w:ascii="Arial" w:hAnsi="Arial" w:cs="Arial"/>
                <w:sz w:val="20"/>
                <w:szCs w:val="20"/>
              </w:rPr>
              <w:t>,</w:t>
            </w:r>
            <w:r w:rsidRPr="001A4D86">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7</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5</w:t>
            </w:r>
            <w:r>
              <w:rPr>
                <w:rFonts w:ascii="Arial" w:hAnsi="Arial" w:cs="Arial"/>
                <w:sz w:val="20"/>
                <w:szCs w:val="20"/>
              </w:rPr>
              <w:t>,</w:t>
            </w:r>
            <w:r w:rsidRPr="001A4D86">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6</w:t>
            </w:r>
          </w:p>
        </w:tc>
      </w:tr>
      <w:tr w:rsidR="00535631"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1A4D86" w:rsidRDefault="00535631" w:rsidP="00ED0B13">
            <w:pPr>
              <w:rPr>
                <w:rFonts w:ascii="Arial" w:hAnsi="Arial" w:cs="Arial"/>
                <w:sz w:val="20"/>
                <w:szCs w:val="20"/>
              </w:rPr>
            </w:pPr>
            <w:r w:rsidRPr="001A4D86">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Pr="001A4D86" w:rsidRDefault="00535631" w:rsidP="00ED0B13">
            <w:pPr>
              <w:rPr>
                <w:rFonts w:ascii="Arial" w:hAnsi="Arial" w:cs="Arial"/>
                <w:sz w:val="20"/>
                <w:szCs w:val="20"/>
              </w:rPr>
            </w:pPr>
            <w:r w:rsidRPr="001A4D86">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535631" w:rsidRPr="001A4D86" w:rsidRDefault="00535631" w:rsidP="00ED0B13">
            <w:pPr>
              <w:rPr>
                <w:rFonts w:ascii="Arial" w:hAnsi="Arial" w:cs="Arial"/>
                <w:sz w:val="20"/>
                <w:szCs w:val="20"/>
              </w:rPr>
            </w:pPr>
            <w:r w:rsidRPr="001A4D86">
              <w:rPr>
                <w:rFonts w:ascii="Arial" w:hAnsi="Arial" w:cs="Arial"/>
                <w:sz w:val="20"/>
                <w:szCs w:val="20"/>
              </w:rPr>
              <w:t> </w:t>
            </w:r>
          </w:p>
        </w:tc>
      </w:tr>
      <w:tr w:rsidR="00535631"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1A4D86" w:rsidRDefault="00535631" w:rsidP="00DA2051">
            <w:pPr>
              <w:rPr>
                <w:rFonts w:ascii="Arial TUR" w:hAnsi="Arial TUR" w:cs="Arial TUR"/>
                <w:b/>
                <w:bCs/>
                <w:sz w:val="20"/>
                <w:szCs w:val="20"/>
              </w:rPr>
            </w:pPr>
            <w:r w:rsidRPr="001A4D86">
              <w:rPr>
                <w:rFonts w:ascii="Arial TUR" w:hAnsi="Arial TUR" w:cs="Arial TUR"/>
                <w:b/>
                <w:bCs/>
                <w:sz w:val="20"/>
                <w:szCs w:val="20"/>
              </w:rPr>
              <w:t xml:space="preserve">2015 – </w:t>
            </w:r>
            <w:r w:rsidR="003D6D66" w:rsidRPr="001A4D86">
              <w:rPr>
                <w:rFonts w:ascii="Arial TUR" w:hAnsi="Arial TUR" w:cs="Arial TUR"/>
                <w:b/>
                <w:bCs/>
                <w:sz w:val="20"/>
                <w:szCs w:val="20"/>
              </w:rPr>
              <w:t>4</w:t>
            </w:r>
            <w:r w:rsidRPr="001A4D86">
              <w:rPr>
                <w:rFonts w:ascii="Arial TUR" w:hAnsi="Arial TUR" w:cs="Arial TUR"/>
                <w:b/>
                <w:bCs/>
                <w:sz w:val="20"/>
                <w:szCs w:val="20"/>
              </w:rPr>
              <w:t>. Ç</w:t>
            </w:r>
          </w:p>
        </w:tc>
        <w:tc>
          <w:tcPr>
            <w:tcW w:w="1350" w:type="dxa"/>
            <w:tcBorders>
              <w:top w:val="nil"/>
              <w:left w:val="nil"/>
              <w:bottom w:val="single" w:sz="4" w:space="0" w:color="auto"/>
              <w:right w:val="single" w:sz="4" w:space="0" w:color="auto"/>
            </w:tcBorders>
            <w:noWrap/>
            <w:vAlign w:val="bottom"/>
          </w:tcPr>
          <w:p w:rsidR="00535631" w:rsidRPr="001A4D86" w:rsidRDefault="00B523D2" w:rsidP="00ED0B13">
            <w:pPr>
              <w:jc w:val="center"/>
              <w:rPr>
                <w:rFonts w:ascii="Arial TUR" w:hAnsi="Arial TUR" w:cs="Arial TUR"/>
                <w:b/>
                <w:bCs/>
                <w:sz w:val="20"/>
                <w:szCs w:val="20"/>
              </w:rPr>
            </w:pPr>
            <w:r w:rsidRPr="001A4D86">
              <w:rPr>
                <w:rFonts w:ascii="Arial TUR" w:hAnsi="Arial TUR" w:cs="Arial TUR"/>
                <w:b/>
                <w:bCs/>
                <w:sz w:val="20"/>
                <w:szCs w:val="20"/>
              </w:rPr>
              <w:t>Değişim</w:t>
            </w:r>
            <w:r w:rsidR="00C65F21" w:rsidRPr="001A4D86">
              <w:rPr>
                <w:rFonts w:ascii="Arial TUR" w:hAnsi="Arial TUR" w:cs="Arial TUR"/>
                <w:b/>
                <w:bCs/>
                <w:sz w:val="20"/>
                <w:szCs w:val="20"/>
              </w:rPr>
              <w:t xml:space="preserve"> (%)</w:t>
            </w:r>
          </w:p>
        </w:tc>
        <w:tc>
          <w:tcPr>
            <w:tcW w:w="1350" w:type="dxa"/>
            <w:tcBorders>
              <w:top w:val="nil"/>
              <w:left w:val="nil"/>
              <w:bottom w:val="single" w:sz="4" w:space="0" w:color="auto"/>
              <w:right w:val="single" w:sz="4" w:space="0" w:color="auto"/>
            </w:tcBorders>
            <w:noWrap/>
            <w:vAlign w:val="bottom"/>
          </w:tcPr>
          <w:p w:rsidR="00535631" w:rsidRPr="001A4D86" w:rsidRDefault="00535631" w:rsidP="00ED0B13">
            <w:pPr>
              <w:jc w:val="center"/>
              <w:rPr>
                <w:rFonts w:ascii="Arial TUR" w:hAnsi="Arial TUR" w:cs="Arial TUR"/>
                <w:b/>
                <w:bCs/>
                <w:sz w:val="20"/>
                <w:szCs w:val="20"/>
              </w:rPr>
            </w:pPr>
            <w:r w:rsidRPr="001A4D86">
              <w:rPr>
                <w:rFonts w:ascii="Arial TUR" w:hAnsi="Arial TUR" w:cs="Arial TUR"/>
                <w:b/>
                <w:bCs/>
                <w:sz w:val="20"/>
                <w:szCs w:val="20"/>
              </w:rPr>
              <w:t>Katkılar</w:t>
            </w:r>
            <w:r w:rsidR="00C65F21" w:rsidRPr="001A4D86">
              <w:rPr>
                <w:rFonts w:ascii="Arial TUR" w:hAnsi="Arial TUR" w:cs="Arial TUR"/>
                <w:b/>
                <w:bCs/>
                <w:sz w:val="20"/>
                <w:szCs w:val="20"/>
              </w:rPr>
              <w:t xml:space="preserve"> (%)</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Tüketim</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5</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3</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Özel Yatırım</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5</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3</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Kamu Harcamaları</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3</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Stok Değişimi</w:t>
            </w:r>
          </w:p>
        </w:tc>
        <w:tc>
          <w:tcPr>
            <w:tcW w:w="1350" w:type="dxa"/>
            <w:tcBorders>
              <w:top w:val="nil"/>
              <w:left w:val="nil"/>
              <w:bottom w:val="single" w:sz="4" w:space="0" w:color="auto"/>
              <w:right w:val="single" w:sz="4" w:space="0" w:color="auto"/>
            </w:tcBorders>
            <w:noWrap/>
            <w:vAlign w:val="bottom"/>
          </w:tcPr>
          <w:p w:rsidR="001A4D86" w:rsidRPr="001A4D86" w:rsidRDefault="001A4D86">
            <w:pPr>
              <w:rPr>
                <w:rFonts w:ascii="Arial" w:hAnsi="Arial" w:cs="Arial"/>
                <w:sz w:val="20"/>
                <w:szCs w:val="20"/>
              </w:rPr>
            </w:pPr>
            <w:r w:rsidRPr="001A4D86">
              <w:rPr>
                <w:rFonts w:ascii="Arial" w:hAnsi="Arial" w:cs="Arial"/>
                <w:sz w:val="20"/>
                <w:szCs w:val="20"/>
              </w:rPr>
              <w:t> </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2</w:t>
            </w:r>
            <w:r>
              <w:rPr>
                <w:rFonts w:ascii="Arial" w:hAnsi="Arial" w:cs="Arial"/>
                <w:sz w:val="20"/>
                <w:szCs w:val="20"/>
              </w:rPr>
              <w:t>,</w:t>
            </w:r>
            <w:r w:rsidRPr="001A4D86">
              <w:rPr>
                <w:rFonts w:ascii="Arial" w:hAnsi="Arial" w:cs="Arial"/>
                <w:sz w:val="20"/>
                <w:szCs w:val="20"/>
              </w:rPr>
              <w:t>4</w:t>
            </w:r>
          </w:p>
        </w:tc>
      </w:tr>
      <w:tr w:rsidR="001A4D86" w:rsidRPr="001A4D86"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İhracat</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1</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w:t>
            </w:r>
            <w:r>
              <w:rPr>
                <w:rFonts w:ascii="Arial" w:hAnsi="Arial" w:cs="Arial"/>
                <w:sz w:val="20"/>
                <w:szCs w:val="20"/>
              </w:rPr>
              <w:t>,</w:t>
            </w:r>
            <w:r w:rsidRPr="001A4D86">
              <w:rPr>
                <w:rFonts w:ascii="Arial" w:hAnsi="Arial" w:cs="Arial"/>
                <w:sz w:val="20"/>
                <w:szCs w:val="20"/>
              </w:rPr>
              <w:t>3</w:t>
            </w:r>
          </w:p>
        </w:tc>
      </w:tr>
      <w:tr w:rsidR="001A4D86" w:rsidRPr="006A1FBF" w:rsidTr="00ED0B13">
        <w:trPr>
          <w:trHeight w:val="255"/>
        </w:trPr>
        <w:tc>
          <w:tcPr>
            <w:tcW w:w="1980" w:type="dxa"/>
            <w:tcBorders>
              <w:top w:val="nil"/>
              <w:left w:val="single" w:sz="4" w:space="0" w:color="auto"/>
              <w:bottom w:val="single" w:sz="4" w:space="0" w:color="auto"/>
              <w:right w:val="single" w:sz="4" w:space="0" w:color="auto"/>
            </w:tcBorders>
            <w:noWrap/>
            <w:vAlign w:val="bottom"/>
          </w:tcPr>
          <w:p w:rsidR="001A4D86" w:rsidRPr="001A4D86" w:rsidRDefault="001A4D86" w:rsidP="00ED0B13">
            <w:pPr>
              <w:rPr>
                <w:rFonts w:ascii="Arial TUR" w:hAnsi="Arial TUR" w:cs="Arial TUR"/>
                <w:b/>
                <w:bCs/>
                <w:sz w:val="20"/>
                <w:szCs w:val="20"/>
              </w:rPr>
            </w:pPr>
            <w:r w:rsidRPr="001A4D86">
              <w:rPr>
                <w:rFonts w:ascii="Arial TUR" w:hAnsi="Arial TUR" w:cs="Arial TUR"/>
                <w:b/>
                <w:bCs/>
                <w:sz w:val="20"/>
                <w:szCs w:val="20"/>
              </w:rPr>
              <w:t>İthalat</w:t>
            </w:r>
          </w:p>
        </w:tc>
        <w:tc>
          <w:tcPr>
            <w:tcW w:w="1350"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6</w:t>
            </w:r>
            <w:r>
              <w:rPr>
                <w:rFonts w:ascii="Arial" w:hAnsi="Arial" w:cs="Arial"/>
                <w:sz w:val="20"/>
                <w:szCs w:val="20"/>
              </w:rPr>
              <w:t>,</w:t>
            </w:r>
            <w:r w:rsidRPr="001A4D86">
              <w:rPr>
                <w:rFonts w:ascii="Arial" w:hAnsi="Arial" w:cs="Arial"/>
                <w:sz w:val="20"/>
                <w:szCs w:val="20"/>
              </w:rPr>
              <w:t>7</w:t>
            </w:r>
          </w:p>
        </w:tc>
        <w:tc>
          <w:tcPr>
            <w:tcW w:w="1350" w:type="dxa"/>
            <w:tcBorders>
              <w:top w:val="nil"/>
              <w:left w:val="nil"/>
              <w:bottom w:val="single" w:sz="4" w:space="0" w:color="auto"/>
              <w:right w:val="single" w:sz="4" w:space="0" w:color="auto"/>
            </w:tcBorders>
            <w:noWrap/>
            <w:vAlign w:val="bottom"/>
          </w:tcPr>
          <w:p w:rsidR="001A4D86" w:rsidRDefault="001A4D86">
            <w:pPr>
              <w:jc w:val="right"/>
              <w:rPr>
                <w:rFonts w:ascii="Arial" w:hAnsi="Arial" w:cs="Arial"/>
                <w:sz w:val="20"/>
                <w:szCs w:val="20"/>
              </w:rPr>
            </w:pPr>
            <w:r w:rsidRPr="001A4D86">
              <w:rPr>
                <w:rFonts w:ascii="Arial" w:hAnsi="Arial" w:cs="Arial"/>
                <w:sz w:val="20"/>
                <w:szCs w:val="20"/>
              </w:rPr>
              <w:t>-1</w:t>
            </w:r>
            <w:r>
              <w:rPr>
                <w:rFonts w:ascii="Arial" w:hAnsi="Arial" w:cs="Arial"/>
                <w:sz w:val="20"/>
                <w:szCs w:val="20"/>
              </w:rPr>
              <w:t>,</w:t>
            </w:r>
            <w:r w:rsidRPr="001A4D86">
              <w:rPr>
                <w:rFonts w:ascii="Arial" w:hAnsi="Arial" w:cs="Arial"/>
                <w:sz w:val="20"/>
                <w:szCs w:val="20"/>
              </w:rPr>
              <w:t>7</w:t>
            </w:r>
          </w:p>
        </w:tc>
      </w:tr>
    </w:tbl>
    <w:p w:rsidR="00535631" w:rsidRPr="006A1FBF" w:rsidRDefault="00E060FD" w:rsidP="00535631">
      <w:pPr>
        <w:pStyle w:val="NormalWeb"/>
        <w:spacing w:before="0" w:beforeAutospacing="0" w:after="0" w:afterAutospacing="0"/>
        <w:jc w:val="both"/>
        <w:rPr>
          <w:rFonts w:ascii="Arial" w:hAnsi="Arial" w:cs="Arial"/>
          <w:sz w:val="20"/>
          <w:szCs w:val="20"/>
        </w:rPr>
      </w:pPr>
      <w:r>
        <w:rPr>
          <w:rFonts w:ascii="Arial" w:hAnsi="Arial" w:cs="Arial"/>
          <w:sz w:val="16"/>
          <w:szCs w:val="16"/>
        </w:rPr>
        <w:t>Kaynak</w:t>
      </w:r>
      <w:r w:rsidR="00535631" w:rsidRPr="006A1FBF">
        <w:rPr>
          <w:rFonts w:ascii="Arial" w:hAnsi="Arial" w:cs="Arial"/>
          <w:sz w:val="16"/>
          <w:szCs w:val="16"/>
        </w:rPr>
        <w:t>: TÜİK.</w:t>
      </w: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C23712" w:rsidRDefault="00C23712" w:rsidP="000252CE">
      <w:pPr>
        <w:pStyle w:val="NormalWeb"/>
        <w:spacing w:before="0" w:beforeAutospacing="0" w:after="0" w:afterAutospacing="0"/>
        <w:jc w:val="both"/>
        <w:rPr>
          <w:rFonts w:ascii="Arial" w:hAnsi="Arial" w:cs="Arial"/>
          <w:sz w:val="16"/>
          <w:szCs w:val="16"/>
        </w:rPr>
      </w:pPr>
    </w:p>
    <w:p w:rsidR="00DA2051" w:rsidRDefault="00DA2051" w:rsidP="000252CE">
      <w:pPr>
        <w:pStyle w:val="NormalWeb"/>
        <w:spacing w:before="0" w:beforeAutospacing="0" w:after="0" w:afterAutospacing="0"/>
        <w:jc w:val="both"/>
        <w:rPr>
          <w:rFonts w:ascii="Arial" w:hAnsi="Arial" w:cs="Arial"/>
          <w:sz w:val="16"/>
          <w:szCs w:val="16"/>
        </w:rPr>
      </w:pPr>
    </w:p>
    <w:p w:rsidR="001A4D86" w:rsidRDefault="001A4D86" w:rsidP="000252CE">
      <w:pPr>
        <w:pStyle w:val="NormalWeb"/>
        <w:spacing w:before="0" w:beforeAutospacing="0" w:after="0" w:afterAutospacing="0"/>
        <w:jc w:val="both"/>
        <w:rPr>
          <w:rFonts w:ascii="Arial" w:hAnsi="Arial" w:cs="Arial"/>
          <w:sz w:val="16"/>
          <w:szCs w:val="16"/>
        </w:rPr>
      </w:pPr>
    </w:p>
    <w:tbl>
      <w:tblPr>
        <w:tblpPr w:leftFromText="141" w:rightFromText="141" w:vertAnchor="page" w:horzAnchor="margin" w:tblpXSpec="right" w:tblpY="2777"/>
        <w:tblW w:w="4751" w:type="dxa"/>
        <w:tblLayout w:type="fixed"/>
        <w:tblCellMar>
          <w:left w:w="70" w:type="dxa"/>
          <w:right w:w="70" w:type="dxa"/>
        </w:tblCellMar>
        <w:tblLook w:val="0000" w:firstRow="0" w:lastRow="0" w:firstColumn="0" w:lastColumn="0" w:noHBand="0" w:noVBand="0"/>
      </w:tblPr>
      <w:tblGrid>
        <w:gridCol w:w="2101"/>
        <w:gridCol w:w="1325"/>
        <w:gridCol w:w="1325"/>
      </w:tblGrid>
      <w:tr w:rsidR="00535631" w:rsidRPr="001A4D86" w:rsidTr="00E060FD">
        <w:trPr>
          <w:trHeight w:val="253"/>
        </w:trPr>
        <w:tc>
          <w:tcPr>
            <w:tcW w:w="2101" w:type="dxa"/>
            <w:tcBorders>
              <w:top w:val="single" w:sz="4" w:space="0" w:color="auto"/>
              <w:left w:val="single" w:sz="4" w:space="0" w:color="auto"/>
              <w:bottom w:val="single" w:sz="4" w:space="0" w:color="auto"/>
              <w:right w:val="single" w:sz="4" w:space="0" w:color="auto"/>
            </w:tcBorders>
            <w:noWrap/>
            <w:vAlign w:val="bottom"/>
          </w:tcPr>
          <w:p w:rsidR="00535631" w:rsidRPr="001A4D86" w:rsidRDefault="003D6D66" w:rsidP="00DA2051">
            <w:pPr>
              <w:rPr>
                <w:rFonts w:ascii="Arial" w:hAnsi="Arial" w:cs="Arial"/>
                <w:b/>
                <w:bCs/>
                <w:sz w:val="20"/>
                <w:szCs w:val="20"/>
              </w:rPr>
            </w:pPr>
            <w:r w:rsidRPr="001A4D86">
              <w:rPr>
                <w:rFonts w:ascii="Arial TUR" w:hAnsi="Arial TUR" w:cs="Arial TUR"/>
                <w:b/>
                <w:bCs/>
                <w:sz w:val="20"/>
                <w:szCs w:val="20"/>
              </w:rPr>
              <w:t>2016</w:t>
            </w:r>
            <w:r w:rsidR="00535631" w:rsidRPr="001A4D86">
              <w:rPr>
                <w:rFonts w:ascii="Arial TUR" w:hAnsi="Arial TUR" w:cs="Arial TUR"/>
                <w:b/>
                <w:bCs/>
                <w:sz w:val="20"/>
                <w:szCs w:val="20"/>
              </w:rPr>
              <w:t xml:space="preserve"> – </w:t>
            </w:r>
            <w:r w:rsidRPr="001A4D86">
              <w:rPr>
                <w:rFonts w:ascii="Arial TUR" w:hAnsi="Arial TUR" w:cs="Arial TUR"/>
                <w:b/>
                <w:bCs/>
                <w:sz w:val="20"/>
                <w:szCs w:val="20"/>
              </w:rPr>
              <w:t>1</w:t>
            </w:r>
            <w:r w:rsidR="00535631" w:rsidRPr="001A4D86">
              <w:rPr>
                <w:rFonts w:ascii="Arial TUR" w:hAnsi="Arial TUR" w:cs="Arial TUR"/>
                <w:b/>
                <w:bCs/>
                <w:sz w:val="20"/>
                <w:szCs w:val="20"/>
              </w:rPr>
              <w:t>. Ç</w:t>
            </w:r>
          </w:p>
        </w:tc>
        <w:tc>
          <w:tcPr>
            <w:tcW w:w="1325" w:type="dxa"/>
            <w:tcBorders>
              <w:top w:val="single" w:sz="4" w:space="0" w:color="auto"/>
              <w:left w:val="nil"/>
              <w:bottom w:val="single" w:sz="4" w:space="0" w:color="auto"/>
              <w:right w:val="single" w:sz="4" w:space="0" w:color="auto"/>
            </w:tcBorders>
            <w:noWrap/>
            <w:vAlign w:val="bottom"/>
          </w:tcPr>
          <w:p w:rsidR="00535631" w:rsidRPr="001A4D86" w:rsidRDefault="00B523D2" w:rsidP="00DA2051">
            <w:pPr>
              <w:jc w:val="center"/>
              <w:rPr>
                <w:rFonts w:ascii="Arial" w:hAnsi="Arial" w:cs="Arial"/>
                <w:b/>
                <w:bCs/>
                <w:sz w:val="20"/>
                <w:szCs w:val="20"/>
              </w:rPr>
            </w:pPr>
            <w:r w:rsidRPr="001A4D86">
              <w:rPr>
                <w:rFonts w:ascii="Arial" w:hAnsi="Arial" w:cs="Arial"/>
                <w:b/>
                <w:bCs/>
                <w:sz w:val="20"/>
                <w:szCs w:val="20"/>
              </w:rPr>
              <w:t>Değişim</w:t>
            </w:r>
            <w:r w:rsidR="00633032" w:rsidRPr="001A4D86">
              <w:rPr>
                <w:rFonts w:ascii="Arial" w:hAnsi="Arial" w:cs="Arial"/>
                <w:b/>
                <w:bCs/>
                <w:sz w:val="20"/>
                <w:szCs w:val="20"/>
              </w:rPr>
              <w:t xml:space="preserve"> </w:t>
            </w:r>
            <w:r w:rsidR="00633032" w:rsidRPr="001A4D86">
              <w:rPr>
                <w:rFonts w:ascii="Arial TUR" w:hAnsi="Arial TUR" w:cs="Arial TUR"/>
                <w:b/>
                <w:bCs/>
                <w:sz w:val="20"/>
                <w:szCs w:val="20"/>
              </w:rPr>
              <w:t>(%)</w:t>
            </w:r>
          </w:p>
        </w:tc>
        <w:tc>
          <w:tcPr>
            <w:tcW w:w="1325" w:type="dxa"/>
            <w:tcBorders>
              <w:top w:val="single" w:sz="4" w:space="0" w:color="auto"/>
              <w:left w:val="nil"/>
              <w:bottom w:val="single" w:sz="4" w:space="0" w:color="auto"/>
              <w:right w:val="single" w:sz="4" w:space="0" w:color="auto"/>
            </w:tcBorders>
            <w:noWrap/>
            <w:vAlign w:val="bottom"/>
          </w:tcPr>
          <w:p w:rsidR="00535631" w:rsidRPr="001A4D86" w:rsidRDefault="00535631" w:rsidP="00DA2051">
            <w:pPr>
              <w:jc w:val="center"/>
              <w:rPr>
                <w:rFonts w:ascii="Arial" w:hAnsi="Arial" w:cs="Arial"/>
                <w:b/>
                <w:bCs/>
                <w:sz w:val="20"/>
                <w:szCs w:val="20"/>
              </w:rPr>
            </w:pPr>
            <w:r w:rsidRPr="001A4D86">
              <w:rPr>
                <w:rFonts w:ascii="Arial" w:hAnsi="Arial" w:cs="Arial"/>
                <w:b/>
                <w:bCs/>
                <w:sz w:val="20"/>
                <w:szCs w:val="20"/>
              </w:rPr>
              <w:t>Katkılar</w:t>
            </w:r>
            <w:r w:rsidR="00633032" w:rsidRPr="001A4D86">
              <w:rPr>
                <w:rFonts w:ascii="Arial" w:hAnsi="Arial" w:cs="Arial"/>
                <w:b/>
                <w:bCs/>
                <w:sz w:val="20"/>
                <w:szCs w:val="20"/>
              </w:rPr>
              <w:t xml:space="preserve"> </w:t>
            </w:r>
            <w:r w:rsidR="00633032" w:rsidRPr="001A4D86">
              <w:rPr>
                <w:rFonts w:ascii="Arial TUR" w:hAnsi="Arial TUR" w:cs="Arial TUR"/>
                <w:b/>
                <w:bCs/>
                <w:sz w:val="20"/>
                <w:szCs w:val="20"/>
              </w:rPr>
              <w:t>(%)</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Tüketim</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6,9</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4,8</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Özel Yatırım</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-0,3</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-0,1</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Kamu Harcamaları</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8,5</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1,2</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Stok Değişimi</w:t>
            </w:r>
          </w:p>
        </w:tc>
        <w:tc>
          <w:tcPr>
            <w:tcW w:w="1325" w:type="dxa"/>
            <w:tcBorders>
              <w:top w:val="nil"/>
              <w:left w:val="nil"/>
              <w:bottom w:val="single" w:sz="4" w:space="0" w:color="auto"/>
              <w:right w:val="single" w:sz="4" w:space="0" w:color="auto"/>
            </w:tcBorders>
            <w:noWrap/>
            <w:vAlign w:val="bottom"/>
          </w:tcPr>
          <w:p w:rsidR="001A4D86" w:rsidRPr="001A4D86" w:rsidRDefault="001A4D86">
            <w:pPr>
              <w:rPr>
                <w:rFonts w:ascii="Arial" w:hAnsi="Arial" w:cs="Arial"/>
                <w:sz w:val="20"/>
                <w:szCs w:val="20"/>
              </w:rPr>
            </w:pPr>
            <w:r w:rsidRPr="001A4D86">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0,4</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İhracat</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2,4</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0,6</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İthalat</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7,5</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-2,2</w:t>
            </w:r>
          </w:p>
        </w:tc>
      </w:tr>
      <w:tr w:rsidR="00535631"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535631" w:rsidRPr="001A4D86" w:rsidRDefault="00535631" w:rsidP="00DA2051">
            <w:pPr>
              <w:rPr>
                <w:rFonts w:ascii="Arial" w:hAnsi="Arial" w:cs="Arial"/>
                <w:b/>
                <w:bCs/>
                <w:sz w:val="20"/>
                <w:szCs w:val="20"/>
              </w:rPr>
            </w:pPr>
            <w:r w:rsidRPr="001A4D86">
              <w:rPr>
                <w:rFonts w:ascii="Arial" w:hAnsi="Arial" w:cs="Arial"/>
                <w:b/>
                <w:bCs/>
                <w:sz w:val="20"/>
                <w:szCs w:val="20"/>
              </w:rPr>
              <w:t> </w:t>
            </w:r>
          </w:p>
        </w:tc>
        <w:tc>
          <w:tcPr>
            <w:tcW w:w="1325" w:type="dxa"/>
            <w:tcBorders>
              <w:top w:val="nil"/>
              <w:left w:val="nil"/>
              <w:bottom w:val="single" w:sz="4" w:space="0" w:color="auto"/>
              <w:right w:val="single" w:sz="4" w:space="0" w:color="auto"/>
            </w:tcBorders>
            <w:noWrap/>
            <w:vAlign w:val="bottom"/>
          </w:tcPr>
          <w:p w:rsidR="00535631" w:rsidRPr="001A4D86" w:rsidRDefault="00535631" w:rsidP="00DA2051">
            <w:pPr>
              <w:rPr>
                <w:rFonts w:ascii="Arial" w:hAnsi="Arial" w:cs="Arial"/>
                <w:sz w:val="20"/>
                <w:szCs w:val="20"/>
              </w:rPr>
            </w:pPr>
            <w:r w:rsidRPr="001A4D86">
              <w:rPr>
                <w:rFonts w:ascii="Arial" w:hAnsi="Arial" w:cs="Arial"/>
                <w:sz w:val="20"/>
                <w:szCs w:val="20"/>
              </w:rPr>
              <w:t> </w:t>
            </w:r>
          </w:p>
        </w:tc>
        <w:tc>
          <w:tcPr>
            <w:tcW w:w="1325" w:type="dxa"/>
            <w:tcBorders>
              <w:top w:val="nil"/>
              <w:left w:val="nil"/>
              <w:bottom w:val="single" w:sz="4" w:space="0" w:color="auto"/>
              <w:right w:val="single" w:sz="4" w:space="0" w:color="auto"/>
            </w:tcBorders>
            <w:noWrap/>
            <w:vAlign w:val="bottom"/>
          </w:tcPr>
          <w:p w:rsidR="00535631" w:rsidRPr="001A4D86" w:rsidRDefault="00535631" w:rsidP="00DA2051">
            <w:pPr>
              <w:rPr>
                <w:rFonts w:ascii="Arial" w:hAnsi="Arial" w:cs="Arial"/>
                <w:sz w:val="20"/>
                <w:szCs w:val="20"/>
              </w:rPr>
            </w:pPr>
            <w:r w:rsidRPr="001A4D86">
              <w:rPr>
                <w:rFonts w:ascii="Arial" w:hAnsi="Arial" w:cs="Arial"/>
                <w:sz w:val="20"/>
                <w:szCs w:val="20"/>
              </w:rPr>
              <w:t> </w:t>
            </w:r>
          </w:p>
        </w:tc>
      </w:tr>
      <w:tr w:rsidR="00535631"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535631" w:rsidRPr="001A4D86" w:rsidRDefault="003D6D66" w:rsidP="00DA2051">
            <w:pPr>
              <w:rPr>
                <w:rFonts w:ascii="Arial" w:hAnsi="Arial" w:cs="Arial"/>
                <w:b/>
                <w:bCs/>
                <w:sz w:val="20"/>
                <w:szCs w:val="20"/>
              </w:rPr>
            </w:pPr>
            <w:r w:rsidRPr="001A4D86">
              <w:rPr>
                <w:rFonts w:ascii="Arial TUR" w:hAnsi="Arial TUR" w:cs="Arial TUR"/>
                <w:b/>
                <w:bCs/>
                <w:sz w:val="20"/>
                <w:szCs w:val="20"/>
              </w:rPr>
              <w:t>2015 – 4</w:t>
            </w:r>
            <w:r w:rsidR="00535631" w:rsidRPr="001A4D86">
              <w:rPr>
                <w:rFonts w:ascii="Arial TUR" w:hAnsi="Arial TUR" w:cs="Arial TUR"/>
                <w:b/>
                <w:bCs/>
                <w:sz w:val="20"/>
                <w:szCs w:val="20"/>
              </w:rPr>
              <w:t>. Ç</w:t>
            </w:r>
          </w:p>
        </w:tc>
        <w:tc>
          <w:tcPr>
            <w:tcW w:w="1325" w:type="dxa"/>
            <w:tcBorders>
              <w:top w:val="nil"/>
              <w:left w:val="nil"/>
              <w:bottom w:val="single" w:sz="4" w:space="0" w:color="auto"/>
              <w:right w:val="single" w:sz="4" w:space="0" w:color="auto"/>
            </w:tcBorders>
            <w:noWrap/>
            <w:vAlign w:val="bottom"/>
          </w:tcPr>
          <w:p w:rsidR="00535631" w:rsidRPr="001A4D86" w:rsidRDefault="00B523D2" w:rsidP="00DA2051">
            <w:pPr>
              <w:jc w:val="center"/>
              <w:rPr>
                <w:rFonts w:ascii="Arial" w:hAnsi="Arial" w:cs="Arial"/>
                <w:b/>
                <w:bCs/>
                <w:sz w:val="20"/>
                <w:szCs w:val="20"/>
              </w:rPr>
            </w:pPr>
            <w:r w:rsidRPr="001A4D86">
              <w:rPr>
                <w:rFonts w:ascii="Arial" w:hAnsi="Arial" w:cs="Arial"/>
                <w:b/>
                <w:bCs/>
                <w:sz w:val="20"/>
                <w:szCs w:val="20"/>
              </w:rPr>
              <w:t>Değişim</w:t>
            </w:r>
            <w:r w:rsidR="00C65F21" w:rsidRPr="001A4D86">
              <w:rPr>
                <w:rFonts w:ascii="Arial" w:hAnsi="Arial" w:cs="Arial"/>
                <w:b/>
                <w:bCs/>
                <w:sz w:val="20"/>
                <w:szCs w:val="20"/>
              </w:rPr>
              <w:t xml:space="preserve"> </w:t>
            </w:r>
            <w:r w:rsidR="00C65F21" w:rsidRPr="001A4D86">
              <w:rPr>
                <w:rFonts w:ascii="Arial TUR" w:hAnsi="Arial TUR" w:cs="Arial TUR"/>
                <w:b/>
                <w:bCs/>
                <w:sz w:val="20"/>
                <w:szCs w:val="20"/>
              </w:rPr>
              <w:t>(%)</w:t>
            </w:r>
          </w:p>
        </w:tc>
        <w:tc>
          <w:tcPr>
            <w:tcW w:w="1325" w:type="dxa"/>
            <w:tcBorders>
              <w:top w:val="nil"/>
              <w:left w:val="nil"/>
              <w:bottom w:val="single" w:sz="4" w:space="0" w:color="auto"/>
              <w:right w:val="single" w:sz="4" w:space="0" w:color="auto"/>
            </w:tcBorders>
            <w:noWrap/>
            <w:vAlign w:val="bottom"/>
          </w:tcPr>
          <w:p w:rsidR="00535631" w:rsidRPr="001A4D86" w:rsidRDefault="00535631" w:rsidP="00DA2051">
            <w:pPr>
              <w:jc w:val="center"/>
              <w:rPr>
                <w:rFonts w:ascii="Arial" w:hAnsi="Arial" w:cs="Arial"/>
                <w:b/>
                <w:bCs/>
                <w:sz w:val="20"/>
                <w:szCs w:val="20"/>
              </w:rPr>
            </w:pPr>
            <w:r w:rsidRPr="001A4D86">
              <w:rPr>
                <w:rFonts w:ascii="Arial" w:hAnsi="Arial" w:cs="Arial"/>
                <w:b/>
                <w:bCs/>
                <w:sz w:val="20"/>
                <w:szCs w:val="20"/>
              </w:rPr>
              <w:t>Katkılar</w:t>
            </w:r>
            <w:r w:rsidR="00C65F21" w:rsidRPr="001A4D86">
              <w:rPr>
                <w:rFonts w:ascii="Arial" w:hAnsi="Arial" w:cs="Arial"/>
                <w:b/>
                <w:bCs/>
                <w:sz w:val="20"/>
                <w:szCs w:val="20"/>
              </w:rPr>
              <w:t xml:space="preserve"> </w:t>
            </w:r>
            <w:r w:rsidR="00C65F21" w:rsidRPr="001A4D86">
              <w:rPr>
                <w:rFonts w:ascii="Arial TUR" w:hAnsi="Arial TUR" w:cs="Arial TUR"/>
                <w:b/>
                <w:bCs/>
                <w:sz w:val="20"/>
                <w:szCs w:val="20"/>
              </w:rPr>
              <w:t>(%)</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Tüketim</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4,7</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3,2</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Özel Yatırım</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1,7</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0,3</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Kamu Harcamaları</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8,7</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1,6</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Stok Değişimi</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-0,7</w:t>
            </w:r>
          </w:p>
        </w:tc>
      </w:tr>
      <w:tr w:rsidR="001A4D86" w:rsidRP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İhracat</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2,1</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0,6</w:t>
            </w:r>
          </w:p>
        </w:tc>
      </w:tr>
      <w:tr w:rsidR="001A4D86" w:rsidTr="00E060FD">
        <w:trPr>
          <w:trHeight w:val="253"/>
        </w:trPr>
        <w:tc>
          <w:tcPr>
            <w:tcW w:w="2101" w:type="dxa"/>
            <w:tcBorders>
              <w:top w:val="nil"/>
              <w:left w:val="single" w:sz="4" w:space="0" w:color="auto"/>
              <w:bottom w:val="single" w:sz="4" w:space="0" w:color="auto"/>
              <w:right w:val="single" w:sz="4" w:space="0" w:color="auto"/>
            </w:tcBorders>
            <w:noWrap/>
            <w:vAlign w:val="bottom"/>
          </w:tcPr>
          <w:p w:rsidR="001A4D86" w:rsidRPr="001A4D86" w:rsidRDefault="001A4D86" w:rsidP="00DA2051">
            <w:pPr>
              <w:rPr>
                <w:rFonts w:ascii="Arial" w:hAnsi="Arial" w:cs="Arial"/>
                <w:b/>
                <w:bCs/>
                <w:sz w:val="20"/>
                <w:szCs w:val="20"/>
              </w:rPr>
            </w:pPr>
            <w:r w:rsidRPr="001A4D86">
              <w:rPr>
                <w:rFonts w:ascii="Arial" w:hAnsi="Arial" w:cs="Arial"/>
                <w:b/>
                <w:bCs/>
                <w:sz w:val="20"/>
                <w:szCs w:val="20"/>
              </w:rPr>
              <w:t>İthalat</w:t>
            </w:r>
          </w:p>
        </w:tc>
        <w:tc>
          <w:tcPr>
            <w:tcW w:w="1325" w:type="dxa"/>
            <w:tcBorders>
              <w:top w:val="nil"/>
              <w:left w:val="nil"/>
              <w:bottom w:val="single" w:sz="4" w:space="0" w:color="auto"/>
              <w:right w:val="single" w:sz="4" w:space="0" w:color="auto"/>
            </w:tcBorders>
            <w:noWrap/>
            <w:vAlign w:val="bottom"/>
          </w:tcPr>
          <w:p w:rsidR="001A4D86" w:rsidRPr="001A4D86" w:rsidRDefault="001A4D86">
            <w:pPr>
              <w:jc w:val="right"/>
              <w:rPr>
                <w:rFonts w:ascii="Arial" w:hAnsi="Arial" w:cs="Arial"/>
                <w:sz w:val="20"/>
                <w:szCs w:val="20"/>
              </w:rPr>
            </w:pPr>
            <w:r w:rsidRPr="001A4D86">
              <w:rPr>
                <w:rFonts w:ascii="Arial" w:hAnsi="Arial" w:cs="Arial"/>
                <w:sz w:val="20"/>
                <w:szCs w:val="20"/>
              </w:rPr>
              <w:t>-2,6</w:t>
            </w:r>
          </w:p>
        </w:tc>
        <w:tc>
          <w:tcPr>
            <w:tcW w:w="1325" w:type="dxa"/>
            <w:tcBorders>
              <w:top w:val="nil"/>
              <w:left w:val="nil"/>
              <w:bottom w:val="single" w:sz="4" w:space="0" w:color="auto"/>
              <w:right w:val="single" w:sz="4" w:space="0" w:color="auto"/>
            </w:tcBorders>
            <w:noWrap/>
            <w:vAlign w:val="bottom"/>
          </w:tcPr>
          <w:p w:rsidR="001A4D86" w:rsidRDefault="001A4D86">
            <w:pPr>
              <w:jc w:val="right"/>
              <w:rPr>
                <w:rFonts w:ascii="Arial" w:hAnsi="Arial" w:cs="Arial"/>
                <w:sz w:val="20"/>
                <w:szCs w:val="20"/>
              </w:rPr>
            </w:pPr>
            <w:r w:rsidRPr="001A4D86">
              <w:rPr>
                <w:rFonts w:ascii="Arial" w:hAnsi="Arial" w:cs="Arial"/>
                <w:sz w:val="20"/>
                <w:szCs w:val="20"/>
              </w:rPr>
              <w:t>0,8</w:t>
            </w:r>
          </w:p>
        </w:tc>
      </w:tr>
    </w:tbl>
    <w:p w:rsidR="00E528B1" w:rsidRDefault="00E528B1" w:rsidP="00D561EE">
      <w:pPr>
        <w:pStyle w:val="NormalWeb"/>
        <w:spacing w:before="0" w:beforeAutospacing="0" w:after="0" w:afterAutospacing="0"/>
        <w:ind w:right="77"/>
        <w:jc w:val="both"/>
        <w:rPr>
          <w:b/>
          <w:bCs/>
          <w:sz w:val="22"/>
          <w:szCs w:val="22"/>
        </w:rPr>
      </w:pPr>
    </w:p>
    <w:p w:rsidR="00ED0B13" w:rsidRDefault="00ED0B13"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535631" w:rsidP="00D561EE">
      <w:pPr>
        <w:pStyle w:val="NormalWeb"/>
        <w:spacing w:before="0" w:beforeAutospacing="0" w:after="0" w:afterAutospacing="0"/>
        <w:ind w:right="77"/>
        <w:jc w:val="both"/>
        <w:rPr>
          <w:b/>
          <w:bCs/>
          <w:sz w:val="22"/>
          <w:szCs w:val="22"/>
        </w:rPr>
      </w:pPr>
      <w:r w:rsidRPr="006A1FBF">
        <w:rPr>
          <w:b/>
          <w:bCs/>
          <w:sz w:val="22"/>
          <w:szCs w:val="22"/>
        </w:rPr>
        <w:t xml:space="preserve">Tablo 2. </w:t>
      </w:r>
      <w:r w:rsidR="003D6D66">
        <w:rPr>
          <w:b/>
          <w:bCs/>
          <w:sz w:val="22"/>
          <w:szCs w:val="22"/>
        </w:rPr>
        <w:t xml:space="preserve">2015 4. çeyrekte ve 2016 1. çeyrekte </w:t>
      </w:r>
      <w:r w:rsidR="00DA2051" w:rsidRPr="006A1FBF">
        <w:rPr>
          <w:b/>
          <w:bCs/>
          <w:sz w:val="22"/>
          <w:szCs w:val="22"/>
        </w:rPr>
        <w:t>GSYH alt</w:t>
      </w:r>
      <w:r w:rsidR="00DA2051">
        <w:rPr>
          <w:b/>
          <w:bCs/>
          <w:sz w:val="22"/>
          <w:szCs w:val="22"/>
        </w:rPr>
        <w:t xml:space="preserve"> </w:t>
      </w:r>
      <w:r w:rsidR="00DA2051" w:rsidRPr="006A1FBF">
        <w:rPr>
          <w:b/>
          <w:bCs/>
          <w:sz w:val="22"/>
          <w:szCs w:val="22"/>
        </w:rPr>
        <w:t xml:space="preserve">kalemlerinin, </w:t>
      </w:r>
      <w:r w:rsidR="00DA2051" w:rsidRPr="006A1FBF">
        <w:rPr>
          <w:b/>
          <w:bCs/>
          <w:sz w:val="22"/>
          <w:szCs w:val="22"/>
          <w:u w:val="single"/>
        </w:rPr>
        <w:t xml:space="preserve">bir önceki yılın aynı çeyreğine göre </w:t>
      </w:r>
      <w:r w:rsidR="00DA2051" w:rsidRPr="006A1FBF">
        <w:rPr>
          <w:b/>
          <w:bCs/>
          <w:sz w:val="22"/>
          <w:szCs w:val="22"/>
        </w:rPr>
        <w:t>değişimleri ve büyümeye katkıları</w:t>
      </w:r>
    </w:p>
    <w:p w:rsidR="00E528B1" w:rsidRDefault="00E528B1" w:rsidP="00D561EE">
      <w:pPr>
        <w:pStyle w:val="NormalWeb"/>
        <w:spacing w:before="0" w:beforeAutospacing="0" w:after="0" w:afterAutospacing="0"/>
        <w:ind w:right="77"/>
        <w:jc w:val="both"/>
        <w:rPr>
          <w:b/>
          <w:bCs/>
          <w:sz w:val="22"/>
          <w:szCs w:val="22"/>
        </w:rPr>
      </w:pPr>
    </w:p>
    <w:p w:rsidR="00ED0B13" w:rsidRDefault="00ED0B13" w:rsidP="00D561EE">
      <w:pPr>
        <w:pStyle w:val="NormalWeb"/>
        <w:spacing w:before="0" w:beforeAutospacing="0" w:after="0" w:afterAutospacing="0"/>
        <w:ind w:right="77"/>
        <w:jc w:val="both"/>
        <w:rPr>
          <w:b/>
          <w:bCs/>
          <w:sz w:val="22"/>
          <w:szCs w:val="22"/>
        </w:rPr>
      </w:pPr>
    </w:p>
    <w:p w:rsidR="00E060FD" w:rsidRDefault="00E060FD" w:rsidP="00E060FD">
      <w:pPr>
        <w:pStyle w:val="NormalWeb"/>
        <w:spacing w:before="0" w:beforeAutospacing="0" w:after="0" w:afterAutospacing="0"/>
        <w:jc w:val="both"/>
        <w:rPr>
          <w:rFonts w:ascii="Arial" w:hAnsi="Arial" w:cs="Arial"/>
          <w:sz w:val="20"/>
          <w:szCs w:val="20"/>
        </w:rPr>
      </w:pPr>
      <w:r>
        <w:rPr>
          <w:b/>
          <w:bCs/>
          <w:sz w:val="22"/>
          <w:szCs w:val="22"/>
        </w:rPr>
        <w:t xml:space="preserve">   </w:t>
      </w:r>
      <w:r w:rsidRPr="00660DE2">
        <w:rPr>
          <w:rFonts w:ascii="Arial" w:hAnsi="Arial" w:cs="Arial"/>
          <w:sz w:val="16"/>
          <w:szCs w:val="16"/>
        </w:rPr>
        <w:t>Kaynak: TÜİK.</w:t>
      </w: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DA2051" w:rsidRDefault="00DA205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E528B1" w:rsidRDefault="00E528B1" w:rsidP="00D561EE">
      <w:pPr>
        <w:pStyle w:val="NormalWeb"/>
        <w:spacing w:before="0" w:beforeAutospacing="0" w:after="0" w:afterAutospacing="0"/>
        <w:ind w:right="77"/>
        <w:jc w:val="both"/>
        <w:rPr>
          <w:b/>
          <w:bCs/>
          <w:sz w:val="22"/>
          <w:szCs w:val="22"/>
        </w:rPr>
      </w:pPr>
    </w:p>
    <w:p w:rsidR="00A132C2" w:rsidRDefault="00A132C2" w:rsidP="00D561EE">
      <w:pPr>
        <w:pStyle w:val="NormalWeb"/>
        <w:spacing w:before="0" w:beforeAutospacing="0" w:after="0" w:afterAutospacing="0"/>
        <w:ind w:right="77"/>
        <w:jc w:val="both"/>
        <w:rPr>
          <w:b/>
          <w:bCs/>
          <w:sz w:val="22"/>
          <w:szCs w:val="22"/>
        </w:rPr>
      </w:pPr>
    </w:p>
    <w:p w:rsidR="00B834FD" w:rsidRPr="006A1FBF" w:rsidRDefault="00B834FD" w:rsidP="00A7746C">
      <w:pPr>
        <w:pStyle w:val="NormalWeb"/>
        <w:spacing w:before="0" w:beforeAutospacing="0" w:after="0" w:afterAutospacing="0"/>
        <w:ind w:right="77"/>
        <w:rPr>
          <w:b/>
          <w:bCs/>
          <w:sz w:val="22"/>
          <w:szCs w:val="22"/>
        </w:rPr>
      </w:pPr>
    </w:p>
    <w:p w:rsidR="00811DF9" w:rsidRPr="006A1FBF" w:rsidRDefault="00B86B6B" w:rsidP="00D561EE">
      <w:pPr>
        <w:pStyle w:val="NormalWeb"/>
        <w:spacing w:before="0" w:beforeAutospacing="0" w:after="0" w:afterAutospacing="0"/>
        <w:ind w:right="77"/>
        <w:jc w:val="both"/>
        <w:rPr>
          <w:b/>
          <w:bCs/>
          <w:sz w:val="22"/>
          <w:szCs w:val="22"/>
        </w:rPr>
      </w:pPr>
      <w:r w:rsidRPr="006A1FBF">
        <w:rPr>
          <w:b/>
          <w:bCs/>
          <w:sz w:val="22"/>
          <w:szCs w:val="22"/>
        </w:rPr>
        <w:t xml:space="preserve"> </w:t>
      </w:r>
      <w:r w:rsidR="00C23712" w:rsidRPr="006A1FBF">
        <w:rPr>
          <w:b/>
          <w:bCs/>
          <w:sz w:val="22"/>
          <w:szCs w:val="22"/>
        </w:rPr>
        <w:br w:type="column"/>
      </w:r>
    </w:p>
    <w:tbl>
      <w:tblPr>
        <w:tblpPr w:leftFromText="141" w:rightFromText="141" w:vertAnchor="text" w:horzAnchor="margin" w:tblpY="-446"/>
        <w:tblW w:w="9842" w:type="dxa"/>
        <w:tblCellMar>
          <w:left w:w="70" w:type="dxa"/>
          <w:right w:w="70" w:type="dxa"/>
        </w:tblCellMar>
        <w:tblLook w:val="04A0" w:firstRow="1" w:lastRow="0" w:firstColumn="1" w:lastColumn="0" w:noHBand="0" w:noVBand="1"/>
      </w:tblPr>
      <w:tblGrid>
        <w:gridCol w:w="1417"/>
        <w:gridCol w:w="1218"/>
        <w:gridCol w:w="960"/>
        <w:gridCol w:w="1286"/>
        <w:gridCol w:w="974"/>
        <w:gridCol w:w="960"/>
        <w:gridCol w:w="1107"/>
        <w:gridCol w:w="960"/>
        <w:gridCol w:w="960"/>
      </w:tblGrid>
      <w:tr w:rsidR="00811DF9" w:rsidRPr="008E5192" w:rsidTr="00DA2051">
        <w:trPr>
          <w:trHeight w:val="765"/>
        </w:trPr>
        <w:tc>
          <w:tcPr>
            <w:tcW w:w="9842" w:type="dxa"/>
            <w:gridSpan w:val="9"/>
            <w:tcBorders>
              <w:bottom w:val="single" w:sz="4" w:space="0" w:color="auto"/>
            </w:tcBorders>
            <w:shd w:val="clear" w:color="auto" w:fill="auto"/>
            <w:noWrap/>
            <w:vAlign w:val="bottom"/>
            <w:hideMark/>
          </w:tcPr>
          <w:p w:rsidR="00811DF9" w:rsidRPr="009757A8" w:rsidRDefault="00811DF9" w:rsidP="00811DF9">
            <w:pPr>
              <w:pStyle w:val="NormalWeb"/>
              <w:spacing w:before="0" w:beforeAutospacing="0" w:after="0" w:afterAutospacing="0"/>
              <w:ind w:right="79"/>
              <w:rPr>
                <w:rFonts w:ascii="Arial" w:hAnsi="Arial" w:cs="Arial"/>
                <w:b/>
                <w:bCs/>
                <w:sz w:val="20"/>
                <w:szCs w:val="20"/>
              </w:rPr>
            </w:pPr>
            <w:r>
              <w:rPr>
                <w:rFonts w:ascii="Arial" w:hAnsi="Arial" w:cs="Arial"/>
                <w:b/>
                <w:bCs/>
                <w:sz w:val="20"/>
                <w:szCs w:val="20"/>
              </w:rPr>
              <w:t xml:space="preserve">Tablo 3. </w:t>
            </w:r>
            <w:r>
              <w:rPr>
                <w:b/>
                <w:bCs/>
                <w:sz w:val="22"/>
                <w:szCs w:val="22"/>
              </w:rPr>
              <w:t xml:space="preserve">GSYH alt kalemlerinin bir önceki çeyreğe göre büyümeye katkıları ve toplam büyüme </w:t>
            </w:r>
          </w:p>
        </w:tc>
      </w:tr>
      <w:tr w:rsidR="00811DF9" w:rsidRPr="008E5192" w:rsidTr="00ED0B13">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F9" w:rsidRPr="008E5192" w:rsidRDefault="00811DF9" w:rsidP="00811DF9">
            <w:pPr>
              <w:rPr>
                <w:rFonts w:ascii="Arial" w:hAnsi="Arial" w:cs="Arial"/>
                <w:sz w:val="20"/>
                <w:szCs w:val="20"/>
              </w:rPr>
            </w:pPr>
            <w:r w:rsidRPr="008E5192">
              <w:rPr>
                <w:rFonts w:ascii="Arial" w:hAnsi="Arial" w:cs="Arial"/>
                <w:sz w:val="20"/>
                <w:szCs w:val="20"/>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34029D">
            <w:pPr>
              <w:jc w:val="center"/>
              <w:rPr>
                <w:rFonts w:ascii="Arial" w:hAnsi="Arial" w:cs="Arial"/>
                <w:b/>
                <w:sz w:val="18"/>
                <w:szCs w:val="18"/>
              </w:rPr>
            </w:pPr>
            <w:r w:rsidRPr="00ED0B13">
              <w:rPr>
                <w:rFonts w:ascii="Arial" w:hAnsi="Arial" w:cs="Arial"/>
                <w:b/>
                <w:sz w:val="18"/>
                <w:szCs w:val="18"/>
              </w:rPr>
              <w:t>Tüketim</w:t>
            </w:r>
            <w:r w:rsidR="0034029D" w:rsidRPr="00ED0B13">
              <w:rPr>
                <w:rFonts w:ascii="Arial" w:hAnsi="Arial" w:cs="Arial"/>
                <w:b/>
                <w:sz w:val="18"/>
                <w:szCs w:val="18"/>
              </w:rPr>
              <w:t xml:space="preserve"> (yüzde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Özel Yatırım</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Kamu Harcamaları</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Stok Değişimi</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Net İhracat</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İhracat</w:t>
            </w:r>
            <w:r w:rsidR="00ED0B13" w:rsidRPr="00ED0B13">
              <w:rPr>
                <w:rFonts w:ascii="Arial" w:hAnsi="Arial" w:cs="Arial"/>
                <w:b/>
                <w:sz w:val="18"/>
                <w:szCs w:val="18"/>
              </w:rPr>
              <w:t xml:space="preserve"> (yüzde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İthalat</w:t>
            </w:r>
            <w:r w:rsidR="0016736A" w:rsidRPr="00ED0B13">
              <w:rPr>
                <w:rFonts w:ascii="Arial" w:hAnsi="Arial" w:cs="Arial"/>
                <w:b/>
                <w:sz w:val="18"/>
                <w:szCs w:val="18"/>
              </w:rPr>
              <w:t xml:space="preserve"> </w:t>
            </w:r>
            <w:r w:rsidR="00ED0B13" w:rsidRPr="00ED0B13">
              <w:rPr>
                <w:rFonts w:ascii="Arial" w:hAnsi="Arial" w:cs="Arial"/>
                <w:b/>
                <w:sz w:val="18"/>
                <w:szCs w:val="18"/>
              </w:rPr>
              <w:t>(yüzde puan)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11DF9" w:rsidRPr="00ED0B13" w:rsidRDefault="00811DF9" w:rsidP="00811DF9">
            <w:pPr>
              <w:jc w:val="center"/>
              <w:rPr>
                <w:rFonts w:ascii="Arial" w:hAnsi="Arial" w:cs="Arial"/>
                <w:b/>
                <w:sz w:val="18"/>
                <w:szCs w:val="18"/>
              </w:rPr>
            </w:pPr>
            <w:r w:rsidRPr="00ED0B13">
              <w:rPr>
                <w:rFonts w:ascii="Arial" w:hAnsi="Arial" w:cs="Arial"/>
                <w:b/>
                <w:sz w:val="18"/>
                <w:szCs w:val="18"/>
              </w:rPr>
              <w:t>Toplam</w:t>
            </w:r>
            <w:r w:rsidR="0016736A" w:rsidRPr="00ED0B13">
              <w:rPr>
                <w:rFonts w:ascii="Arial" w:hAnsi="Arial" w:cs="Arial"/>
                <w:b/>
                <w:sz w:val="18"/>
                <w:szCs w:val="18"/>
              </w:rPr>
              <w:t xml:space="preserve"> (%)</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2012(1)</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2012(2)</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6</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2012(3)</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7</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7</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2012(4)</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2013(1)</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-3</w:t>
            </w:r>
            <w:r w:rsidR="00B05BBA">
              <w:rPr>
                <w:rFonts w:ascii="Arial" w:hAnsi="Arial" w:cs="Arial"/>
                <w:sz w:val="20"/>
                <w:szCs w:val="20"/>
              </w:rPr>
              <w:t>,</w:t>
            </w:r>
            <w:r>
              <w:rPr>
                <w:rFonts w:ascii="Arial" w:hAnsi="Arial" w:cs="Arial"/>
                <w:sz w:val="20"/>
                <w:szCs w:val="20"/>
              </w:rPr>
              <w:t>1</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6</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2013(2)</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2013(3)</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7</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2013(4)</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r>
      <w:tr w:rsidR="001A4D86" w:rsidRPr="008E5192" w:rsidTr="00ED0B13">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2014(1)</w:t>
            </w:r>
          </w:p>
        </w:tc>
        <w:tc>
          <w:tcPr>
            <w:tcW w:w="1218"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1286"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0</w:t>
            </w:r>
          </w:p>
        </w:tc>
        <w:tc>
          <w:tcPr>
            <w:tcW w:w="974"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3</w:t>
            </w:r>
          </w:p>
        </w:tc>
        <w:tc>
          <w:tcPr>
            <w:tcW w:w="1107"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9</w:t>
            </w:r>
          </w:p>
        </w:tc>
        <w:tc>
          <w:tcPr>
            <w:tcW w:w="960" w:type="dxa"/>
            <w:tcBorders>
              <w:top w:val="nil"/>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6</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2014(2)</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D86" w:rsidRDefault="001A4D86">
            <w:pPr>
              <w:rPr>
                <w:rFonts w:ascii="Arial" w:hAnsi="Arial" w:cs="Arial"/>
                <w:b/>
                <w:bCs/>
                <w:sz w:val="20"/>
                <w:szCs w:val="20"/>
              </w:rPr>
            </w:pPr>
            <w:r>
              <w:rPr>
                <w:rFonts w:ascii="Arial" w:hAnsi="Arial" w:cs="Arial"/>
                <w:b/>
                <w:bCs/>
                <w:sz w:val="20"/>
                <w:szCs w:val="20"/>
              </w:rPr>
              <w:t>2014(3)</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D86" w:rsidRDefault="001A4D86">
            <w:pPr>
              <w:rPr>
                <w:rFonts w:ascii="Arial" w:hAnsi="Arial" w:cs="Arial"/>
                <w:b/>
                <w:bCs/>
                <w:sz w:val="20"/>
                <w:szCs w:val="20"/>
              </w:rPr>
            </w:pPr>
            <w:r>
              <w:rPr>
                <w:rFonts w:ascii="Arial" w:hAnsi="Arial" w:cs="Arial"/>
                <w:b/>
                <w:bCs/>
                <w:sz w:val="20"/>
                <w:szCs w:val="20"/>
              </w:rPr>
              <w:t>2014(4)</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5</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D86" w:rsidRDefault="001A4D86">
            <w:pPr>
              <w:rPr>
                <w:rFonts w:ascii="Arial" w:hAnsi="Arial" w:cs="Arial"/>
                <w:b/>
                <w:bCs/>
                <w:sz w:val="20"/>
                <w:szCs w:val="20"/>
              </w:rPr>
            </w:pPr>
            <w:r>
              <w:rPr>
                <w:rFonts w:ascii="Arial" w:hAnsi="Arial" w:cs="Arial"/>
                <w:b/>
                <w:bCs/>
                <w:sz w:val="20"/>
                <w:szCs w:val="20"/>
              </w:rPr>
              <w:t>2015(1)</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0</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5</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D86" w:rsidRDefault="001A4D86">
            <w:pPr>
              <w:rPr>
                <w:rFonts w:ascii="Arial" w:hAnsi="Arial" w:cs="Arial"/>
                <w:b/>
                <w:bCs/>
                <w:sz w:val="20"/>
                <w:szCs w:val="20"/>
              </w:rPr>
            </w:pPr>
            <w:r>
              <w:rPr>
                <w:rFonts w:ascii="Arial" w:hAnsi="Arial" w:cs="Arial"/>
                <w:b/>
                <w:bCs/>
                <w:sz w:val="20"/>
                <w:szCs w:val="20"/>
              </w:rPr>
              <w:t>2015(2)</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9</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D86" w:rsidRDefault="001A4D86">
            <w:pPr>
              <w:rPr>
                <w:rFonts w:ascii="Arial" w:hAnsi="Arial" w:cs="Arial"/>
                <w:b/>
                <w:bCs/>
                <w:sz w:val="20"/>
                <w:szCs w:val="20"/>
              </w:rPr>
            </w:pPr>
            <w:r>
              <w:rPr>
                <w:rFonts w:ascii="Arial" w:hAnsi="Arial" w:cs="Arial"/>
                <w:b/>
                <w:bCs/>
                <w:sz w:val="20"/>
                <w:szCs w:val="20"/>
              </w:rPr>
              <w:t>2015(3)</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8</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7</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D86" w:rsidRDefault="00B05BBA">
            <w:pPr>
              <w:rPr>
                <w:rFonts w:ascii="Arial" w:hAnsi="Arial" w:cs="Arial"/>
                <w:b/>
                <w:bCs/>
                <w:sz w:val="20"/>
                <w:szCs w:val="20"/>
              </w:rPr>
            </w:pPr>
            <w:r>
              <w:rPr>
                <w:rFonts w:ascii="Arial" w:hAnsi="Arial" w:cs="Arial"/>
                <w:b/>
                <w:bCs/>
                <w:sz w:val="20"/>
                <w:szCs w:val="20"/>
              </w:rPr>
              <w:t>2015(4)</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-2</w:t>
            </w:r>
            <w:r w:rsidR="00B05BBA">
              <w:rPr>
                <w:rFonts w:ascii="Arial" w:hAnsi="Arial" w:cs="Arial"/>
                <w:sz w:val="20"/>
                <w:szCs w:val="20"/>
              </w:rPr>
              <w:t>,</w:t>
            </w:r>
            <w:r>
              <w:rPr>
                <w:rFonts w:ascii="Arial" w:hAnsi="Arial" w:cs="Arial"/>
                <w:sz w:val="20"/>
                <w:szCs w:val="20"/>
              </w:rPr>
              <w:t>0</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2</w:t>
            </w:r>
          </w:p>
        </w:tc>
      </w:tr>
      <w:tr w:rsidR="001A4D86" w:rsidRPr="008E5192" w:rsidTr="00ED0B13">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4D86" w:rsidRDefault="00B05BBA">
            <w:pPr>
              <w:rPr>
                <w:rFonts w:ascii="Arial" w:hAnsi="Arial" w:cs="Arial"/>
                <w:b/>
                <w:bCs/>
                <w:sz w:val="20"/>
                <w:szCs w:val="20"/>
              </w:rPr>
            </w:pPr>
            <w:r>
              <w:rPr>
                <w:rFonts w:ascii="Arial" w:hAnsi="Arial" w:cs="Arial"/>
                <w:b/>
                <w:bCs/>
                <w:sz w:val="20"/>
                <w:szCs w:val="20"/>
              </w:rPr>
              <w:t>2016(1)</w:t>
            </w:r>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4</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3</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9</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-1</w:t>
            </w:r>
            <w:r w:rsidR="00B05BBA">
              <w:rPr>
                <w:rFonts w:ascii="Arial" w:hAnsi="Arial" w:cs="Arial"/>
                <w:sz w:val="20"/>
                <w:szCs w:val="20"/>
              </w:rPr>
              <w:t>,</w:t>
            </w:r>
            <w:r>
              <w:rPr>
                <w:rFonts w:ascii="Arial" w:hAnsi="Arial" w:cs="Arial"/>
                <w:sz w:val="20"/>
                <w:szCs w:val="20"/>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A4D86" w:rsidRDefault="001A4D86">
            <w:pPr>
              <w:jc w:val="right"/>
              <w:rPr>
                <w:rFonts w:ascii="Arial" w:hAnsi="Arial" w:cs="Arial"/>
                <w:sz w:val="20"/>
                <w:szCs w:val="20"/>
              </w:rPr>
            </w:pPr>
            <w:r>
              <w:rPr>
                <w:rFonts w:ascii="Arial" w:hAnsi="Arial" w:cs="Arial"/>
                <w:sz w:val="20"/>
                <w:szCs w:val="20"/>
              </w:rPr>
              <w:t>0</w:t>
            </w:r>
            <w:r w:rsidR="00B05BBA">
              <w:rPr>
                <w:rFonts w:ascii="Arial" w:hAnsi="Arial" w:cs="Arial"/>
                <w:sz w:val="20"/>
                <w:szCs w:val="20"/>
              </w:rPr>
              <w:t>,</w:t>
            </w:r>
            <w:r>
              <w:rPr>
                <w:rFonts w:ascii="Arial" w:hAnsi="Arial" w:cs="Arial"/>
                <w:sz w:val="20"/>
                <w:szCs w:val="20"/>
              </w:rPr>
              <w:t>8</w:t>
            </w:r>
          </w:p>
        </w:tc>
      </w:tr>
      <w:tr w:rsidR="00811DF9" w:rsidRPr="008E5192" w:rsidTr="00ED0B13">
        <w:trPr>
          <w:trHeight w:val="255"/>
        </w:trPr>
        <w:tc>
          <w:tcPr>
            <w:tcW w:w="1417" w:type="dxa"/>
            <w:tcBorders>
              <w:top w:val="single" w:sz="4" w:space="0" w:color="auto"/>
            </w:tcBorders>
            <w:shd w:val="clear" w:color="auto" w:fill="auto"/>
            <w:noWrap/>
            <w:vAlign w:val="bottom"/>
            <w:hideMark/>
          </w:tcPr>
          <w:p w:rsidR="00811DF9" w:rsidRDefault="00DA2051" w:rsidP="00811DF9">
            <w:pPr>
              <w:pStyle w:val="NormalWeb"/>
              <w:spacing w:before="0" w:beforeAutospacing="0" w:after="0" w:afterAutospacing="0"/>
              <w:jc w:val="both"/>
              <w:rPr>
                <w:rFonts w:ascii="Arial" w:hAnsi="Arial" w:cs="Arial"/>
                <w:sz w:val="20"/>
                <w:szCs w:val="20"/>
              </w:rPr>
            </w:pPr>
            <w:r>
              <w:rPr>
                <w:rFonts w:ascii="Arial" w:hAnsi="Arial" w:cs="Arial"/>
                <w:sz w:val="16"/>
                <w:szCs w:val="16"/>
              </w:rPr>
              <w:t>Kaynak</w:t>
            </w:r>
            <w:r w:rsidR="00811DF9" w:rsidRPr="00660DE2">
              <w:rPr>
                <w:rFonts w:ascii="Arial" w:hAnsi="Arial" w:cs="Arial"/>
                <w:sz w:val="16"/>
                <w:szCs w:val="16"/>
              </w:rPr>
              <w:t>: TÜİK.</w:t>
            </w:r>
          </w:p>
          <w:p w:rsidR="00811DF9" w:rsidRDefault="00811DF9" w:rsidP="00811DF9">
            <w:pPr>
              <w:rPr>
                <w:rFonts w:ascii="Arial" w:hAnsi="Arial" w:cs="Arial"/>
                <w:b/>
                <w:bCs/>
                <w:sz w:val="20"/>
                <w:szCs w:val="20"/>
              </w:rPr>
            </w:pPr>
          </w:p>
        </w:tc>
        <w:tc>
          <w:tcPr>
            <w:tcW w:w="1218"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1286"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74"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1107"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c>
          <w:tcPr>
            <w:tcW w:w="960" w:type="dxa"/>
            <w:tcBorders>
              <w:top w:val="single" w:sz="4" w:space="0" w:color="auto"/>
            </w:tcBorders>
            <w:shd w:val="clear" w:color="auto" w:fill="auto"/>
            <w:noWrap/>
            <w:vAlign w:val="bottom"/>
            <w:hideMark/>
          </w:tcPr>
          <w:p w:rsidR="00811DF9" w:rsidRDefault="00811DF9" w:rsidP="00811DF9">
            <w:pPr>
              <w:jc w:val="right"/>
              <w:rPr>
                <w:rFonts w:ascii="Arial" w:hAnsi="Arial" w:cs="Arial"/>
                <w:sz w:val="20"/>
                <w:szCs w:val="20"/>
              </w:rPr>
            </w:pPr>
          </w:p>
        </w:tc>
      </w:tr>
    </w:tbl>
    <w:p w:rsidR="00B834FD" w:rsidRPr="006A1FBF" w:rsidRDefault="00B834FD" w:rsidP="00D561EE">
      <w:pPr>
        <w:pStyle w:val="NormalWeb"/>
        <w:spacing w:before="0" w:beforeAutospacing="0" w:after="0" w:afterAutospacing="0"/>
        <w:ind w:right="77"/>
        <w:jc w:val="both"/>
        <w:rPr>
          <w:b/>
          <w:bCs/>
          <w:sz w:val="22"/>
          <w:szCs w:val="22"/>
        </w:rPr>
      </w:pPr>
    </w:p>
    <w:p w:rsidR="00D90384" w:rsidRDefault="00D90384" w:rsidP="00A7746C">
      <w:pPr>
        <w:pStyle w:val="NormalWeb"/>
        <w:spacing w:before="0" w:beforeAutospacing="0" w:after="0" w:afterAutospacing="0" w:line="360" w:lineRule="auto"/>
        <w:ind w:right="77"/>
        <w:rPr>
          <w:rFonts w:ascii="Arial" w:hAnsi="Arial" w:cs="Arial"/>
          <w:b/>
          <w:bCs/>
          <w:sz w:val="20"/>
          <w:szCs w:val="20"/>
        </w:rPr>
        <w:sectPr w:rsidR="00D90384" w:rsidSect="00C335E9">
          <w:type w:val="continuous"/>
          <w:pgSz w:w="11906" w:h="16838"/>
          <w:pgMar w:top="1417" w:right="1106" w:bottom="1417" w:left="900" w:header="708" w:footer="708" w:gutter="0"/>
          <w:cols w:num="2" w:space="386"/>
          <w:docGrid w:linePitch="360"/>
        </w:sectPr>
      </w:pPr>
    </w:p>
    <w:p w:rsidR="00535631" w:rsidRDefault="00535631" w:rsidP="00535631">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p w:rsidR="00C5707D" w:rsidRDefault="00C5707D" w:rsidP="00D90384">
      <w:pPr>
        <w:pStyle w:val="NormalWeb"/>
        <w:spacing w:before="0" w:beforeAutospacing="0" w:after="0" w:afterAutospacing="0" w:line="360" w:lineRule="auto"/>
        <w:ind w:right="77"/>
        <w:rPr>
          <w:rFonts w:ascii="Arial" w:hAnsi="Arial" w:cs="Arial"/>
          <w:b/>
          <w:bCs/>
          <w:sz w:val="20"/>
          <w:szCs w:val="20"/>
        </w:rPr>
      </w:pPr>
    </w:p>
    <w:sectPr w:rsidR="00C5707D"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002" w:rsidRDefault="00500002">
      <w:r>
        <w:separator/>
      </w:r>
    </w:p>
  </w:endnote>
  <w:endnote w:type="continuationSeparator" w:id="0">
    <w:p w:rsidR="00500002" w:rsidRDefault="00500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AC" w:rsidRDefault="00854EE0" w:rsidP="007344A9">
    <w:pPr>
      <w:pStyle w:val="Footer"/>
      <w:framePr w:wrap="auto" w:vAnchor="text" w:hAnchor="margin" w:xAlign="right" w:y="1"/>
      <w:rPr>
        <w:rStyle w:val="PageNumber"/>
      </w:rPr>
    </w:pPr>
    <w:r>
      <w:rPr>
        <w:rStyle w:val="PageNumber"/>
      </w:rPr>
      <w:fldChar w:fldCharType="begin"/>
    </w:r>
    <w:r w:rsidR="00CB6FAC">
      <w:rPr>
        <w:rStyle w:val="PageNumber"/>
      </w:rPr>
      <w:instrText xml:space="preserve">PAGE  </w:instrText>
    </w:r>
    <w:r>
      <w:rPr>
        <w:rStyle w:val="PageNumber"/>
      </w:rPr>
      <w:fldChar w:fldCharType="separate"/>
    </w:r>
    <w:r w:rsidR="003F1C26">
      <w:rPr>
        <w:rStyle w:val="PageNumber"/>
        <w:noProof/>
      </w:rPr>
      <w:t>1</w:t>
    </w:r>
    <w:r>
      <w:rPr>
        <w:rStyle w:val="PageNumber"/>
      </w:rPr>
      <w:fldChar w:fldCharType="end"/>
    </w:r>
  </w:p>
  <w:p w:rsidR="00CB6FAC" w:rsidRPr="007750EF" w:rsidRDefault="00CB6FAC"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CB6FAC" w:rsidRDefault="00CB6FAC"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002" w:rsidRDefault="00500002">
      <w:r>
        <w:separator/>
      </w:r>
    </w:p>
  </w:footnote>
  <w:footnote w:type="continuationSeparator" w:id="0">
    <w:p w:rsidR="00500002" w:rsidRDefault="00500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437"/>
    <w:rsid w:val="000038DF"/>
    <w:rsid w:val="000046A3"/>
    <w:rsid w:val="0000598D"/>
    <w:rsid w:val="000103E6"/>
    <w:rsid w:val="000129C2"/>
    <w:rsid w:val="00017426"/>
    <w:rsid w:val="00020EB8"/>
    <w:rsid w:val="000231C7"/>
    <w:rsid w:val="000252CE"/>
    <w:rsid w:val="000301E5"/>
    <w:rsid w:val="00032B1D"/>
    <w:rsid w:val="00033759"/>
    <w:rsid w:val="00034ECF"/>
    <w:rsid w:val="00035FEE"/>
    <w:rsid w:val="00041917"/>
    <w:rsid w:val="000440B1"/>
    <w:rsid w:val="00052B36"/>
    <w:rsid w:val="00054DF2"/>
    <w:rsid w:val="00057C0F"/>
    <w:rsid w:val="00060E9B"/>
    <w:rsid w:val="00060EC4"/>
    <w:rsid w:val="00062A47"/>
    <w:rsid w:val="0007393F"/>
    <w:rsid w:val="00076A31"/>
    <w:rsid w:val="00076E68"/>
    <w:rsid w:val="00083ED6"/>
    <w:rsid w:val="000847EA"/>
    <w:rsid w:val="00087951"/>
    <w:rsid w:val="00092686"/>
    <w:rsid w:val="000961D9"/>
    <w:rsid w:val="000A1C83"/>
    <w:rsid w:val="000A3710"/>
    <w:rsid w:val="000A4BD1"/>
    <w:rsid w:val="000A6CA9"/>
    <w:rsid w:val="000A701D"/>
    <w:rsid w:val="000B1F93"/>
    <w:rsid w:val="000B3E5D"/>
    <w:rsid w:val="000C04C5"/>
    <w:rsid w:val="000C2004"/>
    <w:rsid w:val="000C38EC"/>
    <w:rsid w:val="000C4944"/>
    <w:rsid w:val="000C57E2"/>
    <w:rsid w:val="000C5B7E"/>
    <w:rsid w:val="000C5C8B"/>
    <w:rsid w:val="000D1E9B"/>
    <w:rsid w:val="000D321F"/>
    <w:rsid w:val="000D4F14"/>
    <w:rsid w:val="000D79EC"/>
    <w:rsid w:val="000E10A3"/>
    <w:rsid w:val="000E468B"/>
    <w:rsid w:val="000F0FAB"/>
    <w:rsid w:val="000F4567"/>
    <w:rsid w:val="000F4941"/>
    <w:rsid w:val="001009DB"/>
    <w:rsid w:val="0010192C"/>
    <w:rsid w:val="00105A12"/>
    <w:rsid w:val="00107363"/>
    <w:rsid w:val="0010795F"/>
    <w:rsid w:val="001105B2"/>
    <w:rsid w:val="00110EBA"/>
    <w:rsid w:val="00111AD6"/>
    <w:rsid w:val="001125E5"/>
    <w:rsid w:val="00113284"/>
    <w:rsid w:val="00116868"/>
    <w:rsid w:val="001168BF"/>
    <w:rsid w:val="00123843"/>
    <w:rsid w:val="00124F5D"/>
    <w:rsid w:val="0013046A"/>
    <w:rsid w:val="00130FEE"/>
    <w:rsid w:val="00141A2F"/>
    <w:rsid w:val="00141FFF"/>
    <w:rsid w:val="00144245"/>
    <w:rsid w:val="00150C5D"/>
    <w:rsid w:val="0015266B"/>
    <w:rsid w:val="00160FA3"/>
    <w:rsid w:val="001635A4"/>
    <w:rsid w:val="0016522D"/>
    <w:rsid w:val="00166F89"/>
    <w:rsid w:val="0016736A"/>
    <w:rsid w:val="001679A2"/>
    <w:rsid w:val="001707BB"/>
    <w:rsid w:val="00174319"/>
    <w:rsid w:val="00177D70"/>
    <w:rsid w:val="00177FE3"/>
    <w:rsid w:val="00185A12"/>
    <w:rsid w:val="00186207"/>
    <w:rsid w:val="00187FA0"/>
    <w:rsid w:val="001942E3"/>
    <w:rsid w:val="001A0A58"/>
    <w:rsid w:val="001A1E7D"/>
    <w:rsid w:val="001A2605"/>
    <w:rsid w:val="001A46BF"/>
    <w:rsid w:val="001A4BCB"/>
    <w:rsid w:val="001A4D86"/>
    <w:rsid w:val="001A6323"/>
    <w:rsid w:val="001A713D"/>
    <w:rsid w:val="001A7176"/>
    <w:rsid w:val="001B0683"/>
    <w:rsid w:val="001B4591"/>
    <w:rsid w:val="001B5BDA"/>
    <w:rsid w:val="001C396B"/>
    <w:rsid w:val="001C5776"/>
    <w:rsid w:val="001C5F08"/>
    <w:rsid w:val="001C629C"/>
    <w:rsid w:val="001D404B"/>
    <w:rsid w:val="001D4057"/>
    <w:rsid w:val="001D5D8E"/>
    <w:rsid w:val="001E0A72"/>
    <w:rsid w:val="001E1DFE"/>
    <w:rsid w:val="001E2576"/>
    <w:rsid w:val="001E5D74"/>
    <w:rsid w:val="001F0A81"/>
    <w:rsid w:val="001F19DC"/>
    <w:rsid w:val="001F24EF"/>
    <w:rsid w:val="001F74A2"/>
    <w:rsid w:val="002063D4"/>
    <w:rsid w:val="00206831"/>
    <w:rsid w:val="0021041C"/>
    <w:rsid w:val="002111EE"/>
    <w:rsid w:val="00213C2C"/>
    <w:rsid w:val="00217042"/>
    <w:rsid w:val="0022485B"/>
    <w:rsid w:val="002304FE"/>
    <w:rsid w:val="002310A4"/>
    <w:rsid w:val="00232927"/>
    <w:rsid w:val="00236E7A"/>
    <w:rsid w:val="00240B3E"/>
    <w:rsid w:val="00242460"/>
    <w:rsid w:val="002548F5"/>
    <w:rsid w:val="00256199"/>
    <w:rsid w:val="00263147"/>
    <w:rsid w:val="002763DA"/>
    <w:rsid w:val="002776F4"/>
    <w:rsid w:val="002803EC"/>
    <w:rsid w:val="002829AF"/>
    <w:rsid w:val="00284C3D"/>
    <w:rsid w:val="002872E8"/>
    <w:rsid w:val="002A1249"/>
    <w:rsid w:val="002A66ED"/>
    <w:rsid w:val="002C3E28"/>
    <w:rsid w:val="002C664B"/>
    <w:rsid w:val="002D1EEA"/>
    <w:rsid w:val="002D2C9F"/>
    <w:rsid w:val="002D45B3"/>
    <w:rsid w:val="002E24C3"/>
    <w:rsid w:val="002E4241"/>
    <w:rsid w:val="002E4EBB"/>
    <w:rsid w:val="002E6BBD"/>
    <w:rsid w:val="002F27AE"/>
    <w:rsid w:val="002F4D4C"/>
    <w:rsid w:val="002F5134"/>
    <w:rsid w:val="002F7168"/>
    <w:rsid w:val="00301610"/>
    <w:rsid w:val="00303668"/>
    <w:rsid w:val="003047E8"/>
    <w:rsid w:val="0031043B"/>
    <w:rsid w:val="00311DAA"/>
    <w:rsid w:val="00312D10"/>
    <w:rsid w:val="003142BA"/>
    <w:rsid w:val="00315A38"/>
    <w:rsid w:val="00322B46"/>
    <w:rsid w:val="003232C7"/>
    <w:rsid w:val="00323B97"/>
    <w:rsid w:val="003308FF"/>
    <w:rsid w:val="00334029"/>
    <w:rsid w:val="003356CA"/>
    <w:rsid w:val="0034029D"/>
    <w:rsid w:val="003435D7"/>
    <w:rsid w:val="0034543C"/>
    <w:rsid w:val="0035035A"/>
    <w:rsid w:val="003515B5"/>
    <w:rsid w:val="00351ABF"/>
    <w:rsid w:val="00351F97"/>
    <w:rsid w:val="0035245B"/>
    <w:rsid w:val="00355207"/>
    <w:rsid w:val="0035628A"/>
    <w:rsid w:val="00356DF5"/>
    <w:rsid w:val="00357446"/>
    <w:rsid w:val="00361B32"/>
    <w:rsid w:val="003632EB"/>
    <w:rsid w:val="0036512F"/>
    <w:rsid w:val="00370430"/>
    <w:rsid w:val="00373696"/>
    <w:rsid w:val="00380585"/>
    <w:rsid w:val="00382E15"/>
    <w:rsid w:val="00382F0E"/>
    <w:rsid w:val="00384835"/>
    <w:rsid w:val="00384C18"/>
    <w:rsid w:val="003858F8"/>
    <w:rsid w:val="00397F47"/>
    <w:rsid w:val="003A0ECD"/>
    <w:rsid w:val="003A1EAF"/>
    <w:rsid w:val="003C0C43"/>
    <w:rsid w:val="003C1ECC"/>
    <w:rsid w:val="003C2E6D"/>
    <w:rsid w:val="003C4A71"/>
    <w:rsid w:val="003C69E4"/>
    <w:rsid w:val="003D15E0"/>
    <w:rsid w:val="003D29C7"/>
    <w:rsid w:val="003D6D66"/>
    <w:rsid w:val="003D7E7F"/>
    <w:rsid w:val="003D7ECF"/>
    <w:rsid w:val="003E02D6"/>
    <w:rsid w:val="003E3634"/>
    <w:rsid w:val="003E6684"/>
    <w:rsid w:val="003F0603"/>
    <w:rsid w:val="003F1C26"/>
    <w:rsid w:val="003F3737"/>
    <w:rsid w:val="00400B76"/>
    <w:rsid w:val="00401CFC"/>
    <w:rsid w:val="00402989"/>
    <w:rsid w:val="00405EC6"/>
    <w:rsid w:val="0040666B"/>
    <w:rsid w:val="0040754A"/>
    <w:rsid w:val="004131D0"/>
    <w:rsid w:val="00414520"/>
    <w:rsid w:val="0041456D"/>
    <w:rsid w:val="00423CB6"/>
    <w:rsid w:val="004254C3"/>
    <w:rsid w:val="00425675"/>
    <w:rsid w:val="004337B1"/>
    <w:rsid w:val="004360BB"/>
    <w:rsid w:val="004411DB"/>
    <w:rsid w:val="00444446"/>
    <w:rsid w:val="004458F8"/>
    <w:rsid w:val="00450ACD"/>
    <w:rsid w:val="004512C9"/>
    <w:rsid w:val="004529AD"/>
    <w:rsid w:val="00453FA5"/>
    <w:rsid w:val="0046338A"/>
    <w:rsid w:val="00463F06"/>
    <w:rsid w:val="00470351"/>
    <w:rsid w:val="004714CD"/>
    <w:rsid w:val="00475519"/>
    <w:rsid w:val="004836E3"/>
    <w:rsid w:val="00484F5F"/>
    <w:rsid w:val="00492063"/>
    <w:rsid w:val="004947B8"/>
    <w:rsid w:val="00497E5F"/>
    <w:rsid w:val="004A260F"/>
    <w:rsid w:val="004A3A86"/>
    <w:rsid w:val="004A4704"/>
    <w:rsid w:val="004B27BA"/>
    <w:rsid w:val="004B63B3"/>
    <w:rsid w:val="004C2F4B"/>
    <w:rsid w:val="004C6B9A"/>
    <w:rsid w:val="004C7967"/>
    <w:rsid w:val="004C7BD6"/>
    <w:rsid w:val="004D4750"/>
    <w:rsid w:val="004D4E11"/>
    <w:rsid w:val="004E0453"/>
    <w:rsid w:val="004E272F"/>
    <w:rsid w:val="004E3889"/>
    <w:rsid w:val="004E6D54"/>
    <w:rsid w:val="004F085C"/>
    <w:rsid w:val="004F40CF"/>
    <w:rsid w:val="004F7017"/>
    <w:rsid w:val="00500002"/>
    <w:rsid w:val="0050111C"/>
    <w:rsid w:val="0050593C"/>
    <w:rsid w:val="00510B8E"/>
    <w:rsid w:val="00512338"/>
    <w:rsid w:val="005125B3"/>
    <w:rsid w:val="00513310"/>
    <w:rsid w:val="00514BF6"/>
    <w:rsid w:val="0051655D"/>
    <w:rsid w:val="005171AD"/>
    <w:rsid w:val="00520C9F"/>
    <w:rsid w:val="00526178"/>
    <w:rsid w:val="00530734"/>
    <w:rsid w:val="00530EC8"/>
    <w:rsid w:val="00531B2C"/>
    <w:rsid w:val="00535631"/>
    <w:rsid w:val="00542058"/>
    <w:rsid w:val="005458AF"/>
    <w:rsid w:val="00550844"/>
    <w:rsid w:val="00552BF8"/>
    <w:rsid w:val="005608F6"/>
    <w:rsid w:val="00572866"/>
    <w:rsid w:val="00572982"/>
    <w:rsid w:val="00576F19"/>
    <w:rsid w:val="005774A6"/>
    <w:rsid w:val="00580A75"/>
    <w:rsid w:val="00584956"/>
    <w:rsid w:val="00585B90"/>
    <w:rsid w:val="0058720D"/>
    <w:rsid w:val="005876F2"/>
    <w:rsid w:val="0058797D"/>
    <w:rsid w:val="00591DB9"/>
    <w:rsid w:val="00592952"/>
    <w:rsid w:val="005943C0"/>
    <w:rsid w:val="00595B85"/>
    <w:rsid w:val="00597E04"/>
    <w:rsid w:val="005A0E4F"/>
    <w:rsid w:val="005A112A"/>
    <w:rsid w:val="005A5C33"/>
    <w:rsid w:val="005A7A25"/>
    <w:rsid w:val="005B3336"/>
    <w:rsid w:val="005C0934"/>
    <w:rsid w:val="005C0F45"/>
    <w:rsid w:val="005C34F6"/>
    <w:rsid w:val="005C5B4F"/>
    <w:rsid w:val="005C6DF4"/>
    <w:rsid w:val="005D32E4"/>
    <w:rsid w:val="005D4715"/>
    <w:rsid w:val="005D47AA"/>
    <w:rsid w:val="005D4824"/>
    <w:rsid w:val="005D7AE5"/>
    <w:rsid w:val="005E26C6"/>
    <w:rsid w:val="005E35F5"/>
    <w:rsid w:val="005E4725"/>
    <w:rsid w:val="005E4EF0"/>
    <w:rsid w:val="005E5915"/>
    <w:rsid w:val="005E756F"/>
    <w:rsid w:val="005E763B"/>
    <w:rsid w:val="005F31BE"/>
    <w:rsid w:val="005F51ED"/>
    <w:rsid w:val="005F60FF"/>
    <w:rsid w:val="00600703"/>
    <w:rsid w:val="00604C1F"/>
    <w:rsid w:val="006057A0"/>
    <w:rsid w:val="0060621C"/>
    <w:rsid w:val="00614670"/>
    <w:rsid w:val="00615C7F"/>
    <w:rsid w:val="00621B82"/>
    <w:rsid w:val="00624BED"/>
    <w:rsid w:val="00630B75"/>
    <w:rsid w:val="00632E2B"/>
    <w:rsid w:val="00633032"/>
    <w:rsid w:val="00633C51"/>
    <w:rsid w:val="00636BAF"/>
    <w:rsid w:val="00640AB0"/>
    <w:rsid w:val="0064496A"/>
    <w:rsid w:val="0065789B"/>
    <w:rsid w:val="00660DE2"/>
    <w:rsid w:val="0066110F"/>
    <w:rsid w:val="006641E9"/>
    <w:rsid w:val="00671A37"/>
    <w:rsid w:val="00680D3E"/>
    <w:rsid w:val="0068321E"/>
    <w:rsid w:val="006878CD"/>
    <w:rsid w:val="00692DB0"/>
    <w:rsid w:val="0069530D"/>
    <w:rsid w:val="00696C53"/>
    <w:rsid w:val="00697C0A"/>
    <w:rsid w:val="006A1FBF"/>
    <w:rsid w:val="006A343A"/>
    <w:rsid w:val="006A46FE"/>
    <w:rsid w:val="006A538E"/>
    <w:rsid w:val="006A5F3A"/>
    <w:rsid w:val="006A6263"/>
    <w:rsid w:val="006A6C5B"/>
    <w:rsid w:val="006B4D2C"/>
    <w:rsid w:val="006C0E86"/>
    <w:rsid w:val="006C2514"/>
    <w:rsid w:val="006C3D2D"/>
    <w:rsid w:val="006C405A"/>
    <w:rsid w:val="006C4458"/>
    <w:rsid w:val="006C59C1"/>
    <w:rsid w:val="006D04DD"/>
    <w:rsid w:val="006D0CA9"/>
    <w:rsid w:val="006D316F"/>
    <w:rsid w:val="006D3857"/>
    <w:rsid w:val="006D5B7E"/>
    <w:rsid w:val="006E0CBB"/>
    <w:rsid w:val="006E3721"/>
    <w:rsid w:val="006F0F53"/>
    <w:rsid w:val="006F40CE"/>
    <w:rsid w:val="006F4388"/>
    <w:rsid w:val="006F4A63"/>
    <w:rsid w:val="006F6EBA"/>
    <w:rsid w:val="00700658"/>
    <w:rsid w:val="00701EFF"/>
    <w:rsid w:val="007041DF"/>
    <w:rsid w:val="007075C8"/>
    <w:rsid w:val="00710098"/>
    <w:rsid w:val="00712EDE"/>
    <w:rsid w:val="00716632"/>
    <w:rsid w:val="00716BBE"/>
    <w:rsid w:val="00717B60"/>
    <w:rsid w:val="00720EA3"/>
    <w:rsid w:val="0072389D"/>
    <w:rsid w:val="00726749"/>
    <w:rsid w:val="00727963"/>
    <w:rsid w:val="00731175"/>
    <w:rsid w:val="00731766"/>
    <w:rsid w:val="0073287D"/>
    <w:rsid w:val="00732FC5"/>
    <w:rsid w:val="007344A9"/>
    <w:rsid w:val="007347D7"/>
    <w:rsid w:val="0073660E"/>
    <w:rsid w:val="007415A5"/>
    <w:rsid w:val="00744ACB"/>
    <w:rsid w:val="00752C9A"/>
    <w:rsid w:val="00754536"/>
    <w:rsid w:val="0075696F"/>
    <w:rsid w:val="00757338"/>
    <w:rsid w:val="00757C3D"/>
    <w:rsid w:val="00762F7B"/>
    <w:rsid w:val="0076354F"/>
    <w:rsid w:val="00763C67"/>
    <w:rsid w:val="00771C75"/>
    <w:rsid w:val="00773D7C"/>
    <w:rsid w:val="007750EF"/>
    <w:rsid w:val="0077714A"/>
    <w:rsid w:val="007777F0"/>
    <w:rsid w:val="007818BA"/>
    <w:rsid w:val="00783713"/>
    <w:rsid w:val="007848CD"/>
    <w:rsid w:val="007849D7"/>
    <w:rsid w:val="00785292"/>
    <w:rsid w:val="00785F81"/>
    <w:rsid w:val="007868A5"/>
    <w:rsid w:val="007929BD"/>
    <w:rsid w:val="00792E44"/>
    <w:rsid w:val="007972B3"/>
    <w:rsid w:val="007A32CF"/>
    <w:rsid w:val="007A35F3"/>
    <w:rsid w:val="007A669F"/>
    <w:rsid w:val="007B0061"/>
    <w:rsid w:val="007B5709"/>
    <w:rsid w:val="007B71AC"/>
    <w:rsid w:val="007C06E9"/>
    <w:rsid w:val="007C2C17"/>
    <w:rsid w:val="007C3006"/>
    <w:rsid w:val="007C5DDE"/>
    <w:rsid w:val="007C6AE5"/>
    <w:rsid w:val="007D27BC"/>
    <w:rsid w:val="007D3FA1"/>
    <w:rsid w:val="007D6427"/>
    <w:rsid w:val="007E2BBD"/>
    <w:rsid w:val="007E3AB3"/>
    <w:rsid w:val="007E6250"/>
    <w:rsid w:val="007F3106"/>
    <w:rsid w:val="007F41B8"/>
    <w:rsid w:val="007F50E5"/>
    <w:rsid w:val="008038AF"/>
    <w:rsid w:val="00803E3E"/>
    <w:rsid w:val="00805D70"/>
    <w:rsid w:val="008070A4"/>
    <w:rsid w:val="00811DF9"/>
    <w:rsid w:val="008178BE"/>
    <w:rsid w:val="00823EC8"/>
    <w:rsid w:val="00835D6F"/>
    <w:rsid w:val="008372C4"/>
    <w:rsid w:val="008372E2"/>
    <w:rsid w:val="008503B3"/>
    <w:rsid w:val="008517F6"/>
    <w:rsid w:val="00854EE0"/>
    <w:rsid w:val="00855AA6"/>
    <w:rsid w:val="008562BF"/>
    <w:rsid w:val="00862742"/>
    <w:rsid w:val="0086402F"/>
    <w:rsid w:val="0087093F"/>
    <w:rsid w:val="00873672"/>
    <w:rsid w:val="00876AF8"/>
    <w:rsid w:val="00876D88"/>
    <w:rsid w:val="0088054E"/>
    <w:rsid w:val="0088409A"/>
    <w:rsid w:val="00886F8E"/>
    <w:rsid w:val="008870E7"/>
    <w:rsid w:val="008905DC"/>
    <w:rsid w:val="00890B1D"/>
    <w:rsid w:val="00891099"/>
    <w:rsid w:val="00893531"/>
    <w:rsid w:val="0089443A"/>
    <w:rsid w:val="008A14F5"/>
    <w:rsid w:val="008A1528"/>
    <w:rsid w:val="008A5FC4"/>
    <w:rsid w:val="008A6647"/>
    <w:rsid w:val="008B4630"/>
    <w:rsid w:val="008B6FB2"/>
    <w:rsid w:val="008D2EB9"/>
    <w:rsid w:val="008D3D8C"/>
    <w:rsid w:val="008D5294"/>
    <w:rsid w:val="008D711C"/>
    <w:rsid w:val="008E1AE4"/>
    <w:rsid w:val="008E3765"/>
    <w:rsid w:val="008E42E2"/>
    <w:rsid w:val="008E5192"/>
    <w:rsid w:val="008F1406"/>
    <w:rsid w:val="008F61F6"/>
    <w:rsid w:val="0091124D"/>
    <w:rsid w:val="0091445B"/>
    <w:rsid w:val="009151D5"/>
    <w:rsid w:val="009232E3"/>
    <w:rsid w:val="00923AE7"/>
    <w:rsid w:val="00926C28"/>
    <w:rsid w:val="00930C26"/>
    <w:rsid w:val="00930D19"/>
    <w:rsid w:val="009344D3"/>
    <w:rsid w:val="00934718"/>
    <w:rsid w:val="0093777C"/>
    <w:rsid w:val="009377F5"/>
    <w:rsid w:val="00937D5B"/>
    <w:rsid w:val="00940E4D"/>
    <w:rsid w:val="00944454"/>
    <w:rsid w:val="00945FFA"/>
    <w:rsid w:val="00952683"/>
    <w:rsid w:val="00953EFF"/>
    <w:rsid w:val="00956784"/>
    <w:rsid w:val="009575C3"/>
    <w:rsid w:val="009608B2"/>
    <w:rsid w:val="00970251"/>
    <w:rsid w:val="0097246B"/>
    <w:rsid w:val="009757A8"/>
    <w:rsid w:val="00983059"/>
    <w:rsid w:val="0098333B"/>
    <w:rsid w:val="00984090"/>
    <w:rsid w:val="0098521E"/>
    <w:rsid w:val="009860B5"/>
    <w:rsid w:val="00990D6A"/>
    <w:rsid w:val="00995F40"/>
    <w:rsid w:val="00996034"/>
    <w:rsid w:val="009969B5"/>
    <w:rsid w:val="009A0C2F"/>
    <w:rsid w:val="009A0FAF"/>
    <w:rsid w:val="009A13FB"/>
    <w:rsid w:val="009A290D"/>
    <w:rsid w:val="009A31DE"/>
    <w:rsid w:val="009A38F2"/>
    <w:rsid w:val="009A3A23"/>
    <w:rsid w:val="009A3EBF"/>
    <w:rsid w:val="009A5CBE"/>
    <w:rsid w:val="009A6269"/>
    <w:rsid w:val="009B3ADD"/>
    <w:rsid w:val="009B5D1C"/>
    <w:rsid w:val="009C11E1"/>
    <w:rsid w:val="009C7AA9"/>
    <w:rsid w:val="009D0F22"/>
    <w:rsid w:val="009D2D8C"/>
    <w:rsid w:val="009D708E"/>
    <w:rsid w:val="009E0021"/>
    <w:rsid w:val="009E0068"/>
    <w:rsid w:val="009F1285"/>
    <w:rsid w:val="009F61FA"/>
    <w:rsid w:val="009F76E5"/>
    <w:rsid w:val="00A00808"/>
    <w:rsid w:val="00A10419"/>
    <w:rsid w:val="00A12F3A"/>
    <w:rsid w:val="00A132C2"/>
    <w:rsid w:val="00A13AC7"/>
    <w:rsid w:val="00A208D0"/>
    <w:rsid w:val="00A21846"/>
    <w:rsid w:val="00A22A10"/>
    <w:rsid w:val="00A27158"/>
    <w:rsid w:val="00A27217"/>
    <w:rsid w:val="00A30A09"/>
    <w:rsid w:val="00A3171E"/>
    <w:rsid w:val="00A31D44"/>
    <w:rsid w:val="00A45794"/>
    <w:rsid w:val="00A501F8"/>
    <w:rsid w:val="00A50DE6"/>
    <w:rsid w:val="00A5363B"/>
    <w:rsid w:val="00A54173"/>
    <w:rsid w:val="00A57199"/>
    <w:rsid w:val="00A610C8"/>
    <w:rsid w:val="00A61B09"/>
    <w:rsid w:val="00A62AB4"/>
    <w:rsid w:val="00A631F0"/>
    <w:rsid w:val="00A70CB2"/>
    <w:rsid w:val="00A76BDF"/>
    <w:rsid w:val="00A7746C"/>
    <w:rsid w:val="00A8325A"/>
    <w:rsid w:val="00A85A9E"/>
    <w:rsid w:val="00A86B36"/>
    <w:rsid w:val="00A95582"/>
    <w:rsid w:val="00AA3B29"/>
    <w:rsid w:val="00AB0D3B"/>
    <w:rsid w:val="00AC53E9"/>
    <w:rsid w:val="00AD319F"/>
    <w:rsid w:val="00AD4BFF"/>
    <w:rsid w:val="00AD7A02"/>
    <w:rsid w:val="00AE0BBB"/>
    <w:rsid w:val="00AE12DE"/>
    <w:rsid w:val="00AE1863"/>
    <w:rsid w:val="00AE2554"/>
    <w:rsid w:val="00AE26E3"/>
    <w:rsid w:val="00AF0547"/>
    <w:rsid w:val="00AF26BD"/>
    <w:rsid w:val="00AF2B70"/>
    <w:rsid w:val="00AF2D7A"/>
    <w:rsid w:val="00AF3511"/>
    <w:rsid w:val="00AF3A00"/>
    <w:rsid w:val="00AF3F62"/>
    <w:rsid w:val="00B00EBD"/>
    <w:rsid w:val="00B04DBF"/>
    <w:rsid w:val="00B05BBA"/>
    <w:rsid w:val="00B05F7E"/>
    <w:rsid w:val="00B073E3"/>
    <w:rsid w:val="00B10A46"/>
    <w:rsid w:val="00B123F5"/>
    <w:rsid w:val="00B14F53"/>
    <w:rsid w:val="00B157B3"/>
    <w:rsid w:val="00B171D8"/>
    <w:rsid w:val="00B213B6"/>
    <w:rsid w:val="00B2212D"/>
    <w:rsid w:val="00B2242E"/>
    <w:rsid w:val="00B30B41"/>
    <w:rsid w:val="00B32289"/>
    <w:rsid w:val="00B33421"/>
    <w:rsid w:val="00B3427A"/>
    <w:rsid w:val="00B34AC5"/>
    <w:rsid w:val="00B373FE"/>
    <w:rsid w:val="00B37C4D"/>
    <w:rsid w:val="00B40C86"/>
    <w:rsid w:val="00B43EAF"/>
    <w:rsid w:val="00B44918"/>
    <w:rsid w:val="00B47CEA"/>
    <w:rsid w:val="00B523D2"/>
    <w:rsid w:val="00B52C1B"/>
    <w:rsid w:val="00B5451C"/>
    <w:rsid w:val="00B56EE9"/>
    <w:rsid w:val="00B60160"/>
    <w:rsid w:val="00B626DF"/>
    <w:rsid w:val="00B6365A"/>
    <w:rsid w:val="00B662BD"/>
    <w:rsid w:val="00B70759"/>
    <w:rsid w:val="00B71D85"/>
    <w:rsid w:val="00B71DA7"/>
    <w:rsid w:val="00B72337"/>
    <w:rsid w:val="00B7456E"/>
    <w:rsid w:val="00B75A4B"/>
    <w:rsid w:val="00B80E25"/>
    <w:rsid w:val="00B834FD"/>
    <w:rsid w:val="00B84E62"/>
    <w:rsid w:val="00B86B6B"/>
    <w:rsid w:val="00B9258D"/>
    <w:rsid w:val="00B92F70"/>
    <w:rsid w:val="00B9586E"/>
    <w:rsid w:val="00BA30B6"/>
    <w:rsid w:val="00BA3435"/>
    <w:rsid w:val="00BA4A96"/>
    <w:rsid w:val="00BA4C88"/>
    <w:rsid w:val="00BA58D1"/>
    <w:rsid w:val="00BA5935"/>
    <w:rsid w:val="00BB42CE"/>
    <w:rsid w:val="00BB69A7"/>
    <w:rsid w:val="00BB721D"/>
    <w:rsid w:val="00BC0F31"/>
    <w:rsid w:val="00BD3858"/>
    <w:rsid w:val="00BE04C6"/>
    <w:rsid w:val="00BE1028"/>
    <w:rsid w:val="00BE1068"/>
    <w:rsid w:val="00BF099B"/>
    <w:rsid w:val="00BF331F"/>
    <w:rsid w:val="00BF5284"/>
    <w:rsid w:val="00C03A61"/>
    <w:rsid w:val="00C07AB0"/>
    <w:rsid w:val="00C10CAB"/>
    <w:rsid w:val="00C12A4B"/>
    <w:rsid w:val="00C17269"/>
    <w:rsid w:val="00C2177C"/>
    <w:rsid w:val="00C22135"/>
    <w:rsid w:val="00C23712"/>
    <w:rsid w:val="00C23AF4"/>
    <w:rsid w:val="00C26C89"/>
    <w:rsid w:val="00C30753"/>
    <w:rsid w:val="00C32546"/>
    <w:rsid w:val="00C335E9"/>
    <w:rsid w:val="00C338A0"/>
    <w:rsid w:val="00C33984"/>
    <w:rsid w:val="00C402A3"/>
    <w:rsid w:val="00C402F7"/>
    <w:rsid w:val="00C41105"/>
    <w:rsid w:val="00C45103"/>
    <w:rsid w:val="00C5094B"/>
    <w:rsid w:val="00C51B09"/>
    <w:rsid w:val="00C529B2"/>
    <w:rsid w:val="00C52A68"/>
    <w:rsid w:val="00C5707D"/>
    <w:rsid w:val="00C6121C"/>
    <w:rsid w:val="00C61305"/>
    <w:rsid w:val="00C63F61"/>
    <w:rsid w:val="00C65F21"/>
    <w:rsid w:val="00C7064D"/>
    <w:rsid w:val="00C7235A"/>
    <w:rsid w:val="00C76C32"/>
    <w:rsid w:val="00C776FB"/>
    <w:rsid w:val="00C805B9"/>
    <w:rsid w:val="00C805F7"/>
    <w:rsid w:val="00C837A3"/>
    <w:rsid w:val="00C8511A"/>
    <w:rsid w:val="00C87DB6"/>
    <w:rsid w:val="00C90178"/>
    <w:rsid w:val="00C91E59"/>
    <w:rsid w:val="00C9454F"/>
    <w:rsid w:val="00C956D5"/>
    <w:rsid w:val="00CA5BA6"/>
    <w:rsid w:val="00CB111E"/>
    <w:rsid w:val="00CB4BF1"/>
    <w:rsid w:val="00CB52DE"/>
    <w:rsid w:val="00CB6FAC"/>
    <w:rsid w:val="00CC2A39"/>
    <w:rsid w:val="00CD2D22"/>
    <w:rsid w:val="00CD4AC2"/>
    <w:rsid w:val="00CD673E"/>
    <w:rsid w:val="00CF1794"/>
    <w:rsid w:val="00CF7EDB"/>
    <w:rsid w:val="00D065A3"/>
    <w:rsid w:val="00D06CBF"/>
    <w:rsid w:val="00D12C47"/>
    <w:rsid w:val="00D139DF"/>
    <w:rsid w:val="00D1509B"/>
    <w:rsid w:val="00D157C3"/>
    <w:rsid w:val="00D16840"/>
    <w:rsid w:val="00D16F40"/>
    <w:rsid w:val="00D24BE3"/>
    <w:rsid w:val="00D31213"/>
    <w:rsid w:val="00D42355"/>
    <w:rsid w:val="00D43561"/>
    <w:rsid w:val="00D5417D"/>
    <w:rsid w:val="00D561EE"/>
    <w:rsid w:val="00D61C20"/>
    <w:rsid w:val="00D6349F"/>
    <w:rsid w:val="00D705E1"/>
    <w:rsid w:val="00D74DD4"/>
    <w:rsid w:val="00D77718"/>
    <w:rsid w:val="00D83B77"/>
    <w:rsid w:val="00D854EE"/>
    <w:rsid w:val="00D866CE"/>
    <w:rsid w:val="00D86BC9"/>
    <w:rsid w:val="00D87EC4"/>
    <w:rsid w:val="00D90384"/>
    <w:rsid w:val="00D91378"/>
    <w:rsid w:val="00D92555"/>
    <w:rsid w:val="00D97362"/>
    <w:rsid w:val="00DA2051"/>
    <w:rsid w:val="00DA49D6"/>
    <w:rsid w:val="00DA4A6D"/>
    <w:rsid w:val="00DA7445"/>
    <w:rsid w:val="00DA78DD"/>
    <w:rsid w:val="00DB028A"/>
    <w:rsid w:val="00DB0999"/>
    <w:rsid w:val="00DB1A7F"/>
    <w:rsid w:val="00DB315A"/>
    <w:rsid w:val="00DB54D8"/>
    <w:rsid w:val="00DB5757"/>
    <w:rsid w:val="00DB591D"/>
    <w:rsid w:val="00DC1783"/>
    <w:rsid w:val="00DC1BA5"/>
    <w:rsid w:val="00DC4D42"/>
    <w:rsid w:val="00DC523D"/>
    <w:rsid w:val="00DC6957"/>
    <w:rsid w:val="00DC7F3E"/>
    <w:rsid w:val="00DD51D1"/>
    <w:rsid w:val="00DD74D6"/>
    <w:rsid w:val="00DE0BBF"/>
    <w:rsid w:val="00DE356A"/>
    <w:rsid w:val="00DE3FDF"/>
    <w:rsid w:val="00DE5762"/>
    <w:rsid w:val="00DE7222"/>
    <w:rsid w:val="00DF6F26"/>
    <w:rsid w:val="00E02B7E"/>
    <w:rsid w:val="00E060FD"/>
    <w:rsid w:val="00E06534"/>
    <w:rsid w:val="00E12EA6"/>
    <w:rsid w:val="00E14F6E"/>
    <w:rsid w:val="00E159A6"/>
    <w:rsid w:val="00E172B6"/>
    <w:rsid w:val="00E22400"/>
    <w:rsid w:val="00E2274D"/>
    <w:rsid w:val="00E23A5D"/>
    <w:rsid w:val="00E33156"/>
    <w:rsid w:val="00E3611F"/>
    <w:rsid w:val="00E416B0"/>
    <w:rsid w:val="00E4342A"/>
    <w:rsid w:val="00E50802"/>
    <w:rsid w:val="00E51786"/>
    <w:rsid w:val="00E528B1"/>
    <w:rsid w:val="00E532A7"/>
    <w:rsid w:val="00E558A0"/>
    <w:rsid w:val="00E55FDA"/>
    <w:rsid w:val="00E663A9"/>
    <w:rsid w:val="00E70298"/>
    <w:rsid w:val="00E70DB2"/>
    <w:rsid w:val="00E72C4C"/>
    <w:rsid w:val="00E74A0E"/>
    <w:rsid w:val="00E74B7B"/>
    <w:rsid w:val="00E74CCB"/>
    <w:rsid w:val="00E76458"/>
    <w:rsid w:val="00E76F2B"/>
    <w:rsid w:val="00E81A3A"/>
    <w:rsid w:val="00E826E3"/>
    <w:rsid w:val="00E83685"/>
    <w:rsid w:val="00E878C3"/>
    <w:rsid w:val="00E930BD"/>
    <w:rsid w:val="00E96583"/>
    <w:rsid w:val="00E96A0A"/>
    <w:rsid w:val="00EA1EF9"/>
    <w:rsid w:val="00EA32A9"/>
    <w:rsid w:val="00EA32FB"/>
    <w:rsid w:val="00EA55F1"/>
    <w:rsid w:val="00EB1620"/>
    <w:rsid w:val="00EB170C"/>
    <w:rsid w:val="00EB2FE3"/>
    <w:rsid w:val="00EB5E9B"/>
    <w:rsid w:val="00EC19E1"/>
    <w:rsid w:val="00EC6DBA"/>
    <w:rsid w:val="00ED0B13"/>
    <w:rsid w:val="00ED17CA"/>
    <w:rsid w:val="00EE36D3"/>
    <w:rsid w:val="00EE5495"/>
    <w:rsid w:val="00EF1140"/>
    <w:rsid w:val="00F02C52"/>
    <w:rsid w:val="00F04250"/>
    <w:rsid w:val="00F11CBF"/>
    <w:rsid w:val="00F1314F"/>
    <w:rsid w:val="00F13CED"/>
    <w:rsid w:val="00F22BF1"/>
    <w:rsid w:val="00F26339"/>
    <w:rsid w:val="00F26435"/>
    <w:rsid w:val="00F26692"/>
    <w:rsid w:val="00F26946"/>
    <w:rsid w:val="00F27DE2"/>
    <w:rsid w:val="00F30AE4"/>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5CAA"/>
    <w:rsid w:val="00F66727"/>
    <w:rsid w:val="00F6722D"/>
    <w:rsid w:val="00F7054C"/>
    <w:rsid w:val="00F709AB"/>
    <w:rsid w:val="00F70C3E"/>
    <w:rsid w:val="00F70D82"/>
    <w:rsid w:val="00F724E8"/>
    <w:rsid w:val="00F73EE2"/>
    <w:rsid w:val="00F8008F"/>
    <w:rsid w:val="00F83753"/>
    <w:rsid w:val="00F86020"/>
    <w:rsid w:val="00F91738"/>
    <w:rsid w:val="00FA01C6"/>
    <w:rsid w:val="00FA0645"/>
    <w:rsid w:val="00FA1EEF"/>
    <w:rsid w:val="00FA4BA1"/>
    <w:rsid w:val="00FA7C62"/>
    <w:rsid w:val="00FB3BC1"/>
    <w:rsid w:val="00FB4CD9"/>
    <w:rsid w:val="00FB622B"/>
    <w:rsid w:val="00FB7D81"/>
    <w:rsid w:val="00FB7E08"/>
    <w:rsid w:val="00FC018D"/>
    <w:rsid w:val="00FC232E"/>
    <w:rsid w:val="00FD0510"/>
    <w:rsid w:val="00FD1FE2"/>
    <w:rsid w:val="00FD2781"/>
    <w:rsid w:val="00FD27E0"/>
    <w:rsid w:val="00FD3EF7"/>
    <w:rsid w:val="00FD70DC"/>
    <w:rsid w:val="00FE3990"/>
    <w:rsid w:val="00FE7CE6"/>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semiHidden/>
    <w:unhideWhenUsed/>
    <w:qFormat/>
    <w:locked/>
    <w:rsid w:val="0017431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semiHidden/>
    <w:unhideWhenUsed/>
    <w:qFormat/>
    <w:locked/>
    <w:rsid w:val="0017431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erve.akgul\AppData\Local\Microsoft\Windows\Temporary%20Internet%20Files\Content.Outlook\XQDM7WCV\%20%20mine.durmaz@eas.bahcesehir.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ine.durmaz\AppData\Local\Microsoft\Windows\Temporary%20Internet%20Files\Content.Outlook\28MEV8TP\ozan.bak&#305;s@eas.bau.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rve.akgul\AppData\Local\Microsoft\Windows\Temporary%20Internet%20Files\Content.Outlook\XQDM7WCV\seyfettin.gursel@eas.bahcesehir.edu.tr"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AE263-1BD8-4CDE-98FA-74A21ABF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2016-06-10T07:52:00Z</cp:lastPrinted>
  <dcterms:created xsi:type="dcterms:W3CDTF">2016-06-10T11:41:00Z</dcterms:created>
  <dcterms:modified xsi:type="dcterms:W3CDTF">2016-06-10T11:41:00Z</dcterms:modified>
</cp:coreProperties>
</file>